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307485" w14:textId="77777777" w:rsidR="00682B31" w:rsidRPr="00682B31" w:rsidRDefault="00682B31" w:rsidP="00682B31">
      <w:pPr>
        <w:tabs>
          <w:tab w:val="left" w:pos="-1057"/>
          <w:tab w:val="left" w:pos="-720"/>
        </w:tabs>
        <w:ind w:left="-90"/>
        <w:rPr>
          <w:rFonts w:cs="Arial"/>
          <w:spacing w:val="-8"/>
          <w:sz w:val="12"/>
          <w:szCs w:val="12"/>
          <w:lang w:val="en-GB"/>
        </w:rPr>
      </w:pPr>
      <w:bookmarkStart w:id="0" w:name="_GoBack"/>
      <w:bookmarkEnd w:id="0"/>
    </w:p>
    <w:p w14:paraId="5D80962C" w14:textId="77777777" w:rsidR="008C0408" w:rsidRPr="005577C0" w:rsidRDefault="008C0408" w:rsidP="008C0408">
      <w:pPr>
        <w:tabs>
          <w:tab w:val="left" w:pos="-1057"/>
          <w:tab w:val="left" w:pos="-720"/>
        </w:tabs>
        <w:ind w:left="-90"/>
        <w:rPr>
          <w:rFonts w:cs="Arial"/>
          <w:sz w:val="22"/>
          <w:szCs w:val="22"/>
          <w:lang w:val="es-ES_tradnl"/>
        </w:rPr>
      </w:pPr>
      <w:r w:rsidRPr="005577C0">
        <w:rPr>
          <w:rFonts w:cs="Arial"/>
          <w:sz w:val="22"/>
          <w:szCs w:val="22"/>
          <w:lang w:val="es-ES_tradnl"/>
        </w:rPr>
        <w:t>12</w:t>
      </w:r>
      <w:r w:rsidRPr="005577C0">
        <w:rPr>
          <w:rFonts w:cs="Arial"/>
          <w:sz w:val="22"/>
          <w:szCs w:val="22"/>
          <w:vertAlign w:val="superscript"/>
          <w:lang w:val="es-ES_tradnl"/>
        </w:rPr>
        <w:t>a</w:t>
      </w:r>
      <w:r w:rsidRPr="005577C0">
        <w:rPr>
          <w:rFonts w:cs="Arial"/>
          <w:sz w:val="22"/>
          <w:szCs w:val="22"/>
          <w:lang w:val="es-ES_tradnl"/>
        </w:rPr>
        <w:t xml:space="preserve"> REUNIÓN DE LA CONFERENCIA DE LAS PARTES</w:t>
      </w:r>
    </w:p>
    <w:p w14:paraId="290E0B66" w14:textId="77777777" w:rsidR="008C0408" w:rsidRPr="005577C0" w:rsidRDefault="008C0408" w:rsidP="008C0408">
      <w:pPr>
        <w:pStyle w:val="Heading2"/>
        <w:keepNext w:val="0"/>
        <w:spacing w:line="228" w:lineRule="auto"/>
        <w:ind w:left="-90"/>
        <w:rPr>
          <w:rFonts w:cs="Arial"/>
          <w:b w:val="0"/>
          <w:bCs w:val="0"/>
          <w:sz w:val="22"/>
          <w:szCs w:val="22"/>
          <w:lang w:val="es-ES_tradnl"/>
        </w:rPr>
      </w:pPr>
      <w:r w:rsidRPr="005577C0">
        <w:rPr>
          <w:rFonts w:cs="Arial"/>
          <w:b w:val="0"/>
          <w:sz w:val="22"/>
          <w:szCs w:val="22"/>
          <w:lang w:val="es-ES_tradnl"/>
        </w:rPr>
        <w:t>Manila, Filipinas, 23 - 28 octubre 2017</w:t>
      </w:r>
    </w:p>
    <w:p w14:paraId="1AD813BC" w14:textId="536C0D57" w:rsidR="008C0408" w:rsidRPr="005577C0" w:rsidRDefault="008C0408" w:rsidP="008C0408">
      <w:pPr>
        <w:spacing w:line="228" w:lineRule="auto"/>
        <w:ind w:left="-90"/>
        <w:rPr>
          <w:rFonts w:cs="Arial"/>
          <w:iCs/>
          <w:sz w:val="22"/>
          <w:szCs w:val="22"/>
          <w:lang w:val="es-ES_tradnl"/>
        </w:rPr>
      </w:pPr>
      <w:r w:rsidRPr="005577C0">
        <w:rPr>
          <w:rFonts w:cs="Arial"/>
          <w:iCs/>
          <w:sz w:val="22"/>
          <w:szCs w:val="22"/>
          <w:lang w:val="es-ES_tradnl"/>
        </w:rPr>
        <w:t>Punto 24.1.6 del orden del día</w:t>
      </w:r>
    </w:p>
    <w:p w14:paraId="34CF26C8" w14:textId="1D338BA2" w:rsidR="0081600F" w:rsidRPr="005577C0" w:rsidRDefault="0081600F" w:rsidP="009E72D7">
      <w:pPr>
        <w:spacing w:line="228" w:lineRule="auto"/>
        <w:rPr>
          <w:rFonts w:cs="Arial"/>
          <w:iCs/>
          <w:sz w:val="22"/>
          <w:szCs w:val="22"/>
          <w:lang w:val="es-ES_tradnl"/>
        </w:rPr>
      </w:pPr>
    </w:p>
    <w:tbl>
      <w:tblPr>
        <w:tblpPr w:leftFromText="180" w:rightFromText="180" w:horzAnchor="margin" w:tblpY="-401"/>
        <w:tblW w:w="9648" w:type="dxa"/>
        <w:tblLayout w:type="fixed"/>
        <w:tblCellMar>
          <w:top w:w="198" w:type="dxa"/>
        </w:tblCellMar>
        <w:tblLook w:val="0000" w:firstRow="0" w:lastRow="0" w:firstColumn="0" w:lastColumn="0" w:noHBand="0" w:noVBand="0"/>
      </w:tblPr>
      <w:tblGrid>
        <w:gridCol w:w="1526"/>
        <w:gridCol w:w="4072"/>
        <w:gridCol w:w="4050"/>
      </w:tblGrid>
      <w:tr w:rsidR="00346ABD" w:rsidRPr="005577C0" w14:paraId="4A008297" w14:textId="77777777" w:rsidTr="003831C5">
        <w:trPr>
          <w:trHeight w:val="365"/>
        </w:trPr>
        <w:tc>
          <w:tcPr>
            <w:tcW w:w="9648" w:type="dxa"/>
            <w:gridSpan w:val="3"/>
            <w:tcBorders>
              <w:top w:val="nil"/>
              <w:left w:val="nil"/>
              <w:bottom w:val="single" w:sz="12" w:space="0" w:color="auto"/>
              <w:right w:val="nil"/>
            </w:tcBorders>
            <w:tcMar>
              <w:top w:w="85" w:type="dxa"/>
              <w:left w:w="108" w:type="dxa"/>
              <w:bottom w:w="0" w:type="dxa"/>
              <w:right w:w="108" w:type="dxa"/>
            </w:tcMar>
          </w:tcPr>
          <w:p w14:paraId="13E15C52" w14:textId="77777777" w:rsidR="00346ABD" w:rsidRPr="005577C0" w:rsidRDefault="00346ABD" w:rsidP="003831C5">
            <w:pPr>
              <w:tabs>
                <w:tab w:val="left" w:pos="-1057"/>
                <w:tab w:val="left" w:pos="-720"/>
                <w:tab w:val="left" w:pos="0"/>
                <w:tab w:val="left" w:pos="141"/>
                <w:tab w:val="left" w:pos="720"/>
                <w:tab w:val="left" w:pos="1155"/>
                <w:tab w:val="right" w:pos="9072"/>
                <w:tab w:val="right" w:pos="9432"/>
              </w:tabs>
              <w:rPr>
                <w:rFonts w:cs="Arial"/>
                <w:sz w:val="22"/>
                <w:szCs w:val="22"/>
                <w:lang w:val="es-ES_tradnl"/>
              </w:rPr>
            </w:pPr>
            <w:r w:rsidRPr="005577C0">
              <w:rPr>
                <w:rFonts w:cs="Arial"/>
                <w:b/>
                <w:sz w:val="28"/>
                <w:szCs w:val="28"/>
                <w:lang w:val="es-ES_tradnl"/>
              </w:rPr>
              <w:tab/>
            </w:r>
            <w:r w:rsidRPr="005577C0">
              <w:rPr>
                <w:rFonts w:cs="Arial"/>
                <w:b/>
                <w:sz w:val="28"/>
                <w:szCs w:val="28"/>
                <w:lang w:val="es-ES_tradnl"/>
              </w:rPr>
              <w:tab/>
            </w:r>
            <w:r w:rsidRPr="005577C0">
              <w:rPr>
                <w:rFonts w:cs="Arial"/>
                <w:b/>
                <w:sz w:val="28"/>
                <w:szCs w:val="28"/>
                <w:lang w:val="es-ES_tradnl"/>
              </w:rPr>
              <w:tab/>
            </w:r>
            <w:r w:rsidRPr="005577C0">
              <w:rPr>
                <w:rFonts w:cs="Arial"/>
                <w:b/>
                <w:sz w:val="28"/>
                <w:szCs w:val="28"/>
                <w:lang w:val="es-ES_tradnl"/>
              </w:rPr>
              <w:tab/>
              <w:t>CMS</w:t>
            </w:r>
          </w:p>
          <w:p w14:paraId="479F6C09" w14:textId="77777777" w:rsidR="00346ABD" w:rsidRPr="005577C0" w:rsidRDefault="00346ABD" w:rsidP="003831C5">
            <w:pPr>
              <w:tabs>
                <w:tab w:val="left" w:pos="-1057"/>
                <w:tab w:val="left" w:pos="-720"/>
                <w:tab w:val="left" w:pos="0"/>
                <w:tab w:val="left" w:pos="141"/>
                <w:tab w:val="left" w:pos="720"/>
                <w:tab w:val="right" w:pos="9072"/>
              </w:tabs>
              <w:rPr>
                <w:rFonts w:cs="Arial"/>
                <w:sz w:val="22"/>
                <w:szCs w:val="22"/>
                <w:lang w:val="es-ES_tradnl"/>
              </w:rPr>
            </w:pPr>
          </w:p>
        </w:tc>
      </w:tr>
      <w:tr w:rsidR="00346ABD" w:rsidRPr="00B44B0D" w14:paraId="5F70A82C" w14:textId="77777777" w:rsidTr="003831C5">
        <w:trPr>
          <w:trHeight w:val="1328"/>
        </w:trPr>
        <w:tc>
          <w:tcPr>
            <w:tcW w:w="1526" w:type="dxa"/>
            <w:tcBorders>
              <w:top w:val="single" w:sz="12" w:space="0" w:color="auto"/>
              <w:left w:val="nil"/>
              <w:bottom w:val="single" w:sz="12" w:space="0" w:color="auto"/>
              <w:right w:val="nil"/>
            </w:tcBorders>
            <w:tcMar>
              <w:top w:w="85" w:type="dxa"/>
              <w:left w:w="108" w:type="dxa"/>
              <w:bottom w:w="0" w:type="dxa"/>
              <w:right w:w="108" w:type="dxa"/>
            </w:tcMar>
          </w:tcPr>
          <w:p w14:paraId="109EB539" w14:textId="77777777" w:rsidR="00346ABD" w:rsidRPr="005577C0" w:rsidRDefault="00346ABD" w:rsidP="003831C5">
            <w:pPr>
              <w:rPr>
                <w:rFonts w:cs="Arial"/>
                <w:sz w:val="22"/>
                <w:szCs w:val="22"/>
                <w:lang w:val="es-ES_tradnl"/>
              </w:rPr>
            </w:pPr>
            <w:r w:rsidRPr="005577C0">
              <w:rPr>
                <w:rFonts w:cs="Arial"/>
                <w:noProof/>
                <w:sz w:val="22"/>
                <w:szCs w:val="22"/>
              </w:rPr>
              <w:drawing>
                <wp:inline distT="0" distB="0" distL="0" distR="0" wp14:anchorId="7FF0970B" wp14:editId="4BDF72E3">
                  <wp:extent cx="752475" cy="771525"/>
                  <wp:effectExtent l="0" t="0" r="9525"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2533" t="-726" r="-2533" b="-726"/>
                          <a:stretch>
                            <a:fillRect/>
                          </a:stretch>
                        </pic:blipFill>
                        <pic:spPr bwMode="auto">
                          <a:xfrm>
                            <a:off x="0" y="0"/>
                            <a:ext cx="752475" cy="771525"/>
                          </a:xfrm>
                          <a:prstGeom prst="rect">
                            <a:avLst/>
                          </a:prstGeom>
                          <a:noFill/>
                          <a:ln>
                            <a:noFill/>
                          </a:ln>
                        </pic:spPr>
                      </pic:pic>
                    </a:graphicData>
                  </a:graphic>
                </wp:inline>
              </w:drawing>
            </w:r>
          </w:p>
          <w:p w14:paraId="339B016F" w14:textId="77777777" w:rsidR="00346ABD" w:rsidRPr="005577C0" w:rsidRDefault="00346ABD" w:rsidP="003831C5">
            <w:pPr>
              <w:rPr>
                <w:rFonts w:cs="Arial"/>
                <w:sz w:val="22"/>
                <w:szCs w:val="22"/>
                <w:lang w:val="es-ES_tradnl"/>
              </w:rPr>
            </w:pPr>
          </w:p>
        </w:tc>
        <w:tc>
          <w:tcPr>
            <w:tcW w:w="4072" w:type="dxa"/>
            <w:tcBorders>
              <w:top w:val="single" w:sz="12" w:space="0" w:color="auto"/>
              <w:left w:val="nil"/>
              <w:bottom w:val="single" w:sz="12" w:space="0" w:color="auto"/>
              <w:right w:val="nil"/>
            </w:tcBorders>
            <w:tcMar>
              <w:top w:w="85" w:type="dxa"/>
              <w:left w:w="108" w:type="dxa"/>
              <w:bottom w:w="0" w:type="dxa"/>
              <w:right w:w="108" w:type="dxa"/>
            </w:tcMar>
          </w:tcPr>
          <w:p w14:paraId="5C92BBDD" w14:textId="77777777" w:rsidR="00346ABD" w:rsidRPr="005577C0" w:rsidRDefault="00346ABD" w:rsidP="003831C5">
            <w:pPr>
              <w:pStyle w:val="Heading2"/>
              <w:pBdr>
                <w:top w:val="none" w:sz="0" w:space="0" w:color="auto"/>
                <w:left w:val="none" w:sz="0" w:space="0" w:color="auto"/>
                <w:bottom w:val="none" w:sz="0" w:space="0" w:color="auto"/>
                <w:right w:val="none" w:sz="0" w:space="0" w:color="auto"/>
              </w:pBdr>
              <w:ind w:left="-108"/>
              <w:rPr>
                <w:rFonts w:cs="Arial"/>
                <w:b w:val="0"/>
                <w:bCs w:val="0"/>
                <w:sz w:val="12"/>
                <w:szCs w:val="12"/>
                <w:lang w:val="es-ES_tradnl"/>
              </w:rPr>
            </w:pPr>
          </w:p>
          <w:p w14:paraId="043E0480" w14:textId="77777777" w:rsidR="00346ABD" w:rsidRPr="005577C0" w:rsidRDefault="00346ABD" w:rsidP="003831C5">
            <w:pPr>
              <w:pStyle w:val="Heading2"/>
              <w:pBdr>
                <w:top w:val="none" w:sz="0" w:space="0" w:color="auto"/>
                <w:left w:val="none" w:sz="0" w:space="0" w:color="auto"/>
                <w:bottom w:val="none" w:sz="0" w:space="0" w:color="auto"/>
                <w:right w:val="none" w:sz="0" w:space="0" w:color="auto"/>
              </w:pBdr>
              <w:ind w:left="-108"/>
              <w:rPr>
                <w:rFonts w:cs="Arial"/>
                <w:bCs w:val="0"/>
                <w:sz w:val="28"/>
                <w:szCs w:val="28"/>
                <w:lang w:val="es-ES_tradnl"/>
              </w:rPr>
            </w:pPr>
            <w:r w:rsidRPr="005577C0">
              <w:rPr>
                <w:rFonts w:cs="Arial"/>
                <w:bCs w:val="0"/>
                <w:sz w:val="28"/>
                <w:szCs w:val="28"/>
                <w:lang w:val="es-ES_tradnl"/>
              </w:rPr>
              <w:t>CONVENCIÓN SOBRE</w:t>
            </w:r>
          </w:p>
          <w:p w14:paraId="5A3F559A" w14:textId="77777777" w:rsidR="00346ABD" w:rsidRPr="005577C0" w:rsidRDefault="00346ABD" w:rsidP="003831C5">
            <w:pPr>
              <w:pStyle w:val="Heading2"/>
              <w:pBdr>
                <w:top w:val="none" w:sz="0" w:space="0" w:color="auto"/>
                <w:left w:val="none" w:sz="0" w:space="0" w:color="auto"/>
                <w:bottom w:val="none" w:sz="0" w:space="0" w:color="auto"/>
                <w:right w:val="none" w:sz="0" w:space="0" w:color="auto"/>
              </w:pBdr>
              <w:ind w:left="-108"/>
              <w:rPr>
                <w:rFonts w:cs="Arial"/>
                <w:bCs w:val="0"/>
                <w:sz w:val="28"/>
                <w:szCs w:val="28"/>
                <w:lang w:val="es-ES_tradnl"/>
              </w:rPr>
            </w:pPr>
            <w:r w:rsidRPr="005577C0">
              <w:rPr>
                <w:rFonts w:cs="Arial"/>
                <w:bCs w:val="0"/>
                <w:sz w:val="28"/>
                <w:szCs w:val="28"/>
                <w:lang w:val="es-ES_tradnl"/>
              </w:rPr>
              <w:t>LAS ESPECIES</w:t>
            </w:r>
          </w:p>
          <w:p w14:paraId="4AC3CA23" w14:textId="77777777" w:rsidR="00346ABD" w:rsidRPr="005577C0" w:rsidRDefault="00346ABD" w:rsidP="003831C5">
            <w:pPr>
              <w:pStyle w:val="Heading2"/>
              <w:pBdr>
                <w:top w:val="none" w:sz="0" w:space="0" w:color="auto"/>
                <w:left w:val="none" w:sz="0" w:space="0" w:color="auto"/>
                <w:bottom w:val="none" w:sz="0" w:space="0" w:color="auto"/>
                <w:right w:val="none" w:sz="0" w:space="0" w:color="auto"/>
              </w:pBdr>
              <w:ind w:left="-108"/>
              <w:rPr>
                <w:rFonts w:cs="Arial"/>
                <w:b w:val="0"/>
                <w:bCs w:val="0"/>
                <w:sz w:val="22"/>
                <w:szCs w:val="22"/>
                <w:lang w:val="es-ES_tradnl"/>
              </w:rPr>
            </w:pPr>
            <w:r w:rsidRPr="005577C0">
              <w:rPr>
                <w:rFonts w:cs="Arial"/>
                <w:bCs w:val="0"/>
                <w:sz w:val="28"/>
                <w:szCs w:val="28"/>
                <w:lang w:val="es-ES_tradnl"/>
              </w:rPr>
              <w:t>MIGRATORIAS</w:t>
            </w:r>
          </w:p>
        </w:tc>
        <w:tc>
          <w:tcPr>
            <w:tcW w:w="4050" w:type="dxa"/>
            <w:tcBorders>
              <w:top w:val="single" w:sz="12" w:space="0" w:color="auto"/>
              <w:left w:val="nil"/>
              <w:bottom w:val="single" w:sz="12" w:space="0" w:color="auto"/>
              <w:right w:val="nil"/>
            </w:tcBorders>
            <w:tcMar>
              <w:top w:w="85" w:type="dxa"/>
              <w:left w:w="108" w:type="dxa"/>
              <w:bottom w:w="0" w:type="dxa"/>
              <w:right w:w="108" w:type="dxa"/>
            </w:tcMar>
          </w:tcPr>
          <w:p w14:paraId="542E8EB5" w14:textId="77777777" w:rsidR="00346ABD" w:rsidRPr="005577C0" w:rsidRDefault="00346ABD" w:rsidP="003831C5">
            <w:pPr>
              <w:tabs>
                <w:tab w:val="left" w:pos="5040"/>
                <w:tab w:val="left" w:pos="5760"/>
                <w:tab w:val="left" w:pos="6008"/>
                <w:tab w:val="left" w:pos="6480"/>
                <w:tab w:val="left" w:pos="7200"/>
                <w:tab w:val="left" w:pos="7920"/>
                <w:tab w:val="left" w:pos="8640"/>
              </w:tabs>
              <w:rPr>
                <w:rFonts w:cs="Arial"/>
                <w:sz w:val="12"/>
                <w:szCs w:val="12"/>
                <w:lang w:val="es-ES_tradnl"/>
              </w:rPr>
            </w:pPr>
          </w:p>
          <w:p w14:paraId="1925A879" w14:textId="77777777" w:rsidR="00346ABD" w:rsidRPr="005577C0" w:rsidRDefault="00346ABD" w:rsidP="003831C5">
            <w:pPr>
              <w:tabs>
                <w:tab w:val="left" w:pos="5040"/>
                <w:tab w:val="left" w:pos="5760"/>
                <w:tab w:val="left" w:pos="6008"/>
                <w:tab w:val="left" w:pos="6480"/>
                <w:tab w:val="left" w:pos="7200"/>
                <w:tab w:val="left" w:pos="7920"/>
                <w:tab w:val="left" w:pos="8640"/>
              </w:tabs>
              <w:rPr>
                <w:rFonts w:cs="Arial"/>
                <w:sz w:val="22"/>
                <w:szCs w:val="22"/>
                <w:lang w:val="es-ES_tradnl"/>
              </w:rPr>
            </w:pPr>
            <w:r w:rsidRPr="005577C0">
              <w:rPr>
                <w:rFonts w:cs="Arial"/>
                <w:sz w:val="22"/>
                <w:szCs w:val="22"/>
                <w:lang w:val="es-ES_tradnl"/>
              </w:rPr>
              <w:t>Distribución: General</w:t>
            </w:r>
          </w:p>
          <w:p w14:paraId="54BCE0F4" w14:textId="77777777" w:rsidR="00346ABD" w:rsidRPr="005577C0" w:rsidRDefault="00346ABD" w:rsidP="003831C5">
            <w:pPr>
              <w:tabs>
                <w:tab w:val="left" w:pos="5040"/>
                <w:tab w:val="left" w:pos="5760"/>
                <w:tab w:val="left" w:pos="6008"/>
                <w:tab w:val="left" w:pos="6480"/>
                <w:tab w:val="left" w:pos="7200"/>
                <w:tab w:val="left" w:pos="7920"/>
                <w:tab w:val="left" w:pos="8640"/>
              </w:tabs>
              <w:rPr>
                <w:rFonts w:cs="Arial"/>
                <w:sz w:val="12"/>
                <w:szCs w:val="12"/>
                <w:lang w:val="es-ES_tradnl"/>
              </w:rPr>
            </w:pPr>
          </w:p>
          <w:p w14:paraId="6D0ED6EA" w14:textId="6E500920" w:rsidR="00346ABD" w:rsidRPr="005577C0" w:rsidRDefault="00346ABD" w:rsidP="003831C5">
            <w:pPr>
              <w:tabs>
                <w:tab w:val="left" w:pos="5040"/>
                <w:tab w:val="left" w:pos="5760"/>
                <w:tab w:val="left" w:pos="6008"/>
                <w:tab w:val="left" w:pos="6480"/>
                <w:tab w:val="left" w:pos="7200"/>
                <w:tab w:val="left" w:pos="7920"/>
                <w:tab w:val="left" w:pos="8640"/>
              </w:tabs>
              <w:rPr>
                <w:rFonts w:cs="Arial"/>
                <w:sz w:val="22"/>
                <w:szCs w:val="22"/>
                <w:lang w:val="es-ES_tradnl"/>
              </w:rPr>
            </w:pPr>
            <w:r w:rsidRPr="005577C0">
              <w:rPr>
                <w:rFonts w:cs="Arial"/>
                <w:sz w:val="22"/>
                <w:szCs w:val="22"/>
                <w:lang w:val="es-ES_tradnl"/>
              </w:rPr>
              <w:t>UNEP/CMS/COP12/Doc.24.1.6</w:t>
            </w:r>
          </w:p>
          <w:p w14:paraId="6D57CCE3" w14:textId="27A69ACC" w:rsidR="00346ABD" w:rsidRPr="005577C0" w:rsidRDefault="00B44B0D" w:rsidP="003831C5">
            <w:pPr>
              <w:tabs>
                <w:tab w:val="left" w:pos="5040"/>
                <w:tab w:val="left" w:pos="5760"/>
                <w:tab w:val="left" w:pos="6008"/>
                <w:tab w:val="left" w:pos="6480"/>
                <w:tab w:val="left" w:pos="7200"/>
                <w:tab w:val="left" w:pos="7920"/>
                <w:tab w:val="left" w:pos="8640"/>
              </w:tabs>
              <w:rPr>
                <w:rFonts w:cs="Arial"/>
                <w:sz w:val="22"/>
                <w:szCs w:val="22"/>
                <w:lang w:val="es-ES_tradnl"/>
              </w:rPr>
            </w:pPr>
            <w:r>
              <w:rPr>
                <w:rFonts w:cs="Arial"/>
                <w:sz w:val="22"/>
                <w:szCs w:val="22"/>
                <w:lang w:val="es-ES_tradnl"/>
              </w:rPr>
              <w:t>25</w:t>
            </w:r>
            <w:r w:rsidR="00346ABD" w:rsidRPr="005577C0">
              <w:rPr>
                <w:rFonts w:cs="Arial"/>
                <w:sz w:val="22"/>
                <w:szCs w:val="22"/>
                <w:lang w:val="es-ES_tradnl"/>
              </w:rPr>
              <w:t xml:space="preserve"> de mayo de 2017</w:t>
            </w:r>
          </w:p>
          <w:p w14:paraId="5C5C004C" w14:textId="77777777" w:rsidR="00346ABD" w:rsidRPr="005577C0" w:rsidRDefault="00346ABD" w:rsidP="003831C5">
            <w:pPr>
              <w:tabs>
                <w:tab w:val="left" w:pos="5040"/>
                <w:tab w:val="left" w:pos="5760"/>
                <w:tab w:val="left" w:pos="6008"/>
                <w:tab w:val="left" w:pos="6480"/>
                <w:tab w:val="left" w:pos="7200"/>
                <w:tab w:val="left" w:pos="7920"/>
                <w:tab w:val="left" w:pos="8640"/>
              </w:tabs>
              <w:rPr>
                <w:rFonts w:cs="Arial"/>
                <w:sz w:val="12"/>
                <w:szCs w:val="12"/>
                <w:lang w:val="es-ES_tradnl"/>
              </w:rPr>
            </w:pPr>
          </w:p>
          <w:p w14:paraId="508449BC" w14:textId="77777777" w:rsidR="00346ABD" w:rsidRPr="005577C0" w:rsidRDefault="00346ABD" w:rsidP="003831C5">
            <w:pPr>
              <w:autoSpaceDE/>
              <w:autoSpaceDN/>
              <w:adjustRightInd/>
              <w:rPr>
                <w:rFonts w:cs="Arial"/>
                <w:sz w:val="22"/>
                <w:szCs w:val="22"/>
                <w:lang w:val="es-ES_tradnl"/>
              </w:rPr>
            </w:pPr>
            <w:r w:rsidRPr="005577C0">
              <w:rPr>
                <w:rFonts w:cs="Arial"/>
                <w:sz w:val="22"/>
                <w:szCs w:val="22"/>
                <w:lang w:val="es-ES_tradnl"/>
              </w:rPr>
              <w:t>Español</w:t>
            </w:r>
          </w:p>
          <w:p w14:paraId="7E0DA13C" w14:textId="77777777" w:rsidR="00346ABD" w:rsidRPr="005577C0" w:rsidRDefault="00346ABD" w:rsidP="003831C5">
            <w:pPr>
              <w:rPr>
                <w:rFonts w:cs="Arial"/>
                <w:sz w:val="22"/>
                <w:szCs w:val="22"/>
                <w:lang w:val="es-ES_tradnl"/>
              </w:rPr>
            </w:pPr>
            <w:r w:rsidRPr="005577C0">
              <w:rPr>
                <w:rFonts w:cs="Arial"/>
                <w:sz w:val="22"/>
                <w:szCs w:val="22"/>
                <w:lang w:val="es-ES_tradnl"/>
              </w:rPr>
              <w:t>Original: Inglés</w:t>
            </w:r>
          </w:p>
          <w:p w14:paraId="6BEF893C" w14:textId="77777777" w:rsidR="00346ABD" w:rsidRPr="005577C0" w:rsidRDefault="00346ABD" w:rsidP="003831C5">
            <w:pPr>
              <w:rPr>
                <w:rFonts w:cs="Arial"/>
                <w:sz w:val="12"/>
                <w:szCs w:val="12"/>
                <w:lang w:val="es-ES_tradnl"/>
              </w:rPr>
            </w:pPr>
          </w:p>
        </w:tc>
      </w:tr>
    </w:tbl>
    <w:p w14:paraId="75BD4B01" w14:textId="77777777" w:rsidR="00E8776E" w:rsidRPr="005577C0" w:rsidRDefault="00E8776E" w:rsidP="00E8776E">
      <w:pPr>
        <w:tabs>
          <w:tab w:val="left" w:pos="7020"/>
        </w:tabs>
        <w:rPr>
          <w:rFonts w:cs="Arial"/>
          <w:sz w:val="22"/>
          <w:szCs w:val="22"/>
          <w:lang w:val="es-ES_tradnl"/>
        </w:rPr>
      </w:pPr>
    </w:p>
    <w:p w14:paraId="79F3499D" w14:textId="77777777" w:rsidR="00354A9C" w:rsidRPr="005577C0" w:rsidRDefault="00354A9C" w:rsidP="00922791">
      <w:pPr>
        <w:tabs>
          <w:tab w:val="left" w:pos="7020"/>
        </w:tabs>
        <w:rPr>
          <w:rFonts w:cs="Arial"/>
          <w:sz w:val="22"/>
          <w:szCs w:val="22"/>
          <w:lang w:val="es-ES_tradnl"/>
        </w:rPr>
      </w:pPr>
    </w:p>
    <w:p w14:paraId="055C0DBD" w14:textId="77777777" w:rsidR="0052082F" w:rsidRPr="005577C0" w:rsidRDefault="0052082F" w:rsidP="00354A9C">
      <w:pPr>
        <w:rPr>
          <w:rFonts w:cs="Arial"/>
          <w:sz w:val="22"/>
          <w:szCs w:val="22"/>
          <w:lang w:val="es-ES_tradnl"/>
        </w:rPr>
      </w:pPr>
    </w:p>
    <w:p w14:paraId="7E2854AC" w14:textId="6159ECFF" w:rsidR="0022739D" w:rsidRPr="005577C0" w:rsidRDefault="0022739D" w:rsidP="00056DC1">
      <w:pPr>
        <w:pStyle w:val="Heading2"/>
        <w:keepNext w:val="0"/>
        <w:ind w:left="-90" w:right="-367"/>
        <w:jc w:val="center"/>
        <w:rPr>
          <w:rFonts w:cs="Arial"/>
          <w:sz w:val="22"/>
          <w:szCs w:val="22"/>
          <w:lang w:val="es-ES_tradnl"/>
        </w:rPr>
      </w:pPr>
      <w:r w:rsidRPr="005577C0">
        <w:rPr>
          <w:rFonts w:cs="Arial"/>
          <w:sz w:val="22"/>
          <w:szCs w:val="22"/>
          <w:lang w:val="es-ES_tradnl"/>
        </w:rPr>
        <w:t>PLAN DE ACCIÓN PARA LA TÓRTOLA EUROPEA</w:t>
      </w:r>
    </w:p>
    <w:p w14:paraId="70295773" w14:textId="77777777" w:rsidR="00593736" w:rsidRPr="005577C0" w:rsidRDefault="00593736" w:rsidP="00593736">
      <w:pPr>
        <w:rPr>
          <w:sz w:val="8"/>
          <w:szCs w:val="8"/>
          <w:highlight w:val="yellow"/>
          <w:lang w:val="es-ES_tradnl"/>
        </w:rPr>
      </w:pPr>
    </w:p>
    <w:p w14:paraId="7D0CCEBC" w14:textId="2D6DBC15" w:rsidR="00B64904" w:rsidRPr="005577C0" w:rsidRDefault="00B64904" w:rsidP="00B64904">
      <w:pPr>
        <w:jc w:val="center"/>
        <w:rPr>
          <w:rFonts w:cs="Arial"/>
          <w:i/>
          <w:sz w:val="22"/>
          <w:szCs w:val="22"/>
          <w:lang w:val="es-ES_tradnl"/>
        </w:rPr>
      </w:pPr>
      <w:r w:rsidRPr="005577C0">
        <w:rPr>
          <w:rFonts w:cs="Arial"/>
          <w:i/>
          <w:sz w:val="22"/>
          <w:szCs w:val="22"/>
          <w:lang w:val="es-ES_tradnl"/>
        </w:rPr>
        <w:t>(</w:t>
      </w:r>
      <w:r w:rsidR="00F11793" w:rsidRPr="005577C0">
        <w:rPr>
          <w:rFonts w:cs="Arial"/>
          <w:i/>
          <w:sz w:val="22"/>
          <w:szCs w:val="22"/>
          <w:lang w:val="es-ES_tradnl"/>
        </w:rPr>
        <w:t>P</w:t>
      </w:r>
      <w:r w:rsidR="0022739D" w:rsidRPr="005577C0">
        <w:rPr>
          <w:rFonts w:cs="Arial"/>
          <w:i/>
          <w:sz w:val="22"/>
          <w:szCs w:val="22"/>
          <w:lang w:val="es-ES_tradnl"/>
        </w:rPr>
        <w:t>reparado por la Secretaría</w:t>
      </w:r>
      <w:r w:rsidRPr="005577C0">
        <w:rPr>
          <w:rFonts w:cs="Arial"/>
          <w:i/>
          <w:sz w:val="22"/>
          <w:szCs w:val="22"/>
          <w:lang w:val="es-ES_tradnl"/>
        </w:rPr>
        <w:t>)</w:t>
      </w:r>
      <w:r w:rsidR="00497E66" w:rsidRPr="005577C0">
        <w:rPr>
          <w:rFonts w:cs="Arial"/>
          <w:i/>
          <w:sz w:val="22"/>
          <w:szCs w:val="22"/>
          <w:lang w:val="es-ES_tradnl"/>
        </w:rPr>
        <w:t xml:space="preserve"> </w:t>
      </w:r>
    </w:p>
    <w:p w14:paraId="6F63FB27" w14:textId="77777777" w:rsidR="00870FB9" w:rsidRPr="005577C0" w:rsidRDefault="00870FB9" w:rsidP="00870FB9">
      <w:pPr>
        <w:rPr>
          <w:sz w:val="8"/>
          <w:szCs w:val="8"/>
          <w:lang w:val="es-ES_tradnl"/>
        </w:rPr>
      </w:pPr>
    </w:p>
    <w:p w14:paraId="69A706EB" w14:textId="77777777" w:rsidR="00870FB9" w:rsidRPr="005577C0" w:rsidRDefault="00870FB9" w:rsidP="00870FB9">
      <w:pPr>
        <w:jc w:val="center"/>
        <w:rPr>
          <w:rFonts w:cs="Arial"/>
          <w:i/>
          <w:sz w:val="22"/>
          <w:szCs w:val="22"/>
          <w:lang w:val="es-ES_tradnl"/>
        </w:rPr>
      </w:pPr>
    </w:p>
    <w:p w14:paraId="47C15A09" w14:textId="77777777" w:rsidR="00870FB9" w:rsidRPr="005577C0" w:rsidRDefault="00870FB9" w:rsidP="00B64904">
      <w:pPr>
        <w:jc w:val="center"/>
        <w:rPr>
          <w:rFonts w:cs="Arial"/>
          <w:i/>
          <w:sz w:val="22"/>
          <w:szCs w:val="22"/>
          <w:lang w:val="es-ES_tradnl"/>
        </w:rPr>
      </w:pPr>
    </w:p>
    <w:p w14:paraId="5FA7DDFD" w14:textId="77777777" w:rsidR="001764E6" w:rsidRPr="005577C0" w:rsidRDefault="001764E6" w:rsidP="001764E6">
      <w:pPr>
        <w:jc w:val="both"/>
        <w:rPr>
          <w:rFonts w:cs="Arial"/>
          <w:sz w:val="21"/>
          <w:szCs w:val="21"/>
          <w:lang w:val="es-ES_tradnl"/>
        </w:rPr>
      </w:pPr>
    </w:p>
    <w:p w14:paraId="45FC2121" w14:textId="77777777" w:rsidR="001764E6" w:rsidRPr="005577C0" w:rsidRDefault="001764E6" w:rsidP="00D605A4">
      <w:pPr>
        <w:tabs>
          <w:tab w:val="left" w:pos="8295"/>
        </w:tabs>
        <w:jc w:val="both"/>
        <w:rPr>
          <w:rFonts w:cs="Arial"/>
          <w:sz w:val="21"/>
          <w:szCs w:val="21"/>
          <w:lang w:val="es-ES_tradnl"/>
        </w:rPr>
      </w:pPr>
    </w:p>
    <w:p w14:paraId="748FD03E" w14:textId="6F8D9306" w:rsidR="00D605A4" w:rsidRPr="005577C0" w:rsidRDefault="00D605A4" w:rsidP="00D605A4">
      <w:pPr>
        <w:rPr>
          <w:rFonts w:cs="Arial"/>
          <w:sz w:val="21"/>
          <w:szCs w:val="21"/>
          <w:lang w:val="es-ES_tradnl"/>
        </w:rPr>
      </w:pPr>
    </w:p>
    <w:p w14:paraId="4C34D1E2" w14:textId="254E4883" w:rsidR="00D605A4" w:rsidRPr="005577C0" w:rsidRDefault="003831C5" w:rsidP="00D605A4">
      <w:pPr>
        <w:rPr>
          <w:rFonts w:cs="Arial"/>
          <w:sz w:val="21"/>
          <w:szCs w:val="21"/>
          <w:lang w:val="es-ES_tradnl"/>
        </w:rPr>
      </w:pPr>
      <w:r w:rsidRPr="005577C0">
        <w:rPr>
          <w:rFonts w:cs="Arial"/>
          <w:noProof/>
          <w:sz w:val="21"/>
          <w:szCs w:val="21"/>
        </w:rPr>
        <mc:AlternateContent>
          <mc:Choice Requires="wps">
            <w:drawing>
              <wp:anchor distT="0" distB="0" distL="114300" distR="114300" simplePos="0" relativeHeight="251657728" behindDoc="0" locked="0" layoutInCell="1" allowOverlap="1" wp14:anchorId="1645BB8E" wp14:editId="02B244DA">
                <wp:simplePos x="0" y="0"/>
                <wp:positionH relativeFrom="column">
                  <wp:posOffset>780415</wp:posOffset>
                </wp:positionH>
                <wp:positionV relativeFrom="paragraph">
                  <wp:posOffset>1270</wp:posOffset>
                </wp:positionV>
                <wp:extent cx="4305300" cy="3088005"/>
                <wp:effectExtent l="0" t="0" r="38100" b="3619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3088005"/>
                        </a:xfrm>
                        <a:prstGeom prst="rect">
                          <a:avLst/>
                        </a:prstGeom>
                        <a:solidFill>
                          <a:srgbClr val="FFFFFF"/>
                        </a:solidFill>
                        <a:ln w="3175">
                          <a:solidFill>
                            <a:srgbClr val="000000"/>
                          </a:solidFill>
                          <a:miter lim="800000"/>
                          <a:headEnd/>
                          <a:tailEnd/>
                        </a:ln>
                      </wps:spPr>
                      <wps:txbx>
                        <w:txbxContent>
                          <w:p w14:paraId="23D3388D" w14:textId="1F8EF246" w:rsidR="00B44B0D" w:rsidRPr="00D36BC9" w:rsidRDefault="00B44B0D" w:rsidP="00E475D4">
                            <w:pPr>
                              <w:rPr>
                                <w:rFonts w:cs="Arial"/>
                                <w:sz w:val="22"/>
                                <w:szCs w:val="22"/>
                                <w:lang w:val="es-ES_tradnl"/>
                              </w:rPr>
                            </w:pPr>
                            <w:r w:rsidRPr="00D36BC9">
                              <w:rPr>
                                <w:rFonts w:cs="Arial"/>
                                <w:sz w:val="22"/>
                                <w:szCs w:val="22"/>
                                <w:lang w:val="es-ES_tradnl"/>
                              </w:rPr>
                              <w:t>Resumen:</w:t>
                            </w:r>
                          </w:p>
                          <w:p w14:paraId="792D4665" w14:textId="77777777" w:rsidR="00B44B0D" w:rsidRPr="00D36BC9" w:rsidRDefault="00B44B0D" w:rsidP="00E8776E">
                            <w:pPr>
                              <w:rPr>
                                <w:rFonts w:cs="Arial"/>
                                <w:i/>
                                <w:sz w:val="22"/>
                                <w:szCs w:val="22"/>
                                <w:lang w:val="es-ES_tradnl"/>
                              </w:rPr>
                            </w:pPr>
                          </w:p>
                          <w:p w14:paraId="0D94428E" w14:textId="77E4AD44" w:rsidR="00B44B0D" w:rsidRPr="00D36BC9" w:rsidRDefault="00B44B0D" w:rsidP="008C00B8">
                            <w:pPr>
                              <w:jc w:val="both"/>
                              <w:rPr>
                                <w:rFonts w:cs="Arial"/>
                                <w:sz w:val="22"/>
                                <w:szCs w:val="22"/>
                                <w:lang w:val="es-ES_tradnl"/>
                              </w:rPr>
                            </w:pPr>
                            <w:r w:rsidRPr="00D36BC9">
                              <w:rPr>
                                <w:rFonts w:cs="Arial"/>
                                <w:sz w:val="22"/>
                                <w:szCs w:val="22"/>
                                <w:lang w:val="es-ES_tradnl"/>
                              </w:rPr>
                              <w:t>La Resolución 11.17 relativa al Plan de Acción para las Aves Terrestres Migratorias en la región de África y Eurasia solicitaba el desarrollo de un Plan de Acción Específico para la Tórtola Europea. Esta especie está considerada como Vulnerable por la UICN.</w:t>
                            </w:r>
                          </w:p>
                          <w:p w14:paraId="6D31ACFD" w14:textId="77777777" w:rsidR="00B44B0D" w:rsidRPr="00D36BC9" w:rsidRDefault="00B44B0D" w:rsidP="008C00B8">
                            <w:pPr>
                              <w:jc w:val="both"/>
                              <w:rPr>
                                <w:rFonts w:cs="Arial"/>
                                <w:sz w:val="22"/>
                                <w:szCs w:val="22"/>
                                <w:highlight w:val="yellow"/>
                                <w:lang w:val="es-ES_tradnl"/>
                              </w:rPr>
                            </w:pPr>
                          </w:p>
                          <w:p w14:paraId="443E4D86" w14:textId="3B3B7A22" w:rsidR="00B44B0D" w:rsidRPr="00D36BC9" w:rsidRDefault="00B44B0D" w:rsidP="008C00B8">
                            <w:pPr>
                              <w:jc w:val="both"/>
                              <w:rPr>
                                <w:rFonts w:cs="Arial"/>
                                <w:sz w:val="22"/>
                                <w:szCs w:val="22"/>
                                <w:lang w:val="es-ES_tradnl"/>
                              </w:rPr>
                            </w:pPr>
                            <w:r w:rsidRPr="00D36BC9">
                              <w:rPr>
                                <w:rFonts w:cs="Arial"/>
                                <w:sz w:val="22"/>
                                <w:szCs w:val="22"/>
                                <w:lang w:val="es-ES_tradnl"/>
                              </w:rPr>
                              <w:t>El borrador del Plan de Acción fue preparado a través de EuroSAP, un proyecto preliminar de LIFE, cofinanciado por la Dirección General de Medio Ambiente de la Comisión Europea, el Acuerdo sobre las aves acuáticas migratorias de África y Eurasia (AEWA) y cada uno de los socios del proyecto, y coordinado por BirdLife International.</w:t>
                            </w:r>
                          </w:p>
                          <w:p w14:paraId="42D8CB4A" w14:textId="77777777" w:rsidR="00B44B0D" w:rsidRPr="00D36BC9" w:rsidRDefault="00B44B0D" w:rsidP="008C00B8">
                            <w:pPr>
                              <w:jc w:val="both"/>
                              <w:rPr>
                                <w:rFonts w:cs="Arial"/>
                                <w:sz w:val="22"/>
                                <w:szCs w:val="22"/>
                                <w:lang w:val="es-ES_tradnl"/>
                              </w:rPr>
                            </w:pPr>
                          </w:p>
                          <w:p w14:paraId="3A211C40" w14:textId="060ADCD2" w:rsidR="00B44B0D" w:rsidRPr="00D36BC9" w:rsidRDefault="00B44B0D" w:rsidP="008C00B8">
                            <w:pPr>
                              <w:jc w:val="both"/>
                              <w:rPr>
                                <w:rFonts w:cs="Arial"/>
                                <w:sz w:val="22"/>
                                <w:szCs w:val="22"/>
                                <w:lang w:val="es-ES_tradnl"/>
                              </w:rPr>
                            </w:pPr>
                            <w:r w:rsidRPr="00D36BC9">
                              <w:rPr>
                                <w:rFonts w:cs="Arial"/>
                                <w:sz w:val="22"/>
                                <w:szCs w:val="22"/>
                                <w:lang w:val="es-ES_tradnl"/>
                              </w:rPr>
                              <w:t>La adopción de este plan de acción contribuirá a la implementación de las metas 8, 9 y 10 del Plan Estratégico para las Especies Migratorias 2015-2023.</w:t>
                            </w:r>
                          </w:p>
                          <w:p w14:paraId="11FBBFD6" w14:textId="69C62912" w:rsidR="00B44B0D" w:rsidRPr="00B44B0D" w:rsidRDefault="00B44B0D" w:rsidP="008C00B8">
                            <w:pPr>
                              <w:jc w:val="both"/>
                              <w:rPr>
                                <w:rFonts w:cs="Arial"/>
                                <w:sz w:val="22"/>
                                <w:szCs w:val="22"/>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45BB8E" id="_x0000_t202" coordsize="21600,21600" o:spt="202" path="m,l,21600r21600,l21600,xe">
                <v:stroke joinstyle="miter"/>
                <v:path gradientshapeok="t" o:connecttype="rect"/>
              </v:shapetype>
              <v:shape id="Text Box 4" o:spid="_x0000_s1026" type="#_x0000_t202" style="position:absolute;margin-left:61.45pt;margin-top:.1pt;width:339pt;height:243.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IjbKQIAAFEEAAAOAAAAZHJzL2Uyb0RvYy54bWysVNtu2zAMfR+wfxD0vti5rZkRp+jSZRjQ&#10;XYB2HyDLsi1MEjVJiZ19fSk5TbPbyzA/CKRIHZKHpNfXg1bkIJyXYEo6neSUCMOhlqYt6deH3asV&#10;JT4wUzMFRpT0KDy93rx8se5tIWbQgaqFIwhifNHbknYh2CLLPO+EZn4CVhg0NuA0C6i6Nqsd6xFd&#10;q2yW56+zHlxtHXDhPd7ejka6SfhNI3j43DReBKJKirmFdLp0VvHMNmtWtI7ZTvJTGuwfstBMGgx6&#10;hrplgZG9k79BackdeGjChIPOoGkkF6kGrGaa/1LNfcesSLUgOd6eafL/D5Z/OnxxRNYlnVFimMYW&#10;PYghkLcwkEVkp7e+QKd7i25hwGvscqrU2zvg3zwxsO2YacWNc9B3gtWY3TS+zC6ejjg+glT9R6gx&#10;DNsHSEBD43SkDskgiI5dOp47E1PheLmY58t5jiaOtnm+WuX5MsVgxdNz63x4L0CTKJTUYesTPDvc&#10;+RDTYcWTS4zmQcl6J5VKimurrXLkwHBMduk7of/kpgzpMfz0ajky8FeIPH1/gtAy4LwrqUuKNeAX&#10;nVgReXtn6iQHJtUoY8rKnIiM3I0shqEa0DGyW0F9REodjHONe4hCB+4HJT3OdEn99z1zghL1wWBb&#10;3kwXi7gESVksr2aouEtLdWlhhiNUSQMlo7gN4+LsrZNth5HGQTBwg61sZCL5OatT3ji3ifvTjsXF&#10;uNST1/OfYPMIAAD//wMAUEsDBBQABgAIAAAAIQCLsH3V2gAAAAgBAAAPAAAAZHJzL2Rvd25yZXYu&#10;eG1sTI9BTsMwEEX3SNzBGiQ2iNpYUEIap6qQYAdSWw4wTdwkamYcxW4Tbs+wguXT//rzpljP1KuL&#10;H2MX2MHDwoDyXIW648bB1/7tPgMVE3KNfWDv4NtHWJfXVwXmdZh46y+71CgZ4ZijgzalIdc6Vq0n&#10;jIsweJbsGEbCJDg2uh5xknHqtTVmqQk7lgstDv619dVpdyYHH8g4E203dyHRJ0329P68N87d3syb&#10;Fajk5/RXhl99UYdSnA7hzHVUvbC1L1J1YEFJnBkjeHDwmC2fQJeF/v9A+QMAAP//AwBQSwECLQAU&#10;AAYACAAAACEAtoM4kv4AAADhAQAAEwAAAAAAAAAAAAAAAAAAAAAAW0NvbnRlbnRfVHlwZXNdLnht&#10;bFBLAQItABQABgAIAAAAIQA4/SH/1gAAAJQBAAALAAAAAAAAAAAAAAAAAC8BAABfcmVscy8ucmVs&#10;c1BLAQItABQABgAIAAAAIQAv2IjbKQIAAFEEAAAOAAAAAAAAAAAAAAAAAC4CAABkcnMvZTJvRG9j&#10;LnhtbFBLAQItABQABgAIAAAAIQCLsH3V2gAAAAgBAAAPAAAAAAAAAAAAAAAAAIMEAABkcnMvZG93&#10;bnJldi54bWxQSwUGAAAAAAQABADzAAAAigUAAAAA&#10;" strokeweight=".25pt">
                <v:textbox>
                  <w:txbxContent>
                    <w:p w14:paraId="23D3388D" w14:textId="1F8EF246" w:rsidR="00B44B0D" w:rsidRPr="00D36BC9" w:rsidRDefault="00B44B0D" w:rsidP="00E475D4">
                      <w:pPr>
                        <w:rPr>
                          <w:rFonts w:cs="Arial"/>
                          <w:sz w:val="22"/>
                          <w:szCs w:val="22"/>
                          <w:lang w:val="es-ES_tradnl"/>
                        </w:rPr>
                      </w:pPr>
                      <w:r w:rsidRPr="00D36BC9">
                        <w:rPr>
                          <w:rFonts w:cs="Arial"/>
                          <w:sz w:val="22"/>
                          <w:szCs w:val="22"/>
                          <w:lang w:val="es-ES_tradnl"/>
                        </w:rPr>
                        <w:t>Resumen:</w:t>
                      </w:r>
                    </w:p>
                    <w:p w14:paraId="792D4665" w14:textId="77777777" w:rsidR="00B44B0D" w:rsidRPr="00D36BC9" w:rsidRDefault="00B44B0D" w:rsidP="00E8776E">
                      <w:pPr>
                        <w:rPr>
                          <w:rFonts w:cs="Arial"/>
                          <w:i/>
                          <w:sz w:val="22"/>
                          <w:szCs w:val="22"/>
                          <w:lang w:val="es-ES_tradnl"/>
                        </w:rPr>
                      </w:pPr>
                    </w:p>
                    <w:p w14:paraId="0D94428E" w14:textId="77E4AD44" w:rsidR="00B44B0D" w:rsidRPr="00D36BC9" w:rsidRDefault="00B44B0D" w:rsidP="008C00B8">
                      <w:pPr>
                        <w:jc w:val="both"/>
                        <w:rPr>
                          <w:rFonts w:cs="Arial"/>
                          <w:sz w:val="22"/>
                          <w:szCs w:val="22"/>
                          <w:lang w:val="es-ES_tradnl"/>
                        </w:rPr>
                      </w:pPr>
                      <w:r w:rsidRPr="00D36BC9">
                        <w:rPr>
                          <w:rFonts w:cs="Arial"/>
                          <w:sz w:val="22"/>
                          <w:szCs w:val="22"/>
                          <w:lang w:val="es-ES_tradnl"/>
                        </w:rPr>
                        <w:t>La Resolución 11.17 relativa al Plan de Acción para las Aves Terrestres Migratorias en la región de África y Eurasia solicitaba el desarrollo de un Plan de Acción Específico para la Tórtola Europea. Esta especie está considerada como Vulnerable por la UICN.</w:t>
                      </w:r>
                    </w:p>
                    <w:p w14:paraId="6D31ACFD" w14:textId="77777777" w:rsidR="00B44B0D" w:rsidRPr="00D36BC9" w:rsidRDefault="00B44B0D" w:rsidP="008C00B8">
                      <w:pPr>
                        <w:jc w:val="both"/>
                        <w:rPr>
                          <w:rFonts w:cs="Arial"/>
                          <w:sz w:val="22"/>
                          <w:szCs w:val="22"/>
                          <w:highlight w:val="yellow"/>
                          <w:lang w:val="es-ES_tradnl"/>
                        </w:rPr>
                      </w:pPr>
                    </w:p>
                    <w:p w14:paraId="443E4D86" w14:textId="3B3B7A22" w:rsidR="00B44B0D" w:rsidRPr="00D36BC9" w:rsidRDefault="00B44B0D" w:rsidP="008C00B8">
                      <w:pPr>
                        <w:jc w:val="both"/>
                        <w:rPr>
                          <w:rFonts w:cs="Arial"/>
                          <w:sz w:val="22"/>
                          <w:szCs w:val="22"/>
                          <w:lang w:val="es-ES_tradnl"/>
                        </w:rPr>
                      </w:pPr>
                      <w:r w:rsidRPr="00D36BC9">
                        <w:rPr>
                          <w:rFonts w:cs="Arial"/>
                          <w:sz w:val="22"/>
                          <w:szCs w:val="22"/>
                          <w:lang w:val="es-ES_tradnl"/>
                        </w:rPr>
                        <w:t>El borrador del Plan de Acción fue preparado a través de EuroSAP, un proyecto preliminar de LIFE, cofinanciado por la Dirección General de Medio Ambiente de la Comisión Europea, el Acuerdo sobre las aves acuáticas migratorias de África y Eurasia (AEWA) y cada uno de los socios del proyecto, y coordinado por BirdLife International.</w:t>
                      </w:r>
                    </w:p>
                    <w:p w14:paraId="42D8CB4A" w14:textId="77777777" w:rsidR="00B44B0D" w:rsidRPr="00D36BC9" w:rsidRDefault="00B44B0D" w:rsidP="008C00B8">
                      <w:pPr>
                        <w:jc w:val="both"/>
                        <w:rPr>
                          <w:rFonts w:cs="Arial"/>
                          <w:sz w:val="22"/>
                          <w:szCs w:val="22"/>
                          <w:lang w:val="es-ES_tradnl"/>
                        </w:rPr>
                      </w:pPr>
                    </w:p>
                    <w:p w14:paraId="3A211C40" w14:textId="060ADCD2" w:rsidR="00B44B0D" w:rsidRPr="00D36BC9" w:rsidRDefault="00B44B0D" w:rsidP="008C00B8">
                      <w:pPr>
                        <w:jc w:val="both"/>
                        <w:rPr>
                          <w:rFonts w:cs="Arial"/>
                          <w:sz w:val="22"/>
                          <w:szCs w:val="22"/>
                          <w:lang w:val="es-ES_tradnl"/>
                        </w:rPr>
                      </w:pPr>
                      <w:r w:rsidRPr="00D36BC9">
                        <w:rPr>
                          <w:rFonts w:cs="Arial"/>
                          <w:sz w:val="22"/>
                          <w:szCs w:val="22"/>
                          <w:lang w:val="es-ES_tradnl"/>
                        </w:rPr>
                        <w:t>La adopción de este plan de acción contribuirá a la implementación de las metas 8, 9 y 10 del Plan Estratégico para las Especies Migratorias 2015-2023.</w:t>
                      </w:r>
                    </w:p>
                    <w:p w14:paraId="11FBBFD6" w14:textId="69C62912" w:rsidR="00B44B0D" w:rsidRPr="00B44B0D" w:rsidRDefault="00B44B0D" w:rsidP="008C00B8">
                      <w:pPr>
                        <w:jc w:val="both"/>
                        <w:rPr>
                          <w:rFonts w:cs="Arial"/>
                          <w:sz w:val="22"/>
                          <w:szCs w:val="22"/>
                          <w:lang w:val="es-ES"/>
                        </w:rPr>
                      </w:pPr>
                    </w:p>
                  </w:txbxContent>
                </v:textbox>
              </v:shape>
            </w:pict>
          </mc:Fallback>
        </mc:AlternateContent>
      </w:r>
    </w:p>
    <w:p w14:paraId="2164B294" w14:textId="77777777" w:rsidR="00D605A4" w:rsidRPr="005577C0" w:rsidRDefault="00D605A4" w:rsidP="00D605A4">
      <w:pPr>
        <w:rPr>
          <w:rFonts w:cs="Arial"/>
          <w:sz w:val="21"/>
          <w:szCs w:val="21"/>
          <w:lang w:val="es-ES_tradnl"/>
        </w:rPr>
      </w:pPr>
    </w:p>
    <w:p w14:paraId="2F23ABB0" w14:textId="77777777" w:rsidR="00D605A4" w:rsidRPr="005577C0" w:rsidRDefault="00D605A4" w:rsidP="00D605A4">
      <w:pPr>
        <w:rPr>
          <w:rFonts w:cs="Arial"/>
          <w:sz w:val="21"/>
          <w:szCs w:val="21"/>
          <w:lang w:val="es-ES_tradnl"/>
        </w:rPr>
      </w:pPr>
    </w:p>
    <w:p w14:paraId="067E4333" w14:textId="77777777" w:rsidR="00D605A4" w:rsidRPr="005577C0" w:rsidRDefault="00D605A4" w:rsidP="00D605A4">
      <w:pPr>
        <w:rPr>
          <w:rFonts w:cs="Arial"/>
          <w:sz w:val="21"/>
          <w:szCs w:val="21"/>
          <w:lang w:val="es-ES_tradnl"/>
        </w:rPr>
      </w:pPr>
    </w:p>
    <w:p w14:paraId="34E4C136" w14:textId="77777777" w:rsidR="00D605A4" w:rsidRPr="005577C0" w:rsidRDefault="00D605A4" w:rsidP="00D605A4">
      <w:pPr>
        <w:rPr>
          <w:rFonts w:cs="Arial"/>
          <w:sz w:val="21"/>
          <w:szCs w:val="21"/>
          <w:lang w:val="es-ES_tradnl"/>
        </w:rPr>
      </w:pPr>
    </w:p>
    <w:p w14:paraId="46D50B9C" w14:textId="77777777" w:rsidR="00D605A4" w:rsidRPr="005577C0" w:rsidRDefault="00D605A4" w:rsidP="00D605A4">
      <w:pPr>
        <w:rPr>
          <w:rFonts w:cs="Arial"/>
          <w:sz w:val="21"/>
          <w:szCs w:val="21"/>
          <w:lang w:val="es-ES_tradnl"/>
        </w:rPr>
      </w:pPr>
    </w:p>
    <w:p w14:paraId="762B3516" w14:textId="77777777" w:rsidR="00D605A4" w:rsidRPr="005577C0" w:rsidRDefault="00D605A4" w:rsidP="00D605A4">
      <w:pPr>
        <w:rPr>
          <w:rFonts w:cs="Arial"/>
          <w:sz w:val="21"/>
          <w:szCs w:val="21"/>
          <w:lang w:val="es-ES_tradnl"/>
        </w:rPr>
      </w:pPr>
    </w:p>
    <w:p w14:paraId="72A08FE4" w14:textId="77777777" w:rsidR="00D605A4" w:rsidRPr="005577C0" w:rsidRDefault="00D605A4" w:rsidP="00D605A4">
      <w:pPr>
        <w:rPr>
          <w:rFonts w:cs="Arial"/>
          <w:sz w:val="21"/>
          <w:szCs w:val="21"/>
          <w:lang w:val="es-ES_tradnl"/>
        </w:rPr>
      </w:pPr>
    </w:p>
    <w:p w14:paraId="14BD0442" w14:textId="77777777" w:rsidR="00D605A4" w:rsidRPr="005577C0" w:rsidRDefault="00D605A4" w:rsidP="00D605A4">
      <w:pPr>
        <w:rPr>
          <w:rFonts w:cs="Arial"/>
          <w:sz w:val="21"/>
          <w:szCs w:val="21"/>
          <w:lang w:val="es-ES_tradnl"/>
        </w:rPr>
      </w:pPr>
    </w:p>
    <w:p w14:paraId="32591724" w14:textId="77777777" w:rsidR="00D605A4" w:rsidRPr="005577C0" w:rsidRDefault="00D605A4" w:rsidP="00D605A4">
      <w:pPr>
        <w:rPr>
          <w:rFonts w:cs="Arial"/>
          <w:sz w:val="21"/>
          <w:szCs w:val="21"/>
          <w:lang w:val="es-ES_tradnl"/>
        </w:rPr>
      </w:pPr>
    </w:p>
    <w:p w14:paraId="1ED99EA4" w14:textId="77777777" w:rsidR="00D605A4" w:rsidRPr="005577C0" w:rsidRDefault="00D605A4" w:rsidP="00D605A4">
      <w:pPr>
        <w:rPr>
          <w:rFonts w:cs="Arial"/>
          <w:sz w:val="21"/>
          <w:szCs w:val="21"/>
          <w:lang w:val="es-ES_tradnl"/>
        </w:rPr>
      </w:pPr>
    </w:p>
    <w:p w14:paraId="1DA7B5E6" w14:textId="77777777" w:rsidR="00D605A4" w:rsidRPr="005577C0" w:rsidRDefault="00D605A4" w:rsidP="00D605A4">
      <w:pPr>
        <w:rPr>
          <w:rFonts w:cs="Arial"/>
          <w:sz w:val="21"/>
          <w:szCs w:val="21"/>
          <w:lang w:val="es-ES_tradnl"/>
        </w:rPr>
      </w:pPr>
    </w:p>
    <w:p w14:paraId="45F9F47F" w14:textId="77777777" w:rsidR="00D605A4" w:rsidRPr="005577C0" w:rsidRDefault="00D605A4" w:rsidP="00D605A4">
      <w:pPr>
        <w:rPr>
          <w:rFonts w:cs="Arial"/>
          <w:sz w:val="21"/>
          <w:szCs w:val="21"/>
          <w:lang w:val="es-ES_tradnl"/>
        </w:rPr>
      </w:pPr>
    </w:p>
    <w:p w14:paraId="212591F7" w14:textId="77777777" w:rsidR="00D605A4" w:rsidRPr="005577C0" w:rsidRDefault="00D605A4" w:rsidP="00D605A4">
      <w:pPr>
        <w:rPr>
          <w:rFonts w:cs="Arial"/>
          <w:sz w:val="21"/>
          <w:szCs w:val="21"/>
          <w:lang w:val="es-ES_tradnl"/>
        </w:rPr>
      </w:pPr>
    </w:p>
    <w:p w14:paraId="395D84CD" w14:textId="77777777" w:rsidR="00D605A4" w:rsidRPr="005577C0" w:rsidRDefault="00D605A4" w:rsidP="00D605A4">
      <w:pPr>
        <w:rPr>
          <w:rFonts w:cs="Arial"/>
          <w:sz w:val="21"/>
          <w:szCs w:val="21"/>
          <w:lang w:val="es-ES_tradnl"/>
        </w:rPr>
      </w:pPr>
    </w:p>
    <w:p w14:paraId="53BC7EAB" w14:textId="77777777" w:rsidR="00D605A4" w:rsidRPr="005577C0" w:rsidRDefault="00D605A4" w:rsidP="00D605A4">
      <w:pPr>
        <w:rPr>
          <w:rFonts w:cs="Arial"/>
          <w:sz w:val="21"/>
          <w:szCs w:val="21"/>
          <w:lang w:val="es-ES_tradnl"/>
        </w:rPr>
      </w:pPr>
    </w:p>
    <w:p w14:paraId="015449EE" w14:textId="77777777" w:rsidR="00D605A4" w:rsidRPr="005577C0" w:rsidRDefault="00D605A4" w:rsidP="00D605A4">
      <w:pPr>
        <w:rPr>
          <w:rFonts w:cs="Arial"/>
          <w:sz w:val="21"/>
          <w:szCs w:val="21"/>
          <w:lang w:val="es-ES_tradnl"/>
        </w:rPr>
      </w:pPr>
    </w:p>
    <w:p w14:paraId="19A4E0D7" w14:textId="77777777" w:rsidR="00D605A4" w:rsidRPr="005577C0" w:rsidRDefault="00D605A4" w:rsidP="00D605A4">
      <w:pPr>
        <w:rPr>
          <w:rFonts w:cs="Arial"/>
          <w:sz w:val="21"/>
          <w:szCs w:val="21"/>
          <w:lang w:val="es-ES_tradnl"/>
        </w:rPr>
      </w:pPr>
    </w:p>
    <w:p w14:paraId="6552667B" w14:textId="77777777" w:rsidR="00D605A4" w:rsidRPr="005577C0" w:rsidRDefault="00D605A4" w:rsidP="00D605A4">
      <w:pPr>
        <w:rPr>
          <w:rFonts w:cs="Arial"/>
          <w:sz w:val="22"/>
          <w:szCs w:val="22"/>
          <w:lang w:val="es-ES_tradnl"/>
        </w:rPr>
      </w:pPr>
    </w:p>
    <w:p w14:paraId="253261E0" w14:textId="77777777" w:rsidR="00031A88" w:rsidRPr="005577C0" w:rsidRDefault="00031A88" w:rsidP="00D605A4">
      <w:pPr>
        <w:rPr>
          <w:rFonts w:cs="Arial"/>
          <w:sz w:val="22"/>
          <w:szCs w:val="22"/>
          <w:lang w:val="es-ES_tradnl"/>
        </w:rPr>
      </w:pPr>
    </w:p>
    <w:p w14:paraId="18E1A0CD" w14:textId="77777777" w:rsidR="00031A88" w:rsidRPr="005577C0" w:rsidRDefault="00031A88" w:rsidP="00D605A4">
      <w:pPr>
        <w:rPr>
          <w:rFonts w:cs="Arial"/>
          <w:sz w:val="22"/>
          <w:szCs w:val="22"/>
          <w:lang w:val="es-ES_tradnl"/>
        </w:rPr>
      </w:pPr>
    </w:p>
    <w:p w14:paraId="22E28475" w14:textId="77777777" w:rsidR="00031A88" w:rsidRPr="005577C0" w:rsidRDefault="00031A88" w:rsidP="00D605A4">
      <w:pPr>
        <w:rPr>
          <w:rFonts w:cs="Arial"/>
          <w:sz w:val="22"/>
          <w:szCs w:val="22"/>
          <w:lang w:val="es-ES_tradnl"/>
        </w:rPr>
      </w:pPr>
    </w:p>
    <w:p w14:paraId="670047E1" w14:textId="77777777" w:rsidR="00031A88" w:rsidRPr="005577C0" w:rsidRDefault="00031A88" w:rsidP="00D605A4">
      <w:pPr>
        <w:rPr>
          <w:rFonts w:cs="Arial"/>
          <w:sz w:val="22"/>
          <w:szCs w:val="22"/>
          <w:lang w:val="es-ES_tradnl"/>
        </w:rPr>
      </w:pPr>
    </w:p>
    <w:p w14:paraId="10D2789B" w14:textId="77777777" w:rsidR="00031A88" w:rsidRPr="005577C0" w:rsidRDefault="00031A88" w:rsidP="00D605A4">
      <w:pPr>
        <w:rPr>
          <w:rFonts w:cs="Arial"/>
          <w:sz w:val="22"/>
          <w:szCs w:val="22"/>
          <w:lang w:val="es-ES_tradnl"/>
        </w:rPr>
      </w:pPr>
    </w:p>
    <w:p w14:paraId="75697B11" w14:textId="77777777" w:rsidR="00031A88" w:rsidRPr="005577C0" w:rsidRDefault="00031A88" w:rsidP="00D605A4">
      <w:pPr>
        <w:rPr>
          <w:rFonts w:cs="Arial"/>
          <w:sz w:val="22"/>
          <w:szCs w:val="22"/>
          <w:lang w:val="es-ES_tradnl"/>
        </w:rPr>
      </w:pPr>
    </w:p>
    <w:p w14:paraId="6AA3342F" w14:textId="77777777" w:rsidR="00031A88" w:rsidRPr="005577C0" w:rsidRDefault="00031A88" w:rsidP="00D605A4">
      <w:pPr>
        <w:rPr>
          <w:rFonts w:cs="Arial"/>
          <w:sz w:val="22"/>
          <w:szCs w:val="22"/>
          <w:lang w:val="es-ES_tradnl"/>
        </w:rPr>
      </w:pPr>
    </w:p>
    <w:p w14:paraId="1215D667" w14:textId="77777777" w:rsidR="00031A88" w:rsidRPr="005577C0" w:rsidRDefault="00031A88" w:rsidP="00D605A4">
      <w:pPr>
        <w:rPr>
          <w:rFonts w:cs="Arial"/>
          <w:sz w:val="22"/>
          <w:szCs w:val="22"/>
          <w:lang w:val="es-ES_tradnl"/>
        </w:rPr>
      </w:pPr>
    </w:p>
    <w:p w14:paraId="6ACEF366" w14:textId="77777777" w:rsidR="00031A88" w:rsidRPr="005577C0" w:rsidRDefault="00031A88" w:rsidP="00D605A4">
      <w:pPr>
        <w:rPr>
          <w:rFonts w:cs="Arial"/>
          <w:sz w:val="22"/>
          <w:szCs w:val="22"/>
          <w:lang w:val="es-ES_tradnl"/>
        </w:rPr>
      </w:pPr>
    </w:p>
    <w:p w14:paraId="205C82EC" w14:textId="77777777" w:rsidR="00031A88" w:rsidRPr="005577C0" w:rsidRDefault="00031A88" w:rsidP="00D605A4">
      <w:pPr>
        <w:rPr>
          <w:rFonts w:cs="Arial"/>
          <w:sz w:val="22"/>
          <w:szCs w:val="22"/>
          <w:lang w:val="es-ES_tradnl"/>
        </w:rPr>
      </w:pPr>
    </w:p>
    <w:p w14:paraId="18175CBF" w14:textId="77777777" w:rsidR="00031A88" w:rsidRPr="005577C0" w:rsidRDefault="00031A88" w:rsidP="00D605A4">
      <w:pPr>
        <w:rPr>
          <w:rFonts w:cs="Arial"/>
          <w:sz w:val="22"/>
          <w:szCs w:val="22"/>
          <w:lang w:val="es-ES_tradnl"/>
        </w:rPr>
      </w:pPr>
    </w:p>
    <w:p w14:paraId="534DCA07" w14:textId="77777777" w:rsidR="00D605A4" w:rsidRPr="005577C0" w:rsidRDefault="00D605A4" w:rsidP="00D605A4">
      <w:pPr>
        <w:rPr>
          <w:rFonts w:cs="Arial"/>
          <w:sz w:val="22"/>
          <w:szCs w:val="22"/>
          <w:lang w:val="es-ES_tradnl"/>
        </w:rPr>
      </w:pPr>
    </w:p>
    <w:p w14:paraId="6A4C42AF" w14:textId="77777777" w:rsidR="00D605A4" w:rsidRPr="005577C0" w:rsidRDefault="00D605A4" w:rsidP="00D605A4">
      <w:pPr>
        <w:tabs>
          <w:tab w:val="left" w:pos="1020"/>
        </w:tabs>
        <w:rPr>
          <w:rFonts w:cs="Arial"/>
          <w:sz w:val="22"/>
          <w:szCs w:val="22"/>
          <w:lang w:val="es-ES_tradnl"/>
        </w:rPr>
        <w:sectPr w:rsidR="00D605A4" w:rsidRPr="005577C0" w:rsidSect="0052082F">
          <w:headerReference w:type="even" r:id="rId9"/>
          <w:headerReference w:type="default" r:id="rId10"/>
          <w:footerReference w:type="even" r:id="rId11"/>
          <w:footerReference w:type="default" r:id="rId12"/>
          <w:headerReference w:type="first" r:id="rId13"/>
          <w:footerReference w:type="first" r:id="rId14"/>
          <w:endnotePr>
            <w:numFmt w:val="decimal"/>
          </w:endnotePr>
          <w:pgSz w:w="11905" w:h="16837" w:code="9"/>
          <w:pgMar w:top="1008" w:right="1411" w:bottom="1152" w:left="1411" w:header="432" w:footer="432" w:gutter="0"/>
          <w:cols w:space="720"/>
          <w:noEndnote/>
          <w:titlePg/>
          <w:docGrid w:linePitch="272"/>
        </w:sectPr>
      </w:pPr>
    </w:p>
    <w:p w14:paraId="3915C885" w14:textId="77777777" w:rsidR="00767B8F" w:rsidRPr="005577C0" w:rsidRDefault="00767B8F" w:rsidP="007910DD">
      <w:pPr>
        <w:pBdr>
          <w:top w:val="single" w:sz="6" w:space="0" w:color="FFFFFF"/>
          <w:left w:val="single" w:sz="6" w:space="0" w:color="FFFFFF"/>
          <w:bottom w:val="single" w:sz="6" w:space="0" w:color="FFFFFF"/>
          <w:right w:val="single" w:sz="6" w:space="0" w:color="FFFFFF"/>
        </w:pBdr>
        <w:jc w:val="center"/>
        <w:outlineLvl w:val="1"/>
        <w:rPr>
          <w:rFonts w:cs="Arial"/>
          <w:b/>
          <w:caps/>
          <w:sz w:val="22"/>
          <w:szCs w:val="22"/>
          <w:lang w:val="es-ES_tradnl"/>
        </w:rPr>
      </w:pPr>
    </w:p>
    <w:p w14:paraId="34568396" w14:textId="5C739E4D" w:rsidR="00F51E3D" w:rsidRPr="005577C0" w:rsidRDefault="00F51E3D" w:rsidP="007910DD">
      <w:pPr>
        <w:pBdr>
          <w:top w:val="single" w:sz="6" w:space="0" w:color="FFFFFF"/>
          <w:left w:val="single" w:sz="6" w:space="0" w:color="FFFFFF"/>
          <w:bottom w:val="single" w:sz="6" w:space="0" w:color="FFFFFF"/>
          <w:right w:val="single" w:sz="6" w:space="0" w:color="FFFFFF"/>
        </w:pBdr>
        <w:jc w:val="center"/>
        <w:outlineLvl w:val="1"/>
        <w:rPr>
          <w:rFonts w:cs="Arial"/>
          <w:b/>
          <w:caps/>
          <w:sz w:val="22"/>
          <w:szCs w:val="22"/>
          <w:lang w:val="es-ES_tradnl"/>
        </w:rPr>
      </w:pPr>
      <w:r w:rsidRPr="005577C0">
        <w:rPr>
          <w:rFonts w:cs="Arial"/>
          <w:b/>
          <w:caps/>
          <w:sz w:val="22"/>
          <w:szCs w:val="22"/>
          <w:lang w:val="es-ES_tradnl"/>
        </w:rPr>
        <w:t>PLAN DE ACCIÓN PARA LA TÓRTOLA EUROPEA</w:t>
      </w:r>
    </w:p>
    <w:p w14:paraId="4B604C21" w14:textId="77777777" w:rsidR="007910DD" w:rsidRPr="005577C0" w:rsidRDefault="007910DD" w:rsidP="007910DD">
      <w:pPr>
        <w:jc w:val="center"/>
        <w:rPr>
          <w:rFonts w:cs="Arial"/>
          <w:sz w:val="22"/>
          <w:szCs w:val="22"/>
          <w:highlight w:val="yellow"/>
          <w:lang w:val="es-ES_tradnl"/>
        </w:rPr>
      </w:pPr>
    </w:p>
    <w:p w14:paraId="0F3AE4AA" w14:textId="77777777" w:rsidR="00EE4815" w:rsidRPr="005577C0" w:rsidRDefault="00EE4815" w:rsidP="007910DD">
      <w:pPr>
        <w:jc w:val="both"/>
        <w:rPr>
          <w:rFonts w:cs="Arial"/>
          <w:sz w:val="22"/>
          <w:szCs w:val="22"/>
          <w:highlight w:val="yellow"/>
          <w:lang w:val="es-ES_tradnl"/>
        </w:rPr>
      </w:pPr>
    </w:p>
    <w:p w14:paraId="02EEEBD5" w14:textId="22DA01C1" w:rsidR="00D008A0" w:rsidRPr="005577C0" w:rsidRDefault="00D008A0" w:rsidP="00BE20B6">
      <w:pPr>
        <w:jc w:val="both"/>
        <w:rPr>
          <w:rFonts w:cs="Arial"/>
          <w:sz w:val="22"/>
          <w:szCs w:val="22"/>
          <w:u w:val="single"/>
          <w:lang w:val="es-ES_tradnl"/>
        </w:rPr>
      </w:pPr>
      <w:r w:rsidRPr="005577C0">
        <w:rPr>
          <w:rFonts w:cs="Arial"/>
          <w:sz w:val="22"/>
          <w:szCs w:val="22"/>
          <w:u w:val="single"/>
          <w:lang w:val="es-ES_tradnl"/>
        </w:rPr>
        <w:t>Antecedentes</w:t>
      </w:r>
    </w:p>
    <w:p w14:paraId="30D6AE14" w14:textId="77777777" w:rsidR="007910DD" w:rsidRPr="005577C0" w:rsidRDefault="007910DD" w:rsidP="00BE20B6">
      <w:pPr>
        <w:jc w:val="both"/>
        <w:rPr>
          <w:rFonts w:cs="Arial"/>
          <w:sz w:val="22"/>
          <w:szCs w:val="22"/>
          <w:highlight w:val="yellow"/>
          <w:lang w:val="es-ES_tradnl"/>
        </w:rPr>
      </w:pPr>
    </w:p>
    <w:p w14:paraId="11A699E4" w14:textId="09552CE5" w:rsidR="00DA1B78" w:rsidRPr="005577C0" w:rsidRDefault="00DA1B78" w:rsidP="00BE20B6">
      <w:pPr>
        <w:pStyle w:val="ListParagraph"/>
        <w:numPr>
          <w:ilvl w:val="0"/>
          <w:numId w:val="2"/>
        </w:numPr>
        <w:jc w:val="both"/>
        <w:rPr>
          <w:rFonts w:cs="Arial"/>
          <w:sz w:val="22"/>
          <w:szCs w:val="22"/>
          <w:lang w:val="es-ES_tradnl"/>
        </w:rPr>
      </w:pPr>
      <w:r w:rsidRPr="005577C0">
        <w:rPr>
          <w:rFonts w:cs="Arial"/>
          <w:sz w:val="22"/>
          <w:szCs w:val="22"/>
          <w:lang w:val="es-ES_tradnl"/>
        </w:rPr>
        <w:t>La Resolución 11.17 relativa al Plan de Acción para las Aves Terrestres Migratorias en la región de África y Eurasia</w:t>
      </w:r>
      <w:r w:rsidR="003918B8" w:rsidRPr="005577C0">
        <w:rPr>
          <w:rFonts w:cs="Arial"/>
          <w:sz w:val="22"/>
          <w:szCs w:val="22"/>
          <w:lang w:val="es-ES_tradnl"/>
        </w:rPr>
        <w:t xml:space="preserve"> solicita al Grupo de Trabajo sobre Aves Terrestres y al Consejo Científico, en colaboración con el Grupo de Estudio de</w:t>
      </w:r>
      <w:r w:rsidR="00D36BC9" w:rsidRPr="005577C0">
        <w:rPr>
          <w:rFonts w:cs="Arial"/>
          <w:sz w:val="22"/>
          <w:szCs w:val="22"/>
          <w:lang w:val="es-ES_tradnl"/>
        </w:rPr>
        <w:t xml:space="preserve"> las Aves Terrestres Migrantes </w:t>
      </w:r>
      <w:r w:rsidR="007F3E15">
        <w:rPr>
          <w:rFonts w:cs="Arial"/>
          <w:sz w:val="22"/>
          <w:szCs w:val="22"/>
          <w:lang w:val="es-ES_tradnl"/>
        </w:rPr>
        <w:t xml:space="preserve">y el Plan de Acción </w:t>
      </w:r>
      <w:r w:rsidR="003918B8" w:rsidRPr="005577C0">
        <w:rPr>
          <w:rFonts w:cs="Arial"/>
          <w:sz w:val="22"/>
          <w:szCs w:val="22"/>
          <w:lang w:val="es-ES_tradnl"/>
        </w:rPr>
        <w:t>A</w:t>
      </w:r>
      <w:r w:rsidR="007F3E15">
        <w:rPr>
          <w:rFonts w:cs="Arial"/>
          <w:sz w:val="22"/>
          <w:szCs w:val="22"/>
          <w:lang w:val="es-ES_tradnl"/>
        </w:rPr>
        <w:t>migos de las Aves Terrestres</w:t>
      </w:r>
      <w:r w:rsidR="00D36BC9" w:rsidRPr="005577C0">
        <w:rPr>
          <w:rFonts w:cs="Arial"/>
          <w:sz w:val="22"/>
          <w:szCs w:val="22"/>
          <w:lang w:val="es-ES_tradnl"/>
        </w:rPr>
        <w:t>, junto</w:t>
      </w:r>
      <w:r w:rsidR="003918B8" w:rsidRPr="005577C0">
        <w:rPr>
          <w:rFonts w:cs="Arial"/>
          <w:sz w:val="22"/>
          <w:szCs w:val="22"/>
          <w:lang w:val="es-ES_tradnl"/>
        </w:rPr>
        <w:t xml:space="preserve"> con el apoyo de la Secretarí</w:t>
      </w:r>
      <w:r w:rsidR="005E3516" w:rsidRPr="005577C0">
        <w:rPr>
          <w:rFonts w:cs="Arial"/>
          <w:sz w:val="22"/>
          <w:szCs w:val="22"/>
          <w:lang w:val="es-ES_tradnl"/>
        </w:rPr>
        <w:t xml:space="preserve">a, desarrollar </w:t>
      </w:r>
      <w:r w:rsidR="00362961" w:rsidRPr="005577C0">
        <w:rPr>
          <w:rFonts w:cs="Arial"/>
          <w:sz w:val="22"/>
          <w:szCs w:val="22"/>
          <w:lang w:val="es-ES_tradnl"/>
        </w:rPr>
        <w:t xml:space="preserve">como </w:t>
      </w:r>
      <w:r w:rsidR="00D36BC9" w:rsidRPr="005577C0">
        <w:rPr>
          <w:rFonts w:cs="Arial"/>
          <w:sz w:val="22"/>
          <w:szCs w:val="22"/>
          <w:lang w:val="es-ES_tradnl"/>
        </w:rPr>
        <w:t xml:space="preserve">nuevo </w:t>
      </w:r>
      <w:r w:rsidR="00362961" w:rsidRPr="005577C0">
        <w:rPr>
          <w:rFonts w:cs="Arial"/>
          <w:sz w:val="22"/>
          <w:szCs w:val="22"/>
          <w:lang w:val="es-ES_tradnl"/>
        </w:rPr>
        <w:t xml:space="preserve">tema </w:t>
      </w:r>
      <w:r w:rsidR="00D36BC9" w:rsidRPr="005577C0">
        <w:rPr>
          <w:rFonts w:cs="Arial"/>
          <w:sz w:val="22"/>
          <w:szCs w:val="22"/>
          <w:lang w:val="es-ES_tradnl"/>
        </w:rPr>
        <w:t>Planes de Acción</w:t>
      </w:r>
      <w:r w:rsidR="00362961" w:rsidRPr="005577C0">
        <w:rPr>
          <w:rFonts w:cs="Arial"/>
          <w:sz w:val="22"/>
          <w:szCs w:val="22"/>
          <w:lang w:val="es-ES_tradnl"/>
        </w:rPr>
        <w:t xml:space="preserve"> para un </w:t>
      </w:r>
      <w:r w:rsidR="005E3516" w:rsidRPr="005577C0">
        <w:rPr>
          <w:rFonts w:cs="Arial"/>
          <w:sz w:val="22"/>
          <w:szCs w:val="22"/>
          <w:lang w:val="es-ES_tradnl"/>
        </w:rPr>
        <w:t>primer</w:t>
      </w:r>
      <w:r w:rsidR="00362961" w:rsidRPr="005577C0">
        <w:rPr>
          <w:rFonts w:cs="Arial"/>
          <w:sz w:val="22"/>
          <w:szCs w:val="22"/>
          <w:lang w:val="es-ES_tradnl"/>
        </w:rPr>
        <w:t xml:space="preserve"> </w:t>
      </w:r>
      <w:r w:rsidR="00577315" w:rsidRPr="005577C0">
        <w:rPr>
          <w:rFonts w:cs="Arial"/>
          <w:sz w:val="22"/>
          <w:szCs w:val="22"/>
          <w:lang w:val="es-ES_tradnl"/>
        </w:rPr>
        <w:t>grupo</w:t>
      </w:r>
      <w:r w:rsidR="00362961" w:rsidRPr="005577C0">
        <w:rPr>
          <w:rFonts w:cs="Arial"/>
          <w:sz w:val="22"/>
          <w:szCs w:val="22"/>
          <w:lang w:val="es-ES_tradnl"/>
        </w:rPr>
        <w:t xml:space="preserve"> de especies </w:t>
      </w:r>
      <w:r w:rsidR="005E3516" w:rsidRPr="005577C0">
        <w:rPr>
          <w:rFonts w:cs="Arial"/>
          <w:sz w:val="22"/>
          <w:szCs w:val="22"/>
          <w:lang w:val="es-ES_tradnl"/>
        </w:rPr>
        <w:t>incluyendo la tórtola europea (</w:t>
      </w:r>
      <w:r w:rsidR="005E3516" w:rsidRPr="005577C0">
        <w:rPr>
          <w:rFonts w:cs="Arial"/>
          <w:i/>
          <w:sz w:val="22"/>
          <w:szCs w:val="22"/>
          <w:lang w:val="es-ES_tradnl"/>
        </w:rPr>
        <w:t>Streptopelia turtur</w:t>
      </w:r>
      <w:r w:rsidR="005E3516" w:rsidRPr="005577C0">
        <w:rPr>
          <w:rFonts w:cs="Arial"/>
          <w:sz w:val="22"/>
          <w:szCs w:val="22"/>
          <w:lang w:val="es-ES_tradnl"/>
        </w:rPr>
        <w:t xml:space="preserve">), en consonancia con las prioridades de la CMS para acciones concertadas y cooperativas. La subespecie denominada </w:t>
      </w:r>
      <w:r w:rsidR="005E3516" w:rsidRPr="005577C0">
        <w:rPr>
          <w:rFonts w:cs="Arial"/>
          <w:i/>
          <w:sz w:val="22"/>
          <w:szCs w:val="22"/>
          <w:lang w:val="es-ES_tradnl"/>
        </w:rPr>
        <w:t xml:space="preserve">S. t. Turtur </w:t>
      </w:r>
      <w:r w:rsidR="005E3516" w:rsidRPr="005577C0">
        <w:rPr>
          <w:rFonts w:cs="Arial"/>
          <w:sz w:val="22"/>
          <w:szCs w:val="22"/>
          <w:lang w:val="es-ES_tradnl"/>
        </w:rPr>
        <w:t>está incluida en el Apéndice II y está c</w:t>
      </w:r>
      <w:r w:rsidR="00F21AC0" w:rsidRPr="005577C0">
        <w:rPr>
          <w:rFonts w:cs="Arial"/>
          <w:sz w:val="22"/>
          <w:szCs w:val="22"/>
          <w:lang w:val="es-ES_tradnl"/>
        </w:rPr>
        <w:t>o</w:t>
      </w:r>
      <w:r w:rsidR="005E3516" w:rsidRPr="005577C0">
        <w:rPr>
          <w:rFonts w:cs="Arial"/>
          <w:sz w:val="22"/>
          <w:szCs w:val="22"/>
          <w:lang w:val="es-ES_tradnl"/>
        </w:rPr>
        <w:t>nsiderada</w:t>
      </w:r>
      <w:r w:rsidR="00F21AC0" w:rsidRPr="005577C0">
        <w:rPr>
          <w:rFonts w:cs="Arial"/>
          <w:sz w:val="22"/>
          <w:szCs w:val="22"/>
          <w:lang w:val="es-ES_tradnl"/>
        </w:rPr>
        <w:t xml:space="preserve"> como Vulnerable por la UICN.</w:t>
      </w:r>
    </w:p>
    <w:p w14:paraId="7194C16B" w14:textId="77777777" w:rsidR="005A2E8C" w:rsidRPr="005577C0" w:rsidRDefault="005A2E8C" w:rsidP="00BE20B6">
      <w:pPr>
        <w:pStyle w:val="ListParagraph"/>
        <w:jc w:val="both"/>
        <w:rPr>
          <w:rFonts w:cs="Arial"/>
          <w:sz w:val="22"/>
          <w:szCs w:val="22"/>
          <w:lang w:val="es-ES_tradnl"/>
        </w:rPr>
      </w:pPr>
    </w:p>
    <w:p w14:paraId="431DFE5B" w14:textId="719E96D4" w:rsidR="00345499" w:rsidRPr="005577C0" w:rsidRDefault="00345499" w:rsidP="00BE20B6">
      <w:pPr>
        <w:numPr>
          <w:ilvl w:val="0"/>
          <w:numId w:val="2"/>
        </w:numPr>
        <w:contextualSpacing/>
        <w:jc w:val="both"/>
        <w:rPr>
          <w:rFonts w:cs="Arial"/>
          <w:sz w:val="22"/>
          <w:szCs w:val="22"/>
          <w:lang w:val="es-ES_tradnl"/>
        </w:rPr>
      </w:pPr>
      <w:r w:rsidRPr="005577C0">
        <w:rPr>
          <w:rFonts w:cs="Arial"/>
          <w:sz w:val="22"/>
          <w:szCs w:val="22"/>
          <w:lang w:val="es-ES_tradnl"/>
        </w:rPr>
        <w:t xml:space="preserve">Este Plan de Acción cubre la población reproductora de Europa, el Mediterráneo y el Norte de África, e incluye también </w:t>
      </w:r>
      <w:r w:rsidR="00BB2A41" w:rsidRPr="005577C0">
        <w:rPr>
          <w:rFonts w:cs="Arial"/>
          <w:sz w:val="22"/>
          <w:szCs w:val="22"/>
          <w:lang w:val="es-ES_tradnl"/>
        </w:rPr>
        <w:t xml:space="preserve">actividades para </w:t>
      </w:r>
      <w:r w:rsidR="00B43F4A" w:rsidRPr="005577C0">
        <w:rPr>
          <w:rFonts w:cs="Arial"/>
          <w:sz w:val="22"/>
          <w:szCs w:val="22"/>
          <w:lang w:val="es-ES_tradnl"/>
        </w:rPr>
        <w:t>ampliar el conocimiento en</w:t>
      </w:r>
      <w:r w:rsidR="00BB2A41" w:rsidRPr="005577C0">
        <w:rPr>
          <w:rFonts w:cs="Arial"/>
          <w:sz w:val="22"/>
          <w:szCs w:val="22"/>
          <w:lang w:val="es-ES_tradnl"/>
        </w:rPr>
        <w:t xml:space="preserve"> los estados del área de distribución al este de</w:t>
      </w:r>
      <w:r w:rsidR="00B43F4A" w:rsidRPr="005577C0">
        <w:rPr>
          <w:rFonts w:cs="Arial"/>
          <w:sz w:val="22"/>
          <w:szCs w:val="22"/>
          <w:lang w:val="es-ES_tradnl"/>
        </w:rPr>
        <w:t>l</w:t>
      </w:r>
      <w:r w:rsidR="00BB2A41" w:rsidRPr="005577C0">
        <w:rPr>
          <w:rFonts w:cs="Arial"/>
          <w:sz w:val="22"/>
          <w:szCs w:val="22"/>
          <w:lang w:val="es-ES_tradnl"/>
        </w:rPr>
        <w:t xml:space="preserve"> </w:t>
      </w:r>
      <w:r w:rsidR="00B43F4A" w:rsidRPr="005577C0">
        <w:rPr>
          <w:rFonts w:cs="Arial"/>
          <w:sz w:val="22"/>
          <w:szCs w:val="22"/>
          <w:lang w:val="es-ES_tradnl"/>
        </w:rPr>
        <w:t>área</w:t>
      </w:r>
      <w:r w:rsidR="00BB2A41" w:rsidRPr="005577C0">
        <w:rPr>
          <w:rFonts w:cs="Arial"/>
          <w:sz w:val="22"/>
          <w:szCs w:val="22"/>
          <w:lang w:val="es-ES_tradnl"/>
        </w:rPr>
        <w:t xml:space="preserve">. El área de reproducción de la tórtola europea (incluyendo sus cuatros subespecies) se extiende desde Europa Occidental y </w:t>
      </w:r>
      <w:r w:rsidR="00B43F4A" w:rsidRPr="005577C0">
        <w:rPr>
          <w:rFonts w:cs="Arial"/>
          <w:sz w:val="22"/>
          <w:szCs w:val="22"/>
          <w:lang w:val="es-ES_tradnl"/>
        </w:rPr>
        <w:t xml:space="preserve">el </w:t>
      </w:r>
      <w:r w:rsidR="00BB2A41" w:rsidRPr="005577C0">
        <w:rPr>
          <w:rFonts w:cs="Arial"/>
          <w:sz w:val="22"/>
          <w:szCs w:val="22"/>
          <w:lang w:val="es-ES_tradnl"/>
        </w:rPr>
        <w:t xml:space="preserve">Norte de África </w:t>
      </w:r>
      <w:r w:rsidR="00B43F4A" w:rsidRPr="005577C0">
        <w:rPr>
          <w:rFonts w:cs="Arial"/>
          <w:sz w:val="22"/>
          <w:szCs w:val="22"/>
          <w:lang w:val="es-ES_tradnl"/>
        </w:rPr>
        <w:t>hacia el este hasta el</w:t>
      </w:r>
      <w:r w:rsidR="00BB2A41" w:rsidRPr="005577C0">
        <w:rPr>
          <w:rFonts w:cs="Arial"/>
          <w:sz w:val="22"/>
          <w:szCs w:val="22"/>
          <w:lang w:val="es-ES_tradnl"/>
        </w:rPr>
        <w:t xml:space="preserve"> nor</w:t>
      </w:r>
      <w:r w:rsidR="00B43F4A" w:rsidRPr="005577C0">
        <w:rPr>
          <w:rFonts w:cs="Arial"/>
          <w:sz w:val="22"/>
          <w:szCs w:val="22"/>
          <w:lang w:val="es-ES_tradnl"/>
        </w:rPr>
        <w:t>o</w:t>
      </w:r>
      <w:r w:rsidR="00BB2A41" w:rsidRPr="005577C0">
        <w:rPr>
          <w:rFonts w:cs="Arial"/>
          <w:sz w:val="22"/>
          <w:szCs w:val="22"/>
          <w:lang w:val="es-ES_tradnl"/>
        </w:rPr>
        <w:t>este de China. La población reproductora se estima entre 2,4 y 4,2 millones de aves dentr</w:t>
      </w:r>
      <w:r w:rsidR="00D657A4" w:rsidRPr="005577C0">
        <w:rPr>
          <w:rFonts w:cs="Arial"/>
          <w:sz w:val="22"/>
          <w:szCs w:val="22"/>
          <w:lang w:val="es-ES_tradnl"/>
        </w:rPr>
        <w:t>o d</w:t>
      </w:r>
      <w:r w:rsidR="00BB2A41" w:rsidRPr="005577C0">
        <w:rPr>
          <w:rFonts w:cs="Arial"/>
          <w:sz w:val="22"/>
          <w:szCs w:val="22"/>
          <w:lang w:val="es-ES_tradnl"/>
        </w:rPr>
        <w:t>e</w:t>
      </w:r>
      <w:r w:rsidR="00D657A4" w:rsidRPr="005577C0">
        <w:rPr>
          <w:rFonts w:cs="Arial"/>
          <w:sz w:val="22"/>
          <w:szCs w:val="22"/>
          <w:lang w:val="es-ES_tradnl"/>
        </w:rPr>
        <w:t xml:space="preserve"> </w:t>
      </w:r>
      <w:r w:rsidR="00BB2A41" w:rsidRPr="005577C0">
        <w:rPr>
          <w:rFonts w:cs="Arial"/>
          <w:sz w:val="22"/>
          <w:szCs w:val="22"/>
          <w:lang w:val="es-ES_tradnl"/>
        </w:rPr>
        <w:t>la UE, aproximadamente un 75 por ciento del total para Europa de entre 2,9 y 5,6 millones de parejas.</w:t>
      </w:r>
      <w:r w:rsidR="00E723FE" w:rsidRPr="005577C0">
        <w:rPr>
          <w:rFonts w:cs="Arial"/>
          <w:sz w:val="22"/>
          <w:szCs w:val="22"/>
          <w:lang w:val="es-ES_tradnl"/>
        </w:rPr>
        <w:t xml:space="preserve"> La población mundial se estima entre 13 y 48 millones de parejas.</w:t>
      </w:r>
      <w:r w:rsidR="00003221" w:rsidRPr="005577C0">
        <w:rPr>
          <w:rFonts w:cs="Arial"/>
          <w:sz w:val="22"/>
          <w:szCs w:val="22"/>
          <w:lang w:val="es-ES_tradnl"/>
        </w:rPr>
        <w:t xml:space="preserve"> Las aves migran a</w:t>
      </w:r>
      <w:r w:rsidR="00C704F1">
        <w:rPr>
          <w:rFonts w:cs="Arial"/>
          <w:sz w:val="22"/>
          <w:szCs w:val="22"/>
          <w:lang w:val="es-ES_tradnl"/>
        </w:rPr>
        <w:t>l</w:t>
      </w:r>
      <w:r w:rsidR="00003221" w:rsidRPr="005577C0">
        <w:rPr>
          <w:rFonts w:cs="Arial"/>
          <w:sz w:val="22"/>
          <w:szCs w:val="22"/>
          <w:lang w:val="es-ES_tradnl"/>
        </w:rPr>
        <w:t xml:space="preserve"> África subs</w:t>
      </w:r>
      <w:r w:rsidR="00D657A4" w:rsidRPr="005577C0">
        <w:rPr>
          <w:rFonts w:cs="Arial"/>
          <w:sz w:val="22"/>
          <w:szCs w:val="22"/>
          <w:lang w:val="es-ES_tradnl"/>
        </w:rPr>
        <w:t>ahariana para pasar el invierno</w:t>
      </w:r>
      <w:r w:rsidR="00003221" w:rsidRPr="005577C0">
        <w:rPr>
          <w:rFonts w:cs="Arial"/>
          <w:sz w:val="22"/>
          <w:szCs w:val="22"/>
          <w:lang w:val="es-ES_tradnl"/>
        </w:rPr>
        <w:t xml:space="preserve"> utilizando por lo menos tres rutas </w:t>
      </w:r>
      <w:r w:rsidR="00D657A4" w:rsidRPr="005577C0">
        <w:rPr>
          <w:rFonts w:cs="Arial"/>
          <w:sz w:val="22"/>
          <w:szCs w:val="22"/>
          <w:lang w:val="es-ES_tradnl"/>
        </w:rPr>
        <w:t>que cruzan el</w:t>
      </w:r>
      <w:r w:rsidR="00003221" w:rsidRPr="005577C0">
        <w:rPr>
          <w:rFonts w:cs="Arial"/>
          <w:sz w:val="22"/>
          <w:szCs w:val="22"/>
          <w:lang w:val="es-ES_tradnl"/>
        </w:rPr>
        <w:t xml:space="preserve"> Mediterráneo. </w:t>
      </w:r>
      <w:r w:rsidR="00346C99" w:rsidRPr="005577C0">
        <w:rPr>
          <w:rFonts w:cs="Arial"/>
          <w:sz w:val="22"/>
          <w:szCs w:val="22"/>
          <w:lang w:val="es-ES_tradnl"/>
        </w:rPr>
        <w:t xml:space="preserve">La tórtola europea está </w:t>
      </w:r>
      <w:r w:rsidR="00003221" w:rsidRPr="005577C0">
        <w:rPr>
          <w:rFonts w:cs="Arial"/>
          <w:sz w:val="22"/>
          <w:szCs w:val="22"/>
          <w:lang w:val="es-ES_tradnl"/>
        </w:rPr>
        <w:t>incluida en el Anexo II/2 d</w:t>
      </w:r>
      <w:r w:rsidR="00346C99" w:rsidRPr="005577C0">
        <w:rPr>
          <w:rFonts w:cs="Arial"/>
          <w:sz w:val="22"/>
          <w:szCs w:val="22"/>
          <w:lang w:val="es-ES_tradnl"/>
        </w:rPr>
        <w:t>e la Directiva de Aves de la UE</w:t>
      </w:r>
      <w:r w:rsidR="00003221" w:rsidRPr="005577C0">
        <w:rPr>
          <w:rFonts w:cs="Arial"/>
          <w:sz w:val="22"/>
          <w:szCs w:val="22"/>
          <w:lang w:val="es-ES_tradnl"/>
        </w:rPr>
        <w:t xml:space="preserve"> </w:t>
      </w:r>
      <w:r w:rsidR="00346C99" w:rsidRPr="005577C0">
        <w:rPr>
          <w:rFonts w:cs="Arial"/>
          <w:sz w:val="22"/>
          <w:szCs w:val="22"/>
          <w:lang w:val="es-ES_tradnl"/>
        </w:rPr>
        <w:t>y su</w:t>
      </w:r>
      <w:r w:rsidR="00003221" w:rsidRPr="005577C0">
        <w:rPr>
          <w:rFonts w:cs="Arial"/>
          <w:sz w:val="22"/>
          <w:szCs w:val="22"/>
          <w:lang w:val="es-ES_tradnl"/>
        </w:rPr>
        <w:t xml:space="preserve"> caza está permitida en 11 Estados Miembros de la UE. </w:t>
      </w:r>
      <w:r w:rsidR="0046107B" w:rsidRPr="005577C0">
        <w:rPr>
          <w:rFonts w:cs="Arial"/>
          <w:sz w:val="22"/>
          <w:szCs w:val="22"/>
          <w:lang w:val="es-ES_tradnl"/>
        </w:rPr>
        <w:t>La extracción en estos países</w:t>
      </w:r>
      <w:r w:rsidR="00404A27" w:rsidRPr="005577C0">
        <w:rPr>
          <w:rFonts w:cs="Arial"/>
          <w:sz w:val="22"/>
          <w:szCs w:val="22"/>
          <w:lang w:val="es-ES_tradnl"/>
        </w:rPr>
        <w:t xml:space="preserve"> </w:t>
      </w:r>
      <w:r w:rsidR="00FD63A7" w:rsidRPr="005577C0">
        <w:rPr>
          <w:rFonts w:cs="Arial"/>
          <w:sz w:val="22"/>
          <w:szCs w:val="22"/>
          <w:lang w:val="es-ES_tradnl"/>
        </w:rPr>
        <w:t>se estima en más de d</w:t>
      </w:r>
      <w:r w:rsidR="00404A27" w:rsidRPr="005577C0">
        <w:rPr>
          <w:rFonts w:cs="Arial"/>
          <w:sz w:val="22"/>
          <w:szCs w:val="22"/>
          <w:lang w:val="es-ES_tradnl"/>
        </w:rPr>
        <w:t>os millones de aves anuales. Deb</w:t>
      </w:r>
      <w:r w:rsidR="00FD63A7" w:rsidRPr="005577C0">
        <w:rPr>
          <w:rFonts w:cs="Arial"/>
          <w:sz w:val="22"/>
          <w:szCs w:val="22"/>
          <w:lang w:val="es-ES_tradnl"/>
        </w:rPr>
        <w:t xml:space="preserve">ido a varias </w:t>
      </w:r>
      <w:r w:rsidR="005577C0" w:rsidRPr="005577C0">
        <w:rPr>
          <w:rFonts w:cs="Arial"/>
          <w:sz w:val="22"/>
          <w:szCs w:val="22"/>
          <w:lang w:val="es-ES_tradnl"/>
        </w:rPr>
        <w:t>amenazas</w:t>
      </w:r>
      <w:r w:rsidR="00FD63A7" w:rsidRPr="005577C0">
        <w:rPr>
          <w:rFonts w:cs="Arial"/>
          <w:sz w:val="22"/>
          <w:szCs w:val="22"/>
          <w:lang w:val="es-ES_tradnl"/>
        </w:rPr>
        <w:t>, las poblaciones han disminuido desde la década de los 70, con un descenso del 79 por ciento en Europa</w:t>
      </w:r>
      <w:r w:rsidR="00DC2226" w:rsidRPr="005577C0">
        <w:rPr>
          <w:rFonts w:cs="Arial"/>
          <w:sz w:val="22"/>
          <w:szCs w:val="22"/>
          <w:lang w:val="es-ES_tradnl"/>
        </w:rPr>
        <w:t xml:space="preserve"> hasta más del 90 por ciento fuera de la UE entre 1980 y 2014.</w:t>
      </w:r>
    </w:p>
    <w:p w14:paraId="10F11F00" w14:textId="77777777" w:rsidR="00B75124" w:rsidRPr="005577C0" w:rsidRDefault="00B75124" w:rsidP="00B75124">
      <w:pPr>
        <w:pStyle w:val="ListParagraph"/>
        <w:rPr>
          <w:rFonts w:cs="Arial"/>
          <w:sz w:val="22"/>
          <w:szCs w:val="22"/>
          <w:highlight w:val="yellow"/>
          <w:lang w:val="es-ES_tradnl"/>
        </w:rPr>
      </w:pPr>
    </w:p>
    <w:p w14:paraId="7C4CD200" w14:textId="421C346E" w:rsidR="00503BCA" w:rsidRPr="005577C0" w:rsidRDefault="00503BCA" w:rsidP="00B75124">
      <w:pPr>
        <w:numPr>
          <w:ilvl w:val="0"/>
          <w:numId w:val="2"/>
        </w:numPr>
        <w:contextualSpacing/>
        <w:jc w:val="both"/>
        <w:rPr>
          <w:rFonts w:cs="Arial"/>
          <w:sz w:val="22"/>
          <w:szCs w:val="22"/>
          <w:lang w:val="es-ES_tradnl"/>
        </w:rPr>
      </w:pPr>
      <w:r w:rsidRPr="005577C0">
        <w:rPr>
          <w:rFonts w:cs="Arial"/>
          <w:sz w:val="22"/>
          <w:szCs w:val="22"/>
          <w:lang w:val="es-ES_tradnl"/>
        </w:rPr>
        <w:t xml:space="preserve">Se han </w:t>
      </w:r>
      <w:r w:rsidR="00E975EB" w:rsidRPr="005577C0">
        <w:rPr>
          <w:rFonts w:cs="Arial"/>
          <w:sz w:val="22"/>
          <w:szCs w:val="22"/>
          <w:lang w:val="es-ES_tradnl"/>
        </w:rPr>
        <w:t>llevado a cabo</w:t>
      </w:r>
      <w:r w:rsidRPr="005577C0">
        <w:rPr>
          <w:rFonts w:cs="Arial"/>
          <w:sz w:val="22"/>
          <w:szCs w:val="22"/>
          <w:lang w:val="es-ES_tradnl"/>
        </w:rPr>
        <w:t xml:space="preserve"> dos talleres internacionales sobre la Tórtola Europea, uno para el corredor aéreo occidental en Valsain, España, el 19</w:t>
      </w:r>
      <w:r w:rsidR="00831C88" w:rsidRPr="005577C0">
        <w:rPr>
          <w:rFonts w:cs="Arial"/>
          <w:sz w:val="22"/>
          <w:szCs w:val="22"/>
          <w:lang w:val="es-ES_tradnl"/>
        </w:rPr>
        <w:t>-21 de diciembre de 2016, y otro</w:t>
      </w:r>
      <w:r w:rsidRPr="005577C0">
        <w:rPr>
          <w:rFonts w:cs="Arial"/>
          <w:sz w:val="22"/>
          <w:szCs w:val="22"/>
          <w:lang w:val="es-ES_tradnl"/>
        </w:rPr>
        <w:t xml:space="preserve"> para el corredor aéreo central y oriental en Kecskemét, Hungría, el 16-18 de enero de 2017. Las reuniones fueron organizadas por BirdLife International en el marco de trabajo del Proyecto LIFE EuroSAP (LIFE14 PRE UK 002).</w:t>
      </w:r>
    </w:p>
    <w:p w14:paraId="52BDF138" w14:textId="3EFB1DFC" w:rsidR="00B75124" w:rsidRPr="005577C0" w:rsidRDefault="00B75124" w:rsidP="00B75124">
      <w:pPr>
        <w:contextualSpacing/>
        <w:jc w:val="both"/>
        <w:rPr>
          <w:rFonts w:cs="Arial"/>
          <w:sz w:val="22"/>
          <w:szCs w:val="22"/>
          <w:highlight w:val="yellow"/>
          <w:lang w:val="es-ES_tradnl"/>
        </w:rPr>
      </w:pPr>
    </w:p>
    <w:p w14:paraId="561841A2" w14:textId="7525A675" w:rsidR="00D675FA" w:rsidRPr="005577C0" w:rsidRDefault="00A72CCA" w:rsidP="00BE20B6">
      <w:pPr>
        <w:numPr>
          <w:ilvl w:val="0"/>
          <w:numId w:val="2"/>
        </w:numPr>
        <w:contextualSpacing/>
        <w:jc w:val="both"/>
        <w:rPr>
          <w:rFonts w:cs="Arial"/>
          <w:sz w:val="22"/>
          <w:szCs w:val="22"/>
          <w:lang w:val="es-ES_tradnl"/>
        </w:rPr>
      </w:pPr>
      <w:r w:rsidRPr="005577C0">
        <w:rPr>
          <w:rFonts w:cs="Arial"/>
          <w:sz w:val="22"/>
          <w:szCs w:val="22"/>
          <w:lang w:val="es-ES_tradnl"/>
        </w:rPr>
        <w:t>El borrador del Plan de Acción se encuentra adjunto como Anexo 1. E</w:t>
      </w:r>
      <w:r w:rsidR="005642D8" w:rsidRPr="005577C0">
        <w:rPr>
          <w:rFonts w:cs="Arial"/>
          <w:sz w:val="22"/>
          <w:szCs w:val="22"/>
          <w:lang w:val="es-ES_tradnl"/>
        </w:rPr>
        <w:t>n consonancia con la política d</w:t>
      </w:r>
      <w:r w:rsidRPr="005577C0">
        <w:rPr>
          <w:rFonts w:cs="Arial"/>
          <w:sz w:val="22"/>
          <w:szCs w:val="22"/>
          <w:lang w:val="es-ES_tradnl"/>
        </w:rPr>
        <w:t>e</w:t>
      </w:r>
      <w:r w:rsidR="005642D8" w:rsidRPr="005577C0">
        <w:rPr>
          <w:rFonts w:cs="Arial"/>
          <w:sz w:val="22"/>
          <w:szCs w:val="22"/>
          <w:lang w:val="es-ES_tradnl"/>
        </w:rPr>
        <w:t xml:space="preserve"> </w:t>
      </w:r>
      <w:r w:rsidRPr="005577C0">
        <w:rPr>
          <w:rFonts w:cs="Arial"/>
          <w:sz w:val="22"/>
          <w:szCs w:val="22"/>
          <w:lang w:val="es-ES_tradnl"/>
        </w:rPr>
        <w:t>la CMS relativa a las versiones en diferentes idiomas de los Planes de Acción de Especies, el documento está disponible solamente en inglés por el momento</w:t>
      </w:r>
      <w:r w:rsidR="005642D8" w:rsidRPr="005577C0">
        <w:rPr>
          <w:rFonts w:cs="Arial"/>
          <w:sz w:val="22"/>
          <w:szCs w:val="22"/>
          <w:lang w:val="es-ES_tradnl"/>
        </w:rPr>
        <w:t>. Se producirán</w:t>
      </w:r>
      <w:r w:rsidRPr="005577C0">
        <w:rPr>
          <w:rFonts w:cs="Arial"/>
          <w:sz w:val="22"/>
          <w:szCs w:val="22"/>
          <w:lang w:val="es-ES_tradnl"/>
        </w:rPr>
        <w:t xml:space="preserve"> versiones en francés y español dependiendo de la disponibilidad de recursos;</w:t>
      </w:r>
    </w:p>
    <w:p w14:paraId="406FD462" w14:textId="77777777" w:rsidR="002A5826" w:rsidRPr="005577C0" w:rsidRDefault="002A5826" w:rsidP="002A5826">
      <w:pPr>
        <w:contextualSpacing/>
        <w:jc w:val="both"/>
        <w:rPr>
          <w:rFonts w:cs="Arial"/>
          <w:sz w:val="22"/>
          <w:szCs w:val="22"/>
          <w:lang w:val="es-ES_tradnl"/>
        </w:rPr>
      </w:pPr>
    </w:p>
    <w:p w14:paraId="7B9AD211" w14:textId="77777777" w:rsidR="00BE3C08" w:rsidRPr="005577C0" w:rsidRDefault="00BE3C08" w:rsidP="00BE20B6">
      <w:pPr>
        <w:jc w:val="both"/>
        <w:rPr>
          <w:rFonts w:cs="Arial"/>
          <w:sz w:val="22"/>
          <w:szCs w:val="22"/>
          <w:highlight w:val="yellow"/>
          <w:u w:val="single"/>
          <w:lang w:val="es-ES_tradnl"/>
        </w:rPr>
      </w:pPr>
    </w:p>
    <w:p w14:paraId="5578A6E1" w14:textId="10A6F949" w:rsidR="004B0304" w:rsidRPr="005577C0" w:rsidRDefault="004B0304" w:rsidP="00BE20B6">
      <w:pPr>
        <w:jc w:val="both"/>
        <w:rPr>
          <w:rFonts w:cs="Arial"/>
          <w:sz w:val="22"/>
          <w:szCs w:val="22"/>
          <w:u w:val="single"/>
          <w:lang w:val="es-ES_tradnl"/>
        </w:rPr>
      </w:pPr>
      <w:r w:rsidRPr="005577C0">
        <w:rPr>
          <w:rFonts w:cs="Arial"/>
          <w:sz w:val="22"/>
          <w:szCs w:val="22"/>
          <w:u w:val="single"/>
          <w:lang w:val="es-ES_tradnl"/>
        </w:rPr>
        <w:t>Acciones recomendadas</w:t>
      </w:r>
    </w:p>
    <w:p w14:paraId="473EAC42" w14:textId="77777777" w:rsidR="007910DD" w:rsidRPr="005577C0" w:rsidRDefault="007910DD" w:rsidP="00BE20B6">
      <w:pPr>
        <w:jc w:val="both"/>
        <w:rPr>
          <w:rFonts w:cs="Arial"/>
          <w:sz w:val="22"/>
          <w:szCs w:val="22"/>
          <w:highlight w:val="yellow"/>
          <w:lang w:val="es-ES_tradnl"/>
        </w:rPr>
      </w:pPr>
    </w:p>
    <w:p w14:paraId="0DDA9571" w14:textId="49639C77" w:rsidR="00156AA5" w:rsidRPr="005577C0" w:rsidRDefault="00156AA5" w:rsidP="00BE20B6">
      <w:pPr>
        <w:numPr>
          <w:ilvl w:val="0"/>
          <w:numId w:val="2"/>
        </w:numPr>
        <w:jc w:val="both"/>
        <w:rPr>
          <w:rFonts w:cs="Arial"/>
          <w:sz w:val="22"/>
          <w:szCs w:val="22"/>
          <w:lang w:val="es-ES_tradnl"/>
        </w:rPr>
      </w:pPr>
      <w:r w:rsidRPr="005577C0">
        <w:rPr>
          <w:rFonts w:cs="Arial"/>
          <w:sz w:val="22"/>
          <w:szCs w:val="22"/>
          <w:lang w:val="es-ES_tradnl"/>
        </w:rPr>
        <w:t>Se recomienda a la Conferencia de las Partes:</w:t>
      </w:r>
    </w:p>
    <w:p w14:paraId="5A0FEB38" w14:textId="77777777" w:rsidR="007910DD" w:rsidRPr="005577C0" w:rsidRDefault="007910DD" w:rsidP="00BE20B6">
      <w:pPr>
        <w:jc w:val="both"/>
        <w:rPr>
          <w:rFonts w:cs="Arial"/>
          <w:sz w:val="22"/>
          <w:szCs w:val="22"/>
          <w:lang w:val="es-ES_tradnl"/>
        </w:rPr>
      </w:pPr>
    </w:p>
    <w:p w14:paraId="18B3DF43" w14:textId="1111ED65" w:rsidR="00156AA5" w:rsidRPr="005577C0" w:rsidRDefault="008D051A" w:rsidP="00BE20B6">
      <w:pPr>
        <w:widowControl/>
        <w:numPr>
          <w:ilvl w:val="0"/>
          <w:numId w:val="3"/>
        </w:numPr>
        <w:autoSpaceDE/>
        <w:adjustRightInd/>
        <w:contextualSpacing/>
        <w:jc w:val="both"/>
        <w:rPr>
          <w:rFonts w:cs="Arial"/>
          <w:sz w:val="22"/>
          <w:szCs w:val="22"/>
          <w:lang w:val="es-ES_tradnl"/>
        </w:rPr>
      </w:pPr>
      <w:r w:rsidRPr="005577C0">
        <w:rPr>
          <w:rFonts w:cs="Arial"/>
          <w:sz w:val="22"/>
          <w:szCs w:val="22"/>
          <w:lang w:val="es-ES_tradnl"/>
        </w:rPr>
        <w:t>Adoptar</w:t>
      </w:r>
      <w:r w:rsidR="00156AA5" w:rsidRPr="005577C0">
        <w:rPr>
          <w:rFonts w:cs="Arial"/>
          <w:sz w:val="22"/>
          <w:szCs w:val="22"/>
          <w:lang w:val="es-ES_tradnl"/>
        </w:rPr>
        <w:t xml:space="preserve"> el Plan de Acción incluido en el Anexo 1 a través del borrador de la Resolución sobre planes de acción de especies para aves, contenido en el documento UNEP/CMS/COP12/Doc.24.1.11.</w:t>
      </w:r>
    </w:p>
    <w:p w14:paraId="77CCF515" w14:textId="77777777" w:rsidR="008D051A" w:rsidRPr="005577C0" w:rsidRDefault="008D051A" w:rsidP="0003449E">
      <w:pPr>
        <w:widowControl/>
        <w:autoSpaceDE/>
        <w:adjustRightInd/>
        <w:jc w:val="right"/>
        <w:rPr>
          <w:rFonts w:cs="Arial"/>
          <w:sz w:val="22"/>
          <w:szCs w:val="22"/>
          <w:lang w:val="es-ES_tradnl"/>
        </w:rPr>
      </w:pPr>
    </w:p>
    <w:p w14:paraId="0CE32C14" w14:textId="77777777" w:rsidR="008D051A" w:rsidRPr="005577C0" w:rsidRDefault="008D051A" w:rsidP="0003449E">
      <w:pPr>
        <w:widowControl/>
        <w:autoSpaceDE/>
        <w:adjustRightInd/>
        <w:jc w:val="right"/>
        <w:rPr>
          <w:rFonts w:cs="Arial"/>
          <w:sz w:val="22"/>
          <w:szCs w:val="22"/>
          <w:lang w:val="es-ES_tradnl"/>
        </w:rPr>
      </w:pPr>
    </w:p>
    <w:p w14:paraId="021EC214" w14:textId="77777777" w:rsidR="008D051A" w:rsidRPr="005577C0" w:rsidRDefault="008D051A" w:rsidP="0003449E">
      <w:pPr>
        <w:widowControl/>
        <w:autoSpaceDE/>
        <w:adjustRightInd/>
        <w:jc w:val="right"/>
        <w:rPr>
          <w:rFonts w:cs="Arial"/>
          <w:sz w:val="22"/>
          <w:szCs w:val="22"/>
          <w:lang w:val="es-ES_tradnl"/>
        </w:rPr>
      </w:pPr>
    </w:p>
    <w:p w14:paraId="71081F54" w14:textId="77777777" w:rsidR="008D051A" w:rsidRDefault="008D051A" w:rsidP="0003449E">
      <w:pPr>
        <w:widowControl/>
        <w:autoSpaceDE/>
        <w:adjustRightInd/>
        <w:jc w:val="right"/>
        <w:rPr>
          <w:rFonts w:cs="Arial"/>
          <w:sz w:val="22"/>
          <w:szCs w:val="22"/>
          <w:lang w:val="es-ES_tradnl"/>
        </w:rPr>
      </w:pPr>
    </w:p>
    <w:p w14:paraId="5FA6BDD8" w14:textId="77777777" w:rsidR="008D051A" w:rsidRDefault="008D051A" w:rsidP="0003449E">
      <w:pPr>
        <w:widowControl/>
        <w:autoSpaceDE/>
        <w:adjustRightInd/>
        <w:jc w:val="right"/>
        <w:rPr>
          <w:rFonts w:cs="Arial"/>
          <w:sz w:val="22"/>
          <w:szCs w:val="22"/>
          <w:lang w:val="es-ES_tradnl"/>
        </w:rPr>
      </w:pPr>
    </w:p>
    <w:p w14:paraId="1ACE00A1" w14:textId="77777777" w:rsidR="008D051A" w:rsidRDefault="008D051A" w:rsidP="0003449E">
      <w:pPr>
        <w:widowControl/>
        <w:autoSpaceDE/>
        <w:adjustRightInd/>
        <w:jc w:val="right"/>
        <w:rPr>
          <w:rFonts w:cs="Arial"/>
          <w:sz w:val="22"/>
          <w:szCs w:val="22"/>
          <w:lang w:val="es-ES_tradnl"/>
        </w:rPr>
      </w:pPr>
    </w:p>
    <w:p w14:paraId="6BFAEF4F" w14:textId="77777777" w:rsidR="008D051A" w:rsidRDefault="008D051A" w:rsidP="0003449E">
      <w:pPr>
        <w:widowControl/>
        <w:autoSpaceDE/>
        <w:adjustRightInd/>
        <w:jc w:val="right"/>
        <w:rPr>
          <w:rFonts w:cs="Arial"/>
          <w:sz w:val="22"/>
          <w:szCs w:val="22"/>
          <w:lang w:val="es-ES_tradnl"/>
        </w:rPr>
      </w:pPr>
    </w:p>
    <w:p w14:paraId="47C07431" w14:textId="243182F2" w:rsidR="007910DD" w:rsidRPr="00CD0FE9" w:rsidRDefault="00C96521" w:rsidP="0003449E">
      <w:pPr>
        <w:widowControl/>
        <w:autoSpaceDE/>
        <w:adjustRightInd/>
        <w:jc w:val="right"/>
        <w:rPr>
          <w:rFonts w:cs="Arial"/>
          <w:b/>
          <w:bCs/>
          <w:caps/>
          <w:sz w:val="22"/>
          <w:szCs w:val="22"/>
          <w:lang w:val="en-GB"/>
        </w:rPr>
      </w:pPr>
      <w:r>
        <w:rPr>
          <w:rFonts w:cs="Arial"/>
          <w:b/>
          <w:caps/>
          <w:sz w:val="22"/>
          <w:szCs w:val="22"/>
          <w:lang w:val="en-GB"/>
        </w:rPr>
        <w:lastRenderedPageBreak/>
        <w:t>Annex 1</w:t>
      </w:r>
    </w:p>
    <w:p w14:paraId="3D3654F7" w14:textId="77777777" w:rsidR="007910DD" w:rsidRPr="00CD0FE9" w:rsidRDefault="007910DD" w:rsidP="007910DD">
      <w:pPr>
        <w:rPr>
          <w:rFonts w:cs="Arial"/>
          <w:sz w:val="22"/>
          <w:szCs w:val="2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9"/>
        <w:gridCol w:w="2835"/>
        <w:gridCol w:w="4606"/>
      </w:tblGrid>
      <w:tr w:rsidR="00C96521" w:rsidRPr="00C96521" w14:paraId="18D17C6B" w14:textId="77777777" w:rsidTr="00C96521">
        <w:tc>
          <w:tcPr>
            <w:tcW w:w="2093" w:type="dxa"/>
            <w:shd w:val="clear" w:color="auto" w:fill="365F91"/>
          </w:tcPr>
          <w:p w14:paraId="1F55E945" w14:textId="77777777" w:rsidR="00C96521" w:rsidRPr="00C96521" w:rsidRDefault="00C96521" w:rsidP="00C96521">
            <w:pPr>
              <w:widowControl/>
              <w:autoSpaceDE/>
              <w:autoSpaceDN/>
              <w:adjustRightInd/>
              <w:spacing w:after="300"/>
              <w:contextualSpacing/>
              <w:jc w:val="center"/>
              <w:rPr>
                <w:rFonts w:eastAsia="MS Gothic"/>
                <w:color w:val="1F497D"/>
                <w:spacing w:val="5"/>
                <w:kern w:val="28"/>
                <w:sz w:val="36"/>
                <w:szCs w:val="52"/>
                <w:lang w:val="en-GB"/>
              </w:rPr>
            </w:pPr>
          </w:p>
        </w:tc>
        <w:tc>
          <w:tcPr>
            <w:tcW w:w="2835" w:type="dxa"/>
            <w:vAlign w:val="center"/>
          </w:tcPr>
          <w:p w14:paraId="3DE2CECA" w14:textId="77777777" w:rsidR="00C96521" w:rsidRPr="00C96521" w:rsidRDefault="00C96521" w:rsidP="00C96521">
            <w:pPr>
              <w:widowControl/>
              <w:autoSpaceDE/>
              <w:autoSpaceDN/>
              <w:adjustRightInd/>
              <w:spacing w:after="300"/>
              <w:contextualSpacing/>
              <w:rPr>
                <w:rFonts w:eastAsia="MS Gothic"/>
                <w:color w:val="1F497D"/>
                <w:spacing w:val="5"/>
                <w:kern w:val="28"/>
                <w:sz w:val="36"/>
                <w:szCs w:val="52"/>
                <w:lang w:val="en-GB"/>
              </w:rPr>
            </w:pPr>
            <w:r w:rsidRPr="00C96521">
              <w:rPr>
                <w:rFonts w:eastAsia="MS Gothic"/>
                <w:color w:val="1F497D"/>
                <w:spacing w:val="5"/>
                <w:kern w:val="28"/>
                <w:sz w:val="36"/>
                <w:szCs w:val="52"/>
                <w:lang w:val="en-GB"/>
              </w:rPr>
              <w:t>DRAFT 1</w:t>
            </w:r>
          </w:p>
        </w:tc>
        <w:tc>
          <w:tcPr>
            <w:tcW w:w="4608" w:type="dxa"/>
          </w:tcPr>
          <w:p w14:paraId="4123E33D" w14:textId="2753267E" w:rsidR="00C96521" w:rsidRPr="00C96521" w:rsidRDefault="00C96521" w:rsidP="00C96521">
            <w:pPr>
              <w:widowControl/>
              <w:autoSpaceDE/>
              <w:autoSpaceDN/>
              <w:adjustRightInd/>
              <w:spacing w:after="300"/>
              <w:contextualSpacing/>
              <w:jc w:val="right"/>
              <w:rPr>
                <w:rFonts w:eastAsia="MS Gothic"/>
                <w:color w:val="1F497D"/>
                <w:spacing w:val="5"/>
                <w:kern w:val="28"/>
                <w:sz w:val="36"/>
                <w:szCs w:val="52"/>
                <w:lang w:val="en-GB"/>
              </w:rPr>
            </w:pPr>
            <w:r w:rsidRPr="00C96521">
              <w:rPr>
                <w:rFonts w:eastAsia="MS Gothic"/>
                <w:noProof/>
                <w:color w:val="1F497D"/>
                <w:spacing w:val="5"/>
                <w:kern w:val="28"/>
                <w:sz w:val="36"/>
                <w:szCs w:val="52"/>
              </w:rPr>
              <w:drawing>
                <wp:inline distT="0" distB="0" distL="0" distR="0" wp14:anchorId="2B1AAF44" wp14:editId="39C28292">
                  <wp:extent cx="1474530" cy="1066800"/>
                  <wp:effectExtent l="19050" t="0" r="0" b="0"/>
                  <wp:docPr id="26" name="Picture 25" descr="LIF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 logo.jpg"/>
                          <pic:cNvPicPr/>
                        </pic:nvPicPr>
                        <pic:blipFill>
                          <a:blip r:embed="rId15" cstate="print"/>
                          <a:stretch>
                            <a:fillRect/>
                          </a:stretch>
                        </pic:blipFill>
                        <pic:spPr>
                          <a:xfrm>
                            <a:off x="0" y="0"/>
                            <a:ext cx="1474530" cy="1066800"/>
                          </a:xfrm>
                          <a:prstGeom prst="rect">
                            <a:avLst/>
                          </a:prstGeom>
                        </pic:spPr>
                      </pic:pic>
                    </a:graphicData>
                  </a:graphic>
                </wp:inline>
              </w:drawing>
            </w:r>
          </w:p>
        </w:tc>
      </w:tr>
      <w:tr w:rsidR="00C96521" w:rsidRPr="00C96521" w14:paraId="5D6A3768" w14:textId="77777777" w:rsidTr="00C96521">
        <w:tc>
          <w:tcPr>
            <w:tcW w:w="2093" w:type="dxa"/>
            <w:shd w:val="clear" w:color="auto" w:fill="365F91"/>
          </w:tcPr>
          <w:p w14:paraId="379EE5DF" w14:textId="77777777" w:rsidR="00C96521" w:rsidRPr="00C96521" w:rsidRDefault="00C96521" w:rsidP="00C96521">
            <w:pPr>
              <w:widowControl/>
              <w:autoSpaceDE/>
              <w:autoSpaceDN/>
              <w:adjustRightInd/>
              <w:spacing w:after="300"/>
              <w:contextualSpacing/>
              <w:jc w:val="center"/>
              <w:rPr>
                <w:rFonts w:eastAsia="MS Gothic"/>
                <w:color w:val="1F497D"/>
                <w:spacing w:val="5"/>
                <w:kern w:val="28"/>
                <w:sz w:val="36"/>
                <w:szCs w:val="52"/>
                <w:lang w:val="en-GB"/>
              </w:rPr>
            </w:pPr>
          </w:p>
        </w:tc>
        <w:tc>
          <w:tcPr>
            <w:tcW w:w="7443" w:type="dxa"/>
            <w:gridSpan w:val="2"/>
            <w:tcBorders>
              <w:bottom w:val="single" w:sz="4" w:space="0" w:color="365F91"/>
            </w:tcBorders>
          </w:tcPr>
          <w:p w14:paraId="65E55D0C" w14:textId="77777777" w:rsidR="00C96521" w:rsidRPr="00C96521" w:rsidRDefault="00C96521" w:rsidP="00C96521">
            <w:pPr>
              <w:widowControl/>
              <w:autoSpaceDE/>
              <w:autoSpaceDN/>
              <w:adjustRightInd/>
              <w:rPr>
                <w:rFonts w:ascii="Arial" w:hAnsi="Arial" w:cs="Arial"/>
                <w:sz w:val="20"/>
                <w:lang w:val="en-GB"/>
              </w:rPr>
            </w:pPr>
          </w:p>
          <w:p w14:paraId="2B2F88AD" w14:textId="77777777" w:rsidR="00C96521" w:rsidRPr="00C96521" w:rsidRDefault="00C96521" w:rsidP="00C96521">
            <w:pPr>
              <w:widowControl/>
              <w:autoSpaceDE/>
              <w:autoSpaceDN/>
              <w:adjustRightInd/>
              <w:rPr>
                <w:rFonts w:ascii="Arial" w:hAnsi="Arial" w:cs="Arial"/>
                <w:sz w:val="20"/>
                <w:lang w:val="en-GB"/>
              </w:rPr>
            </w:pPr>
          </w:p>
          <w:p w14:paraId="599B1D3A" w14:textId="77777777" w:rsidR="00C96521" w:rsidRPr="00C96521" w:rsidRDefault="00C96521" w:rsidP="00C96521">
            <w:pPr>
              <w:widowControl/>
              <w:autoSpaceDE/>
              <w:autoSpaceDN/>
              <w:adjustRightInd/>
              <w:rPr>
                <w:rFonts w:ascii="Arial" w:hAnsi="Arial" w:cs="Arial"/>
                <w:sz w:val="20"/>
                <w:lang w:val="en-GB"/>
              </w:rPr>
            </w:pPr>
          </w:p>
          <w:p w14:paraId="2EBD25BE" w14:textId="77777777" w:rsidR="00C96521" w:rsidRPr="00C96521" w:rsidRDefault="00C96521" w:rsidP="00C96521">
            <w:pPr>
              <w:widowControl/>
              <w:autoSpaceDE/>
              <w:autoSpaceDN/>
              <w:adjustRightInd/>
              <w:rPr>
                <w:rFonts w:ascii="Arial" w:hAnsi="Arial" w:cs="Arial"/>
                <w:sz w:val="20"/>
                <w:lang w:val="en-GB"/>
              </w:rPr>
            </w:pPr>
          </w:p>
          <w:p w14:paraId="295DC48A" w14:textId="336543DB" w:rsidR="00C96521" w:rsidRPr="00C96521" w:rsidRDefault="00C96521" w:rsidP="00C96521">
            <w:pPr>
              <w:widowControl/>
              <w:autoSpaceDE/>
              <w:autoSpaceDN/>
              <w:adjustRightInd/>
              <w:spacing w:after="300"/>
              <w:contextualSpacing/>
              <w:rPr>
                <w:rFonts w:ascii="Arial" w:eastAsia="MS Gothic" w:hAnsi="Arial" w:cs="Arial"/>
                <w:color w:val="1F497D"/>
                <w:spacing w:val="5"/>
                <w:kern w:val="28"/>
                <w:sz w:val="36"/>
                <w:szCs w:val="52"/>
                <w:lang w:val="en-GB"/>
              </w:rPr>
            </w:pPr>
            <w:r w:rsidRPr="00C96521">
              <w:rPr>
                <w:rFonts w:ascii="Arial" w:eastAsia="MS Gothic" w:hAnsi="Arial" w:cs="Arial"/>
                <w:color w:val="1F497D"/>
                <w:spacing w:val="5"/>
                <w:kern w:val="28"/>
                <w:sz w:val="36"/>
                <w:szCs w:val="52"/>
                <w:lang w:val="en-GB"/>
              </w:rPr>
              <w:t>International Single Species Action Plan for the Conservation of the European Turtle</w:t>
            </w:r>
            <w:r w:rsidR="003F6C6E">
              <w:rPr>
                <w:rFonts w:ascii="Arial" w:eastAsia="MS Gothic" w:hAnsi="Arial" w:cs="Arial"/>
                <w:color w:val="1F497D"/>
                <w:spacing w:val="5"/>
                <w:kern w:val="28"/>
                <w:sz w:val="36"/>
                <w:szCs w:val="52"/>
                <w:lang w:val="en-GB"/>
              </w:rPr>
              <w:t xml:space="preserve"> Dove</w:t>
            </w:r>
            <w:r w:rsidRPr="00C96521">
              <w:rPr>
                <w:rFonts w:ascii="Arial" w:eastAsia="MS Gothic" w:hAnsi="Arial" w:cs="Arial"/>
                <w:color w:val="1F497D"/>
                <w:spacing w:val="5"/>
                <w:kern w:val="28"/>
                <w:sz w:val="36"/>
                <w:szCs w:val="52"/>
                <w:lang w:val="en-GB"/>
              </w:rPr>
              <w:t xml:space="preserve"> </w:t>
            </w:r>
            <w:r w:rsidRPr="00C96521">
              <w:rPr>
                <w:rFonts w:ascii="Arial" w:eastAsia="MS Gothic" w:hAnsi="Arial" w:cs="Arial"/>
                <w:bCs/>
                <w:i/>
                <w:color w:val="1F497D"/>
                <w:spacing w:val="5"/>
                <w:kern w:val="28"/>
                <w:sz w:val="36"/>
                <w:szCs w:val="52"/>
                <w:lang w:val="en-GB"/>
              </w:rPr>
              <w:t>Streptopelia</w:t>
            </w:r>
            <w:r w:rsidRPr="00C96521">
              <w:rPr>
                <w:rFonts w:ascii="Arial" w:eastAsia="MS Gothic" w:hAnsi="Arial" w:cs="Arial"/>
                <w:i/>
                <w:color w:val="1F497D"/>
                <w:spacing w:val="5"/>
                <w:kern w:val="28"/>
                <w:sz w:val="36"/>
                <w:szCs w:val="52"/>
                <w:lang w:val="en-GB"/>
              </w:rPr>
              <w:t xml:space="preserve"> turtur</w:t>
            </w:r>
            <w:r w:rsidRPr="00C96521">
              <w:rPr>
                <w:rFonts w:ascii="Arial" w:eastAsia="MS Gothic" w:hAnsi="Arial" w:cs="Arial"/>
                <w:color w:val="1F497D"/>
                <w:spacing w:val="5"/>
                <w:kern w:val="28"/>
                <w:sz w:val="36"/>
                <w:szCs w:val="52"/>
                <w:lang w:val="en-GB"/>
              </w:rPr>
              <w:t xml:space="preserve"> (2018 to 2028)</w:t>
            </w:r>
          </w:p>
          <w:p w14:paraId="0D49A5CC" w14:textId="77777777" w:rsidR="00C96521" w:rsidRPr="00C96521" w:rsidRDefault="00C96521" w:rsidP="00C96521">
            <w:pPr>
              <w:widowControl/>
              <w:autoSpaceDE/>
              <w:autoSpaceDN/>
              <w:adjustRightInd/>
              <w:rPr>
                <w:rFonts w:ascii="Arial" w:hAnsi="Arial" w:cs="Arial"/>
                <w:sz w:val="20"/>
                <w:lang w:val="en-GB"/>
              </w:rPr>
            </w:pPr>
          </w:p>
        </w:tc>
      </w:tr>
      <w:tr w:rsidR="00C96521" w:rsidRPr="00C96521" w14:paraId="33A4E87C" w14:textId="77777777" w:rsidTr="00C96521">
        <w:tc>
          <w:tcPr>
            <w:tcW w:w="2093" w:type="dxa"/>
            <w:shd w:val="clear" w:color="auto" w:fill="365F91"/>
          </w:tcPr>
          <w:p w14:paraId="4EDC88BE" w14:textId="77777777" w:rsidR="00C96521" w:rsidRPr="00C96521" w:rsidRDefault="00C96521" w:rsidP="00C96521">
            <w:pPr>
              <w:widowControl/>
              <w:autoSpaceDE/>
              <w:autoSpaceDN/>
              <w:adjustRightInd/>
              <w:spacing w:after="300"/>
              <w:contextualSpacing/>
              <w:jc w:val="center"/>
              <w:rPr>
                <w:rFonts w:eastAsia="MS Gothic"/>
                <w:color w:val="1F497D"/>
                <w:spacing w:val="5"/>
                <w:kern w:val="28"/>
                <w:sz w:val="36"/>
                <w:szCs w:val="52"/>
                <w:lang w:val="en-GB"/>
              </w:rPr>
            </w:pPr>
          </w:p>
        </w:tc>
        <w:tc>
          <w:tcPr>
            <w:tcW w:w="7443" w:type="dxa"/>
            <w:gridSpan w:val="2"/>
            <w:tcBorders>
              <w:top w:val="single" w:sz="4" w:space="0" w:color="365F91"/>
            </w:tcBorders>
          </w:tcPr>
          <w:p w14:paraId="7D76B371" w14:textId="77777777" w:rsidR="00C96521" w:rsidRPr="00C96521" w:rsidRDefault="00C96521" w:rsidP="00C96521">
            <w:pPr>
              <w:widowControl/>
              <w:autoSpaceDE/>
              <w:autoSpaceDN/>
              <w:adjustRightInd/>
              <w:spacing w:after="300"/>
              <w:contextualSpacing/>
              <w:rPr>
                <w:rFonts w:eastAsia="MS Gothic"/>
                <w:color w:val="1F497D"/>
                <w:spacing w:val="5"/>
                <w:kern w:val="28"/>
                <w:sz w:val="36"/>
                <w:szCs w:val="52"/>
                <w:lang w:val="en-GB"/>
              </w:rPr>
            </w:pPr>
          </w:p>
          <w:p w14:paraId="4DCEEEC2" w14:textId="77777777" w:rsidR="00C96521" w:rsidRPr="00C96521" w:rsidRDefault="00C96521" w:rsidP="00C96521">
            <w:pPr>
              <w:widowControl/>
              <w:autoSpaceDE/>
              <w:autoSpaceDN/>
              <w:adjustRightInd/>
              <w:spacing w:after="300"/>
              <w:contextualSpacing/>
              <w:rPr>
                <w:rFonts w:eastAsia="MS Gothic"/>
                <w:color w:val="1F497D"/>
                <w:spacing w:val="5"/>
                <w:kern w:val="28"/>
                <w:sz w:val="36"/>
                <w:szCs w:val="52"/>
                <w:lang w:val="en-GB"/>
              </w:rPr>
            </w:pPr>
            <w:r w:rsidRPr="00C96521">
              <w:rPr>
                <w:rFonts w:eastAsia="MS Gothic"/>
                <w:noProof/>
                <w:color w:val="1F497D"/>
                <w:spacing w:val="5"/>
                <w:kern w:val="28"/>
                <w:sz w:val="36"/>
                <w:szCs w:val="52"/>
              </w:rPr>
              <w:drawing>
                <wp:inline distT="0" distB="0" distL="0" distR="0" wp14:anchorId="3C4F1E65" wp14:editId="424DDD36">
                  <wp:extent cx="4561241" cy="3028950"/>
                  <wp:effectExtent l="19050" t="0" r="0" b="0"/>
                  <wp:docPr id="31" name="Picture 30" descr="TurtleDovePhot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tleDovePhotos1.JPG"/>
                          <pic:cNvPicPr/>
                        </pic:nvPicPr>
                        <pic:blipFill>
                          <a:blip r:embed="rId16" cstate="print"/>
                          <a:stretch>
                            <a:fillRect/>
                          </a:stretch>
                        </pic:blipFill>
                        <pic:spPr>
                          <a:xfrm>
                            <a:off x="0" y="0"/>
                            <a:ext cx="4561241" cy="3028950"/>
                          </a:xfrm>
                          <a:prstGeom prst="rect">
                            <a:avLst/>
                          </a:prstGeom>
                        </pic:spPr>
                      </pic:pic>
                    </a:graphicData>
                  </a:graphic>
                </wp:inline>
              </w:drawing>
            </w:r>
          </w:p>
          <w:p w14:paraId="16AA7A4C" w14:textId="77777777" w:rsidR="00C96521" w:rsidRPr="00C96521" w:rsidRDefault="00C96521" w:rsidP="00C96521">
            <w:pPr>
              <w:widowControl/>
              <w:autoSpaceDE/>
              <w:autoSpaceDN/>
              <w:adjustRightInd/>
              <w:rPr>
                <w:sz w:val="20"/>
                <w:lang w:val="en-GB"/>
              </w:rPr>
            </w:pPr>
          </w:p>
          <w:p w14:paraId="252265B7" w14:textId="77777777" w:rsidR="00C96521" w:rsidRPr="00C96521" w:rsidRDefault="00C96521" w:rsidP="00C96521">
            <w:pPr>
              <w:widowControl/>
              <w:autoSpaceDE/>
              <w:autoSpaceDN/>
              <w:adjustRightInd/>
              <w:rPr>
                <w:sz w:val="20"/>
                <w:lang w:val="en-GB"/>
              </w:rPr>
            </w:pPr>
          </w:p>
        </w:tc>
      </w:tr>
      <w:tr w:rsidR="00C96521" w:rsidRPr="00C96521" w14:paraId="4EC092F3" w14:textId="77777777" w:rsidTr="00C96521">
        <w:trPr>
          <w:trHeight w:val="2124"/>
        </w:trPr>
        <w:tc>
          <w:tcPr>
            <w:tcW w:w="2093" w:type="dxa"/>
            <w:shd w:val="clear" w:color="auto" w:fill="365F91"/>
            <w:vAlign w:val="bottom"/>
          </w:tcPr>
          <w:p w14:paraId="5877B011" w14:textId="77777777" w:rsidR="00C96521" w:rsidRPr="00C96521" w:rsidRDefault="00C96521" w:rsidP="00C96521">
            <w:pPr>
              <w:widowControl/>
              <w:autoSpaceDE/>
              <w:autoSpaceDN/>
              <w:adjustRightInd/>
              <w:spacing w:after="300"/>
              <w:contextualSpacing/>
              <w:jc w:val="center"/>
              <w:rPr>
                <w:rFonts w:eastAsia="MS Gothic"/>
                <w:color w:val="1F497D"/>
                <w:spacing w:val="5"/>
                <w:kern w:val="28"/>
                <w:sz w:val="36"/>
                <w:szCs w:val="52"/>
                <w:lang w:val="en-GB"/>
              </w:rPr>
            </w:pPr>
          </w:p>
          <w:p w14:paraId="02AA5FE9" w14:textId="77777777" w:rsidR="00C96521" w:rsidRPr="00C96521" w:rsidRDefault="00C96521" w:rsidP="00C96521">
            <w:pPr>
              <w:widowControl/>
              <w:autoSpaceDE/>
              <w:autoSpaceDN/>
              <w:adjustRightInd/>
              <w:rPr>
                <w:sz w:val="20"/>
                <w:lang w:val="en-GB"/>
              </w:rPr>
            </w:pPr>
          </w:p>
          <w:p w14:paraId="5D2E180D" w14:textId="77777777" w:rsidR="00C96521" w:rsidRPr="00C96521" w:rsidRDefault="00C96521" w:rsidP="00C96521">
            <w:pPr>
              <w:widowControl/>
              <w:autoSpaceDE/>
              <w:autoSpaceDN/>
              <w:adjustRightInd/>
              <w:rPr>
                <w:sz w:val="20"/>
                <w:lang w:val="en-GB"/>
              </w:rPr>
            </w:pPr>
          </w:p>
          <w:p w14:paraId="4C5DA395" w14:textId="77777777" w:rsidR="00C96521" w:rsidRPr="00C96521" w:rsidRDefault="00C96521" w:rsidP="00C96521">
            <w:pPr>
              <w:widowControl/>
              <w:autoSpaceDE/>
              <w:autoSpaceDN/>
              <w:adjustRightInd/>
              <w:rPr>
                <w:sz w:val="20"/>
                <w:lang w:val="en-GB"/>
              </w:rPr>
            </w:pPr>
          </w:p>
          <w:p w14:paraId="3F597B72" w14:textId="77777777" w:rsidR="00C96521" w:rsidRPr="00C96521" w:rsidRDefault="00C96521" w:rsidP="00C96521">
            <w:pPr>
              <w:widowControl/>
              <w:autoSpaceDE/>
              <w:autoSpaceDN/>
              <w:adjustRightInd/>
              <w:rPr>
                <w:sz w:val="20"/>
                <w:lang w:val="en-GB"/>
              </w:rPr>
            </w:pPr>
          </w:p>
          <w:p w14:paraId="66E1A8F7" w14:textId="77777777" w:rsidR="00C96521" w:rsidRPr="00C96521" w:rsidRDefault="00C96521" w:rsidP="00C96521">
            <w:pPr>
              <w:widowControl/>
              <w:autoSpaceDE/>
              <w:autoSpaceDN/>
              <w:adjustRightInd/>
              <w:rPr>
                <w:sz w:val="20"/>
                <w:lang w:val="en-GB"/>
              </w:rPr>
            </w:pPr>
          </w:p>
          <w:p w14:paraId="7A1C02CA" w14:textId="77777777" w:rsidR="00C96521" w:rsidRPr="00C96521" w:rsidRDefault="00C96521" w:rsidP="00C96521">
            <w:pPr>
              <w:widowControl/>
              <w:autoSpaceDE/>
              <w:autoSpaceDN/>
              <w:adjustRightInd/>
              <w:rPr>
                <w:sz w:val="20"/>
                <w:lang w:val="en-GB"/>
              </w:rPr>
            </w:pPr>
          </w:p>
          <w:p w14:paraId="1FA3F147" w14:textId="77777777" w:rsidR="00C96521" w:rsidRPr="00C96521" w:rsidRDefault="00C96521" w:rsidP="00C96521">
            <w:pPr>
              <w:widowControl/>
              <w:autoSpaceDE/>
              <w:autoSpaceDN/>
              <w:adjustRightInd/>
              <w:rPr>
                <w:sz w:val="20"/>
                <w:lang w:val="en-GB"/>
              </w:rPr>
            </w:pPr>
          </w:p>
        </w:tc>
        <w:tc>
          <w:tcPr>
            <w:tcW w:w="7443" w:type="dxa"/>
            <w:gridSpan w:val="2"/>
            <w:vAlign w:val="bottom"/>
          </w:tcPr>
          <w:p w14:paraId="6F6BE7DD" w14:textId="77777777" w:rsidR="00C96521" w:rsidRPr="00C96521" w:rsidRDefault="00C96521" w:rsidP="00C96521">
            <w:pPr>
              <w:widowControl/>
              <w:autoSpaceDE/>
              <w:autoSpaceDN/>
              <w:adjustRightInd/>
              <w:spacing w:after="300"/>
              <w:contextualSpacing/>
              <w:jc w:val="right"/>
              <w:rPr>
                <w:rFonts w:eastAsia="MS Gothic"/>
                <w:color w:val="1F497D"/>
                <w:spacing w:val="5"/>
                <w:kern w:val="28"/>
                <w:sz w:val="36"/>
                <w:szCs w:val="52"/>
                <w:lang w:val="en-GB"/>
              </w:rPr>
            </w:pPr>
            <w:r w:rsidRPr="00C96521">
              <w:rPr>
                <w:rFonts w:eastAsia="MS Gothic"/>
                <w:noProof/>
                <w:color w:val="1F497D"/>
                <w:spacing w:val="5"/>
                <w:kern w:val="28"/>
                <w:sz w:val="36"/>
                <w:szCs w:val="52"/>
              </w:rPr>
              <w:drawing>
                <wp:inline distT="0" distB="0" distL="0" distR="0" wp14:anchorId="402C3643" wp14:editId="7B2A736A">
                  <wp:extent cx="1774445" cy="828675"/>
                  <wp:effectExtent l="19050" t="0" r="0" b="0"/>
                  <wp:docPr id="29" name="Picture 28" descr="logo_tcm7-3960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cm7-396074.png"/>
                          <pic:cNvPicPr/>
                        </pic:nvPicPr>
                        <pic:blipFill>
                          <a:blip r:embed="rId17" cstate="print"/>
                          <a:stretch>
                            <a:fillRect/>
                          </a:stretch>
                        </pic:blipFill>
                        <pic:spPr>
                          <a:xfrm>
                            <a:off x="0" y="0"/>
                            <a:ext cx="1774445" cy="828675"/>
                          </a:xfrm>
                          <a:prstGeom prst="rect">
                            <a:avLst/>
                          </a:prstGeom>
                        </pic:spPr>
                      </pic:pic>
                    </a:graphicData>
                  </a:graphic>
                </wp:inline>
              </w:drawing>
            </w:r>
            <w:r w:rsidRPr="00C96521">
              <w:rPr>
                <w:rFonts w:eastAsia="MS Gothic"/>
                <w:noProof/>
                <w:color w:val="1F497D"/>
                <w:spacing w:val="5"/>
                <w:kern w:val="28"/>
                <w:sz w:val="36"/>
                <w:szCs w:val="52"/>
              </w:rPr>
              <w:drawing>
                <wp:inline distT="0" distB="0" distL="0" distR="0" wp14:anchorId="269AA9DD" wp14:editId="16733C9C">
                  <wp:extent cx="1466850" cy="956072"/>
                  <wp:effectExtent l="0" t="0" r="0" b="0"/>
                  <wp:docPr id="32" name="Picture 31" descr="Birdlifelogo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dlifelogo_0.png"/>
                          <pic:cNvPicPr/>
                        </pic:nvPicPr>
                        <pic:blipFill>
                          <a:blip r:embed="rId18" cstate="print"/>
                          <a:srcRect r="81965"/>
                          <a:stretch>
                            <a:fillRect/>
                          </a:stretch>
                        </pic:blipFill>
                        <pic:spPr>
                          <a:xfrm>
                            <a:off x="0" y="0"/>
                            <a:ext cx="1466850" cy="956072"/>
                          </a:xfrm>
                          <a:prstGeom prst="rect">
                            <a:avLst/>
                          </a:prstGeom>
                        </pic:spPr>
                      </pic:pic>
                    </a:graphicData>
                  </a:graphic>
                </wp:inline>
              </w:drawing>
            </w:r>
            <w:r w:rsidRPr="00C96521">
              <w:rPr>
                <w:rFonts w:eastAsia="MS Gothic"/>
                <w:noProof/>
                <w:color w:val="1F497D"/>
                <w:spacing w:val="5"/>
                <w:kern w:val="28"/>
                <w:sz w:val="36"/>
                <w:szCs w:val="52"/>
              </w:rPr>
              <w:drawing>
                <wp:inline distT="0" distB="0" distL="0" distR="0" wp14:anchorId="5DE8DE6C" wp14:editId="49A9C673">
                  <wp:extent cx="1209675" cy="961019"/>
                  <wp:effectExtent l="19050" t="0" r="9525" b="0"/>
                  <wp:docPr id="33" name="Picture 32" descr="FAC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 logo.jpg"/>
                          <pic:cNvPicPr/>
                        </pic:nvPicPr>
                        <pic:blipFill>
                          <a:blip r:embed="rId19" cstate="print"/>
                          <a:stretch>
                            <a:fillRect/>
                          </a:stretch>
                        </pic:blipFill>
                        <pic:spPr>
                          <a:xfrm>
                            <a:off x="0" y="0"/>
                            <a:ext cx="1203364" cy="956005"/>
                          </a:xfrm>
                          <a:prstGeom prst="rect">
                            <a:avLst/>
                          </a:prstGeom>
                        </pic:spPr>
                      </pic:pic>
                    </a:graphicData>
                  </a:graphic>
                </wp:inline>
              </w:drawing>
            </w:r>
          </w:p>
          <w:p w14:paraId="19AAF689" w14:textId="77777777" w:rsidR="00C96521" w:rsidRPr="00C96521" w:rsidRDefault="00C96521" w:rsidP="00C96521">
            <w:pPr>
              <w:widowControl/>
              <w:autoSpaceDE/>
              <w:autoSpaceDN/>
              <w:adjustRightInd/>
              <w:jc w:val="right"/>
              <w:rPr>
                <w:sz w:val="20"/>
                <w:lang w:val="en-GB"/>
              </w:rPr>
            </w:pPr>
            <w:r w:rsidRPr="00C96521">
              <w:rPr>
                <w:noProof/>
                <w:sz w:val="20"/>
              </w:rPr>
              <w:drawing>
                <wp:inline distT="0" distB="0" distL="0" distR="0" wp14:anchorId="112F153A" wp14:editId="056777B5">
                  <wp:extent cx="1816215" cy="894555"/>
                  <wp:effectExtent l="0" t="0" r="0" b="1270"/>
                  <wp:docPr id="5" name="Picture 4" descr="UNEnvironment_Logo_English_Short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nvironment_Logo_English_Short_colour.jpg"/>
                          <pic:cNvPicPr/>
                        </pic:nvPicPr>
                        <pic:blipFill rotWithShape="1">
                          <a:blip r:embed="rId20" cstate="print"/>
                          <a:srcRect t="10349" b="13759"/>
                          <a:stretch/>
                        </pic:blipFill>
                        <pic:spPr bwMode="auto">
                          <a:xfrm>
                            <a:off x="0" y="0"/>
                            <a:ext cx="1819526" cy="89618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C96521">
              <w:rPr>
                <w:noProof/>
                <w:sz w:val="20"/>
              </w:rPr>
              <w:drawing>
                <wp:inline distT="0" distB="0" distL="0" distR="0" wp14:anchorId="0CEF3E3D" wp14:editId="2A398CDC">
                  <wp:extent cx="610723" cy="914400"/>
                  <wp:effectExtent l="0" t="0" r="0" b="0"/>
                  <wp:docPr id="97" name="Picture 2" descr="cms_logo_blue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s_logo_blue4c.jpg"/>
                          <pic:cNvPicPr/>
                        </pic:nvPicPr>
                        <pic:blipFill rotWithShape="1">
                          <a:blip r:embed="rId21" cstate="print"/>
                          <a:srcRect b="-6904"/>
                          <a:stretch/>
                        </pic:blipFill>
                        <pic:spPr bwMode="auto">
                          <a:xfrm>
                            <a:off x="0" y="0"/>
                            <a:ext cx="611041" cy="91487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bl>
    <w:p w14:paraId="3E2DC9EA" w14:textId="77777777" w:rsidR="00C96521" w:rsidRDefault="00C96521" w:rsidP="00C96521">
      <w:pPr>
        <w:widowControl/>
        <w:autoSpaceDE/>
        <w:autoSpaceDN/>
        <w:adjustRightInd/>
        <w:spacing w:line="276" w:lineRule="auto"/>
        <w:rPr>
          <w:rFonts w:eastAsia="Calibri"/>
          <w:sz w:val="20"/>
          <w:szCs w:val="22"/>
          <w:lang w:val="en-GB" w:eastAsia="ja-JP"/>
        </w:rPr>
        <w:sectPr w:rsidR="00C96521" w:rsidSect="00C96521">
          <w:headerReference w:type="even" r:id="rId22"/>
          <w:headerReference w:type="default" r:id="rId23"/>
          <w:headerReference w:type="first" r:id="rId24"/>
          <w:footerReference w:type="first" r:id="rId25"/>
          <w:pgSz w:w="11920" w:h="16840"/>
          <w:pgMar w:top="1276" w:right="1300" w:bottom="920" w:left="1300" w:header="730" w:footer="738" w:gutter="0"/>
          <w:cols w:space="720"/>
          <w:titlePg/>
          <w:docGrid w:linePitch="299"/>
        </w:sectPr>
      </w:pPr>
      <w:r w:rsidRPr="00C96521">
        <w:rPr>
          <w:rFonts w:eastAsia="MS Mincho"/>
          <w:noProof/>
          <w:sz w:val="20"/>
          <w:szCs w:val="22"/>
        </w:rPr>
        <mc:AlternateContent>
          <mc:Choice Requires="wps">
            <w:drawing>
              <wp:anchor distT="0" distB="0" distL="114300" distR="114300" simplePos="0" relativeHeight="251659776" behindDoc="0" locked="0" layoutInCell="1" allowOverlap="1" wp14:anchorId="3A908868" wp14:editId="55CDC14A">
                <wp:simplePos x="0" y="0"/>
                <wp:positionH relativeFrom="column">
                  <wp:posOffset>4318000</wp:posOffset>
                </wp:positionH>
                <wp:positionV relativeFrom="paragraph">
                  <wp:posOffset>3448685</wp:posOffset>
                </wp:positionV>
                <wp:extent cx="1104900" cy="238125"/>
                <wp:effectExtent l="0" t="1905" r="0" b="0"/>
                <wp:wrapNone/>
                <wp:docPr id="8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381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DD97E93" w14:textId="77777777" w:rsidR="00B44B0D" w:rsidRPr="00C96521" w:rsidRDefault="00B44B0D" w:rsidP="00C96521">
                            <w:pPr>
                              <w:rPr>
                                <w:color w:val="FFFFFF"/>
                              </w:rPr>
                            </w:pPr>
                            <w:r w:rsidRPr="00C96521">
                              <w:rPr>
                                <w:color w:val="FFFFFF"/>
                              </w:rPr>
                              <w:t>© John Mallord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08868" id="Text Box 99" o:spid="_x0000_s1027" type="#_x0000_t202" style="position:absolute;margin-left:340pt;margin-top:271.55pt;width:87pt;height:18.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aiSQIAAE4EAAAOAAAAZHJzL2Uyb0RvYy54bWysVNtu2zAMfR+wfxD07vpSJ7GNOEWbNMOA&#10;7gK0+wBFlmNjtqhJSuxs2L+PktM2296GvRiSSB6S55Be3ox9R45CmxZkSeOriBIhOVSt3Jf0y9M2&#10;yCgxlsmKdSBFSU/C0JvV2zfLQRUigQa6SmiCINIUgyppY60qwtDwRvTMXIESEo016J5ZvOp9WGk2&#10;IHrfhUkUzcMBdKU0cGEMvm4mI115/LoW3H6qayMs6UqKtVn/1f67c99wtWTFXjPVtPxcBvuHKnrW&#10;Skz6ArVhlpGDbv+C6luuwUBtrzj0IdR1y4XvAbuJoz+6eWyYEr4XJMeoF5rM/4PlH4+fNWmrkmao&#10;lGQ9avQkRkvuYCR57vgZlCnQ7VGhox3xHXX2vRr1APyrIRLWDZN7cas1DI1gFdYXu8jwInTCMQ5k&#10;N3yACvOwgwUPNNa6d+QhHQTRUafTizauFu5SxlGaR2jiaEuusziZ+RSseI5W2th3AnriDiXVqL1H&#10;Z8cHY101rHh2cckkbNuu8/p38rcHdJxeMDeGOpurwsv5I4/y++w+S4M0md8HaVRVwe12nQbzbbyY&#10;ba436/Um/jmN1UVQnKTRXZIH23m2CNI6nQX5IsqCKM7v8jk2lm62PghTPyf15Dm+JubsuBu9Tp5Z&#10;R+wOqhOyqWEaalxCPDSgv1My4ECX1Hw7MC0o6d5LVCSP09RtgL+ks0WCF31p2V1amOQIVVJLyXRc&#10;22lrDkq3+wYzTTMg4RZVrFtP8GtVZ+1xaD3v5wVzW3F5916vv4HVLwAAAP//AwBQSwMEFAAGAAgA&#10;AAAhANrBABPfAAAACwEAAA8AAABkcnMvZG93bnJldi54bWxMj81OwzAQhO9IfQdrK3GjdksShRCn&#10;qkBcQZQfiZsbb5OIeB3FbhPenuVEjzs7mvmm3M6uF2ccQ+dJw3qlQCDV3nbUaHh/e7rJQYRoyJre&#10;E2r4wQDbanFVmsL6iV7xvI+N4BAKhdHQxjgUUoa6RWfCyg9I/Dv60ZnI59hIO5qJw10vN0pl0pmO&#10;uKE1Az60WH/vT07Dx/Px6zNRL82jS4fJz0qSu5NaXy/n3T2IiHP8N8MfPqNDxUwHfyIbRK8hyxVv&#10;iRrS5HYNgh15mrByYCVXGciqlJcbql8AAAD//wMAUEsBAi0AFAAGAAgAAAAhALaDOJL+AAAA4QEA&#10;ABMAAAAAAAAAAAAAAAAAAAAAAFtDb250ZW50X1R5cGVzXS54bWxQSwECLQAUAAYACAAAACEAOP0h&#10;/9YAAACUAQAACwAAAAAAAAAAAAAAAAAvAQAAX3JlbHMvLnJlbHNQSwECLQAUAAYACAAAACEADLiW&#10;okkCAABOBAAADgAAAAAAAAAAAAAAAAAuAgAAZHJzL2Uyb0RvYy54bWxQSwECLQAUAAYACAAAACEA&#10;2sEAE98AAAALAQAADwAAAAAAAAAAAAAAAACjBAAAZHJzL2Rvd25yZXYueG1sUEsFBgAAAAAEAAQA&#10;8wAAAK8FAAAAAA==&#10;" filled="f" stroked="f">
                <v:textbox>
                  <w:txbxContent>
                    <w:p w14:paraId="6DD97E93" w14:textId="77777777" w:rsidR="00B44B0D" w:rsidRPr="00C96521" w:rsidRDefault="00B44B0D" w:rsidP="00C96521">
                      <w:pPr>
                        <w:rPr>
                          <w:color w:val="FFFFFF"/>
                        </w:rPr>
                      </w:pPr>
                      <w:r w:rsidRPr="00C96521">
                        <w:rPr>
                          <w:color w:val="FFFFFF"/>
                        </w:rPr>
                        <w:t>© John Mallord</w:t>
                      </w:r>
                    </w:p>
                  </w:txbxContent>
                </v:textbox>
              </v:shape>
            </w:pict>
          </mc:Fallback>
        </mc:AlternateContent>
      </w:r>
      <w:r w:rsidRPr="00C96521">
        <w:rPr>
          <w:rFonts w:eastAsia="Calibri"/>
          <w:sz w:val="20"/>
          <w:szCs w:val="22"/>
          <w:lang w:val="en-GB" w:eastAsia="ja-JP"/>
        </w:rPr>
        <w:t xml:space="preserve"> </w:t>
      </w:r>
    </w:p>
    <w:p w14:paraId="3E16A386" w14:textId="77777777" w:rsidR="00C96521" w:rsidRPr="00C96521" w:rsidRDefault="00C96521" w:rsidP="00C96521">
      <w:pPr>
        <w:widowControl/>
        <w:autoSpaceDE/>
        <w:autoSpaceDN/>
        <w:adjustRightInd/>
        <w:spacing w:line="276" w:lineRule="auto"/>
        <w:rPr>
          <w:rFonts w:eastAsia="MS Mincho"/>
          <w:spacing w:val="-1"/>
          <w:sz w:val="16"/>
          <w:szCs w:val="16"/>
          <w:lang w:val="en-GB" w:eastAsia="ja-JP"/>
        </w:rPr>
      </w:pPr>
      <w:r w:rsidRPr="00C96521">
        <w:rPr>
          <w:rFonts w:eastAsia="MS Mincho"/>
          <w:b/>
          <w:spacing w:val="-1"/>
          <w:sz w:val="16"/>
          <w:szCs w:val="16"/>
          <w:lang w:val="en-GB" w:eastAsia="ja-JP"/>
        </w:rPr>
        <w:t>Adopting Frameworks:</w:t>
      </w:r>
      <w:r w:rsidRPr="00C96521">
        <w:rPr>
          <w:rFonts w:eastAsia="MS Mincho"/>
          <w:spacing w:val="-1"/>
          <w:sz w:val="16"/>
          <w:szCs w:val="16"/>
          <w:lang w:val="en-GB" w:eastAsia="ja-JP"/>
        </w:rPr>
        <w:t xml:space="preserve"> </w:t>
      </w:r>
      <w:r w:rsidRPr="00C96521">
        <w:rPr>
          <w:rFonts w:eastAsia="MS Mincho"/>
          <w:i/>
          <w:spacing w:val="-1"/>
          <w:sz w:val="16"/>
          <w:szCs w:val="16"/>
          <w:lang w:val="en-GB" w:eastAsia="ja-JP"/>
        </w:rPr>
        <w:t>to be completed for final version, depending on timetable.</w:t>
      </w:r>
      <w:r w:rsidRPr="00C96521">
        <w:rPr>
          <w:rFonts w:eastAsia="MS Mincho"/>
          <w:spacing w:val="-1"/>
          <w:sz w:val="16"/>
          <w:szCs w:val="16"/>
          <w:lang w:val="en-GB" w:eastAsia="ja-JP"/>
        </w:rPr>
        <w:t xml:space="preserve"> The Action Plan was prepared through EuroSAP, a LIFE preparatory project, co-financed by the European Commission Directorate General for the Environment, the African-Eurasian Migratory Waterbird Agreement (AEWA), and by each of the project partners, and coordinated by BirdLife International. http://www.birdlife.org/europe-and-central-asia/project/life-eurosap submitted 30-11-2015.</w:t>
      </w:r>
    </w:p>
    <w:p w14:paraId="058C20CD" w14:textId="77777777" w:rsidR="00C96521" w:rsidRPr="00C96521" w:rsidRDefault="00C96521" w:rsidP="00C96521">
      <w:pPr>
        <w:widowControl/>
        <w:autoSpaceDE/>
        <w:autoSpaceDN/>
        <w:adjustRightInd/>
        <w:spacing w:line="276" w:lineRule="auto"/>
        <w:rPr>
          <w:rFonts w:eastAsia="MS Mincho"/>
          <w:spacing w:val="-1"/>
          <w:sz w:val="16"/>
          <w:szCs w:val="16"/>
          <w:lang w:val="en-GB" w:eastAsia="ja-JP"/>
        </w:rPr>
      </w:pPr>
    </w:p>
    <w:p w14:paraId="6BD31922" w14:textId="77777777" w:rsidR="00C96521" w:rsidRPr="00C96521" w:rsidRDefault="00C96521" w:rsidP="00C96521">
      <w:pPr>
        <w:widowControl/>
        <w:autoSpaceDE/>
        <w:autoSpaceDN/>
        <w:adjustRightInd/>
        <w:spacing w:line="276" w:lineRule="auto"/>
        <w:rPr>
          <w:rFonts w:eastAsia="MS Mincho"/>
          <w:b/>
          <w:spacing w:val="2"/>
          <w:sz w:val="16"/>
          <w:szCs w:val="16"/>
          <w:lang w:val="en-GB" w:eastAsia="ja-JP"/>
        </w:rPr>
      </w:pPr>
      <w:r w:rsidRPr="00C96521">
        <w:rPr>
          <w:rFonts w:eastAsia="MS Mincho"/>
          <w:b/>
          <w:spacing w:val="-1"/>
          <w:sz w:val="16"/>
          <w:szCs w:val="16"/>
          <w:lang w:val="en-GB" w:eastAsia="ja-JP"/>
        </w:rPr>
        <w:t>C</w:t>
      </w:r>
      <w:r w:rsidRPr="00C96521">
        <w:rPr>
          <w:rFonts w:eastAsia="MS Mincho"/>
          <w:b/>
          <w:sz w:val="16"/>
          <w:szCs w:val="16"/>
          <w:lang w:val="en-GB" w:eastAsia="ja-JP"/>
        </w:rPr>
        <w:t>omp</w:t>
      </w:r>
      <w:r w:rsidRPr="00C96521">
        <w:rPr>
          <w:rFonts w:eastAsia="MS Mincho"/>
          <w:b/>
          <w:spacing w:val="1"/>
          <w:sz w:val="16"/>
          <w:szCs w:val="16"/>
          <w:lang w:val="en-GB" w:eastAsia="ja-JP"/>
        </w:rPr>
        <w:t>i</w:t>
      </w:r>
      <w:r w:rsidRPr="00C96521">
        <w:rPr>
          <w:rFonts w:eastAsia="MS Mincho"/>
          <w:b/>
          <w:sz w:val="16"/>
          <w:szCs w:val="16"/>
          <w:lang w:val="en-GB" w:eastAsia="ja-JP"/>
        </w:rPr>
        <w:t xml:space="preserve">lers: </w:t>
      </w:r>
      <w:r w:rsidRPr="00C96521">
        <w:rPr>
          <w:rFonts w:eastAsia="MS Mincho"/>
          <w:b/>
          <w:spacing w:val="2"/>
          <w:sz w:val="16"/>
          <w:szCs w:val="16"/>
          <w:lang w:val="en-GB" w:eastAsia="ja-JP"/>
        </w:rPr>
        <w:t>Ian Fisher</w:t>
      </w:r>
      <w:r w:rsidRPr="00C96521">
        <w:rPr>
          <w:rFonts w:eastAsia="MS Mincho"/>
          <w:b/>
          <w:spacing w:val="2"/>
          <w:sz w:val="16"/>
          <w:szCs w:val="16"/>
          <w:vertAlign w:val="superscript"/>
          <w:lang w:val="en-GB" w:eastAsia="ja-JP"/>
        </w:rPr>
        <w:t>1</w:t>
      </w:r>
      <w:r w:rsidRPr="00C96521">
        <w:rPr>
          <w:rFonts w:eastAsia="MS Mincho"/>
          <w:b/>
          <w:spacing w:val="2"/>
          <w:sz w:val="16"/>
          <w:szCs w:val="16"/>
          <w:lang w:val="en-GB" w:eastAsia="ja-JP"/>
        </w:rPr>
        <w:t xml:space="preserve">, </w:t>
      </w:r>
      <w:r w:rsidRPr="00C96521">
        <w:rPr>
          <w:rFonts w:eastAsia="MS Mincho"/>
          <w:b/>
          <w:spacing w:val="1"/>
          <w:sz w:val="16"/>
          <w:szCs w:val="16"/>
          <w:lang w:val="en-GB" w:eastAsia="ja-JP"/>
        </w:rPr>
        <w:t>Joscelyne Ashpole</w:t>
      </w:r>
      <w:r w:rsidRPr="00C96521">
        <w:rPr>
          <w:rFonts w:eastAsia="MS Mincho"/>
          <w:b/>
          <w:spacing w:val="1"/>
          <w:sz w:val="16"/>
          <w:szCs w:val="16"/>
          <w:vertAlign w:val="superscript"/>
          <w:lang w:val="en-GB" w:eastAsia="ja-JP"/>
        </w:rPr>
        <w:t>1</w:t>
      </w:r>
      <w:r w:rsidRPr="00C96521">
        <w:rPr>
          <w:rFonts w:eastAsia="MS Mincho"/>
          <w:b/>
          <w:spacing w:val="2"/>
          <w:sz w:val="16"/>
          <w:szCs w:val="16"/>
          <w:lang w:val="en-GB" w:eastAsia="ja-JP"/>
        </w:rPr>
        <w:t>, David Scallan</w:t>
      </w:r>
      <w:r w:rsidRPr="00C96521">
        <w:rPr>
          <w:rFonts w:eastAsia="MS Mincho"/>
          <w:b/>
          <w:spacing w:val="2"/>
          <w:sz w:val="16"/>
          <w:szCs w:val="16"/>
          <w:vertAlign w:val="superscript"/>
          <w:lang w:val="en-GB" w:eastAsia="ja-JP"/>
        </w:rPr>
        <w:t>2</w:t>
      </w:r>
      <w:r w:rsidRPr="00C96521">
        <w:rPr>
          <w:rFonts w:eastAsia="MS Mincho"/>
          <w:b/>
          <w:spacing w:val="2"/>
          <w:sz w:val="16"/>
          <w:szCs w:val="16"/>
          <w:lang w:val="en-GB" w:eastAsia="ja-JP"/>
        </w:rPr>
        <w:t>, Carles Carboneras</w:t>
      </w:r>
      <w:r w:rsidRPr="00C96521">
        <w:rPr>
          <w:rFonts w:eastAsia="MS Mincho"/>
          <w:b/>
          <w:spacing w:val="2"/>
          <w:sz w:val="16"/>
          <w:szCs w:val="16"/>
          <w:vertAlign w:val="superscript"/>
          <w:lang w:val="en-GB" w:eastAsia="ja-JP"/>
        </w:rPr>
        <w:t>1</w:t>
      </w:r>
      <w:r w:rsidRPr="00C96521">
        <w:rPr>
          <w:rFonts w:eastAsia="MS Mincho"/>
          <w:b/>
          <w:spacing w:val="2"/>
          <w:sz w:val="16"/>
          <w:szCs w:val="16"/>
          <w:lang w:val="en-GB" w:eastAsia="ja-JP"/>
        </w:rPr>
        <w:t xml:space="preserve"> and Tara Proud</w:t>
      </w:r>
      <w:r w:rsidRPr="00C96521">
        <w:rPr>
          <w:rFonts w:eastAsia="MS Mincho"/>
          <w:b/>
          <w:spacing w:val="2"/>
          <w:sz w:val="16"/>
          <w:szCs w:val="16"/>
          <w:vertAlign w:val="superscript"/>
          <w:lang w:val="en-GB" w:eastAsia="ja-JP"/>
        </w:rPr>
        <w:t>1</w:t>
      </w:r>
    </w:p>
    <w:p w14:paraId="1C782431" w14:textId="77777777" w:rsidR="00C96521" w:rsidRPr="00C96521" w:rsidRDefault="00C96521" w:rsidP="00C96521">
      <w:pPr>
        <w:widowControl/>
        <w:autoSpaceDE/>
        <w:autoSpaceDN/>
        <w:adjustRightInd/>
        <w:spacing w:line="276" w:lineRule="auto"/>
        <w:rPr>
          <w:rFonts w:eastAsia="MS Mincho"/>
          <w:spacing w:val="2"/>
          <w:sz w:val="16"/>
          <w:szCs w:val="16"/>
          <w:lang w:val="en-GB" w:eastAsia="ja-JP"/>
        </w:rPr>
      </w:pPr>
      <w:r w:rsidRPr="00C96521">
        <w:rPr>
          <w:rFonts w:eastAsia="MS Mincho"/>
          <w:spacing w:val="2"/>
          <w:sz w:val="16"/>
          <w:szCs w:val="16"/>
          <w:vertAlign w:val="superscript"/>
          <w:lang w:val="en-GB" w:eastAsia="ja-JP"/>
        </w:rPr>
        <w:t>1</w:t>
      </w:r>
      <w:r w:rsidRPr="00C96521">
        <w:rPr>
          <w:rFonts w:eastAsia="MS Mincho"/>
          <w:spacing w:val="2"/>
          <w:sz w:val="16"/>
          <w:szCs w:val="16"/>
          <w:lang w:val="en-GB" w:eastAsia="ja-JP"/>
        </w:rPr>
        <w:t>RSPB, The Lodge, Sandy, Bedfordshire, SG19 2DL, United Kingdom.</w:t>
      </w:r>
    </w:p>
    <w:p w14:paraId="48112293" w14:textId="77777777" w:rsidR="00C96521" w:rsidRPr="00C96521" w:rsidRDefault="00C96521" w:rsidP="00C96521">
      <w:pPr>
        <w:widowControl/>
        <w:autoSpaceDE/>
        <w:autoSpaceDN/>
        <w:adjustRightInd/>
        <w:spacing w:line="276" w:lineRule="auto"/>
        <w:rPr>
          <w:rFonts w:eastAsia="MS Mincho"/>
          <w:spacing w:val="2"/>
          <w:sz w:val="16"/>
          <w:szCs w:val="16"/>
          <w:lang w:val="en-GB" w:eastAsia="ja-JP"/>
        </w:rPr>
      </w:pPr>
      <w:r w:rsidRPr="00C96521">
        <w:rPr>
          <w:rFonts w:eastAsia="MS Mincho"/>
          <w:spacing w:val="2"/>
          <w:sz w:val="16"/>
          <w:szCs w:val="16"/>
          <w:vertAlign w:val="superscript"/>
          <w:lang w:val="en-GB" w:eastAsia="ja-JP"/>
        </w:rPr>
        <w:t>2</w:t>
      </w:r>
      <w:r w:rsidRPr="00C96521">
        <w:rPr>
          <w:rFonts w:eastAsia="MS Mincho"/>
          <w:spacing w:val="2"/>
          <w:sz w:val="16"/>
          <w:szCs w:val="16"/>
          <w:lang w:val="en-GB" w:eastAsia="ja-JP"/>
        </w:rPr>
        <w:t>The European Federation of Associations for Hunting and Conservation (FACE), Rue F. Pelletier 82, 1030 Brussels, Belgium.</w:t>
      </w:r>
    </w:p>
    <w:p w14:paraId="546832C6" w14:textId="77777777" w:rsidR="00C96521" w:rsidRPr="00C96521" w:rsidRDefault="00C96521" w:rsidP="00C96521">
      <w:pPr>
        <w:widowControl/>
        <w:autoSpaceDE/>
        <w:autoSpaceDN/>
        <w:adjustRightInd/>
        <w:spacing w:line="276" w:lineRule="auto"/>
        <w:rPr>
          <w:rFonts w:eastAsia="MS Mincho"/>
          <w:spacing w:val="1"/>
          <w:sz w:val="16"/>
          <w:szCs w:val="16"/>
          <w:lang w:val="en-GB" w:eastAsia="ja-JP"/>
        </w:rPr>
      </w:pPr>
    </w:p>
    <w:p w14:paraId="3C70B9CF" w14:textId="7A534B1D" w:rsidR="00C96521" w:rsidRPr="00C96521" w:rsidRDefault="00C96521" w:rsidP="00C96521">
      <w:pPr>
        <w:widowControl/>
        <w:autoSpaceDE/>
        <w:autoSpaceDN/>
        <w:adjustRightInd/>
        <w:spacing w:line="276" w:lineRule="auto"/>
        <w:rPr>
          <w:rFonts w:cs="Arial"/>
          <w:sz w:val="16"/>
          <w:szCs w:val="16"/>
          <w:lang w:val="en-GB" w:eastAsia="en-GB"/>
        </w:rPr>
      </w:pPr>
      <w:r w:rsidRPr="00C96521">
        <w:rPr>
          <w:rFonts w:eastAsia="MS Mincho"/>
          <w:b/>
          <w:spacing w:val="1"/>
          <w:sz w:val="16"/>
          <w:szCs w:val="16"/>
          <w:lang w:val="en-GB" w:eastAsia="ja-JP"/>
        </w:rPr>
        <w:t>Contributors:</w:t>
      </w:r>
      <w:r w:rsidRPr="00C96521">
        <w:rPr>
          <w:rFonts w:eastAsia="MS Mincho"/>
          <w:spacing w:val="1"/>
          <w:sz w:val="16"/>
          <w:szCs w:val="16"/>
          <w:lang w:val="en-GB" w:eastAsia="ja-JP"/>
        </w:rPr>
        <w:t xml:space="preserve"> </w:t>
      </w:r>
      <w:r w:rsidRPr="00C96521">
        <w:rPr>
          <w:rFonts w:cs="Arial"/>
          <w:sz w:val="16"/>
          <w:szCs w:val="16"/>
          <w:lang w:val="en-GB" w:eastAsia="en-GB"/>
        </w:rPr>
        <w:t xml:space="preserve">Júlia Almeida (Instituto da Conservação da Natureza e das Florestas, Portugal), Alessandro Andreotti (ISPRA, Italy), </w:t>
      </w:r>
      <w:r w:rsidRPr="00C96521">
        <w:rPr>
          <w:rFonts w:eastAsia="MS Mincho" w:cs="Arial"/>
          <w:spacing w:val="1"/>
          <w:sz w:val="16"/>
          <w:szCs w:val="16"/>
          <w:lang w:val="en-GB" w:eastAsia="ja-JP"/>
        </w:rPr>
        <w:t xml:space="preserve">Džiugas Anuškevicius (Protected Area Strategy Division, Lithuania), Jean-Pierre Arnauduc (Chasseurs de France, FACE), </w:t>
      </w:r>
      <w:r w:rsidRPr="00C96521">
        <w:rPr>
          <w:rFonts w:cs="Arial"/>
          <w:sz w:val="16"/>
          <w:szCs w:val="16"/>
          <w:lang w:val="en-GB" w:eastAsia="en-GB"/>
        </w:rPr>
        <w:t xml:space="preserve">Beatriz Arroyo López (Instituto de Investigacion en Recursos Cinegeticos, Spain), </w:t>
      </w:r>
      <w:r w:rsidRPr="00C96521">
        <w:rPr>
          <w:rFonts w:eastAsia="MS Mincho" w:cs="Arial"/>
          <w:sz w:val="16"/>
          <w:szCs w:val="16"/>
          <w:lang w:val="en-GB" w:eastAsia="en-GB"/>
        </w:rPr>
        <w:t xml:space="preserve">Zeynel Arslangündogdu (Forestry Department, Istanbul University, Turkey), Marita Arvela (DG ENV.D3 Nature Protection Unit), </w:t>
      </w:r>
      <w:r w:rsidRPr="00C96521">
        <w:rPr>
          <w:rFonts w:cs="Arial"/>
          <w:sz w:val="16"/>
          <w:szCs w:val="16"/>
          <w:lang w:val="en-GB" w:eastAsia="en-GB"/>
        </w:rPr>
        <w:t xml:space="preserve">Juan Carlos Atienza (SEO/BirdLife, Spain), Ainars Aunins (University of Latvia), </w:t>
      </w:r>
      <w:r w:rsidRPr="00C96521">
        <w:rPr>
          <w:rFonts w:eastAsia="MS Mincho" w:cs="Arial"/>
          <w:sz w:val="16"/>
          <w:szCs w:val="16"/>
          <w:lang w:val="en-GB" w:eastAsia="en-GB"/>
        </w:rPr>
        <w:t xml:space="preserve">Raffael Ayé (BirdLife Switzerland), </w:t>
      </w:r>
      <w:r w:rsidRPr="00C96521">
        <w:rPr>
          <w:rFonts w:cs="Arial"/>
          <w:sz w:val="16"/>
          <w:szCs w:val="16"/>
          <w:lang w:val="en-GB" w:eastAsia="en-GB"/>
        </w:rPr>
        <w:t xml:space="preserve">Miguel Aymerich Huyghues-Despointes (Dirección General de Calidad y Evaluación Ambiental y Medio Natural, Spain), Ali El Ayoubi (Service de la Cynégétique et de la Pisciculture Continentale, Morocco), Dimitrios E Bakaloudis (Aristotle University of Thessaloniki, Greece), Attila Bankovics (Hungarian Natural History Museum), Nicholas Barbara (BirdLife Malta), Sanja Barišić (Institute of Ornithology CASA, Croatia), Christos Barboutis (HOS, BirdLife Greece), Clive R Barlow (Birds of The Gambia), Mikis Bastian (natur&amp;ëmwelt, BirdLife Luxembourg), Oscar Beltrán (Oficina Nacional de Caza, Spain), Ettayib Bensaci (ANAO, Algeria), </w:t>
      </w:r>
      <w:r w:rsidRPr="00C96521">
        <w:rPr>
          <w:rFonts w:eastAsia="MS Mincho" w:cs="Arial"/>
          <w:spacing w:val="1"/>
          <w:sz w:val="16"/>
          <w:szCs w:val="16"/>
          <w:lang w:val="en-GB" w:eastAsia="ja-JP"/>
        </w:rPr>
        <w:t xml:space="preserve">Andrej Bibic (Sector for Nature Conservation, Slovenia), </w:t>
      </w:r>
      <w:r w:rsidRPr="00C96521">
        <w:rPr>
          <w:rFonts w:eastAsia="MS Mincho" w:cs="Arial"/>
          <w:sz w:val="16"/>
          <w:szCs w:val="16"/>
          <w:lang w:val="en-GB" w:eastAsia="en-GB"/>
        </w:rPr>
        <w:t xml:space="preserve">Olivier Bibier (AEMLAP), </w:t>
      </w:r>
      <w:r w:rsidRPr="00C96521">
        <w:rPr>
          <w:rFonts w:eastAsia="MS Mincho" w:cs="Arial"/>
          <w:spacing w:val="1"/>
          <w:sz w:val="16"/>
          <w:szCs w:val="16"/>
          <w:lang w:val="en-GB" w:eastAsia="ja-JP"/>
        </w:rPr>
        <w:t xml:space="preserve">Gilles Biver (Department of Environment, Ministry of Sustainable Development and Infrastructure, Luxembourg), </w:t>
      </w:r>
      <w:r w:rsidRPr="00C96521">
        <w:rPr>
          <w:rFonts w:cs="Arial"/>
          <w:sz w:val="16"/>
          <w:szCs w:val="16"/>
          <w:lang w:val="en-GB" w:eastAsia="en-GB"/>
        </w:rPr>
        <w:t xml:space="preserve">Jules Bos (Vogelbescherming Nederland, BirdLife Netherlands), </w:t>
      </w:r>
      <w:r w:rsidRPr="00C96521">
        <w:rPr>
          <w:rFonts w:eastAsia="MS Mincho" w:cs="Arial"/>
          <w:sz w:val="16"/>
          <w:szCs w:val="16"/>
          <w:lang w:val="en-GB" w:eastAsia="en-GB"/>
        </w:rPr>
        <w:t xml:space="preserve">Willem van den Bossche (BirdLife Europe Secretariat), Pamela Braham (RSPB, BirdLife UK), Micheál Ó Briain (DG ENV.D3 Nature Protection Unit), </w:t>
      </w:r>
      <w:r w:rsidRPr="00C96521">
        <w:rPr>
          <w:rFonts w:cs="Arial"/>
          <w:sz w:val="16"/>
          <w:szCs w:val="16"/>
          <w:lang w:val="en-GB" w:eastAsia="en-GB"/>
        </w:rPr>
        <w:t xml:space="preserve">Joost Brouwer (Brouwer Consultancy, West African Bird Database), Stephen Brown (GCT, </w:t>
      </w:r>
      <w:r w:rsidR="00BE5EF4">
        <w:rPr>
          <w:rFonts w:cs="Arial"/>
          <w:sz w:val="16"/>
          <w:szCs w:val="16"/>
          <w:lang w:val="en-GB" w:eastAsia="en-GB"/>
        </w:rPr>
        <w:t>t</w:t>
      </w:r>
      <w:r w:rsidRPr="00C96521">
        <w:rPr>
          <w:rFonts w:cs="Arial"/>
          <w:sz w:val="16"/>
          <w:szCs w:val="16"/>
          <w:lang w:val="en-GB" w:eastAsia="en-GB"/>
        </w:rPr>
        <w:t xml:space="preserve">he Gambia), </w:t>
      </w:r>
      <w:r w:rsidRPr="00C96521">
        <w:rPr>
          <w:rFonts w:eastAsia="MS Mincho" w:cs="Arial"/>
          <w:sz w:val="16"/>
          <w:szCs w:val="16"/>
          <w:lang w:val="en-GB" w:eastAsia="en-GB"/>
        </w:rPr>
        <w:t xml:space="preserve">Ariel Brunner (BirdLife Europe Secretariat), </w:t>
      </w:r>
      <w:r w:rsidRPr="00C96521">
        <w:rPr>
          <w:rFonts w:cs="Arial"/>
          <w:sz w:val="16"/>
          <w:szCs w:val="16"/>
          <w:lang w:val="en-GB" w:eastAsia="en-GB"/>
        </w:rPr>
        <w:t xml:space="preserve">Ivan Budinski (BIOM, BirdLife Croatia), Sebastian Bugariu (SOR, BirdLife Romania), Malte Busch (Dachverband Deutscher Avifaunisten, Germany), Sara Cabezas (SEO/BirdLife, Spain), Wendy Cain (RSPB, BirdLife UK), </w:t>
      </w:r>
      <w:r w:rsidRPr="00C96521">
        <w:rPr>
          <w:rFonts w:eastAsia="MS Mincho" w:cs="Arial"/>
          <w:sz w:val="16"/>
          <w:szCs w:val="16"/>
          <w:lang w:val="en-GB" w:eastAsia="en-GB"/>
        </w:rPr>
        <w:t xml:space="preserve">Carles Carboneras (RSPB, BirdLife UK), </w:t>
      </w:r>
      <w:r w:rsidRPr="00C96521">
        <w:rPr>
          <w:rFonts w:cs="Arial"/>
          <w:sz w:val="16"/>
          <w:szCs w:val="16"/>
          <w:lang w:val="en-GB" w:eastAsia="en-GB"/>
        </w:rPr>
        <w:t xml:space="preserve">Elisabetta de Carli (MITO2000, Italy), Gonçalo Nuno Carrasqueira Lopes (Instituto da Conservação da Natureza e das Florestas, Portugal), Ana Carricondo (SEO/BirdLife, Spain), Elaine Caruana (Maltese Government Wild Birds Unit), Claudio Celada (LIPU, BirdLife Italy), Tomasz Chodkiewicz (OTOP, BirdLife Poland), Jacques Comolet-Tirman (Muséum National d'Histoire Naturelle, France), Carole Cook (RSPB, BirdLife UK), Alexandre Czajkowski (OMPO, France), Zoltán Czirák (Ministry of Agriculture, Hungary), Ivana Czocherova (BirdLife Slovakia), Mohamed Dakki (GREPOM, BirdLife Morocco), Bernard Deceuninck (LPO, France), </w:t>
      </w:r>
      <w:r w:rsidRPr="00C96521">
        <w:rPr>
          <w:rFonts w:eastAsia="MS Mincho" w:cs="Arial"/>
          <w:spacing w:val="1"/>
          <w:sz w:val="16"/>
          <w:szCs w:val="16"/>
          <w:lang w:val="en-GB" w:eastAsia="ja-JP"/>
        </w:rPr>
        <w:t xml:space="preserve">Miro Demko (SOS, BirdLife Slovakia), </w:t>
      </w:r>
      <w:r w:rsidRPr="00C96521">
        <w:rPr>
          <w:rFonts w:cs="Arial"/>
          <w:sz w:val="16"/>
          <w:szCs w:val="16"/>
          <w:lang w:val="en-GB" w:eastAsia="en-GB"/>
        </w:rPr>
        <w:t xml:space="preserve">Abdoulaye Diallo (AMCFE, Mali), Djibril Diallo (Nature Maritanie, BirdLife Mauritania), Susana Dias (CEABN/InBIO, University of Lisbon, Portugal), Gerald Driessens (Natuurpunt, BirdLife Belgium, Flanders), </w:t>
      </w:r>
      <w:r w:rsidRPr="00C96521">
        <w:rPr>
          <w:rFonts w:eastAsia="MS Mincho" w:cs="Arial"/>
          <w:sz w:val="16"/>
          <w:szCs w:val="16"/>
          <w:lang w:val="en-GB" w:eastAsia="en-GB"/>
        </w:rPr>
        <w:t xml:space="preserve">Jenny Dunn (RSPB, BirdLife UK), </w:t>
      </w:r>
      <w:r w:rsidRPr="00C96521">
        <w:rPr>
          <w:rFonts w:cs="Arial"/>
          <w:sz w:val="16"/>
          <w:szCs w:val="16"/>
          <w:lang w:val="en-GB" w:eastAsia="en-GB"/>
        </w:rPr>
        <w:t xml:space="preserve">Eugenio Duprè (ISPRA, Italy), Michael Dvorak (BirdLife Österreich, BirdLife Austria), Ali El Ayoubi (Service de la Cynégétique et de la Pisciculture Continentale, Morocco), Jaanus Elts (EOS, BirdLife Estonia), Cyril Eraud (ONCFS, France), </w:t>
      </w:r>
      <w:r w:rsidRPr="00C96521">
        <w:rPr>
          <w:rFonts w:eastAsia="MS Mincho" w:cs="Arial"/>
          <w:sz w:val="16"/>
          <w:szCs w:val="16"/>
          <w:lang w:val="en-GB" w:eastAsia="en-GB"/>
        </w:rPr>
        <w:t xml:space="preserve">Levent Erkol (Doğa Derneği, BirdLife Turkey), </w:t>
      </w:r>
      <w:r w:rsidRPr="00C96521">
        <w:rPr>
          <w:rFonts w:cs="Arial"/>
          <w:sz w:val="16"/>
          <w:szCs w:val="16"/>
          <w:lang w:val="en-GB" w:eastAsia="en-GB"/>
        </w:rPr>
        <w:t>Virginia Escandell (SEO/BirdLife, Spain), Yves Ferrand (ONCFS, France), Nick Folkard (RSPB, BirdLife UK), Lorenzo Fornasari (MITO2000, Italy), Nagy Gergö Gábor (</w:t>
      </w:r>
      <w:r w:rsidRPr="00C96521">
        <w:rPr>
          <w:rFonts w:eastAsia="MS Mincho" w:cs="Arial"/>
          <w:spacing w:val="1"/>
          <w:sz w:val="16"/>
          <w:szCs w:val="16"/>
          <w:lang w:val="en-GB" w:eastAsia="ja-JP"/>
        </w:rPr>
        <w:t>Department of Nature Conservation,</w:t>
      </w:r>
      <w:r w:rsidRPr="00C96521">
        <w:rPr>
          <w:rFonts w:cs="Arial"/>
          <w:sz w:val="16"/>
          <w:szCs w:val="16"/>
          <w:lang w:val="en-GB" w:eastAsia="en-GB"/>
        </w:rPr>
        <w:t xml:space="preserve"> Ministry of Agriculture, Hungary), </w:t>
      </w:r>
      <w:r w:rsidRPr="00C96521">
        <w:rPr>
          <w:rFonts w:eastAsia="MS Mincho" w:cs="Arial"/>
          <w:spacing w:val="1"/>
          <w:sz w:val="16"/>
          <w:szCs w:val="16"/>
          <w:lang w:val="en-GB" w:eastAsia="ja-JP"/>
        </w:rPr>
        <w:t xml:space="preserve">Valeri Georgiev (National Nature Protection Service, Ministry of Environment and Water, Bulgaria), </w:t>
      </w:r>
      <w:r w:rsidRPr="00C96521">
        <w:rPr>
          <w:rFonts w:eastAsia="MS Mincho" w:cs="Arial"/>
          <w:sz w:val="16"/>
          <w:szCs w:val="16"/>
          <w:lang w:val="en-GB" w:eastAsia="en-GB"/>
        </w:rPr>
        <w:t xml:space="preserve">Nabegh Ghazal Asswad (SSCW, BirdLife Syria), </w:t>
      </w:r>
      <w:r w:rsidRPr="00C96521">
        <w:rPr>
          <w:rFonts w:cs="Arial"/>
          <w:sz w:val="16"/>
          <w:szCs w:val="16"/>
          <w:lang w:val="en-GB" w:eastAsia="en-GB"/>
        </w:rPr>
        <w:t xml:space="preserve">Gabriella Göcző (MME, BirdLife Hungary), Sergei Golovkin (Maltese Government Wild Birds Unit), </w:t>
      </w:r>
      <w:r w:rsidRPr="00C96521">
        <w:rPr>
          <w:rFonts w:eastAsia="MS Mincho" w:cs="Arial"/>
          <w:sz w:val="16"/>
          <w:szCs w:val="16"/>
          <w:lang w:val="en-GB" w:eastAsia="en-GB"/>
        </w:rPr>
        <w:t xml:space="preserve">Igor Gorban (Ivan Franko Lviv National University, Ukraine), Richard Gregory (RSPB, BirdLife UK), </w:t>
      </w:r>
      <w:r w:rsidRPr="00C96521">
        <w:rPr>
          <w:rFonts w:eastAsia="MS Mincho" w:cs="Arial"/>
          <w:spacing w:val="1"/>
          <w:sz w:val="16"/>
          <w:szCs w:val="16"/>
          <w:lang w:val="en-GB" w:eastAsia="ja-JP"/>
        </w:rPr>
        <w:t xml:space="preserve">Phil Grice (Natural England, UK), </w:t>
      </w:r>
      <w:r w:rsidRPr="00C96521">
        <w:rPr>
          <w:rFonts w:cs="Arial"/>
          <w:color w:val="000000"/>
          <w:sz w:val="16"/>
          <w:szCs w:val="16"/>
          <w:lang w:val="en-GB" w:eastAsia="ja-JP"/>
        </w:rPr>
        <w:t>Vitalie Grimalschi (</w:t>
      </w:r>
      <w:r w:rsidRPr="00C96521">
        <w:rPr>
          <w:rFonts w:eastAsia="MS Mincho" w:cs="Arial"/>
          <w:color w:val="000000"/>
          <w:sz w:val="16"/>
          <w:szCs w:val="16"/>
          <w:lang w:eastAsia="ja-JP"/>
        </w:rPr>
        <w:t xml:space="preserve">Society for Bird and Nature Protection, Moldova), </w:t>
      </w:r>
      <w:r w:rsidRPr="00C96521">
        <w:rPr>
          <w:rFonts w:cs="Arial"/>
          <w:sz w:val="16"/>
          <w:szCs w:val="16"/>
          <w:lang w:val="en-GB" w:eastAsia="en-GB"/>
        </w:rPr>
        <w:t xml:space="preserve">Marco Gustin (LIPU, BirdLife Italy), Haris Hadjistyllis (Cyprus Game and Fauna Service), </w:t>
      </w:r>
      <w:r w:rsidRPr="00C96521">
        <w:rPr>
          <w:rFonts w:eastAsia="MS Mincho" w:cs="Arial"/>
          <w:sz w:val="16"/>
          <w:szCs w:val="16"/>
          <w:lang w:val="en-GB" w:eastAsia="en-GB"/>
        </w:rPr>
        <w:t>Phillip Hall</w:t>
      </w:r>
      <w:r w:rsidRPr="00C96521">
        <w:rPr>
          <w:rFonts w:cs="Arial"/>
          <w:sz w:val="16"/>
          <w:szCs w:val="16"/>
          <w:lang w:val="en-GB" w:eastAsia="en-GB"/>
        </w:rPr>
        <w:t xml:space="preserve">, Gergő Halmos (MME, BirdLife Hungary), Saâd Hanane (Forest Research Centre/High Commission For Water, Forests and Combating Desertification, Morocco), </w:t>
      </w:r>
      <w:r w:rsidRPr="00C96521">
        <w:rPr>
          <w:rFonts w:eastAsia="MS Mincho" w:cs="Arial"/>
          <w:sz w:val="16"/>
          <w:szCs w:val="16"/>
          <w:lang w:val="en-GB" w:eastAsia="en-GB"/>
        </w:rPr>
        <w:t xml:space="preserve">Kate Hand (RSPB, BirdLife UK), Sarah Harris (BTO, UK), </w:t>
      </w:r>
      <w:r w:rsidRPr="00C96521">
        <w:rPr>
          <w:rFonts w:cs="Arial"/>
          <w:sz w:val="16"/>
          <w:szCs w:val="16"/>
          <w:lang w:val="en-GB" w:eastAsia="en-GB"/>
        </w:rPr>
        <w:t xml:space="preserve">Ohad Hatsofe (Israel Nature and Parks Authority), Eli Haviv (SPNI, BirdLife Israel), Jan Havlíček (Department of Zoology, University of South Bohemia, Czech Republic), </w:t>
      </w:r>
      <w:r w:rsidRPr="00C96521">
        <w:rPr>
          <w:rFonts w:eastAsia="MS Mincho" w:cs="Arial"/>
          <w:sz w:val="16"/>
          <w:szCs w:val="16"/>
          <w:lang w:val="en-GB" w:eastAsia="en-GB"/>
        </w:rPr>
        <w:t xml:space="preserve">Guidara Hela Selman (Point focal Tunisie CMS/ AEWA), Borja Heredia (CMS), </w:t>
      </w:r>
      <w:r w:rsidRPr="00C96521">
        <w:rPr>
          <w:rFonts w:cs="Arial"/>
          <w:sz w:val="16"/>
          <w:szCs w:val="16"/>
          <w:lang w:val="en-GB" w:eastAsia="en-GB"/>
        </w:rPr>
        <w:t xml:space="preserve">Sebastian J Hidalgo de Trucios (Research Group on Wildlife, Game Resources, and Biodiversity (GIRFCB), University of Extremadura, Spain), </w:t>
      </w:r>
      <w:r w:rsidRPr="00C96521">
        <w:rPr>
          <w:rFonts w:eastAsia="MS Mincho" w:cs="Arial"/>
          <w:spacing w:val="1"/>
          <w:sz w:val="16"/>
          <w:szCs w:val="16"/>
          <w:lang w:val="en-GB" w:eastAsia="ja-JP"/>
        </w:rPr>
        <w:t xml:space="preserve">Iben Hove Sørensen (Danish Hunters Association), </w:t>
      </w:r>
      <w:r w:rsidRPr="00C96521">
        <w:rPr>
          <w:rFonts w:eastAsia="MS Mincho" w:cs="Arial"/>
          <w:sz w:val="16"/>
          <w:szCs w:val="16"/>
          <w:lang w:val="en-GB" w:eastAsia="en-GB"/>
        </w:rPr>
        <w:t xml:space="preserve">David Howell (CMS), </w:t>
      </w:r>
      <w:r w:rsidRPr="00C96521">
        <w:rPr>
          <w:rFonts w:cs="Arial"/>
          <w:sz w:val="16"/>
          <w:szCs w:val="16"/>
          <w:lang w:val="en-GB" w:eastAsia="en-GB"/>
        </w:rPr>
        <w:t xml:space="preserve">Iordan Hristov (BSPB, BirdLife Bulgaria), Sevinj Humbatova (Baku State University, Azerbaijan), Miguel Aymerich Huyghues-Despointes (Dirección General de Calidad y Evaluación Ambiental y Medio Natural, Spain), Petar Iankov (BSPB, BirdLife Bulgaria), Christina Ieronymidou (BirdLife Cyprus), Shadi Indary (Institute of the Environment, University of Balamand, Lebanon), Nidal Issa (LPO, France), José Manuel Jaquotot Saenz de Miera (Dirección General de Desarrollo Rural y Política Forestal, Spain), </w:t>
      </w:r>
      <w:r w:rsidRPr="00C96521">
        <w:rPr>
          <w:rFonts w:eastAsia="MS Mincho" w:cs="Arial"/>
          <w:spacing w:val="1"/>
          <w:sz w:val="16"/>
          <w:szCs w:val="16"/>
          <w:lang w:val="en-GB" w:eastAsia="ja-JP"/>
        </w:rPr>
        <w:t xml:space="preserve">Ciaran O'Keeffe (Department of Arts, Heritage, Regional, Rural and Gaeltacht Affairs, Ireland), Primož Kmecl (DOPPS, BirdLife Slovenia), Heikki Korpelainen (Department of Agricultural Sciences, University of Helsinki, Finland), </w:t>
      </w:r>
      <w:r w:rsidRPr="00C96521">
        <w:rPr>
          <w:rFonts w:cs="Arial"/>
          <w:sz w:val="16"/>
          <w:szCs w:val="16"/>
          <w:lang w:val="en-GB" w:eastAsia="en-GB"/>
        </w:rPr>
        <w:t xml:space="preserve">Petras Kurlavicius (Lietuvos Edukologijos Universitetas, Lithuania), Nicolás López-Jiménez (SEO/BirdLife), Habitat Solomon Jallow (WABSA, The Gambia), Frederic Jiguet (Muséum National d'Histoire Naturelle, France), Lamin Jobaate (WABSA, The Gambia), Sven Kapelj (BIOM, BirdLife Croatia), Mohamed Lamin Kassama (WABSA, The Gambia), Nicos Kassinis (Cyprus Game and Fauna Service), Primož Kmecl (DOPPS, BirdLife Slovenia), Jelena Kralj (Institute of Ornithology CASA, Croatia), </w:t>
      </w:r>
      <w:r w:rsidRPr="00C96521">
        <w:rPr>
          <w:rFonts w:eastAsia="MS Mincho" w:cs="Arial"/>
          <w:spacing w:val="1"/>
          <w:sz w:val="16"/>
          <w:szCs w:val="16"/>
          <w:lang w:val="en-GB" w:eastAsia="ja-JP"/>
        </w:rPr>
        <w:t xml:space="preserve">Pavlína Kuncová (Department of Species Protection and Implementation of International Commitments, Ministry of Environment, Czech Republic), </w:t>
      </w:r>
      <w:r w:rsidRPr="00C96521">
        <w:rPr>
          <w:rFonts w:eastAsia="MS Mincho" w:cs="Arial"/>
          <w:sz w:val="16"/>
          <w:szCs w:val="16"/>
          <w:lang w:val="en-GB" w:eastAsia="en-GB"/>
        </w:rPr>
        <w:t xml:space="preserve">Tatiana Kuzmenko (USPB, BirdLife Ukraine), Ganna Kuzo (USPB, BirdLife Ukraine), </w:t>
      </w:r>
      <w:r w:rsidRPr="00C96521">
        <w:rPr>
          <w:rFonts w:cs="Arial"/>
          <w:sz w:val="16"/>
          <w:szCs w:val="16"/>
          <w:lang w:val="en-GB" w:eastAsia="en-GB"/>
        </w:rPr>
        <w:t xml:space="preserve">Lars Lachman (NABU, BirdLife Germany), Peter Lebersorger (Zentralstelle Österreichischer Landesjagdverbände, Austria), Domingos Leitão (SPEA, BirdLife Portugal), Teemu Lehtiniemi (BirdLife Finland), Siamion Levy (APB, BirdLife Belarus), </w:t>
      </w:r>
      <w:r w:rsidRPr="00C96521">
        <w:rPr>
          <w:rFonts w:eastAsia="MS Mincho" w:cs="Arial"/>
          <w:spacing w:val="1"/>
          <w:sz w:val="16"/>
          <w:szCs w:val="16"/>
          <w:lang w:val="en-GB" w:eastAsia="ja-JP"/>
        </w:rPr>
        <w:t xml:space="preserve">Sandrine Liegeois (Department of Nature and Forests, Belgium), </w:t>
      </w:r>
      <w:r w:rsidRPr="00C96521">
        <w:rPr>
          <w:rFonts w:cs="Arial"/>
          <w:sz w:val="16"/>
          <w:szCs w:val="16"/>
          <w:lang w:val="en-GB" w:eastAsia="en-GB"/>
        </w:rPr>
        <w:t xml:space="preserve">Hervé Lormée (ONCFS, France), Gábor Magyar (Kiskunsági Nemzeti Park, Hungary), Maija Marsh (RSPB, BirdLife UK), Benjamin Metzger (NABU, BirdLife Germany), </w:t>
      </w:r>
      <w:r w:rsidRPr="00C96521">
        <w:rPr>
          <w:rFonts w:eastAsia="MS Mincho" w:cs="Arial"/>
          <w:spacing w:val="1"/>
          <w:sz w:val="16"/>
          <w:szCs w:val="16"/>
          <w:lang w:val="en-GB" w:eastAsia="ja-JP"/>
        </w:rPr>
        <w:t xml:space="preserve">Jakub Milczarek (Nature Conservation Department, Ministry of the Environment, Poland), </w:t>
      </w:r>
      <w:r w:rsidRPr="00C96521">
        <w:rPr>
          <w:rFonts w:cs="Arial"/>
          <w:sz w:val="16"/>
          <w:szCs w:val="16"/>
          <w:lang w:val="en-GB" w:eastAsia="en-GB"/>
        </w:rPr>
        <w:t xml:space="preserve">Alexander Mischenko (Russian Society for Bird Conservation and Study, Birds Russia), Juan Carlos del Moral (SEO/BirdLife, Spain), Lara Moreno Zárate (Instituto de Investigacion en Recursos Cinegeticos, Spain), </w:t>
      </w:r>
      <w:r w:rsidRPr="00C96521">
        <w:rPr>
          <w:rFonts w:eastAsia="MS Mincho" w:cs="Arial"/>
          <w:sz w:val="16"/>
          <w:szCs w:val="16"/>
          <w:lang w:val="en-GB" w:eastAsia="en-GB"/>
        </w:rPr>
        <w:t xml:space="preserve">Tony Morris (RSPB, BirdLife UK), </w:t>
      </w:r>
      <w:r w:rsidRPr="00C96521">
        <w:rPr>
          <w:rFonts w:cs="Arial"/>
          <w:sz w:val="16"/>
          <w:szCs w:val="16"/>
          <w:lang w:val="en-GB" w:eastAsia="en-GB"/>
        </w:rPr>
        <w:t xml:space="preserve">Yves Muller (LPO, SEOF, France), </w:t>
      </w:r>
      <w:r w:rsidRPr="00C96521">
        <w:rPr>
          <w:rFonts w:eastAsia="MS Mincho" w:cs="Arial"/>
          <w:sz w:val="16"/>
          <w:szCs w:val="16"/>
          <w:lang w:val="en-GB" w:eastAsia="en-GB"/>
        </w:rPr>
        <w:t>Wim Mullié (Fondation Agir pour l'</w:t>
      </w:r>
      <w:r w:rsidR="00BE5EF4">
        <w:rPr>
          <w:rFonts w:eastAsia="MS Mincho" w:cs="Arial"/>
          <w:sz w:val="16"/>
          <w:szCs w:val="16"/>
          <w:lang w:val="en-GB" w:eastAsia="en-GB"/>
        </w:rPr>
        <w:t>É</w:t>
      </w:r>
      <w:r w:rsidRPr="00C96521">
        <w:rPr>
          <w:rFonts w:eastAsia="MS Mincho" w:cs="Arial"/>
          <w:sz w:val="16"/>
          <w:szCs w:val="16"/>
          <w:lang w:val="en-GB" w:eastAsia="en-GB"/>
        </w:rPr>
        <w:t xml:space="preserve">ducation et la Santé), </w:t>
      </w:r>
      <w:r w:rsidRPr="00C96521">
        <w:rPr>
          <w:rFonts w:cs="Arial"/>
          <w:sz w:val="16"/>
          <w:szCs w:val="16"/>
          <w:lang w:val="en-GB" w:eastAsia="en-GB"/>
        </w:rPr>
        <w:t xml:space="preserve">Károly Nagy (MME, BirdLife Hungary), Renno Nellis (Eestimaa Looduse Fond, Estonia), Maxim Nemtchinov (APB, BirdLife Belarus), </w:t>
      </w:r>
      <w:r w:rsidRPr="00C96521">
        <w:rPr>
          <w:rFonts w:eastAsia="MS Mincho" w:cs="Arial"/>
          <w:sz w:val="16"/>
          <w:szCs w:val="16"/>
          <w:lang w:val="en-GB" w:eastAsia="en-GB"/>
        </w:rPr>
        <w:t xml:space="preserve">Alex Ngari (BirdLife Africa Secretariat/AEMLAP), </w:t>
      </w:r>
      <w:r w:rsidRPr="00C96521">
        <w:rPr>
          <w:rFonts w:cs="Arial"/>
          <w:sz w:val="16"/>
          <w:szCs w:val="16"/>
          <w:lang w:val="en-GB" w:eastAsia="en-GB"/>
        </w:rPr>
        <w:t xml:space="preserve">Ebrima Njie (University of the Gambia), Modou Njie (WABSA, </w:t>
      </w:r>
      <w:r w:rsidR="00BE5EF4">
        <w:rPr>
          <w:rFonts w:cs="Arial"/>
          <w:sz w:val="16"/>
          <w:szCs w:val="16"/>
          <w:lang w:val="en-GB" w:eastAsia="en-GB"/>
        </w:rPr>
        <w:t>t</w:t>
      </w:r>
      <w:r w:rsidRPr="00C96521">
        <w:rPr>
          <w:rFonts w:cs="Arial"/>
          <w:sz w:val="16"/>
          <w:szCs w:val="16"/>
          <w:lang w:val="en-GB" w:eastAsia="en-GB"/>
        </w:rPr>
        <w:t xml:space="preserve">he Gambia), </w:t>
      </w:r>
      <w:r w:rsidRPr="00C96521">
        <w:rPr>
          <w:rFonts w:eastAsia="MS Mincho" w:cs="Arial"/>
          <w:sz w:val="16"/>
          <w:szCs w:val="16"/>
          <w:lang w:val="en-GB" w:eastAsia="en-GB"/>
        </w:rPr>
        <w:t xml:space="preserve">David Noble (BTO, UK), </w:t>
      </w:r>
      <w:r w:rsidRPr="00C96521">
        <w:rPr>
          <w:rFonts w:cs="Arial"/>
          <w:sz w:val="16"/>
          <w:szCs w:val="16"/>
          <w:lang w:val="en-GB" w:eastAsia="en-GB"/>
        </w:rPr>
        <w:t xml:space="preserve">Timme Nyegaard (DOF, BirdLife Denmark), Jorge F Orueta (SEO/BirdLife, Spain), Panicos Panayides (Cyprus Game and Fauna Service, Ministry of the Interior), Jean-Yves Paquet (Ornithological Society Aves, Belgium), </w:t>
      </w:r>
      <w:r w:rsidRPr="00C96521">
        <w:rPr>
          <w:rFonts w:eastAsia="MS Mincho" w:cs="Arial"/>
          <w:sz w:val="16"/>
          <w:szCs w:val="16"/>
          <w:lang w:val="en-GB" w:eastAsia="en-GB"/>
        </w:rPr>
        <w:t xml:space="preserve">Will Peach (RSPB, BirdLife UK), </w:t>
      </w:r>
      <w:r w:rsidRPr="00C96521">
        <w:rPr>
          <w:rFonts w:cs="Arial"/>
          <w:sz w:val="16"/>
          <w:szCs w:val="16"/>
          <w:lang w:val="en-GB" w:eastAsia="en-GB"/>
        </w:rPr>
        <w:t xml:space="preserve">Yoav Perlman (SPNI, BirdLife Israel), Danae Portolou (HOS, BirdLife Greece), Petra Quillfeldt (Justus Liebig Universität Gießen, Germany), Ghassan Ramadan Jaradi (SPNL, BirdLife Lebanon), </w:t>
      </w:r>
      <w:r w:rsidRPr="00C96521">
        <w:rPr>
          <w:rFonts w:eastAsia="MS Mincho" w:cs="Arial"/>
          <w:sz w:val="16"/>
          <w:szCs w:val="16"/>
          <w:lang w:val="en-GB" w:eastAsia="en-GB"/>
        </w:rPr>
        <w:t xml:space="preserve">Iván Ramírez (BirdLife Europe Secretariat), </w:t>
      </w:r>
      <w:r w:rsidRPr="00C96521">
        <w:rPr>
          <w:rFonts w:cs="Arial"/>
          <w:sz w:val="16"/>
          <w:szCs w:val="16"/>
          <w:lang w:val="en-GB" w:eastAsia="en-GB"/>
        </w:rPr>
        <w:t xml:space="preserve">Liutauras Raudonikis (LOD, BirdLife Lithuania), </w:t>
      </w:r>
      <w:r w:rsidRPr="00C96521">
        <w:rPr>
          <w:rFonts w:eastAsia="MS Mincho" w:cs="Arial"/>
          <w:sz w:val="16"/>
          <w:szCs w:val="16"/>
          <w:lang w:val="en-GB" w:eastAsia="en-GB"/>
        </w:rPr>
        <w:t xml:space="preserve">Sami Rebah (AAO, BirdLife Tunisia), </w:t>
      </w:r>
      <w:r w:rsidRPr="00C96521">
        <w:rPr>
          <w:rFonts w:eastAsia="MS Mincho" w:cs="Arial"/>
          <w:spacing w:val="1"/>
          <w:sz w:val="16"/>
          <w:szCs w:val="16"/>
          <w:lang w:val="en-GB" w:eastAsia="ja-JP"/>
        </w:rPr>
        <w:t xml:space="preserve">Wilmar J. Remmelts (Department of Nature and Biodiversity, Ministry of Economic Affairs, Netherlands), </w:t>
      </w:r>
      <w:r w:rsidRPr="00C96521">
        <w:rPr>
          <w:rFonts w:cs="Arial"/>
          <w:sz w:val="16"/>
          <w:szCs w:val="16"/>
          <w:lang w:val="en-GB" w:eastAsia="en-GB"/>
        </w:rPr>
        <w:t xml:space="preserve">Jozef Ridzoň (SOS, BirdLife Slovakia), </w:t>
      </w:r>
      <w:r w:rsidRPr="00C96521">
        <w:rPr>
          <w:rFonts w:eastAsia="MS Mincho" w:cs="Arial"/>
          <w:spacing w:val="1"/>
          <w:sz w:val="16"/>
          <w:szCs w:val="16"/>
          <w:lang w:val="en-GB" w:eastAsia="ja-JP"/>
        </w:rPr>
        <w:t xml:space="preserve">Lars Rudfeld (Nature Planning and Biodiversity, Ministry of Environment, Denmark), </w:t>
      </w:r>
      <w:r w:rsidRPr="00C96521">
        <w:rPr>
          <w:rFonts w:cs="Arial"/>
          <w:sz w:val="16"/>
          <w:szCs w:val="16"/>
          <w:lang w:val="en-GB" w:eastAsia="en-GB"/>
        </w:rPr>
        <w:t xml:space="preserve">Milan Ružić (Bird Protection and Study Society of Serbia, BirdLife Serbia), Malang Saar (Nature Communautés-Développement, Senegal), Lamin Sanyang (WABSA, </w:t>
      </w:r>
      <w:r w:rsidR="00BE5EF4">
        <w:rPr>
          <w:rFonts w:cs="Arial"/>
          <w:sz w:val="16"/>
          <w:szCs w:val="16"/>
          <w:lang w:val="en-GB" w:eastAsia="en-GB"/>
        </w:rPr>
        <w:t>t</w:t>
      </w:r>
      <w:r w:rsidRPr="00C96521">
        <w:rPr>
          <w:rFonts w:cs="Arial"/>
          <w:sz w:val="16"/>
          <w:szCs w:val="16"/>
          <w:lang w:val="en-GB" w:eastAsia="en-GB"/>
        </w:rPr>
        <w:t xml:space="preserve">he Gambia), Darko Saveljic (Center for Protection and Research of Birds of Montenegro), Abdoulie Sawo (DPWM, The Gambia), </w:t>
      </w:r>
      <w:r w:rsidRPr="00C96521">
        <w:rPr>
          <w:rFonts w:eastAsia="MS Mincho" w:cs="Arial"/>
          <w:sz w:val="16"/>
          <w:szCs w:val="16"/>
          <w:lang w:val="en-GB" w:eastAsia="en-GB"/>
        </w:rPr>
        <w:t xml:space="preserve">David Scallan (FACE), </w:t>
      </w:r>
      <w:r w:rsidRPr="00C96521">
        <w:rPr>
          <w:rFonts w:cs="Arial"/>
          <w:sz w:val="16"/>
          <w:szCs w:val="16"/>
          <w:lang w:val="en-GB" w:eastAsia="en-GB"/>
        </w:rPr>
        <w:t xml:space="preserve">András Schmidt (Ministry of Agriculture, Hungary), </w:t>
      </w:r>
      <w:r w:rsidRPr="00C96521">
        <w:rPr>
          <w:rFonts w:eastAsia="MS Mincho" w:cs="Arial"/>
          <w:sz w:val="16"/>
          <w:szCs w:val="16"/>
          <w:lang w:val="en-GB" w:eastAsia="en-GB"/>
        </w:rPr>
        <w:t xml:space="preserve">Hans Schmidt (Swiss Ornithological Institute), Tilman Schneider (CMS), </w:t>
      </w:r>
      <w:r w:rsidRPr="00C96521">
        <w:rPr>
          <w:rFonts w:eastAsia="MS Mincho" w:cs="Arial"/>
          <w:spacing w:val="1"/>
          <w:sz w:val="16"/>
          <w:szCs w:val="16"/>
          <w:lang w:val="en-GB" w:eastAsia="ja-JP"/>
        </w:rPr>
        <w:t xml:space="preserve">David Schonberg-Alm (Research and Assessment Department, Swedish Environmental Protection Agency), </w:t>
      </w:r>
      <w:r w:rsidRPr="00C96521">
        <w:rPr>
          <w:rFonts w:eastAsia="MS Mincho" w:cs="Arial"/>
          <w:sz w:val="16"/>
          <w:szCs w:val="16"/>
          <w:lang w:val="en-GB" w:eastAsia="en-GB"/>
        </w:rPr>
        <w:t xml:space="preserve">Martin Schuck (BirdLife Switzerland), </w:t>
      </w:r>
      <w:r w:rsidRPr="00C96521">
        <w:rPr>
          <w:rFonts w:cs="Arial"/>
          <w:sz w:val="16"/>
          <w:szCs w:val="16"/>
          <w:lang w:val="en-GB" w:eastAsia="en-GB"/>
        </w:rPr>
        <w:t>Lorenzo Serra (ISPRA, Italy), Moussa Sissoko (Direction Nationale des Eaux et Forêts, Mali), Kyriakos Skordas (Hunting Federation of Macedonia and Thrace), Jana Skorpilosa (CSO, BirdLife Czech Republic), Michele Sorrenti (</w:t>
      </w:r>
      <w:r w:rsidRPr="00C96521">
        <w:rPr>
          <w:rFonts w:eastAsia="MS Mincho" w:cs="Arial"/>
          <w:color w:val="000000"/>
          <w:sz w:val="16"/>
          <w:szCs w:val="16"/>
          <w:lang w:val="en-GB" w:eastAsia="ja-JP"/>
        </w:rPr>
        <w:t>Migratory Bird Office, Federazione Italiana della Caccia</w:t>
      </w:r>
      <w:r w:rsidRPr="00C96521">
        <w:rPr>
          <w:rFonts w:cs="Arial"/>
          <w:sz w:val="16"/>
          <w:szCs w:val="16"/>
          <w:lang w:val="en-GB" w:eastAsia="en-GB"/>
        </w:rPr>
        <w:t xml:space="preserve">, Italy), Svetoslav Spasov (BSPB, BirdLife Bulgaria), Fernando Spina (ISPRA, Italy), Anton Spiteri Shaw (Maltese Government), </w:t>
      </w:r>
      <w:r w:rsidRPr="00C96521">
        <w:rPr>
          <w:rFonts w:eastAsia="MS Mincho" w:cs="Arial"/>
          <w:sz w:val="16"/>
          <w:szCs w:val="16"/>
          <w:lang w:val="en-GB" w:eastAsia="en-GB"/>
        </w:rPr>
        <w:t xml:space="preserve">Anna Staneva (BirdLife Europe Secretariat), </w:t>
      </w:r>
      <w:r w:rsidRPr="00C96521">
        <w:rPr>
          <w:rFonts w:eastAsia="MS Mincho" w:cs="Arial"/>
          <w:spacing w:val="1"/>
          <w:sz w:val="16"/>
          <w:szCs w:val="16"/>
          <w:lang w:val="en-GB" w:eastAsia="ja-JP"/>
        </w:rPr>
        <w:t xml:space="preserve">Gita Strode (Nature Conservation Department, Latvia), </w:t>
      </w:r>
      <w:r w:rsidRPr="00C96521">
        <w:rPr>
          <w:rFonts w:cs="Arial"/>
          <w:sz w:val="16"/>
          <w:szCs w:val="16"/>
          <w:lang w:val="en-GB" w:eastAsia="en-GB"/>
        </w:rPr>
        <w:t xml:space="preserve">Imrich Šuba (Slovenský poľovnícky zväz, Slovakia), Elchin Sultanov (AOS, BirdLife Azerbaijan), Evgeny Syroechkovskiy (Russian Society for Bird Conservation and Study, Birds Russia), Zoltán Szabo (Babeş-Bolyai University, Romania), Tibor Szép (University of Nyíregyháza, Hungary), </w:t>
      </w:r>
      <w:r w:rsidRPr="00C96521">
        <w:rPr>
          <w:rFonts w:eastAsia="MS Mincho" w:cs="Arial"/>
          <w:sz w:val="16"/>
          <w:szCs w:val="16"/>
          <w:lang w:val="en-GB" w:eastAsia="en-GB"/>
        </w:rPr>
        <w:t xml:space="preserve">José Tavares (Vulture Conservation Foundation), Peter Taylor (RSPB, BirdLife UK), </w:t>
      </w:r>
      <w:r w:rsidRPr="00C96521">
        <w:rPr>
          <w:rFonts w:cs="Arial"/>
          <w:sz w:val="16"/>
          <w:szCs w:val="16"/>
          <w:lang w:val="en-GB" w:eastAsia="en-GB"/>
        </w:rPr>
        <w:t>Guido Tellini Florenzano (MITO2000, Italy), Joaquim Teodósio (SPEA, BirdLife Portugal), Norbert Teufelbauer (BirdLife Österreich, BirdLife Austria), Béla Tokody (MME, BirdLife Hungary</w:t>
      </w:r>
      <w:r w:rsidRPr="00C96521">
        <w:rPr>
          <w:rFonts w:eastAsia="MS Mincho" w:cs="Arial"/>
          <w:color w:val="000000"/>
          <w:sz w:val="16"/>
          <w:szCs w:val="16"/>
          <w:lang w:val="en-GB" w:eastAsia="ja-JP"/>
        </w:rPr>
        <w:t xml:space="preserve">), </w:t>
      </w:r>
      <w:r w:rsidRPr="00C96521">
        <w:rPr>
          <w:rFonts w:cs="Arial"/>
          <w:sz w:val="16"/>
          <w:szCs w:val="16"/>
          <w:lang w:val="en-GB" w:eastAsia="en-GB"/>
        </w:rPr>
        <w:t xml:space="preserve">Sven Trautmann (Dachverband Deutscher Avifaunisten), Chris van Turnhout (Sovon Dutch Centre for Field Ornithology), Vesna Tutiš (Institute of Ornithology CASA, Croatia), Marco Valentini (Ministerio dell'Ambiente, Italy), </w:t>
      </w:r>
      <w:r w:rsidRPr="00C96521">
        <w:rPr>
          <w:rFonts w:eastAsia="MS Mincho" w:cs="Arial"/>
          <w:spacing w:val="1"/>
          <w:sz w:val="16"/>
          <w:szCs w:val="16"/>
          <w:lang w:val="en-GB" w:eastAsia="ja-JP"/>
        </w:rPr>
        <w:t xml:space="preserve">Michiel Vandegehuchte (Nature Agency, Belgium), </w:t>
      </w:r>
      <w:r w:rsidRPr="00C96521">
        <w:rPr>
          <w:rFonts w:cs="Arial"/>
          <w:sz w:val="16"/>
          <w:szCs w:val="16"/>
          <w:lang w:val="en-GB" w:eastAsia="en-GB"/>
        </w:rPr>
        <w:t xml:space="preserve">Zdeněk Vermouszck (CSO, BirdLife Czech Republic), Alexandre Vintchevski (APB, BirdLife Belarus), </w:t>
      </w:r>
      <w:r w:rsidRPr="00C96521">
        <w:rPr>
          <w:rFonts w:eastAsia="MS Mincho" w:cs="Arial"/>
          <w:sz w:val="16"/>
          <w:szCs w:val="16"/>
          <w:lang w:val="en-GB" w:eastAsia="en-GB"/>
        </w:rPr>
        <w:t xml:space="preserve">Tim Wacher (Zoological Society of London, UK), </w:t>
      </w:r>
      <w:r w:rsidRPr="00C96521">
        <w:rPr>
          <w:rFonts w:eastAsia="MS Mincho" w:cs="Arial"/>
          <w:spacing w:val="1"/>
          <w:sz w:val="16"/>
          <w:szCs w:val="16"/>
          <w:lang w:val="en-GB" w:eastAsia="ja-JP"/>
        </w:rPr>
        <w:t>Josette Zerafa (Policy Department and Programme Implementation Directorate, Malta).</w:t>
      </w:r>
    </w:p>
    <w:p w14:paraId="4B9518E8" w14:textId="77777777" w:rsidR="00C96521" w:rsidRPr="00C96521" w:rsidRDefault="00C96521" w:rsidP="00C96521">
      <w:pPr>
        <w:widowControl/>
        <w:autoSpaceDE/>
        <w:autoSpaceDN/>
        <w:adjustRightInd/>
        <w:spacing w:line="276" w:lineRule="auto"/>
        <w:rPr>
          <w:rFonts w:eastAsia="MS Mincho"/>
          <w:spacing w:val="1"/>
          <w:sz w:val="16"/>
          <w:szCs w:val="16"/>
          <w:lang w:val="en-GB" w:eastAsia="ja-JP"/>
        </w:rPr>
      </w:pPr>
    </w:p>
    <w:p w14:paraId="31E96CE6" w14:textId="77777777" w:rsidR="00C96521" w:rsidRPr="00C96521" w:rsidRDefault="00C96521" w:rsidP="00C96521">
      <w:pPr>
        <w:widowControl/>
        <w:autoSpaceDE/>
        <w:autoSpaceDN/>
        <w:adjustRightInd/>
        <w:spacing w:line="276" w:lineRule="auto"/>
        <w:rPr>
          <w:rFonts w:eastAsia="MS Mincho"/>
          <w:spacing w:val="1"/>
          <w:sz w:val="16"/>
          <w:szCs w:val="16"/>
          <w:lang w:val="en-GB" w:eastAsia="ja-JP"/>
        </w:rPr>
      </w:pPr>
      <w:r w:rsidRPr="00C96521">
        <w:rPr>
          <w:rFonts w:eastAsia="MS Mincho"/>
          <w:b/>
          <w:spacing w:val="1"/>
          <w:sz w:val="16"/>
          <w:szCs w:val="16"/>
          <w:lang w:val="en-GB" w:eastAsia="ja-JP"/>
        </w:rPr>
        <w:t>Date of adoption:</w:t>
      </w:r>
      <w:r w:rsidRPr="00C96521">
        <w:rPr>
          <w:rFonts w:eastAsia="MS Mincho"/>
          <w:spacing w:val="1"/>
          <w:sz w:val="16"/>
          <w:szCs w:val="16"/>
          <w:lang w:val="en-GB" w:eastAsia="ja-JP"/>
        </w:rPr>
        <w:t xml:space="preserve"> in preparation.</w:t>
      </w:r>
    </w:p>
    <w:p w14:paraId="63038D9E" w14:textId="77777777" w:rsidR="00C96521" w:rsidRPr="00C96521" w:rsidRDefault="00C96521" w:rsidP="00C96521">
      <w:pPr>
        <w:widowControl/>
        <w:autoSpaceDE/>
        <w:autoSpaceDN/>
        <w:adjustRightInd/>
        <w:spacing w:line="276" w:lineRule="auto"/>
        <w:rPr>
          <w:rFonts w:eastAsia="MS Mincho"/>
          <w:spacing w:val="1"/>
          <w:sz w:val="16"/>
          <w:szCs w:val="16"/>
          <w:lang w:val="en-GB" w:eastAsia="ja-JP"/>
        </w:rPr>
      </w:pPr>
    </w:p>
    <w:p w14:paraId="1A5CCCFA" w14:textId="77777777" w:rsidR="00C96521" w:rsidRPr="00C96521" w:rsidRDefault="00C96521" w:rsidP="00C96521">
      <w:pPr>
        <w:widowControl/>
        <w:autoSpaceDE/>
        <w:autoSpaceDN/>
        <w:adjustRightInd/>
        <w:spacing w:line="276" w:lineRule="auto"/>
        <w:rPr>
          <w:rFonts w:eastAsia="MS Mincho"/>
          <w:spacing w:val="1"/>
          <w:sz w:val="16"/>
          <w:szCs w:val="16"/>
          <w:lang w:val="en-GB" w:eastAsia="ja-JP"/>
        </w:rPr>
      </w:pPr>
      <w:r w:rsidRPr="00C96521">
        <w:rPr>
          <w:rFonts w:eastAsia="MS Mincho"/>
          <w:b/>
          <w:spacing w:val="1"/>
          <w:sz w:val="16"/>
          <w:szCs w:val="16"/>
          <w:lang w:val="en-GB" w:eastAsia="ja-JP"/>
        </w:rPr>
        <w:t>Lifespan of Plan:</w:t>
      </w:r>
      <w:r w:rsidRPr="00C96521">
        <w:rPr>
          <w:rFonts w:eastAsia="MS Mincho"/>
          <w:spacing w:val="1"/>
          <w:sz w:val="16"/>
          <w:szCs w:val="16"/>
          <w:lang w:val="en-GB" w:eastAsia="ja-JP"/>
        </w:rPr>
        <w:t xml:space="preserve"> this International Species Action Plan should be reviewed and updated every 10 years (first revision in 2028).</w:t>
      </w:r>
    </w:p>
    <w:p w14:paraId="75305FD8" w14:textId="77777777" w:rsidR="00C96521" w:rsidRPr="00C96521" w:rsidRDefault="00C96521" w:rsidP="00C96521">
      <w:pPr>
        <w:widowControl/>
        <w:autoSpaceDE/>
        <w:autoSpaceDN/>
        <w:adjustRightInd/>
        <w:spacing w:line="276" w:lineRule="auto"/>
        <w:rPr>
          <w:rFonts w:eastAsia="MS Mincho"/>
          <w:spacing w:val="1"/>
          <w:sz w:val="16"/>
          <w:szCs w:val="16"/>
          <w:lang w:val="en-GB" w:eastAsia="ja-JP"/>
        </w:rPr>
      </w:pPr>
    </w:p>
    <w:p w14:paraId="5BD9D72E" w14:textId="77777777" w:rsidR="00C96521" w:rsidRPr="00C96521" w:rsidRDefault="00C96521" w:rsidP="00C96521">
      <w:pPr>
        <w:widowControl/>
        <w:autoSpaceDE/>
        <w:autoSpaceDN/>
        <w:adjustRightInd/>
        <w:spacing w:line="276" w:lineRule="auto"/>
        <w:rPr>
          <w:rFonts w:eastAsia="MS Mincho"/>
          <w:b/>
          <w:spacing w:val="1"/>
          <w:sz w:val="16"/>
          <w:szCs w:val="16"/>
          <w:lang w:val="en-GB" w:eastAsia="ja-JP"/>
        </w:rPr>
      </w:pPr>
      <w:r w:rsidRPr="00C96521">
        <w:rPr>
          <w:rFonts w:eastAsia="MS Mincho"/>
          <w:b/>
          <w:spacing w:val="1"/>
          <w:sz w:val="16"/>
          <w:szCs w:val="16"/>
          <w:lang w:val="en-GB" w:eastAsia="ja-JP"/>
        </w:rPr>
        <w:t xml:space="preserve">Milestones in the production of the Plan: </w:t>
      </w:r>
    </w:p>
    <w:p w14:paraId="4F20E756" w14:textId="77777777" w:rsidR="00C96521" w:rsidRPr="00C96521" w:rsidRDefault="00C96521" w:rsidP="00C96521">
      <w:pPr>
        <w:widowControl/>
        <w:autoSpaceDE/>
        <w:autoSpaceDN/>
        <w:adjustRightInd/>
        <w:spacing w:line="276" w:lineRule="auto"/>
        <w:rPr>
          <w:rFonts w:eastAsia="MS Mincho"/>
          <w:spacing w:val="1"/>
          <w:sz w:val="16"/>
          <w:szCs w:val="16"/>
          <w:lang w:val="en-GB" w:eastAsia="ja-JP"/>
        </w:rPr>
      </w:pPr>
      <w:r w:rsidRPr="00C96521">
        <w:rPr>
          <w:rFonts w:eastAsia="MS Mincho"/>
          <w:spacing w:val="1"/>
          <w:sz w:val="16"/>
          <w:szCs w:val="16"/>
          <w:lang w:val="en-GB" w:eastAsia="ja-JP"/>
        </w:rPr>
        <w:t xml:space="preserve">Development of Species Status Report (Fisher </w:t>
      </w:r>
      <w:r w:rsidRPr="00C96521">
        <w:rPr>
          <w:rFonts w:eastAsia="MS Mincho"/>
          <w:i/>
          <w:spacing w:val="1"/>
          <w:sz w:val="16"/>
          <w:szCs w:val="16"/>
          <w:lang w:val="en-GB" w:eastAsia="ja-JP"/>
        </w:rPr>
        <w:t>et al</w:t>
      </w:r>
      <w:r w:rsidRPr="00C96521">
        <w:rPr>
          <w:rFonts w:eastAsia="MS Mincho"/>
          <w:spacing w:val="1"/>
          <w:sz w:val="16"/>
          <w:szCs w:val="16"/>
          <w:lang w:val="en-GB" w:eastAsia="ja-JP"/>
        </w:rPr>
        <w:t xml:space="preserve"> 2016a): June to December 2016.</w:t>
      </w:r>
    </w:p>
    <w:p w14:paraId="3C57B019" w14:textId="77777777" w:rsidR="00C96521" w:rsidRPr="00C96521" w:rsidRDefault="00C96521" w:rsidP="00C96521">
      <w:pPr>
        <w:widowControl/>
        <w:autoSpaceDE/>
        <w:autoSpaceDN/>
        <w:adjustRightInd/>
        <w:spacing w:line="276" w:lineRule="auto"/>
        <w:rPr>
          <w:rFonts w:eastAsia="MS Mincho"/>
          <w:spacing w:val="1"/>
          <w:sz w:val="16"/>
          <w:szCs w:val="16"/>
          <w:lang w:val="en-GB" w:eastAsia="ja-JP"/>
        </w:rPr>
      </w:pPr>
      <w:r w:rsidRPr="00C96521">
        <w:rPr>
          <w:rFonts w:eastAsia="MS Mincho"/>
          <w:spacing w:val="1"/>
          <w:sz w:val="16"/>
          <w:szCs w:val="16"/>
          <w:lang w:val="en-GB" w:eastAsia="ja-JP"/>
        </w:rPr>
        <w:t xml:space="preserve">Review of existing EU Species Management Plan (Fisher </w:t>
      </w:r>
      <w:r w:rsidRPr="00C96521">
        <w:rPr>
          <w:rFonts w:eastAsia="MS Mincho"/>
          <w:i/>
          <w:spacing w:val="1"/>
          <w:sz w:val="16"/>
          <w:szCs w:val="16"/>
          <w:lang w:val="en-GB" w:eastAsia="ja-JP"/>
        </w:rPr>
        <w:t>et al</w:t>
      </w:r>
      <w:r w:rsidRPr="00C96521">
        <w:rPr>
          <w:rFonts w:eastAsia="MS Mincho"/>
          <w:spacing w:val="1"/>
          <w:sz w:val="16"/>
          <w:szCs w:val="16"/>
          <w:lang w:val="en-GB" w:eastAsia="ja-JP"/>
        </w:rPr>
        <w:t xml:space="preserve"> 2016b): June to November 2016.</w:t>
      </w:r>
    </w:p>
    <w:p w14:paraId="0B0B9177" w14:textId="77777777" w:rsidR="00C96521" w:rsidRPr="00C96521" w:rsidRDefault="00C96521" w:rsidP="00C96521">
      <w:pPr>
        <w:widowControl/>
        <w:autoSpaceDE/>
        <w:autoSpaceDN/>
        <w:adjustRightInd/>
        <w:spacing w:line="276" w:lineRule="auto"/>
        <w:rPr>
          <w:rFonts w:eastAsia="MS Mincho"/>
          <w:spacing w:val="1"/>
          <w:sz w:val="16"/>
          <w:szCs w:val="16"/>
          <w:lang w:val="en-GB" w:eastAsia="ja-JP"/>
        </w:rPr>
      </w:pPr>
      <w:r w:rsidRPr="00C96521">
        <w:rPr>
          <w:rFonts w:eastAsia="MS Mincho"/>
          <w:spacing w:val="1"/>
          <w:sz w:val="16"/>
          <w:szCs w:val="16"/>
          <w:lang w:val="en-GB" w:eastAsia="ja-JP"/>
        </w:rPr>
        <w:t>Stakeholder workshop for western flyway: 19-21 December 2016, Valsain, Spain.</w:t>
      </w:r>
    </w:p>
    <w:p w14:paraId="55D848A9" w14:textId="77777777" w:rsidR="00C96521" w:rsidRPr="00C96521" w:rsidRDefault="00C96521" w:rsidP="00C96521">
      <w:pPr>
        <w:widowControl/>
        <w:autoSpaceDE/>
        <w:autoSpaceDN/>
        <w:adjustRightInd/>
        <w:spacing w:line="276" w:lineRule="auto"/>
        <w:rPr>
          <w:rFonts w:eastAsia="MS Mincho"/>
          <w:spacing w:val="1"/>
          <w:sz w:val="16"/>
          <w:szCs w:val="16"/>
          <w:lang w:val="en-GB" w:eastAsia="ja-JP"/>
        </w:rPr>
      </w:pPr>
      <w:r w:rsidRPr="00C96521">
        <w:rPr>
          <w:rFonts w:eastAsia="MS Mincho"/>
          <w:spacing w:val="1"/>
          <w:sz w:val="16"/>
          <w:szCs w:val="16"/>
          <w:lang w:val="en-GB" w:eastAsia="ja-JP"/>
        </w:rPr>
        <w:t>Stakeholder workshop for central and eastern flyway: 16-18 January 2017, Kecskemét, Hungary.</w:t>
      </w:r>
    </w:p>
    <w:p w14:paraId="656871B4" w14:textId="77777777" w:rsidR="00C96521" w:rsidRPr="00C96521" w:rsidRDefault="00C96521" w:rsidP="00C96521">
      <w:pPr>
        <w:widowControl/>
        <w:autoSpaceDE/>
        <w:autoSpaceDN/>
        <w:adjustRightInd/>
        <w:spacing w:line="276" w:lineRule="auto"/>
        <w:rPr>
          <w:rFonts w:eastAsia="MS Mincho"/>
          <w:spacing w:val="1"/>
          <w:sz w:val="16"/>
          <w:szCs w:val="16"/>
          <w:lang w:val="en-GB" w:eastAsia="ja-JP"/>
        </w:rPr>
      </w:pPr>
      <w:r w:rsidRPr="00C96521">
        <w:rPr>
          <w:rFonts w:eastAsia="MS Mincho"/>
          <w:spacing w:val="1"/>
          <w:sz w:val="16"/>
          <w:szCs w:val="16"/>
          <w:lang w:val="en-GB" w:eastAsia="ja-JP"/>
        </w:rPr>
        <w:t>First draft: April 2017, circulated to the Expert Group on the Birds and Habitats Directive (NADEG) and experts across the species Range States.</w:t>
      </w:r>
    </w:p>
    <w:p w14:paraId="72DEFF52" w14:textId="77777777" w:rsidR="00C96521" w:rsidRPr="00C96521" w:rsidRDefault="00C96521" w:rsidP="00C96521">
      <w:pPr>
        <w:widowControl/>
        <w:autoSpaceDE/>
        <w:autoSpaceDN/>
        <w:adjustRightInd/>
        <w:spacing w:line="276" w:lineRule="auto"/>
        <w:rPr>
          <w:rFonts w:eastAsia="MS Mincho"/>
          <w:spacing w:val="1"/>
          <w:sz w:val="16"/>
          <w:szCs w:val="16"/>
          <w:lang w:val="en-GB" w:eastAsia="ja-JP"/>
        </w:rPr>
      </w:pPr>
    </w:p>
    <w:p w14:paraId="6FF5F36F" w14:textId="77777777" w:rsidR="00C96521" w:rsidRPr="00C96521" w:rsidRDefault="00C96521" w:rsidP="00C96521">
      <w:pPr>
        <w:widowControl/>
        <w:autoSpaceDE/>
        <w:autoSpaceDN/>
        <w:adjustRightInd/>
        <w:spacing w:line="276" w:lineRule="auto"/>
        <w:rPr>
          <w:rFonts w:eastAsia="MS Mincho"/>
          <w:spacing w:val="1"/>
          <w:sz w:val="16"/>
          <w:szCs w:val="16"/>
          <w:lang w:val="en-GB" w:eastAsia="ja-JP"/>
        </w:rPr>
      </w:pPr>
      <w:r w:rsidRPr="00C96521">
        <w:rPr>
          <w:rFonts w:eastAsia="MS Mincho"/>
          <w:b/>
          <w:spacing w:val="1"/>
          <w:sz w:val="16"/>
          <w:szCs w:val="16"/>
          <w:lang w:val="en-GB" w:eastAsia="ja-JP"/>
        </w:rPr>
        <w:t>Recommended citation:</w:t>
      </w:r>
      <w:r w:rsidRPr="00C96521">
        <w:rPr>
          <w:rFonts w:eastAsia="MS Mincho"/>
          <w:spacing w:val="1"/>
          <w:sz w:val="16"/>
          <w:szCs w:val="16"/>
          <w:lang w:val="en-GB" w:eastAsia="ja-JP"/>
        </w:rPr>
        <w:t xml:space="preserve"> </w:t>
      </w:r>
      <w:r w:rsidRPr="00C96521">
        <w:rPr>
          <w:rFonts w:eastAsia="MS Mincho"/>
          <w:i/>
          <w:spacing w:val="1"/>
          <w:sz w:val="16"/>
          <w:szCs w:val="16"/>
          <w:lang w:val="en-GB" w:eastAsia="ja-JP"/>
        </w:rPr>
        <w:t>to be determined.</w:t>
      </w:r>
    </w:p>
    <w:p w14:paraId="4988D2E6" w14:textId="77777777" w:rsidR="00C96521" w:rsidRPr="00C96521" w:rsidRDefault="00C96521" w:rsidP="00C96521">
      <w:pPr>
        <w:widowControl/>
        <w:autoSpaceDE/>
        <w:autoSpaceDN/>
        <w:adjustRightInd/>
        <w:spacing w:line="276" w:lineRule="auto"/>
        <w:rPr>
          <w:rFonts w:eastAsia="MS Mincho"/>
          <w:spacing w:val="1"/>
          <w:sz w:val="16"/>
          <w:szCs w:val="16"/>
          <w:lang w:val="en-GB" w:eastAsia="ja-JP"/>
        </w:rPr>
      </w:pPr>
    </w:p>
    <w:p w14:paraId="210F98D9" w14:textId="19B7A906" w:rsidR="00C96521" w:rsidRPr="00C96521" w:rsidRDefault="00C96521" w:rsidP="00C96521">
      <w:pPr>
        <w:widowControl/>
        <w:autoSpaceDE/>
        <w:autoSpaceDN/>
        <w:adjustRightInd/>
        <w:spacing w:line="276" w:lineRule="auto"/>
        <w:rPr>
          <w:rFonts w:eastAsia="MS Mincho"/>
          <w:spacing w:val="1"/>
          <w:sz w:val="16"/>
          <w:szCs w:val="16"/>
          <w:lang w:val="en-GB" w:eastAsia="ja-JP"/>
        </w:rPr>
      </w:pPr>
      <w:r w:rsidRPr="00C96521">
        <w:rPr>
          <w:rFonts w:eastAsia="MS Mincho"/>
          <w:b/>
          <w:spacing w:val="1"/>
          <w:sz w:val="16"/>
          <w:szCs w:val="16"/>
          <w:lang w:val="en-GB" w:eastAsia="ja-JP"/>
        </w:rPr>
        <w:t>Picture on the front cover:</w:t>
      </w:r>
      <w:r w:rsidRPr="00C96521">
        <w:rPr>
          <w:rFonts w:eastAsia="MS Mincho"/>
          <w:spacing w:val="1"/>
          <w:sz w:val="16"/>
          <w:szCs w:val="16"/>
          <w:lang w:val="en-GB" w:eastAsia="ja-JP"/>
        </w:rPr>
        <w:t xml:space="preserve"> Turtle</w:t>
      </w:r>
      <w:r w:rsidR="00BE5EF4">
        <w:rPr>
          <w:rFonts w:eastAsia="MS Mincho"/>
          <w:spacing w:val="1"/>
          <w:sz w:val="16"/>
          <w:szCs w:val="16"/>
          <w:lang w:val="en-GB" w:eastAsia="ja-JP"/>
        </w:rPr>
        <w:t xml:space="preserve"> D</w:t>
      </w:r>
      <w:r w:rsidRPr="00C96521">
        <w:rPr>
          <w:rFonts w:eastAsia="MS Mincho"/>
          <w:spacing w:val="1"/>
          <w:sz w:val="16"/>
          <w:szCs w:val="16"/>
          <w:lang w:val="en-GB" w:eastAsia="ja-JP"/>
        </w:rPr>
        <w:t>ove (</w:t>
      </w:r>
      <w:r w:rsidRPr="00C96521">
        <w:rPr>
          <w:rFonts w:eastAsia="MS Mincho"/>
          <w:i/>
          <w:spacing w:val="1"/>
          <w:sz w:val="16"/>
          <w:szCs w:val="16"/>
          <w:lang w:val="en-GB" w:eastAsia="ja-JP"/>
        </w:rPr>
        <w:t>Streptopelia turtur</w:t>
      </w:r>
      <w:r w:rsidRPr="00C96521">
        <w:rPr>
          <w:rFonts w:eastAsia="MS Mincho"/>
          <w:spacing w:val="1"/>
          <w:sz w:val="16"/>
          <w:szCs w:val="16"/>
          <w:lang w:val="en-GB" w:eastAsia="ja-JP"/>
        </w:rPr>
        <w:t>) © Dmitry Yakubovich.</w:t>
      </w:r>
    </w:p>
    <w:p w14:paraId="6E6787C2" w14:textId="77777777" w:rsidR="00C96521" w:rsidRPr="00C96521" w:rsidRDefault="00C96521" w:rsidP="00C96521">
      <w:pPr>
        <w:widowControl/>
        <w:autoSpaceDE/>
        <w:autoSpaceDN/>
        <w:adjustRightInd/>
        <w:spacing w:line="276" w:lineRule="auto"/>
        <w:rPr>
          <w:rFonts w:eastAsia="MS Mincho"/>
          <w:spacing w:val="1"/>
          <w:sz w:val="16"/>
          <w:szCs w:val="16"/>
          <w:lang w:val="en-GB" w:eastAsia="ja-JP"/>
        </w:rPr>
      </w:pPr>
    </w:p>
    <w:p w14:paraId="14D00FE5" w14:textId="77777777" w:rsidR="00C96521" w:rsidRPr="00C96521" w:rsidRDefault="00C96521" w:rsidP="00C96521">
      <w:pPr>
        <w:widowControl/>
        <w:autoSpaceDE/>
        <w:autoSpaceDN/>
        <w:adjustRightInd/>
        <w:spacing w:line="276" w:lineRule="auto"/>
        <w:rPr>
          <w:rFonts w:eastAsia="MS Mincho"/>
          <w:spacing w:val="1"/>
          <w:sz w:val="16"/>
          <w:szCs w:val="16"/>
          <w:lang w:val="en-GB" w:eastAsia="ja-JP"/>
        </w:rPr>
      </w:pPr>
      <w:r w:rsidRPr="00C96521">
        <w:rPr>
          <w:rFonts w:eastAsia="MS Mincho"/>
          <w:b/>
          <w:spacing w:val="1"/>
          <w:sz w:val="16"/>
          <w:szCs w:val="16"/>
          <w:lang w:val="en-GB" w:eastAsia="ja-JP"/>
        </w:rPr>
        <w:t>Disclaimer:</w:t>
      </w:r>
      <w:r w:rsidRPr="00C96521">
        <w:rPr>
          <w:rFonts w:eastAsia="MS Mincho"/>
          <w:spacing w:val="1"/>
          <w:sz w:val="16"/>
          <w:szCs w:val="16"/>
          <w:lang w:val="en-GB" w:eastAsia="ja-JP"/>
        </w:rPr>
        <w:t xml:space="preserve"> the designation employed and the presentation of the material in this document do not imply the expression of any opinion whatsoever on the part of UNEP/CMS, UNEP/AEWA and other project partners concerning the legal status of any State, territory, city or area, or of its authorities, or concerning the delimitation of their frontiers and boundaries.</w:t>
      </w:r>
    </w:p>
    <w:p w14:paraId="0CFE85C2" w14:textId="77777777" w:rsidR="00C96521" w:rsidRPr="00C96521" w:rsidRDefault="00C96521" w:rsidP="00C96521">
      <w:pPr>
        <w:widowControl/>
        <w:autoSpaceDE/>
        <w:autoSpaceDN/>
        <w:adjustRightInd/>
        <w:spacing w:line="276" w:lineRule="auto"/>
        <w:rPr>
          <w:rFonts w:eastAsia="MS Mincho"/>
          <w:spacing w:val="1"/>
          <w:sz w:val="16"/>
          <w:szCs w:val="16"/>
          <w:lang w:val="en-GB" w:eastAsia="ja-JP"/>
        </w:rPr>
      </w:pPr>
    </w:p>
    <w:p w14:paraId="1B5E147B" w14:textId="77777777" w:rsidR="00C96521" w:rsidRPr="00C96521" w:rsidRDefault="00C96521" w:rsidP="00C96521">
      <w:pPr>
        <w:widowControl/>
        <w:autoSpaceDE/>
        <w:autoSpaceDN/>
        <w:adjustRightInd/>
        <w:spacing w:line="276" w:lineRule="auto"/>
        <w:rPr>
          <w:rFonts w:eastAsia="MS Mincho"/>
          <w:spacing w:val="1"/>
          <w:sz w:val="16"/>
          <w:szCs w:val="16"/>
          <w:lang w:val="en-GB" w:eastAsia="ja-JP"/>
        </w:rPr>
      </w:pPr>
    </w:p>
    <w:p w14:paraId="03448496" w14:textId="77777777" w:rsidR="00C96521" w:rsidRPr="00C96521" w:rsidRDefault="00C96521" w:rsidP="00C96521">
      <w:pPr>
        <w:widowControl/>
        <w:autoSpaceDE/>
        <w:autoSpaceDN/>
        <w:adjustRightInd/>
        <w:spacing w:line="276" w:lineRule="auto"/>
        <w:rPr>
          <w:rFonts w:eastAsia="MS Mincho"/>
          <w:spacing w:val="1"/>
          <w:sz w:val="16"/>
          <w:szCs w:val="16"/>
          <w:lang w:val="en-GB" w:eastAsia="ja-JP"/>
        </w:rPr>
      </w:pPr>
    </w:p>
    <w:p w14:paraId="4F37F7AD"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31258BBA"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86E3D49"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831BD6A"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73C3F35" w14:textId="65931B94" w:rsidR="00C96521" w:rsidRPr="00C96521" w:rsidRDefault="00C96521" w:rsidP="00C96521">
      <w:pPr>
        <w:widowControl/>
        <w:autoSpaceDE/>
        <w:autoSpaceDN/>
        <w:adjustRightInd/>
        <w:spacing w:line="276" w:lineRule="auto"/>
        <w:jc w:val="center"/>
        <w:rPr>
          <w:rFonts w:eastAsia="MS Mincho"/>
          <w:i/>
          <w:iCs/>
          <w:sz w:val="20"/>
          <w:szCs w:val="22"/>
          <w:lang w:val="en-GB" w:eastAsia="ja-JP"/>
        </w:rPr>
      </w:pPr>
      <w:r w:rsidRPr="00C96521">
        <w:rPr>
          <w:rFonts w:eastAsia="MS Mincho"/>
          <w:i/>
          <w:iCs/>
          <w:sz w:val="20"/>
          <w:szCs w:val="22"/>
          <w:lang w:val="en-GB" w:eastAsia="ja-JP"/>
        </w:rPr>
        <w:t xml:space="preserve">In 1947, Aldo Leopold wrote in his </w:t>
      </w:r>
      <w:r w:rsidRPr="00C96521">
        <w:rPr>
          <w:rFonts w:eastAsia="MS Mincho"/>
          <w:iCs/>
          <w:sz w:val="20"/>
          <w:szCs w:val="22"/>
          <w:lang w:val="en-GB" w:eastAsia="ja-JP"/>
        </w:rPr>
        <w:t>On a Monument to the Pigeon</w:t>
      </w:r>
      <w:r w:rsidRPr="00C96521">
        <w:rPr>
          <w:rFonts w:eastAsia="MS Mincho"/>
          <w:i/>
          <w:iCs/>
          <w:sz w:val="20"/>
          <w:szCs w:val="22"/>
          <w:lang w:val="en-GB" w:eastAsia="ja-JP"/>
        </w:rPr>
        <w:t>: “Men still live who, in their youth, remember pigeons; trees still live who, in their youth, were shaken by a living wind. But a few decades hence only the oldest oaks will remember, and at long last only the hills will know” (Leopold, 1953). He was referring to the passenger pigeon of North America, once numbering over 3 billion individuals, but now extinct through a lethal combination of causes early in the 20</w:t>
      </w:r>
      <w:r w:rsidRPr="00177BBB">
        <w:rPr>
          <w:rFonts w:eastAsia="MS Mincho"/>
          <w:i/>
          <w:iCs/>
          <w:sz w:val="20"/>
          <w:szCs w:val="22"/>
          <w:vertAlign w:val="superscript"/>
          <w:lang w:val="en-GB" w:eastAsia="ja-JP"/>
        </w:rPr>
        <w:t>th</w:t>
      </w:r>
      <w:r w:rsidR="003F6C6E">
        <w:rPr>
          <w:rFonts w:eastAsia="MS Mincho"/>
          <w:i/>
          <w:iCs/>
          <w:sz w:val="20"/>
          <w:szCs w:val="22"/>
          <w:lang w:val="en-GB" w:eastAsia="ja-JP"/>
        </w:rPr>
        <w:t xml:space="preserve"> </w:t>
      </w:r>
      <w:r w:rsidRPr="00C96521">
        <w:rPr>
          <w:rFonts w:eastAsia="MS Mincho"/>
          <w:i/>
          <w:iCs/>
          <w:sz w:val="20"/>
          <w:szCs w:val="22"/>
          <w:lang w:val="en-GB" w:eastAsia="ja-JP"/>
        </w:rPr>
        <w:t>century. With rapid declines across much of its range, the time for action for the turtle-dove is now...before it is too late.</w:t>
      </w:r>
    </w:p>
    <w:p w14:paraId="5D51BAD4" w14:textId="77777777" w:rsidR="00C96521" w:rsidRPr="00C96521" w:rsidRDefault="00C96521" w:rsidP="00C96521">
      <w:pPr>
        <w:widowControl/>
        <w:autoSpaceDE/>
        <w:autoSpaceDN/>
        <w:adjustRightInd/>
        <w:spacing w:line="276" w:lineRule="auto"/>
        <w:jc w:val="center"/>
        <w:rPr>
          <w:rFonts w:eastAsia="MS Mincho"/>
          <w:sz w:val="20"/>
          <w:szCs w:val="22"/>
          <w:lang w:val="en-GB" w:eastAsia="ja-JP"/>
        </w:rPr>
        <w:sectPr w:rsidR="00C96521" w:rsidRPr="00C96521" w:rsidSect="00C96521">
          <w:headerReference w:type="default" r:id="rId26"/>
          <w:headerReference w:type="first" r:id="rId27"/>
          <w:pgSz w:w="11920" w:h="16840"/>
          <w:pgMar w:top="1276" w:right="1300" w:bottom="920" w:left="1300" w:header="730" w:footer="738" w:gutter="0"/>
          <w:cols w:space="720"/>
          <w:titlePg/>
          <w:docGrid w:linePitch="299"/>
        </w:sectPr>
      </w:pPr>
    </w:p>
    <w:sdt>
      <w:sdtPr>
        <w:rPr>
          <w:rFonts w:eastAsia="MS Mincho"/>
          <w:sz w:val="22"/>
          <w:szCs w:val="22"/>
          <w:lang w:val="en-GB" w:eastAsia="ja-JP"/>
        </w:rPr>
        <w:id w:val="22497032"/>
        <w:docPartObj>
          <w:docPartGallery w:val="Table of Contents"/>
          <w:docPartUnique/>
        </w:docPartObj>
      </w:sdtPr>
      <w:sdtEndPr>
        <w:rPr>
          <w:sz w:val="20"/>
        </w:rPr>
      </w:sdtEndPr>
      <w:sdtContent>
        <w:p w14:paraId="23794A7B" w14:textId="77777777" w:rsidR="00C96521" w:rsidRPr="00C96521" w:rsidRDefault="00C96521" w:rsidP="00C96521">
          <w:pPr>
            <w:keepNext/>
            <w:keepLines/>
            <w:widowControl/>
            <w:autoSpaceDE/>
            <w:autoSpaceDN/>
            <w:adjustRightInd/>
            <w:spacing w:before="480" w:line="276" w:lineRule="auto"/>
            <w:rPr>
              <w:rFonts w:eastAsia="MS Gothic"/>
              <w:b/>
              <w:bCs/>
              <w:color w:val="365F91"/>
              <w:sz w:val="32"/>
              <w:szCs w:val="28"/>
              <w:lang w:val="en-GB" w:eastAsia="ja-JP"/>
            </w:rPr>
          </w:pPr>
          <w:r w:rsidRPr="00C96521">
            <w:rPr>
              <w:rFonts w:eastAsia="MS Gothic"/>
              <w:b/>
              <w:bCs/>
              <w:color w:val="365F91"/>
              <w:sz w:val="32"/>
              <w:szCs w:val="28"/>
              <w:lang w:val="en-GB" w:eastAsia="ja-JP"/>
            </w:rPr>
            <w:t>Contents</w:t>
          </w:r>
        </w:p>
        <w:p w14:paraId="7F2B26FF"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35840E6E" w14:textId="37DED1FC" w:rsidR="00C96521" w:rsidRPr="00C96521" w:rsidRDefault="00C96521" w:rsidP="00C96521">
          <w:pPr>
            <w:widowControl/>
            <w:tabs>
              <w:tab w:val="right" w:leader="dot" w:pos="9310"/>
            </w:tabs>
            <w:autoSpaceDE/>
            <w:autoSpaceDN/>
            <w:adjustRightInd/>
            <w:spacing w:after="100" w:line="276" w:lineRule="auto"/>
            <w:rPr>
              <w:rFonts w:ascii="Calibri" w:eastAsia="MS Mincho" w:hAnsi="Calibri"/>
              <w:noProof/>
              <w:sz w:val="22"/>
              <w:szCs w:val="22"/>
              <w:lang w:val="en-GB" w:eastAsia="ja-JP"/>
            </w:rPr>
          </w:pPr>
          <w:r w:rsidRPr="00C96521">
            <w:rPr>
              <w:rFonts w:eastAsia="MS Mincho"/>
              <w:b/>
              <w:sz w:val="20"/>
              <w:szCs w:val="22"/>
              <w:lang w:val="en-GB" w:eastAsia="ja-JP"/>
            </w:rPr>
            <w:fldChar w:fldCharType="begin"/>
          </w:r>
          <w:r w:rsidRPr="00C96521">
            <w:rPr>
              <w:rFonts w:eastAsia="MS Mincho"/>
              <w:b/>
              <w:sz w:val="20"/>
              <w:szCs w:val="22"/>
              <w:lang w:val="en-GB" w:eastAsia="ja-JP"/>
            </w:rPr>
            <w:instrText xml:space="preserve"> TOC \o "1-3" \h \z \u </w:instrText>
          </w:r>
          <w:r w:rsidRPr="00C96521">
            <w:rPr>
              <w:rFonts w:eastAsia="MS Mincho"/>
              <w:b/>
              <w:sz w:val="20"/>
              <w:szCs w:val="22"/>
              <w:lang w:val="en-GB" w:eastAsia="ja-JP"/>
            </w:rPr>
            <w:fldChar w:fldCharType="separate"/>
          </w:r>
          <w:hyperlink w:anchor="_Toc478646889" w:history="1">
            <w:r w:rsidRPr="00C96521">
              <w:rPr>
                <w:rFonts w:eastAsia="MS Mincho"/>
                <w:b/>
                <w:noProof/>
                <w:sz w:val="20"/>
                <w:szCs w:val="22"/>
                <w:u w:val="single"/>
                <w:lang w:val="en-GB" w:eastAsia="ja-JP"/>
              </w:rPr>
              <w:t>1 - Basic Data</w:t>
            </w:r>
            <w:r w:rsidRPr="00C96521">
              <w:rPr>
                <w:rFonts w:eastAsia="MS Mincho"/>
                <w:b/>
                <w:noProof/>
                <w:webHidden/>
                <w:sz w:val="20"/>
                <w:szCs w:val="22"/>
                <w:lang w:val="en-GB" w:eastAsia="ja-JP"/>
              </w:rPr>
              <w:tab/>
            </w:r>
            <w:r w:rsidRPr="00C96521">
              <w:rPr>
                <w:rFonts w:eastAsia="MS Mincho"/>
                <w:b/>
                <w:noProof/>
                <w:webHidden/>
                <w:sz w:val="20"/>
                <w:szCs w:val="22"/>
                <w:lang w:val="en-GB" w:eastAsia="ja-JP"/>
              </w:rPr>
              <w:fldChar w:fldCharType="begin"/>
            </w:r>
            <w:r w:rsidRPr="00C96521">
              <w:rPr>
                <w:rFonts w:eastAsia="MS Mincho"/>
                <w:b/>
                <w:noProof/>
                <w:webHidden/>
                <w:sz w:val="20"/>
                <w:szCs w:val="22"/>
                <w:lang w:val="en-GB" w:eastAsia="ja-JP"/>
              </w:rPr>
              <w:instrText xml:space="preserve"> PAGEREF _Toc478646889 \h </w:instrText>
            </w:r>
            <w:r w:rsidRPr="00C96521">
              <w:rPr>
                <w:rFonts w:eastAsia="MS Mincho"/>
                <w:b/>
                <w:noProof/>
                <w:webHidden/>
                <w:sz w:val="20"/>
                <w:szCs w:val="22"/>
                <w:lang w:val="en-GB" w:eastAsia="ja-JP"/>
              </w:rPr>
            </w:r>
            <w:r w:rsidRPr="00C96521">
              <w:rPr>
                <w:rFonts w:eastAsia="MS Mincho"/>
                <w:b/>
                <w:noProof/>
                <w:webHidden/>
                <w:sz w:val="20"/>
                <w:szCs w:val="22"/>
                <w:lang w:val="en-GB" w:eastAsia="ja-JP"/>
              </w:rPr>
              <w:fldChar w:fldCharType="separate"/>
            </w:r>
            <w:r w:rsidR="00126308">
              <w:rPr>
                <w:rFonts w:eastAsia="MS Mincho"/>
                <w:b/>
                <w:noProof/>
                <w:webHidden/>
                <w:sz w:val="20"/>
                <w:szCs w:val="22"/>
                <w:lang w:val="en-GB" w:eastAsia="ja-JP"/>
              </w:rPr>
              <w:t>9</w:t>
            </w:r>
            <w:r w:rsidRPr="00C96521">
              <w:rPr>
                <w:rFonts w:eastAsia="MS Mincho"/>
                <w:b/>
                <w:noProof/>
                <w:webHidden/>
                <w:sz w:val="20"/>
                <w:szCs w:val="22"/>
                <w:lang w:val="en-GB" w:eastAsia="ja-JP"/>
              </w:rPr>
              <w:fldChar w:fldCharType="end"/>
            </w:r>
          </w:hyperlink>
        </w:p>
        <w:p w14:paraId="262A6D4D" w14:textId="4CE66B51" w:rsidR="00C96521" w:rsidRPr="00C96521" w:rsidRDefault="00B44B0D" w:rsidP="00C96521">
          <w:pPr>
            <w:widowControl/>
            <w:tabs>
              <w:tab w:val="right" w:leader="dot" w:pos="9310"/>
            </w:tabs>
            <w:autoSpaceDE/>
            <w:autoSpaceDN/>
            <w:adjustRightInd/>
            <w:spacing w:after="100" w:line="276" w:lineRule="auto"/>
            <w:ind w:left="220"/>
            <w:rPr>
              <w:rFonts w:ascii="Calibri" w:eastAsia="MS Mincho" w:hAnsi="Calibri"/>
              <w:noProof/>
              <w:sz w:val="22"/>
              <w:szCs w:val="22"/>
              <w:lang w:val="en-GB" w:eastAsia="ja-JP"/>
            </w:rPr>
          </w:pPr>
          <w:hyperlink w:anchor="_Toc478646890" w:history="1">
            <w:r w:rsidR="00C96521" w:rsidRPr="00C96521">
              <w:rPr>
                <w:rFonts w:eastAsia="MS Mincho"/>
                <w:noProof/>
                <w:sz w:val="20"/>
                <w:szCs w:val="22"/>
                <w:u w:val="single"/>
                <w:lang w:val="en-GB" w:eastAsia="ja-JP"/>
              </w:rPr>
              <w:t>Taxonomy and bio-geographic populations</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_Toc478646890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sidR="00126308">
              <w:rPr>
                <w:rFonts w:eastAsia="MS Mincho"/>
                <w:noProof/>
                <w:webHidden/>
                <w:sz w:val="20"/>
                <w:szCs w:val="22"/>
                <w:lang w:val="en-GB" w:eastAsia="ja-JP"/>
              </w:rPr>
              <w:t>9</w:t>
            </w:r>
            <w:r w:rsidR="00C96521" w:rsidRPr="00C96521">
              <w:rPr>
                <w:rFonts w:eastAsia="MS Mincho"/>
                <w:noProof/>
                <w:webHidden/>
                <w:sz w:val="20"/>
                <w:szCs w:val="22"/>
                <w:lang w:val="en-GB" w:eastAsia="ja-JP"/>
              </w:rPr>
              <w:fldChar w:fldCharType="end"/>
            </w:r>
          </w:hyperlink>
        </w:p>
        <w:p w14:paraId="44AFE68F" w14:textId="7DDB14C4" w:rsidR="00C96521" w:rsidRPr="00C96521" w:rsidRDefault="00B44B0D" w:rsidP="00C96521">
          <w:pPr>
            <w:widowControl/>
            <w:tabs>
              <w:tab w:val="right" w:leader="dot" w:pos="9310"/>
            </w:tabs>
            <w:autoSpaceDE/>
            <w:autoSpaceDN/>
            <w:adjustRightInd/>
            <w:spacing w:after="100" w:line="276" w:lineRule="auto"/>
            <w:ind w:left="220"/>
            <w:rPr>
              <w:rFonts w:ascii="Calibri" w:eastAsia="MS Mincho" w:hAnsi="Calibri"/>
              <w:noProof/>
              <w:sz w:val="22"/>
              <w:szCs w:val="22"/>
              <w:lang w:val="en-GB" w:eastAsia="ja-JP"/>
            </w:rPr>
          </w:pPr>
          <w:hyperlink w:anchor="_Toc478646891" w:history="1">
            <w:r w:rsidR="00C96521" w:rsidRPr="00C96521">
              <w:rPr>
                <w:rFonts w:eastAsia="MS Mincho"/>
                <w:noProof/>
                <w:sz w:val="20"/>
                <w:szCs w:val="22"/>
                <w:u w:val="single"/>
                <w:lang w:val="en-GB" w:eastAsia="ja-JP"/>
              </w:rPr>
              <w:t>Relevant policy and legislation</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_Toc478646891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sidR="00126308">
              <w:rPr>
                <w:rFonts w:eastAsia="MS Mincho"/>
                <w:noProof/>
                <w:webHidden/>
                <w:sz w:val="20"/>
                <w:szCs w:val="22"/>
                <w:lang w:val="en-GB" w:eastAsia="ja-JP"/>
              </w:rPr>
              <w:t>11</w:t>
            </w:r>
            <w:r w:rsidR="00C96521" w:rsidRPr="00C96521">
              <w:rPr>
                <w:rFonts w:eastAsia="MS Mincho"/>
                <w:noProof/>
                <w:webHidden/>
                <w:sz w:val="20"/>
                <w:szCs w:val="22"/>
                <w:lang w:val="en-GB" w:eastAsia="ja-JP"/>
              </w:rPr>
              <w:fldChar w:fldCharType="end"/>
            </w:r>
          </w:hyperlink>
        </w:p>
        <w:p w14:paraId="2B2CCFA5" w14:textId="3CC3B127" w:rsidR="00C96521" w:rsidRPr="00C96521" w:rsidRDefault="00B44B0D" w:rsidP="00C96521">
          <w:pPr>
            <w:widowControl/>
            <w:tabs>
              <w:tab w:val="right" w:leader="dot" w:pos="9310"/>
              <w:tab w:val="left" w:pos="9356"/>
            </w:tabs>
            <w:autoSpaceDE/>
            <w:autoSpaceDN/>
            <w:adjustRightInd/>
            <w:spacing w:after="100" w:line="276" w:lineRule="auto"/>
            <w:ind w:left="442"/>
            <w:rPr>
              <w:rFonts w:ascii="Calibri" w:eastAsia="MS Mincho" w:hAnsi="Calibri"/>
              <w:noProof/>
              <w:sz w:val="22"/>
              <w:szCs w:val="22"/>
              <w:lang w:val="en-GB" w:eastAsia="ja-JP"/>
            </w:rPr>
          </w:pPr>
          <w:hyperlink w:anchor="_Toc478646892" w:history="1">
            <w:r w:rsidR="00C96521" w:rsidRPr="00C96521">
              <w:rPr>
                <w:rFonts w:eastAsia="MS Mincho"/>
                <w:noProof/>
                <w:sz w:val="20"/>
                <w:szCs w:val="22"/>
                <w:u w:val="single"/>
                <w:lang w:val="en-GB" w:eastAsia="ja-JP"/>
              </w:rPr>
              <w:t>International conservation status</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_Toc478646892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sidR="00126308">
              <w:rPr>
                <w:rFonts w:eastAsia="MS Mincho"/>
                <w:noProof/>
                <w:webHidden/>
                <w:sz w:val="20"/>
                <w:szCs w:val="22"/>
                <w:lang w:val="en-GB" w:eastAsia="ja-JP"/>
              </w:rPr>
              <w:t>11</w:t>
            </w:r>
            <w:r w:rsidR="00C96521" w:rsidRPr="00C96521">
              <w:rPr>
                <w:rFonts w:eastAsia="MS Mincho"/>
                <w:noProof/>
                <w:webHidden/>
                <w:sz w:val="20"/>
                <w:szCs w:val="22"/>
                <w:lang w:val="en-GB" w:eastAsia="ja-JP"/>
              </w:rPr>
              <w:fldChar w:fldCharType="end"/>
            </w:r>
          </w:hyperlink>
        </w:p>
        <w:p w14:paraId="7126C2A8" w14:textId="7382F952" w:rsidR="00C96521" w:rsidRPr="00C96521" w:rsidRDefault="00B44B0D" w:rsidP="00C96521">
          <w:pPr>
            <w:widowControl/>
            <w:tabs>
              <w:tab w:val="right" w:leader="dot" w:pos="9310"/>
              <w:tab w:val="left" w:pos="9356"/>
            </w:tabs>
            <w:autoSpaceDE/>
            <w:autoSpaceDN/>
            <w:adjustRightInd/>
            <w:spacing w:after="100" w:line="276" w:lineRule="auto"/>
            <w:ind w:left="442"/>
            <w:rPr>
              <w:rFonts w:ascii="Calibri" w:eastAsia="MS Mincho" w:hAnsi="Calibri"/>
              <w:noProof/>
              <w:sz w:val="22"/>
              <w:szCs w:val="22"/>
              <w:lang w:val="en-GB" w:eastAsia="ja-JP"/>
            </w:rPr>
          </w:pPr>
          <w:hyperlink w:anchor="_Toc478646893" w:history="1">
            <w:r w:rsidR="00C96521" w:rsidRPr="00C96521">
              <w:rPr>
                <w:rFonts w:eastAsia="MS Mincho"/>
                <w:noProof/>
                <w:sz w:val="20"/>
                <w:szCs w:val="22"/>
                <w:u w:val="single"/>
                <w:lang w:val="en-GB" w:eastAsia="ja-JP"/>
              </w:rPr>
              <w:t>International and European protection policy and legislation</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_Toc478646893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sidR="00126308">
              <w:rPr>
                <w:rFonts w:eastAsia="MS Mincho"/>
                <w:noProof/>
                <w:webHidden/>
                <w:sz w:val="20"/>
                <w:szCs w:val="22"/>
                <w:lang w:val="en-GB" w:eastAsia="ja-JP"/>
              </w:rPr>
              <w:t>12</w:t>
            </w:r>
            <w:r w:rsidR="00C96521" w:rsidRPr="00C96521">
              <w:rPr>
                <w:rFonts w:eastAsia="MS Mincho"/>
                <w:noProof/>
                <w:webHidden/>
                <w:sz w:val="20"/>
                <w:szCs w:val="22"/>
                <w:lang w:val="en-GB" w:eastAsia="ja-JP"/>
              </w:rPr>
              <w:fldChar w:fldCharType="end"/>
            </w:r>
          </w:hyperlink>
        </w:p>
        <w:p w14:paraId="77069F70" w14:textId="5E16D120" w:rsidR="00C96521" w:rsidRPr="00C96521" w:rsidRDefault="00B44B0D" w:rsidP="00C96521">
          <w:pPr>
            <w:widowControl/>
            <w:tabs>
              <w:tab w:val="right" w:leader="dot" w:pos="9310"/>
              <w:tab w:val="left" w:pos="9356"/>
            </w:tabs>
            <w:autoSpaceDE/>
            <w:autoSpaceDN/>
            <w:adjustRightInd/>
            <w:spacing w:after="100" w:line="276" w:lineRule="auto"/>
            <w:ind w:left="442"/>
            <w:rPr>
              <w:rFonts w:ascii="Calibri" w:eastAsia="MS Mincho" w:hAnsi="Calibri"/>
              <w:noProof/>
              <w:sz w:val="22"/>
              <w:szCs w:val="22"/>
              <w:lang w:val="en-GB" w:eastAsia="ja-JP"/>
            </w:rPr>
          </w:pPr>
          <w:hyperlink w:anchor="_Toc478646894" w:history="1">
            <w:r w:rsidR="00C96521" w:rsidRPr="00C96521">
              <w:rPr>
                <w:rFonts w:eastAsia="MS Mincho"/>
                <w:noProof/>
                <w:sz w:val="20"/>
                <w:szCs w:val="22"/>
                <w:u w:val="single"/>
                <w:lang w:val="en-GB" w:eastAsia="ja-JP"/>
              </w:rPr>
              <w:t>Other relevant international policy and legislation</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_Toc478646894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sidR="00126308">
              <w:rPr>
                <w:rFonts w:eastAsia="MS Mincho"/>
                <w:noProof/>
                <w:webHidden/>
                <w:sz w:val="20"/>
                <w:szCs w:val="22"/>
                <w:lang w:val="en-GB" w:eastAsia="ja-JP"/>
              </w:rPr>
              <w:t>12</w:t>
            </w:r>
            <w:r w:rsidR="00C96521" w:rsidRPr="00C96521">
              <w:rPr>
                <w:rFonts w:eastAsia="MS Mincho"/>
                <w:noProof/>
                <w:webHidden/>
                <w:sz w:val="20"/>
                <w:szCs w:val="22"/>
                <w:lang w:val="en-GB" w:eastAsia="ja-JP"/>
              </w:rPr>
              <w:fldChar w:fldCharType="end"/>
            </w:r>
          </w:hyperlink>
        </w:p>
        <w:p w14:paraId="541F87FE" w14:textId="39C63F2B" w:rsidR="00C96521" w:rsidRPr="00C96521" w:rsidRDefault="00B44B0D" w:rsidP="00C96521">
          <w:pPr>
            <w:widowControl/>
            <w:tabs>
              <w:tab w:val="right" w:leader="dot" w:pos="9310"/>
              <w:tab w:val="left" w:pos="9356"/>
            </w:tabs>
            <w:autoSpaceDE/>
            <w:autoSpaceDN/>
            <w:adjustRightInd/>
            <w:spacing w:after="100" w:line="276" w:lineRule="auto"/>
            <w:ind w:left="442"/>
            <w:rPr>
              <w:rFonts w:ascii="Calibri" w:eastAsia="MS Mincho" w:hAnsi="Calibri"/>
              <w:noProof/>
              <w:sz w:val="22"/>
              <w:szCs w:val="22"/>
              <w:lang w:val="en-GB" w:eastAsia="ja-JP"/>
            </w:rPr>
          </w:pPr>
          <w:hyperlink w:anchor="_Toc478646895" w:history="1">
            <w:r w:rsidR="00C96521" w:rsidRPr="00C96521">
              <w:rPr>
                <w:rFonts w:eastAsia="MS Mincho"/>
                <w:noProof/>
                <w:sz w:val="20"/>
                <w:szCs w:val="22"/>
                <w:u w:val="single"/>
                <w:lang w:val="en-GB" w:eastAsia="ja-JP"/>
              </w:rPr>
              <w:t>National policies and legislation</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_Toc478646895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sidR="00126308">
              <w:rPr>
                <w:rFonts w:eastAsia="MS Mincho"/>
                <w:noProof/>
                <w:webHidden/>
                <w:sz w:val="20"/>
                <w:szCs w:val="22"/>
                <w:lang w:val="en-GB" w:eastAsia="ja-JP"/>
              </w:rPr>
              <w:t>13</w:t>
            </w:r>
            <w:r w:rsidR="00C96521" w:rsidRPr="00C96521">
              <w:rPr>
                <w:rFonts w:eastAsia="MS Mincho"/>
                <w:noProof/>
                <w:webHidden/>
                <w:sz w:val="20"/>
                <w:szCs w:val="22"/>
                <w:lang w:val="en-GB" w:eastAsia="ja-JP"/>
              </w:rPr>
              <w:fldChar w:fldCharType="end"/>
            </w:r>
          </w:hyperlink>
        </w:p>
        <w:p w14:paraId="58B1024C" w14:textId="07EEBC3C" w:rsidR="00C96521" w:rsidRPr="00C96521" w:rsidRDefault="00B44B0D" w:rsidP="00C96521">
          <w:pPr>
            <w:widowControl/>
            <w:tabs>
              <w:tab w:val="right" w:leader="dot" w:pos="9310"/>
              <w:tab w:val="left" w:pos="9356"/>
            </w:tabs>
            <w:autoSpaceDE/>
            <w:autoSpaceDN/>
            <w:adjustRightInd/>
            <w:spacing w:after="100" w:line="276" w:lineRule="auto"/>
            <w:ind w:left="442"/>
            <w:rPr>
              <w:rFonts w:ascii="Calibri" w:eastAsia="MS Mincho" w:hAnsi="Calibri"/>
              <w:noProof/>
              <w:sz w:val="22"/>
              <w:szCs w:val="22"/>
              <w:lang w:val="en-GB" w:eastAsia="ja-JP"/>
            </w:rPr>
          </w:pPr>
          <w:hyperlink w:anchor="_Toc478646896" w:history="1">
            <w:r w:rsidR="00C96521" w:rsidRPr="00C96521">
              <w:rPr>
                <w:rFonts w:eastAsia="MS Mincho"/>
                <w:noProof/>
                <w:sz w:val="20"/>
                <w:szCs w:val="22"/>
                <w:u w:val="single"/>
                <w:lang w:val="en-GB" w:eastAsia="ja-JP"/>
              </w:rPr>
              <w:t>Regulated use and management of the species</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_Toc478646896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sidR="00126308">
              <w:rPr>
                <w:rFonts w:eastAsia="MS Mincho"/>
                <w:noProof/>
                <w:webHidden/>
                <w:sz w:val="20"/>
                <w:szCs w:val="22"/>
                <w:lang w:val="en-GB" w:eastAsia="ja-JP"/>
              </w:rPr>
              <w:t>13</w:t>
            </w:r>
            <w:r w:rsidR="00C96521" w:rsidRPr="00C96521">
              <w:rPr>
                <w:rFonts w:eastAsia="MS Mincho"/>
                <w:noProof/>
                <w:webHidden/>
                <w:sz w:val="20"/>
                <w:szCs w:val="22"/>
                <w:lang w:val="en-GB" w:eastAsia="ja-JP"/>
              </w:rPr>
              <w:fldChar w:fldCharType="end"/>
            </w:r>
          </w:hyperlink>
        </w:p>
        <w:p w14:paraId="19B21473" w14:textId="67D88AFB" w:rsidR="00C96521" w:rsidRPr="00C96521" w:rsidRDefault="00B44B0D" w:rsidP="00C96521">
          <w:pPr>
            <w:widowControl/>
            <w:tabs>
              <w:tab w:val="right" w:leader="dot" w:pos="9310"/>
            </w:tabs>
            <w:autoSpaceDE/>
            <w:autoSpaceDN/>
            <w:adjustRightInd/>
            <w:spacing w:after="100" w:line="276" w:lineRule="auto"/>
            <w:rPr>
              <w:rFonts w:ascii="Calibri" w:eastAsia="MS Mincho" w:hAnsi="Calibri"/>
              <w:noProof/>
              <w:sz w:val="22"/>
              <w:szCs w:val="22"/>
              <w:lang w:val="en-GB" w:eastAsia="ja-JP"/>
            </w:rPr>
          </w:pPr>
          <w:hyperlink w:anchor="_Toc478646897" w:history="1">
            <w:r w:rsidR="00C96521" w:rsidRPr="00C96521">
              <w:rPr>
                <w:rFonts w:eastAsia="MS Mincho"/>
                <w:b/>
                <w:noProof/>
                <w:sz w:val="20"/>
                <w:szCs w:val="22"/>
                <w:u w:val="single"/>
                <w:lang w:val="en-GB" w:eastAsia="ja-JP"/>
              </w:rPr>
              <w:t>2 - FRAMEWORK FOR ACTION</w:t>
            </w:r>
            <w:r w:rsidR="00C96521" w:rsidRPr="00C96521">
              <w:rPr>
                <w:rFonts w:eastAsia="MS Mincho"/>
                <w:b/>
                <w:noProof/>
                <w:webHidden/>
                <w:sz w:val="20"/>
                <w:szCs w:val="22"/>
                <w:lang w:val="en-GB" w:eastAsia="ja-JP"/>
              </w:rPr>
              <w:tab/>
            </w:r>
            <w:r w:rsidR="00C96521" w:rsidRPr="00C96521">
              <w:rPr>
                <w:rFonts w:eastAsia="MS Mincho"/>
                <w:b/>
                <w:noProof/>
                <w:webHidden/>
                <w:sz w:val="20"/>
                <w:szCs w:val="22"/>
                <w:lang w:val="en-GB" w:eastAsia="ja-JP"/>
              </w:rPr>
              <w:fldChar w:fldCharType="begin"/>
            </w:r>
            <w:r w:rsidR="00C96521" w:rsidRPr="00C96521">
              <w:rPr>
                <w:rFonts w:eastAsia="MS Mincho"/>
                <w:b/>
                <w:noProof/>
                <w:webHidden/>
                <w:sz w:val="20"/>
                <w:szCs w:val="22"/>
                <w:lang w:val="en-GB" w:eastAsia="ja-JP"/>
              </w:rPr>
              <w:instrText xml:space="preserve"> PAGEREF _Toc478646897 \h </w:instrText>
            </w:r>
            <w:r w:rsidR="00C96521" w:rsidRPr="00C96521">
              <w:rPr>
                <w:rFonts w:eastAsia="MS Mincho"/>
                <w:b/>
                <w:noProof/>
                <w:webHidden/>
                <w:sz w:val="20"/>
                <w:szCs w:val="22"/>
                <w:lang w:val="en-GB" w:eastAsia="ja-JP"/>
              </w:rPr>
            </w:r>
            <w:r w:rsidR="00C96521" w:rsidRPr="00C96521">
              <w:rPr>
                <w:rFonts w:eastAsia="MS Mincho"/>
                <w:b/>
                <w:noProof/>
                <w:webHidden/>
                <w:sz w:val="20"/>
                <w:szCs w:val="22"/>
                <w:lang w:val="en-GB" w:eastAsia="ja-JP"/>
              </w:rPr>
              <w:fldChar w:fldCharType="separate"/>
            </w:r>
            <w:r w:rsidR="00126308">
              <w:rPr>
                <w:rFonts w:eastAsia="MS Mincho"/>
                <w:b/>
                <w:noProof/>
                <w:webHidden/>
                <w:sz w:val="20"/>
                <w:szCs w:val="22"/>
                <w:lang w:val="en-GB" w:eastAsia="ja-JP"/>
              </w:rPr>
              <w:t>16</w:t>
            </w:r>
            <w:r w:rsidR="00C96521" w:rsidRPr="00C96521">
              <w:rPr>
                <w:rFonts w:eastAsia="MS Mincho"/>
                <w:b/>
                <w:noProof/>
                <w:webHidden/>
                <w:sz w:val="20"/>
                <w:szCs w:val="22"/>
                <w:lang w:val="en-GB" w:eastAsia="ja-JP"/>
              </w:rPr>
              <w:fldChar w:fldCharType="end"/>
            </w:r>
          </w:hyperlink>
        </w:p>
        <w:p w14:paraId="5FC73666" w14:textId="5AD0205D" w:rsidR="00C96521" w:rsidRPr="00C96521" w:rsidRDefault="00B44B0D" w:rsidP="00C96521">
          <w:pPr>
            <w:widowControl/>
            <w:tabs>
              <w:tab w:val="right" w:leader="dot" w:pos="9310"/>
            </w:tabs>
            <w:autoSpaceDE/>
            <w:autoSpaceDN/>
            <w:adjustRightInd/>
            <w:spacing w:after="100" w:line="276" w:lineRule="auto"/>
            <w:ind w:left="220"/>
            <w:rPr>
              <w:rFonts w:ascii="Calibri" w:eastAsia="MS Mincho" w:hAnsi="Calibri"/>
              <w:noProof/>
              <w:sz w:val="22"/>
              <w:szCs w:val="22"/>
              <w:lang w:val="en-GB" w:eastAsia="ja-JP"/>
            </w:rPr>
          </w:pPr>
          <w:hyperlink w:anchor="_Toc478646898" w:history="1">
            <w:r w:rsidR="00C96521" w:rsidRPr="00C96521">
              <w:rPr>
                <w:rFonts w:eastAsia="MS Mincho"/>
                <w:noProof/>
                <w:sz w:val="20"/>
                <w:szCs w:val="22"/>
                <w:u w:val="single"/>
                <w:lang w:val="en-GB" w:eastAsia="ja-JP"/>
              </w:rPr>
              <w:t>Goal</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_Toc478646898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sidR="00126308">
              <w:rPr>
                <w:rFonts w:eastAsia="MS Mincho"/>
                <w:noProof/>
                <w:webHidden/>
                <w:sz w:val="20"/>
                <w:szCs w:val="22"/>
                <w:lang w:val="en-GB" w:eastAsia="ja-JP"/>
              </w:rPr>
              <w:t>16</w:t>
            </w:r>
            <w:r w:rsidR="00C96521" w:rsidRPr="00C96521">
              <w:rPr>
                <w:rFonts w:eastAsia="MS Mincho"/>
                <w:noProof/>
                <w:webHidden/>
                <w:sz w:val="20"/>
                <w:szCs w:val="22"/>
                <w:lang w:val="en-GB" w:eastAsia="ja-JP"/>
              </w:rPr>
              <w:fldChar w:fldCharType="end"/>
            </w:r>
          </w:hyperlink>
        </w:p>
        <w:p w14:paraId="787ED0DA" w14:textId="42F86E36" w:rsidR="00C96521" w:rsidRPr="00C96521" w:rsidRDefault="00B44B0D" w:rsidP="00C96521">
          <w:pPr>
            <w:widowControl/>
            <w:tabs>
              <w:tab w:val="right" w:leader="dot" w:pos="9310"/>
            </w:tabs>
            <w:autoSpaceDE/>
            <w:autoSpaceDN/>
            <w:adjustRightInd/>
            <w:spacing w:after="100" w:line="276" w:lineRule="auto"/>
            <w:ind w:left="220"/>
            <w:rPr>
              <w:rFonts w:ascii="Calibri" w:eastAsia="MS Mincho" w:hAnsi="Calibri"/>
              <w:noProof/>
              <w:sz w:val="22"/>
              <w:szCs w:val="22"/>
              <w:lang w:val="en-GB" w:eastAsia="ja-JP"/>
            </w:rPr>
          </w:pPr>
          <w:hyperlink w:anchor="_Toc478646899" w:history="1">
            <w:r w:rsidR="00C96521" w:rsidRPr="00C96521">
              <w:rPr>
                <w:rFonts w:eastAsia="MS Mincho"/>
                <w:noProof/>
                <w:sz w:val="20"/>
                <w:szCs w:val="22"/>
                <w:u w:val="single"/>
                <w:lang w:val="en-GB" w:eastAsia="ja-JP"/>
              </w:rPr>
              <w:t>High Level Objective</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_Toc478646899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sidR="00126308">
              <w:rPr>
                <w:rFonts w:eastAsia="MS Mincho"/>
                <w:noProof/>
                <w:webHidden/>
                <w:sz w:val="20"/>
                <w:szCs w:val="22"/>
                <w:lang w:val="en-GB" w:eastAsia="ja-JP"/>
              </w:rPr>
              <w:t>16</w:t>
            </w:r>
            <w:r w:rsidR="00C96521" w:rsidRPr="00C96521">
              <w:rPr>
                <w:rFonts w:eastAsia="MS Mincho"/>
                <w:noProof/>
                <w:webHidden/>
                <w:sz w:val="20"/>
                <w:szCs w:val="22"/>
                <w:lang w:val="en-GB" w:eastAsia="ja-JP"/>
              </w:rPr>
              <w:fldChar w:fldCharType="end"/>
            </w:r>
          </w:hyperlink>
        </w:p>
        <w:p w14:paraId="341F2751" w14:textId="1CDE4F86" w:rsidR="00C96521" w:rsidRPr="00C96521" w:rsidRDefault="00B44B0D" w:rsidP="00C96521">
          <w:pPr>
            <w:widowControl/>
            <w:tabs>
              <w:tab w:val="right" w:leader="dot" w:pos="9310"/>
            </w:tabs>
            <w:autoSpaceDE/>
            <w:autoSpaceDN/>
            <w:adjustRightInd/>
            <w:spacing w:after="100" w:line="276" w:lineRule="auto"/>
            <w:ind w:left="220"/>
            <w:rPr>
              <w:rFonts w:ascii="Calibri" w:eastAsia="MS Mincho" w:hAnsi="Calibri"/>
              <w:noProof/>
              <w:sz w:val="22"/>
              <w:szCs w:val="22"/>
              <w:lang w:val="en-GB" w:eastAsia="ja-JP"/>
            </w:rPr>
          </w:pPr>
          <w:hyperlink w:anchor="_Toc478646900" w:history="1">
            <w:r w:rsidR="00C96521" w:rsidRPr="00C96521">
              <w:rPr>
                <w:rFonts w:eastAsia="MS Mincho"/>
                <w:noProof/>
                <w:sz w:val="20"/>
                <w:szCs w:val="22"/>
                <w:u w:val="single"/>
                <w:lang w:val="en-GB" w:eastAsia="ja-JP"/>
              </w:rPr>
              <w:t>Results and actions</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_Toc478646900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sidR="00126308">
              <w:rPr>
                <w:rFonts w:eastAsia="MS Mincho"/>
                <w:noProof/>
                <w:webHidden/>
                <w:sz w:val="20"/>
                <w:szCs w:val="22"/>
                <w:lang w:val="en-GB" w:eastAsia="ja-JP"/>
              </w:rPr>
              <w:t>16</w:t>
            </w:r>
            <w:r w:rsidR="00C96521" w:rsidRPr="00C96521">
              <w:rPr>
                <w:rFonts w:eastAsia="MS Mincho"/>
                <w:noProof/>
                <w:webHidden/>
                <w:sz w:val="20"/>
                <w:szCs w:val="22"/>
                <w:lang w:val="en-GB" w:eastAsia="ja-JP"/>
              </w:rPr>
              <w:fldChar w:fldCharType="end"/>
            </w:r>
          </w:hyperlink>
        </w:p>
        <w:p w14:paraId="2A342C76" w14:textId="12E318AB" w:rsidR="00C96521" w:rsidRPr="00C96521" w:rsidRDefault="00B44B0D" w:rsidP="00C96521">
          <w:pPr>
            <w:widowControl/>
            <w:tabs>
              <w:tab w:val="right" w:leader="dot" w:pos="9310"/>
            </w:tabs>
            <w:autoSpaceDE/>
            <w:autoSpaceDN/>
            <w:adjustRightInd/>
            <w:spacing w:after="100" w:line="276" w:lineRule="auto"/>
            <w:rPr>
              <w:rFonts w:ascii="Calibri" w:eastAsia="MS Mincho" w:hAnsi="Calibri"/>
              <w:noProof/>
              <w:sz w:val="22"/>
              <w:szCs w:val="22"/>
              <w:lang w:val="en-GB" w:eastAsia="ja-JP"/>
            </w:rPr>
          </w:pPr>
          <w:hyperlink w:anchor="_Toc478646901" w:history="1">
            <w:r w:rsidR="00C96521" w:rsidRPr="00C96521">
              <w:rPr>
                <w:rFonts w:eastAsia="MS Mincho"/>
                <w:b/>
                <w:noProof/>
                <w:sz w:val="20"/>
                <w:szCs w:val="22"/>
                <w:u w:val="single"/>
                <w:lang w:val="en-GB" w:eastAsia="ja-JP"/>
              </w:rPr>
              <w:t>Annex 1 - BIOLOGICAL ASSESSMENT</w:t>
            </w:r>
            <w:r w:rsidR="00C96521" w:rsidRPr="00C96521">
              <w:rPr>
                <w:rFonts w:eastAsia="MS Mincho"/>
                <w:b/>
                <w:noProof/>
                <w:webHidden/>
                <w:sz w:val="20"/>
                <w:szCs w:val="22"/>
                <w:lang w:val="en-GB" w:eastAsia="ja-JP"/>
              </w:rPr>
              <w:tab/>
            </w:r>
            <w:r w:rsidR="00C96521" w:rsidRPr="00C96521">
              <w:rPr>
                <w:rFonts w:eastAsia="MS Mincho"/>
                <w:b/>
                <w:noProof/>
                <w:webHidden/>
                <w:sz w:val="20"/>
                <w:szCs w:val="22"/>
                <w:lang w:val="en-GB" w:eastAsia="ja-JP"/>
              </w:rPr>
              <w:fldChar w:fldCharType="begin"/>
            </w:r>
            <w:r w:rsidR="00C96521" w:rsidRPr="00C96521">
              <w:rPr>
                <w:rFonts w:eastAsia="MS Mincho"/>
                <w:b/>
                <w:noProof/>
                <w:webHidden/>
                <w:sz w:val="20"/>
                <w:szCs w:val="22"/>
                <w:lang w:val="en-GB" w:eastAsia="ja-JP"/>
              </w:rPr>
              <w:instrText xml:space="preserve"> PAGEREF _Toc478646901 \h </w:instrText>
            </w:r>
            <w:r w:rsidR="00C96521" w:rsidRPr="00C96521">
              <w:rPr>
                <w:rFonts w:eastAsia="MS Mincho"/>
                <w:b/>
                <w:noProof/>
                <w:webHidden/>
                <w:sz w:val="20"/>
                <w:szCs w:val="22"/>
                <w:lang w:val="en-GB" w:eastAsia="ja-JP"/>
              </w:rPr>
            </w:r>
            <w:r w:rsidR="00C96521" w:rsidRPr="00C96521">
              <w:rPr>
                <w:rFonts w:eastAsia="MS Mincho"/>
                <w:b/>
                <w:noProof/>
                <w:webHidden/>
                <w:sz w:val="20"/>
                <w:szCs w:val="22"/>
                <w:lang w:val="en-GB" w:eastAsia="ja-JP"/>
              </w:rPr>
              <w:fldChar w:fldCharType="separate"/>
            </w:r>
            <w:r w:rsidR="00126308">
              <w:rPr>
                <w:rFonts w:eastAsia="MS Mincho"/>
                <w:b/>
                <w:noProof/>
                <w:webHidden/>
                <w:sz w:val="20"/>
                <w:szCs w:val="22"/>
                <w:lang w:val="en-GB" w:eastAsia="ja-JP"/>
              </w:rPr>
              <w:t>38</w:t>
            </w:r>
            <w:r w:rsidR="00C96521" w:rsidRPr="00C96521">
              <w:rPr>
                <w:rFonts w:eastAsia="MS Mincho"/>
                <w:b/>
                <w:noProof/>
                <w:webHidden/>
                <w:sz w:val="20"/>
                <w:szCs w:val="22"/>
                <w:lang w:val="en-GB" w:eastAsia="ja-JP"/>
              </w:rPr>
              <w:fldChar w:fldCharType="end"/>
            </w:r>
          </w:hyperlink>
        </w:p>
        <w:p w14:paraId="2E9A8322" w14:textId="0D453FCF" w:rsidR="00C96521" w:rsidRPr="00C96521" w:rsidRDefault="00B44B0D" w:rsidP="00C96521">
          <w:pPr>
            <w:widowControl/>
            <w:tabs>
              <w:tab w:val="right" w:leader="dot" w:pos="9310"/>
            </w:tabs>
            <w:autoSpaceDE/>
            <w:autoSpaceDN/>
            <w:adjustRightInd/>
            <w:spacing w:after="100" w:line="276" w:lineRule="auto"/>
            <w:ind w:left="220"/>
            <w:rPr>
              <w:rFonts w:ascii="Calibri" w:eastAsia="MS Mincho" w:hAnsi="Calibri"/>
              <w:noProof/>
              <w:sz w:val="22"/>
              <w:szCs w:val="22"/>
              <w:lang w:val="en-GB" w:eastAsia="ja-JP"/>
            </w:rPr>
          </w:pPr>
          <w:hyperlink w:anchor="_Toc478646902" w:history="1">
            <w:r w:rsidR="00C96521" w:rsidRPr="00C96521">
              <w:rPr>
                <w:rFonts w:eastAsia="MS Mincho"/>
                <w:noProof/>
                <w:sz w:val="20"/>
                <w:szCs w:val="22"/>
                <w:u w:val="single"/>
                <w:lang w:val="en-GB" w:eastAsia="ja-JP"/>
              </w:rPr>
              <w:t>Distribution throughout the annual cycle</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_Toc478646902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sidR="00126308">
              <w:rPr>
                <w:rFonts w:eastAsia="MS Mincho"/>
                <w:noProof/>
                <w:webHidden/>
                <w:sz w:val="20"/>
                <w:szCs w:val="22"/>
                <w:lang w:val="en-GB" w:eastAsia="ja-JP"/>
              </w:rPr>
              <w:t>38</w:t>
            </w:r>
            <w:r w:rsidR="00C96521" w:rsidRPr="00C96521">
              <w:rPr>
                <w:rFonts w:eastAsia="MS Mincho"/>
                <w:noProof/>
                <w:webHidden/>
                <w:sz w:val="20"/>
                <w:szCs w:val="22"/>
                <w:lang w:val="en-GB" w:eastAsia="ja-JP"/>
              </w:rPr>
              <w:fldChar w:fldCharType="end"/>
            </w:r>
          </w:hyperlink>
        </w:p>
        <w:p w14:paraId="78A58823" w14:textId="04D23B29" w:rsidR="00C96521" w:rsidRPr="00C96521" w:rsidRDefault="00B44B0D" w:rsidP="00C96521">
          <w:pPr>
            <w:widowControl/>
            <w:tabs>
              <w:tab w:val="right" w:leader="dot" w:pos="9310"/>
            </w:tabs>
            <w:autoSpaceDE/>
            <w:autoSpaceDN/>
            <w:adjustRightInd/>
            <w:spacing w:after="100" w:line="276" w:lineRule="auto"/>
            <w:ind w:left="220"/>
            <w:rPr>
              <w:rFonts w:ascii="Calibri" w:eastAsia="MS Mincho" w:hAnsi="Calibri"/>
              <w:noProof/>
              <w:sz w:val="22"/>
              <w:szCs w:val="22"/>
              <w:lang w:val="en-GB" w:eastAsia="ja-JP"/>
            </w:rPr>
          </w:pPr>
          <w:hyperlink w:anchor="_Toc478646903" w:history="1">
            <w:r w:rsidR="00C96521" w:rsidRPr="00C96521">
              <w:rPr>
                <w:rFonts w:eastAsia="MS Mincho"/>
                <w:noProof/>
                <w:sz w:val="20"/>
                <w:szCs w:val="22"/>
                <w:u w:val="single"/>
                <w:lang w:val="en-GB" w:eastAsia="ja-JP"/>
              </w:rPr>
              <w:t>Habitat requirements</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_Toc478646903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sidR="00126308">
              <w:rPr>
                <w:rFonts w:eastAsia="MS Mincho"/>
                <w:noProof/>
                <w:webHidden/>
                <w:sz w:val="20"/>
                <w:szCs w:val="22"/>
                <w:lang w:val="en-GB" w:eastAsia="ja-JP"/>
              </w:rPr>
              <w:t>41</w:t>
            </w:r>
            <w:r w:rsidR="00C96521" w:rsidRPr="00C96521">
              <w:rPr>
                <w:rFonts w:eastAsia="MS Mincho"/>
                <w:noProof/>
                <w:webHidden/>
                <w:sz w:val="20"/>
                <w:szCs w:val="22"/>
                <w:lang w:val="en-GB" w:eastAsia="ja-JP"/>
              </w:rPr>
              <w:fldChar w:fldCharType="end"/>
            </w:r>
          </w:hyperlink>
        </w:p>
        <w:p w14:paraId="0164B04A" w14:textId="3F1BEAC6" w:rsidR="00C96521" w:rsidRPr="00C96521" w:rsidRDefault="00B44B0D" w:rsidP="00C96521">
          <w:pPr>
            <w:widowControl/>
            <w:tabs>
              <w:tab w:val="right" w:leader="dot" w:pos="9310"/>
            </w:tabs>
            <w:autoSpaceDE/>
            <w:autoSpaceDN/>
            <w:adjustRightInd/>
            <w:spacing w:after="100" w:line="276" w:lineRule="auto"/>
            <w:ind w:left="220"/>
            <w:rPr>
              <w:rFonts w:ascii="Calibri" w:eastAsia="MS Mincho" w:hAnsi="Calibri"/>
              <w:noProof/>
              <w:sz w:val="22"/>
              <w:szCs w:val="22"/>
              <w:lang w:val="en-GB" w:eastAsia="ja-JP"/>
            </w:rPr>
          </w:pPr>
          <w:hyperlink w:anchor="_Toc478646904" w:history="1">
            <w:r w:rsidR="00C96521" w:rsidRPr="00C96521">
              <w:rPr>
                <w:rFonts w:eastAsia="MS Mincho"/>
                <w:noProof/>
                <w:sz w:val="20"/>
                <w:szCs w:val="22"/>
                <w:u w:val="single"/>
                <w:lang w:val="en-GB" w:eastAsia="ja-JP"/>
              </w:rPr>
              <w:t>Breakdown of turtle-dove habitat use across Europe</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_Toc478646904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sidR="00126308">
              <w:rPr>
                <w:rFonts w:eastAsia="MS Mincho"/>
                <w:noProof/>
                <w:webHidden/>
                <w:sz w:val="20"/>
                <w:szCs w:val="22"/>
                <w:lang w:val="en-GB" w:eastAsia="ja-JP"/>
              </w:rPr>
              <w:t>42</w:t>
            </w:r>
            <w:r w:rsidR="00C96521" w:rsidRPr="00C96521">
              <w:rPr>
                <w:rFonts w:eastAsia="MS Mincho"/>
                <w:noProof/>
                <w:webHidden/>
                <w:sz w:val="20"/>
                <w:szCs w:val="22"/>
                <w:lang w:val="en-GB" w:eastAsia="ja-JP"/>
              </w:rPr>
              <w:fldChar w:fldCharType="end"/>
            </w:r>
          </w:hyperlink>
        </w:p>
        <w:p w14:paraId="0ECBA6E1" w14:textId="05B73CE2" w:rsidR="00C96521" w:rsidRPr="00C96521" w:rsidRDefault="00B44B0D" w:rsidP="00C96521">
          <w:pPr>
            <w:widowControl/>
            <w:tabs>
              <w:tab w:val="right" w:leader="dot" w:pos="9310"/>
            </w:tabs>
            <w:autoSpaceDE/>
            <w:autoSpaceDN/>
            <w:adjustRightInd/>
            <w:spacing w:after="100" w:line="276" w:lineRule="auto"/>
            <w:ind w:left="220"/>
            <w:rPr>
              <w:rFonts w:ascii="Calibri" w:eastAsia="MS Mincho" w:hAnsi="Calibri"/>
              <w:noProof/>
              <w:sz w:val="22"/>
              <w:szCs w:val="22"/>
              <w:lang w:val="en-GB" w:eastAsia="ja-JP"/>
            </w:rPr>
          </w:pPr>
          <w:hyperlink w:anchor="_Toc478646905" w:history="1">
            <w:r w:rsidR="00C96521" w:rsidRPr="00C96521">
              <w:rPr>
                <w:rFonts w:eastAsia="MS Mincho"/>
                <w:noProof/>
                <w:sz w:val="20"/>
                <w:szCs w:val="22"/>
                <w:u w:val="single"/>
                <w:lang w:val="en-GB" w:eastAsia="ja-JP"/>
              </w:rPr>
              <w:t>Survival and productivity</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_Toc478646905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sidR="00126308">
              <w:rPr>
                <w:rFonts w:eastAsia="MS Mincho"/>
                <w:noProof/>
                <w:webHidden/>
                <w:sz w:val="20"/>
                <w:szCs w:val="22"/>
                <w:lang w:val="en-GB" w:eastAsia="ja-JP"/>
              </w:rPr>
              <w:t>46</w:t>
            </w:r>
            <w:r w:rsidR="00C96521" w:rsidRPr="00C96521">
              <w:rPr>
                <w:rFonts w:eastAsia="MS Mincho"/>
                <w:noProof/>
                <w:webHidden/>
                <w:sz w:val="20"/>
                <w:szCs w:val="22"/>
                <w:lang w:val="en-GB" w:eastAsia="ja-JP"/>
              </w:rPr>
              <w:fldChar w:fldCharType="end"/>
            </w:r>
          </w:hyperlink>
        </w:p>
        <w:p w14:paraId="35CDCEB8" w14:textId="6D6A40AD" w:rsidR="00C96521" w:rsidRPr="00C96521" w:rsidRDefault="00B44B0D" w:rsidP="00C96521">
          <w:pPr>
            <w:widowControl/>
            <w:tabs>
              <w:tab w:val="right" w:leader="dot" w:pos="9310"/>
            </w:tabs>
            <w:autoSpaceDE/>
            <w:autoSpaceDN/>
            <w:adjustRightInd/>
            <w:spacing w:after="100" w:line="276" w:lineRule="auto"/>
            <w:ind w:left="220"/>
            <w:rPr>
              <w:rFonts w:ascii="Calibri" w:eastAsia="MS Mincho" w:hAnsi="Calibri"/>
              <w:noProof/>
              <w:sz w:val="22"/>
              <w:szCs w:val="22"/>
              <w:lang w:val="en-GB" w:eastAsia="ja-JP"/>
            </w:rPr>
          </w:pPr>
          <w:hyperlink w:anchor="_Toc478646906" w:history="1">
            <w:r w:rsidR="00C96521" w:rsidRPr="00C96521">
              <w:rPr>
                <w:rFonts w:eastAsia="MS Mincho"/>
                <w:noProof/>
                <w:sz w:val="20"/>
                <w:szCs w:val="22"/>
                <w:u w:val="single"/>
                <w:lang w:val="en-GB" w:eastAsia="ja-JP"/>
              </w:rPr>
              <w:t>Population size and trend</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_Toc478646906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sidR="00126308">
              <w:rPr>
                <w:rFonts w:eastAsia="MS Mincho"/>
                <w:noProof/>
                <w:webHidden/>
                <w:sz w:val="20"/>
                <w:szCs w:val="22"/>
                <w:lang w:val="en-GB" w:eastAsia="ja-JP"/>
              </w:rPr>
              <w:t>48</w:t>
            </w:r>
            <w:r w:rsidR="00C96521" w:rsidRPr="00C96521">
              <w:rPr>
                <w:rFonts w:eastAsia="MS Mincho"/>
                <w:noProof/>
                <w:webHidden/>
                <w:sz w:val="20"/>
                <w:szCs w:val="22"/>
                <w:lang w:val="en-GB" w:eastAsia="ja-JP"/>
              </w:rPr>
              <w:fldChar w:fldCharType="end"/>
            </w:r>
          </w:hyperlink>
        </w:p>
        <w:p w14:paraId="33804B0A" w14:textId="566C7BBB" w:rsidR="00C96521" w:rsidRPr="00C96521" w:rsidRDefault="00B44B0D" w:rsidP="00C96521">
          <w:pPr>
            <w:widowControl/>
            <w:tabs>
              <w:tab w:val="right" w:leader="dot" w:pos="9310"/>
            </w:tabs>
            <w:autoSpaceDE/>
            <w:autoSpaceDN/>
            <w:adjustRightInd/>
            <w:spacing w:after="100" w:line="276" w:lineRule="auto"/>
            <w:ind w:left="220"/>
            <w:rPr>
              <w:rFonts w:ascii="Calibri" w:eastAsia="MS Mincho" w:hAnsi="Calibri"/>
              <w:noProof/>
              <w:sz w:val="22"/>
              <w:szCs w:val="22"/>
              <w:lang w:val="en-GB" w:eastAsia="ja-JP"/>
            </w:rPr>
          </w:pPr>
          <w:hyperlink w:anchor="_Toc478646907" w:history="1">
            <w:r w:rsidR="00C96521" w:rsidRPr="00C96521">
              <w:rPr>
                <w:rFonts w:eastAsia="MS Mincho"/>
                <w:noProof/>
                <w:sz w:val="20"/>
                <w:szCs w:val="22"/>
                <w:u w:val="single"/>
                <w:lang w:val="en-GB" w:eastAsia="ja-JP"/>
              </w:rPr>
              <w:t>Breakdown of turtle-dove population trends across Europe</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_Toc478646907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sidR="00126308">
              <w:rPr>
                <w:rFonts w:eastAsia="MS Mincho"/>
                <w:noProof/>
                <w:webHidden/>
                <w:sz w:val="20"/>
                <w:szCs w:val="22"/>
                <w:lang w:val="en-GB" w:eastAsia="ja-JP"/>
              </w:rPr>
              <w:t>58</w:t>
            </w:r>
            <w:r w:rsidR="00C96521" w:rsidRPr="00C96521">
              <w:rPr>
                <w:rFonts w:eastAsia="MS Mincho"/>
                <w:noProof/>
                <w:webHidden/>
                <w:sz w:val="20"/>
                <w:szCs w:val="22"/>
                <w:lang w:val="en-GB" w:eastAsia="ja-JP"/>
              </w:rPr>
              <w:fldChar w:fldCharType="end"/>
            </w:r>
          </w:hyperlink>
        </w:p>
        <w:p w14:paraId="5BCB86DD" w14:textId="42DC5F4C" w:rsidR="00C96521" w:rsidRPr="00C96521" w:rsidRDefault="00B44B0D" w:rsidP="00C96521">
          <w:pPr>
            <w:widowControl/>
            <w:tabs>
              <w:tab w:val="right" w:leader="dot" w:pos="9310"/>
            </w:tabs>
            <w:autoSpaceDE/>
            <w:autoSpaceDN/>
            <w:adjustRightInd/>
            <w:spacing w:after="100" w:line="276" w:lineRule="auto"/>
            <w:rPr>
              <w:rFonts w:ascii="Calibri" w:eastAsia="MS Mincho" w:hAnsi="Calibri"/>
              <w:noProof/>
              <w:sz w:val="22"/>
              <w:szCs w:val="22"/>
              <w:lang w:val="en-GB" w:eastAsia="ja-JP"/>
            </w:rPr>
          </w:pPr>
          <w:hyperlink w:anchor="_Toc478646908" w:history="1">
            <w:r w:rsidR="00C96521" w:rsidRPr="00C96521">
              <w:rPr>
                <w:rFonts w:eastAsia="MS Mincho"/>
                <w:b/>
                <w:noProof/>
                <w:sz w:val="20"/>
                <w:szCs w:val="22"/>
                <w:u w:val="single"/>
                <w:lang w:val="en-GB" w:eastAsia="ja-JP"/>
              </w:rPr>
              <w:t>Annex 2: PROBLEM ANALYSIS</w:t>
            </w:r>
            <w:r w:rsidR="00C96521" w:rsidRPr="00C96521">
              <w:rPr>
                <w:rFonts w:eastAsia="MS Mincho"/>
                <w:b/>
                <w:noProof/>
                <w:webHidden/>
                <w:sz w:val="20"/>
                <w:szCs w:val="22"/>
                <w:lang w:val="en-GB" w:eastAsia="ja-JP"/>
              </w:rPr>
              <w:tab/>
            </w:r>
            <w:r w:rsidR="00C96521" w:rsidRPr="00C96521">
              <w:rPr>
                <w:rFonts w:eastAsia="MS Mincho"/>
                <w:b/>
                <w:noProof/>
                <w:webHidden/>
                <w:sz w:val="20"/>
                <w:szCs w:val="22"/>
                <w:lang w:val="en-GB" w:eastAsia="ja-JP"/>
              </w:rPr>
              <w:fldChar w:fldCharType="begin"/>
            </w:r>
            <w:r w:rsidR="00C96521" w:rsidRPr="00C96521">
              <w:rPr>
                <w:rFonts w:eastAsia="MS Mincho"/>
                <w:b/>
                <w:noProof/>
                <w:webHidden/>
                <w:sz w:val="20"/>
                <w:szCs w:val="22"/>
                <w:lang w:val="en-GB" w:eastAsia="ja-JP"/>
              </w:rPr>
              <w:instrText xml:space="preserve"> PAGEREF _Toc478646908 \h </w:instrText>
            </w:r>
            <w:r w:rsidR="00C96521" w:rsidRPr="00C96521">
              <w:rPr>
                <w:rFonts w:eastAsia="MS Mincho"/>
                <w:b/>
                <w:noProof/>
                <w:webHidden/>
                <w:sz w:val="20"/>
                <w:szCs w:val="22"/>
                <w:lang w:val="en-GB" w:eastAsia="ja-JP"/>
              </w:rPr>
            </w:r>
            <w:r w:rsidR="00C96521" w:rsidRPr="00C96521">
              <w:rPr>
                <w:rFonts w:eastAsia="MS Mincho"/>
                <w:b/>
                <w:noProof/>
                <w:webHidden/>
                <w:sz w:val="20"/>
                <w:szCs w:val="22"/>
                <w:lang w:val="en-GB" w:eastAsia="ja-JP"/>
              </w:rPr>
              <w:fldChar w:fldCharType="separate"/>
            </w:r>
            <w:r w:rsidR="00126308">
              <w:rPr>
                <w:rFonts w:eastAsia="MS Mincho"/>
                <w:b/>
                <w:noProof/>
                <w:webHidden/>
                <w:sz w:val="20"/>
                <w:szCs w:val="22"/>
                <w:lang w:val="en-GB" w:eastAsia="ja-JP"/>
              </w:rPr>
              <w:t>64</w:t>
            </w:r>
            <w:r w:rsidR="00C96521" w:rsidRPr="00C96521">
              <w:rPr>
                <w:rFonts w:eastAsia="MS Mincho"/>
                <w:b/>
                <w:noProof/>
                <w:webHidden/>
                <w:sz w:val="20"/>
                <w:szCs w:val="22"/>
                <w:lang w:val="en-GB" w:eastAsia="ja-JP"/>
              </w:rPr>
              <w:fldChar w:fldCharType="end"/>
            </w:r>
          </w:hyperlink>
        </w:p>
        <w:p w14:paraId="2A01AA06" w14:textId="1ED8E54E" w:rsidR="00C96521" w:rsidRPr="00C96521" w:rsidRDefault="00B44B0D" w:rsidP="00C96521">
          <w:pPr>
            <w:widowControl/>
            <w:tabs>
              <w:tab w:val="right" w:leader="dot" w:pos="9310"/>
            </w:tabs>
            <w:autoSpaceDE/>
            <w:autoSpaceDN/>
            <w:adjustRightInd/>
            <w:spacing w:after="100" w:line="276" w:lineRule="auto"/>
            <w:ind w:left="220"/>
            <w:rPr>
              <w:rFonts w:ascii="Calibri" w:eastAsia="MS Mincho" w:hAnsi="Calibri"/>
              <w:noProof/>
              <w:sz w:val="22"/>
              <w:szCs w:val="22"/>
              <w:lang w:val="en-GB" w:eastAsia="ja-JP"/>
            </w:rPr>
          </w:pPr>
          <w:hyperlink w:anchor="_Toc478646909" w:history="1">
            <w:r w:rsidR="00C96521" w:rsidRPr="00C96521">
              <w:rPr>
                <w:rFonts w:eastAsia="MS Mincho"/>
                <w:noProof/>
                <w:sz w:val="20"/>
                <w:szCs w:val="22"/>
                <w:u w:val="single"/>
                <w:lang w:val="en-GB" w:eastAsia="ja-JP"/>
              </w:rPr>
              <w:t>General overview</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_Toc478646909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sidR="00126308">
              <w:rPr>
                <w:rFonts w:eastAsia="MS Mincho"/>
                <w:noProof/>
                <w:webHidden/>
                <w:sz w:val="20"/>
                <w:szCs w:val="22"/>
                <w:lang w:val="en-GB" w:eastAsia="ja-JP"/>
              </w:rPr>
              <w:t>64</w:t>
            </w:r>
            <w:r w:rsidR="00C96521" w:rsidRPr="00C96521">
              <w:rPr>
                <w:rFonts w:eastAsia="MS Mincho"/>
                <w:noProof/>
                <w:webHidden/>
                <w:sz w:val="20"/>
                <w:szCs w:val="22"/>
                <w:lang w:val="en-GB" w:eastAsia="ja-JP"/>
              </w:rPr>
              <w:fldChar w:fldCharType="end"/>
            </w:r>
          </w:hyperlink>
        </w:p>
        <w:p w14:paraId="1CE46493" w14:textId="475B929F" w:rsidR="00C96521" w:rsidRPr="00C96521" w:rsidRDefault="00B44B0D" w:rsidP="00C96521">
          <w:pPr>
            <w:widowControl/>
            <w:tabs>
              <w:tab w:val="right" w:leader="dot" w:pos="9310"/>
            </w:tabs>
            <w:autoSpaceDE/>
            <w:autoSpaceDN/>
            <w:adjustRightInd/>
            <w:spacing w:after="100" w:line="276" w:lineRule="auto"/>
            <w:ind w:left="220"/>
            <w:rPr>
              <w:rFonts w:ascii="Calibri" w:eastAsia="MS Mincho" w:hAnsi="Calibri"/>
              <w:noProof/>
              <w:sz w:val="22"/>
              <w:szCs w:val="22"/>
              <w:lang w:val="en-GB" w:eastAsia="ja-JP"/>
            </w:rPr>
          </w:pPr>
          <w:hyperlink w:anchor="_Toc478646910" w:history="1">
            <w:r w:rsidR="00C96521" w:rsidRPr="00C96521">
              <w:rPr>
                <w:rFonts w:eastAsia="MS Mincho"/>
                <w:noProof/>
                <w:sz w:val="20"/>
                <w:szCs w:val="22"/>
                <w:u w:val="single"/>
                <w:lang w:val="en-GB" w:eastAsia="ja-JP"/>
              </w:rPr>
              <w:t>Habitat loss/modification</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_Toc478646910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sidR="00126308">
              <w:rPr>
                <w:rFonts w:eastAsia="MS Mincho"/>
                <w:noProof/>
                <w:webHidden/>
                <w:sz w:val="20"/>
                <w:szCs w:val="22"/>
                <w:lang w:val="en-GB" w:eastAsia="ja-JP"/>
              </w:rPr>
              <w:t>64</w:t>
            </w:r>
            <w:r w:rsidR="00C96521" w:rsidRPr="00C96521">
              <w:rPr>
                <w:rFonts w:eastAsia="MS Mincho"/>
                <w:noProof/>
                <w:webHidden/>
                <w:sz w:val="20"/>
                <w:szCs w:val="22"/>
                <w:lang w:val="en-GB" w:eastAsia="ja-JP"/>
              </w:rPr>
              <w:fldChar w:fldCharType="end"/>
            </w:r>
          </w:hyperlink>
        </w:p>
        <w:p w14:paraId="00F31E51" w14:textId="77F72193" w:rsidR="00C96521" w:rsidRPr="00C96521" w:rsidRDefault="00B44B0D" w:rsidP="00C96521">
          <w:pPr>
            <w:widowControl/>
            <w:tabs>
              <w:tab w:val="right" w:leader="dot" w:pos="9310"/>
            </w:tabs>
            <w:autoSpaceDE/>
            <w:autoSpaceDN/>
            <w:adjustRightInd/>
            <w:spacing w:after="100" w:line="276" w:lineRule="auto"/>
            <w:ind w:left="220"/>
            <w:rPr>
              <w:rFonts w:ascii="Calibri" w:eastAsia="MS Mincho" w:hAnsi="Calibri"/>
              <w:noProof/>
              <w:sz w:val="22"/>
              <w:szCs w:val="22"/>
              <w:lang w:val="en-GB" w:eastAsia="ja-JP"/>
            </w:rPr>
          </w:pPr>
          <w:hyperlink w:anchor="_Toc478646911" w:history="1">
            <w:r w:rsidR="00C96521" w:rsidRPr="00C96521">
              <w:rPr>
                <w:rFonts w:eastAsia="MS Mincho"/>
                <w:noProof/>
                <w:sz w:val="20"/>
                <w:szCs w:val="22"/>
                <w:u w:val="single"/>
                <w:lang w:val="en-GB" w:eastAsia="ja-JP"/>
              </w:rPr>
              <w:t>Illegal killing</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_Toc478646911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sidR="00126308">
              <w:rPr>
                <w:rFonts w:eastAsia="MS Mincho"/>
                <w:noProof/>
                <w:webHidden/>
                <w:sz w:val="20"/>
                <w:szCs w:val="22"/>
                <w:lang w:val="en-GB" w:eastAsia="ja-JP"/>
              </w:rPr>
              <w:t>67</w:t>
            </w:r>
            <w:r w:rsidR="00C96521" w:rsidRPr="00C96521">
              <w:rPr>
                <w:rFonts w:eastAsia="MS Mincho"/>
                <w:noProof/>
                <w:webHidden/>
                <w:sz w:val="20"/>
                <w:szCs w:val="22"/>
                <w:lang w:val="en-GB" w:eastAsia="ja-JP"/>
              </w:rPr>
              <w:fldChar w:fldCharType="end"/>
            </w:r>
          </w:hyperlink>
        </w:p>
        <w:p w14:paraId="09DEC4C6" w14:textId="6D6FFE80" w:rsidR="00C96521" w:rsidRPr="00C96521" w:rsidRDefault="00B44B0D" w:rsidP="00C96521">
          <w:pPr>
            <w:widowControl/>
            <w:tabs>
              <w:tab w:val="right" w:leader="dot" w:pos="9310"/>
            </w:tabs>
            <w:autoSpaceDE/>
            <w:autoSpaceDN/>
            <w:adjustRightInd/>
            <w:spacing w:after="100" w:line="276" w:lineRule="auto"/>
            <w:ind w:left="220"/>
            <w:rPr>
              <w:rFonts w:ascii="Calibri" w:eastAsia="MS Mincho" w:hAnsi="Calibri"/>
              <w:noProof/>
              <w:sz w:val="22"/>
              <w:szCs w:val="22"/>
              <w:lang w:val="en-GB" w:eastAsia="ja-JP"/>
            </w:rPr>
          </w:pPr>
          <w:hyperlink w:anchor="_Toc478646912" w:history="1">
            <w:r w:rsidR="00C96521" w:rsidRPr="00C96521">
              <w:rPr>
                <w:rFonts w:eastAsia="MS Mincho"/>
                <w:noProof/>
                <w:sz w:val="20"/>
                <w:szCs w:val="22"/>
                <w:u w:val="single"/>
                <w:lang w:val="en-GB" w:eastAsia="ja-JP"/>
              </w:rPr>
              <w:t>Hunting</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_Toc478646912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sidR="00126308">
              <w:rPr>
                <w:rFonts w:eastAsia="MS Mincho"/>
                <w:noProof/>
                <w:webHidden/>
                <w:sz w:val="20"/>
                <w:szCs w:val="22"/>
                <w:lang w:val="en-GB" w:eastAsia="ja-JP"/>
              </w:rPr>
              <w:t>68</w:t>
            </w:r>
            <w:r w:rsidR="00C96521" w:rsidRPr="00C96521">
              <w:rPr>
                <w:rFonts w:eastAsia="MS Mincho"/>
                <w:noProof/>
                <w:webHidden/>
                <w:sz w:val="20"/>
                <w:szCs w:val="22"/>
                <w:lang w:val="en-GB" w:eastAsia="ja-JP"/>
              </w:rPr>
              <w:fldChar w:fldCharType="end"/>
            </w:r>
          </w:hyperlink>
        </w:p>
        <w:p w14:paraId="422F8E03" w14:textId="5971971A" w:rsidR="00C96521" w:rsidRPr="00C96521" w:rsidRDefault="00B44B0D" w:rsidP="00C96521">
          <w:pPr>
            <w:widowControl/>
            <w:tabs>
              <w:tab w:val="right" w:leader="dot" w:pos="9310"/>
            </w:tabs>
            <w:autoSpaceDE/>
            <w:autoSpaceDN/>
            <w:adjustRightInd/>
            <w:spacing w:after="100" w:line="276" w:lineRule="auto"/>
            <w:ind w:left="220"/>
            <w:rPr>
              <w:rFonts w:ascii="Calibri" w:eastAsia="MS Mincho" w:hAnsi="Calibri"/>
              <w:noProof/>
              <w:sz w:val="22"/>
              <w:szCs w:val="22"/>
              <w:lang w:val="en-GB" w:eastAsia="ja-JP"/>
            </w:rPr>
          </w:pPr>
          <w:hyperlink w:anchor="_Toc478646913" w:history="1">
            <w:r w:rsidR="00C96521" w:rsidRPr="00C96521">
              <w:rPr>
                <w:rFonts w:eastAsia="MS Mincho"/>
                <w:noProof/>
                <w:sz w:val="20"/>
                <w:szCs w:val="22"/>
                <w:u w:val="single"/>
                <w:lang w:val="en-GB" w:eastAsia="ja-JP"/>
              </w:rPr>
              <w:t>Other threats</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_Toc478646913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sidR="00126308">
              <w:rPr>
                <w:rFonts w:eastAsia="MS Mincho"/>
                <w:noProof/>
                <w:webHidden/>
                <w:sz w:val="20"/>
                <w:szCs w:val="22"/>
                <w:lang w:val="en-GB" w:eastAsia="ja-JP"/>
              </w:rPr>
              <w:t>75</w:t>
            </w:r>
            <w:r w:rsidR="00C96521" w:rsidRPr="00C96521">
              <w:rPr>
                <w:rFonts w:eastAsia="MS Mincho"/>
                <w:noProof/>
                <w:webHidden/>
                <w:sz w:val="20"/>
                <w:szCs w:val="22"/>
                <w:lang w:val="en-GB" w:eastAsia="ja-JP"/>
              </w:rPr>
              <w:fldChar w:fldCharType="end"/>
            </w:r>
          </w:hyperlink>
        </w:p>
        <w:p w14:paraId="3567E344" w14:textId="2BA7BA67" w:rsidR="00C96521" w:rsidRPr="00C96521" w:rsidRDefault="00B44B0D" w:rsidP="00C96521">
          <w:pPr>
            <w:widowControl/>
            <w:tabs>
              <w:tab w:val="right" w:leader="dot" w:pos="9310"/>
              <w:tab w:val="left" w:pos="9356"/>
            </w:tabs>
            <w:autoSpaceDE/>
            <w:autoSpaceDN/>
            <w:adjustRightInd/>
            <w:spacing w:after="100" w:line="276" w:lineRule="auto"/>
            <w:ind w:left="442"/>
            <w:rPr>
              <w:rFonts w:ascii="Calibri" w:eastAsia="MS Mincho" w:hAnsi="Calibri"/>
              <w:noProof/>
              <w:sz w:val="22"/>
              <w:szCs w:val="22"/>
              <w:lang w:val="en-GB" w:eastAsia="ja-JP"/>
            </w:rPr>
          </w:pPr>
          <w:hyperlink w:anchor="_Toc478646914" w:history="1">
            <w:r w:rsidR="00C96521" w:rsidRPr="00C96521">
              <w:rPr>
                <w:rFonts w:eastAsia="MS Mincho"/>
                <w:noProof/>
                <w:sz w:val="20"/>
                <w:szCs w:val="22"/>
                <w:u w:val="single"/>
                <w:lang w:val="en-GB" w:eastAsia="ja-JP"/>
              </w:rPr>
              <w:t>Pesticides, agricultural chemicals and lead shot</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_Toc478646914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sidR="00126308">
              <w:rPr>
                <w:rFonts w:eastAsia="MS Mincho"/>
                <w:noProof/>
                <w:webHidden/>
                <w:sz w:val="20"/>
                <w:szCs w:val="22"/>
                <w:lang w:val="en-GB" w:eastAsia="ja-JP"/>
              </w:rPr>
              <w:t>75</w:t>
            </w:r>
            <w:r w:rsidR="00C96521" w:rsidRPr="00C96521">
              <w:rPr>
                <w:rFonts w:eastAsia="MS Mincho"/>
                <w:noProof/>
                <w:webHidden/>
                <w:sz w:val="20"/>
                <w:szCs w:val="22"/>
                <w:lang w:val="en-GB" w:eastAsia="ja-JP"/>
              </w:rPr>
              <w:fldChar w:fldCharType="end"/>
            </w:r>
          </w:hyperlink>
        </w:p>
        <w:p w14:paraId="6D868583" w14:textId="0350FD0A" w:rsidR="00C96521" w:rsidRPr="00C96521" w:rsidRDefault="00B44B0D" w:rsidP="00C96521">
          <w:pPr>
            <w:widowControl/>
            <w:tabs>
              <w:tab w:val="right" w:leader="dot" w:pos="9310"/>
              <w:tab w:val="left" w:pos="9356"/>
            </w:tabs>
            <w:autoSpaceDE/>
            <w:autoSpaceDN/>
            <w:adjustRightInd/>
            <w:spacing w:after="100" w:line="276" w:lineRule="auto"/>
            <w:ind w:left="442"/>
            <w:rPr>
              <w:rFonts w:ascii="Calibri" w:eastAsia="MS Mincho" w:hAnsi="Calibri"/>
              <w:noProof/>
              <w:sz w:val="22"/>
              <w:szCs w:val="22"/>
              <w:lang w:val="en-GB" w:eastAsia="ja-JP"/>
            </w:rPr>
          </w:pPr>
          <w:hyperlink w:anchor="_Toc478646915" w:history="1">
            <w:r w:rsidR="00C96521" w:rsidRPr="00C96521">
              <w:rPr>
                <w:rFonts w:eastAsia="MS Mincho"/>
                <w:noProof/>
                <w:sz w:val="20"/>
                <w:szCs w:val="22"/>
                <w:u w:val="single"/>
                <w:lang w:val="en-GB" w:eastAsia="ja-JP"/>
              </w:rPr>
              <w:t>Drought and climate change</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_Toc478646915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sidR="00126308">
              <w:rPr>
                <w:rFonts w:eastAsia="MS Mincho"/>
                <w:noProof/>
                <w:webHidden/>
                <w:sz w:val="20"/>
                <w:szCs w:val="22"/>
                <w:lang w:val="en-GB" w:eastAsia="ja-JP"/>
              </w:rPr>
              <w:t>76</w:t>
            </w:r>
            <w:r w:rsidR="00C96521" w:rsidRPr="00C96521">
              <w:rPr>
                <w:rFonts w:eastAsia="MS Mincho"/>
                <w:noProof/>
                <w:webHidden/>
                <w:sz w:val="20"/>
                <w:szCs w:val="22"/>
                <w:lang w:val="en-GB" w:eastAsia="ja-JP"/>
              </w:rPr>
              <w:fldChar w:fldCharType="end"/>
            </w:r>
          </w:hyperlink>
        </w:p>
        <w:p w14:paraId="5CBCDC50" w14:textId="32287B7D" w:rsidR="00C96521" w:rsidRPr="00C96521" w:rsidRDefault="00B44B0D" w:rsidP="00C96521">
          <w:pPr>
            <w:widowControl/>
            <w:tabs>
              <w:tab w:val="right" w:leader="dot" w:pos="9310"/>
              <w:tab w:val="left" w:pos="9356"/>
            </w:tabs>
            <w:autoSpaceDE/>
            <w:autoSpaceDN/>
            <w:adjustRightInd/>
            <w:spacing w:after="100" w:line="276" w:lineRule="auto"/>
            <w:ind w:left="442"/>
            <w:rPr>
              <w:rFonts w:ascii="Calibri" w:eastAsia="MS Mincho" w:hAnsi="Calibri"/>
              <w:noProof/>
              <w:sz w:val="22"/>
              <w:szCs w:val="22"/>
              <w:lang w:val="en-GB" w:eastAsia="ja-JP"/>
            </w:rPr>
          </w:pPr>
          <w:hyperlink w:anchor="_Toc478646916" w:history="1">
            <w:r w:rsidR="00C96521" w:rsidRPr="00C96521">
              <w:rPr>
                <w:rFonts w:eastAsia="MS Mincho"/>
                <w:noProof/>
                <w:sz w:val="20"/>
                <w:szCs w:val="22"/>
                <w:u w:val="single"/>
                <w:lang w:val="en-GB" w:eastAsia="ja-JP"/>
              </w:rPr>
              <w:t xml:space="preserve">Competition with </w:t>
            </w:r>
            <w:r w:rsidR="00BE5EF4">
              <w:rPr>
                <w:rFonts w:eastAsia="MS Mincho"/>
                <w:noProof/>
                <w:sz w:val="20"/>
                <w:szCs w:val="22"/>
                <w:u w:val="single"/>
                <w:lang w:val="en-GB" w:eastAsia="ja-JP"/>
              </w:rPr>
              <w:t>C</w:t>
            </w:r>
            <w:r w:rsidR="00C96521" w:rsidRPr="00C96521">
              <w:rPr>
                <w:rFonts w:eastAsia="MS Mincho"/>
                <w:noProof/>
                <w:sz w:val="20"/>
                <w:szCs w:val="22"/>
                <w:u w:val="single"/>
                <w:lang w:val="en-GB" w:eastAsia="ja-JP"/>
              </w:rPr>
              <w:t xml:space="preserve">ollared </w:t>
            </w:r>
            <w:r w:rsidR="00BE5EF4">
              <w:rPr>
                <w:rFonts w:eastAsia="MS Mincho"/>
                <w:noProof/>
                <w:sz w:val="20"/>
                <w:szCs w:val="22"/>
                <w:u w:val="single"/>
                <w:lang w:val="en-GB" w:eastAsia="ja-JP"/>
              </w:rPr>
              <w:t>D</w:t>
            </w:r>
            <w:r w:rsidR="00C96521" w:rsidRPr="00C96521">
              <w:rPr>
                <w:rFonts w:eastAsia="MS Mincho"/>
                <w:noProof/>
                <w:sz w:val="20"/>
                <w:szCs w:val="22"/>
                <w:u w:val="single"/>
                <w:lang w:val="en-GB" w:eastAsia="ja-JP"/>
              </w:rPr>
              <w:t>ove</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_Toc478646916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sidR="00126308">
              <w:rPr>
                <w:rFonts w:eastAsia="MS Mincho"/>
                <w:noProof/>
                <w:webHidden/>
                <w:sz w:val="20"/>
                <w:szCs w:val="22"/>
                <w:lang w:val="en-GB" w:eastAsia="ja-JP"/>
              </w:rPr>
              <w:t>76</w:t>
            </w:r>
            <w:r w:rsidR="00C96521" w:rsidRPr="00C96521">
              <w:rPr>
                <w:rFonts w:eastAsia="MS Mincho"/>
                <w:noProof/>
                <w:webHidden/>
                <w:sz w:val="20"/>
                <w:szCs w:val="22"/>
                <w:lang w:val="en-GB" w:eastAsia="ja-JP"/>
              </w:rPr>
              <w:fldChar w:fldCharType="end"/>
            </w:r>
          </w:hyperlink>
        </w:p>
        <w:p w14:paraId="545CCE4A" w14:textId="2AFDEE32" w:rsidR="00C96521" w:rsidRPr="00C96521" w:rsidRDefault="00B44B0D" w:rsidP="00C96521">
          <w:pPr>
            <w:widowControl/>
            <w:tabs>
              <w:tab w:val="right" w:leader="dot" w:pos="9310"/>
              <w:tab w:val="left" w:pos="9356"/>
            </w:tabs>
            <w:autoSpaceDE/>
            <w:autoSpaceDN/>
            <w:adjustRightInd/>
            <w:spacing w:after="100" w:line="276" w:lineRule="auto"/>
            <w:ind w:left="442"/>
            <w:rPr>
              <w:rFonts w:ascii="Calibri" w:eastAsia="MS Mincho" w:hAnsi="Calibri"/>
              <w:noProof/>
              <w:sz w:val="22"/>
              <w:szCs w:val="22"/>
              <w:lang w:val="en-GB" w:eastAsia="ja-JP"/>
            </w:rPr>
          </w:pPr>
          <w:hyperlink w:anchor="_Toc478646917" w:history="1">
            <w:r w:rsidR="00C96521" w:rsidRPr="00C96521">
              <w:rPr>
                <w:rFonts w:eastAsia="MS Mincho"/>
                <w:noProof/>
                <w:sz w:val="20"/>
                <w:szCs w:val="22"/>
                <w:u w:val="single"/>
                <w:shd w:val="clear" w:color="auto" w:fill="FFFFFF"/>
                <w:lang w:val="en-GB" w:eastAsia="ja-JP"/>
              </w:rPr>
              <w:t>Disease</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_Toc478646917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sidR="00126308">
              <w:rPr>
                <w:rFonts w:eastAsia="MS Mincho"/>
                <w:noProof/>
                <w:webHidden/>
                <w:sz w:val="20"/>
                <w:szCs w:val="22"/>
                <w:lang w:val="en-GB" w:eastAsia="ja-JP"/>
              </w:rPr>
              <w:t>77</w:t>
            </w:r>
            <w:r w:rsidR="00C96521" w:rsidRPr="00C96521">
              <w:rPr>
                <w:rFonts w:eastAsia="MS Mincho"/>
                <w:noProof/>
                <w:webHidden/>
                <w:sz w:val="20"/>
                <w:szCs w:val="22"/>
                <w:lang w:val="en-GB" w:eastAsia="ja-JP"/>
              </w:rPr>
              <w:fldChar w:fldCharType="end"/>
            </w:r>
          </w:hyperlink>
        </w:p>
        <w:p w14:paraId="0762D5F0" w14:textId="421B3399" w:rsidR="00C96521" w:rsidRPr="00C96521" w:rsidRDefault="00B44B0D" w:rsidP="00C96521">
          <w:pPr>
            <w:widowControl/>
            <w:tabs>
              <w:tab w:val="right" w:leader="dot" w:pos="9310"/>
            </w:tabs>
            <w:autoSpaceDE/>
            <w:autoSpaceDN/>
            <w:adjustRightInd/>
            <w:spacing w:after="100" w:line="276" w:lineRule="auto"/>
            <w:ind w:left="220"/>
            <w:rPr>
              <w:rFonts w:ascii="Calibri" w:eastAsia="MS Mincho" w:hAnsi="Calibri"/>
              <w:noProof/>
              <w:sz w:val="22"/>
              <w:szCs w:val="22"/>
              <w:lang w:val="en-GB" w:eastAsia="ja-JP"/>
            </w:rPr>
          </w:pPr>
          <w:hyperlink w:anchor="_Toc478646918" w:history="1">
            <w:r w:rsidR="00C96521" w:rsidRPr="00C96521">
              <w:rPr>
                <w:rFonts w:eastAsia="MS Mincho"/>
                <w:noProof/>
                <w:sz w:val="20"/>
                <w:szCs w:val="22"/>
                <w:u w:val="single"/>
                <w:lang w:val="en-GB" w:eastAsia="ja-JP"/>
              </w:rPr>
              <w:t>Problem tree</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_Toc478646918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sidR="00126308">
              <w:rPr>
                <w:rFonts w:eastAsia="MS Mincho"/>
                <w:noProof/>
                <w:webHidden/>
                <w:sz w:val="20"/>
                <w:szCs w:val="22"/>
                <w:lang w:val="en-GB" w:eastAsia="ja-JP"/>
              </w:rPr>
              <w:t>78</w:t>
            </w:r>
            <w:r w:rsidR="00C96521" w:rsidRPr="00C96521">
              <w:rPr>
                <w:rFonts w:eastAsia="MS Mincho"/>
                <w:noProof/>
                <w:webHidden/>
                <w:sz w:val="20"/>
                <w:szCs w:val="22"/>
                <w:lang w:val="en-GB" w:eastAsia="ja-JP"/>
              </w:rPr>
              <w:fldChar w:fldCharType="end"/>
            </w:r>
          </w:hyperlink>
        </w:p>
        <w:p w14:paraId="75B5FE9F" w14:textId="4D6690E6" w:rsidR="00C96521" w:rsidRPr="00C96521" w:rsidRDefault="00B44B0D" w:rsidP="00C96521">
          <w:pPr>
            <w:widowControl/>
            <w:tabs>
              <w:tab w:val="right" w:leader="dot" w:pos="9310"/>
            </w:tabs>
            <w:autoSpaceDE/>
            <w:autoSpaceDN/>
            <w:adjustRightInd/>
            <w:spacing w:after="100" w:line="276" w:lineRule="auto"/>
            <w:rPr>
              <w:rFonts w:ascii="Calibri" w:eastAsia="MS Mincho" w:hAnsi="Calibri"/>
              <w:noProof/>
              <w:sz w:val="22"/>
              <w:szCs w:val="22"/>
              <w:lang w:val="en-GB" w:eastAsia="ja-JP"/>
            </w:rPr>
          </w:pPr>
          <w:hyperlink w:anchor="_Toc478646919" w:history="1">
            <w:r w:rsidR="00C96521" w:rsidRPr="00C96521">
              <w:rPr>
                <w:rFonts w:eastAsia="MS Mincho"/>
                <w:b/>
                <w:noProof/>
                <w:sz w:val="20"/>
                <w:szCs w:val="22"/>
                <w:u w:val="single"/>
                <w:lang w:val="en-GB" w:eastAsia="ja-JP"/>
              </w:rPr>
              <w:t>Annex 3: JUSTIFICATION OF CONSERVATION and/or MANAGEMENT OBJECTIVES</w:t>
            </w:r>
            <w:r w:rsidR="00C96521" w:rsidRPr="00C96521">
              <w:rPr>
                <w:rFonts w:eastAsia="MS Mincho"/>
                <w:b/>
                <w:noProof/>
                <w:webHidden/>
                <w:sz w:val="20"/>
                <w:szCs w:val="22"/>
                <w:lang w:val="en-GB" w:eastAsia="ja-JP"/>
              </w:rPr>
              <w:tab/>
            </w:r>
            <w:r w:rsidR="00C96521" w:rsidRPr="00C96521">
              <w:rPr>
                <w:rFonts w:eastAsia="MS Mincho"/>
                <w:b/>
                <w:noProof/>
                <w:webHidden/>
                <w:sz w:val="20"/>
                <w:szCs w:val="22"/>
                <w:lang w:val="en-GB" w:eastAsia="ja-JP"/>
              </w:rPr>
              <w:fldChar w:fldCharType="begin"/>
            </w:r>
            <w:r w:rsidR="00C96521" w:rsidRPr="00C96521">
              <w:rPr>
                <w:rFonts w:eastAsia="MS Mincho"/>
                <w:b/>
                <w:noProof/>
                <w:webHidden/>
                <w:sz w:val="20"/>
                <w:szCs w:val="22"/>
                <w:lang w:val="en-GB" w:eastAsia="ja-JP"/>
              </w:rPr>
              <w:instrText xml:space="preserve"> PAGEREF _Toc478646919 \h </w:instrText>
            </w:r>
            <w:r w:rsidR="00C96521" w:rsidRPr="00C96521">
              <w:rPr>
                <w:rFonts w:eastAsia="MS Mincho"/>
                <w:b/>
                <w:noProof/>
                <w:webHidden/>
                <w:sz w:val="20"/>
                <w:szCs w:val="22"/>
                <w:lang w:val="en-GB" w:eastAsia="ja-JP"/>
              </w:rPr>
            </w:r>
            <w:r w:rsidR="00C96521" w:rsidRPr="00C96521">
              <w:rPr>
                <w:rFonts w:eastAsia="MS Mincho"/>
                <w:b/>
                <w:noProof/>
                <w:webHidden/>
                <w:sz w:val="20"/>
                <w:szCs w:val="22"/>
                <w:lang w:val="en-GB" w:eastAsia="ja-JP"/>
              </w:rPr>
              <w:fldChar w:fldCharType="separate"/>
            </w:r>
            <w:r w:rsidR="00126308">
              <w:rPr>
                <w:rFonts w:eastAsia="MS Mincho"/>
                <w:b/>
                <w:noProof/>
                <w:webHidden/>
                <w:sz w:val="20"/>
                <w:szCs w:val="22"/>
                <w:lang w:val="en-GB" w:eastAsia="ja-JP"/>
              </w:rPr>
              <w:t>79</w:t>
            </w:r>
            <w:r w:rsidR="00C96521" w:rsidRPr="00C96521">
              <w:rPr>
                <w:rFonts w:eastAsia="MS Mincho"/>
                <w:b/>
                <w:noProof/>
                <w:webHidden/>
                <w:sz w:val="20"/>
                <w:szCs w:val="22"/>
                <w:lang w:val="en-GB" w:eastAsia="ja-JP"/>
              </w:rPr>
              <w:fldChar w:fldCharType="end"/>
            </w:r>
          </w:hyperlink>
        </w:p>
        <w:p w14:paraId="61F620EE" w14:textId="727F2AF3" w:rsidR="00C96521" w:rsidRPr="00C96521" w:rsidRDefault="00B44B0D" w:rsidP="00C96521">
          <w:pPr>
            <w:widowControl/>
            <w:tabs>
              <w:tab w:val="right" w:leader="dot" w:pos="9310"/>
            </w:tabs>
            <w:autoSpaceDE/>
            <w:autoSpaceDN/>
            <w:adjustRightInd/>
            <w:spacing w:after="100" w:line="276" w:lineRule="auto"/>
            <w:ind w:left="220"/>
            <w:rPr>
              <w:rFonts w:ascii="Calibri" w:eastAsia="MS Mincho" w:hAnsi="Calibri"/>
              <w:noProof/>
              <w:sz w:val="22"/>
              <w:szCs w:val="22"/>
              <w:lang w:val="en-GB" w:eastAsia="ja-JP"/>
            </w:rPr>
          </w:pPr>
          <w:hyperlink w:anchor="_Toc478646920" w:history="1">
            <w:r w:rsidR="00C96521" w:rsidRPr="00C96521">
              <w:rPr>
                <w:rFonts w:eastAsia="MS Mincho"/>
                <w:noProof/>
                <w:sz w:val="20"/>
                <w:szCs w:val="22"/>
                <w:u w:val="single"/>
                <w:lang w:val="en-GB" w:eastAsia="ja-JP"/>
              </w:rPr>
              <w:t>Habitat Creation and Management for Turtle</w:t>
            </w:r>
            <w:r w:rsidR="00BE5EF4">
              <w:rPr>
                <w:rFonts w:eastAsia="MS Mincho"/>
                <w:noProof/>
                <w:sz w:val="20"/>
                <w:szCs w:val="22"/>
                <w:u w:val="single"/>
                <w:lang w:val="en-GB" w:eastAsia="ja-JP"/>
              </w:rPr>
              <w:t xml:space="preserve"> D</w:t>
            </w:r>
            <w:r w:rsidR="00C96521" w:rsidRPr="00C96521">
              <w:rPr>
                <w:rFonts w:eastAsia="MS Mincho"/>
                <w:noProof/>
                <w:sz w:val="20"/>
                <w:szCs w:val="22"/>
                <w:u w:val="single"/>
                <w:lang w:val="en-GB" w:eastAsia="ja-JP"/>
              </w:rPr>
              <w:t>oves on the European Breeding Grounds: case studies of option research, development and deployment from the UK</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_Toc478646920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sidR="00126308">
              <w:rPr>
                <w:rFonts w:eastAsia="MS Mincho"/>
                <w:noProof/>
                <w:webHidden/>
                <w:sz w:val="20"/>
                <w:szCs w:val="22"/>
                <w:lang w:val="en-GB" w:eastAsia="ja-JP"/>
              </w:rPr>
              <w:t>79</w:t>
            </w:r>
            <w:r w:rsidR="00C96521" w:rsidRPr="00C96521">
              <w:rPr>
                <w:rFonts w:eastAsia="MS Mincho"/>
                <w:noProof/>
                <w:webHidden/>
                <w:sz w:val="20"/>
                <w:szCs w:val="22"/>
                <w:lang w:val="en-GB" w:eastAsia="ja-JP"/>
              </w:rPr>
              <w:fldChar w:fldCharType="end"/>
            </w:r>
          </w:hyperlink>
        </w:p>
        <w:p w14:paraId="3A5A3E60" w14:textId="702736BD" w:rsidR="00C96521" w:rsidRPr="00C96521" w:rsidRDefault="00B44B0D" w:rsidP="00C96521">
          <w:pPr>
            <w:widowControl/>
            <w:tabs>
              <w:tab w:val="right" w:leader="dot" w:pos="9310"/>
            </w:tabs>
            <w:autoSpaceDE/>
            <w:autoSpaceDN/>
            <w:adjustRightInd/>
            <w:spacing w:after="100" w:line="276" w:lineRule="auto"/>
            <w:ind w:left="220"/>
            <w:rPr>
              <w:rFonts w:ascii="Calibri" w:eastAsia="MS Mincho" w:hAnsi="Calibri"/>
              <w:noProof/>
              <w:sz w:val="22"/>
              <w:szCs w:val="22"/>
              <w:lang w:val="en-GB" w:eastAsia="ja-JP"/>
            </w:rPr>
          </w:pPr>
          <w:hyperlink w:anchor="_Toc478646921" w:history="1">
            <w:r w:rsidR="00C96521" w:rsidRPr="00C96521">
              <w:rPr>
                <w:rFonts w:eastAsia="MS Mincho"/>
                <w:noProof/>
                <w:sz w:val="20"/>
                <w:szCs w:val="22"/>
                <w:u w:val="single"/>
                <w:lang w:val="en-GB" w:eastAsia="ja-JP"/>
              </w:rPr>
              <w:t>Sample Countryside Stewardship Management Plan for SP9 Threatened Species Supplement</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_Toc478646921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sidR="00126308">
              <w:rPr>
                <w:rFonts w:eastAsia="MS Mincho"/>
                <w:noProof/>
                <w:webHidden/>
                <w:sz w:val="20"/>
                <w:szCs w:val="22"/>
                <w:lang w:val="en-GB" w:eastAsia="ja-JP"/>
              </w:rPr>
              <w:t>88</w:t>
            </w:r>
            <w:r w:rsidR="00C96521" w:rsidRPr="00C96521">
              <w:rPr>
                <w:rFonts w:eastAsia="MS Mincho"/>
                <w:noProof/>
                <w:webHidden/>
                <w:sz w:val="20"/>
                <w:szCs w:val="22"/>
                <w:lang w:val="en-GB" w:eastAsia="ja-JP"/>
              </w:rPr>
              <w:fldChar w:fldCharType="end"/>
            </w:r>
          </w:hyperlink>
        </w:p>
        <w:p w14:paraId="3317C2A4" w14:textId="63D0E4F6" w:rsidR="00C96521" w:rsidRPr="00C96521" w:rsidRDefault="00B44B0D" w:rsidP="00C96521">
          <w:pPr>
            <w:widowControl/>
            <w:tabs>
              <w:tab w:val="right" w:leader="dot" w:pos="9310"/>
            </w:tabs>
            <w:autoSpaceDE/>
            <w:autoSpaceDN/>
            <w:adjustRightInd/>
            <w:spacing w:after="100" w:line="276" w:lineRule="auto"/>
            <w:rPr>
              <w:rFonts w:ascii="Calibri" w:eastAsia="MS Mincho" w:hAnsi="Calibri"/>
              <w:noProof/>
              <w:sz w:val="22"/>
              <w:szCs w:val="22"/>
              <w:lang w:val="en-GB" w:eastAsia="ja-JP"/>
            </w:rPr>
          </w:pPr>
          <w:hyperlink w:anchor="_Toc478646922" w:history="1">
            <w:r w:rsidR="00C96521" w:rsidRPr="00C96521">
              <w:rPr>
                <w:rFonts w:eastAsia="MS Mincho"/>
                <w:b/>
                <w:noProof/>
                <w:sz w:val="20"/>
                <w:szCs w:val="22"/>
                <w:u w:val="single"/>
                <w:lang w:val="en-GB" w:eastAsia="ja-JP"/>
              </w:rPr>
              <w:t>Annex 4: ADAPTIVE HARVEST MANAGEMENT PLAN</w:t>
            </w:r>
            <w:r w:rsidR="00C96521" w:rsidRPr="00C96521">
              <w:rPr>
                <w:rFonts w:eastAsia="MS Mincho"/>
                <w:b/>
                <w:noProof/>
                <w:webHidden/>
                <w:sz w:val="20"/>
                <w:szCs w:val="22"/>
                <w:lang w:val="en-GB" w:eastAsia="ja-JP"/>
              </w:rPr>
              <w:tab/>
            </w:r>
            <w:r w:rsidR="00C96521" w:rsidRPr="00C96521">
              <w:rPr>
                <w:rFonts w:eastAsia="MS Mincho"/>
                <w:b/>
                <w:noProof/>
                <w:webHidden/>
                <w:sz w:val="20"/>
                <w:szCs w:val="22"/>
                <w:lang w:val="en-GB" w:eastAsia="ja-JP"/>
              </w:rPr>
              <w:fldChar w:fldCharType="begin"/>
            </w:r>
            <w:r w:rsidR="00C96521" w:rsidRPr="00C96521">
              <w:rPr>
                <w:rFonts w:eastAsia="MS Mincho"/>
                <w:b/>
                <w:noProof/>
                <w:webHidden/>
                <w:sz w:val="20"/>
                <w:szCs w:val="22"/>
                <w:lang w:val="en-GB" w:eastAsia="ja-JP"/>
              </w:rPr>
              <w:instrText xml:space="preserve"> PAGEREF _Toc478646922 \h </w:instrText>
            </w:r>
            <w:r w:rsidR="00C96521" w:rsidRPr="00C96521">
              <w:rPr>
                <w:rFonts w:eastAsia="MS Mincho"/>
                <w:b/>
                <w:noProof/>
                <w:webHidden/>
                <w:sz w:val="20"/>
                <w:szCs w:val="22"/>
                <w:lang w:val="en-GB" w:eastAsia="ja-JP"/>
              </w:rPr>
            </w:r>
            <w:r w:rsidR="00C96521" w:rsidRPr="00C96521">
              <w:rPr>
                <w:rFonts w:eastAsia="MS Mincho"/>
                <w:b/>
                <w:noProof/>
                <w:webHidden/>
                <w:sz w:val="20"/>
                <w:szCs w:val="22"/>
                <w:lang w:val="en-GB" w:eastAsia="ja-JP"/>
              </w:rPr>
              <w:fldChar w:fldCharType="separate"/>
            </w:r>
            <w:r w:rsidR="00126308">
              <w:rPr>
                <w:rFonts w:eastAsia="MS Mincho"/>
                <w:b/>
                <w:noProof/>
                <w:webHidden/>
                <w:sz w:val="20"/>
                <w:szCs w:val="22"/>
                <w:lang w:val="en-GB" w:eastAsia="ja-JP"/>
              </w:rPr>
              <w:t>91</w:t>
            </w:r>
            <w:r w:rsidR="00C96521" w:rsidRPr="00C96521">
              <w:rPr>
                <w:rFonts w:eastAsia="MS Mincho"/>
                <w:b/>
                <w:noProof/>
                <w:webHidden/>
                <w:sz w:val="20"/>
                <w:szCs w:val="22"/>
                <w:lang w:val="en-GB" w:eastAsia="ja-JP"/>
              </w:rPr>
              <w:fldChar w:fldCharType="end"/>
            </w:r>
          </w:hyperlink>
        </w:p>
        <w:p w14:paraId="3192D848" w14:textId="163421EA" w:rsidR="00C96521" w:rsidRPr="00C96521" w:rsidRDefault="00B44B0D" w:rsidP="00C96521">
          <w:pPr>
            <w:widowControl/>
            <w:tabs>
              <w:tab w:val="right" w:leader="dot" w:pos="9310"/>
            </w:tabs>
            <w:autoSpaceDE/>
            <w:autoSpaceDN/>
            <w:adjustRightInd/>
            <w:spacing w:after="100" w:line="276" w:lineRule="auto"/>
            <w:ind w:left="220"/>
            <w:rPr>
              <w:rFonts w:ascii="Calibri" w:eastAsia="MS Mincho" w:hAnsi="Calibri"/>
              <w:noProof/>
              <w:sz w:val="22"/>
              <w:szCs w:val="22"/>
              <w:lang w:val="en-GB" w:eastAsia="ja-JP"/>
            </w:rPr>
          </w:pPr>
          <w:hyperlink w:anchor="_Toc478646923" w:history="1">
            <w:r w:rsidR="00C96521" w:rsidRPr="00C96521">
              <w:rPr>
                <w:rFonts w:eastAsia="MS Mincho"/>
                <w:noProof/>
                <w:sz w:val="20"/>
                <w:szCs w:val="22"/>
                <w:u w:val="single"/>
                <w:lang w:val="en-GB" w:eastAsia="ja-JP"/>
              </w:rPr>
              <w:t xml:space="preserve">Estimating hunting sustainability of </w:t>
            </w:r>
            <w:r w:rsidR="00BE5EF4">
              <w:rPr>
                <w:rFonts w:eastAsia="MS Mincho"/>
                <w:noProof/>
                <w:sz w:val="20"/>
                <w:szCs w:val="22"/>
                <w:u w:val="single"/>
                <w:lang w:val="en-GB" w:eastAsia="ja-JP"/>
              </w:rPr>
              <w:t>T</w:t>
            </w:r>
            <w:r w:rsidR="00C96521" w:rsidRPr="00C96521">
              <w:rPr>
                <w:rFonts w:eastAsia="MS Mincho"/>
                <w:noProof/>
                <w:sz w:val="20"/>
                <w:szCs w:val="22"/>
                <w:u w:val="single"/>
                <w:lang w:val="en-GB" w:eastAsia="ja-JP"/>
              </w:rPr>
              <w:t xml:space="preserve">urtle </w:t>
            </w:r>
            <w:r w:rsidR="00BE5EF4">
              <w:rPr>
                <w:rFonts w:eastAsia="MS Mincho"/>
                <w:noProof/>
                <w:sz w:val="20"/>
                <w:szCs w:val="22"/>
                <w:u w:val="single"/>
                <w:lang w:val="en-GB" w:eastAsia="ja-JP"/>
              </w:rPr>
              <w:t>D</w:t>
            </w:r>
            <w:r w:rsidR="00C96521" w:rsidRPr="00C96521">
              <w:rPr>
                <w:rFonts w:eastAsia="MS Mincho"/>
                <w:noProof/>
                <w:sz w:val="20"/>
                <w:szCs w:val="22"/>
                <w:u w:val="single"/>
                <w:lang w:val="en-GB" w:eastAsia="ja-JP"/>
              </w:rPr>
              <w:t>oves using the western flyway: a first approach based on the use of demographic invariants</w:t>
            </w:r>
            <w:r w:rsidR="00C96521" w:rsidRPr="00C96521">
              <w:rPr>
                <w:rFonts w:eastAsia="MS Mincho"/>
                <w:noProof/>
                <w:webHidden/>
                <w:sz w:val="20"/>
                <w:szCs w:val="22"/>
                <w:lang w:val="en-GB" w:eastAsia="ja-JP"/>
              </w:rPr>
              <w:tab/>
            </w:r>
            <w:r w:rsidR="00C96521" w:rsidRPr="00C96521">
              <w:rPr>
                <w:rFonts w:eastAsia="MS Mincho"/>
                <w:noProof/>
                <w:webHidden/>
                <w:sz w:val="20"/>
                <w:szCs w:val="22"/>
                <w:lang w:val="en-GB" w:eastAsia="ja-JP"/>
              </w:rPr>
              <w:fldChar w:fldCharType="begin"/>
            </w:r>
            <w:r w:rsidR="00C96521" w:rsidRPr="00C96521">
              <w:rPr>
                <w:rFonts w:eastAsia="MS Mincho"/>
                <w:noProof/>
                <w:webHidden/>
                <w:sz w:val="20"/>
                <w:szCs w:val="22"/>
                <w:lang w:val="en-GB" w:eastAsia="ja-JP"/>
              </w:rPr>
              <w:instrText xml:space="preserve"> PAGEREF _Toc478646923 \h </w:instrText>
            </w:r>
            <w:r w:rsidR="00C96521" w:rsidRPr="00C96521">
              <w:rPr>
                <w:rFonts w:eastAsia="MS Mincho"/>
                <w:noProof/>
                <w:webHidden/>
                <w:sz w:val="20"/>
                <w:szCs w:val="22"/>
                <w:lang w:val="en-GB" w:eastAsia="ja-JP"/>
              </w:rPr>
            </w:r>
            <w:r w:rsidR="00C96521" w:rsidRPr="00C96521">
              <w:rPr>
                <w:rFonts w:eastAsia="MS Mincho"/>
                <w:noProof/>
                <w:webHidden/>
                <w:sz w:val="20"/>
                <w:szCs w:val="22"/>
                <w:lang w:val="en-GB" w:eastAsia="ja-JP"/>
              </w:rPr>
              <w:fldChar w:fldCharType="separate"/>
            </w:r>
            <w:r w:rsidR="00126308">
              <w:rPr>
                <w:rFonts w:eastAsia="MS Mincho"/>
                <w:noProof/>
                <w:webHidden/>
                <w:sz w:val="20"/>
                <w:szCs w:val="22"/>
                <w:lang w:val="en-GB" w:eastAsia="ja-JP"/>
              </w:rPr>
              <w:t>91</w:t>
            </w:r>
            <w:r w:rsidR="00C96521" w:rsidRPr="00C96521">
              <w:rPr>
                <w:rFonts w:eastAsia="MS Mincho"/>
                <w:noProof/>
                <w:webHidden/>
                <w:sz w:val="20"/>
                <w:szCs w:val="22"/>
                <w:lang w:val="en-GB" w:eastAsia="ja-JP"/>
              </w:rPr>
              <w:fldChar w:fldCharType="end"/>
            </w:r>
          </w:hyperlink>
        </w:p>
        <w:p w14:paraId="69801FAA" w14:textId="1BCB7002" w:rsidR="00C96521" w:rsidRPr="00C96521" w:rsidRDefault="00B44B0D" w:rsidP="00C96521">
          <w:pPr>
            <w:widowControl/>
            <w:tabs>
              <w:tab w:val="right" w:leader="dot" w:pos="9310"/>
            </w:tabs>
            <w:autoSpaceDE/>
            <w:autoSpaceDN/>
            <w:adjustRightInd/>
            <w:spacing w:after="100" w:line="276" w:lineRule="auto"/>
            <w:rPr>
              <w:rFonts w:ascii="Calibri" w:eastAsia="MS Mincho" w:hAnsi="Calibri"/>
              <w:noProof/>
              <w:sz w:val="22"/>
              <w:szCs w:val="22"/>
              <w:lang w:val="en-GB" w:eastAsia="ja-JP"/>
            </w:rPr>
          </w:pPr>
          <w:hyperlink w:anchor="_Toc478646924" w:history="1">
            <w:r w:rsidR="00C96521" w:rsidRPr="00C96521">
              <w:rPr>
                <w:rFonts w:eastAsia="MS Mincho"/>
                <w:b/>
                <w:noProof/>
                <w:sz w:val="20"/>
                <w:szCs w:val="22"/>
                <w:u w:val="single"/>
                <w:lang w:val="en-GB" w:eastAsia="ja-JP"/>
              </w:rPr>
              <w:t>Annex 5: REFERENCES</w:t>
            </w:r>
            <w:r w:rsidR="00C96521" w:rsidRPr="00C96521">
              <w:rPr>
                <w:rFonts w:eastAsia="MS Mincho"/>
                <w:b/>
                <w:noProof/>
                <w:webHidden/>
                <w:sz w:val="20"/>
                <w:szCs w:val="22"/>
                <w:lang w:val="en-GB" w:eastAsia="ja-JP"/>
              </w:rPr>
              <w:tab/>
            </w:r>
            <w:r w:rsidR="00C96521" w:rsidRPr="00C96521">
              <w:rPr>
                <w:rFonts w:eastAsia="MS Mincho"/>
                <w:b/>
                <w:noProof/>
                <w:webHidden/>
                <w:sz w:val="20"/>
                <w:szCs w:val="22"/>
                <w:lang w:val="en-GB" w:eastAsia="ja-JP"/>
              </w:rPr>
              <w:fldChar w:fldCharType="begin"/>
            </w:r>
            <w:r w:rsidR="00C96521" w:rsidRPr="00C96521">
              <w:rPr>
                <w:rFonts w:eastAsia="MS Mincho"/>
                <w:b/>
                <w:noProof/>
                <w:webHidden/>
                <w:sz w:val="20"/>
                <w:szCs w:val="22"/>
                <w:lang w:val="en-GB" w:eastAsia="ja-JP"/>
              </w:rPr>
              <w:instrText xml:space="preserve"> PAGEREF _Toc478646924 \h </w:instrText>
            </w:r>
            <w:r w:rsidR="00C96521" w:rsidRPr="00C96521">
              <w:rPr>
                <w:rFonts w:eastAsia="MS Mincho"/>
                <w:b/>
                <w:noProof/>
                <w:webHidden/>
                <w:sz w:val="20"/>
                <w:szCs w:val="22"/>
                <w:lang w:val="en-GB" w:eastAsia="ja-JP"/>
              </w:rPr>
            </w:r>
            <w:r w:rsidR="00C96521" w:rsidRPr="00C96521">
              <w:rPr>
                <w:rFonts w:eastAsia="MS Mincho"/>
                <w:b/>
                <w:noProof/>
                <w:webHidden/>
                <w:sz w:val="20"/>
                <w:szCs w:val="22"/>
                <w:lang w:val="en-GB" w:eastAsia="ja-JP"/>
              </w:rPr>
              <w:fldChar w:fldCharType="separate"/>
            </w:r>
            <w:r w:rsidR="00126308">
              <w:rPr>
                <w:rFonts w:eastAsia="MS Mincho"/>
                <w:b/>
                <w:noProof/>
                <w:webHidden/>
                <w:sz w:val="20"/>
                <w:szCs w:val="22"/>
                <w:lang w:val="en-GB" w:eastAsia="ja-JP"/>
              </w:rPr>
              <w:t>98</w:t>
            </w:r>
            <w:r w:rsidR="00C96521" w:rsidRPr="00C96521">
              <w:rPr>
                <w:rFonts w:eastAsia="MS Mincho"/>
                <w:b/>
                <w:noProof/>
                <w:webHidden/>
                <w:sz w:val="20"/>
                <w:szCs w:val="22"/>
                <w:lang w:val="en-GB" w:eastAsia="ja-JP"/>
              </w:rPr>
              <w:fldChar w:fldCharType="end"/>
            </w:r>
          </w:hyperlink>
        </w:p>
        <w:p w14:paraId="734BB0F8" w14:textId="72551FC2" w:rsidR="00C96521" w:rsidRPr="00C96521" w:rsidRDefault="00B44B0D" w:rsidP="00C96521">
          <w:pPr>
            <w:widowControl/>
            <w:tabs>
              <w:tab w:val="right" w:leader="dot" w:pos="9310"/>
            </w:tabs>
            <w:autoSpaceDE/>
            <w:autoSpaceDN/>
            <w:adjustRightInd/>
            <w:spacing w:after="100" w:line="276" w:lineRule="auto"/>
            <w:rPr>
              <w:rFonts w:ascii="Calibri" w:eastAsia="MS Mincho" w:hAnsi="Calibri"/>
              <w:noProof/>
              <w:sz w:val="22"/>
              <w:szCs w:val="22"/>
              <w:lang w:val="en-GB" w:eastAsia="ja-JP"/>
            </w:rPr>
          </w:pPr>
          <w:hyperlink w:anchor="_Toc478646925" w:history="1">
            <w:r w:rsidR="00C96521" w:rsidRPr="00C96521">
              <w:rPr>
                <w:rFonts w:eastAsia="MS Mincho"/>
                <w:b/>
                <w:noProof/>
                <w:sz w:val="20"/>
                <w:szCs w:val="22"/>
                <w:u w:val="single"/>
                <w:lang w:val="en-GB" w:eastAsia="ja-JP"/>
              </w:rPr>
              <w:t>Annex 6: LIST OF ACRONYMS/ABBREVIATIONS</w:t>
            </w:r>
            <w:r w:rsidR="00C96521" w:rsidRPr="00C96521">
              <w:rPr>
                <w:rFonts w:eastAsia="MS Mincho"/>
                <w:b/>
                <w:noProof/>
                <w:webHidden/>
                <w:sz w:val="20"/>
                <w:szCs w:val="22"/>
                <w:lang w:val="en-GB" w:eastAsia="ja-JP"/>
              </w:rPr>
              <w:tab/>
            </w:r>
            <w:r w:rsidR="00C96521" w:rsidRPr="00C96521">
              <w:rPr>
                <w:rFonts w:eastAsia="MS Mincho"/>
                <w:b/>
                <w:noProof/>
                <w:webHidden/>
                <w:sz w:val="20"/>
                <w:szCs w:val="22"/>
                <w:lang w:val="en-GB" w:eastAsia="ja-JP"/>
              </w:rPr>
              <w:fldChar w:fldCharType="begin"/>
            </w:r>
            <w:r w:rsidR="00C96521" w:rsidRPr="00C96521">
              <w:rPr>
                <w:rFonts w:eastAsia="MS Mincho"/>
                <w:b/>
                <w:noProof/>
                <w:webHidden/>
                <w:sz w:val="20"/>
                <w:szCs w:val="22"/>
                <w:lang w:val="en-GB" w:eastAsia="ja-JP"/>
              </w:rPr>
              <w:instrText xml:space="preserve"> PAGEREF _Toc478646925 \h </w:instrText>
            </w:r>
            <w:r w:rsidR="00C96521" w:rsidRPr="00C96521">
              <w:rPr>
                <w:rFonts w:eastAsia="MS Mincho"/>
                <w:b/>
                <w:noProof/>
                <w:webHidden/>
                <w:sz w:val="20"/>
                <w:szCs w:val="22"/>
                <w:lang w:val="en-GB" w:eastAsia="ja-JP"/>
              </w:rPr>
            </w:r>
            <w:r w:rsidR="00C96521" w:rsidRPr="00C96521">
              <w:rPr>
                <w:rFonts w:eastAsia="MS Mincho"/>
                <w:b/>
                <w:noProof/>
                <w:webHidden/>
                <w:sz w:val="20"/>
                <w:szCs w:val="22"/>
                <w:lang w:val="en-GB" w:eastAsia="ja-JP"/>
              </w:rPr>
              <w:fldChar w:fldCharType="separate"/>
            </w:r>
            <w:r w:rsidR="00126308">
              <w:rPr>
                <w:rFonts w:eastAsia="MS Mincho"/>
                <w:b/>
                <w:noProof/>
                <w:webHidden/>
                <w:sz w:val="20"/>
                <w:szCs w:val="22"/>
                <w:lang w:val="en-GB" w:eastAsia="ja-JP"/>
              </w:rPr>
              <w:t>114</w:t>
            </w:r>
            <w:r w:rsidR="00C96521" w:rsidRPr="00C96521">
              <w:rPr>
                <w:rFonts w:eastAsia="MS Mincho"/>
                <w:b/>
                <w:noProof/>
                <w:webHidden/>
                <w:sz w:val="20"/>
                <w:szCs w:val="22"/>
                <w:lang w:val="en-GB" w:eastAsia="ja-JP"/>
              </w:rPr>
              <w:fldChar w:fldCharType="end"/>
            </w:r>
          </w:hyperlink>
        </w:p>
        <w:p w14:paraId="39D10FBB" w14:textId="721C50B0" w:rsidR="00C96521" w:rsidRPr="00C96521" w:rsidRDefault="00B44B0D" w:rsidP="00C96521">
          <w:pPr>
            <w:widowControl/>
            <w:tabs>
              <w:tab w:val="right" w:leader="dot" w:pos="9310"/>
            </w:tabs>
            <w:autoSpaceDE/>
            <w:autoSpaceDN/>
            <w:adjustRightInd/>
            <w:spacing w:after="100" w:line="276" w:lineRule="auto"/>
            <w:rPr>
              <w:rFonts w:ascii="Calibri" w:eastAsia="MS Mincho" w:hAnsi="Calibri"/>
              <w:noProof/>
              <w:sz w:val="22"/>
              <w:szCs w:val="22"/>
              <w:lang w:val="en-GB" w:eastAsia="ja-JP"/>
            </w:rPr>
          </w:pPr>
          <w:hyperlink w:anchor="_Toc478646926" w:history="1">
            <w:r w:rsidR="00C96521" w:rsidRPr="00C96521">
              <w:rPr>
                <w:rFonts w:eastAsia="MS Mincho"/>
                <w:b/>
                <w:noProof/>
                <w:sz w:val="20"/>
                <w:szCs w:val="22"/>
                <w:u w:val="single"/>
                <w:lang w:val="en-GB" w:eastAsia="ja-JP"/>
              </w:rPr>
              <w:t xml:space="preserve">Annex 7 - EUROPEAN </w:t>
            </w:r>
            <w:r w:rsidR="00526B63">
              <w:rPr>
                <w:rFonts w:eastAsia="MS Mincho"/>
                <w:b/>
                <w:noProof/>
                <w:sz w:val="20"/>
                <w:szCs w:val="22"/>
                <w:u w:val="single"/>
                <w:lang w:val="en-GB" w:eastAsia="ja-JP"/>
              </w:rPr>
              <w:t xml:space="preserve">UNION </w:t>
            </w:r>
            <w:r w:rsidR="00C96521" w:rsidRPr="00C96521">
              <w:rPr>
                <w:rFonts w:eastAsia="MS Mincho"/>
                <w:b/>
                <w:noProof/>
                <w:sz w:val="20"/>
                <w:szCs w:val="22"/>
                <w:u w:val="single"/>
                <w:lang w:val="en-GB" w:eastAsia="ja-JP"/>
              </w:rPr>
              <w:t>MEMBER STATES</w:t>
            </w:r>
            <w:r w:rsidR="00BE5EF4">
              <w:rPr>
                <w:rFonts w:eastAsia="MS Mincho"/>
                <w:b/>
                <w:noProof/>
                <w:sz w:val="20"/>
                <w:szCs w:val="22"/>
                <w:u w:val="single"/>
                <w:lang w:val="en-GB" w:eastAsia="ja-JP"/>
              </w:rPr>
              <w:t>’</w:t>
            </w:r>
            <w:r w:rsidR="00C96521" w:rsidRPr="00C96521">
              <w:rPr>
                <w:rFonts w:eastAsia="MS Mincho"/>
                <w:b/>
                <w:noProof/>
                <w:sz w:val="20"/>
                <w:szCs w:val="22"/>
                <w:u w:val="single"/>
                <w:lang w:val="en-GB" w:eastAsia="ja-JP"/>
              </w:rPr>
              <w:t xml:space="preserve"> CODES</w:t>
            </w:r>
            <w:r w:rsidR="00C96521" w:rsidRPr="00C96521">
              <w:rPr>
                <w:rFonts w:eastAsia="MS Mincho"/>
                <w:b/>
                <w:noProof/>
                <w:webHidden/>
                <w:sz w:val="20"/>
                <w:szCs w:val="22"/>
                <w:lang w:val="en-GB" w:eastAsia="ja-JP"/>
              </w:rPr>
              <w:tab/>
            </w:r>
            <w:r w:rsidR="00C96521" w:rsidRPr="00C96521">
              <w:rPr>
                <w:rFonts w:eastAsia="MS Mincho"/>
                <w:b/>
                <w:noProof/>
                <w:webHidden/>
                <w:sz w:val="20"/>
                <w:szCs w:val="22"/>
                <w:lang w:val="en-GB" w:eastAsia="ja-JP"/>
              </w:rPr>
              <w:fldChar w:fldCharType="begin"/>
            </w:r>
            <w:r w:rsidR="00C96521" w:rsidRPr="00C96521">
              <w:rPr>
                <w:rFonts w:eastAsia="MS Mincho"/>
                <w:b/>
                <w:noProof/>
                <w:webHidden/>
                <w:sz w:val="20"/>
                <w:szCs w:val="22"/>
                <w:lang w:val="en-GB" w:eastAsia="ja-JP"/>
              </w:rPr>
              <w:instrText xml:space="preserve"> PAGEREF _Toc478646926 \h </w:instrText>
            </w:r>
            <w:r w:rsidR="00C96521" w:rsidRPr="00C96521">
              <w:rPr>
                <w:rFonts w:eastAsia="MS Mincho"/>
                <w:b/>
                <w:noProof/>
                <w:webHidden/>
                <w:sz w:val="20"/>
                <w:szCs w:val="22"/>
                <w:lang w:val="en-GB" w:eastAsia="ja-JP"/>
              </w:rPr>
            </w:r>
            <w:r w:rsidR="00C96521" w:rsidRPr="00C96521">
              <w:rPr>
                <w:rFonts w:eastAsia="MS Mincho"/>
                <w:b/>
                <w:noProof/>
                <w:webHidden/>
                <w:sz w:val="20"/>
                <w:szCs w:val="22"/>
                <w:lang w:val="en-GB" w:eastAsia="ja-JP"/>
              </w:rPr>
              <w:fldChar w:fldCharType="separate"/>
            </w:r>
            <w:r w:rsidR="00126308">
              <w:rPr>
                <w:rFonts w:eastAsia="MS Mincho"/>
                <w:b/>
                <w:noProof/>
                <w:webHidden/>
                <w:sz w:val="20"/>
                <w:szCs w:val="22"/>
                <w:lang w:val="en-GB" w:eastAsia="ja-JP"/>
              </w:rPr>
              <w:t>115</w:t>
            </w:r>
            <w:r w:rsidR="00C96521" w:rsidRPr="00C96521">
              <w:rPr>
                <w:rFonts w:eastAsia="MS Mincho"/>
                <w:b/>
                <w:noProof/>
                <w:webHidden/>
                <w:sz w:val="20"/>
                <w:szCs w:val="22"/>
                <w:lang w:val="en-GB" w:eastAsia="ja-JP"/>
              </w:rPr>
              <w:fldChar w:fldCharType="end"/>
            </w:r>
          </w:hyperlink>
        </w:p>
        <w:p w14:paraId="245559AB" w14:textId="5B8FF242"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fldChar w:fldCharType="end"/>
          </w:r>
        </w:p>
      </w:sdtContent>
    </w:sdt>
    <w:p w14:paraId="795DBBB3" w14:textId="77777777" w:rsidR="00C96521" w:rsidRPr="00C96521" w:rsidRDefault="00C96521" w:rsidP="00C96521">
      <w:pPr>
        <w:widowControl/>
        <w:autoSpaceDE/>
        <w:autoSpaceDN/>
        <w:adjustRightInd/>
        <w:spacing w:line="276" w:lineRule="auto"/>
        <w:rPr>
          <w:rFonts w:eastAsia="MS Mincho"/>
          <w:b/>
          <w:color w:val="FF0000"/>
          <w:sz w:val="20"/>
          <w:szCs w:val="22"/>
          <w:lang w:val="en-GB" w:eastAsia="ja-JP"/>
        </w:rPr>
      </w:pPr>
    </w:p>
    <w:p w14:paraId="1BF6C647"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TABLES</w:t>
      </w:r>
    </w:p>
    <w:p w14:paraId="65215C32"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BDAD22A" w14:textId="314AB391" w:rsidR="00C96521" w:rsidRPr="00C96521" w:rsidRDefault="00C96521" w:rsidP="00C96521">
      <w:pPr>
        <w:widowControl/>
        <w:autoSpaceDE/>
        <w:autoSpaceDN/>
        <w:adjustRightInd/>
        <w:spacing w:line="276" w:lineRule="auto"/>
        <w:rPr>
          <w:rFonts w:eastAsia="Calibri"/>
          <w:sz w:val="20"/>
          <w:szCs w:val="22"/>
          <w:lang w:val="en-GB" w:eastAsia="ja-JP"/>
        </w:rPr>
      </w:pPr>
      <w:r w:rsidRPr="00C96521">
        <w:rPr>
          <w:rFonts w:eastAsia="Calibri"/>
          <w:sz w:val="20"/>
          <w:szCs w:val="22"/>
          <w:lang w:val="en-GB" w:eastAsia="ja-JP"/>
        </w:rPr>
        <w:t xml:space="preserve">Table 1. Range States for the European </w:t>
      </w:r>
      <w:r w:rsidR="00BE5EF4">
        <w:rPr>
          <w:rFonts w:eastAsia="Calibri"/>
          <w:sz w:val="20"/>
          <w:szCs w:val="22"/>
          <w:lang w:val="en-GB" w:eastAsia="ja-JP"/>
        </w:rPr>
        <w:t>T</w:t>
      </w:r>
      <w:r w:rsidRPr="00C96521">
        <w:rPr>
          <w:rFonts w:eastAsia="Calibri"/>
          <w:sz w:val="20"/>
          <w:szCs w:val="22"/>
          <w:lang w:val="en-GB" w:eastAsia="ja-JP"/>
        </w:rPr>
        <w:t>urtle</w:t>
      </w:r>
      <w:r w:rsidR="00BE5EF4">
        <w:rPr>
          <w:rFonts w:eastAsia="Calibri"/>
          <w:sz w:val="20"/>
          <w:szCs w:val="22"/>
          <w:lang w:val="en-GB" w:eastAsia="ja-JP"/>
        </w:rPr>
        <w:t xml:space="preserve"> D</w:t>
      </w:r>
      <w:r w:rsidRPr="00C96521">
        <w:rPr>
          <w:rFonts w:eastAsia="Calibri"/>
          <w:sz w:val="20"/>
          <w:szCs w:val="22"/>
          <w:lang w:val="en-GB" w:eastAsia="ja-JP"/>
        </w:rPr>
        <w:t>dove covered by the Action Plan (page 8).</w:t>
      </w:r>
    </w:p>
    <w:p w14:paraId="24BD7398" w14:textId="77777777" w:rsidR="00C96521" w:rsidRPr="00C96521" w:rsidRDefault="00C96521" w:rsidP="00C96521">
      <w:pPr>
        <w:widowControl/>
        <w:autoSpaceDE/>
        <w:autoSpaceDN/>
        <w:adjustRightInd/>
        <w:spacing w:line="276" w:lineRule="auto"/>
        <w:rPr>
          <w:rFonts w:eastAsia="Calibri"/>
          <w:sz w:val="20"/>
          <w:szCs w:val="22"/>
          <w:lang w:val="en-GB" w:eastAsia="ja-JP"/>
        </w:rPr>
      </w:pPr>
    </w:p>
    <w:p w14:paraId="13085BFF"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Calibri"/>
          <w:sz w:val="20"/>
          <w:szCs w:val="22"/>
          <w:lang w:val="en-GB" w:eastAsia="ja-JP"/>
        </w:rPr>
        <w:t xml:space="preserve">Table </w:t>
      </w:r>
      <w:r w:rsidRPr="00C96521">
        <w:rPr>
          <w:rFonts w:eastAsia="MS Mincho"/>
          <w:sz w:val="20"/>
          <w:szCs w:val="22"/>
          <w:lang w:val="en-GB" w:eastAsia="ja-JP"/>
        </w:rPr>
        <w:t>2. Breeding population size and trend by country/territory (page 46).</w:t>
      </w:r>
    </w:p>
    <w:p w14:paraId="42BE0DF1"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029BB42"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Calibri"/>
          <w:sz w:val="20"/>
          <w:szCs w:val="22"/>
          <w:lang w:val="en-GB" w:eastAsia="ja-JP"/>
        </w:rPr>
        <w:t xml:space="preserve">Table </w:t>
      </w:r>
      <w:r w:rsidRPr="00C96521">
        <w:rPr>
          <w:rFonts w:eastAsia="MS Mincho"/>
          <w:sz w:val="20"/>
          <w:szCs w:val="22"/>
          <w:lang w:val="en-GB" w:eastAsia="ja-JP"/>
        </w:rPr>
        <w:t>3. Migrating and non-breeding populations by country/territory (page 48).</w:t>
      </w:r>
    </w:p>
    <w:p w14:paraId="2C018B40"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5247D989" w14:textId="00CDC540" w:rsidR="00C96521" w:rsidRPr="00C96521" w:rsidRDefault="00C96521" w:rsidP="00C96521">
      <w:pPr>
        <w:widowControl/>
        <w:autoSpaceDE/>
        <w:autoSpaceDN/>
        <w:adjustRightInd/>
        <w:rPr>
          <w:rFonts w:eastAsia="MS Mincho" w:cs="Arial"/>
          <w:sz w:val="20"/>
          <w:szCs w:val="22"/>
          <w:lang w:val="en-GB" w:eastAsia="ja-JP"/>
        </w:rPr>
      </w:pPr>
      <w:r w:rsidRPr="00C96521">
        <w:rPr>
          <w:rFonts w:eastAsia="Calibri"/>
          <w:sz w:val="20"/>
          <w:szCs w:val="22"/>
          <w:lang w:val="en-GB" w:eastAsia="ja-JP"/>
        </w:rPr>
        <w:t xml:space="preserve">Table </w:t>
      </w:r>
      <w:r w:rsidRPr="00C96521">
        <w:rPr>
          <w:rFonts w:eastAsia="MS Mincho" w:cs="Arial"/>
          <w:sz w:val="20"/>
          <w:szCs w:val="20"/>
          <w:lang w:val="en-GB" w:eastAsia="ja-JP"/>
        </w:rPr>
        <w:t>4. Turtle</w:t>
      </w:r>
      <w:r w:rsidR="003574BE">
        <w:rPr>
          <w:rFonts w:eastAsia="MS Mincho" w:cs="Arial"/>
          <w:sz w:val="20"/>
          <w:szCs w:val="20"/>
          <w:lang w:val="en-GB" w:eastAsia="ja-JP"/>
        </w:rPr>
        <w:t xml:space="preserve"> D</w:t>
      </w:r>
      <w:r w:rsidRPr="00C96521">
        <w:rPr>
          <w:rFonts w:eastAsia="MS Mincho" w:cs="Arial"/>
          <w:sz w:val="20"/>
          <w:szCs w:val="20"/>
          <w:lang w:val="en-GB" w:eastAsia="ja-JP"/>
        </w:rPr>
        <w:t xml:space="preserve">ove bag numbers and protection/hunting details across </w:t>
      </w:r>
      <w:r w:rsidR="003574BE">
        <w:rPr>
          <w:rFonts w:eastAsia="MS Mincho" w:cs="Arial"/>
          <w:sz w:val="20"/>
          <w:szCs w:val="20"/>
          <w:lang w:val="en-GB" w:eastAsia="ja-JP"/>
        </w:rPr>
        <w:t>R</w:t>
      </w:r>
      <w:r w:rsidRPr="00C96521">
        <w:rPr>
          <w:rFonts w:eastAsia="MS Mincho" w:cs="Arial"/>
          <w:sz w:val="20"/>
          <w:szCs w:val="20"/>
          <w:lang w:val="en-GB" w:eastAsia="ja-JP"/>
        </w:rPr>
        <w:t xml:space="preserve">ange </w:t>
      </w:r>
      <w:r w:rsidR="003574BE">
        <w:rPr>
          <w:rFonts w:eastAsia="MS Mincho" w:cs="Arial"/>
          <w:sz w:val="20"/>
          <w:szCs w:val="20"/>
          <w:lang w:val="en-GB" w:eastAsia="ja-JP"/>
        </w:rPr>
        <w:t>S</w:t>
      </w:r>
      <w:r w:rsidRPr="00C96521">
        <w:rPr>
          <w:rFonts w:eastAsia="MS Mincho" w:cs="Arial"/>
          <w:sz w:val="20"/>
          <w:szCs w:val="20"/>
          <w:lang w:val="en-GB" w:eastAsia="ja-JP"/>
        </w:rPr>
        <w:t>tates within Europe, Central Asia and Africa (page 66).</w:t>
      </w:r>
    </w:p>
    <w:p w14:paraId="29713AF5" w14:textId="77777777" w:rsidR="00C96521" w:rsidRPr="00C96521" w:rsidRDefault="00C96521" w:rsidP="00C96521">
      <w:pPr>
        <w:widowControl/>
        <w:autoSpaceDE/>
        <w:autoSpaceDN/>
        <w:adjustRightInd/>
        <w:rPr>
          <w:rFonts w:eastAsia="MS Mincho" w:cs="Arial"/>
          <w:sz w:val="20"/>
          <w:szCs w:val="20"/>
          <w:lang w:val="en-GB" w:eastAsia="ja-JP"/>
        </w:rPr>
      </w:pPr>
    </w:p>
    <w:p w14:paraId="77EF88D7" w14:textId="4705DD79"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Calibri"/>
          <w:sz w:val="20"/>
          <w:szCs w:val="22"/>
          <w:lang w:val="en-GB" w:eastAsia="ja-JP"/>
        </w:rPr>
        <w:t xml:space="preserve">Table </w:t>
      </w:r>
      <w:r w:rsidRPr="00C96521">
        <w:rPr>
          <w:rFonts w:eastAsia="MS Mincho"/>
          <w:sz w:val="20"/>
          <w:szCs w:val="22"/>
          <w:lang w:val="en-GB" w:eastAsia="ja-JP"/>
        </w:rPr>
        <w:t xml:space="preserve">5. Nesting habitat requirements of </w:t>
      </w:r>
      <w:r w:rsidR="003574BE">
        <w:rPr>
          <w:rFonts w:eastAsia="MS Mincho"/>
          <w:sz w:val="20"/>
          <w:szCs w:val="22"/>
          <w:lang w:val="en-GB" w:eastAsia="ja-JP"/>
        </w:rPr>
        <w:t>T</w:t>
      </w:r>
      <w:r w:rsidRPr="00C96521">
        <w:rPr>
          <w:rFonts w:eastAsia="MS Mincho"/>
          <w:sz w:val="20"/>
          <w:szCs w:val="22"/>
          <w:lang w:val="en-GB" w:eastAsia="ja-JP"/>
        </w:rPr>
        <w:t>urtle</w:t>
      </w:r>
      <w:r w:rsidR="003574BE">
        <w:rPr>
          <w:rFonts w:eastAsia="MS Mincho"/>
          <w:sz w:val="20"/>
          <w:szCs w:val="22"/>
          <w:lang w:val="en-GB" w:eastAsia="ja-JP"/>
        </w:rPr>
        <w:t xml:space="preserve"> D</w:t>
      </w:r>
      <w:r w:rsidRPr="00C96521">
        <w:rPr>
          <w:rFonts w:eastAsia="MS Mincho"/>
          <w:sz w:val="20"/>
          <w:szCs w:val="22"/>
          <w:lang w:val="en-GB" w:eastAsia="ja-JP"/>
        </w:rPr>
        <w:t>oves and how these can be met by Countryside Stewardship Agri-environment Options (page 77).</w:t>
      </w:r>
    </w:p>
    <w:p w14:paraId="3B619704"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9EB587C" w14:textId="32C47450"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Calibri"/>
          <w:sz w:val="20"/>
          <w:szCs w:val="22"/>
          <w:lang w:val="en-GB" w:eastAsia="ja-JP"/>
        </w:rPr>
        <w:t xml:space="preserve">Table </w:t>
      </w:r>
      <w:r w:rsidRPr="00C96521">
        <w:rPr>
          <w:rFonts w:eastAsia="MS Mincho"/>
          <w:sz w:val="20"/>
          <w:szCs w:val="22"/>
          <w:lang w:val="en-GB" w:eastAsia="ja-JP"/>
        </w:rPr>
        <w:t xml:space="preserve">6. Summary of the foraging habitat requirements of </w:t>
      </w:r>
      <w:r w:rsidR="003574BE">
        <w:rPr>
          <w:rFonts w:eastAsia="MS Mincho"/>
          <w:sz w:val="20"/>
          <w:szCs w:val="22"/>
          <w:lang w:val="en-GB" w:eastAsia="ja-JP"/>
        </w:rPr>
        <w:t>T</w:t>
      </w:r>
      <w:r w:rsidRPr="00C96521">
        <w:rPr>
          <w:rFonts w:eastAsia="MS Mincho"/>
          <w:sz w:val="20"/>
          <w:szCs w:val="22"/>
          <w:lang w:val="en-GB" w:eastAsia="ja-JP"/>
        </w:rPr>
        <w:t>urtle</w:t>
      </w:r>
      <w:r w:rsidR="003574BE">
        <w:rPr>
          <w:rFonts w:eastAsia="MS Mincho"/>
          <w:sz w:val="20"/>
          <w:szCs w:val="22"/>
          <w:lang w:val="en-GB" w:eastAsia="ja-JP"/>
        </w:rPr>
        <w:t xml:space="preserve"> D</w:t>
      </w:r>
      <w:r w:rsidRPr="00C96521">
        <w:rPr>
          <w:rFonts w:eastAsia="MS Mincho"/>
          <w:sz w:val="20"/>
          <w:szCs w:val="22"/>
          <w:lang w:val="en-GB" w:eastAsia="ja-JP"/>
        </w:rPr>
        <w:t xml:space="preserve">doves and how these can be met by Countryside Stewardship Agri-environment Options tailored for </w:t>
      </w:r>
      <w:r w:rsidR="003574BE">
        <w:rPr>
          <w:rFonts w:eastAsia="MS Mincho"/>
          <w:sz w:val="20"/>
          <w:szCs w:val="22"/>
          <w:lang w:val="en-GB" w:eastAsia="ja-JP"/>
        </w:rPr>
        <w:t>T</w:t>
      </w:r>
      <w:r w:rsidRPr="00C96521">
        <w:rPr>
          <w:rFonts w:eastAsia="MS Mincho"/>
          <w:sz w:val="20"/>
          <w:szCs w:val="22"/>
          <w:lang w:val="en-GB" w:eastAsia="ja-JP"/>
        </w:rPr>
        <w:t>urtle</w:t>
      </w:r>
      <w:r w:rsidR="003574BE">
        <w:rPr>
          <w:rFonts w:eastAsia="MS Mincho"/>
          <w:sz w:val="20"/>
          <w:szCs w:val="22"/>
          <w:lang w:val="en-GB" w:eastAsia="ja-JP"/>
        </w:rPr>
        <w:t xml:space="preserve"> D</w:t>
      </w:r>
      <w:r w:rsidRPr="00C96521">
        <w:rPr>
          <w:rFonts w:eastAsia="MS Mincho"/>
          <w:sz w:val="20"/>
          <w:szCs w:val="22"/>
          <w:lang w:val="en-GB" w:eastAsia="ja-JP"/>
        </w:rPr>
        <w:t>doves (page 78).</w:t>
      </w:r>
    </w:p>
    <w:p w14:paraId="44AE5354"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6EBFA5E3"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Calibri"/>
          <w:sz w:val="20"/>
          <w:szCs w:val="22"/>
          <w:lang w:val="en-GB" w:eastAsia="ja-JP"/>
        </w:rPr>
        <w:t xml:space="preserve">Table </w:t>
      </w:r>
      <w:r w:rsidRPr="00C96521">
        <w:rPr>
          <w:rFonts w:eastAsia="MS Mincho"/>
          <w:sz w:val="20"/>
          <w:szCs w:val="22"/>
          <w:lang w:val="en-GB" w:eastAsia="ja-JP"/>
        </w:rPr>
        <w:t>7. Base data for sustainable hunting model analyses (page 88).</w:t>
      </w:r>
    </w:p>
    <w:p w14:paraId="494BF6A4"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241D11E"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FIGURES</w:t>
      </w:r>
    </w:p>
    <w:p w14:paraId="32000FB7"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767B294" w14:textId="049B4950"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Figure 1. Map of breeding and wintering </w:t>
      </w:r>
      <w:r w:rsidR="003574BE">
        <w:rPr>
          <w:rFonts w:eastAsia="MS Mincho"/>
          <w:sz w:val="20"/>
          <w:szCs w:val="22"/>
          <w:lang w:val="en-GB" w:eastAsia="ja-JP"/>
        </w:rPr>
        <w:t>R</w:t>
      </w:r>
      <w:r w:rsidRPr="00C96521">
        <w:rPr>
          <w:rFonts w:eastAsia="MS Mincho"/>
          <w:sz w:val="20"/>
          <w:szCs w:val="22"/>
          <w:lang w:val="en-GB" w:eastAsia="ja-JP"/>
        </w:rPr>
        <w:t xml:space="preserve">ange </w:t>
      </w:r>
      <w:r w:rsidR="003574BE">
        <w:rPr>
          <w:rFonts w:eastAsia="MS Mincho"/>
          <w:sz w:val="20"/>
          <w:szCs w:val="22"/>
          <w:lang w:val="en-GB" w:eastAsia="ja-JP"/>
        </w:rPr>
        <w:t>S</w:t>
      </w:r>
      <w:r w:rsidRPr="00C96521">
        <w:rPr>
          <w:rFonts w:eastAsia="MS Mincho"/>
          <w:sz w:val="20"/>
          <w:szCs w:val="22"/>
          <w:lang w:val="en-GB" w:eastAsia="ja-JP"/>
        </w:rPr>
        <w:t xml:space="preserve">tates for </w:t>
      </w:r>
      <w:r w:rsidRPr="00C96521">
        <w:rPr>
          <w:rFonts w:eastAsia="MS Mincho"/>
          <w:i/>
          <w:sz w:val="20"/>
          <w:szCs w:val="22"/>
          <w:lang w:val="en-GB" w:eastAsia="ja-JP"/>
        </w:rPr>
        <w:t>Streptopelia turtur</w:t>
      </w:r>
      <w:r w:rsidRPr="00C96521">
        <w:rPr>
          <w:rFonts w:eastAsia="MS Mincho"/>
          <w:sz w:val="20"/>
          <w:szCs w:val="22"/>
          <w:lang w:val="en-GB" w:eastAsia="ja-JP"/>
        </w:rPr>
        <w:t xml:space="preserve"> (page 8).</w:t>
      </w:r>
    </w:p>
    <w:p w14:paraId="703AB31A"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6F5D666"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Figure 2. National Implementation Score for each Member State, and the average score across all States (page 13).</w:t>
      </w:r>
    </w:p>
    <w:p w14:paraId="702EB489"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AD0CF6D"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Figure 3. Average Implementation Score (AIS) for each action within the 2007 Management Plan, across all relevant Member States (page 13).</w:t>
      </w:r>
    </w:p>
    <w:p w14:paraId="47B2528D"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F15CFC7" w14:textId="7322B0A1"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Figure 4. Patterns of use of turtle-doves from five different countries: </w:t>
      </w:r>
      <w:r w:rsidR="003574BE">
        <w:rPr>
          <w:rFonts w:eastAsia="MS Mincho"/>
          <w:sz w:val="20"/>
          <w:szCs w:val="22"/>
          <w:lang w:val="en-GB" w:eastAsia="ja-JP"/>
        </w:rPr>
        <w:t xml:space="preserve">the </w:t>
      </w:r>
      <w:r w:rsidRPr="00C96521">
        <w:rPr>
          <w:rFonts w:eastAsia="MS Mincho"/>
          <w:sz w:val="20"/>
          <w:szCs w:val="22"/>
          <w:lang w:val="en-GB" w:eastAsia="ja-JP"/>
        </w:rPr>
        <w:t>Czech Republic, France, Germany, Hungary and the U</w:t>
      </w:r>
      <w:r w:rsidR="003574BE">
        <w:rPr>
          <w:rFonts w:eastAsia="MS Mincho"/>
          <w:sz w:val="20"/>
          <w:szCs w:val="22"/>
          <w:lang w:val="en-GB" w:eastAsia="ja-JP"/>
        </w:rPr>
        <w:t xml:space="preserve">nited </w:t>
      </w:r>
      <w:r w:rsidRPr="00C96521">
        <w:rPr>
          <w:rFonts w:eastAsia="MS Mincho"/>
          <w:sz w:val="20"/>
          <w:szCs w:val="22"/>
          <w:lang w:val="en-GB" w:eastAsia="ja-JP"/>
        </w:rPr>
        <w:t>K</w:t>
      </w:r>
      <w:r w:rsidR="003574BE">
        <w:rPr>
          <w:rFonts w:eastAsia="MS Mincho"/>
          <w:sz w:val="20"/>
          <w:szCs w:val="22"/>
          <w:lang w:val="en-GB" w:eastAsia="ja-JP"/>
        </w:rPr>
        <w:t>ingdom</w:t>
      </w:r>
      <w:r w:rsidRPr="00C96521">
        <w:rPr>
          <w:rFonts w:eastAsia="MS Mincho"/>
          <w:sz w:val="20"/>
          <w:szCs w:val="22"/>
          <w:lang w:val="en-GB" w:eastAsia="ja-JP"/>
        </w:rPr>
        <w:t xml:space="preserve"> (page 35).</w:t>
      </w:r>
    </w:p>
    <w:p w14:paraId="22D0D5FE"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0AE3CCD" w14:textId="2083A1E1"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Figure 5. Breeding season and pre-breeding migration of </w:t>
      </w:r>
      <w:r w:rsidR="003574BE">
        <w:rPr>
          <w:rFonts w:eastAsia="MS Mincho"/>
          <w:sz w:val="20"/>
          <w:szCs w:val="22"/>
          <w:lang w:val="en-GB" w:eastAsia="ja-JP"/>
        </w:rPr>
        <w:t>T</w:t>
      </w:r>
      <w:r w:rsidRPr="00C96521">
        <w:rPr>
          <w:rFonts w:eastAsia="MS Mincho"/>
          <w:sz w:val="20"/>
          <w:szCs w:val="22"/>
          <w:lang w:val="en-GB" w:eastAsia="ja-JP"/>
        </w:rPr>
        <w:t>urtle</w:t>
      </w:r>
      <w:r w:rsidR="003574BE">
        <w:rPr>
          <w:rFonts w:eastAsia="MS Mincho"/>
          <w:sz w:val="20"/>
          <w:szCs w:val="22"/>
          <w:lang w:val="en-GB" w:eastAsia="ja-JP"/>
        </w:rPr>
        <w:t xml:space="preserve"> D</w:t>
      </w:r>
      <w:r w:rsidRPr="00C96521">
        <w:rPr>
          <w:rFonts w:eastAsia="MS Mincho"/>
          <w:sz w:val="20"/>
          <w:szCs w:val="22"/>
          <w:lang w:val="en-GB" w:eastAsia="ja-JP"/>
        </w:rPr>
        <w:t>oves in EU Member States (page 37).</w:t>
      </w:r>
    </w:p>
    <w:p w14:paraId="775F61E8"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13BEE87"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Figure 6. Population trend index for countries in the western European population (page 49).</w:t>
      </w:r>
    </w:p>
    <w:p w14:paraId="133A8497"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6FD5CA3"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Figure 7. Population trend index for Estonia, Latvia, Lithuania and Poland (page 50).</w:t>
      </w:r>
    </w:p>
    <w:p w14:paraId="00D7B382"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6E0E30FB" w14:textId="1CE200BA"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Figure 8. Population trend index for Austria, </w:t>
      </w:r>
      <w:r w:rsidR="003574BE">
        <w:rPr>
          <w:rFonts w:eastAsia="MS Mincho"/>
          <w:sz w:val="20"/>
          <w:szCs w:val="22"/>
          <w:lang w:val="en-GB" w:eastAsia="ja-JP"/>
        </w:rPr>
        <w:t xml:space="preserve">the </w:t>
      </w:r>
      <w:r w:rsidRPr="00C96521">
        <w:rPr>
          <w:rFonts w:eastAsia="MS Mincho"/>
          <w:sz w:val="20"/>
          <w:szCs w:val="22"/>
          <w:lang w:val="en-GB" w:eastAsia="ja-JP"/>
        </w:rPr>
        <w:t>Czech Republic, Hungary, Italy, Slovakia, Slovenia and Switzerland (page 50).</w:t>
      </w:r>
    </w:p>
    <w:p w14:paraId="3179F436"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E9A97B5" w14:textId="33C1F498"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Figure 9. Population trend index for Bulgaria, Cyprus, Greece, and Romania (page 51).</w:t>
      </w:r>
    </w:p>
    <w:p w14:paraId="7BBAB74B"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 </w:t>
      </w:r>
    </w:p>
    <w:p w14:paraId="4516AF75" w14:textId="366DBA3E"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Figure 10. Population trend index for the five largest populations of </w:t>
      </w:r>
      <w:r w:rsidR="003574BE">
        <w:rPr>
          <w:rFonts w:eastAsia="MS Mincho"/>
          <w:sz w:val="20"/>
          <w:szCs w:val="22"/>
          <w:lang w:val="en-GB" w:eastAsia="ja-JP"/>
        </w:rPr>
        <w:t>T</w:t>
      </w:r>
      <w:r w:rsidRPr="00C96521">
        <w:rPr>
          <w:rFonts w:eastAsia="MS Mincho"/>
          <w:sz w:val="20"/>
          <w:szCs w:val="22"/>
          <w:lang w:val="en-GB" w:eastAsia="ja-JP"/>
        </w:rPr>
        <w:t>urtle</w:t>
      </w:r>
      <w:r w:rsidR="003574BE">
        <w:rPr>
          <w:rFonts w:eastAsia="MS Mincho"/>
          <w:sz w:val="20"/>
          <w:szCs w:val="22"/>
          <w:lang w:val="en-GB" w:eastAsia="ja-JP"/>
        </w:rPr>
        <w:t xml:space="preserve"> D</w:t>
      </w:r>
      <w:r w:rsidRPr="00C96521">
        <w:rPr>
          <w:rFonts w:eastAsia="MS Mincho"/>
          <w:sz w:val="20"/>
          <w:szCs w:val="22"/>
          <w:lang w:val="en-GB" w:eastAsia="ja-JP"/>
        </w:rPr>
        <w:t>dove contributing to the Pan-European Common Bird Monitoring Scheme (page 51).</w:t>
      </w:r>
    </w:p>
    <w:p w14:paraId="1255F50C"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6A68329" w14:textId="38DDFBE4"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Figure 11. Population trend index for the five populations of </w:t>
      </w:r>
      <w:r w:rsidR="003574BE">
        <w:rPr>
          <w:rFonts w:eastAsia="MS Mincho"/>
          <w:sz w:val="20"/>
          <w:szCs w:val="22"/>
          <w:lang w:val="en-GB" w:eastAsia="ja-JP"/>
        </w:rPr>
        <w:t>T</w:t>
      </w:r>
      <w:r w:rsidRPr="00C96521">
        <w:rPr>
          <w:rFonts w:eastAsia="MS Mincho"/>
          <w:sz w:val="20"/>
          <w:szCs w:val="22"/>
          <w:lang w:val="en-GB" w:eastAsia="ja-JP"/>
        </w:rPr>
        <w:t>urtle</w:t>
      </w:r>
      <w:r w:rsidR="003574BE">
        <w:rPr>
          <w:rFonts w:eastAsia="MS Mincho"/>
          <w:sz w:val="20"/>
          <w:szCs w:val="22"/>
          <w:lang w:val="en-GB" w:eastAsia="ja-JP"/>
        </w:rPr>
        <w:t xml:space="preserve"> D</w:t>
      </w:r>
      <w:r w:rsidRPr="00C96521">
        <w:rPr>
          <w:rFonts w:eastAsia="MS Mincho"/>
          <w:sz w:val="20"/>
          <w:szCs w:val="22"/>
          <w:lang w:val="en-GB" w:eastAsia="ja-JP"/>
        </w:rPr>
        <w:t>dove showing the strongest declines based on the multiplicative trend index contributing to the Pan-European Common Bird Monitoring Scheme (page 52).</w:t>
      </w:r>
    </w:p>
    <w:p w14:paraId="3D027F68"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3DE8583" w14:textId="21F65102"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Figure 12. Population trend slope for </w:t>
      </w:r>
      <w:r w:rsidR="003574BE">
        <w:rPr>
          <w:rFonts w:eastAsia="MS Mincho"/>
          <w:sz w:val="20"/>
          <w:szCs w:val="22"/>
          <w:lang w:val="en-GB" w:eastAsia="ja-JP"/>
        </w:rPr>
        <w:t>T</w:t>
      </w:r>
      <w:r w:rsidRPr="00C96521">
        <w:rPr>
          <w:rFonts w:eastAsia="MS Mincho"/>
          <w:sz w:val="20"/>
          <w:szCs w:val="22"/>
          <w:lang w:val="en-GB" w:eastAsia="ja-JP"/>
        </w:rPr>
        <w:t>urtle</w:t>
      </w:r>
      <w:r w:rsidR="003574BE">
        <w:rPr>
          <w:rFonts w:eastAsia="MS Mincho"/>
          <w:sz w:val="20"/>
          <w:szCs w:val="22"/>
          <w:lang w:val="en-GB" w:eastAsia="ja-JP"/>
        </w:rPr>
        <w:t xml:space="preserve"> D</w:t>
      </w:r>
      <w:r w:rsidRPr="00C96521">
        <w:rPr>
          <w:rFonts w:eastAsia="MS Mincho"/>
          <w:sz w:val="20"/>
          <w:szCs w:val="22"/>
          <w:lang w:val="en-GB" w:eastAsia="ja-JP"/>
        </w:rPr>
        <w:t xml:space="preserve">ove in countries in the western population contributing to the Pan-European Common Bird Monitoring Scheme (page 52). </w:t>
      </w:r>
    </w:p>
    <w:p w14:paraId="2AB4A611"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6F53ABD8" w14:textId="022B53B9"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Figure 13. Population trend slope for </w:t>
      </w:r>
      <w:r w:rsidR="003574BE">
        <w:rPr>
          <w:rFonts w:eastAsia="MS Mincho"/>
          <w:sz w:val="20"/>
          <w:szCs w:val="22"/>
          <w:lang w:val="en-GB" w:eastAsia="ja-JP"/>
        </w:rPr>
        <w:t>T</w:t>
      </w:r>
      <w:r w:rsidR="003574BE" w:rsidRPr="00C96521">
        <w:rPr>
          <w:rFonts w:eastAsia="MS Mincho"/>
          <w:sz w:val="20"/>
          <w:szCs w:val="22"/>
          <w:lang w:val="en-GB" w:eastAsia="ja-JP"/>
        </w:rPr>
        <w:t>urtle</w:t>
      </w:r>
      <w:r w:rsidR="003574BE">
        <w:rPr>
          <w:rFonts w:eastAsia="MS Mincho"/>
          <w:sz w:val="20"/>
          <w:szCs w:val="22"/>
          <w:lang w:val="en-GB" w:eastAsia="ja-JP"/>
        </w:rPr>
        <w:t xml:space="preserve"> D</w:t>
      </w:r>
      <w:r w:rsidR="003574BE" w:rsidRPr="00C96521">
        <w:rPr>
          <w:rFonts w:eastAsia="MS Mincho"/>
          <w:sz w:val="20"/>
          <w:szCs w:val="22"/>
          <w:lang w:val="en-GB" w:eastAsia="ja-JP"/>
        </w:rPr>
        <w:t xml:space="preserve">ove </w:t>
      </w:r>
      <w:r w:rsidRPr="00C96521">
        <w:rPr>
          <w:rFonts w:eastAsia="MS Mincho"/>
          <w:sz w:val="20"/>
          <w:szCs w:val="22"/>
          <w:lang w:val="en-GB" w:eastAsia="ja-JP"/>
        </w:rPr>
        <w:t>in countries in the central-eastern population contributing to the Pan-European Common Bird Monitoring Scheme (page 53).</w:t>
      </w:r>
    </w:p>
    <w:p w14:paraId="77F47D38"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974C201" w14:textId="2617CE13"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Figure 14. Population trend slope for </w:t>
      </w:r>
      <w:r w:rsidR="003574BE">
        <w:rPr>
          <w:rFonts w:eastAsia="MS Mincho"/>
          <w:sz w:val="20"/>
          <w:szCs w:val="22"/>
          <w:lang w:val="en-GB" w:eastAsia="ja-JP"/>
        </w:rPr>
        <w:t>T</w:t>
      </w:r>
      <w:r w:rsidR="003574BE" w:rsidRPr="00C96521">
        <w:rPr>
          <w:rFonts w:eastAsia="MS Mincho"/>
          <w:sz w:val="20"/>
          <w:szCs w:val="22"/>
          <w:lang w:val="en-GB" w:eastAsia="ja-JP"/>
        </w:rPr>
        <w:t>urtle</w:t>
      </w:r>
      <w:r w:rsidR="003574BE">
        <w:rPr>
          <w:rFonts w:eastAsia="MS Mincho"/>
          <w:sz w:val="20"/>
          <w:szCs w:val="22"/>
          <w:lang w:val="en-GB" w:eastAsia="ja-JP"/>
        </w:rPr>
        <w:t xml:space="preserve"> D</w:t>
      </w:r>
      <w:r w:rsidR="003574BE" w:rsidRPr="00C96521">
        <w:rPr>
          <w:rFonts w:eastAsia="MS Mincho"/>
          <w:sz w:val="20"/>
          <w:szCs w:val="22"/>
          <w:lang w:val="en-GB" w:eastAsia="ja-JP"/>
        </w:rPr>
        <w:t xml:space="preserve">ove </w:t>
      </w:r>
      <w:r w:rsidRPr="00C96521">
        <w:rPr>
          <w:rFonts w:eastAsia="MS Mincho"/>
          <w:sz w:val="20"/>
          <w:szCs w:val="22"/>
          <w:lang w:val="en-GB" w:eastAsia="ja-JP"/>
        </w:rPr>
        <w:t>in all countries submitting national data to the Pan-European Common Bird Monitoring Scheme (page 54).</w:t>
      </w:r>
    </w:p>
    <w:p w14:paraId="0F439987"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F657895" w14:textId="2887EB28"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Figure 15. Overlap of hunting season with breeding period for the </w:t>
      </w:r>
      <w:r w:rsidR="003574BE">
        <w:rPr>
          <w:rFonts w:eastAsia="MS Mincho"/>
          <w:sz w:val="20"/>
          <w:szCs w:val="22"/>
          <w:lang w:val="en-GB" w:eastAsia="ja-JP"/>
        </w:rPr>
        <w:t>T</w:t>
      </w:r>
      <w:r w:rsidR="003574BE" w:rsidRPr="00C96521">
        <w:rPr>
          <w:rFonts w:eastAsia="MS Mincho"/>
          <w:sz w:val="20"/>
          <w:szCs w:val="22"/>
          <w:lang w:val="en-GB" w:eastAsia="ja-JP"/>
        </w:rPr>
        <w:t>urtle</w:t>
      </w:r>
      <w:r w:rsidR="003574BE">
        <w:rPr>
          <w:rFonts w:eastAsia="MS Mincho"/>
          <w:sz w:val="20"/>
          <w:szCs w:val="22"/>
          <w:lang w:val="en-GB" w:eastAsia="ja-JP"/>
        </w:rPr>
        <w:t xml:space="preserve"> D</w:t>
      </w:r>
      <w:r w:rsidR="003574BE" w:rsidRPr="00C96521">
        <w:rPr>
          <w:rFonts w:eastAsia="MS Mincho"/>
          <w:sz w:val="20"/>
          <w:szCs w:val="22"/>
          <w:lang w:val="en-GB" w:eastAsia="ja-JP"/>
        </w:rPr>
        <w:t xml:space="preserve">ove </w:t>
      </w:r>
      <w:r w:rsidRPr="00C96521">
        <w:rPr>
          <w:rFonts w:eastAsia="MS Mincho"/>
          <w:sz w:val="20"/>
          <w:szCs w:val="22"/>
          <w:lang w:val="en-GB" w:eastAsia="ja-JP"/>
        </w:rPr>
        <w:t>in EU Member States (page 71).</w:t>
      </w:r>
    </w:p>
    <w:p w14:paraId="62CFA9DE"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53B49D43" w14:textId="3DD07113"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Figure 16. A typical hedgerow and patch of scrub used by </w:t>
      </w:r>
      <w:r w:rsidR="003574BE">
        <w:rPr>
          <w:rFonts w:eastAsia="MS Mincho"/>
          <w:sz w:val="20"/>
          <w:szCs w:val="22"/>
          <w:lang w:val="en-GB" w:eastAsia="ja-JP"/>
        </w:rPr>
        <w:t>T</w:t>
      </w:r>
      <w:r w:rsidR="003574BE" w:rsidRPr="00C96521">
        <w:rPr>
          <w:rFonts w:eastAsia="MS Mincho"/>
          <w:sz w:val="20"/>
          <w:szCs w:val="22"/>
          <w:lang w:val="en-GB" w:eastAsia="ja-JP"/>
        </w:rPr>
        <w:t>urtle</w:t>
      </w:r>
      <w:r w:rsidR="003574BE">
        <w:rPr>
          <w:rFonts w:eastAsia="MS Mincho"/>
          <w:sz w:val="20"/>
          <w:szCs w:val="22"/>
          <w:lang w:val="en-GB" w:eastAsia="ja-JP"/>
        </w:rPr>
        <w:t xml:space="preserve"> D</w:t>
      </w:r>
      <w:r w:rsidR="003574BE" w:rsidRPr="00C96521">
        <w:rPr>
          <w:rFonts w:eastAsia="MS Mincho"/>
          <w:sz w:val="20"/>
          <w:szCs w:val="22"/>
          <w:lang w:val="en-GB" w:eastAsia="ja-JP"/>
        </w:rPr>
        <w:t>ove</w:t>
      </w:r>
      <w:r w:rsidR="003574BE">
        <w:rPr>
          <w:rFonts w:eastAsia="MS Mincho"/>
          <w:sz w:val="20"/>
          <w:szCs w:val="22"/>
          <w:lang w:val="en-GB" w:eastAsia="ja-JP"/>
        </w:rPr>
        <w:t>s</w:t>
      </w:r>
      <w:r w:rsidR="003574BE" w:rsidRPr="00C96521">
        <w:rPr>
          <w:rFonts w:eastAsia="MS Mincho"/>
          <w:sz w:val="20"/>
          <w:szCs w:val="22"/>
          <w:lang w:val="en-GB" w:eastAsia="ja-JP"/>
        </w:rPr>
        <w:t xml:space="preserve"> </w:t>
      </w:r>
      <w:r w:rsidRPr="00C96521">
        <w:rPr>
          <w:rFonts w:eastAsia="MS Mincho"/>
          <w:sz w:val="20"/>
          <w:szCs w:val="22"/>
          <w:lang w:val="en-GB" w:eastAsia="ja-JP"/>
        </w:rPr>
        <w:t>for song-posts and nesting (page 77).</w:t>
      </w:r>
    </w:p>
    <w:p w14:paraId="5301F798"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D845D69" w14:textId="5E0D778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Figure 17. A well-managed AB1 Nectar Flower Mix with SP9 Threatened Species Supplement, delivering </w:t>
      </w:r>
      <w:r w:rsidR="003574BE">
        <w:rPr>
          <w:rFonts w:eastAsia="MS Mincho"/>
          <w:sz w:val="20"/>
          <w:szCs w:val="22"/>
          <w:lang w:val="en-GB" w:eastAsia="ja-JP"/>
        </w:rPr>
        <w:t>T</w:t>
      </w:r>
      <w:r w:rsidR="003574BE" w:rsidRPr="00C96521">
        <w:rPr>
          <w:rFonts w:eastAsia="MS Mincho"/>
          <w:sz w:val="20"/>
          <w:szCs w:val="22"/>
          <w:lang w:val="en-GB" w:eastAsia="ja-JP"/>
        </w:rPr>
        <w:t>urtle</w:t>
      </w:r>
      <w:r w:rsidR="003574BE">
        <w:rPr>
          <w:rFonts w:eastAsia="MS Mincho"/>
          <w:sz w:val="20"/>
          <w:szCs w:val="22"/>
          <w:lang w:val="en-GB" w:eastAsia="ja-JP"/>
        </w:rPr>
        <w:t xml:space="preserve"> D</w:t>
      </w:r>
      <w:r w:rsidR="003574BE" w:rsidRPr="00C96521">
        <w:rPr>
          <w:rFonts w:eastAsia="MS Mincho"/>
          <w:sz w:val="20"/>
          <w:szCs w:val="22"/>
          <w:lang w:val="en-GB" w:eastAsia="ja-JP"/>
        </w:rPr>
        <w:t xml:space="preserve">ove </w:t>
      </w:r>
      <w:r w:rsidRPr="00C96521">
        <w:rPr>
          <w:rFonts w:eastAsia="MS Mincho"/>
          <w:sz w:val="20"/>
          <w:szCs w:val="22"/>
          <w:lang w:val="en-GB" w:eastAsia="ja-JP"/>
        </w:rPr>
        <w:t>foraging habitat, with open structure and large amounts of bare ground (page 79).</w:t>
      </w:r>
    </w:p>
    <w:p w14:paraId="2A003ACB"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65DC59AE" w14:textId="5D9CEFD2"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Figure 18. A well-managed uncropped AB11 plot delivering suitable foraging habitat for </w:t>
      </w:r>
      <w:r w:rsidR="003574BE">
        <w:rPr>
          <w:rFonts w:eastAsia="MS Mincho"/>
          <w:sz w:val="20"/>
          <w:szCs w:val="22"/>
          <w:lang w:val="en-GB" w:eastAsia="ja-JP"/>
        </w:rPr>
        <w:t>T</w:t>
      </w:r>
      <w:r w:rsidR="003574BE" w:rsidRPr="00C96521">
        <w:rPr>
          <w:rFonts w:eastAsia="MS Mincho"/>
          <w:sz w:val="20"/>
          <w:szCs w:val="22"/>
          <w:lang w:val="en-GB" w:eastAsia="ja-JP"/>
        </w:rPr>
        <w:t>urtle</w:t>
      </w:r>
      <w:r w:rsidR="003574BE">
        <w:rPr>
          <w:rFonts w:eastAsia="MS Mincho"/>
          <w:sz w:val="20"/>
          <w:szCs w:val="22"/>
          <w:lang w:val="en-GB" w:eastAsia="ja-JP"/>
        </w:rPr>
        <w:t xml:space="preserve"> D</w:t>
      </w:r>
      <w:r w:rsidR="003574BE" w:rsidRPr="00C96521">
        <w:rPr>
          <w:rFonts w:eastAsia="MS Mincho"/>
          <w:sz w:val="20"/>
          <w:szCs w:val="22"/>
          <w:lang w:val="en-GB" w:eastAsia="ja-JP"/>
        </w:rPr>
        <w:t>ove</w:t>
      </w:r>
      <w:r w:rsidR="003574BE">
        <w:rPr>
          <w:rFonts w:eastAsia="MS Mincho"/>
          <w:sz w:val="20"/>
          <w:szCs w:val="22"/>
          <w:lang w:val="en-GB" w:eastAsia="ja-JP"/>
        </w:rPr>
        <w:t>s</w:t>
      </w:r>
      <w:r w:rsidR="003574BE" w:rsidRPr="00C96521">
        <w:rPr>
          <w:rFonts w:eastAsia="MS Mincho"/>
          <w:sz w:val="20"/>
          <w:szCs w:val="22"/>
          <w:lang w:val="en-GB" w:eastAsia="ja-JP"/>
        </w:rPr>
        <w:t xml:space="preserve"> </w:t>
      </w:r>
      <w:r w:rsidRPr="00C96521">
        <w:rPr>
          <w:rFonts w:eastAsia="MS Mincho"/>
          <w:sz w:val="20"/>
          <w:szCs w:val="22"/>
          <w:lang w:val="en-GB" w:eastAsia="ja-JP"/>
        </w:rPr>
        <w:t>(page 81).</w:t>
      </w:r>
    </w:p>
    <w:p w14:paraId="5169638B"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531CA496"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Figure 19. The three steps required to estimate the Potential maximum harvestable population fraction (P) (page 91). </w:t>
      </w:r>
    </w:p>
    <w:p w14:paraId="0CE2E736" w14:textId="77777777" w:rsidR="00C96521" w:rsidRPr="00C96521" w:rsidRDefault="00C96521" w:rsidP="00C96521">
      <w:pPr>
        <w:widowControl/>
        <w:autoSpaceDE/>
        <w:autoSpaceDN/>
        <w:adjustRightInd/>
        <w:spacing w:line="276" w:lineRule="auto"/>
        <w:rPr>
          <w:rFonts w:eastAsia="Calibri"/>
          <w:sz w:val="20"/>
          <w:szCs w:val="22"/>
          <w:lang w:val="en-GB" w:eastAsia="ja-JP"/>
        </w:rPr>
      </w:pPr>
    </w:p>
    <w:p w14:paraId="77CCB87D" w14:textId="77777777" w:rsidR="00C96521" w:rsidRPr="00C96521" w:rsidRDefault="00C96521" w:rsidP="00C96521">
      <w:pPr>
        <w:widowControl/>
        <w:autoSpaceDE/>
        <w:autoSpaceDN/>
        <w:adjustRightInd/>
        <w:spacing w:line="276" w:lineRule="auto"/>
        <w:rPr>
          <w:rFonts w:eastAsia="Calibri"/>
          <w:sz w:val="20"/>
          <w:szCs w:val="22"/>
          <w:lang w:val="en-GB" w:eastAsia="ja-JP"/>
        </w:rPr>
      </w:pPr>
      <w:r w:rsidRPr="00C96521">
        <w:rPr>
          <w:rFonts w:eastAsia="Calibri"/>
          <w:sz w:val="20"/>
          <w:szCs w:val="22"/>
          <w:lang w:val="en-GB" w:eastAsia="ja-JP"/>
        </w:rPr>
        <w:br w:type="page"/>
      </w:r>
    </w:p>
    <w:p w14:paraId="03CE8442" w14:textId="77777777" w:rsidR="00C96521" w:rsidRPr="00C96521" w:rsidRDefault="00C96521" w:rsidP="00C96521">
      <w:pPr>
        <w:keepNext/>
        <w:keepLines/>
        <w:widowControl/>
        <w:autoSpaceDE/>
        <w:autoSpaceDN/>
        <w:adjustRightInd/>
        <w:spacing w:before="480" w:line="276" w:lineRule="auto"/>
        <w:outlineLvl w:val="0"/>
        <w:rPr>
          <w:rFonts w:eastAsia="MS Gothic"/>
          <w:b/>
          <w:bCs/>
          <w:color w:val="365F91"/>
          <w:sz w:val="32"/>
          <w:szCs w:val="28"/>
          <w:lang w:val="en-GB" w:eastAsia="ja-JP"/>
        </w:rPr>
      </w:pPr>
      <w:bookmarkStart w:id="1" w:name="_Toc478646889"/>
      <w:r w:rsidRPr="00C96521">
        <w:rPr>
          <w:rFonts w:eastAsia="MS Gothic"/>
          <w:b/>
          <w:bCs/>
          <w:color w:val="365F91"/>
          <w:sz w:val="32"/>
          <w:szCs w:val="28"/>
          <w:lang w:val="en-GB" w:eastAsia="ja-JP"/>
        </w:rPr>
        <w:t>1 - Basic Data</w:t>
      </w:r>
      <w:bookmarkEnd w:id="1"/>
    </w:p>
    <w:p w14:paraId="24B47A5F" w14:textId="2DE97F8A" w:rsidR="00C96521" w:rsidRPr="00C96521" w:rsidRDefault="00C96521" w:rsidP="00C96521">
      <w:pPr>
        <w:keepNext/>
        <w:keepLines/>
        <w:widowControl/>
        <w:autoSpaceDE/>
        <w:autoSpaceDN/>
        <w:adjustRightInd/>
        <w:spacing w:before="200" w:line="276" w:lineRule="auto"/>
        <w:outlineLvl w:val="1"/>
        <w:rPr>
          <w:rFonts w:ascii="Cambria" w:eastAsia="MS Gothic" w:hAnsi="Cambria"/>
          <w:b/>
          <w:bCs/>
          <w:color w:val="4F81BD"/>
          <w:sz w:val="26"/>
          <w:szCs w:val="26"/>
          <w:lang w:val="en-GB" w:eastAsia="ja-JP"/>
        </w:rPr>
      </w:pPr>
      <w:bookmarkStart w:id="2" w:name="_Toc478646890"/>
      <w:r w:rsidRPr="00C96521">
        <w:rPr>
          <w:rFonts w:ascii="Cambria" w:eastAsia="MS Gothic" w:hAnsi="Cambria"/>
          <w:b/>
          <w:bCs/>
          <w:color w:val="4F81BD"/>
          <w:sz w:val="26"/>
          <w:szCs w:val="26"/>
          <w:lang w:val="en-GB" w:eastAsia="ja-JP"/>
        </w:rPr>
        <w:t>Taxonomy and bio-geographic populations</w:t>
      </w:r>
      <w:bookmarkEnd w:id="2"/>
    </w:p>
    <w:p w14:paraId="3AC7504D"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0B605FE2" w14:textId="691F70D7" w:rsidR="00C96521" w:rsidRDefault="00C96521" w:rsidP="00C96521">
      <w:pPr>
        <w:widowControl/>
        <w:autoSpaceDE/>
        <w:autoSpaceDN/>
        <w:adjustRightInd/>
        <w:spacing w:line="276" w:lineRule="auto"/>
        <w:rPr>
          <w:rFonts w:eastAsia="MS Mincho" w:cs="Calibri"/>
          <w:sz w:val="20"/>
          <w:szCs w:val="22"/>
          <w:lang w:val="en-GB" w:eastAsia="ja-JP"/>
        </w:rPr>
      </w:pPr>
      <w:r w:rsidRPr="00C96521">
        <w:rPr>
          <w:rFonts w:eastAsia="MS Mincho" w:cs="Calibri"/>
          <w:sz w:val="20"/>
          <w:szCs w:val="22"/>
          <w:lang w:val="en-GB" w:eastAsia="ja-JP"/>
        </w:rPr>
        <w:t xml:space="preserve">The </w:t>
      </w:r>
      <w:r w:rsidR="003574BE">
        <w:rPr>
          <w:rFonts w:eastAsia="MS Mincho"/>
          <w:sz w:val="20"/>
          <w:szCs w:val="22"/>
          <w:lang w:val="en-GB" w:eastAsia="ja-JP"/>
        </w:rPr>
        <w:t>T</w:t>
      </w:r>
      <w:r w:rsidR="003574BE" w:rsidRPr="00C96521">
        <w:rPr>
          <w:rFonts w:eastAsia="MS Mincho"/>
          <w:sz w:val="20"/>
          <w:szCs w:val="22"/>
          <w:lang w:val="en-GB" w:eastAsia="ja-JP"/>
        </w:rPr>
        <w:t>urtle</w:t>
      </w:r>
      <w:r w:rsidR="003574BE">
        <w:rPr>
          <w:rFonts w:eastAsia="MS Mincho"/>
          <w:sz w:val="20"/>
          <w:szCs w:val="22"/>
          <w:lang w:val="en-GB" w:eastAsia="ja-JP"/>
        </w:rPr>
        <w:t xml:space="preserve"> D</w:t>
      </w:r>
      <w:r w:rsidR="003574BE" w:rsidRPr="00C96521">
        <w:rPr>
          <w:rFonts w:eastAsia="MS Mincho"/>
          <w:sz w:val="20"/>
          <w:szCs w:val="22"/>
          <w:lang w:val="en-GB" w:eastAsia="ja-JP"/>
        </w:rPr>
        <w:t xml:space="preserve">ove </w:t>
      </w:r>
      <w:r w:rsidRPr="00C96521">
        <w:rPr>
          <w:rFonts w:eastAsia="MS Mincho" w:cs="Calibri"/>
          <w:sz w:val="20"/>
          <w:szCs w:val="22"/>
          <w:lang w:val="en-GB" w:eastAsia="ja-JP"/>
        </w:rPr>
        <w:t>(</w:t>
      </w:r>
      <w:r w:rsidRPr="00C96521">
        <w:rPr>
          <w:rFonts w:eastAsia="MS Mincho" w:cs="Calibri"/>
          <w:i/>
          <w:sz w:val="20"/>
          <w:szCs w:val="22"/>
          <w:lang w:val="en-GB" w:eastAsia="ja-JP"/>
        </w:rPr>
        <w:t>Streptopelia turtur</w:t>
      </w:r>
      <w:r w:rsidRPr="00C96521">
        <w:rPr>
          <w:rFonts w:eastAsia="MS Mincho" w:cs="Calibri"/>
          <w:sz w:val="20"/>
          <w:szCs w:val="22"/>
          <w:lang w:val="en-GB" w:eastAsia="ja-JP"/>
        </w:rPr>
        <w:t xml:space="preserve">) is the smallest representative of the dove family in Europe. Its breeding area stretches from Europe to Asia and North Africa. There are four subspecies: </w:t>
      </w:r>
      <w:r w:rsidRPr="00C96521">
        <w:rPr>
          <w:rFonts w:eastAsia="MS Mincho" w:cs="Calibri"/>
          <w:i/>
          <w:sz w:val="20"/>
          <w:szCs w:val="22"/>
          <w:lang w:val="en-GB" w:eastAsia="ja-JP"/>
        </w:rPr>
        <w:t>S. t. turtur</w:t>
      </w:r>
      <w:r w:rsidRPr="00C96521">
        <w:rPr>
          <w:rFonts w:eastAsia="MS Mincho" w:cs="Calibri"/>
          <w:sz w:val="20"/>
          <w:szCs w:val="22"/>
          <w:lang w:val="en-GB" w:eastAsia="ja-JP"/>
        </w:rPr>
        <w:t xml:space="preserve"> is distributed from the UK east to Poland and northern Russia and south to the northern Mediterranean coast as well as in the Canary Islands, Asia Minor and from Syria to Kazakhstan and western Siberia; </w:t>
      </w:r>
      <w:r w:rsidRPr="00C96521">
        <w:rPr>
          <w:rFonts w:eastAsia="MS Mincho" w:cs="Calibri"/>
          <w:i/>
          <w:sz w:val="20"/>
          <w:szCs w:val="22"/>
          <w:lang w:val="en-GB" w:eastAsia="ja-JP"/>
        </w:rPr>
        <w:t>S. t. arenicola</w:t>
      </w:r>
      <w:r w:rsidRPr="00C96521">
        <w:rPr>
          <w:rFonts w:eastAsia="MS Mincho" w:cs="Calibri"/>
          <w:sz w:val="20"/>
          <w:szCs w:val="22"/>
          <w:lang w:val="en-GB" w:eastAsia="ja-JP"/>
        </w:rPr>
        <w:t xml:space="preserve"> is distributed from Morocco east to Tripoli, and from Iraq and Iran east through Afghanistan, Turkestan and the Kyrgyz steppe to north-west China; </w:t>
      </w:r>
      <w:r w:rsidRPr="00C96521">
        <w:rPr>
          <w:rFonts w:eastAsia="MS Mincho" w:cs="Calibri"/>
          <w:i/>
          <w:sz w:val="20"/>
          <w:szCs w:val="22"/>
          <w:lang w:val="en-GB" w:eastAsia="ja-JP"/>
        </w:rPr>
        <w:t>S. t. hoggara</w:t>
      </w:r>
      <w:r w:rsidRPr="00C96521">
        <w:rPr>
          <w:rFonts w:eastAsia="MS Mincho" w:cs="Calibri"/>
          <w:sz w:val="20"/>
          <w:szCs w:val="22"/>
          <w:lang w:val="en-GB" w:eastAsia="ja-JP"/>
        </w:rPr>
        <w:t xml:space="preserve"> is found in Ahaggar, Aïr, Tibesti and the Ennedi Massifs in the southern Sahara; </w:t>
      </w:r>
      <w:r w:rsidRPr="00C96521">
        <w:rPr>
          <w:rFonts w:eastAsia="MS Mincho" w:cs="Calibri"/>
          <w:i/>
          <w:sz w:val="20"/>
          <w:szCs w:val="22"/>
          <w:lang w:val="en-GB" w:eastAsia="ja-JP"/>
        </w:rPr>
        <w:t>S. t. rufescens</w:t>
      </w:r>
      <w:r w:rsidRPr="00C96521">
        <w:rPr>
          <w:rFonts w:eastAsia="MS Mincho" w:cs="Calibri"/>
          <w:sz w:val="20"/>
          <w:szCs w:val="22"/>
          <w:lang w:val="en-GB" w:eastAsia="ja-JP"/>
        </w:rPr>
        <w:t xml:space="preserve"> is found in the Kufra Oasis in Libya, Dakhla and Kharga Oases in Egypt, as well as Faiyûm, and parts of the Nile Valley (Baptista </w:t>
      </w:r>
      <w:r w:rsidRPr="00C96521">
        <w:rPr>
          <w:rFonts w:eastAsia="MS Mincho" w:cs="Calibri"/>
          <w:i/>
          <w:sz w:val="20"/>
          <w:szCs w:val="22"/>
          <w:lang w:val="en-GB" w:eastAsia="ja-JP"/>
        </w:rPr>
        <w:t>et al</w:t>
      </w:r>
      <w:r w:rsidRPr="00C96521">
        <w:rPr>
          <w:rFonts w:eastAsia="MS Mincho" w:cs="Calibri"/>
          <w:sz w:val="20"/>
          <w:szCs w:val="22"/>
          <w:lang w:val="en-GB" w:eastAsia="ja-JP"/>
        </w:rPr>
        <w:t xml:space="preserve"> 2016). </w:t>
      </w:r>
    </w:p>
    <w:p w14:paraId="05212EBB" w14:textId="77777777" w:rsidR="003574BE" w:rsidRPr="00C96521" w:rsidRDefault="003574BE" w:rsidP="00C96521">
      <w:pPr>
        <w:widowControl/>
        <w:autoSpaceDE/>
        <w:autoSpaceDN/>
        <w:adjustRightInd/>
        <w:spacing w:line="276" w:lineRule="auto"/>
        <w:rPr>
          <w:rFonts w:eastAsia="MS Mincho" w:cs="Calibri"/>
          <w:sz w:val="20"/>
          <w:szCs w:val="22"/>
          <w:lang w:val="en-GB" w:eastAsia="ja-JP"/>
        </w:rPr>
      </w:pPr>
    </w:p>
    <w:p w14:paraId="0B4B26A3" w14:textId="77777777" w:rsidR="00C96521" w:rsidRPr="00C96521" w:rsidRDefault="00C96521" w:rsidP="00C96521">
      <w:pPr>
        <w:widowControl/>
        <w:autoSpaceDE/>
        <w:autoSpaceDN/>
        <w:adjustRightInd/>
        <w:spacing w:line="276" w:lineRule="auto"/>
        <w:rPr>
          <w:rFonts w:eastAsia="MS Mincho" w:cs="Calibri"/>
          <w:sz w:val="20"/>
          <w:szCs w:val="22"/>
          <w:lang w:val="en-GB" w:eastAsia="ja-JP"/>
        </w:rPr>
      </w:pPr>
      <w:r w:rsidRPr="00C96521">
        <w:rPr>
          <w:rFonts w:eastAsia="MS Mincho" w:cs="Calibri"/>
          <w:sz w:val="20"/>
          <w:szCs w:val="22"/>
          <w:lang w:val="en-GB" w:eastAsia="ja-JP"/>
        </w:rPr>
        <w:t>All four subspecies appear to co-occur on the wintering grounds.</w:t>
      </w:r>
    </w:p>
    <w:p w14:paraId="5D160445" w14:textId="77777777" w:rsidR="00C96521" w:rsidRPr="00C96521" w:rsidRDefault="00C96521" w:rsidP="00C96521">
      <w:pPr>
        <w:widowControl/>
        <w:autoSpaceDE/>
        <w:autoSpaceDN/>
        <w:adjustRightInd/>
        <w:spacing w:line="276" w:lineRule="auto"/>
        <w:rPr>
          <w:rFonts w:eastAsia="MS Mincho" w:cs="Calibri"/>
          <w:sz w:val="20"/>
          <w:szCs w:val="22"/>
          <w:lang w:val="en-GB" w:eastAsia="ja-JP"/>
        </w:rPr>
      </w:pPr>
    </w:p>
    <w:p w14:paraId="30AEA8BA" w14:textId="15E2977B" w:rsidR="00C96521" w:rsidRPr="00C96521" w:rsidRDefault="00C96521" w:rsidP="00C96521">
      <w:pPr>
        <w:widowControl/>
        <w:autoSpaceDE/>
        <w:autoSpaceDN/>
        <w:adjustRightInd/>
        <w:spacing w:line="276" w:lineRule="auto"/>
        <w:rPr>
          <w:rFonts w:eastAsia="MS Mincho" w:cs="Calibri"/>
          <w:sz w:val="20"/>
          <w:szCs w:val="22"/>
          <w:lang w:val="en-GB" w:eastAsia="ja-JP"/>
        </w:rPr>
      </w:pPr>
      <w:r w:rsidRPr="00C96521">
        <w:rPr>
          <w:rFonts w:eastAsia="MS Mincho" w:cs="Calibri"/>
          <w:sz w:val="20"/>
          <w:szCs w:val="22"/>
          <w:lang w:val="en-GB" w:eastAsia="ja-JP"/>
        </w:rPr>
        <w:t>The breeding area in Europe stretches from Portugal east to the Urals, and from the 35</w:t>
      </w:r>
      <w:r w:rsidRPr="00177BBB">
        <w:rPr>
          <w:rFonts w:eastAsia="MS Mincho" w:cs="Calibri"/>
          <w:sz w:val="20"/>
          <w:szCs w:val="22"/>
          <w:vertAlign w:val="superscript"/>
          <w:lang w:val="en-GB" w:eastAsia="ja-JP"/>
        </w:rPr>
        <w:t>th</w:t>
      </w:r>
      <w:r w:rsidR="003574BE">
        <w:rPr>
          <w:rFonts w:eastAsia="MS Mincho" w:cs="Calibri"/>
          <w:sz w:val="20"/>
          <w:szCs w:val="22"/>
          <w:lang w:val="en-GB" w:eastAsia="ja-JP"/>
        </w:rPr>
        <w:t xml:space="preserve"> </w:t>
      </w:r>
      <w:r w:rsidRPr="00C96521">
        <w:rPr>
          <w:rFonts w:eastAsia="MS Mincho" w:cs="Calibri"/>
          <w:sz w:val="20"/>
          <w:szCs w:val="22"/>
          <w:lang w:val="en-GB" w:eastAsia="ja-JP"/>
        </w:rPr>
        <w:t>parallel to the 65</w:t>
      </w:r>
      <w:r w:rsidRPr="00177BBB">
        <w:rPr>
          <w:rFonts w:eastAsia="MS Mincho" w:cs="Calibri"/>
          <w:sz w:val="20"/>
          <w:szCs w:val="22"/>
          <w:vertAlign w:val="superscript"/>
          <w:lang w:val="en-GB" w:eastAsia="ja-JP"/>
        </w:rPr>
        <w:t>th</w:t>
      </w:r>
      <w:r w:rsidRPr="00C96521">
        <w:rPr>
          <w:rFonts w:eastAsia="MS Mincho" w:cs="Calibri"/>
          <w:sz w:val="20"/>
          <w:szCs w:val="22"/>
          <w:lang w:val="en-GB" w:eastAsia="ja-JP"/>
        </w:rPr>
        <w:t xml:space="preserve"> parallel north (see Figure 1). Major breeding populations in Europe are found in the Mediterranean countries, and the European population is entirely migratory, wintering in Sahelian Africa from Senegal to Eritrea (Glutz von Blotzheim 1980, Geroudet 1983, Cramp 1985). Although the European population is still large, there is evidence that populations in most countries have been declining since the 1970s (BirdLife International 2004). The breeding range of the species has decreased in either the short</w:t>
      </w:r>
      <w:r w:rsidR="003574BE">
        <w:rPr>
          <w:rFonts w:eastAsia="MS Mincho" w:cs="Calibri"/>
          <w:sz w:val="20"/>
          <w:szCs w:val="22"/>
          <w:lang w:val="en-GB" w:eastAsia="ja-JP"/>
        </w:rPr>
        <w:t xml:space="preserve"> </w:t>
      </w:r>
      <w:r w:rsidRPr="00C96521">
        <w:rPr>
          <w:rFonts w:eastAsia="MS Mincho" w:cs="Calibri"/>
          <w:sz w:val="20"/>
          <w:szCs w:val="22"/>
          <w:lang w:val="en-GB" w:eastAsia="ja-JP"/>
        </w:rPr>
        <w:t>term, or the long</w:t>
      </w:r>
      <w:r w:rsidR="003574BE">
        <w:rPr>
          <w:rFonts w:eastAsia="MS Mincho" w:cs="Calibri"/>
          <w:sz w:val="20"/>
          <w:szCs w:val="22"/>
          <w:lang w:val="en-GB" w:eastAsia="ja-JP"/>
        </w:rPr>
        <w:t xml:space="preserve"> </w:t>
      </w:r>
      <w:r w:rsidRPr="00C96521">
        <w:rPr>
          <w:rFonts w:eastAsia="MS Mincho" w:cs="Calibri"/>
          <w:sz w:val="20"/>
          <w:szCs w:val="22"/>
          <w:lang w:val="en-GB" w:eastAsia="ja-JP"/>
        </w:rPr>
        <w:t>term in nine EU Member States (EIONET 2017), for example, in France the range of the species decreased by 20-30</w:t>
      </w:r>
      <w:r w:rsidR="003574BE">
        <w:rPr>
          <w:rFonts w:eastAsia="MS Mincho" w:cs="Calibri"/>
          <w:sz w:val="20"/>
          <w:szCs w:val="22"/>
          <w:lang w:val="en-GB" w:eastAsia="ja-JP"/>
        </w:rPr>
        <w:t xml:space="preserve"> per cent</w:t>
      </w:r>
      <w:r w:rsidRPr="00C96521">
        <w:rPr>
          <w:rFonts w:eastAsia="MS Mincho" w:cs="Calibri"/>
          <w:sz w:val="20"/>
          <w:szCs w:val="22"/>
          <w:lang w:val="en-GB" w:eastAsia="ja-JP"/>
        </w:rPr>
        <w:t xml:space="preserve"> between the 1985-1989 and 2009-2012 breeding atlases (Jacques Comolet-Tirman </w:t>
      </w:r>
      <w:r w:rsidRPr="00C96521">
        <w:rPr>
          <w:rFonts w:eastAsia="MS Mincho" w:cs="Calibri"/>
          <w:i/>
          <w:sz w:val="20"/>
          <w:szCs w:val="22"/>
          <w:lang w:val="en-GB" w:eastAsia="ja-JP"/>
        </w:rPr>
        <w:t>pers comm</w:t>
      </w:r>
      <w:r w:rsidRPr="00C96521">
        <w:rPr>
          <w:rFonts w:eastAsia="MS Mincho" w:cs="Calibri"/>
          <w:sz w:val="20"/>
          <w:szCs w:val="22"/>
          <w:lang w:val="en-GB" w:eastAsia="ja-JP"/>
        </w:rPr>
        <w:t xml:space="preserve">). Genomic analysis suggests that the species shows signs of a long-term demographic decline and that it is prone to undergoing demographic fluctuations (Calderón </w:t>
      </w:r>
      <w:r w:rsidRPr="00C96521">
        <w:rPr>
          <w:rFonts w:eastAsia="MS Mincho" w:cs="Calibri"/>
          <w:i/>
          <w:sz w:val="20"/>
          <w:szCs w:val="22"/>
          <w:lang w:val="en-GB" w:eastAsia="ja-JP"/>
        </w:rPr>
        <w:t>et al</w:t>
      </w:r>
      <w:r w:rsidRPr="00C96521">
        <w:rPr>
          <w:rFonts w:eastAsia="MS Mincho" w:cs="Calibri"/>
          <w:sz w:val="20"/>
          <w:szCs w:val="22"/>
          <w:lang w:val="en-GB" w:eastAsia="ja-JP"/>
        </w:rPr>
        <w:t xml:space="preserve"> 2016). The ratio of effective and census population size of the species is much lower than expected. The same analysis found no evidence that the species is genetically structured across flyways, at least within the European portion of its range, so most of the populations face similar threats and are equally relevant for conservation. </w:t>
      </w:r>
    </w:p>
    <w:p w14:paraId="378BC35C"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07D26775" w14:textId="73DEBEF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In the EU, the </w:t>
      </w:r>
      <w:r w:rsidR="003574BE">
        <w:rPr>
          <w:rFonts w:eastAsia="MS Mincho"/>
          <w:sz w:val="20"/>
          <w:szCs w:val="22"/>
          <w:lang w:val="en-GB" w:eastAsia="ja-JP"/>
        </w:rPr>
        <w:t>T</w:t>
      </w:r>
      <w:r w:rsidR="003574BE" w:rsidRPr="00C96521">
        <w:rPr>
          <w:rFonts w:eastAsia="MS Mincho"/>
          <w:sz w:val="20"/>
          <w:szCs w:val="22"/>
          <w:lang w:val="en-GB" w:eastAsia="ja-JP"/>
        </w:rPr>
        <w:t>urtle</w:t>
      </w:r>
      <w:r w:rsidR="003574BE">
        <w:rPr>
          <w:rFonts w:eastAsia="MS Mincho"/>
          <w:sz w:val="20"/>
          <w:szCs w:val="22"/>
          <w:lang w:val="en-GB" w:eastAsia="ja-JP"/>
        </w:rPr>
        <w:t xml:space="preserve"> D</w:t>
      </w:r>
      <w:r w:rsidR="003574BE" w:rsidRPr="00C96521">
        <w:rPr>
          <w:rFonts w:eastAsia="MS Mincho"/>
          <w:sz w:val="20"/>
          <w:szCs w:val="22"/>
          <w:lang w:val="en-GB" w:eastAsia="ja-JP"/>
        </w:rPr>
        <w:t xml:space="preserve">ove </w:t>
      </w:r>
      <w:r w:rsidRPr="00C96521">
        <w:rPr>
          <w:rFonts w:eastAsia="MS Mincho" w:cs="Arial"/>
          <w:sz w:val="20"/>
          <w:szCs w:val="22"/>
          <w:lang w:val="en-GB" w:eastAsia="ja-JP"/>
        </w:rPr>
        <w:t xml:space="preserve">is currently found in all Member States (including all Mediterranean islands) with the exception of Ireland and Sweden, and is absent from the Alpine Arc (Parslow 1967, Sharrock 1976, Snow and Perrins 1998, BirdLife 2016). It only colonized Denmark in the late 1980s, and is almost exclusively confined to the south-western corner of Jutland (mainland Denmark) (Grell </w:t>
      </w:r>
      <w:r w:rsidRPr="00C96521">
        <w:rPr>
          <w:rFonts w:eastAsia="MS Mincho" w:cs="Arial"/>
          <w:i/>
          <w:iCs/>
          <w:sz w:val="20"/>
          <w:szCs w:val="22"/>
          <w:lang w:val="en-GB" w:eastAsia="ja-JP"/>
        </w:rPr>
        <w:t>et al</w:t>
      </w:r>
      <w:r w:rsidRPr="00C96521">
        <w:rPr>
          <w:rFonts w:eastAsia="MS Mincho" w:cs="Arial"/>
          <w:sz w:val="20"/>
          <w:szCs w:val="22"/>
          <w:lang w:val="en-GB" w:eastAsia="ja-JP"/>
        </w:rPr>
        <w:t xml:space="preserve"> 2004), with a few pockets of coloni</w:t>
      </w:r>
      <w:r w:rsidR="003574BE">
        <w:rPr>
          <w:rFonts w:eastAsia="MS Mincho" w:cs="Arial"/>
          <w:sz w:val="20"/>
          <w:szCs w:val="22"/>
          <w:lang w:val="en-GB" w:eastAsia="ja-JP"/>
        </w:rPr>
        <w:t>z</w:t>
      </w:r>
      <w:r w:rsidRPr="00C96521">
        <w:rPr>
          <w:rFonts w:eastAsia="MS Mincho" w:cs="Arial"/>
          <w:sz w:val="20"/>
          <w:szCs w:val="22"/>
          <w:lang w:val="en-GB" w:eastAsia="ja-JP"/>
        </w:rPr>
        <w:t>ation elsewhere. Its distribution is linked to an isotherm of a minimum of 16°C in July (19°C in Great Britain) (Glutz von Blotzheim 1980). In general, the species nests at a maximum altitude of 350 metres, but very occasionally on warmer slopes up to 1,000 metres (Glutz von Blotzheim 1980, Dias 2016).</w:t>
      </w:r>
    </w:p>
    <w:p w14:paraId="2DD7AE79"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464D2FEC" w14:textId="77777777" w:rsidR="00C96521" w:rsidRPr="00C96521" w:rsidRDefault="00C96521" w:rsidP="00C96521">
      <w:pPr>
        <w:widowControl/>
        <w:autoSpaceDE/>
        <w:autoSpaceDN/>
        <w:adjustRightInd/>
        <w:spacing w:line="276" w:lineRule="auto"/>
        <w:rPr>
          <w:rFonts w:eastAsia="Calibri"/>
          <w:sz w:val="20"/>
          <w:szCs w:val="22"/>
          <w:lang w:val="en-GB" w:eastAsia="ja-JP"/>
        </w:rPr>
      </w:pPr>
      <w:r w:rsidRPr="00C96521">
        <w:rPr>
          <w:rFonts w:eastAsia="Calibri"/>
          <w:noProof/>
          <w:sz w:val="20"/>
          <w:szCs w:val="22"/>
        </w:rPr>
        <w:drawing>
          <wp:inline distT="0" distB="0" distL="0" distR="0" wp14:anchorId="517D26F9" wp14:editId="494CF84C">
            <wp:extent cx="5769499" cy="3428964"/>
            <wp:effectExtent l="19050" t="19050" r="21701" b="19086"/>
            <wp:docPr id="34" name="Picture 1" descr="TurtleDove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tleDoveRange.jpg"/>
                    <pic:cNvPicPr/>
                  </pic:nvPicPr>
                  <pic:blipFill>
                    <a:blip r:embed="rId28" cstate="print"/>
                    <a:stretch>
                      <a:fillRect/>
                    </a:stretch>
                  </pic:blipFill>
                  <pic:spPr>
                    <a:xfrm>
                      <a:off x="0" y="0"/>
                      <a:ext cx="5772169" cy="3430551"/>
                    </a:xfrm>
                    <a:prstGeom prst="rect">
                      <a:avLst/>
                    </a:prstGeom>
                    <a:ln w="3175" cap="sq">
                      <a:solidFill>
                        <a:srgbClr val="000000"/>
                      </a:solidFill>
                      <a:prstDash val="solid"/>
                      <a:miter lim="800000"/>
                    </a:ln>
                    <a:effectLst/>
                  </pic:spPr>
                </pic:pic>
              </a:graphicData>
            </a:graphic>
          </wp:inline>
        </w:drawing>
      </w:r>
    </w:p>
    <w:p w14:paraId="1A345404" w14:textId="77777777" w:rsidR="00C96521" w:rsidRPr="00C96521" w:rsidRDefault="00C96521" w:rsidP="00C96521">
      <w:pPr>
        <w:widowControl/>
        <w:autoSpaceDE/>
        <w:autoSpaceDN/>
        <w:adjustRightInd/>
        <w:spacing w:line="276" w:lineRule="auto"/>
        <w:rPr>
          <w:rFonts w:eastAsia="Calibri"/>
          <w:i/>
          <w:sz w:val="20"/>
          <w:szCs w:val="22"/>
          <w:lang w:val="en-GB" w:eastAsia="ja-JP"/>
        </w:rPr>
      </w:pPr>
    </w:p>
    <w:p w14:paraId="6487EAC7" w14:textId="77777777" w:rsidR="00C96521" w:rsidRPr="00C96521" w:rsidRDefault="00C96521" w:rsidP="00C96521">
      <w:pPr>
        <w:widowControl/>
        <w:autoSpaceDE/>
        <w:autoSpaceDN/>
        <w:adjustRightInd/>
        <w:spacing w:line="276" w:lineRule="auto"/>
        <w:rPr>
          <w:rFonts w:eastAsia="Calibri"/>
          <w:i/>
          <w:sz w:val="20"/>
          <w:szCs w:val="22"/>
          <w:lang w:val="en-GB" w:eastAsia="ja-JP"/>
        </w:rPr>
      </w:pPr>
      <w:r w:rsidRPr="00C96521">
        <w:rPr>
          <w:rFonts w:eastAsia="Calibri"/>
          <w:i/>
          <w:sz w:val="20"/>
          <w:szCs w:val="22"/>
          <w:lang w:val="en-GB" w:eastAsia="ja-JP"/>
        </w:rPr>
        <w:t xml:space="preserve">Figure 1. Map of breeding and wintering range states for </w:t>
      </w:r>
      <w:r w:rsidRPr="00C96521">
        <w:rPr>
          <w:rFonts w:eastAsia="Calibri"/>
          <w:sz w:val="20"/>
          <w:szCs w:val="22"/>
          <w:lang w:val="en-GB" w:eastAsia="ja-JP"/>
        </w:rPr>
        <w:t>Streptopelia turtur</w:t>
      </w:r>
      <w:r w:rsidRPr="00C96521">
        <w:rPr>
          <w:rFonts w:eastAsia="Calibri"/>
          <w:i/>
          <w:sz w:val="20"/>
          <w:szCs w:val="22"/>
          <w:lang w:val="en-GB" w:eastAsia="ja-JP"/>
        </w:rPr>
        <w:t xml:space="preserve"> (all subspecies) (breeding in red, wintering in green) (BirdLife International 2016).</w:t>
      </w:r>
    </w:p>
    <w:p w14:paraId="4D46BF84" w14:textId="77777777" w:rsidR="00C96521" w:rsidRPr="00C96521" w:rsidRDefault="00C96521" w:rsidP="00C96521">
      <w:pPr>
        <w:widowControl/>
        <w:autoSpaceDE/>
        <w:autoSpaceDN/>
        <w:adjustRightInd/>
        <w:spacing w:line="276" w:lineRule="auto"/>
        <w:rPr>
          <w:rFonts w:eastAsia="Calibri"/>
          <w:i/>
          <w:sz w:val="20"/>
          <w:szCs w:val="22"/>
          <w:lang w:val="en-GB" w:eastAsia="ja-JP"/>
        </w:rPr>
      </w:pPr>
    </w:p>
    <w:p w14:paraId="2E2E0205" w14:textId="77777777" w:rsidR="00C96521" w:rsidRPr="00C96521" w:rsidRDefault="00C96521" w:rsidP="00C96521">
      <w:pPr>
        <w:widowControl/>
        <w:autoSpaceDE/>
        <w:autoSpaceDN/>
        <w:adjustRightInd/>
        <w:spacing w:line="276" w:lineRule="auto"/>
        <w:rPr>
          <w:rFonts w:eastAsia="Calibri"/>
          <w:i/>
          <w:sz w:val="20"/>
          <w:szCs w:val="22"/>
          <w:lang w:val="en-GB" w:eastAsia="ja-JP"/>
        </w:rPr>
      </w:pPr>
    </w:p>
    <w:p w14:paraId="36105634" w14:textId="77777777" w:rsidR="00C96521" w:rsidRPr="00C96521" w:rsidRDefault="00C96521" w:rsidP="00C96521">
      <w:pPr>
        <w:widowControl/>
        <w:autoSpaceDE/>
        <w:autoSpaceDN/>
        <w:adjustRightInd/>
        <w:spacing w:line="276" w:lineRule="auto"/>
        <w:rPr>
          <w:rFonts w:eastAsia="Calibri"/>
          <w:b/>
          <w:i/>
          <w:sz w:val="20"/>
          <w:szCs w:val="22"/>
          <w:lang w:val="en-GB" w:eastAsia="ja-JP"/>
        </w:rPr>
      </w:pPr>
      <w:r w:rsidRPr="00C96521">
        <w:rPr>
          <w:rFonts w:eastAsia="Calibri"/>
          <w:i/>
          <w:sz w:val="20"/>
          <w:szCs w:val="22"/>
          <w:lang w:val="en-GB" w:eastAsia="ja-JP"/>
        </w:rPr>
        <w:t>Table 1. Range States for the European turtle-dove covered by the Action Plan</w:t>
      </w:r>
    </w:p>
    <w:p w14:paraId="2BC7E14F" w14:textId="77777777" w:rsidR="00C96521" w:rsidRPr="00C96521" w:rsidRDefault="00C96521" w:rsidP="00C96521">
      <w:pPr>
        <w:widowControl/>
        <w:autoSpaceDE/>
        <w:autoSpaceDN/>
        <w:adjustRightInd/>
        <w:spacing w:line="276" w:lineRule="auto"/>
        <w:rPr>
          <w:rFonts w:eastAsia="Calibri"/>
          <w:i/>
          <w:sz w:val="20"/>
          <w:szCs w:val="22"/>
          <w:lang w:val="en-GB" w:eastAsia="ja-JP"/>
        </w:rPr>
      </w:pPr>
    </w:p>
    <w:tbl>
      <w:tblPr>
        <w:tblStyle w:val="TableGrid"/>
        <w:tblW w:w="0" w:type="auto"/>
        <w:tblBorders>
          <w:insideV w:val="none" w:sz="0" w:space="0" w:color="auto"/>
        </w:tblBorders>
        <w:tblLook w:val="04A0" w:firstRow="1" w:lastRow="0" w:firstColumn="1" w:lastColumn="0" w:noHBand="0" w:noVBand="1"/>
      </w:tblPr>
      <w:tblGrid>
        <w:gridCol w:w="3098"/>
        <w:gridCol w:w="3102"/>
        <w:gridCol w:w="3110"/>
      </w:tblGrid>
      <w:tr w:rsidR="00C96521" w:rsidRPr="0053142C" w14:paraId="072CD994" w14:textId="77777777" w:rsidTr="00C96521">
        <w:tc>
          <w:tcPr>
            <w:tcW w:w="3178" w:type="dxa"/>
          </w:tcPr>
          <w:p w14:paraId="2E1B5410" w14:textId="77777777" w:rsidR="00C96521" w:rsidRPr="0053142C" w:rsidRDefault="00C96521" w:rsidP="00C96521">
            <w:pPr>
              <w:widowControl/>
              <w:autoSpaceDE/>
              <w:autoSpaceDN/>
              <w:adjustRightInd/>
              <w:rPr>
                <w:rFonts w:ascii="Arial" w:eastAsia="Calibri" w:hAnsi="Arial" w:cs="Arial"/>
                <w:i/>
                <w:sz w:val="20"/>
                <w:szCs w:val="20"/>
                <w:lang w:val="en-GB"/>
              </w:rPr>
            </w:pPr>
            <w:r w:rsidRPr="0053142C">
              <w:rPr>
                <w:rFonts w:ascii="Arial" w:eastAsia="Calibri" w:hAnsi="Arial" w:cs="Arial"/>
                <w:i/>
                <w:sz w:val="20"/>
                <w:szCs w:val="20"/>
                <w:lang w:val="en-GB"/>
              </w:rPr>
              <w:t>Breeding</w:t>
            </w:r>
          </w:p>
        </w:tc>
        <w:tc>
          <w:tcPr>
            <w:tcW w:w="3179" w:type="dxa"/>
            <w:tcBorders>
              <w:bottom w:val="single" w:sz="4" w:space="0" w:color="auto"/>
            </w:tcBorders>
          </w:tcPr>
          <w:p w14:paraId="6974C4C6" w14:textId="77777777" w:rsidR="00C96521" w:rsidRPr="0053142C" w:rsidRDefault="00C96521" w:rsidP="00C96521">
            <w:pPr>
              <w:widowControl/>
              <w:autoSpaceDE/>
              <w:autoSpaceDN/>
              <w:adjustRightInd/>
              <w:rPr>
                <w:rFonts w:ascii="Arial" w:eastAsia="Calibri" w:hAnsi="Arial" w:cs="Arial"/>
                <w:i/>
                <w:sz w:val="20"/>
                <w:szCs w:val="20"/>
                <w:lang w:val="en-GB"/>
              </w:rPr>
            </w:pPr>
            <w:r w:rsidRPr="0053142C">
              <w:rPr>
                <w:rFonts w:ascii="Arial" w:eastAsia="Calibri" w:hAnsi="Arial" w:cs="Arial"/>
                <w:i/>
                <w:sz w:val="20"/>
                <w:szCs w:val="20"/>
                <w:lang w:val="en-GB"/>
              </w:rPr>
              <w:t>Migrating</w:t>
            </w:r>
          </w:p>
          <w:p w14:paraId="3FADCD66" w14:textId="77777777" w:rsidR="00C96521" w:rsidRPr="0053142C" w:rsidRDefault="00C96521" w:rsidP="00C96521">
            <w:pPr>
              <w:widowControl/>
              <w:autoSpaceDE/>
              <w:autoSpaceDN/>
              <w:adjustRightInd/>
              <w:rPr>
                <w:rFonts w:ascii="Arial" w:eastAsia="Calibri" w:hAnsi="Arial" w:cs="Arial"/>
                <w:sz w:val="20"/>
                <w:szCs w:val="20"/>
                <w:lang w:val="en-GB"/>
              </w:rPr>
            </w:pPr>
          </w:p>
          <w:p w14:paraId="09ADAA5C" w14:textId="77777777" w:rsidR="00C96521" w:rsidRPr="0053142C" w:rsidRDefault="00C96521" w:rsidP="00C96521">
            <w:pPr>
              <w:widowControl/>
              <w:autoSpaceDE/>
              <w:autoSpaceDN/>
              <w:adjustRightInd/>
              <w:rPr>
                <w:rFonts w:ascii="Arial" w:eastAsia="Calibri" w:hAnsi="Arial" w:cs="Arial"/>
                <w:sz w:val="20"/>
                <w:szCs w:val="20"/>
                <w:lang w:val="en-GB"/>
              </w:rPr>
            </w:pPr>
            <w:r w:rsidRPr="0053142C">
              <w:rPr>
                <w:rFonts w:ascii="Arial" w:eastAsia="Calibri" w:hAnsi="Arial" w:cs="Arial"/>
                <w:sz w:val="20"/>
                <w:szCs w:val="20"/>
                <w:lang w:val="en-GB"/>
              </w:rPr>
              <w:t>Autumn: August – November Spring: March – June</w:t>
            </w:r>
          </w:p>
        </w:tc>
        <w:tc>
          <w:tcPr>
            <w:tcW w:w="3179" w:type="dxa"/>
            <w:tcBorders>
              <w:bottom w:val="single" w:sz="4" w:space="0" w:color="auto"/>
            </w:tcBorders>
          </w:tcPr>
          <w:p w14:paraId="666D38E7" w14:textId="77777777" w:rsidR="00C96521" w:rsidRPr="0053142C" w:rsidRDefault="00C96521" w:rsidP="00C96521">
            <w:pPr>
              <w:widowControl/>
              <w:autoSpaceDE/>
              <w:autoSpaceDN/>
              <w:adjustRightInd/>
              <w:rPr>
                <w:rFonts w:ascii="Arial" w:eastAsia="Calibri" w:hAnsi="Arial" w:cs="Arial"/>
                <w:i/>
                <w:sz w:val="20"/>
                <w:szCs w:val="20"/>
                <w:lang w:val="en-GB"/>
              </w:rPr>
            </w:pPr>
            <w:r w:rsidRPr="0053142C">
              <w:rPr>
                <w:rFonts w:ascii="Arial" w:eastAsia="Calibri" w:hAnsi="Arial" w:cs="Arial"/>
                <w:i/>
                <w:sz w:val="20"/>
                <w:szCs w:val="20"/>
                <w:lang w:val="en-GB"/>
              </w:rPr>
              <w:t>Wintering</w:t>
            </w:r>
          </w:p>
        </w:tc>
      </w:tr>
      <w:tr w:rsidR="00C96521" w:rsidRPr="0053142C" w14:paraId="73E02401" w14:textId="77777777" w:rsidTr="00C96521">
        <w:trPr>
          <w:trHeight w:val="979"/>
        </w:trPr>
        <w:tc>
          <w:tcPr>
            <w:tcW w:w="3178" w:type="dxa"/>
            <w:tcBorders>
              <w:right w:val="single" w:sz="4" w:space="0" w:color="auto"/>
            </w:tcBorders>
          </w:tcPr>
          <w:p w14:paraId="5EA3A635" w14:textId="77777777" w:rsidR="00C96521" w:rsidRPr="0053142C" w:rsidRDefault="00C96521" w:rsidP="00C96521">
            <w:pPr>
              <w:widowControl/>
              <w:autoSpaceDE/>
              <w:autoSpaceDN/>
              <w:adjustRightInd/>
              <w:rPr>
                <w:rFonts w:ascii="Arial" w:eastAsia="Calibri" w:hAnsi="Arial" w:cs="Arial"/>
                <w:sz w:val="20"/>
                <w:szCs w:val="20"/>
                <w:lang w:val="en-GB"/>
              </w:rPr>
            </w:pPr>
            <w:r w:rsidRPr="0053142C">
              <w:rPr>
                <w:rFonts w:ascii="Arial" w:eastAsia="Calibri" w:hAnsi="Arial" w:cs="Arial"/>
                <w:sz w:val="20"/>
                <w:szCs w:val="20"/>
                <w:lang w:val="en-GB"/>
              </w:rPr>
              <w:t>EUROPEAN UNION</w:t>
            </w:r>
          </w:p>
          <w:p w14:paraId="472C15DF"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Austria</w:t>
            </w:r>
          </w:p>
          <w:p w14:paraId="014FE4F5"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Belgium</w:t>
            </w:r>
          </w:p>
          <w:p w14:paraId="710F2F6B"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Bulgaria</w:t>
            </w:r>
          </w:p>
          <w:p w14:paraId="6E9B0059"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Croatia</w:t>
            </w:r>
          </w:p>
          <w:p w14:paraId="4B69520A"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Cyprus</w:t>
            </w:r>
          </w:p>
          <w:p w14:paraId="227D1F47"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Czech Republic</w:t>
            </w:r>
          </w:p>
          <w:p w14:paraId="3525B1DF"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Denmark</w:t>
            </w:r>
          </w:p>
          <w:p w14:paraId="02259201"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Estonia</w:t>
            </w:r>
          </w:p>
          <w:p w14:paraId="765EE99B"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Finland</w:t>
            </w:r>
          </w:p>
          <w:p w14:paraId="3234D6D3"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France</w:t>
            </w:r>
          </w:p>
          <w:p w14:paraId="30221C45"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Germany</w:t>
            </w:r>
          </w:p>
          <w:p w14:paraId="27A33EB6"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Greece</w:t>
            </w:r>
          </w:p>
          <w:p w14:paraId="3CA99612"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Hungary</w:t>
            </w:r>
          </w:p>
          <w:p w14:paraId="50EF1518"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Italy</w:t>
            </w:r>
          </w:p>
          <w:p w14:paraId="7F090A6A"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Latvia</w:t>
            </w:r>
          </w:p>
          <w:p w14:paraId="18E17667"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Lithuania</w:t>
            </w:r>
          </w:p>
          <w:p w14:paraId="1C88047E"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Luxembourg</w:t>
            </w:r>
          </w:p>
          <w:p w14:paraId="29211CA8"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Malta</w:t>
            </w:r>
            <w:r w:rsidRPr="0053142C">
              <w:rPr>
                <w:rFonts w:ascii="Arial" w:eastAsia="Calibri" w:hAnsi="Arial" w:cs="Arial"/>
                <w:sz w:val="20"/>
                <w:szCs w:val="20"/>
                <w:vertAlign w:val="superscript"/>
                <w:lang w:val="en-GB"/>
              </w:rPr>
              <w:footnoteReference w:id="1"/>
            </w:r>
          </w:p>
          <w:p w14:paraId="76552C6C"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Netherlands</w:t>
            </w:r>
          </w:p>
          <w:p w14:paraId="3C9631CE"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Poland</w:t>
            </w:r>
          </w:p>
          <w:p w14:paraId="69018E5D"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Portugal</w:t>
            </w:r>
          </w:p>
          <w:p w14:paraId="7BBF8084"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Romania</w:t>
            </w:r>
          </w:p>
          <w:p w14:paraId="7CB23605"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Slovakia</w:t>
            </w:r>
          </w:p>
          <w:p w14:paraId="5BCF5793"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Slovenia</w:t>
            </w:r>
          </w:p>
          <w:p w14:paraId="3C5F82B0"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Spain (and all Islands)</w:t>
            </w:r>
          </w:p>
          <w:p w14:paraId="37255D13"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United Kingdom (England, Channel Islands, Gibraltar)</w:t>
            </w:r>
          </w:p>
        </w:tc>
        <w:tc>
          <w:tcPr>
            <w:tcW w:w="3179" w:type="dxa"/>
            <w:tcBorders>
              <w:left w:val="single" w:sz="4" w:space="0" w:color="auto"/>
              <w:right w:val="single" w:sz="4" w:space="0" w:color="auto"/>
            </w:tcBorders>
          </w:tcPr>
          <w:p w14:paraId="2F707227" w14:textId="77777777" w:rsidR="00C96521" w:rsidRPr="0053142C" w:rsidRDefault="00C96521" w:rsidP="00C96521">
            <w:pPr>
              <w:widowControl/>
              <w:autoSpaceDE/>
              <w:autoSpaceDN/>
              <w:adjustRightInd/>
              <w:rPr>
                <w:rFonts w:ascii="Arial" w:eastAsia="Calibri" w:hAnsi="Arial" w:cs="Arial"/>
                <w:sz w:val="20"/>
                <w:szCs w:val="20"/>
                <w:lang w:val="en-GB"/>
              </w:rPr>
            </w:pPr>
          </w:p>
          <w:p w14:paraId="07D80A41" w14:textId="77777777" w:rsidR="00C96521" w:rsidRPr="0053142C" w:rsidRDefault="00C96521" w:rsidP="00C96521">
            <w:pPr>
              <w:widowControl/>
              <w:autoSpaceDE/>
              <w:autoSpaceDN/>
              <w:adjustRightInd/>
              <w:rPr>
                <w:rFonts w:ascii="Arial" w:eastAsia="Calibri" w:hAnsi="Arial" w:cs="Arial"/>
                <w:sz w:val="20"/>
                <w:szCs w:val="20"/>
                <w:lang w:val="en-GB"/>
              </w:rPr>
            </w:pPr>
            <w:r w:rsidRPr="0053142C">
              <w:rPr>
                <w:rFonts w:ascii="Arial" w:eastAsia="Calibri" w:hAnsi="Arial" w:cs="Arial"/>
                <w:sz w:val="20"/>
                <w:szCs w:val="20"/>
                <w:lang w:val="en-GB"/>
              </w:rPr>
              <w:t>The following EU countries have areas of particular importance for staging turtle-dove during</w:t>
            </w:r>
          </w:p>
          <w:p w14:paraId="060E090D" w14:textId="77777777" w:rsidR="00C96521" w:rsidRPr="0053142C" w:rsidRDefault="00C96521" w:rsidP="00C96521">
            <w:pPr>
              <w:widowControl/>
              <w:autoSpaceDE/>
              <w:autoSpaceDN/>
              <w:adjustRightInd/>
              <w:rPr>
                <w:rFonts w:ascii="Arial" w:eastAsia="Calibri" w:hAnsi="Arial" w:cs="Arial"/>
                <w:sz w:val="20"/>
                <w:szCs w:val="20"/>
                <w:lang w:val="en-GB"/>
              </w:rPr>
            </w:pPr>
            <w:r w:rsidRPr="0053142C">
              <w:rPr>
                <w:rFonts w:ascii="Arial" w:eastAsia="Calibri" w:hAnsi="Arial" w:cs="Arial"/>
                <w:sz w:val="20"/>
                <w:szCs w:val="20"/>
                <w:lang w:val="en-GB"/>
              </w:rPr>
              <w:t>migration :</w:t>
            </w:r>
          </w:p>
          <w:p w14:paraId="637DFC5B" w14:textId="77777777" w:rsidR="00C96521" w:rsidRPr="0053142C" w:rsidRDefault="00C96521" w:rsidP="00C96521">
            <w:pPr>
              <w:widowControl/>
              <w:autoSpaceDE/>
              <w:autoSpaceDN/>
              <w:adjustRightInd/>
              <w:rPr>
                <w:rFonts w:ascii="Arial" w:eastAsia="Calibri" w:hAnsi="Arial" w:cs="Arial"/>
                <w:sz w:val="20"/>
                <w:szCs w:val="20"/>
                <w:lang w:val="en-GB"/>
              </w:rPr>
            </w:pPr>
          </w:p>
          <w:p w14:paraId="73471795"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Cyprus</w:t>
            </w:r>
          </w:p>
          <w:p w14:paraId="096097E2"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France</w:t>
            </w:r>
          </w:p>
          <w:p w14:paraId="59AF6A2E"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Greece</w:t>
            </w:r>
          </w:p>
          <w:p w14:paraId="39893F94"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Italy</w:t>
            </w:r>
          </w:p>
          <w:p w14:paraId="6158D493"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 xml:space="preserve">Malta </w:t>
            </w:r>
          </w:p>
          <w:p w14:paraId="27DFF401"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Portugal</w:t>
            </w:r>
          </w:p>
          <w:p w14:paraId="55A093B8" w14:textId="77777777" w:rsidR="00C96521" w:rsidRPr="0053142C" w:rsidRDefault="00C96521" w:rsidP="00C96521">
            <w:pPr>
              <w:widowControl/>
              <w:numPr>
                <w:ilvl w:val="0"/>
                <w:numId w:val="18"/>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Spain</w:t>
            </w:r>
          </w:p>
        </w:tc>
        <w:tc>
          <w:tcPr>
            <w:tcW w:w="3179" w:type="dxa"/>
            <w:tcBorders>
              <w:left w:val="single" w:sz="4" w:space="0" w:color="auto"/>
              <w:bottom w:val="single" w:sz="4" w:space="0" w:color="auto"/>
            </w:tcBorders>
          </w:tcPr>
          <w:p w14:paraId="0C4FCD05" w14:textId="77777777" w:rsidR="00C96521" w:rsidRPr="0053142C" w:rsidRDefault="00C96521" w:rsidP="00C96521">
            <w:pPr>
              <w:widowControl/>
              <w:autoSpaceDE/>
              <w:autoSpaceDN/>
              <w:adjustRightInd/>
              <w:rPr>
                <w:rFonts w:ascii="Arial" w:eastAsia="Calibri" w:hAnsi="Arial" w:cs="Arial"/>
                <w:sz w:val="20"/>
                <w:szCs w:val="20"/>
                <w:lang w:val="en-GB"/>
              </w:rPr>
            </w:pPr>
          </w:p>
          <w:p w14:paraId="6C78DDC1" w14:textId="77777777" w:rsidR="00C96521" w:rsidRPr="0053142C" w:rsidRDefault="00C96521" w:rsidP="00C96521">
            <w:pPr>
              <w:widowControl/>
              <w:autoSpaceDE/>
              <w:autoSpaceDN/>
              <w:adjustRightInd/>
              <w:rPr>
                <w:rFonts w:ascii="Arial" w:eastAsia="Calibri" w:hAnsi="Arial" w:cs="Arial"/>
                <w:sz w:val="20"/>
                <w:szCs w:val="20"/>
                <w:lang w:val="en-GB"/>
              </w:rPr>
            </w:pPr>
            <w:r w:rsidRPr="0053142C">
              <w:rPr>
                <w:rFonts w:ascii="Arial" w:eastAsia="Calibri" w:hAnsi="Arial" w:cs="Arial"/>
                <w:sz w:val="20"/>
                <w:szCs w:val="20"/>
                <w:lang w:val="en-GB"/>
              </w:rPr>
              <w:t>None in Europe</w:t>
            </w:r>
          </w:p>
        </w:tc>
      </w:tr>
      <w:tr w:rsidR="00C96521" w:rsidRPr="0053142C" w14:paraId="798134CA" w14:textId="77777777" w:rsidTr="00C96521">
        <w:tc>
          <w:tcPr>
            <w:tcW w:w="3178" w:type="dxa"/>
          </w:tcPr>
          <w:p w14:paraId="78D233F8" w14:textId="77777777" w:rsidR="00C96521" w:rsidRPr="0053142C" w:rsidRDefault="00C96521" w:rsidP="00C96521">
            <w:pPr>
              <w:widowControl/>
              <w:autoSpaceDE/>
              <w:autoSpaceDN/>
              <w:adjustRightInd/>
              <w:rPr>
                <w:rFonts w:ascii="Arial" w:eastAsia="Calibri" w:hAnsi="Arial" w:cs="Arial"/>
                <w:sz w:val="20"/>
                <w:szCs w:val="20"/>
                <w:lang w:val="en-GB"/>
              </w:rPr>
            </w:pPr>
            <w:r w:rsidRPr="0053142C">
              <w:rPr>
                <w:rFonts w:ascii="Arial" w:eastAsia="Calibri" w:hAnsi="Arial" w:cs="Arial"/>
                <w:sz w:val="20"/>
                <w:szCs w:val="20"/>
                <w:lang w:val="en-GB"/>
              </w:rPr>
              <w:t xml:space="preserve">OTHER - </w:t>
            </w:r>
            <w:r w:rsidRPr="0053142C">
              <w:rPr>
                <w:rFonts w:ascii="Arial" w:eastAsia="Calibri" w:hAnsi="Arial" w:cs="Arial"/>
                <w:i/>
                <w:sz w:val="20"/>
                <w:szCs w:val="20"/>
                <w:lang w:val="en-GB"/>
              </w:rPr>
              <w:t>breeding</w:t>
            </w:r>
          </w:p>
          <w:p w14:paraId="3320A9CE"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Algeria</w:t>
            </w:r>
          </w:p>
          <w:p w14:paraId="071F0F4B"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Albania</w:t>
            </w:r>
          </w:p>
          <w:p w14:paraId="4D9A6059"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Andorra</w:t>
            </w:r>
          </w:p>
          <w:p w14:paraId="366F27B3"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Armenia</w:t>
            </w:r>
          </w:p>
          <w:p w14:paraId="6152D10C"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Azerbaijan</w:t>
            </w:r>
          </w:p>
          <w:p w14:paraId="412A9D17"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Belarus</w:t>
            </w:r>
          </w:p>
          <w:p w14:paraId="1AD94C21"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Bosnia and Herzegovina</w:t>
            </w:r>
          </w:p>
          <w:p w14:paraId="1D4A607D"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Egypt</w:t>
            </w:r>
          </w:p>
          <w:p w14:paraId="49644E5C"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Georgia</w:t>
            </w:r>
          </w:p>
          <w:p w14:paraId="281F0D0B"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Israel</w:t>
            </w:r>
          </w:p>
          <w:p w14:paraId="4A442EDF"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Jordan</w:t>
            </w:r>
          </w:p>
          <w:p w14:paraId="34C6EC9E" w14:textId="5EE7EF2D"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Kosovo</w:t>
            </w:r>
            <w:r w:rsidR="00177BBB">
              <w:rPr>
                <w:rFonts w:ascii="Arial" w:eastAsia="Calibri" w:hAnsi="Arial" w:cs="Arial"/>
                <w:sz w:val="20"/>
                <w:szCs w:val="20"/>
                <w:lang w:val="en-GB"/>
              </w:rPr>
              <w:t xml:space="preserve"> (UN Res 1244)</w:t>
            </w:r>
          </w:p>
          <w:p w14:paraId="4E702770"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Lebanon</w:t>
            </w:r>
          </w:p>
          <w:p w14:paraId="3FA5DCD0"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Libya</w:t>
            </w:r>
          </w:p>
          <w:p w14:paraId="5914EB55" w14:textId="77777777" w:rsidR="00C96521" w:rsidRPr="0053142C" w:rsidRDefault="00C96521" w:rsidP="00C96521">
            <w:pPr>
              <w:widowControl/>
              <w:autoSpaceDE/>
              <w:autoSpaceDN/>
              <w:adjustRightInd/>
              <w:rPr>
                <w:rFonts w:ascii="Arial" w:eastAsia="Calibri" w:hAnsi="Arial" w:cs="Arial"/>
                <w:sz w:val="20"/>
                <w:szCs w:val="20"/>
                <w:lang w:val="en-GB"/>
              </w:rPr>
            </w:pPr>
          </w:p>
          <w:p w14:paraId="1294F891" w14:textId="77777777" w:rsidR="00C96521" w:rsidRPr="0053142C" w:rsidRDefault="00C96521" w:rsidP="00C96521">
            <w:pPr>
              <w:widowControl/>
              <w:autoSpaceDE/>
              <w:autoSpaceDN/>
              <w:adjustRightInd/>
              <w:rPr>
                <w:rFonts w:ascii="Arial" w:eastAsia="Calibri" w:hAnsi="Arial" w:cs="Arial"/>
                <w:sz w:val="20"/>
                <w:szCs w:val="20"/>
                <w:lang w:val="en-GB"/>
              </w:rPr>
            </w:pPr>
            <w:r w:rsidRPr="0053142C">
              <w:rPr>
                <w:rFonts w:ascii="Arial" w:eastAsia="Calibri" w:hAnsi="Arial" w:cs="Arial"/>
                <w:sz w:val="20"/>
                <w:szCs w:val="20"/>
                <w:lang w:val="en-GB"/>
              </w:rPr>
              <w:t>Vagrant birds appear in other European countries that are not listed, and non-breeding birds are recorded during the summer in Ireland and Sweden.</w:t>
            </w:r>
          </w:p>
        </w:tc>
        <w:tc>
          <w:tcPr>
            <w:tcW w:w="3179" w:type="dxa"/>
            <w:tcBorders>
              <w:right w:val="single" w:sz="4" w:space="0" w:color="auto"/>
            </w:tcBorders>
          </w:tcPr>
          <w:p w14:paraId="7810A099" w14:textId="77777777" w:rsidR="00C96521" w:rsidRPr="0053142C" w:rsidRDefault="00C96521" w:rsidP="00C96521">
            <w:pPr>
              <w:widowControl/>
              <w:autoSpaceDE/>
              <w:autoSpaceDN/>
              <w:adjustRightInd/>
              <w:rPr>
                <w:rFonts w:ascii="Arial" w:eastAsia="Calibri" w:hAnsi="Arial" w:cs="Arial"/>
                <w:sz w:val="20"/>
                <w:szCs w:val="20"/>
                <w:lang w:val="en-GB"/>
              </w:rPr>
            </w:pPr>
          </w:p>
          <w:p w14:paraId="30EE0A30"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Liechtenstein</w:t>
            </w:r>
          </w:p>
          <w:p w14:paraId="3709AFFA"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Macedonia, FYR</w:t>
            </w:r>
          </w:p>
          <w:p w14:paraId="09B0C9D0"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Mauritania</w:t>
            </w:r>
          </w:p>
          <w:p w14:paraId="5E3AE8AF"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Moldova</w:t>
            </w:r>
          </w:p>
          <w:p w14:paraId="14FD5D4A"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Montenegro</w:t>
            </w:r>
          </w:p>
          <w:p w14:paraId="56F09FF2"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Morocco</w:t>
            </w:r>
          </w:p>
          <w:p w14:paraId="6834EC5D"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Palestinian Territory</w:t>
            </w:r>
          </w:p>
          <w:p w14:paraId="515CA9BD"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Russian Federation (European)</w:t>
            </w:r>
          </w:p>
          <w:p w14:paraId="6AE89E76"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Serbia</w:t>
            </w:r>
          </w:p>
          <w:p w14:paraId="7913F6CC"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Switzerland</w:t>
            </w:r>
          </w:p>
          <w:p w14:paraId="0DEFD989" w14:textId="1BE2DD28"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Syria</w:t>
            </w:r>
            <w:r w:rsidR="003574BE">
              <w:rPr>
                <w:rFonts w:ascii="Arial" w:eastAsia="Calibri" w:hAnsi="Arial" w:cs="Arial"/>
                <w:sz w:val="20"/>
                <w:szCs w:val="20"/>
                <w:lang w:val="en-GB"/>
              </w:rPr>
              <w:t>n Arab Republic</w:t>
            </w:r>
          </w:p>
          <w:p w14:paraId="45792620"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Tunisia</w:t>
            </w:r>
          </w:p>
          <w:p w14:paraId="53B86CCB"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Turkey</w:t>
            </w:r>
          </w:p>
          <w:p w14:paraId="65329969" w14:textId="77777777" w:rsidR="00C96521" w:rsidRPr="0053142C" w:rsidRDefault="00C96521" w:rsidP="00C96521">
            <w:pPr>
              <w:widowControl/>
              <w:numPr>
                <w:ilvl w:val="0"/>
                <w:numId w:val="26"/>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Ukraine</w:t>
            </w:r>
          </w:p>
        </w:tc>
        <w:tc>
          <w:tcPr>
            <w:tcW w:w="3179" w:type="dxa"/>
            <w:tcBorders>
              <w:left w:val="single" w:sz="4" w:space="0" w:color="auto"/>
            </w:tcBorders>
          </w:tcPr>
          <w:p w14:paraId="61344009" w14:textId="77777777" w:rsidR="00C96521" w:rsidRPr="0053142C" w:rsidRDefault="00C96521" w:rsidP="00C96521">
            <w:pPr>
              <w:widowControl/>
              <w:autoSpaceDE/>
              <w:autoSpaceDN/>
              <w:adjustRightInd/>
              <w:rPr>
                <w:rFonts w:ascii="Arial" w:eastAsia="Calibri" w:hAnsi="Arial" w:cs="Arial"/>
                <w:i/>
                <w:sz w:val="20"/>
                <w:szCs w:val="20"/>
                <w:lang w:val="en-GB"/>
              </w:rPr>
            </w:pPr>
            <w:r w:rsidRPr="0053142C">
              <w:rPr>
                <w:rFonts w:ascii="Arial" w:eastAsia="Calibri" w:hAnsi="Arial" w:cs="Arial"/>
                <w:i/>
                <w:sz w:val="20"/>
                <w:szCs w:val="20"/>
                <w:lang w:val="en-GB"/>
              </w:rPr>
              <w:t>Wintering</w:t>
            </w:r>
          </w:p>
          <w:p w14:paraId="2C8992E1" w14:textId="77777777" w:rsidR="00C96521" w:rsidRPr="0053142C" w:rsidRDefault="00C96521" w:rsidP="00C96521">
            <w:pPr>
              <w:widowControl/>
              <w:numPr>
                <w:ilvl w:val="0"/>
                <w:numId w:val="27"/>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Benin</w:t>
            </w:r>
          </w:p>
          <w:p w14:paraId="34D49403" w14:textId="77777777" w:rsidR="00C96521" w:rsidRPr="0053142C" w:rsidRDefault="00C96521" w:rsidP="00C96521">
            <w:pPr>
              <w:widowControl/>
              <w:numPr>
                <w:ilvl w:val="0"/>
                <w:numId w:val="27"/>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Burkina Faso</w:t>
            </w:r>
          </w:p>
          <w:p w14:paraId="5A3EFB80" w14:textId="77777777" w:rsidR="00C96521" w:rsidRPr="0053142C" w:rsidRDefault="00C96521" w:rsidP="00C96521">
            <w:pPr>
              <w:widowControl/>
              <w:numPr>
                <w:ilvl w:val="0"/>
                <w:numId w:val="27"/>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Cameroon</w:t>
            </w:r>
          </w:p>
          <w:p w14:paraId="3D43311F" w14:textId="77777777" w:rsidR="00C96521" w:rsidRPr="0053142C" w:rsidRDefault="00C96521" w:rsidP="00C96521">
            <w:pPr>
              <w:widowControl/>
              <w:numPr>
                <w:ilvl w:val="0"/>
                <w:numId w:val="27"/>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Central African Republic</w:t>
            </w:r>
          </w:p>
          <w:p w14:paraId="55C04103" w14:textId="77777777" w:rsidR="00C96521" w:rsidRPr="0053142C" w:rsidRDefault="00C96521" w:rsidP="00C96521">
            <w:pPr>
              <w:widowControl/>
              <w:numPr>
                <w:ilvl w:val="0"/>
                <w:numId w:val="27"/>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Chad</w:t>
            </w:r>
          </w:p>
          <w:p w14:paraId="4B8AE642" w14:textId="77777777" w:rsidR="00C96521" w:rsidRPr="0053142C" w:rsidRDefault="00C96521" w:rsidP="00C96521">
            <w:pPr>
              <w:widowControl/>
              <w:numPr>
                <w:ilvl w:val="0"/>
                <w:numId w:val="27"/>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Eritrea</w:t>
            </w:r>
          </w:p>
          <w:p w14:paraId="2AB04779" w14:textId="77777777" w:rsidR="00C96521" w:rsidRPr="0053142C" w:rsidRDefault="00C96521" w:rsidP="00C96521">
            <w:pPr>
              <w:widowControl/>
              <w:numPr>
                <w:ilvl w:val="0"/>
                <w:numId w:val="27"/>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Ethiopia</w:t>
            </w:r>
          </w:p>
          <w:p w14:paraId="47B2AA19" w14:textId="77777777" w:rsidR="00C96521" w:rsidRPr="0053142C" w:rsidRDefault="00C96521" w:rsidP="00C96521">
            <w:pPr>
              <w:widowControl/>
              <w:numPr>
                <w:ilvl w:val="0"/>
                <w:numId w:val="27"/>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The Gambia</w:t>
            </w:r>
          </w:p>
          <w:p w14:paraId="2C346351" w14:textId="77777777" w:rsidR="00C96521" w:rsidRPr="0053142C" w:rsidRDefault="00C96521" w:rsidP="00C96521">
            <w:pPr>
              <w:widowControl/>
              <w:numPr>
                <w:ilvl w:val="0"/>
                <w:numId w:val="27"/>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Ghana</w:t>
            </w:r>
          </w:p>
          <w:p w14:paraId="70D2D2EB" w14:textId="77777777" w:rsidR="00C96521" w:rsidRPr="0053142C" w:rsidRDefault="00C96521" w:rsidP="00C96521">
            <w:pPr>
              <w:widowControl/>
              <w:numPr>
                <w:ilvl w:val="0"/>
                <w:numId w:val="27"/>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Guinea</w:t>
            </w:r>
          </w:p>
          <w:p w14:paraId="62F27FEC" w14:textId="77777777" w:rsidR="00C96521" w:rsidRPr="0053142C" w:rsidRDefault="00C96521" w:rsidP="00C96521">
            <w:pPr>
              <w:widowControl/>
              <w:numPr>
                <w:ilvl w:val="0"/>
                <w:numId w:val="27"/>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Guinea-Bissau</w:t>
            </w:r>
          </w:p>
          <w:p w14:paraId="0C2278FF" w14:textId="77777777" w:rsidR="00C96521" w:rsidRPr="0053142C" w:rsidRDefault="00C96521" w:rsidP="00C96521">
            <w:pPr>
              <w:widowControl/>
              <w:numPr>
                <w:ilvl w:val="0"/>
                <w:numId w:val="27"/>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Mali</w:t>
            </w:r>
          </w:p>
          <w:p w14:paraId="21889692" w14:textId="77777777" w:rsidR="00C96521" w:rsidRPr="0053142C" w:rsidRDefault="00C96521" w:rsidP="00C96521">
            <w:pPr>
              <w:widowControl/>
              <w:numPr>
                <w:ilvl w:val="0"/>
                <w:numId w:val="27"/>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Mauritania (predominantly migrating)</w:t>
            </w:r>
          </w:p>
          <w:p w14:paraId="100520E7" w14:textId="77777777" w:rsidR="00C96521" w:rsidRPr="0053142C" w:rsidRDefault="00C96521" w:rsidP="00C96521">
            <w:pPr>
              <w:widowControl/>
              <w:numPr>
                <w:ilvl w:val="0"/>
                <w:numId w:val="27"/>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Niger</w:t>
            </w:r>
          </w:p>
          <w:p w14:paraId="2FCC0ACC" w14:textId="77777777" w:rsidR="00C96521" w:rsidRPr="0053142C" w:rsidRDefault="00C96521" w:rsidP="00C96521">
            <w:pPr>
              <w:widowControl/>
              <w:numPr>
                <w:ilvl w:val="0"/>
                <w:numId w:val="27"/>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Nigeria</w:t>
            </w:r>
          </w:p>
          <w:p w14:paraId="41C6F586" w14:textId="77777777" w:rsidR="00C96521" w:rsidRPr="0053142C" w:rsidRDefault="00C96521" w:rsidP="00C96521">
            <w:pPr>
              <w:widowControl/>
              <w:numPr>
                <w:ilvl w:val="0"/>
                <w:numId w:val="27"/>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Senegal</w:t>
            </w:r>
          </w:p>
          <w:p w14:paraId="08C5DF1D" w14:textId="77777777" w:rsidR="00C96521" w:rsidRPr="0053142C" w:rsidRDefault="00C96521" w:rsidP="00C96521">
            <w:pPr>
              <w:widowControl/>
              <w:numPr>
                <w:ilvl w:val="0"/>
                <w:numId w:val="27"/>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South Sudan</w:t>
            </w:r>
          </w:p>
          <w:p w14:paraId="2A0D0F50" w14:textId="77777777" w:rsidR="00C96521" w:rsidRPr="0053142C" w:rsidRDefault="00C96521" w:rsidP="00C96521">
            <w:pPr>
              <w:widowControl/>
              <w:numPr>
                <w:ilvl w:val="0"/>
                <w:numId w:val="27"/>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Sudan</w:t>
            </w:r>
          </w:p>
          <w:p w14:paraId="5211373E" w14:textId="77777777" w:rsidR="00C96521" w:rsidRPr="0053142C" w:rsidRDefault="00C96521" w:rsidP="00C96521">
            <w:pPr>
              <w:widowControl/>
              <w:numPr>
                <w:ilvl w:val="0"/>
                <w:numId w:val="27"/>
              </w:numPr>
              <w:autoSpaceDE/>
              <w:autoSpaceDN/>
              <w:adjustRightInd/>
              <w:contextualSpacing/>
              <w:rPr>
                <w:rFonts w:ascii="Arial" w:eastAsia="Calibri" w:hAnsi="Arial" w:cs="Arial"/>
                <w:sz w:val="20"/>
                <w:szCs w:val="20"/>
                <w:lang w:val="en-GB"/>
              </w:rPr>
            </w:pPr>
            <w:r w:rsidRPr="0053142C">
              <w:rPr>
                <w:rFonts w:ascii="Arial" w:eastAsia="Calibri" w:hAnsi="Arial" w:cs="Arial"/>
                <w:sz w:val="20"/>
                <w:szCs w:val="20"/>
                <w:lang w:val="en-GB"/>
              </w:rPr>
              <w:t>Togo</w:t>
            </w:r>
          </w:p>
        </w:tc>
      </w:tr>
    </w:tbl>
    <w:p w14:paraId="6CD31F78"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A6B229F" w14:textId="5A7E79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Turtle</w:t>
      </w:r>
      <w:r w:rsidR="003574BE">
        <w:rPr>
          <w:rFonts w:eastAsia="MS Mincho"/>
          <w:sz w:val="20"/>
          <w:szCs w:val="22"/>
          <w:lang w:val="en-GB" w:eastAsia="ja-JP"/>
        </w:rPr>
        <w:t xml:space="preserve"> D</w:t>
      </w:r>
      <w:r w:rsidRPr="00C96521">
        <w:rPr>
          <w:rFonts w:eastAsia="MS Mincho"/>
          <w:sz w:val="20"/>
          <w:szCs w:val="22"/>
          <w:lang w:val="en-GB" w:eastAsia="ja-JP"/>
        </w:rPr>
        <w:t>oves are also found eastwards of Europe and the Mediterranean (see Figure 1), but information is scarce. The Framework of Actions includes activities to expand knowledge for these Range States.</w:t>
      </w:r>
    </w:p>
    <w:p w14:paraId="7B1C1A7B"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030D01B" w14:textId="0CB3FEA5" w:rsidR="00C96521" w:rsidRPr="00C96521" w:rsidRDefault="00C96521" w:rsidP="00C96521">
      <w:pPr>
        <w:keepNext/>
        <w:keepLines/>
        <w:widowControl/>
        <w:autoSpaceDE/>
        <w:autoSpaceDN/>
        <w:adjustRightInd/>
        <w:spacing w:before="200" w:line="276" w:lineRule="auto"/>
        <w:outlineLvl w:val="1"/>
        <w:rPr>
          <w:rFonts w:ascii="Cambria" w:eastAsia="MS Gothic" w:hAnsi="Cambria"/>
          <w:b/>
          <w:bCs/>
          <w:color w:val="4F81BD"/>
          <w:sz w:val="26"/>
          <w:szCs w:val="26"/>
          <w:lang w:val="en-GB" w:eastAsia="ja-JP"/>
        </w:rPr>
      </w:pPr>
      <w:bookmarkStart w:id="3" w:name="_Toc478646891"/>
      <w:r w:rsidRPr="00C96521">
        <w:rPr>
          <w:rFonts w:ascii="Cambria" w:eastAsia="MS Gothic" w:hAnsi="Cambria"/>
          <w:b/>
          <w:bCs/>
          <w:color w:val="4F81BD"/>
          <w:sz w:val="26"/>
          <w:szCs w:val="26"/>
          <w:lang w:val="en-GB" w:eastAsia="ja-JP"/>
        </w:rPr>
        <w:t>Relevant policy and legislation</w:t>
      </w:r>
      <w:bookmarkEnd w:id="3"/>
    </w:p>
    <w:p w14:paraId="6BAC532E"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CFFEE78" w14:textId="6D6CDD59"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the European Union, the </w:t>
      </w:r>
      <w:r w:rsidR="003574BE">
        <w:rPr>
          <w:rFonts w:eastAsia="MS Mincho"/>
          <w:sz w:val="20"/>
          <w:szCs w:val="22"/>
          <w:lang w:val="en-GB" w:eastAsia="ja-JP"/>
        </w:rPr>
        <w:t>T</w:t>
      </w:r>
      <w:r w:rsidR="003574BE" w:rsidRPr="00C96521">
        <w:rPr>
          <w:rFonts w:eastAsia="MS Mincho"/>
          <w:sz w:val="20"/>
          <w:szCs w:val="22"/>
          <w:lang w:val="en-GB" w:eastAsia="ja-JP"/>
        </w:rPr>
        <w:t>urtle</w:t>
      </w:r>
      <w:r w:rsidR="003574BE">
        <w:rPr>
          <w:rFonts w:eastAsia="MS Mincho"/>
          <w:sz w:val="20"/>
          <w:szCs w:val="22"/>
          <w:lang w:val="en-GB" w:eastAsia="ja-JP"/>
        </w:rPr>
        <w:t xml:space="preserve"> D</w:t>
      </w:r>
      <w:r w:rsidR="003574BE" w:rsidRPr="00C96521">
        <w:rPr>
          <w:rFonts w:eastAsia="MS Mincho"/>
          <w:sz w:val="20"/>
          <w:szCs w:val="22"/>
          <w:lang w:val="en-GB" w:eastAsia="ja-JP"/>
        </w:rPr>
        <w:t xml:space="preserve">ove </w:t>
      </w:r>
      <w:r w:rsidRPr="00C96521">
        <w:rPr>
          <w:rFonts w:eastAsia="MS Mincho"/>
          <w:sz w:val="20"/>
          <w:szCs w:val="22"/>
          <w:lang w:val="en-GB" w:eastAsia="ja-JP"/>
        </w:rPr>
        <w:t xml:space="preserve">benefits from the general protection afforded by the Birds Directive 2009/147/EC to all species of native birds. It is prohibited to deliberately damage or destroy their nests and eggs, and the birds themselves are protected against deliberate disturbance, especially during the period of breeding and rearing. In the EU Member States that specifically list </w:t>
      </w:r>
      <w:r w:rsidR="003574BE">
        <w:rPr>
          <w:rFonts w:eastAsia="MS Mincho"/>
          <w:sz w:val="20"/>
          <w:szCs w:val="22"/>
          <w:lang w:val="en-GB" w:eastAsia="ja-JP"/>
        </w:rPr>
        <w:t>the T</w:t>
      </w:r>
      <w:r w:rsidR="003574BE" w:rsidRPr="00C96521">
        <w:rPr>
          <w:rFonts w:eastAsia="MS Mincho"/>
          <w:sz w:val="20"/>
          <w:szCs w:val="22"/>
          <w:lang w:val="en-GB" w:eastAsia="ja-JP"/>
        </w:rPr>
        <w:t>urtle</w:t>
      </w:r>
      <w:r w:rsidR="003574BE">
        <w:rPr>
          <w:rFonts w:eastAsia="MS Mincho"/>
          <w:sz w:val="20"/>
          <w:szCs w:val="22"/>
          <w:lang w:val="en-GB" w:eastAsia="ja-JP"/>
        </w:rPr>
        <w:t xml:space="preserve"> D</w:t>
      </w:r>
      <w:r w:rsidR="003574BE" w:rsidRPr="00C96521">
        <w:rPr>
          <w:rFonts w:eastAsia="MS Mincho"/>
          <w:sz w:val="20"/>
          <w:szCs w:val="22"/>
          <w:lang w:val="en-GB" w:eastAsia="ja-JP"/>
        </w:rPr>
        <w:t>ove</w:t>
      </w:r>
      <w:r w:rsidRPr="00C96521">
        <w:rPr>
          <w:rFonts w:eastAsia="MS Mincho"/>
          <w:sz w:val="20"/>
          <w:szCs w:val="22"/>
          <w:lang w:val="en-GB" w:eastAsia="ja-JP"/>
        </w:rPr>
        <w:t xml:space="preserve"> on Annex II/2, the species can be hunted in accordance with the national measures in force, which need to comply with the principles of wise use and ecologically balanced control of the species. Hunting must be compatible with maintaining the population at a level that corresponds in particular to ecological, scientific and cultural requirements, while taking account of economic and recreational requirements.</w:t>
      </w:r>
    </w:p>
    <w:p w14:paraId="116C42E5"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14F01BE" w14:textId="3841CF7D"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a wider international context, the nominate subspecies, </w:t>
      </w:r>
      <w:r w:rsidRPr="00C96521">
        <w:rPr>
          <w:rFonts w:eastAsia="MS Mincho"/>
          <w:i/>
          <w:sz w:val="20"/>
          <w:szCs w:val="22"/>
          <w:lang w:val="en-GB" w:eastAsia="ja-JP"/>
        </w:rPr>
        <w:t>S. t. turtur</w:t>
      </w:r>
      <w:r w:rsidRPr="00C96521">
        <w:rPr>
          <w:rFonts w:eastAsia="MS Mincho"/>
          <w:sz w:val="20"/>
          <w:szCs w:val="22"/>
          <w:lang w:val="en-GB" w:eastAsia="ja-JP"/>
        </w:rPr>
        <w:t xml:space="preserve">, is listed on Annex II of the Convention on Migratory Species, as potentially benefitting from international cooperation in matters of research and conservation measures. In that context, it is listed in the 2014 African-Eurasian Migratory Landbirds Action Plan (AEMLAP), which is aimed at improving the conservation status of migratory landbird species in the African-Eurasian region through the international coordination of action for these species, and catalysing action at the national level. </w:t>
      </w:r>
      <w:r w:rsidRPr="00C96521">
        <w:rPr>
          <w:rFonts w:eastAsia="MS Mincho"/>
          <w:i/>
          <w:sz w:val="20"/>
          <w:szCs w:val="22"/>
          <w:lang w:val="en-GB" w:eastAsia="ja-JP"/>
        </w:rPr>
        <w:t>S. turtur</w:t>
      </w:r>
      <w:r w:rsidRPr="00C96521">
        <w:rPr>
          <w:rFonts w:eastAsia="MS Mincho"/>
          <w:sz w:val="20"/>
          <w:szCs w:val="22"/>
          <w:lang w:val="en-GB" w:eastAsia="ja-JP"/>
        </w:rPr>
        <w:t xml:space="preserve"> is listed as Category B (non-threatened species with declining populations), although given current information, it fulfils the criteria to be listed as Category A (globally threatened, i</w:t>
      </w:r>
      <w:r w:rsidR="003574BE">
        <w:rPr>
          <w:rFonts w:eastAsia="MS Mincho"/>
          <w:sz w:val="20"/>
          <w:szCs w:val="22"/>
          <w:lang w:val="en-GB" w:eastAsia="ja-JP"/>
        </w:rPr>
        <w:t>.</w:t>
      </w:r>
      <w:r w:rsidRPr="00C96521">
        <w:rPr>
          <w:rFonts w:eastAsia="MS Mincho"/>
          <w:sz w:val="20"/>
          <w:szCs w:val="22"/>
          <w:lang w:val="en-GB" w:eastAsia="ja-JP"/>
        </w:rPr>
        <w:t>e</w:t>
      </w:r>
      <w:r w:rsidR="003574BE">
        <w:rPr>
          <w:rFonts w:eastAsia="MS Mincho"/>
          <w:sz w:val="20"/>
          <w:szCs w:val="22"/>
          <w:lang w:val="en-GB" w:eastAsia="ja-JP"/>
        </w:rPr>
        <w:t>.</w:t>
      </w:r>
      <w:r w:rsidRPr="00C96521">
        <w:rPr>
          <w:rFonts w:eastAsia="MS Mincho"/>
          <w:sz w:val="20"/>
          <w:szCs w:val="22"/>
          <w:lang w:val="en-GB" w:eastAsia="ja-JP"/>
        </w:rPr>
        <w:t xml:space="preserve"> critically endangered, endangered and vulnerable, and near-threatened migratory landbird species which should be the subject of strict protection measures and subject to a flyway recovery plan). The provisions for the latter include ensuring legal protection throughout their range.</w:t>
      </w:r>
    </w:p>
    <w:p w14:paraId="4F02927D"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30BAB5A8" w14:textId="77777777" w:rsidR="00C96521" w:rsidRPr="00C96521" w:rsidRDefault="00C96521" w:rsidP="00C96521">
      <w:pPr>
        <w:keepNext/>
        <w:keepLines/>
        <w:widowControl/>
        <w:autoSpaceDE/>
        <w:autoSpaceDN/>
        <w:adjustRightInd/>
        <w:spacing w:before="200" w:line="276" w:lineRule="auto"/>
        <w:outlineLvl w:val="2"/>
        <w:rPr>
          <w:rFonts w:ascii="Cambria" w:eastAsia="MS Gothic" w:hAnsi="Cambria"/>
          <w:b/>
          <w:bCs/>
          <w:color w:val="4F81BD"/>
          <w:sz w:val="20"/>
          <w:szCs w:val="22"/>
          <w:lang w:val="en-GB" w:eastAsia="ja-JP"/>
        </w:rPr>
      </w:pPr>
      <w:bookmarkStart w:id="4" w:name="_Toc478646892"/>
      <w:r w:rsidRPr="00C96521">
        <w:rPr>
          <w:rFonts w:ascii="Cambria" w:eastAsia="MS Gothic" w:hAnsi="Cambria"/>
          <w:b/>
          <w:bCs/>
          <w:color w:val="4F81BD"/>
          <w:sz w:val="20"/>
          <w:szCs w:val="22"/>
          <w:lang w:val="en-GB" w:eastAsia="ja-JP"/>
        </w:rPr>
        <w:t>International conservation status</w:t>
      </w:r>
      <w:bookmarkEnd w:id="4"/>
      <w:r w:rsidRPr="00C96521">
        <w:rPr>
          <w:rFonts w:ascii="Cambria" w:eastAsia="MS Gothic" w:hAnsi="Cambria"/>
          <w:b/>
          <w:bCs/>
          <w:color w:val="4F81BD"/>
          <w:sz w:val="20"/>
          <w:szCs w:val="22"/>
          <w:lang w:val="en-GB" w:eastAsia="ja-JP"/>
        </w:rPr>
        <w:t xml:space="preserve"> </w:t>
      </w:r>
    </w:p>
    <w:p w14:paraId="05D7B0B9"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tbl>
      <w:tblPr>
        <w:tblStyle w:val="TableGrid"/>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118"/>
        <w:gridCol w:w="1960"/>
        <w:gridCol w:w="5232"/>
      </w:tblGrid>
      <w:tr w:rsidR="00C96521" w:rsidRPr="0053142C" w14:paraId="0A253FBE" w14:textId="77777777" w:rsidTr="00C96521">
        <w:tc>
          <w:tcPr>
            <w:tcW w:w="2167" w:type="dxa"/>
          </w:tcPr>
          <w:p w14:paraId="3EA34FA5"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 xml:space="preserve">IUCN Global Red List </w:t>
            </w:r>
          </w:p>
        </w:tc>
        <w:tc>
          <w:tcPr>
            <w:tcW w:w="1983" w:type="dxa"/>
          </w:tcPr>
          <w:p w14:paraId="1A334DC0"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Vulnerable</w:t>
            </w:r>
          </w:p>
        </w:tc>
        <w:tc>
          <w:tcPr>
            <w:tcW w:w="5386" w:type="dxa"/>
          </w:tcPr>
          <w:p w14:paraId="3D3A8C4D"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www.iucnredlist.org (last accessed 15</w:t>
            </w:r>
            <w:r w:rsidRPr="0053142C">
              <w:rPr>
                <w:rFonts w:ascii="Arial" w:hAnsi="Arial" w:cs="Arial"/>
                <w:sz w:val="20"/>
                <w:vertAlign w:val="superscript"/>
                <w:lang w:val="en-GB"/>
              </w:rPr>
              <w:t>th</w:t>
            </w:r>
            <w:r w:rsidRPr="0053142C">
              <w:rPr>
                <w:rFonts w:ascii="Arial" w:hAnsi="Arial" w:cs="Arial"/>
                <w:sz w:val="20"/>
                <w:lang w:val="en-GB"/>
              </w:rPr>
              <w:t xml:space="preserve"> March 2017)</w:t>
            </w:r>
          </w:p>
        </w:tc>
      </w:tr>
      <w:tr w:rsidR="00C96521" w:rsidRPr="0053142C" w14:paraId="40C94024" w14:textId="77777777" w:rsidTr="00C96521">
        <w:tc>
          <w:tcPr>
            <w:tcW w:w="2167" w:type="dxa"/>
          </w:tcPr>
          <w:p w14:paraId="520B005D"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Pan-European Status</w:t>
            </w:r>
          </w:p>
        </w:tc>
        <w:tc>
          <w:tcPr>
            <w:tcW w:w="1983" w:type="dxa"/>
          </w:tcPr>
          <w:p w14:paraId="0B19CD4D"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Unfavourable, declining; SPEC 3</w:t>
            </w:r>
          </w:p>
        </w:tc>
        <w:tc>
          <w:tcPr>
            <w:tcW w:w="5386" w:type="dxa"/>
          </w:tcPr>
          <w:p w14:paraId="77E5AA75"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BirdLife (2004)</w:t>
            </w:r>
          </w:p>
        </w:tc>
      </w:tr>
      <w:tr w:rsidR="00C96521" w:rsidRPr="0053142C" w14:paraId="0ADB20D9" w14:textId="77777777" w:rsidTr="00C96521">
        <w:tc>
          <w:tcPr>
            <w:tcW w:w="2167" w:type="dxa"/>
          </w:tcPr>
          <w:p w14:paraId="03AE85D1"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EU Threat Status</w:t>
            </w:r>
          </w:p>
        </w:tc>
        <w:tc>
          <w:tcPr>
            <w:tcW w:w="1983" w:type="dxa"/>
          </w:tcPr>
          <w:p w14:paraId="59504325"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Unfavourable, Near Threatened</w:t>
            </w:r>
          </w:p>
        </w:tc>
        <w:tc>
          <w:tcPr>
            <w:tcW w:w="5386" w:type="dxa"/>
          </w:tcPr>
          <w:p w14:paraId="772CC053"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BirdLife (2015)</w:t>
            </w:r>
          </w:p>
        </w:tc>
      </w:tr>
      <w:tr w:rsidR="00C96521" w:rsidRPr="0053142C" w14:paraId="128D409D" w14:textId="77777777" w:rsidTr="00C96521">
        <w:tc>
          <w:tcPr>
            <w:tcW w:w="2167" w:type="dxa"/>
          </w:tcPr>
          <w:p w14:paraId="1387DF81"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European Red List</w:t>
            </w:r>
          </w:p>
        </w:tc>
        <w:tc>
          <w:tcPr>
            <w:tcW w:w="1983" w:type="dxa"/>
          </w:tcPr>
          <w:p w14:paraId="5E9613F4"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Vulnerable</w:t>
            </w:r>
          </w:p>
        </w:tc>
        <w:tc>
          <w:tcPr>
            <w:tcW w:w="5386" w:type="dxa"/>
          </w:tcPr>
          <w:p w14:paraId="3E886B68"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BirdLife (2015)</w:t>
            </w:r>
          </w:p>
        </w:tc>
      </w:tr>
    </w:tbl>
    <w:p w14:paraId="4FF4739E"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0045128" w14:textId="77777777" w:rsidR="00C96521" w:rsidRPr="00C96521" w:rsidRDefault="00C96521" w:rsidP="00C96521">
      <w:pPr>
        <w:keepNext/>
        <w:keepLines/>
        <w:widowControl/>
        <w:autoSpaceDE/>
        <w:autoSpaceDN/>
        <w:adjustRightInd/>
        <w:spacing w:before="200" w:line="276" w:lineRule="auto"/>
        <w:outlineLvl w:val="2"/>
        <w:rPr>
          <w:rFonts w:ascii="Cambria" w:eastAsia="MS Gothic" w:hAnsi="Cambria"/>
          <w:b/>
          <w:bCs/>
          <w:color w:val="4F81BD"/>
          <w:sz w:val="20"/>
          <w:szCs w:val="22"/>
          <w:lang w:val="en-GB" w:eastAsia="ja-JP"/>
        </w:rPr>
      </w:pPr>
      <w:bookmarkStart w:id="5" w:name="_Toc478646893"/>
      <w:r w:rsidRPr="00C96521">
        <w:rPr>
          <w:rFonts w:ascii="Cambria" w:eastAsia="MS Gothic" w:hAnsi="Cambria"/>
          <w:b/>
          <w:bCs/>
          <w:color w:val="4F81BD"/>
          <w:sz w:val="20"/>
          <w:szCs w:val="22"/>
          <w:lang w:val="en-GB" w:eastAsia="ja-JP"/>
        </w:rPr>
        <w:t>International and European protection policy and legislation</w:t>
      </w:r>
      <w:bookmarkEnd w:id="5"/>
    </w:p>
    <w:p w14:paraId="70AA66C9"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tbl>
      <w:tblPr>
        <w:tblStyle w:val="TableGrid"/>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095"/>
        <w:gridCol w:w="1829"/>
        <w:gridCol w:w="5386"/>
      </w:tblGrid>
      <w:tr w:rsidR="00C96521" w:rsidRPr="0053142C" w14:paraId="5E6A1AEC" w14:textId="77777777" w:rsidTr="00C96521">
        <w:tc>
          <w:tcPr>
            <w:tcW w:w="2167" w:type="dxa"/>
            <w:shd w:val="clear" w:color="auto" w:fill="D9D9D9"/>
          </w:tcPr>
          <w:p w14:paraId="54362594" w14:textId="77777777" w:rsidR="00C96521" w:rsidRPr="0053142C" w:rsidRDefault="00C96521" w:rsidP="00C96521">
            <w:pPr>
              <w:widowControl/>
              <w:autoSpaceDE/>
              <w:autoSpaceDN/>
              <w:adjustRightInd/>
              <w:rPr>
                <w:rFonts w:ascii="Arial" w:hAnsi="Arial" w:cs="Arial"/>
                <w:b/>
                <w:sz w:val="20"/>
                <w:lang w:val="en-GB"/>
              </w:rPr>
            </w:pPr>
            <w:r w:rsidRPr="0053142C">
              <w:rPr>
                <w:rFonts w:ascii="Arial" w:hAnsi="Arial" w:cs="Arial"/>
                <w:b/>
                <w:sz w:val="20"/>
                <w:lang w:val="en-GB"/>
              </w:rPr>
              <w:t>Instrument</w:t>
            </w:r>
          </w:p>
        </w:tc>
        <w:tc>
          <w:tcPr>
            <w:tcW w:w="1983" w:type="dxa"/>
            <w:shd w:val="clear" w:color="auto" w:fill="D9D9D9"/>
          </w:tcPr>
          <w:p w14:paraId="3C4C82A5" w14:textId="77777777" w:rsidR="00C96521" w:rsidRPr="0053142C" w:rsidRDefault="00C96521" w:rsidP="00C96521">
            <w:pPr>
              <w:widowControl/>
              <w:autoSpaceDE/>
              <w:autoSpaceDN/>
              <w:adjustRightInd/>
              <w:rPr>
                <w:rFonts w:ascii="Arial" w:hAnsi="Arial" w:cs="Arial"/>
                <w:b/>
                <w:sz w:val="20"/>
                <w:lang w:val="en-GB"/>
              </w:rPr>
            </w:pPr>
            <w:r w:rsidRPr="0053142C">
              <w:rPr>
                <w:rFonts w:ascii="Arial" w:hAnsi="Arial" w:cs="Arial"/>
                <w:b/>
                <w:sz w:val="20"/>
                <w:lang w:val="en-GB"/>
              </w:rPr>
              <w:t>Relevant section</w:t>
            </w:r>
          </w:p>
        </w:tc>
        <w:tc>
          <w:tcPr>
            <w:tcW w:w="5386" w:type="dxa"/>
            <w:shd w:val="clear" w:color="auto" w:fill="D9D9D9"/>
          </w:tcPr>
          <w:p w14:paraId="5E3CD2A6" w14:textId="77777777" w:rsidR="00C96521" w:rsidRPr="0053142C" w:rsidRDefault="00C96521" w:rsidP="00C96521">
            <w:pPr>
              <w:widowControl/>
              <w:autoSpaceDE/>
              <w:autoSpaceDN/>
              <w:adjustRightInd/>
              <w:rPr>
                <w:rFonts w:ascii="Arial" w:hAnsi="Arial" w:cs="Arial"/>
                <w:b/>
                <w:sz w:val="20"/>
                <w:lang w:val="en-GB"/>
              </w:rPr>
            </w:pPr>
            <w:r w:rsidRPr="0053142C">
              <w:rPr>
                <w:rFonts w:ascii="Arial" w:hAnsi="Arial" w:cs="Arial"/>
                <w:b/>
                <w:sz w:val="20"/>
                <w:lang w:val="en-GB"/>
              </w:rPr>
              <w:t>Reference and notes</w:t>
            </w:r>
          </w:p>
        </w:tc>
      </w:tr>
      <w:tr w:rsidR="00C96521" w:rsidRPr="0053142C" w14:paraId="4AAC5415" w14:textId="77777777" w:rsidTr="00C96521">
        <w:tc>
          <w:tcPr>
            <w:tcW w:w="2167" w:type="dxa"/>
          </w:tcPr>
          <w:p w14:paraId="2797A9CD"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Bonn Convention/CMS</w:t>
            </w:r>
          </w:p>
        </w:tc>
        <w:tc>
          <w:tcPr>
            <w:tcW w:w="1983" w:type="dxa"/>
          </w:tcPr>
          <w:p w14:paraId="0059DDB1"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Appendix II</w:t>
            </w:r>
          </w:p>
        </w:tc>
        <w:tc>
          <w:tcPr>
            <w:tcW w:w="5386" w:type="dxa"/>
          </w:tcPr>
          <w:p w14:paraId="129A75F8"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http://www.cms.int/en/species/streptopelia-turtur-turtur (last accessed 15</w:t>
            </w:r>
            <w:r w:rsidRPr="0053142C">
              <w:rPr>
                <w:rFonts w:ascii="Arial" w:hAnsi="Arial" w:cs="Arial"/>
                <w:sz w:val="20"/>
                <w:vertAlign w:val="superscript"/>
                <w:lang w:val="en-GB"/>
              </w:rPr>
              <w:t>th</w:t>
            </w:r>
            <w:r w:rsidRPr="0053142C">
              <w:rPr>
                <w:rFonts w:ascii="Arial" w:hAnsi="Arial" w:cs="Arial"/>
                <w:sz w:val="20"/>
                <w:lang w:val="en-GB"/>
              </w:rPr>
              <w:t xml:space="preserve"> March 2017)</w:t>
            </w:r>
          </w:p>
        </w:tc>
      </w:tr>
      <w:tr w:rsidR="00C96521" w:rsidRPr="0053142C" w14:paraId="105F2797" w14:textId="77777777" w:rsidTr="00C96521">
        <w:tc>
          <w:tcPr>
            <w:tcW w:w="2167" w:type="dxa"/>
          </w:tcPr>
          <w:p w14:paraId="5022792F"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CITES</w:t>
            </w:r>
          </w:p>
        </w:tc>
        <w:tc>
          <w:tcPr>
            <w:tcW w:w="1983" w:type="dxa"/>
          </w:tcPr>
          <w:p w14:paraId="558FDE09"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Not listed</w:t>
            </w:r>
          </w:p>
        </w:tc>
        <w:tc>
          <w:tcPr>
            <w:tcW w:w="5386" w:type="dxa"/>
          </w:tcPr>
          <w:p w14:paraId="0B45D092"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w:t>
            </w:r>
          </w:p>
        </w:tc>
      </w:tr>
      <w:tr w:rsidR="00C96521" w:rsidRPr="0053142C" w14:paraId="525A6A5F" w14:textId="77777777" w:rsidTr="00C96521">
        <w:tc>
          <w:tcPr>
            <w:tcW w:w="2167" w:type="dxa"/>
          </w:tcPr>
          <w:p w14:paraId="2D7E8853"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Bern Convention</w:t>
            </w:r>
          </w:p>
        </w:tc>
        <w:tc>
          <w:tcPr>
            <w:tcW w:w="1983" w:type="dxa"/>
          </w:tcPr>
          <w:p w14:paraId="6A40A208"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Appendix III</w:t>
            </w:r>
          </w:p>
        </w:tc>
        <w:tc>
          <w:tcPr>
            <w:tcW w:w="5386" w:type="dxa"/>
          </w:tcPr>
          <w:p w14:paraId="4C94EA7E"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http://www.coe.int/en/web/conventions/full-list/-/conventions/treaty/104</w:t>
            </w:r>
          </w:p>
          <w:p w14:paraId="07F4B899"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(last accessed 15</w:t>
            </w:r>
            <w:r w:rsidRPr="0053142C">
              <w:rPr>
                <w:rFonts w:ascii="Arial" w:hAnsi="Arial" w:cs="Arial"/>
                <w:sz w:val="20"/>
                <w:vertAlign w:val="superscript"/>
                <w:lang w:val="en-GB"/>
              </w:rPr>
              <w:t>th</w:t>
            </w:r>
            <w:r w:rsidRPr="0053142C">
              <w:rPr>
                <w:rFonts w:ascii="Arial" w:hAnsi="Arial" w:cs="Arial"/>
                <w:sz w:val="20"/>
                <w:lang w:val="en-GB"/>
              </w:rPr>
              <w:t xml:space="preserve"> March 2017)</w:t>
            </w:r>
          </w:p>
        </w:tc>
      </w:tr>
      <w:tr w:rsidR="00C96521" w:rsidRPr="0053142C" w14:paraId="07247F49" w14:textId="77777777" w:rsidTr="00C96521">
        <w:tc>
          <w:tcPr>
            <w:tcW w:w="2167" w:type="dxa"/>
          </w:tcPr>
          <w:p w14:paraId="71AF9F77"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EU Birds Directive</w:t>
            </w:r>
          </w:p>
        </w:tc>
        <w:tc>
          <w:tcPr>
            <w:tcW w:w="1983" w:type="dxa"/>
          </w:tcPr>
          <w:p w14:paraId="79859A14"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Annex II/B</w:t>
            </w:r>
          </w:p>
        </w:tc>
        <w:tc>
          <w:tcPr>
            <w:tcW w:w="5386" w:type="dxa"/>
          </w:tcPr>
          <w:p w14:paraId="1574E93B"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http://ec.europa.eu/environment/nature/legislation/ birdsdirective/index_en.htm</w:t>
            </w:r>
          </w:p>
          <w:p w14:paraId="41242891"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(last accessed 15</w:t>
            </w:r>
            <w:r w:rsidRPr="0053142C">
              <w:rPr>
                <w:rFonts w:ascii="Arial" w:hAnsi="Arial" w:cs="Arial"/>
                <w:sz w:val="20"/>
                <w:vertAlign w:val="superscript"/>
                <w:lang w:val="en-GB"/>
              </w:rPr>
              <w:t>th</w:t>
            </w:r>
            <w:r w:rsidRPr="0053142C">
              <w:rPr>
                <w:rFonts w:ascii="Arial" w:hAnsi="Arial" w:cs="Arial"/>
                <w:sz w:val="20"/>
                <w:lang w:val="en-GB"/>
              </w:rPr>
              <w:t xml:space="preserve"> March 2017)</w:t>
            </w:r>
          </w:p>
          <w:p w14:paraId="23351BFE" w14:textId="77777777" w:rsidR="00C96521" w:rsidRPr="0053142C" w:rsidRDefault="00C96521" w:rsidP="00C96521">
            <w:pPr>
              <w:widowControl/>
              <w:autoSpaceDE/>
              <w:autoSpaceDN/>
              <w:adjustRightInd/>
              <w:rPr>
                <w:rFonts w:ascii="Arial" w:hAnsi="Arial" w:cs="Arial"/>
                <w:sz w:val="20"/>
                <w:lang w:val="en-GB"/>
              </w:rPr>
            </w:pPr>
          </w:p>
          <w:p w14:paraId="477FA688"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The turtle-dove is listed on Annex II/B of the EU Birds Directive so it can only be hunted in those Member States that have defined a hunting season for the species.</w:t>
            </w:r>
          </w:p>
        </w:tc>
      </w:tr>
      <w:tr w:rsidR="00C96521" w:rsidRPr="0053142C" w14:paraId="6630D00E" w14:textId="77777777" w:rsidTr="00C96521">
        <w:tc>
          <w:tcPr>
            <w:tcW w:w="2167" w:type="dxa"/>
          </w:tcPr>
          <w:p w14:paraId="1E33B8C3"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Commission Regulation (EU) No 1320/2014 of 1 December 2014 amending Council Regulation (EC) No 338/97 on the protection of species of wild fauna and flora by regulating trade therein</w:t>
            </w:r>
          </w:p>
        </w:tc>
        <w:tc>
          <w:tcPr>
            <w:tcW w:w="1983" w:type="dxa"/>
          </w:tcPr>
          <w:p w14:paraId="4143CEE1"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Annex A</w:t>
            </w:r>
          </w:p>
        </w:tc>
        <w:tc>
          <w:tcPr>
            <w:tcW w:w="5386" w:type="dxa"/>
          </w:tcPr>
          <w:p w14:paraId="616476DC"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http://eur-lex.europa.eu/legal-content/EN/TXT/PDF/?uri=CELEX:32014R1320&amp;from=EN (last accessed 15</w:t>
            </w:r>
            <w:r w:rsidRPr="0053142C">
              <w:rPr>
                <w:rFonts w:ascii="Arial" w:hAnsi="Arial" w:cs="Arial"/>
                <w:sz w:val="20"/>
                <w:vertAlign w:val="superscript"/>
                <w:lang w:val="en-GB"/>
              </w:rPr>
              <w:t>th</w:t>
            </w:r>
            <w:r w:rsidRPr="0053142C">
              <w:rPr>
                <w:rFonts w:ascii="Arial" w:hAnsi="Arial" w:cs="Arial"/>
                <w:sz w:val="20"/>
                <w:lang w:val="en-GB"/>
              </w:rPr>
              <w:t xml:space="preserve"> March 2017)</w:t>
            </w:r>
          </w:p>
        </w:tc>
      </w:tr>
    </w:tbl>
    <w:p w14:paraId="79AA85C5"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DDACADC" w14:textId="4A112086"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Other EU policies will have an indirect effect on </w:t>
      </w:r>
      <w:r w:rsidR="004006B8">
        <w:rPr>
          <w:rFonts w:eastAsia="MS Mincho"/>
          <w:sz w:val="20"/>
          <w:szCs w:val="22"/>
          <w:lang w:val="en-GB" w:eastAsia="ja-JP"/>
        </w:rPr>
        <w:t>T</w:t>
      </w:r>
      <w:r w:rsidR="004006B8" w:rsidRPr="00C96521">
        <w:rPr>
          <w:rFonts w:eastAsia="MS Mincho"/>
          <w:sz w:val="20"/>
          <w:szCs w:val="22"/>
          <w:lang w:val="en-GB" w:eastAsia="ja-JP"/>
        </w:rPr>
        <w:t>urtle</w:t>
      </w:r>
      <w:r w:rsidR="004006B8">
        <w:rPr>
          <w:rFonts w:eastAsia="MS Mincho"/>
          <w:sz w:val="20"/>
          <w:szCs w:val="22"/>
          <w:lang w:val="en-GB" w:eastAsia="ja-JP"/>
        </w:rPr>
        <w:t xml:space="preserve"> D</w:t>
      </w:r>
      <w:r w:rsidR="004006B8" w:rsidRPr="00C96521">
        <w:rPr>
          <w:rFonts w:eastAsia="MS Mincho"/>
          <w:sz w:val="20"/>
          <w:szCs w:val="22"/>
          <w:lang w:val="en-GB" w:eastAsia="ja-JP"/>
        </w:rPr>
        <w:t>ove</w:t>
      </w:r>
      <w:r w:rsidR="004006B8">
        <w:rPr>
          <w:rFonts w:eastAsia="MS Mincho"/>
          <w:sz w:val="20"/>
          <w:szCs w:val="22"/>
          <w:lang w:val="en-GB" w:eastAsia="ja-JP"/>
        </w:rPr>
        <w:t>s</w:t>
      </w:r>
      <w:r w:rsidR="004006B8" w:rsidRPr="00C96521">
        <w:rPr>
          <w:rFonts w:eastAsia="MS Mincho"/>
          <w:sz w:val="20"/>
          <w:szCs w:val="22"/>
          <w:lang w:val="en-GB" w:eastAsia="ja-JP"/>
        </w:rPr>
        <w:t xml:space="preserve"> </w:t>
      </w:r>
      <w:r w:rsidRPr="00C96521">
        <w:rPr>
          <w:rFonts w:eastAsia="MS Mincho"/>
          <w:sz w:val="20"/>
          <w:szCs w:val="22"/>
          <w:lang w:val="en-GB" w:eastAsia="ja-JP"/>
        </w:rPr>
        <w:t>(they are not the specific target of the action), such as Rural Development Plans, Common Agricultural Policy, site protection as part of the Habitats Directive/Natura 2000 etc.</w:t>
      </w:r>
    </w:p>
    <w:p w14:paraId="6DA509CC"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6F75D9EE" w14:textId="77777777" w:rsidR="00C96521" w:rsidRPr="00C96521" w:rsidRDefault="00C96521" w:rsidP="00C96521">
      <w:pPr>
        <w:keepNext/>
        <w:keepLines/>
        <w:widowControl/>
        <w:autoSpaceDE/>
        <w:autoSpaceDN/>
        <w:adjustRightInd/>
        <w:spacing w:before="200" w:line="276" w:lineRule="auto"/>
        <w:outlineLvl w:val="2"/>
        <w:rPr>
          <w:rFonts w:ascii="Cambria" w:eastAsia="MS Gothic" w:hAnsi="Cambria"/>
          <w:b/>
          <w:bCs/>
          <w:color w:val="4F81BD"/>
          <w:sz w:val="20"/>
          <w:szCs w:val="22"/>
          <w:lang w:val="en-GB" w:eastAsia="ja-JP"/>
        </w:rPr>
      </w:pPr>
      <w:bookmarkStart w:id="6" w:name="_Toc478646894"/>
      <w:r w:rsidRPr="00C96521">
        <w:rPr>
          <w:rFonts w:ascii="Cambria" w:eastAsia="MS Gothic" w:hAnsi="Cambria"/>
          <w:b/>
          <w:bCs/>
          <w:color w:val="4F81BD"/>
          <w:sz w:val="20"/>
          <w:szCs w:val="22"/>
          <w:lang w:val="en-GB" w:eastAsia="ja-JP"/>
        </w:rPr>
        <w:t>Other relevant international policy and legislation</w:t>
      </w:r>
      <w:bookmarkEnd w:id="6"/>
    </w:p>
    <w:p w14:paraId="1736855C"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tbl>
      <w:tblPr>
        <w:tblStyle w:val="TableGrid"/>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796"/>
        <w:gridCol w:w="1998"/>
        <w:gridCol w:w="5742"/>
      </w:tblGrid>
      <w:tr w:rsidR="00C96521" w:rsidRPr="0053142C" w14:paraId="367C2EBC" w14:textId="77777777" w:rsidTr="00C96521">
        <w:tc>
          <w:tcPr>
            <w:tcW w:w="1796" w:type="dxa"/>
            <w:shd w:val="clear" w:color="auto" w:fill="D9D9D9"/>
          </w:tcPr>
          <w:p w14:paraId="21A6E4AE" w14:textId="77777777" w:rsidR="00C96521" w:rsidRPr="0053142C" w:rsidRDefault="00C96521" w:rsidP="00C96521">
            <w:pPr>
              <w:widowControl/>
              <w:autoSpaceDE/>
              <w:autoSpaceDN/>
              <w:adjustRightInd/>
              <w:rPr>
                <w:rFonts w:ascii="Arial" w:hAnsi="Arial" w:cs="Arial"/>
                <w:b/>
                <w:sz w:val="20"/>
                <w:lang w:val="en-GB"/>
              </w:rPr>
            </w:pPr>
            <w:r w:rsidRPr="0053142C">
              <w:rPr>
                <w:rFonts w:ascii="Arial" w:hAnsi="Arial" w:cs="Arial"/>
                <w:b/>
                <w:sz w:val="20"/>
                <w:lang w:val="en-GB"/>
              </w:rPr>
              <w:t>Instrument</w:t>
            </w:r>
          </w:p>
        </w:tc>
        <w:tc>
          <w:tcPr>
            <w:tcW w:w="1998" w:type="dxa"/>
            <w:shd w:val="clear" w:color="auto" w:fill="D9D9D9"/>
          </w:tcPr>
          <w:p w14:paraId="1A9F9AEA" w14:textId="77777777" w:rsidR="00C96521" w:rsidRPr="0053142C" w:rsidRDefault="00C96521" w:rsidP="00C96521">
            <w:pPr>
              <w:widowControl/>
              <w:autoSpaceDE/>
              <w:autoSpaceDN/>
              <w:adjustRightInd/>
              <w:rPr>
                <w:rFonts w:ascii="Arial" w:hAnsi="Arial" w:cs="Arial"/>
                <w:b/>
                <w:sz w:val="20"/>
                <w:lang w:val="en-GB"/>
              </w:rPr>
            </w:pPr>
            <w:r w:rsidRPr="0053142C">
              <w:rPr>
                <w:rFonts w:ascii="Arial" w:hAnsi="Arial" w:cs="Arial"/>
                <w:b/>
                <w:sz w:val="20"/>
                <w:lang w:val="en-GB"/>
              </w:rPr>
              <w:t>Relevant section</w:t>
            </w:r>
          </w:p>
        </w:tc>
        <w:tc>
          <w:tcPr>
            <w:tcW w:w="5742" w:type="dxa"/>
            <w:shd w:val="clear" w:color="auto" w:fill="D9D9D9"/>
          </w:tcPr>
          <w:p w14:paraId="7806C338" w14:textId="77777777" w:rsidR="00C96521" w:rsidRPr="0053142C" w:rsidRDefault="00C96521" w:rsidP="00C96521">
            <w:pPr>
              <w:widowControl/>
              <w:autoSpaceDE/>
              <w:autoSpaceDN/>
              <w:adjustRightInd/>
              <w:rPr>
                <w:rFonts w:ascii="Arial" w:hAnsi="Arial" w:cs="Arial"/>
                <w:b/>
                <w:sz w:val="20"/>
                <w:lang w:val="en-GB"/>
              </w:rPr>
            </w:pPr>
            <w:r w:rsidRPr="0053142C">
              <w:rPr>
                <w:rFonts w:ascii="Arial" w:hAnsi="Arial" w:cs="Arial"/>
                <w:b/>
                <w:sz w:val="20"/>
                <w:lang w:val="en-GB"/>
              </w:rPr>
              <w:t>Reference</w:t>
            </w:r>
          </w:p>
        </w:tc>
      </w:tr>
      <w:tr w:rsidR="00C96521" w:rsidRPr="0053142C" w14:paraId="702007BF" w14:textId="77777777" w:rsidTr="00C96521">
        <w:tc>
          <w:tcPr>
            <w:tcW w:w="1796" w:type="dxa"/>
          </w:tcPr>
          <w:p w14:paraId="5519B1A5" w14:textId="77777777" w:rsidR="00C96521" w:rsidRPr="0053142C" w:rsidRDefault="00C96521" w:rsidP="00C96521">
            <w:pPr>
              <w:widowControl/>
              <w:autoSpaceDE/>
              <w:autoSpaceDN/>
              <w:adjustRightInd/>
              <w:rPr>
                <w:rFonts w:ascii="Arial" w:hAnsi="Arial" w:cs="Arial"/>
                <w:sz w:val="20"/>
                <w:szCs w:val="20"/>
                <w:lang w:val="en-GB"/>
              </w:rPr>
            </w:pPr>
            <w:r w:rsidRPr="0053142C">
              <w:rPr>
                <w:rFonts w:ascii="Arial" w:hAnsi="Arial" w:cs="Arial"/>
                <w:sz w:val="20"/>
                <w:szCs w:val="20"/>
                <w:lang w:val="en-GB"/>
              </w:rPr>
              <w:t>Convention on the Conservation of Migratory Species of Wild Animals</w:t>
            </w:r>
          </w:p>
        </w:tc>
        <w:tc>
          <w:tcPr>
            <w:tcW w:w="1998" w:type="dxa"/>
          </w:tcPr>
          <w:p w14:paraId="55C0EE7E" w14:textId="77777777" w:rsidR="00C96521" w:rsidRPr="0053142C" w:rsidRDefault="00C96521" w:rsidP="00C96521">
            <w:pPr>
              <w:widowControl/>
              <w:autoSpaceDE/>
              <w:autoSpaceDN/>
              <w:adjustRightInd/>
              <w:rPr>
                <w:rFonts w:ascii="Arial" w:hAnsi="Arial" w:cs="Arial"/>
                <w:bCs/>
                <w:sz w:val="20"/>
                <w:szCs w:val="20"/>
                <w:lang w:val="en-GB"/>
              </w:rPr>
            </w:pPr>
            <w:r w:rsidRPr="0053142C">
              <w:rPr>
                <w:rFonts w:ascii="Arial" w:hAnsi="Arial" w:cs="Arial"/>
                <w:bCs/>
                <w:sz w:val="20"/>
                <w:szCs w:val="20"/>
                <w:lang w:val="en-GB"/>
              </w:rPr>
              <w:t>UNEP/ CMS/ Resolution 11.17</w:t>
            </w:r>
          </w:p>
          <w:p w14:paraId="658A32A9" w14:textId="77777777" w:rsidR="00C96521" w:rsidRPr="0053142C" w:rsidRDefault="00C96521" w:rsidP="00C96521">
            <w:pPr>
              <w:widowControl/>
              <w:autoSpaceDE/>
              <w:autoSpaceDN/>
              <w:adjustRightInd/>
              <w:rPr>
                <w:rFonts w:ascii="Arial" w:hAnsi="Arial" w:cs="Arial"/>
                <w:bCs/>
                <w:sz w:val="20"/>
                <w:szCs w:val="20"/>
                <w:lang w:val="en-GB"/>
              </w:rPr>
            </w:pPr>
          </w:p>
          <w:p w14:paraId="01C663E7" w14:textId="77777777" w:rsidR="00C96521" w:rsidRPr="0053142C" w:rsidRDefault="00C96521" w:rsidP="00C96521">
            <w:pPr>
              <w:widowControl/>
              <w:autoSpaceDE/>
              <w:autoSpaceDN/>
              <w:adjustRightInd/>
              <w:rPr>
                <w:rFonts w:ascii="Arial" w:hAnsi="Arial" w:cs="Arial"/>
                <w:bCs/>
                <w:sz w:val="20"/>
                <w:szCs w:val="20"/>
                <w:lang w:val="en-GB"/>
              </w:rPr>
            </w:pPr>
          </w:p>
          <w:p w14:paraId="32F3349D" w14:textId="77777777" w:rsidR="00C96521" w:rsidRPr="0053142C" w:rsidRDefault="00C96521" w:rsidP="00C96521">
            <w:pPr>
              <w:widowControl/>
              <w:autoSpaceDE/>
              <w:autoSpaceDN/>
              <w:adjustRightInd/>
              <w:rPr>
                <w:rFonts w:ascii="Arial" w:hAnsi="Arial" w:cs="Arial"/>
                <w:bCs/>
                <w:sz w:val="20"/>
                <w:szCs w:val="20"/>
                <w:lang w:val="en-GB"/>
              </w:rPr>
            </w:pPr>
          </w:p>
          <w:p w14:paraId="37363E82" w14:textId="77777777" w:rsidR="00C96521" w:rsidRPr="0053142C" w:rsidRDefault="00C96521" w:rsidP="00C96521">
            <w:pPr>
              <w:widowControl/>
              <w:autoSpaceDE/>
              <w:autoSpaceDN/>
              <w:adjustRightInd/>
              <w:rPr>
                <w:rFonts w:ascii="Arial" w:hAnsi="Arial" w:cs="Arial"/>
                <w:bCs/>
                <w:sz w:val="20"/>
                <w:szCs w:val="20"/>
                <w:lang w:val="en-GB"/>
              </w:rPr>
            </w:pPr>
          </w:p>
          <w:p w14:paraId="3708D90B" w14:textId="77777777" w:rsidR="00C96521" w:rsidRPr="0053142C" w:rsidRDefault="00C96521" w:rsidP="00C96521">
            <w:pPr>
              <w:widowControl/>
              <w:autoSpaceDE/>
              <w:autoSpaceDN/>
              <w:adjustRightInd/>
              <w:rPr>
                <w:rFonts w:ascii="Arial" w:hAnsi="Arial" w:cs="Arial"/>
                <w:bCs/>
                <w:sz w:val="20"/>
                <w:szCs w:val="20"/>
                <w:lang w:val="en-GB"/>
              </w:rPr>
            </w:pPr>
          </w:p>
          <w:p w14:paraId="697B5056" w14:textId="77777777" w:rsidR="00C96521" w:rsidRPr="0053142C" w:rsidRDefault="00C96521" w:rsidP="00C96521">
            <w:pPr>
              <w:widowControl/>
              <w:autoSpaceDE/>
              <w:autoSpaceDN/>
              <w:adjustRightInd/>
              <w:rPr>
                <w:rFonts w:ascii="Arial" w:hAnsi="Arial" w:cs="Arial"/>
                <w:bCs/>
                <w:sz w:val="20"/>
                <w:szCs w:val="20"/>
                <w:lang w:val="en-GB"/>
              </w:rPr>
            </w:pPr>
            <w:r w:rsidRPr="0053142C">
              <w:rPr>
                <w:rFonts w:ascii="Arial" w:hAnsi="Arial" w:cs="Arial"/>
                <w:sz w:val="20"/>
                <w:szCs w:val="20"/>
                <w:lang w:val="en-GB"/>
              </w:rPr>
              <w:t>Abuja Declaration</w:t>
            </w:r>
          </w:p>
        </w:tc>
        <w:tc>
          <w:tcPr>
            <w:tcW w:w="5742" w:type="dxa"/>
          </w:tcPr>
          <w:p w14:paraId="3AC5EF2D" w14:textId="77777777" w:rsidR="00C96521" w:rsidRPr="0053142C" w:rsidRDefault="00C96521" w:rsidP="00C96521">
            <w:pPr>
              <w:widowControl/>
              <w:autoSpaceDE/>
              <w:autoSpaceDN/>
              <w:adjustRightInd/>
              <w:rPr>
                <w:rFonts w:ascii="Arial" w:hAnsi="Arial" w:cs="Arial"/>
                <w:sz w:val="20"/>
                <w:szCs w:val="20"/>
                <w:lang w:val="en-GB"/>
              </w:rPr>
            </w:pPr>
            <w:r w:rsidRPr="0053142C">
              <w:rPr>
                <w:rFonts w:ascii="Arial" w:hAnsi="Arial" w:cs="Arial"/>
                <w:sz w:val="20"/>
                <w:lang w:val="en-GB"/>
              </w:rPr>
              <w:t>http://www.cms.int/en/document/action-plan-migratory-landbirds-african-eurasian-region-aemlap</w:t>
            </w:r>
            <w:r w:rsidRPr="0053142C">
              <w:rPr>
                <w:rFonts w:ascii="Arial" w:hAnsi="Arial" w:cs="Arial"/>
                <w:sz w:val="20"/>
                <w:szCs w:val="20"/>
                <w:lang w:val="en-GB"/>
              </w:rPr>
              <w:t xml:space="preserve"> (last accessed </w:t>
            </w:r>
            <w:r w:rsidRPr="0053142C">
              <w:rPr>
                <w:rFonts w:ascii="Arial" w:hAnsi="Arial" w:cs="Arial"/>
                <w:sz w:val="20"/>
                <w:lang w:val="en-GB"/>
              </w:rPr>
              <w:t>15</w:t>
            </w:r>
            <w:r w:rsidRPr="0053142C">
              <w:rPr>
                <w:rFonts w:ascii="Arial" w:hAnsi="Arial" w:cs="Arial"/>
                <w:sz w:val="20"/>
                <w:vertAlign w:val="superscript"/>
                <w:lang w:val="en-GB"/>
              </w:rPr>
              <w:t>th</w:t>
            </w:r>
            <w:r w:rsidRPr="0053142C">
              <w:rPr>
                <w:rFonts w:ascii="Arial" w:hAnsi="Arial" w:cs="Arial"/>
                <w:sz w:val="20"/>
                <w:lang w:val="en-GB"/>
              </w:rPr>
              <w:t xml:space="preserve"> March 2017</w:t>
            </w:r>
            <w:r w:rsidRPr="0053142C">
              <w:rPr>
                <w:rFonts w:ascii="Arial" w:hAnsi="Arial" w:cs="Arial"/>
                <w:sz w:val="20"/>
                <w:szCs w:val="20"/>
                <w:lang w:val="en-GB"/>
              </w:rPr>
              <w:t>)</w:t>
            </w:r>
          </w:p>
          <w:p w14:paraId="56755575" w14:textId="77777777" w:rsidR="00C96521" w:rsidRPr="0053142C" w:rsidRDefault="00C96521" w:rsidP="00C96521">
            <w:pPr>
              <w:widowControl/>
              <w:autoSpaceDE/>
              <w:autoSpaceDN/>
              <w:adjustRightInd/>
              <w:rPr>
                <w:rFonts w:ascii="Arial" w:hAnsi="Arial" w:cs="Arial"/>
                <w:sz w:val="20"/>
                <w:szCs w:val="20"/>
                <w:lang w:val="en-GB"/>
              </w:rPr>
            </w:pPr>
          </w:p>
          <w:p w14:paraId="6E5C479D" w14:textId="77777777" w:rsidR="00C96521" w:rsidRPr="0053142C" w:rsidRDefault="00C96521" w:rsidP="00C96521">
            <w:pPr>
              <w:widowControl/>
              <w:autoSpaceDE/>
              <w:autoSpaceDN/>
              <w:adjustRightInd/>
              <w:rPr>
                <w:rFonts w:ascii="Arial" w:hAnsi="Arial" w:cs="Arial"/>
                <w:sz w:val="20"/>
                <w:szCs w:val="20"/>
                <w:lang w:val="en-GB"/>
              </w:rPr>
            </w:pPr>
            <w:r w:rsidRPr="0053142C">
              <w:rPr>
                <w:rFonts w:ascii="Arial" w:hAnsi="Arial" w:cs="Arial"/>
                <w:sz w:val="20"/>
                <w:szCs w:val="20"/>
                <w:lang w:val="en-GB"/>
              </w:rPr>
              <w:t>Resolution 11.17 adopted the African-Eurasian Migratory Landbirds Action Plan.</w:t>
            </w:r>
          </w:p>
          <w:p w14:paraId="65343144" w14:textId="77777777" w:rsidR="00C96521" w:rsidRPr="0053142C" w:rsidRDefault="00C96521" w:rsidP="00C96521">
            <w:pPr>
              <w:widowControl/>
              <w:autoSpaceDE/>
              <w:autoSpaceDN/>
              <w:adjustRightInd/>
              <w:rPr>
                <w:rFonts w:ascii="Arial" w:hAnsi="Arial" w:cs="Arial"/>
                <w:sz w:val="20"/>
                <w:szCs w:val="20"/>
                <w:lang w:val="en-GB"/>
              </w:rPr>
            </w:pPr>
          </w:p>
          <w:p w14:paraId="1E52F8D0" w14:textId="548A9B56" w:rsidR="00C96521" w:rsidRPr="0053142C" w:rsidRDefault="00C96521" w:rsidP="00C96521">
            <w:pPr>
              <w:widowControl/>
              <w:autoSpaceDE/>
              <w:autoSpaceDN/>
              <w:adjustRightInd/>
              <w:rPr>
                <w:rFonts w:ascii="Arial" w:hAnsi="Arial" w:cs="Arial"/>
                <w:sz w:val="20"/>
                <w:szCs w:val="20"/>
                <w:lang w:val="en-GB"/>
              </w:rPr>
            </w:pPr>
            <w:r w:rsidRPr="0053142C">
              <w:rPr>
                <w:rFonts w:ascii="Arial" w:hAnsi="Arial" w:cs="Arial"/>
                <w:sz w:val="20"/>
                <w:szCs w:val="20"/>
                <w:lang w:val="en-GB"/>
              </w:rPr>
              <w:t>Abuja Declaration on Sustainable Land Use for People and Biodiversity including Migratory Birds in West Africa http://www.cms.int/en/news/workshop-abuja-agrees-key-policies-sustainable-land-use-west-africa (last accessed 23</w:t>
            </w:r>
            <w:r w:rsidR="004006B8">
              <w:rPr>
                <w:rFonts w:ascii="Arial" w:hAnsi="Arial" w:cs="Arial"/>
                <w:sz w:val="20"/>
                <w:szCs w:val="20"/>
                <w:vertAlign w:val="superscript"/>
                <w:lang w:val="en-GB"/>
              </w:rPr>
              <w:t xml:space="preserve"> </w:t>
            </w:r>
            <w:r w:rsidRPr="0053142C">
              <w:rPr>
                <w:rFonts w:ascii="Arial" w:hAnsi="Arial" w:cs="Arial"/>
                <w:sz w:val="20"/>
                <w:szCs w:val="20"/>
                <w:lang w:val="en-GB"/>
              </w:rPr>
              <w:t>March 2017)</w:t>
            </w:r>
          </w:p>
        </w:tc>
      </w:tr>
      <w:tr w:rsidR="00C96521" w:rsidRPr="0053142C" w14:paraId="259361E8" w14:textId="77777777" w:rsidTr="00C96521">
        <w:tc>
          <w:tcPr>
            <w:tcW w:w="1796" w:type="dxa"/>
          </w:tcPr>
          <w:p w14:paraId="17D60F78" w14:textId="77777777" w:rsidR="00C96521" w:rsidRPr="003A3278" w:rsidRDefault="00C96521" w:rsidP="00C96521">
            <w:pPr>
              <w:widowControl/>
              <w:autoSpaceDE/>
              <w:autoSpaceDN/>
              <w:adjustRightInd/>
              <w:rPr>
                <w:rFonts w:ascii="Arial" w:hAnsi="Arial" w:cs="Arial"/>
                <w:sz w:val="20"/>
                <w:szCs w:val="20"/>
                <w:lang w:val="fr-FR"/>
              </w:rPr>
            </w:pPr>
            <w:r w:rsidRPr="003A3278">
              <w:rPr>
                <w:rFonts w:ascii="Arial" w:hAnsi="Arial" w:cs="Arial"/>
                <w:sz w:val="20"/>
                <w:szCs w:val="20"/>
                <w:lang w:val="fr-FR"/>
              </w:rPr>
              <w:t>UN Convention to Combat Desertification</w:t>
            </w:r>
          </w:p>
        </w:tc>
        <w:tc>
          <w:tcPr>
            <w:tcW w:w="1998" w:type="dxa"/>
          </w:tcPr>
          <w:p w14:paraId="0A1C236C" w14:textId="77777777" w:rsidR="00C96521" w:rsidRPr="0053142C" w:rsidRDefault="00C96521" w:rsidP="00C96521">
            <w:pPr>
              <w:widowControl/>
              <w:autoSpaceDE/>
              <w:autoSpaceDN/>
              <w:adjustRightInd/>
              <w:rPr>
                <w:rFonts w:ascii="Arial" w:hAnsi="Arial" w:cs="Arial"/>
                <w:sz w:val="20"/>
                <w:szCs w:val="20"/>
                <w:lang w:val="en-GB"/>
              </w:rPr>
            </w:pPr>
            <w:r w:rsidRPr="0053142C">
              <w:rPr>
                <w:rFonts w:ascii="Arial" w:hAnsi="Arial" w:cs="Arial"/>
                <w:bCs/>
                <w:sz w:val="20"/>
                <w:szCs w:val="20"/>
                <w:lang w:val="en-GB"/>
              </w:rPr>
              <w:t>ICCD/COP(11) /23/Add.1</w:t>
            </w:r>
          </w:p>
        </w:tc>
        <w:tc>
          <w:tcPr>
            <w:tcW w:w="5742" w:type="dxa"/>
          </w:tcPr>
          <w:p w14:paraId="74879BE1" w14:textId="232C4D71" w:rsidR="00C96521" w:rsidRPr="0053142C" w:rsidRDefault="00C96521" w:rsidP="00C96521">
            <w:pPr>
              <w:widowControl/>
              <w:autoSpaceDE/>
              <w:autoSpaceDN/>
              <w:adjustRightInd/>
              <w:rPr>
                <w:rFonts w:ascii="Arial" w:hAnsi="Arial" w:cs="Arial"/>
                <w:sz w:val="20"/>
                <w:szCs w:val="20"/>
                <w:lang w:val="en-GB"/>
              </w:rPr>
            </w:pPr>
            <w:r w:rsidRPr="0053142C">
              <w:rPr>
                <w:rFonts w:ascii="Arial" w:hAnsi="Arial" w:cs="Arial"/>
                <w:sz w:val="20"/>
                <w:lang w:val="en-GB"/>
              </w:rPr>
              <w:t>http://www.unccd.int/Lists/OfficialDocuments/cop11/23add1eng.pdf</w:t>
            </w:r>
            <w:r w:rsidRPr="0053142C">
              <w:rPr>
                <w:rFonts w:ascii="Arial" w:hAnsi="Arial" w:cs="Arial"/>
                <w:sz w:val="20"/>
                <w:szCs w:val="20"/>
                <w:lang w:val="en-GB"/>
              </w:rPr>
              <w:t xml:space="preserve"> (last accessed </w:t>
            </w:r>
            <w:r w:rsidRPr="0053142C">
              <w:rPr>
                <w:rFonts w:ascii="Arial" w:hAnsi="Arial" w:cs="Arial"/>
                <w:sz w:val="20"/>
                <w:lang w:val="en-GB"/>
              </w:rPr>
              <w:t>15 March 2017</w:t>
            </w:r>
            <w:r w:rsidRPr="0053142C">
              <w:rPr>
                <w:rFonts w:ascii="Arial" w:hAnsi="Arial" w:cs="Arial"/>
                <w:sz w:val="20"/>
                <w:szCs w:val="20"/>
                <w:lang w:val="en-GB"/>
              </w:rPr>
              <w:t>)</w:t>
            </w:r>
          </w:p>
          <w:p w14:paraId="1174090B" w14:textId="77777777" w:rsidR="00C96521" w:rsidRPr="0053142C" w:rsidRDefault="00C96521" w:rsidP="00C96521">
            <w:pPr>
              <w:widowControl/>
              <w:autoSpaceDE/>
              <w:autoSpaceDN/>
              <w:adjustRightInd/>
              <w:rPr>
                <w:rFonts w:ascii="Arial" w:hAnsi="Arial" w:cs="Arial"/>
                <w:sz w:val="20"/>
                <w:szCs w:val="20"/>
                <w:lang w:val="en-GB"/>
              </w:rPr>
            </w:pPr>
          </w:p>
          <w:p w14:paraId="2B8B99AE" w14:textId="77777777" w:rsidR="00C96521" w:rsidRPr="0053142C" w:rsidRDefault="00C96521" w:rsidP="00C96521">
            <w:pPr>
              <w:widowControl/>
              <w:autoSpaceDE/>
              <w:autoSpaceDN/>
              <w:adjustRightInd/>
              <w:rPr>
                <w:rFonts w:ascii="Arial" w:hAnsi="Arial" w:cs="Arial"/>
                <w:sz w:val="20"/>
                <w:szCs w:val="20"/>
                <w:lang w:val="en-GB"/>
              </w:rPr>
            </w:pPr>
            <w:r w:rsidRPr="0053142C">
              <w:rPr>
                <w:rFonts w:ascii="Arial" w:hAnsi="Arial" w:cs="Arial"/>
                <w:sz w:val="20"/>
                <w:szCs w:val="20"/>
                <w:lang w:val="en-GB"/>
              </w:rPr>
              <w:t>UNCCD COP11 decision 22 adopted a Global Wild Bird Index as one of two indicators for its Strategic Objective 3.</w:t>
            </w:r>
          </w:p>
        </w:tc>
      </w:tr>
      <w:tr w:rsidR="00C96521" w:rsidRPr="0053142C" w14:paraId="58E4C82D" w14:textId="77777777" w:rsidTr="00C96521">
        <w:tc>
          <w:tcPr>
            <w:tcW w:w="1796" w:type="dxa"/>
          </w:tcPr>
          <w:p w14:paraId="221FD5E1" w14:textId="77777777" w:rsidR="00C96521" w:rsidRPr="0053142C" w:rsidRDefault="00C96521" w:rsidP="00C96521">
            <w:pPr>
              <w:widowControl/>
              <w:autoSpaceDE/>
              <w:autoSpaceDN/>
              <w:adjustRightInd/>
              <w:rPr>
                <w:rFonts w:ascii="Arial" w:hAnsi="Arial" w:cs="Arial"/>
                <w:sz w:val="20"/>
                <w:lang w:val="en-GB"/>
              </w:rPr>
            </w:pPr>
            <w:r w:rsidRPr="0053142C">
              <w:rPr>
                <w:rFonts w:ascii="Arial" w:hAnsi="Arial" w:cs="Arial"/>
                <w:sz w:val="20"/>
                <w:lang w:val="en-GB"/>
              </w:rPr>
              <w:t>Convention on Biological Diversity</w:t>
            </w:r>
          </w:p>
        </w:tc>
        <w:tc>
          <w:tcPr>
            <w:tcW w:w="1998" w:type="dxa"/>
          </w:tcPr>
          <w:p w14:paraId="3A5CCEFD" w14:textId="77777777" w:rsidR="00C96521" w:rsidRPr="0053142C" w:rsidRDefault="00C96521" w:rsidP="00C96521">
            <w:pPr>
              <w:widowControl/>
              <w:autoSpaceDE/>
              <w:autoSpaceDN/>
              <w:adjustRightInd/>
              <w:spacing w:line="276" w:lineRule="auto"/>
              <w:rPr>
                <w:rFonts w:ascii="Arial" w:hAnsi="Arial" w:cs="Arial"/>
                <w:sz w:val="20"/>
                <w:szCs w:val="20"/>
                <w:lang w:val="en-GB"/>
              </w:rPr>
            </w:pPr>
            <w:r w:rsidRPr="0053142C">
              <w:rPr>
                <w:rFonts w:ascii="Arial" w:hAnsi="Arial" w:cs="Arial"/>
                <w:sz w:val="20"/>
                <w:szCs w:val="20"/>
                <w:lang w:val="en-GB"/>
              </w:rPr>
              <w:t>Aichi targets 5 and 12</w:t>
            </w:r>
          </w:p>
        </w:tc>
        <w:tc>
          <w:tcPr>
            <w:tcW w:w="5742" w:type="dxa"/>
          </w:tcPr>
          <w:p w14:paraId="157D86DF" w14:textId="373A8588" w:rsidR="00C96521" w:rsidRPr="0053142C" w:rsidRDefault="00C96521" w:rsidP="00C96521">
            <w:pPr>
              <w:widowControl/>
              <w:rPr>
                <w:rFonts w:ascii="Arial" w:eastAsia="Calibri" w:hAnsi="Arial" w:cs="Arial"/>
                <w:bCs/>
                <w:iCs/>
                <w:color w:val="000000"/>
                <w:sz w:val="20"/>
                <w:szCs w:val="20"/>
                <w:lang w:val="en-GB"/>
              </w:rPr>
            </w:pPr>
            <w:r w:rsidRPr="0053142C">
              <w:rPr>
                <w:rFonts w:ascii="Arial" w:eastAsia="Calibri" w:hAnsi="Arial" w:cs="Arial"/>
                <w:bCs/>
                <w:iCs/>
                <w:color w:val="000000"/>
                <w:sz w:val="20"/>
                <w:szCs w:val="20"/>
                <w:lang w:val="en-GB"/>
              </w:rPr>
              <w:t>http://www.cbt.int/sp/targets (last accessed 15 March 2017)</w:t>
            </w:r>
          </w:p>
          <w:p w14:paraId="0BABCD04" w14:textId="77777777" w:rsidR="00C96521" w:rsidRPr="0053142C" w:rsidRDefault="00C96521" w:rsidP="00C96521">
            <w:pPr>
              <w:widowControl/>
              <w:autoSpaceDE/>
              <w:autoSpaceDN/>
              <w:adjustRightInd/>
              <w:rPr>
                <w:rFonts w:ascii="Arial" w:hAnsi="Arial" w:cs="Arial"/>
                <w:sz w:val="20"/>
                <w:szCs w:val="20"/>
                <w:lang w:val="en-GB"/>
              </w:rPr>
            </w:pPr>
          </w:p>
        </w:tc>
      </w:tr>
    </w:tbl>
    <w:p w14:paraId="5BE04940"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6671376" w14:textId="77777777" w:rsidR="00C96521" w:rsidRPr="00C96521" w:rsidRDefault="00C96521" w:rsidP="00C96521">
      <w:pPr>
        <w:keepNext/>
        <w:keepLines/>
        <w:widowControl/>
        <w:autoSpaceDE/>
        <w:autoSpaceDN/>
        <w:adjustRightInd/>
        <w:spacing w:before="200" w:line="276" w:lineRule="auto"/>
        <w:outlineLvl w:val="2"/>
        <w:rPr>
          <w:rFonts w:ascii="Cambria" w:eastAsia="MS Gothic" w:hAnsi="Cambria"/>
          <w:b/>
          <w:bCs/>
          <w:color w:val="4F81BD"/>
          <w:sz w:val="20"/>
          <w:szCs w:val="22"/>
          <w:lang w:val="en-GB" w:eastAsia="ja-JP"/>
        </w:rPr>
      </w:pPr>
      <w:bookmarkStart w:id="7" w:name="_Toc478646895"/>
      <w:r w:rsidRPr="00C96521">
        <w:rPr>
          <w:rFonts w:ascii="Cambria" w:eastAsia="MS Gothic" w:hAnsi="Cambria"/>
          <w:b/>
          <w:bCs/>
          <w:color w:val="4F81BD"/>
          <w:sz w:val="20"/>
          <w:szCs w:val="22"/>
          <w:lang w:val="en-GB" w:eastAsia="ja-JP"/>
        </w:rPr>
        <w:t>National policies and legislation</w:t>
      </w:r>
      <w:bookmarkEnd w:id="7"/>
    </w:p>
    <w:p w14:paraId="7B626F54"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tbl>
      <w:tblPr>
        <w:tblStyle w:val="TableGrid"/>
        <w:tblW w:w="0" w:type="auto"/>
        <w:tblLook w:val="04A0" w:firstRow="1" w:lastRow="0" w:firstColumn="1" w:lastColumn="0" w:noHBand="0" w:noVBand="1"/>
      </w:tblPr>
      <w:tblGrid>
        <w:gridCol w:w="3039"/>
        <w:gridCol w:w="6271"/>
      </w:tblGrid>
      <w:tr w:rsidR="00C96521" w:rsidRPr="0053142C" w14:paraId="241320FF" w14:textId="77777777" w:rsidTr="00C96521">
        <w:tc>
          <w:tcPr>
            <w:tcW w:w="3085" w:type="dxa"/>
            <w:shd w:val="clear" w:color="auto" w:fill="D9D9D9"/>
          </w:tcPr>
          <w:p w14:paraId="0A55E513" w14:textId="77777777" w:rsidR="00C96521" w:rsidRPr="0053142C" w:rsidRDefault="00C96521" w:rsidP="00C96521">
            <w:pPr>
              <w:widowControl/>
              <w:autoSpaceDE/>
              <w:autoSpaceDN/>
              <w:adjustRightInd/>
              <w:spacing w:line="276" w:lineRule="auto"/>
              <w:rPr>
                <w:rFonts w:ascii="Arial" w:hAnsi="Arial" w:cs="Arial"/>
                <w:b/>
                <w:sz w:val="20"/>
                <w:szCs w:val="20"/>
                <w:lang w:val="en-GB"/>
              </w:rPr>
            </w:pPr>
            <w:r w:rsidRPr="0053142C">
              <w:rPr>
                <w:rFonts w:ascii="Arial" w:hAnsi="Arial" w:cs="Arial"/>
                <w:b/>
                <w:sz w:val="20"/>
                <w:szCs w:val="20"/>
                <w:lang w:val="en-GB"/>
              </w:rPr>
              <w:t>Country/Territory</w:t>
            </w:r>
          </w:p>
        </w:tc>
        <w:tc>
          <w:tcPr>
            <w:tcW w:w="6451" w:type="dxa"/>
            <w:shd w:val="clear" w:color="auto" w:fill="D9D9D9"/>
          </w:tcPr>
          <w:p w14:paraId="1C41D19C" w14:textId="77777777" w:rsidR="00C96521" w:rsidRPr="0053142C" w:rsidRDefault="00C96521" w:rsidP="00C96521">
            <w:pPr>
              <w:widowControl/>
              <w:autoSpaceDE/>
              <w:autoSpaceDN/>
              <w:adjustRightInd/>
              <w:spacing w:line="276" w:lineRule="auto"/>
              <w:rPr>
                <w:rFonts w:ascii="Arial" w:hAnsi="Arial" w:cs="Arial"/>
                <w:b/>
                <w:sz w:val="20"/>
                <w:szCs w:val="20"/>
                <w:lang w:val="en-GB"/>
              </w:rPr>
            </w:pPr>
            <w:r w:rsidRPr="0053142C">
              <w:rPr>
                <w:rFonts w:ascii="Arial" w:hAnsi="Arial" w:cs="Arial"/>
                <w:b/>
                <w:sz w:val="20"/>
                <w:szCs w:val="20"/>
                <w:lang w:val="en-GB"/>
              </w:rPr>
              <w:t>National Red List status (where known)</w:t>
            </w:r>
          </w:p>
        </w:tc>
      </w:tr>
      <w:tr w:rsidR="00C96521" w:rsidRPr="0053142C" w14:paraId="17751785" w14:textId="77777777" w:rsidTr="00C96521">
        <w:tc>
          <w:tcPr>
            <w:tcW w:w="3085" w:type="dxa"/>
          </w:tcPr>
          <w:p w14:paraId="0CE58984" w14:textId="77777777" w:rsidR="00C96521" w:rsidRPr="0053142C" w:rsidRDefault="00C96521" w:rsidP="00C96521">
            <w:pPr>
              <w:widowControl/>
              <w:autoSpaceDE/>
              <w:autoSpaceDN/>
              <w:adjustRightInd/>
              <w:rPr>
                <w:rFonts w:ascii="Arial" w:hAnsi="Arial" w:cs="Arial"/>
                <w:sz w:val="20"/>
                <w:szCs w:val="20"/>
                <w:lang w:val="en-GB"/>
              </w:rPr>
            </w:pPr>
            <w:r w:rsidRPr="0053142C">
              <w:rPr>
                <w:rFonts w:ascii="Arial" w:hAnsi="Arial" w:cs="Arial"/>
                <w:sz w:val="20"/>
                <w:szCs w:val="20"/>
                <w:lang w:val="en-GB"/>
              </w:rPr>
              <w:t>Croatia</w:t>
            </w:r>
          </w:p>
        </w:tc>
        <w:tc>
          <w:tcPr>
            <w:tcW w:w="6451" w:type="dxa"/>
          </w:tcPr>
          <w:p w14:paraId="5CD94D3D" w14:textId="77777777" w:rsidR="00C96521" w:rsidRPr="0053142C" w:rsidRDefault="00C96521" w:rsidP="00C96521">
            <w:pPr>
              <w:widowControl/>
              <w:autoSpaceDE/>
              <w:autoSpaceDN/>
              <w:adjustRightInd/>
              <w:rPr>
                <w:rFonts w:ascii="Arial" w:hAnsi="Arial" w:cs="Arial"/>
                <w:sz w:val="20"/>
                <w:szCs w:val="20"/>
                <w:lang w:val="en-GB"/>
              </w:rPr>
            </w:pPr>
            <w:r w:rsidRPr="0053142C">
              <w:rPr>
                <w:rFonts w:ascii="Arial" w:hAnsi="Arial" w:cs="Arial"/>
                <w:color w:val="000000"/>
                <w:sz w:val="20"/>
                <w:szCs w:val="20"/>
                <w:lang w:val="en-GB"/>
              </w:rPr>
              <w:t xml:space="preserve">Least Concern (Tutiš </w:t>
            </w:r>
            <w:r w:rsidRPr="0053142C">
              <w:rPr>
                <w:rFonts w:ascii="Arial" w:hAnsi="Arial" w:cs="Arial"/>
                <w:i/>
                <w:color w:val="000000"/>
                <w:sz w:val="20"/>
                <w:szCs w:val="20"/>
                <w:lang w:val="en-GB"/>
              </w:rPr>
              <w:t>et al</w:t>
            </w:r>
            <w:r w:rsidRPr="0053142C">
              <w:rPr>
                <w:rFonts w:ascii="Arial" w:hAnsi="Arial" w:cs="Arial"/>
                <w:color w:val="000000"/>
                <w:sz w:val="20"/>
                <w:szCs w:val="20"/>
                <w:lang w:val="en-GB"/>
              </w:rPr>
              <w:t xml:space="preserve"> 2013)</w:t>
            </w:r>
          </w:p>
        </w:tc>
      </w:tr>
      <w:tr w:rsidR="00C96521" w:rsidRPr="0053142C" w14:paraId="58CE069A" w14:textId="77777777" w:rsidTr="00C96521">
        <w:tc>
          <w:tcPr>
            <w:tcW w:w="3085" w:type="dxa"/>
          </w:tcPr>
          <w:p w14:paraId="0214148C" w14:textId="77777777" w:rsidR="00C96521" w:rsidRPr="0053142C" w:rsidRDefault="00C96521" w:rsidP="00C96521">
            <w:pPr>
              <w:widowControl/>
              <w:autoSpaceDE/>
              <w:autoSpaceDN/>
              <w:adjustRightInd/>
              <w:spacing w:line="276" w:lineRule="auto"/>
              <w:rPr>
                <w:rFonts w:ascii="Arial" w:hAnsi="Arial" w:cs="Arial"/>
                <w:sz w:val="20"/>
                <w:szCs w:val="20"/>
                <w:lang w:val="en-GB"/>
              </w:rPr>
            </w:pPr>
            <w:r w:rsidRPr="0053142C">
              <w:rPr>
                <w:rFonts w:ascii="Arial" w:hAnsi="Arial" w:cs="Arial"/>
                <w:sz w:val="20"/>
                <w:szCs w:val="20"/>
                <w:lang w:val="en-GB"/>
              </w:rPr>
              <w:t>Finland</w:t>
            </w:r>
          </w:p>
        </w:tc>
        <w:tc>
          <w:tcPr>
            <w:tcW w:w="6451" w:type="dxa"/>
          </w:tcPr>
          <w:p w14:paraId="5765006C" w14:textId="77777777" w:rsidR="00C96521" w:rsidRPr="0053142C" w:rsidRDefault="00C96521" w:rsidP="00C96521">
            <w:pPr>
              <w:widowControl/>
              <w:autoSpaceDE/>
              <w:autoSpaceDN/>
              <w:adjustRightInd/>
              <w:rPr>
                <w:rFonts w:ascii="Arial" w:hAnsi="Arial" w:cs="Arial"/>
                <w:sz w:val="20"/>
                <w:szCs w:val="20"/>
                <w:lang w:val="en-GB"/>
              </w:rPr>
            </w:pPr>
            <w:r w:rsidRPr="0053142C">
              <w:rPr>
                <w:rFonts w:ascii="Arial" w:hAnsi="Arial" w:cs="Arial"/>
                <w:color w:val="000000"/>
                <w:sz w:val="20"/>
                <w:szCs w:val="20"/>
                <w:lang w:val="en-GB"/>
              </w:rPr>
              <w:t>Critically Endangered (Lehikoinen 2016)</w:t>
            </w:r>
          </w:p>
        </w:tc>
      </w:tr>
      <w:tr w:rsidR="00C96521" w:rsidRPr="0053142C" w14:paraId="398DE6CA" w14:textId="77777777" w:rsidTr="00C96521">
        <w:tc>
          <w:tcPr>
            <w:tcW w:w="3085" w:type="dxa"/>
          </w:tcPr>
          <w:p w14:paraId="72E02AD8" w14:textId="77777777" w:rsidR="00C96521" w:rsidRPr="0053142C" w:rsidRDefault="00C96521" w:rsidP="00C96521">
            <w:pPr>
              <w:widowControl/>
              <w:autoSpaceDE/>
              <w:autoSpaceDN/>
              <w:adjustRightInd/>
              <w:spacing w:line="276" w:lineRule="auto"/>
              <w:rPr>
                <w:rFonts w:ascii="Arial" w:hAnsi="Arial" w:cs="Arial"/>
                <w:sz w:val="20"/>
                <w:szCs w:val="20"/>
                <w:lang w:val="en-GB"/>
              </w:rPr>
            </w:pPr>
            <w:r w:rsidRPr="0053142C">
              <w:rPr>
                <w:rFonts w:ascii="Arial" w:hAnsi="Arial" w:cs="Arial"/>
                <w:sz w:val="20"/>
                <w:szCs w:val="20"/>
                <w:lang w:val="en-GB"/>
              </w:rPr>
              <w:t>France</w:t>
            </w:r>
          </w:p>
        </w:tc>
        <w:tc>
          <w:tcPr>
            <w:tcW w:w="6451" w:type="dxa"/>
          </w:tcPr>
          <w:p w14:paraId="1CD885B3" w14:textId="77777777" w:rsidR="00C96521" w:rsidRPr="0053142C" w:rsidRDefault="00C96521" w:rsidP="00C96521">
            <w:pPr>
              <w:widowControl/>
              <w:autoSpaceDE/>
              <w:autoSpaceDN/>
              <w:adjustRightInd/>
              <w:rPr>
                <w:rFonts w:ascii="Arial" w:hAnsi="Arial" w:cs="Arial"/>
                <w:sz w:val="20"/>
                <w:szCs w:val="20"/>
                <w:lang w:val="en-GB"/>
              </w:rPr>
            </w:pPr>
            <w:r w:rsidRPr="0053142C">
              <w:rPr>
                <w:rFonts w:ascii="Arial" w:hAnsi="Arial" w:cs="Arial"/>
                <w:color w:val="000000"/>
                <w:sz w:val="20"/>
                <w:szCs w:val="20"/>
                <w:lang w:val="en-GB"/>
              </w:rPr>
              <w:t>Vulnerable (UICN France, MNHN, LPO, SEOF and ONCFS 2016)</w:t>
            </w:r>
          </w:p>
        </w:tc>
      </w:tr>
      <w:tr w:rsidR="00C96521" w:rsidRPr="0053142C" w14:paraId="1272227D" w14:textId="77777777" w:rsidTr="00C96521">
        <w:tc>
          <w:tcPr>
            <w:tcW w:w="3085" w:type="dxa"/>
          </w:tcPr>
          <w:p w14:paraId="13DBA728" w14:textId="77777777" w:rsidR="00C96521" w:rsidRPr="0053142C" w:rsidRDefault="00C96521" w:rsidP="00C96521">
            <w:pPr>
              <w:widowControl/>
              <w:autoSpaceDE/>
              <w:autoSpaceDN/>
              <w:adjustRightInd/>
              <w:spacing w:line="276" w:lineRule="auto"/>
              <w:rPr>
                <w:rFonts w:ascii="Arial" w:hAnsi="Arial" w:cs="Arial"/>
                <w:sz w:val="20"/>
                <w:szCs w:val="20"/>
                <w:lang w:val="en-GB"/>
              </w:rPr>
            </w:pPr>
            <w:r w:rsidRPr="0053142C">
              <w:rPr>
                <w:rFonts w:ascii="Arial" w:hAnsi="Arial" w:cs="Arial"/>
                <w:sz w:val="20"/>
                <w:szCs w:val="20"/>
                <w:lang w:val="en-GB"/>
              </w:rPr>
              <w:t>Germany</w:t>
            </w:r>
          </w:p>
        </w:tc>
        <w:tc>
          <w:tcPr>
            <w:tcW w:w="6451" w:type="dxa"/>
          </w:tcPr>
          <w:p w14:paraId="6CA85FDA" w14:textId="77777777" w:rsidR="00C96521" w:rsidRPr="0053142C" w:rsidRDefault="00C96521" w:rsidP="00C96521">
            <w:pPr>
              <w:widowControl/>
              <w:autoSpaceDE/>
              <w:autoSpaceDN/>
              <w:adjustRightInd/>
              <w:rPr>
                <w:rFonts w:ascii="Arial" w:hAnsi="Arial" w:cs="Arial"/>
                <w:sz w:val="20"/>
                <w:szCs w:val="20"/>
                <w:lang w:val="en-GB"/>
              </w:rPr>
            </w:pPr>
            <w:r w:rsidRPr="0053142C">
              <w:rPr>
                <w:rFonts w:ascii="Arial" w:hAnsi="Arial" w:cs="Arial"/>
                <w:color w:val="000000"/>
                <w:sz w:val="20"/>
                <w:szCs w:val="20"/>
                <w:lang w:val="en-GB"/>
              </w:rPr>
              <w:t xml:space="preserve">Endangered (Quillfeldt </w:t>
            </w:r>
            <w:r w:rsidRPr="0053142C">
              <w:rPr>
                <w:rFonts w:ascii="Arial" w:hAnsi="Arial" w:cs="Arial"/>
                <w:i/>
                <w:color w:val="000000"/>
                <w:sz w:val="20"/>
                <w:szCs w:val="20"/>
                <w:lang w:val="en-GB"/>
              </w:rPr>
              <w:t>et al</w:t>
            </w:r>
            <w:r w:rsidRPr="0053142C">
              <w:rPr>
                <w:rFonts w:ascii="Arial" w:hAnsi="Arial" w:cs="Arial"/>
                <w:color w:val="000000"/>
                <w:sz w:val="20"/>
                <w:szCs w:val="20"/>
                <w:lang w:val="en-GB"/>
              </w:rPr>
              <w:t xml:space="preserve"> 2014)</w:t>
            </w:r>
          </w:p>
        </w:tc>
      </w:tr>
      <w:tr w:rsidR="00C96521" w:rsidRPr="0053142C" w14:paraId="6054035A" w14:textId="77777777" w:rsidTr="00C96521">
        <w:tc>
          <w:tcPr>
            <w:tcW w:w="3085" w:type="dxa"/>
          </w:tcPr>
          <w:p w14:paraId="3FA1C54A" w14:textId="77777777" w:rsidR="00C96521" w:rsidRPr="0053142C" w:rsidRDefault="00C96521" w:rsidP="00C96521">
            <w:pPr>
              <w:widowControl/>
              <w:autoSpaceDE/>
              <w:autoSpaceDN/>
              <w:adjustRightInd/>
              <w:spacing w:line="276" w:lineRule="auto"/>
              <w:rPr>
                <w:rFonts w:ascii="Arial" w:hAnsi="Arial" w:cs="Arial"/>
                <w:sz w:val="20"/>
                <w:szCs w:val="20"/>
                <w:lang w:val="en-GB"/>
              </w:rPr>
            </w:pPr>
            <w:r w:rsidRPr="0053142C">
              <w:rPr>
                <w:rFonts w:ascii="Arial" w:hAnsi="Arial" w:cs="Arial"/>
                <w:sz w:val="20"/>
                <w:szCs w:val="20"/>
                <w:lang w:val="en-GB"/>
              </w:rPr>
              <w:t>Greece</w:t>
            </w:r>
          </w:p>
        </w:tc>
        <w:tc>
          <w:tcPr>
            <w:tcW w:w="6451" w:type="dxa"/>
          </w:tcPr>
          <w:p w14:paraId="3C1A8458" w14:textId="77777777" w:rsidR="00C96521" w:rsidRPr="0053142C" w:rsidRDefault="00C96521" w:rsidP="00C96521">
            <w:pPr>
              <w:widowControl/>
              <w:autoSpaceDE/>
              <w:autoSpaceDN/>
              <w:adjustRightInd/>
              <w:spacing w:line="276" w:lineRule="auto"/>
              <w:rPr>
                <w:rFonts w:ascii="Arial" w:hAnsi="Arial" w:cs="Arial"/>
                <w:sz w:val="20"/>
                <w:szCs w:val="20"/>
                <w:lang w:val="en-GB"/>
              </w:rPr>
            </w:pPr>
            <w:r w:rsidRPr="0053142C">
              <w:rPr>
                <w:rFonts w:ascii="Arial" w:hAnsi="Arial" w:cs="Arial"/>
                <w:color w:val="000000"/>
                <w:sz w:val="20"/>
                <w:szCs w:val="20"/>
                <w:lang w:val="en-GB"/>
              </w:rPr>
              <w:t>Not Evaluated (Legakis and Maragkou 2009)</w:t>
            </w:r>
          </w:p>
        </w:tc>
      </w:tr>
      <w:tr w:rsidR="00C96521" w:rsidRPr="0053142C" w14:paraId="2FC717A6" w14:textId="77777777" w:rsidTr="00C96521">
        <w:tc>
          <w:tcPr>
            <w:tcW w:w="3085" w:type="dxa"/>
          </w:tcPr>
          <w:p w14:paraId="1211764E" w14:textId="77777777" w:rsidR="00C96521" w:rsidRPr="0053142C" w:rsidRDefault="00C96521" w:rsidP="00C96521">
            <w:pPr>
              <w:widowControl/>
              <w:autoSpaceDE/>
              <w:autoSpaceDN/>
              <w:adjustRightInd/>
              <w:spacing w:line="276" w:lineRule="auto"/>
              <w:rPr>
                <w:rFonts w:ascii="Arial" w:hAnsi="Arial" w:cs="Arial"/>
                <w:sz w:val="20"/>
                <w:szCs w:val="20"/>
                <w:lang w:val="en-GB"/>
              </w:rPr>
            </w:pPr>
            <w:r w:rsidRPr="0053142C">
              <w:rPr>
                <w:rFonts w:ascii="Arial" w:hAnsi="Arial" w:cs="Arial"/>
                <w:sz w:val="20"/>
                <w:szCs w:val="20"/>
                <w:lang w:val="en-GB"/>
              </w:rPr>
              <w:t>Italy</w:t>
            </w:r>
          </w:p>
        </w:tc>
        <w:tc>
          <w:tcPr>
            <w:tcW w:w="6451" w:type="dxa"/>
          </w:tcPr>
          <w:p w14:paraId="42F4434F" w14:textId="77777777" w:rsidR="00C96521" w:rsidRPr="0053142C" w:rsidRDefault="00C96521" w:rsidP="00C96521">
            <w:pPr>
              <w:widowControl/>
              <w:autoSpaceDE/>
              <w:autoSpaceDN/>
              <w:adjustRightInd/>
              <w:rPr>
                <w:rFonts w:ascii="Arial" w:hAnsi="Arial" w:cs="Arial"/>
                <w:sz w:val="20"/>
                <w:szCs w:val="20"/>
                <w:lang w:val="en-GB"/>
              </w:rPr>
            </w:pPr>
            <w:r w:rsidRPr="0053142C">
              <w:rPr>
                <w:rFonts w:ascii="Arial" w:hAnsi="Arial" w:cs="Arial"/>
                <w:color w:val="000000"/>
                <w:sz w:val="20"/>
                <w:szCs w:val="20"/>
                <w:lang w:val="en-GB"/>
              </w:rPr>
              <w:t>Least Concern (IUCN Comitato Italiano 2012)</w:t>
            </w:r>
          </w:p>
        </w:tc>
      </w:tr>
      <w:tr w:rsidR="00C96521" w:rsidRPr="0053142C" w14:paraId="36C98CE4" w14:textId="77777777" w:rsidTr="00C96521">
        <w:tc>
          <w:tcPr>
            <w:tcW w:w="3085" w:type="dxa"/>
          </w:tcPr>
          <w:p w14:paraId="03E30F01" w14:textId="77777777" w:rsidR="00C96521" w:rsidRPr="0053142C" w:rsidRDefault="00C96521" w:rsidP="00C96521">
            <w:pPr>
              <w:widowControl/>
              <w:autoSpaceDE/>
              <w:autoSpaceDN/>
              <w:adjustRightInd/>
              <w:spacing w:line="276" w:lineRule="auto"/>
              <w:rPr>
                <w:rFonts w:ascii="Arial" w:hAnsi="Arial" w:cs="Arial"/>
                <w:sz w:val="20"/>
                <w:szCs w:val="20"/>
                <w:lang w:val="en-GB"/>
              </w:rPr>
            </w:pPr>
            <w:r w:rsidRPr="0053142C">
              <w:rPr>
                <w:rFonts w:ascii="Arial" w:hAnsi="Arial" w:cs="Arial"/>
                <w:sz w:val="20"/>
                <w:szCs w:val="20"/>
                <w:lang w:val="en-GB"/>
              </w:rPr>
              <w:t>Luxembourg</w:t>
            </w:r>
          </w:p>
        </w:tc>
        <w:tc>
          <w:tcPr>
            <w:tcW w:w="6451" w:type="dxa"/>
          </w:tcPr>
          <w:p w14:paraId="38C348B8" w14:textId="77777777" w:rsidR="00C96521" w:rsidRPr="0053142C" w:rsidRDefault="00C96521" w:rsidP="00C96521">
            <w:pPr>
              <w:widowControl/>
              <w:autoSpaceDE/>
              <w:autoSpaceDN/>
              <w:adjustRightInd/>
              <w:rPr>
                <w:rFonts w:ascii="Arial" w:hAnsi="Arial" w:cs="Arial"/>
                <w:sz w:val="20"/>
                <w:szCs w:val="20"/>
                <w:lang w:val="en-GB"/>
              </w:rPr>
            </w:pPr>
            <w:r w:rsidRPr="0053142C">
              <w:rPr>
                <w:rFonts w:ascii="Arial" w:hAnsi="Arial" w:cs="Arial"/>
                <w:color w:val="000000"/>
                <w:sz w:val="20"/>
                <w:szCs w:val="20"/>
                <w:lang w:val="en-GB"/>
              </w:rPr>
              <w:t xml:space="preserve">Endangered (Lorgé </w:t>
            </w:r>
            <w:r w:rsidRPr="0053142C">
              <w:rPr>
                <w:rFonts w:ascii="Arial" w:hAnsi="Arial" w:cs="Arial"/>
                <w:i/>
                <w:color w:val="000000"/>
                <w:sz w:val="20"/>
                <w:szCs w:val="20"/>
                <w:lang w:val="en-GB"/>
              </w:rPr>
              <w:t>et al</w:t>
            </w:r>
            <w:r w:rsidRPr="0053142C">
              <w:rPr>
                <w:rFonts w:ascii="Arial" w:hAnsi="Arial" w:cs="Arial"/>
                <w:color w:val="000000"/>
                <w:sz w:val="20"/>
                <w:szCs w:val="20"/>
                <w:lang w:val="en-GB"/>
              </w:rPr>
              <w:t xml:space="preserve"> 2014)</w:t>
            </w:r>
          </w:p>
        </w:tc>
      </w:tr>
      <w:tr w:rsidR="00C96521" w:rsidRPr="0053142C" w14:paraId="4D824601" w14:textId="77777777" w:rsidTr="00C96521">
        <w:tc>
          <w:tcPr>
            <w:tcW w:w="3085" w:type="dxa"/>
          </w:tcPr>
          <w:p w14:paraId="6D2EDCB2" w14:textId="77777777" w:rsidR="00C96521" w:rsidRPr="0053142C" w:rsidRDefault="00C96521" w:rsidP="00C96521">
            <w:pPr>
              <w:widowControl/>
              <w:autoSpaceDE/>
              <w:autoSpaceDN/>
              <w:adjustRightInd/>
              <w:spacing w:line="276" w:lineRule="auto"/>
              <w:rPr>
                <w:rFonts w:ascii="Arial" w:hAnsi="Arial" w:cs="Arial"/>
                <w:sz w:val="20"/>
                <w:szCs w:val="20"/>
                <w:lang w:val="en-GB"/>
              </w:rPr>
            </w:pPr>
            <w:r w:rsidRPr="0053142C">
              <w:rPr>
                <w:rFonts w:ascii="Arial" w:hAnsi="Arial" w:cs="Arial"/>
                <w:sz w:val="20"/>
                <w:szCs w:val="20"/>
                <w:lang w:val="en-GB"/>
              </w:rPr>
              <w:t>Russian Federation (European)</w:t>
            </w:r>
          </w:p>
        </w:tc>
        <w:tc>
          <w:tcPr>
            <w:tcW w:w="6451" w:type="dxa"/>
          </w:tcPr>
          <w:p w14:paraId="39D578A6" w14:textId="77777777" w:rsidR="00C96521" w:rsidRPr="0053142C" w:rsidRDefault="00C96521" w:rsidP="00C96521">
            <w:pPr>
              <w:widowControl/>
              <w:autoSpaceDE/>
              <w:autoSpaceDN/>
              <w:adjustRightInd/>
              <w:spacing w:line="276" w:lineRule="auto"/>
              <w:rPr>
                <w:rFonts w:ascii="Arial" w:hAnsi="Arial" w:cs="Arial"/>
                <w:color w:val="000000"/>
                <w:sz w:val="20"/>
                <w:szCs w:val="20"/>
                <w:lang w:val="en-GB"/>
              </w:rPr>
            </w:pPr>
            <w:r w:rsidRPr="0053142C">
              <w:rPr>
                <w:rFonts w:ascii="Arial" w:hAnsi="Arial" w:cs="Arial"/>
                <w:color w:val="000000"/>
                <w:sz w:val="20"/>
                <w:szCs w:val="20"/>
                <w:lang w:val="en-GB"/>
              </w:rPr>
              <w:t xml:space="preserve">Will be listed in the Red Data Book of the Russian Federation at the end of 2017. Hunting and destruction of nesting habitat will be strictly prohibited in Russia. (Alexander Mischenko </w:t>
            </w:r>
            <w:r w:rsidRPr="0053142C">
              <w:rPr>
                <w:rFonts w:ascii="Arial" w:hAnsi="Arial" w:cs="Arial"/>
                <w:i/>
                <w:color w:val="000000"/>
                <w:sz w:val="20"/>
                <w:szCs w:val="20"/>
                <w:lang w:val="en-GB"/>
              </w:rPr>
              <w:t>pers comm</w:t>
            </w:r>
            <w:r w:rsidRPr="0053142C">
              <w:rPr>
                <w:rFonts w:ascii="Arial" w:hAnsi="Arial" w:cs="Arial"/>
                <w:color w:val="000000"/>
                <w:sz w:val="20"/>
                <w:szCs w:val="20"/>
                <w:lang w:val="en-GB"/>
              </w:rPr>
              <w:t xml:space="preserve">, Evgeny Syroechkovskiy </w:t>
            </w:r>
            <w:r w:rsidRPr="0053142C">
              <w:rPr>
                <w:rFonts w:ascii="Arial" w:hAnsi="Arial" w:cs="Arial"/>
                <w:i/>
                <w:color w:val="000000"/>
                <w:sz w:val="20"/>
                <w:szCs w:val="20"/>
                <w:lang w:val="en-GB"/>
              </w:rPr>
              <w:t>pers comm</w:t>
            </w:r>
            <w:r w:rsidRPr="0053142C">
              <w:rPr>
                <w:rFonts w:ascii="Arial" w:hAnsi="Arial" w:cs="Arial"/>
                <w:color w:val="000000"/>
                <w:sz w:val="20"/>
                <w:szCs w:val="20"/>
                <w:lang w:val="en-GB"/>
              </w:rPr>
              <w:t>)</w:t>
            </w:r>
          </w:p>
        </w:tc>
      </w:tr>
      <w:tr w:rsidR="00C96521" w:rsidRPr="0053142C" w14:paraId="0419FD7B" w14:textId="77777777" w:rsidTr="00C96521">
        <w:tc>
          <w:tcPr>
            <w:tcW w:w="3085" w:type="dxa"/>
          </w:tcPr>
          <w:p w14:paraId="19C47C11" w14:textId="77777777" w:rsidR="00C96521" w:rsidRPr="0053142C" w:rsidRDefault="00C96521" w:rsidP="00C96521">
            <w:pPr>
              <w:widowControl/>
              <w:autoSpaceDE/>
              <w:autoSpaceDN/>
              <w:adjustRightInd/>
              <w:spacing w:line="276" w:lineRule="auto"/>
              <w:rPr>
                <w:rFonts w:ascii="Arial" w:hAnsi="Arial" w:cs="Arial"/>
                <w:sz w:val="20"/>
                <w:szCs w:val="20"/>
                <w:lang w:val="en-GB"/>
              </w:rPr>
            </w:pPr>
            <w:r w:rsidRPr="0053142C">
              <w:rPr>
                <w:rFonts w:ascii="Arial" w:hAnsi="Arial" w:cs="Arial"/>
                <w:sz w:val="20"/>
                <w:szCs w:val="20"/>
                <w:lang w:val="en-GB"/>
              </w:rPr>
              <w:t>Spain</w:t>
            </w:r>
          </w:p>
        </w:tc>
        <w:tc>
          <w:tcPr>
            <w:tcW w:w="6451" w:type="dxa"/>
          </w:tcPr>
          <w:p w14:paraId="21D85AA4" w14:textId="77777777" w:rsidR="00C96521" w:rsidRPr="0053142C" w:rsidRDefault="00C96521" w:rsidP="00C96521">
            <w:pPr>
              <w:widowControl/>
              <w:autoSpaceDE/>
              <w:autoSpaceDN/>
              <w:adjustRightInd/>
              <w:spacing w:line="276" w:lineRule="auto"/>
              <w:rPr>
                <w:rFonts w:ascii="Arial" w:hAnsi="Arial" w:cs="Arial"/>
                <w:color w:val="000000"/>
                <w:sz w:val="20"/>
                <w:szCs w:val="20"/>
                <w:lang w:val="en-GB"/>
              </w:rPr>
            </w:pPr>
            <w:r w:rsidRPr="0053142C">
              <w:rPr>
                <w:rFonts w:ascii="Arial" w:hAnsi="Arial" w:cs="Arial"/>
                <w:color w:val="000000"/>
                <w:sz w:val="20"/>
                <w:szCs w:val="20"/>
                <w:lang w:val="en-GB"/>
              </w:rPr>
              <w:t xml:space="preserve">Vulnerable (Madroño </w:t>
            </w:r>
            <w:r w:rsidRPr="0053142C">
              <w:rPr>
                <w:rFonts w:ascii="Arial" w:hAnsi="Arial" w:cs="Arial"/>
                <w:i/>
                <w:color w:val="000000"/>
                <w:sz w:val="20"/>
                <w:szCs w:val="20"/>
                <w:lang w:val="en-GB"/>
              </w:rPr>
              <w:t>et al</w:t>
            </w:r>
            <w:r w:rsidRPr="0053142C">
              <w:rPr>
                <w:rFonts w:ascii="Arial" w:hAnsi="Arial" w:cs="Arial"/>
                <w:color w:val="000000"/>
                <w:sz w:val="20"/>
                <w:szCs w:val="20"/>
                <w:lang w:val="en-GB"/>
              </w:rPr>
              <w:t xml:space="preserve"> 2004)</w:t>
            </w:r>
          </w:p>
        </w:tc>
      </w:tr>
      <w:tr w:rsidR="00C96521" w:rsidRPr="0053142C" w14:paraId="666284D6" w14:textId="77777777" w:rsidTr="00C96521">
        <w:tc>
          <w:tcPr>
            <w:tcW w:w="3085" w:type="dxa"/>
          </w:tcPr>
          <w:p w14:paraId="741DF820" w14:textId="77777777" w:rsidR="00C96521" w:rsidRPr="0053142C" w:rsidRDefault="00C96521" w:rsidP="00C96521">
            <w:pPr>
              <w:widowControl/>
              <w:autoSpaceDE/>
              <w:autoSpaceDN/>
              <w:adjustRightInd/>
              <w:rPr>
                <w:rFonts w:ascii="Arial" w:hAnsi="Arial" w:cs="Arial"/>
                <w:sz w:val="20"/>
                <w:szCs w:val="20"/>
                <w:lang w:val="en-GB"/>
              </w:rPr>
            </w:pPr>
            <w:r w:rsidRPr="0053142C">
              <w:rPr>
                <w:rFonts w:ascii="Arial" w:hAnsi="Arial" w:cs="Arial"/>
                <w:sz w:val="20"/>
                <w:szCs w:val="20"/>
                <w:lang w:val="en-GB"/>
              </w:rPr>
              <w:t>Switzerland</w:t>
            </w:r>
          </w:p>
        </w:tc>
        <w:tc>
          <w:tcPr>
            <w:tcW w:w="6451" w:type="dxa"/>
          </w:tcPr>
          <w:p w14:paraId="3CC4D66A" w14:textId="77777777" w:rsidR="00C96521" w:rsidRPr="0053142C" w:rsidRDefault="00C96521" w:rsidP="00C96521">
            <w:pPr>
              <w:widowControl/>
              <w:autoSpaceDE/>
              <w:autoSpaceDN/>
              <w:adjustRightInd/>
              <w:spacing w:line="276" w:lineRule="auto"/>
              <w:rPr>
                <w:rFonts w:ascii="Arial" w:hAnsi="Arial" w:cs="Arial"/>
                <w:color w:val="000000"/>
                <w:sz w:val="20"/>
                <w:szCs w:val="20"/>
                <w:lang w:val="en-GB"/>
              </w:rPr>
            </w:pPr>
            <w:r w:rsidRPr="0053142C">
              <w:rPr>
                <w:rFonts w:ascii="Arial" w:hAnsi="Arial" w:cs="Arial"/>
                <w:color w:val="000000"/>
                <w:sz w:val="20"/>
                <w:szCs w:val="20"/>
                <w:lang w:val="en-GB"/>
              </w:rPr>
              <w:t>Near Threatened (Vogelwarte 2016b)</w:t>
            </w:r>
          </w:p>
        </w:tc>
      </w:tr>
      <w:tr w:rsidR="00C96521" w:rsidRPr="0053142C" w14:paraId="16C603CE" w14:textId="77777777" w:rsidTr="00C96521">
        <w:tc>
          <w:tcPr>
            <w:tcW w:w="3085" w:type="dxa"/>
          </w:tcPr>
          <w:p w14:paraId="6C8EE7E5" w14:textId="77777777" w:rsidR="00C96521" w:rsidRPr="0053142C" w:rsidRDefault="00C96521" w:rsidP="00C96521">
            <w:pPr>
              <w:widowControl/>
              <w:autoSpaceDE/>
              <w:autoSpaceDN/>
              <w:adjustRightInd/>
              <w:spacing w:line="276" w:lineRule="auto"/>
              <w:rPr>
                <w:rFonts w:ascii="Arial" w:hAnsi="Arial" w:cs="Arial"/>
                <w:sz w:val="20"/>
                <w:szCs w:val="20"/>
                <w:lang w:val="en-GB"/>
              </w:rPr>
            </w:pPr>
            <w:r w:rsidRPr="0053142C">
              <w:rPr>
                <w:rFonts w:ascii="Arial" w:hAnsi="Arial" w:cs="Arial"/>
                <w:sz w:val="20"/>
                <w:szCs w:val="20"/>
                <w:lang w:val="en-GB"/>
              </w:rPr>
              <w:t>United Kingdom</w:t>
            </w:r>
          </w:p>
        </w:tc>
        <w:tc>
          <w:tcPr>
            <w:tcW w:w="6451" w:type="dxa"/>
          </w:tcPr>
          <w:p w14:paraId="41633A72" w14:textId="77777777" w:rsidR="00C96521" w:rsidRPr="0053142C" w:rsidRDefault="00C96521" w:rsidP="00C96521">
            <w:pPr>
              <w:widowControl/>
              <w:autoSpaceDE/>
              <w:autoSpaceDN/>
              <w:adjustRightInd/>
              <w:spacing w:line="276" w:lineRule="auto"/>
              <w:rPr>
                <w:rFonts w:ascii="Arial" w:hAnsi="Arial" w:cs="Arial"/>
                <w:color w:val="000000"/>
                <w:sz w:val="20"/>
                <w:szCs w:val="20"/>
                <w:lang w:val="en-GB"/>
              </w:rPr>
            </w:pPr>
            <w:r w:rsidRPr="0053142C">
              <w:rPr>
                <w:rFonts w:ascii="Arial" w:hAnsi="Arial" w:cs="Arial"/>
                <w:color w:val="000000"/>
                <w:sz w:val="20"/>
                <w:szCs w:val="20"/>
                <w:lang w:val="en-GB"/>
              </w:rPr>
              <w:t xml:space="preserve">On Red list of Birds of Conservation Concern 4 (Eaton </w:t>
            </w:r>
            <w:r w:rsidRPr="0053142C">
              <w:rPr>
                <w:rFonts w:ascii="Arial" w:hAnsi="Arial" w:cs="Arial"/>
                <w:i/>
                <w:color w:val="000000"/>
                <w:sz w:val="20"/>
                <w:szCs w:val="20"/>
                <w:lang w:val="en-GB"/>
              </w:rPr>
              <w:t xml:space="preserve">et al </w:t>
            </w:r>
            <w:r w:rsidRPr="0053142C">
              <w:rPr>
                <w:rFonts w:ascii="Arial" w:hAnsi="Arial" w:cs="Arial"/>
                <w:color w:val="000000"/>
                <w:sz w:val="20"/>
                <w:szCs w:val="20"/>
                <w:lang w:val="en-GB"/>
              </w:rPr>
              <w:t>2015)</w:t>
            </w:r>
          </w:p>
        </w:tc>
      </w:tr>
    </w:tbl>
    <w:p w14:paraId="458CA7E3"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0119631" w14:textId="17ECB299" w:rsidR="00C96521" w:rsidRPr="00C96521" w:rsidRDefault="004006B8" w:rsidP="00C96521">
      <w:pPr>
        <w:widowControl/>
        <w:autoSpaceDE/>
        <w:autoSpaceDN/>
        <w:adjustRightInd/>
        <w:spacing w:line="276" w:lineRule="auto"/>
        <w:rPr>
          <w:rFonts w:eastAsia="MS Mincho"/>
          <w:sz w:val="20"/>
          <w:szCs w:val="22"/>
          <w:lang w:val="en-GB" w:eastAsia="ja-JP"/>
        </w:rPr>
      </w:pPr>
      <w:r>
        <w:rPr>
          <w:rFonts w:eastAsia="MS Mincho"/>
          <w:sz w:val="20"/>
          <w:szCs w:val="22"/>
          <w:lang w:val="en-GB" w:eastAsia="ja-JP"/>
        </w:rPr>
        <w:t xml:space="preserve">The </w:t>
      </w:r>
      <w:r w:rsidR="00C96521" w:rsidRPr="00C96521">
        <w:rPr>
          <w:rFonts w:eastAsia="MS Mincho"/>
          <w:sz w:val="20"/>
          <w:szCs w:val="22"/>
          <w:lang w:val="en-GB" w:eastAsia="ja-JP"/>
        </w:rPr>
        <w:t>Turtle</w:t>
      </w:r>
      <w:r>
        <w:rPr>
          <w:rFonts w:eastAsia="MS Mincho"/>
          <w:sz w:val="20"/>
          <w:szCs w:val="22"/>
          <w:lang w:val="en-GB" w:eastAsia="ja-JP"/>
        </w:rPr>
        <w:t xml:space="preserve"> Do</w:t>
      </w:r>
      <w:r w:rsidR="00C96521" w:rsidRPr="00C96521">
        <w:rPr>
          <w:rFonts w:eastAsia="MS Mincho"/>
          <w:sz w:val="20"/>
          <w:szCs w:val="22"/>
          <w:lang w:val="en-GB" w:eastAsia="ja-JP"/>
        </w:rPr>
        <w:t xml:space="preserve">ve is considered in national or sub-national conservation Action Plans in the following countries: Belgium, Luxembourg, </w:t>
      </w:r>
      <w:r>
        <w:rPr>
          <w:rFonts w:eastAsia="MS Mincho"/>
          <w:sz w:val="20"/>
          <w:szCs w:val="22"/>
          <w:lang w:val="en-GB" w:eastAsia="ja-JP"/>
        </w:rPr>
        <w:t xml:space="preserve">the </w:t>
      </w:r>
      <w:r w:rsidR="00C96521" w:rsidRPr="00C96521">
        <w:rPr>
          <w:rFonts w:eastAsia="MS Mincho"/>
          <w:sz w:val="20"/>
          <w:szCs w:val="22"/>
          <w:lang w:val="en-GB" w:eastAsia="ja-JP"/>
        </w:rPr>
        <w:t xml:space="preserve">United Kingdom and </w:t>
      </w:r>
      <w:r>
        <w:rPr>
          <w:rFonts w:eastAsia="MS Mincho"/>
          <w:sz w:val="20"/>
          <w:szCs w:val="22"/>
          <w:lang w:val="en-GB" w:eastAsia="ja-JP"/>
        </w:rPr>
        <w:t>t</w:t>
      </w:r>
      <w:r w:rsidR="00C96521" w:rsidRPr="00C96521">
        <w:rPr>
          <w:rFonts w:eastAsia="MS Mincho"/>
          <w:sz w:val="20"/>
          <w:szCs w:val="22"/>
          <w:lang w:val="en-GB" w:eastAsia="ja-JP"/>
        </w:rPr>
        <w:t>he Gambia.</w:t>
      </w:r>
    </w:p>
    <w:p w14:paraId="7DBBB0C3"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4791650" w14:textId="7AA57E72"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Working groups or projects for </w:t>
      </w:r>
      <w:r w:rsidR="004006B8">
        <w:rPr>
          <w:rFonts w:eastAsia="MS Mincho"/>
          <w:sz w:val="20"/>
          <w:szCs w:val="22"/>
          <w:lang w:val="en-GB" w:eastAsia="ja-JP"/>
        </w:rPr>
        <w:t>the T</w:t>
      </w:r>
      <w:r w:rsidR="004006B8" w:rsidRPr="00C96521">
        <w:rPr>
          <w:rFonts w:eastAsia="MS Mincho"/>
          <w:sz w:val="20"/>
          <w:szCs w:val="22"/>
          <w:lang w:val="en-GB" w:eastAsia="ja-JP"/>
        </w:rPr>
        <w:t>urtle</w:t>
      </w:r>
      <w:r w:rsidR="004006B8">
        <w:rPr>
          <w:rFonts w:eastAsia="MS Mincho"/>
          <w:sz w:val="20"/>
          <w:szCs w:val="22"/>
          <w:lang w:val="en-GB" w:eastAsia="ja-JP"/>
        </w:rPr>
        <w:t xml:space="preserve"> D</w:t>
      </w:r>
      <w:r w:rsidR="004006B8" w:rsidRPr="00C96521">
        <w:rPr>
          <w:rFonts w:eastAsia="MS Mincho"/>
          <w:sz w:val="20"/>
          <w:szCs w:val="22"/>
          <w:lang w:val="en-GB" w:eastAsia="ja-JP"/>
        </w:rPr>
        <w:t xml:space="preserve">ove </w:t>
      </w:r>
      <w:r w:rsidRPr="00C96521">
        <w:rPr>
          <w:rFonts w:eastAsia="MS Mincho"/>
          <w:sz w:val="20"/>
          <w:szCs w:val="22"/>
          <w:lang w:val="en-GB" w:eastAsia="ja-JP"/>
        </w:rPr>
        <w:t xml:space="preserve">exist in the following countries: Belgium, Estonia, Germany, Greece, Malta, Portugal, </w:t>
      </w:r>
      <w:r w:rsidR="004006B8">
        <w:rPr>
          <w:rFonts w:eastAsia="MS Mincho"/>
          <w:sz w:val="20"/>
          <w:szCs w:val="22"/>
          <w:lang w:val="en-GB" w:eastAsia="ja-JP"/>
        </w:rPr>
        <w:t xml:space="preserve">the </w:t>
      </w:r>
      <w:r w:rsidRPr="00C96521">
        <w:rPr>
          <w:rFonts w:eastAsia="MS Mincho"/>
          <w:sz w:val="20"/>
          <w:szCs w:val="22"/>
          <w:lang w:val="en-GB" w:eastAsia="ja-JP"/>
        </w:rPr>
        <w:t xml:space="preserve">United Kingdom, </w:t>
      </w:r>
      <w:r w:rsidR="004006B8">
        <w:rPr>
          <w:rFonts w:eastAsia="MS Mincho"/>
          <w:sz w:val="20"/>
          <w:szCs w:val="22"/>
          <w:lang w:val="en-GB" w:eastAsia="ja-JP"/>
        </w:rPr>
        <w:t>t</w:t>
      </w:r>
      <w:r w:rsidRPr="00C96521">
        <w:rPr>
          <w:rFonts w:eastAsia="MS Mincho"/>
          <w:sz w:val="20"/>
          <w:szCs w:val="22"/>
          <w:lang w:val="en-GB" w:eastAsia="ja-JP"/>
        </w:rPr>
        <w:t>he Gambia and Senegal.</w:t>
      </w:r>
    </w:p>
    <w:p w14:paraId="5459BD13"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1B75CB8" w14:textId="77777777" w:rsidR="00C96521" w:rsidRPr="00C96521" w:rsidRDefault="00C96521" w:rsidP="00C96521">
      <w:pPr>
        <w:keepNext/>
        <w:keepLines/>
        <w:widowControl/>
        <w:autoSpaceDE/>
        <w:autoSpaceDN/>
        <w:adjustRightInd/>
        <w:spacing w:before="200" w:line="276" w:lineRule="auto"/>
        <w:outlineLvl w:val="2"/>
        <w:rPr>
          <w:rFonts w:ascii="Cambria" w:eastAsia="MS Gothic" w:hAnsi="Cambria"/>
          <w:b/>
          <w:bCs/>
          <w:color w:val="4F81BD"/>
          <w:sz w:val="20"/>
          <w:szCs w:val="22"/>
          <w:lang w:val="en-GB" w:eastAsia="ja-JP"/>
        </w:rPr>
      </w:pPr>
      <w:bookmarkStart w:id="8" w:name="_Toc478646896"/>
      <w:r w:rsidRPr="00C96521">
        <w:rPr>
          <w:rFonts w:ascii="Cambria" w:eastAsia="MS Gothic" w:hAnsi="Cambria"/>
          <w:b/>
          <w:bCs/>
          <w:color w:val="4F81BD"/>
          <w:sz w:val="20"/>
          <w:szCs w:val="22"/>
          <w:lang w:val="en-GB" w:eastAsia="ja-JP"/>
        </w:rPr>
        <w:t>Regulated use and management of the species</w:t>
      </w:r>
      <w:bookmarkEnd w:id="8"/>
    </w:p>
    <w:p w14:paraId="426CB804"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5FDC3BA1" w14:textId="4DF38DA2"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Calibri"/>
          <w:sz w:val="20"/>
          <w:szCs w:val="22"/>
          <w:lang w:val="en-GB" w:eastAsia="ja-JP"/>
        </w:rPr>
        <w:t xml:space="preserve">The </w:t>
      </w:r>
      <w:r w:rsidRPr="00C96521">
        <w:rPr>
          <w:rFonts w:eastAsia="MS Mincho"/>
          <w:i/>
          <w:sz w:val="20"/>
          <w:szCs w:val="22"/>
          <w:lang w:val="en-GB" w:eastAsia="ja-JP"/>
        </w:rPr>
        <w:t>2007-2009 Management Plan for Turtle</w:t>
      </w:r>
      <w:r w:rsidR="003A3278">
        <w:rPr>
          <w:rFonts w:eastAsia="MS Mincho"/>
          <w:i/>
          <w:sz w:val="20"/>
          <w:szCs w:val="22"/>
          <w:lang w:val="en-GB" w:eastAsia="ja-JP"/>
        </w:rPr>
        <w:t xml:space="preserve"> D</w:t>
      </w:r>
      <w:r w:rsidRPr="00C96521">
        <w:rPr>
          <w:rFonts w:eastAsia="MS Mincho"/>
          <w:i/>
          <w:sz w:val="20"/>
          <w:szCs w:val="22"/>
          <w:lang w:val="en-GB" w:eastAsia="ja-JP"/>
        </w:rPr>
        <w:t>ove</w:t>
      </w:r>
      <w:r w:rsidRPr="00C96521">
        <w:rPr>
          <w:rFonts w:eastAsia="MS Mincho"/>
          <w:sz w:val="20"/>
          <w:szCs w:val="22"/>
          <w:lang w:val="en-GB" w:eastAsia="ja-JP"/>
        </w:rPr>
        <w:t xml:space="preserve"> (Lutz 2007) was reviewed in 2014 (The N2K Group, 2014), and more recently in preparation for this Action Plan (Fisher </w:t>
      </w:r>
      <w:r w:rsidRPr="00C96521">
        <w:rPr>
          <w:rFonts w:eastAsia="MS Mincho"/>
          <w:i/>
          <w:sz w:val="20"/>
          <w:szCs w:val="22"/>
          <w:lang w:val="en-GB" w:eastAsia="ja-JP"/>
        </w:rPr>
        <w:t>et al</w:t>
      </w:r>
      <w:r w:rsidRPr="00C96521">
        <w:rPr>
          <w:rFonts w:eastAsia="MS Mincho"/>
          <w:sz w:val="20"/>
          <w:szCs w:val="22"/>
          <w:lang w:val="en-GB" w:eastAsia="ja-JP"/>
        </w:rPr>
        <w:t xml:space="preserve"> 2016b, using the methodology developed by BirdLife, Gallo-Orsi 2001). Finland, Ireland and Sweden did not implement the original Management Plan because of the very low numbers of breeding </w:t>
      </w:r>
      <w:r w:rsidR="004006B8">
        <w:rPr>
          <w:rFonts w:eastAsia="MS Mincho"/>
          <w:sz w:val="20"/>
          <w:szCs w:val="22"/>
          <w:lang w:val="en-GB" w:eastAsia="ja-JP"/>
        </w:rPr>
        <w:t>T</w:t>
      </w:r>
      <w:r w:rsidR="004006B8" w:rsidRPr="00C96521">
        <w:rPr>
          <w:rFonts w:eastAsia="MS Mincho"/>
          <w:sz w:val="20"/>
          <w:szCs w:val="22"/>
          <w:lang w:val="en-GB" w:eastAsia="ja-JP"/>
        </w:rPr>
        <w:t>urtle</w:t>
      </w:r>
      <w:r w:rsidR="004006B8">
        <w:rPr>
          <w:rFonts w:eastAsia="MS Mincho"/>
          <w:sz w:val="20"/>
          <w:szCs w:val="22"/>
          <w:lang w:val="en-GB" w:eastAsia="ja-JP"/>
        </w:rPr>
        <w:t xml:space="preserve"> D</w:t>
      </w:r>
      <w:r w:rsidR="004006B8" w:rsidRPr="00C96521">
        <w:rPr>
          <w:rFonts w:eastAsia="MS Mincho"/>
          <w:sz w:val="20"/>
          <w:szCs w:val="22"/>
          <w:lang w:val="en-GB" w:eastAsia="ja-JP"/>
        </w:rPr>
        <w:t>ove</w:t>
      </w:r>
      <w:r w:rsidR="004006B8">
        <w:rPr>
          <w:rFonts w:eastAsia="MS Mincho"/>
          <w:sz w:val="20"/>
          <w:szCs w:val="22"/>
          <w:lang w:val="en-GB" w:eastAsia="ja-JP"/>
        </w:rPr>
        <w:t>s</w:t>
      </w:r>
      <w:r w:rsidR="004006B8" w:rsidRPr="00C96521">
        <w:rPr>
          <w:rFonts w:eastAsia="MS Mincho"/>
          <w:sz w:val="20"/>
          <w:szCs w:val="22"/>
          <w:lang w:val="en-GB" w:eastAsia="ja-JP"/>
        </w:rPr>
        <w:t xml:space="preserve"> </w:t>
      </w:r>
      <w:r w:rsidRPr="00C96521">
        <w:rPr>
          <w:rFonts w:eastAsia="MS Mincho"/>
          <w:sz w:val="20"/>
          <w:szCs w:val="22"/>
          <w:lang w:val="en-GB" w:eastAsia="ja-JP"/>
        </w:rPr>
        <w:t xml:space="preserve">(in the case of Ireland, the species is a rare vagrant). </w:t>
      </w:r>
    </w:p>
    <w:p w14:paraId="1EE888F3"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59DA969C" w14:textId="359485AC"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Most Member States do not have an existing Management or Action Plan for </w:t>
      </w:r>
      <w:r w:rsidR="004006B8">
        <w:rPr>
          <w:rFonts w:eastAsia="MS Mincho"/>
          <w:sz w:val="20"/>
          <w:szCs w:val="22"/>
          <w:lang w:val="en-GB" w:eastAsia="ja-JP"/>
        </w:rPr>
        <w:t>T</w:t>
      </w:r>
      <w:r w:rsidR="004006B8" w:rsidRPr="00C96521">
        <w:rPr>
          <w:rFonts w:eastAsia="MS Mincho"/>
          <w:sz w:val="20"/>
          <w:szCs w:val="22"/>
          <w:lang w:val="en-GB" w:eastAsia="ja-JP"/>
        </w:rPr>
        <w:t>urtle</w:t>
      </w:r>
      <w:r w:rsidR="004006B8">
        <w:rPr>
          <w:rFonts w:eastAsia="MS Mincho"/>
          <w:sz w:val="20"/>
          <w:szCs w:val="22"/>
          <w:lang w:val="en-GB" w:eastAsia="ja-JP"/>
        </w:rPr>
        <w:t xml:space="preserve"> D</w:t>
      </w:r>
      <w:r w:rsidR="004006B8" w:rsidRPr="00C96521">
        <w:rPr>
          <w:rFonts w:eastAsia="MS Mincho"/>
          <w:sz w:val="20"/>
          <w:szCs w:val="22"/>
          <w:lang w:val="en-GB" w:eastAsia="ja-JP"/>
        </w:rPr>
        <w:t>ove</w:t>
      </w:r>
      <w:r w:rsidR="004006B8">
        <w:rPr>
          <w:rFonts w:eastAsia="MS Mincho"/>
          <w:sz w:val="20"/>
          <w:szCs w:val="22"/>
          <w:lang w:val="en-GB" w:eastAsia="ja-JP"/>
        </w:rPr>
        <w:t>s</w:t>
      </w:r>
      <w:r w:rsidRPr="00C96521">
        <w:rPr>
          <w:rFonts w:eastAsia="MS Mincho"/>
          <w:sz w:val="20"/>
          <w:szCs w:val="22"/>
          <w:lang w:val="en-GB" w:eastAsia="ja-JP"/>
        </w:rPr>
        <w:t xml:space="preserve">, and for many, few of the original Management Plan's actions have been implemented completely. Where significant progress has taken place, this was often through the indirect effects of other actions; conservation of </w:t>
      </w:r>
      <w:r w:rsidR="004006B8">
        <w:rPr>
          <w:rFonts w:eastAsia="MS Mincho"/>
          <w:sz w:val="20"/>
          <w:szCs w:val="22"/>
          <w:lang w:val="en-GB" w:eastAsia="ja-JP"/>
        </w:rPr>
        <w:t>T</w:t>
      </w:r>
      <w:r w:rsidR="004006B8" w:rsidRPr="00C96521">
        <w:rPr>
          <w:rFonts w:eastAsia="MS Mincho"/>
          <w:sz w:val="20"/>
          <w:szCs w:val="22"/>
          <w:lang w:val="en-GB" w:eastAsia="ja-JP"/>
        </w:rPr>
        <w:t>urtle</w:t>
      </w:r>
      <w:r w:rsidR="004006B8">
        <w:rPr>
          <w:rFonts w:eastAsia="MS Mincho"/>
          <w:sz w:val="20"/>
          <w:szCs w:val="22"/>
          <w:lang w:val="en-GB" w:eastAsia="ja-JP"/>
        </w:rPr>
        <w:t xml:space="preserve"> D</w:t>
      </w:r>
      <w:r w:rsidR="004006B8" w:rsidRPr="00C96521">
        <w:rPr>
          <w:rFonts w:eastAsia="MS Mincho"/>
          <w:sz w:val="20"/>
          <w:szCs w:val="22"/>
          <w:lang w:val="en-GB" w:eastAsia="ja-JP"/>
        </w:rPr>
        <w:t xml:space="preserve">ove </w:t>
      </w:r>
      <w:r w:rsidRPr="00C96521">
        <w:rPr>
          <w:rFonts w:eastAsia="MS Mincho"/>
          <w:sz w:val="20"/>
          <w:szCs w:val="22"/>
          <w:lang w:val="en-GB" w:eastAsia="ja-JP"/>
        </w:rPr>
        <w:t xml:space="preserve">habitats was not the main focus of efforts. It is likely that the </w:t>
      </w:r>
      <w:r w:rsidR="004006B8">
        <w:rPr>
          <w:rFonts w:eastAsia="MS Mincho"/>
          <w:sz w:val="20"/>
          <w:szCs w:val="22"/>
          <w:lang w:val="en-GB" w:eastAsia="ja-JP"/>
        </w:rPr>
        <w:t>T</w:t>
      </w:r>
      <w:r w:rsidR="004006B8" w:rsidRPr="00C96521">
        <w:rPr>
          <w:rFonts w:eastAsia="MS Mincho"/>
          <w:sz w:val="20"/>
          <w:szCs w:val="22"/>
          <w:lang w:val="en-GB" w:eastAsia="ja-JP"/>
        </w:rPr>
        <w:t>urtle</w:t>
      </w:r>
      <w:r w:rsidR="004006B8">
        <w:rPr>
          <w:rFonts w:eastAsia="MS Mincho"/>
          <w:sz w:val="20"/>
          <w:szCs w:val="22"/>
          <w:lang w:val="en-GB" w:eastAsia="ja-JP"/>
        </w:rPr>
        <w:t xml:space="preserve"> D</w:t>
      </w:r>
      <w:r w:rsidR="004006B8" w:rsidRPr="00C96521">
        <w:rPr>
          <w:rFonts w:eastAsia="MS Mincho"/>
          <w:sz w:val="20"/>
          <w:szCs w:val="22"/>
          <w:lang w:val="en-GB" w:eastAsia="ja-JP"/>
        </w:rPr>
        <w:t xml:space="preserve">ove </w:t>
      </w:r>
      <w:r w:rsidRPr="00C96521">
        <w:rPr>
          <w:rFonts w:eastAsia="MS Mincho"/>
          <w:sz w:val="20"/>
          <w:szCs w:val="22"/>
          <w:lang w:val="en-GB" w:eastAsia="ja-JP"/>
        </w:rPr>
        <w:t xml:space="preserve">indirectly benefits from a range of other initiatives in many countries, including: Agri-environment Schemes; promotion of organic farming; Rural Development Programmes; national legislation that protects important features, such as hedgerows and riparian galleries; management of sites for nature conservation, such as Special Protection Areas; and other species and habitat-based projects not aimed at </w:t>
      </w:r>
      <w:r w:rsidR="004006B8">
        <w:rPr>
          <w:rFonts w:eastAsia="MS Mincho"/>
          <w:sz w:val="20"/>
          <w:szCs w:val="22"/>
          <w:lang w:val="en-GB" w:eastAsia="ja-JP"/>
        </w:rPr>
        <w:t>T</w:t>
      </w:r>
      <w:r w:rsidR="004006B8" w:rsidRPr="00C96521">
        <w:rPr>
          <w:rFonts w:eastAsia="MS Mincho"/>
          <w:sz w:val="20"/>
          <w:szCs w:val="22"/>
          <w:lang w:val="en-GB" w:eastAsia="ja-JP"/>
        </w:rPr>
        <w:t>urtle</w:t>
      </w:r>
      <w:r w:rsidR="004006B8">
        <w:rPr>
          <w:rFonts w:eastAsia="MS Mincho"/>
          <w:sz w:val="20"/>
          <w:szCs w:val="22"/>
          <w:lang w:val="en-GB" w:eastAsia="ja-JP"/>
        </w:rPr>
        <w:t xml:space="preserve"> D</w:t>
      </w:r>
      <w:r w:rsidR="004006B8" w:rsidRPr="00C96521">
        <w:rPr>
          <w:rFonts w:eastAsia="MS Mincho"/>
          <w:sz w:val="20"/>
          <w:szCs w:val="22"/>
          <w:lang w:val="en-GB" w:eastAsia="ja-JP"/>
        </w:rPr>
        <w:t>ove</w:t>
      </w:r>
      <w:r w:rsidR="004006B8">
        <w:rPr>
          <w:rFonts w:eastAsia="MS Mincho"/>
          <w:sz w:val="20"/>
          <w:szCs w:val="22"/>
          <w:lang w:val="en-GB" w:eastAsia="ja-JP"/>
        </w:rPr>
        <w:t>s</w:t>
      </w:r>
      <w:r w:rsidRPr="00C96521">
        <w:rPr>
          <w:rFonts w:eastAsia="MS Mincho"/>
          <w:sz w:val="20"/>
          <w:szCs w:val="22"/>
          <w:lang w:val="en-GB" w:eastAsia="ja-JP"/>
        </w:rPr>
        <w:t xml:space="preserve">. However, other policy and development areas have continuing negative effects, such as agricultural change. </w:t>
      </w:r>
    </w:p>
    <w:p w14:paraId="31D0D1B0"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33091FCF" w14:textId="67D83559"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Information is sparse on whether or not the actions have globally contributed to improving the status of the turtle-dove, with long-running monitoring mostly absent or not specifically targeted at </w:t>
      </w:r>
      <w:r w:rsidR="004006B8">
        <w:rPr>
          <w:rFonts w:eastAsia="MS Mincho"/>
          <w:sz w:val="20"/>
          <w:szCs w:val="22"/>
          <w:lang w:val="en-GB" w:eastAsia="ja-JP"/>
        </w:rPr>
        <w:t>T</w:t>
      </w:r>
      <w:r w:rsidR="004006B8" w:rsidRPr="00C96521">
        <w:rPr>
          <w:rFonts w:eastAsia="MS Mincho"/>
          <w:sz w:val="20"/>
          <w:szCs w:val="22"/>
          <w:lang w:val="en-GB" w:eastAsia="ja-JP"/>
        </w:rPr>
        <w:t>urtle</w:t>
      </w:r>
      <w:r w:rsidR="004006B8">
        <w:rPr>
          <w:rFonts w:eastAsia="MS Mincho"/>
          <w:sz w:val="20"/>
          <w:szCs w:val="22"/>
          <w:lang w:val="en-GB" w:eastAsia="ja-JP"/>
        </w:rPr>
        <w:t xml:space="preserve"> D</w:t>
      </w:r>
      <w:r w:rsidR="004006B8" w:rsidRPr="00C96521">
        <w:rPr>
          <w:rFonts w:eastAsia="MS Mincho"/>
          <w:sz w:val="20"/>
          <w:szCs w:val="22"/>
          <w:lang w:val="en-GB" w:eastAsia="ja-JP"/>
        </w:rPr>
        <w:t>ove</w:t>
      </w:r>
      <w:r w:rsidR="004006B8">
        <w:rPr>
          <w:rFonts w:eastAsia="MS Mincho"/>
          <w:sz w:val="20"/>
          <w:szCs w:val="22"/>
          <w:lang w:val="en-GB" w:eastAsia="ja-JP"/>
        </w:rPr>
        <w:t>s</w:t>
      </w:r>
      <w:r w:rsidRPr="00C96521">
        <w:rPr>
          <w:rFonts w:eastAsia="MS Mincho"/>
          <w:sz w:val="20"/>
          <w:szCs w:val="22"/>
          <w:lang w:val="en-GB" w:eastAsia="ja-JP"/>
        </w:rPr>
        <w:t>. There is consensus that isolated Member State activities are of insufficient scale to illicit a global-level response, and there is a need for more diagnostic research and solution testing outside of the western flyway.</w:t>
      </w:r>
    </w:p>
    <w:p w14:paraId="00161DFF"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6B897249"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The key measures within the original Action Plan were:</w:t>
      </w:r>
    </w:p>
    <w:p w14:paraId="12F252A2"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558D88E" w14:textId="77777777" w:rsidR="00C96521" w:rsidRPr="00C96521" w:rsidRDefault="00C96521" w:rsidP="00C96521">
      <w:pPr>
        <w:widowControl/>
        <w:numPr>
          <w:ilvl w:val="0"/>
          <w:numId w:val="42"/>
        </w:numPr>
        <w:tabs>
          <w:tab w:val="left" w:pos="534"/>
        </w:tabs>
        <w:autoSpaceDE/>
        <w:autoSpaceDN/>
        <w:adjustRightInd/>
        <w:spacing w:line="276" w:lineRule="auto"/>
        <w:contextualSpacing/>
        <w:rPr>
          <w:rFonts w:eastAsia="MS Mincho"/>
          <w:sz w:val="20"/>
          <w:szCs w:val="22"/>
          <w:lang w:val="en-GB" w:eastAsia="ja-JP"/>
        </w:rPr>
      </w:pPr>
      <w:r w:rsidRPr="00C96521">
        <w:rPr>
          <w:rFonts w:eastAsia="MS Mincho"/>
          <w:sz w:val="20"/>
          <w:szCs w:val="22"/>
          <w:lang w:val="en-GB" w:eastAsia="ja-JP"/>
        </w:rPr>
        <w:t>Wooded farmland, hedges, and other habitats important for breeding are maintained and better protected.</w:t>
      </w:r>
    </w:p>
    <w:p w14:paraId="6C78B944" w14:textId="77777777" w:rsidR="00C96521" w:rsidRPr="00C96521" w:rsidRDefault="00C96521" w:rsidP="00C96521">
      <w:pPr>
        <w:widowControl/>
        <w:numPr>
          <w:ilvl w:val="0"/>
          <w:numId w:val="42"/>
        </w:numPr>
        <w:tabs>
          <w:tab w:val="left" w:pos="534"/>
        </w:tabs>
        <w:autoSpaceDE/>
        <w:autoSpaceDN/>
        <w:adjustRightInd/>
        <w:spacing w:line="276" w:lineRule="auto"/>
        <w:contextualSpacing/>
        <w:rPr>
          <w:rFonts w:eastAsia="MS Mincho"/>
          <w:sz w:val="20"/>
          <w:szCs w:val="22"/>
          <w:lang w:val="en-GB" w:eastAsia="ja-JP"/>
        </w:rPr>
      </w:pPr>
      <w:r w:rsidRPr="00C96521">
        <w:rPr>
          <w:rFonts w:eastAsia="MS Mincho"/>
          <w:sz w:val="20"/>
          <w:szCs w:val="22"/>
          <w:lang w:val="en-GB" w:eastAsia="ja-JP"/>
        </w:rPr>
        <w:t>Hunting seasons do not overlap with the breeding period (as defined in “Period of reproduction and prenuptial migration of Annex II bird species in the EU”), and hunting does not affect late breeding birds and birds during spring migration.</w:t>
      </w:r>
    </w:p>
    <w:p w14:paraId="6E68654E" w14:textId="77777777" w:rsidR="00C96521" w:rsidRPr="00C96521" w:rsidRDefault="00C96521" w:rsidP="00C96521">
      <w:pPr>
        <w:widowControl/>
        <w:numPr>
          <w:ilvl w:val="0"/>
          <w:numId w:val="42"/>
        </w:numPr>
        <w:tabs>
          <w:tab w:val="left" w:pos="534"/>
        </w:tabs>
        <w:autoSpaceDE/>
        <w:autoSpaceDN/>
        <w:adjustRightInd/>
        <w:spacing w:line="276" w:lineRule="auto"/>
        <w:contextualSpacing/>
        <w:rPr>
          <w:rFonts w:eastAsia="MS Mincho"/>
          <w:sz w:val="20"/>
          <w:szCs w:val="22"/>
          <w:lang w:val="en-GB" w:eastAsia="ja-JP"/>
        </w:rPr>
      </w:pPr>
      <w:r w:rsidRPr="00C96521">
        <w:rPr>
          <w:rFonts w:eastAsia="MS Mincho"/>
          <w:sz w:val="20"/>
          <w:szCs w:val="22"/>
          <w:lang w:val="en-GB" w:eastAsia="ja-JP"/>
        </w:rPr>
        <w:t>Annual bag statistics are available (where hunting is allowed).</w:t>
      </w:r>
    </w:p>
    <w:p w14:paraId="36034810" w14:textId="77777777" w:rsidR="00C96521" w:rsidRPr="00C96521" w:rsidRDefault="00C96521" w:rsidP="00C96521">
      <w:pPr>
        <w:widowControl/>
        <w:numPr>
          <w:ilvl w:val="0"/>
          <w:numId w:val="42"/>
        </w:numPr>
        <w:tabs>
          <w:tab w:val="left" w:pos="534"/>
        </w:tabs>
        <w:autoSpaceDE/>
        <w:autoSpaceDN/>
        <w:adjustRightInd/>
        <w:spacing w:line="276" w:lineRule="auto"/>
        <w:contextualSpacing/>
        <w:rPr>
          <w:rFonts w:eastAsia="MS Mincho"/>
          <w:sz w:val="20"/>
          <w:szCs w:val="22"/>
          <w:lang w:val="en-GB" w:eastAsia="ja-JP"/>
        </w:rPr>
      </w:pPr>
      <w:r w:rsidRPr="00C96521">
        <w:rPr>
          <w:rFonts w:eastAsia="MS Mincho"/>
          <w:sz w:val="20"/>
          <w:szCs w:val="22"/>
          <w:lang w:val="en-GB" w:eastAsia="ja-JP"/>
        </w:rPr>
        <w:t>Hunting bags information is collected from key countries outside the EU where European populations pass on migration and winter (especially Maghreb and sub-Saharan countries).</w:t>
      </w:r>
    </w:p>
    <w:p w14:paraId="36F068DA" w14:textId="77777777" w:rsidR="00C96521" w:rsidRPr="00C96521" w:rsidRDefault="00C96521" w:rsidP="00C96521">
      <w:pPr>
        <w:widowControl/>
        <w:numPr>
          <w:ilvl w:val="0"/>
          <w:numId w:val="42"/>
        </w:numPr>
        <w:tabs>
          <w:tab w:val="left" w:pos="534"/>
        </w:tabs>
        <w:autoSpaceDE/>
        <w:autoSpaceDN/>
        <w:adjustRightInd/>
        <w:spacing w:line="276" w:lineRule="auto"/>
        <w:contextualSpacing/>
        <w:rPr>
          <w:rFonts w:eastAsia="MS Mincho"/>
          <w:sz w:val="20"/>
          <w:szCs w:val="22"/>
          <w:lang w:val="en-GB" w:eastAsia="ja-JP"/>
        </w:rPr>
      </w:pPr>
      <w:r w:rsidRPr="00C96521">
        <w:rPr>
          <w:rFonts w:eastAsia="MS Mincho"/>
          <w:sz w:val="20"/>
          <w:szCs w:val="22"/>
          <w:lang w:val="en-GB" w:eastAsia="ja-JP"/>
        </w:rPr>
        <w:t>A predictive model is developed to help determine sustainable annual bag.</w:t>
      </w:r>
    </w:p>
    <w:p w14:paraId="3FF34145" w14:textId="77777777" w:rsidR="00C96521" w:rsidRPr="00C96521" w:rsidRDefault="00C96521" w:rsidP="00C96521">
      <w:pPr>
        <w:widowControl/>
        <w:numPr>
          <w:ilvl w:val="0"/>
          <w:numId w:val="42"/>
        </w:numPr>
        <w:tabs>
          <w:tab w:val="left" w:pos="534"/>
        </w:tabs>
        <w:autoSpaceDE/>
        <w:autoSpaceDN/>
        <w:adjustRightInd/>
        <w:spacing w:line="276" w:lineRule="auto"/>
        <w:contextualSpacing/>
        <w:rPr>
          <w:rFonts w:eastAsia="MS Mincho"/>
          <w:sz w:val="20"/>
          <w:szCs w:val="22"/>
          <w:lang w:val="en-GB" w:eastAsia="ja-JP"/>
        </w:rPr>
      </w:pPr>
      <w:r w:rsidRPr="00C96521">
        <w:rPr>
          <w:rFonts w:eastAsia="MS Mincho"/>
          <w:sz w:val="20"/>
          <w:szCs w:val="22"/>
          <w:lang w:val="en-GB" w:eastAsia="ja-JP"/>
        </w:rPr>
        <w:t>From the existing monitoring schemes, common guidelines for monitoring the species are agreed and used to monitor populations.</w:t>
      </w:r>
    </w:p>
    <w:p w14:paraId="721BD83E" w14:textId="77777777" w:rsidR="00C96521" w:rsidRPr="00C96521" w:rsidRDefault="00C96521" w:rsidP="00C96521">
      <w:pPr>
        <w:widowControl/>
        <w:numPr>
          <w:ilvl w:val="0"/>
          <w:numId w:val="42"/>
        </w:numPr>
        <w:tabs>
          <w:tab w:val="left" w:pos="534"/>
        </w:tabs>
        <w:autoSpaceDE/>
        <w:autoSpaceDN/>
        <w:adjustRightInd/>
        <w:spacing w:line="276" w:lineRule="auto"/>
        <w:contextualSpacing/>
        <w:rPr>
          <w:rFonts w:eastAsia="MS Mincho"/>
          <w:sz w:val="20"/>
          <w:szCs w:val="22"/>
          <w:lang w:val="en-GB" w:eastAsia="ja-JP"/>
        </w:rPr>
      </w:pPr>
      <w:r w:rsidRPr="00C96521">
        <w:rPr>
          <w:rFonts w:eastAsia="MS Mincho"/>
          <w:sz w:val="20"/>
          <w:szCs w:val="22"/>
          <w:lang w:val="en-GB" w:eastAsia="ja-JP"/>
        </w:rPr>
        <w:t>National ringing activities and analyses of existing ringing data to estimate mortality and identify population units are supported.</w:t>
      </w:r>
    </w:p>
    <w:p w14:paraId="3143BD1B" w14:textId="77777777" w:rsidR="00C96521" w:rsidRPr="00C96521" w:rsidRDefault="00C96521" w:rsidP="00C96521">
      <w:pPr>
        <w:widowControl/>
        <w:numPr>
          <w:ilvl w:val="0"/>
          <w:numId w:val="42"/>
        </w:numPr>
        <w:tabs>
          <w:tab w:val="left" w:pos="534"/>
        </w:tabs>
        <w:autoSpaceDE/>
        <w:autoSpaceDN/>
        <w:adjustRightInd/>
        <w:spacing w:line="276" w:lineRule="auto"/>
        <w:contextualSpacing/>
        <w:rPr>
          <w:rFonts w:eastAsia="MS Mincho"/>
          <w:sz w:val="20"/>
          <w:szCs w:val="22"/>
          <w:lang w:val="en-GB" w:eastAsia="ja-JP"/>
        </w:rPr>
      </w:pPr>
      <w:r w:rsidRPr="00C96521">
        <w:rPr>
          <w:rFonts w:eastAsia="MS Mincho"/>
          <w:sz w:val="20"/>
          <w:szCs w:val="22"/>
          <w:lang w:val="en-GB" w:eastAsia="ja-JP"/>
        </w:rPr>
        <w:t>Annual estimate of breeding success is provided on breeding grounds.</w:t>
      </w:r>
    </w:p>
    <w:p w14:paraId="0EBA94F2" w14:textId="77777777" w:rsidR="00C96521" w:rsidRPr="00C96521" w:rsidRDefault="00C96521" w:rsidP="00C96521">
      <w:pPr>
        <w:widowControl/>
        <w:numPr>
          <w:ilvl w:val="0"/>
          <w:numId w:val="42"/>
        </w:numPr>
        <w:tabs>
          <w:tab w:val="left" w:pos="534"/>
        </w:tabs>
        <w:autoSpaceDE/>
        <w:autoSpaceDN/>
        <w:adjustRightInd/>
        <w:spacing w:line="276" w:lineRule="auto"/>
        <w:contextualSpacing/>
        <w:rPr>
          <w:rFonts w:eastAsia="MS Mincho"/>
          <w:sz w:val="20"/>
          <w:szCs w:val="22"/>
          <w:lang w:val="en-GB" w:eastAsia="ja-JP"/>
        </w:rPr>
      </w:pPr>
      <w:r w:rsidRPr="00C96521">
        <w:rPr>
          <w:rFonts w:eastAsia="MS Mincho"/>
          <w:sz w:val="20"/>
          <w:szCs w:val="22"/>
          <w:lang w:val="en-GB" w:eastAsia="ja-JP"/>
        </w:rPr>
        <w:t>Accurate information is gathered on the breeding population size and trend in Turkey and Russia, and on numbers, distribution, and ecology of wintering populations in West Africa.</w:t>
      </w:r>
    </w:p>
    <w:p w14:paraId="26F0BD1D" w14:textId="18235B6A" w:rsidR="00C96521" w:rsidRPr="00C96521" w:rsidRDefault="00C96521" w:rsidP="00C96521">
      <w:pPr>
        <w:widowControl/>
        <w:numPr>
          <w:ilvl w:val="0"/>
          <w:numId w:val="42"/>
        </w:numPr>
        <w:tabs>
          <w:tab w:val="left" w:pos="534"/>
        </w:tabs>
        <w:autoSpaceDE/>
        <w:autoSpaceDN/>
        <w:adjustRightInd/>
        <w:spacing w:line="276" w:lineRule="auto"/>
        <w:contextualSpacing/>
        <w:rPr>
          <w:rFonts w:eastAsia="MS Mincho"/>
          <w:sz w:val="20"/>
          <w:szCs w:val="22"/>
          <w:lang w:val="en-GB" w:eastAsia="ja-JP"/>
        </w:rPr>
      </w:pPr>
      <w:r w:rsidRPr="00C96521">
        <w:rPr>
          <w:rFonts w:eastAsia="MS Mincho"/>
          <w:sz w:val="20"/>
          <w:szCs w:val="22"/>
          <w:lang w:val="en-GB" w:eastAsia="ja-JP"/>
        </w:rPr>
        <w:t xml:space="preserve">Research on reproduction, mortality, and feeding ecology targeted at assessing which components of agricultural intensification and habitat modification have significant adverse effects, and research to determine which management is most effective, including reviews of existing pilot studies, is supported. Potential competition with </w:t>
      </w:r>
      <w:r w:rsidR="004006B8">
        <w:rPr>
          <w:rFonts w:eastAsia="MS Mincho"/>
          <w:sz w:val="20"/>
          <w:szCs w:val="22"/>
          <w:lang w:val="en-GB" w:eastAsia="ja-JP"/>
        </w:rPr>
        <w:t xml:space="preserve">the </w:t>
      </w:r>
      <w:r w:rsidRPr="00C96521">
        <w:rPr>
          <w:rFonts w:eastAsia="MS Mincho"/>
          <w:sz w:val="20"/>
          <w:szCs w:val="22"/>
          <w:lang w:val="en-GB" w:eastAsia="ja-JP"/>
        </w:rPr>
        <w:t>Collared Dove also needs to be investigated.</w:t>
      </w:r>
    </w:p>
    <w:p w14:paraId="7C93DA06"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F2005E0"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Four short-term objectives were assessed:</w:t>
      </w:r>
    </w:p>
    <w:p w14:paraId="1A8E3938" w14:textId="77777777" w:rsidR="00C96521" w:rsidRPr="00C96521" w:rsidRDefault="00C96521" w:rsidP="00C96521">
      <w:pPr>
        <w:widowControl/>
        <w:autoSpaceDE/>
        <w:autoSpaceDN/>
        <w:adjustRightInd/>
        <w:spacing w:line="276" w:lineRule="auto"/>
        <w:ind w:left="720"/>
        <w:rPr>
          <w:rFonts w:eastAsia="MS Mincho"/>
          <w:sz w:val="20"/>
          <w:szCs w:val="22"/>
          <w:lang w:val="en-GB" w:eastAsia="ja-JP"/>
        </w:rPr>
      </w:pPr>
    </w:p>
    <w:p w14:paraId="5D35E0D3" w14:textId="74504175"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Objective 1: improving management and restoration of breeding habitats (review measure 1). This was relevant to 23 Member States, with seven achieving the short-term goal, and another three with partial progress (43</w:t>
      </w:r>
      <w:bookmarkStart w:id="9" w:name="_Toc469140846"/>
      <w:r w:rsidR="004006B8">
        <w:rPr>
          <w:rFonts w:eastAsia="MS Mincho"/>
          <w:sz w:val="20"/>
          <w:szCs w:val="22"/>
          <w:lang w:val="en-GB" w:eastAsia="ja-JP"/>
        </w:rPr>
        <w:t xml:space="preserve"> per cent</w:t>
      </w:r>
      <w:r w:rsidRPr="00C96521">
        <w:rPr>
          <w:rFonts w:eastAsia="MS Mincho"/>
          <w:sz w:val="20"/>
          <w:szCs w:val="22"/>
          <w:lang w:val="en-GB" w:eastAsia="ja-JP"/>
        </w:rPr>
        <w:t xml:space="preserve"> making some positive change).</w:t>
      </w:r>
    </w:p>
    <w:p w14:paraId="76FEE36E"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B67D891" w14:textId="481B8D42"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Objective 2: monitoring and research, including international cooperation (measures 6 to 10).</w:t>
      </w:r>
      <w:bookmarkEnd w:id="9"/>
      <w:r w:rsidRPr="00C96521">
        <w:rPr>
          <w:rFonts w:eastAsia="MS Mincho"/>
          <w:sz w:val="20"/>
          <w:szCs w:val="22"/>
          <w:lang w:val="en-GB" w:eastAsia="ja-JP"/>
        </w:rPr>
        <w:t xml:space="preserve"> Of the 25 Member States for which this objective was relevant, </w:t>
      </w:r>
      <w:r w:rsidR="004006B8">
        <w:rPr>
          <w:rFonts w:eastAsia="MS Mincho"/>
          <w:sz w:val="20"/>
          <w:szCs w:val="22"/>
          <w:lang w:val="en-GB" w:eastAsia="ja-JP"/>
        </w:rPr>
        <w:t>6</w:t>
      </w:r>
      <w:r w:rsidR="004006B8" w:rsidRPr="00C96521">
        <w:rPr>
          <w:rFonts w:eastAsia="MS Mincho"/>
          <w:sz w:val="20"/>
          <w:szCs w:val="22"/>
          <w:lang w:val="en-GB" w:eastAsia="ja-JP"/>
        </w:rPr>
        <w:t xml:space="preserve"> </w:t>
      </w:r>
      <w:r w:rsidRPr="00C96521">
        <w:rPr>
          <w:rFonts w:eastAsia="MS Mincho"/>
          <w:sz w:val="20"/>
          <w:szCs w:val="22"/>
          <w:lang w:val="en-GB" w:eastAsia="ja-JP"/>
        </w:rPr>
        <w:t>made significant progress, and another 16 some progress (88</w:t>
      </w:r>
      <w:r w:rsidR="004006B8">
        <w:rPr>
          <w:rFonts w:eastAsia="MS Mincho"/>
          <w:sz w:val="20"/>
          <w:szCs w:val="22"/>
          <w:lang w:val="en-GB" w:eastAsia="ja-JP"/>
        </w:rPr>
        <w:t xml:space="preserve"> per cent</w:t>
      </w:r>
      <w:r w:rsidRPr="00C96521">
        <w:rPr>
          <w:rFonts w:eastAsia="MS Mincho"/>
          <w:sz w:val="20"/>
          <w:szCs w:val="22"/>
          <w:lang w:val="en-GB" w:eastAsia="ja-JP"/>
        </w:rPr>
        <w:t xml:space="preserve"> making some positive change)</w:t>
      </w:r>
      <w:bookmarkStart w:id="10" w:name="_Toc469140847"/>
      <w:r w:rsidRPr="00C96521">
        <w:rPr>
          <w:rFonts w:eastAsia="MS Mincho"/>
          <w:sz w:val="20"/>
          <w:szCs w:val="22"/>
          <w:lang w:val="en-GB" w:eastAsia="ja-JP"/>
        </w:rPr>
        <w:t xml:space="preserve">. </w:t>
      </w:r>
    </w:p>
    <w:p w14:paraId="49EBF1D7"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BA9A3A9" w14:textId="3AC02C0C"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Objective 3: analysis of competition between </w:t>
      </w:r>
      <w:r w:rsidR="004006B8">
        <w:rPr>
          <w:rFonts w:eastAsia="MS Mincho"/>
          <w:sz w:val="20"/>
          <w:szCs w:val="22"/>
          <w:lang w:val="en-GB" w:eastAsia="ja-JP"/>
        </w:rPr>
        <w:t>the C</w:t>
      </w:r>
      <w:r w:rsidRPr="00C96521">
        <w:rPr>
          <w:rFonts w:eastAsia="MS Mincho"/>
          <w:sz w:val="20"/>
          <w:szCs w:val="22"/>
          <w:lang w:val="en-GB" w:eastAsia="ja-JP"/>
        </w:rPr>
        <w:t xml:space="preserve">ollared </w:t>
      </w:r>
      <w:r w:rsidR="004006B8">
        <w:rPr>
          <w:rFonts w:eastAsia="MS Mincho"/>
          <w:sz w:val="20"/>
          <w:szCs w:val="22"/>
          <w:lang w:val="en-GB" w:eastAsia="ja-JP"/>
        </w:rPr>
        <w:t>D</w:t>
      </w:r>
      <w:r w:rsidRPr="00C96521">
        <w:rPr>
          <w:rFonts w:eastAsia="MS Mincho"/>
          <w:sz w:val="20"/>
          <w:szCs w:val="22"/>
          <w:lang w:val="en-GB" w:eastAsia="ja-JP"/>
        </w:rPr>
        <w:t xml:space="preserve">ove and </w:t>
      </w:r>
      <w:r w:rsidR="004006B8">
        <w:rPr>
          <w:rFonts w:eastAsia="MS Mincho"/>
          <w:sz w:val="20"/>
          <w:szCs w:val="22"/>
          <w:lang w:val="en-GB" w:eastAsia="ja-JP"/>
        </w:rPr>
        <w:t>T</w:t>
      </w:r>
      <w:r w:rsidR="004006B8" w:rsidRPr="00C96521">
        <w:rPr>
          <w:rFonts w:eastAsia="MS Mincho"/>
          <w:sz w:val="20"/>
          <w:szCs w:val="22"/>
          <w:lang w:val="en-GB" w:eastAsia="ja-JP"/>
        </w:rPr>
        <w:t>urtle</w:t>
      </w:r>
      <w:r w:rsidR="004006B8">
        <w:rPr>
          <w:rFonts w:eastAsia="MS Mincho"/>
          <w:sz w:val="20"/>
          <w:szCs w:val="22"/>
          <w:lang w:val="en-GB" w:eastAsia="ja-JP"/>
        </w:rPr>
        <w:t xml:space="preserve"> D</w:t>
      </w:r>
      <w:r w:rsidR="004006B8" w:rsidRPr="00C96521">
        <w:rPr>
          <w:rFonts w:eastAsia="MS Mincho"/>
          <w:sz w:val="20"/>
          <w:szCs w:val="22"/>
          <w:lang w:val="en-GB" w:eastAsia="ja-JP"/>
        </w:rPr>
        <w:t>ove</w:t>
      </w:r>
      <w:r w:rsidRPr="00C96521">
        <w:rPr>
          <w:rFonts w:eastAsia="MS Mincho"/>
          <w:sz w:val="20"/>
          <w:szCs w:val="22"/>
          <w:lang w:val="en-GB" w:eastAsia="ja-JP"/>
        </w:rPr>
        <w:t xml:space="preserve"> (measure 10).</w:t>
      </w:r>
      <w:bookmarkEnd w:id="10"/>
      <w:r w:rsidRPr="00C96521">
        <w:rPr>
          <w:rFonts w:eastAsia="MS Mincho"/>
          <w:sz w:val="20"/>
          <w:szCs w:val="22"/>
          <w:lang w:val="en-GB" w:eastAsia="ja-JP"/>
        </w:rPr>
        <w:t xml:space="preserve"> This objective was potentially relevant for 22 countries, from which only Malta carried out significant analyses</w:t>
      </w:r>
      <w:bookmarkStart w:id="11" w:name="_Toc469140848"/>
      <w:r w:rsidRPr="00C96521">
        <w:rPr>
          <w:rFonts w:eastAsia="MS Mincho"/>
          <w:sz w:val="20"/>
          <w:szCs w:val="22"/>
          <w:lang w:val="en-GB" w:eastAsia="ja-JP"/>
        </w:rPr>
        <w:t>.</w:t>
      </w:r>
    </w:p>
    <w:p w14:paraId="35F89370"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C3D1212"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Objective 4: collection of more robust data to understand the effects of hunting (measures 3 to 5).</w:t>
      </w:r>
      <w:bookmarkEnd w:id="11"/>
      <w:r w:rsidRPr="00C96521">
        <w:rPr>
          <w:rFonts w:eastAsia="MS Mincho"/>
          <w:sz w:val="20"/>
          <w:szCs w:val="22"/>
          <w:lang w:val="en-GB" w:eastAsia="ja-JP"/>
        </w:rPr>
        <w:t xml:space="preserve"> This objective was relevant only to the 10 Member States where hunting is legal (Austria, Bulgaria, Cyprus, France, Greece, Italy, Malta, Portugal, Romania, and Spain). Of these, nine collected data, but only Malta significantly fulfilled this objective.</w:t>
      </w:r>
    </w:p>
    <w:p w14:paraId="6DEB02F8"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6BDDDA67"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Two indices were used to show progress (see Fisher </w:t>
      </w:r>
      <w:r w:rsidRPr="00C96521">
        <w:rPr>
          <w:rFonts w:eastAsia="MS Mincho"/>
          <w:i/>
          <w:sz w:val="20"/>
          <w:szCs w:val="22"/>
          <w:lang w:val="en-GB" w:eastAsia="ja-JP"/>
        </w:rPr>
        <w:t xml:space="preserve">et al </w:t>
      </w:r>
      <w:r w:rsidRPr="00C96521">
        <w:rPr>
          <w:rFonts w:eastAsia="MS Mincho"/>
          <w:sz w:val="20"/>
          <w:szCs w:val="22"/>
          <w:lang w:val="en-GB" w:eastAsia="ja-JP"/>
        </w:rPr>
        <w:t>2016b) for further details on calculating the indices). The National Implementation Score (Figure 2) shows progress of each Member State towards achieving all measures, from 1 (little or no implementation) to 4 (full implementation). The Average Implementation Score (Figure 3) shows progress of each measure across all relevant Member States, from 0 (none) to 4 (full implementation).</w:t>
      </w:r>
    </w:p>
    <w:p w14:paraId="39109A6E"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D012EEC"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noProof/>
          <w:sz w:val="20"/>
          <w:szCs w:val="22"/>
        </w:rPr>
        <w:drawing>
          <wp:inline distT="0" distB="0" distL="0" distR="0" wp14:anchorId="28DE4D48" wp14:editId="73479C8B">
            <wp:extent cx="5918200" cy="3121598"/>
            <wp:effectExtent l="0" t="0" r="0" b="0"/>
            <wp:docPr id="4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1720015"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Figure 2. National Implementation Score (NIS) for each Member State (FI, EI, SE excluded as NIS not relevant), and the average score across all States.</w:t>
      </w:r>
    </w:p>
    <w:p w14:paraId="4D79F221"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5A4AC749"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noProof/>
          <w:sz w:val="20"/>
          <w:szCs w:val="22"/>
        </w:rPr>
        <w:drawing>
          <wp:inline distT="0" distB="0" distL="0" distR="0" wp14:anchorId="1D4D7516" wp14:editId="3F9198BF">
            <wp:extent cx="5918200" cy="2904091"/>
            <wp:effectExtent l="0" t="0" r="0" b="0"/>
            <wp:docPr id="4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1CC198F"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Figure 3. Average Implementation Score (AIS) for each action within the Management Plan, across all relevant Member States. All actions were Medium priority except 3 and 5 which were High (darker shaded).</w:t>
      </w:r>
    </w:p>
    <w:p w14:paraId="0DFD34DB"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5E167FD"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Overall implementation of the Management Plan was poor, with most progress made in France, Malta, and the United Kingdom, and for measures to mitigate hunting effects (avoidance of overlap of hunting and breeding seasons), to collect hunting information, and to monitor populations. There was little activity associated with predictive modelling owing to a lack of robust data, and with working outside of the EU. However, most Member States carried out some form of habitat conservation work. </w:t>
      </w:r>
    </w:p>
    <w:p w14:paraId="735F28C1"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4AB57C5" w14:textId="525951DC"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sz w:val="20"/>
          <w:szCs w:val="22"/>
          <w:lang w:val="en-GB" w:eastAsia="ja-JP"/>
        </w:rPr>
        <w:t xml:space="preserve">A limited number of the activities carried out for </w:t>
      </w:r>
      <w:r w:rsidR="004006B8">
        <w:rPr>
          <w:rFonts w:eastAsia="MS Mincho"/>
          <w:sz w:val="20"/>
          <w:szCs w:val="22"/>
          <w:lang w:val="en-GB" w:eastAsia="ja-JP"/>
        </w:rPr>
        <w:t>the T</w:t>
      </w:r>
      <w:r w:rsidR="004006B8" w:rsidRPr="00C96521">
        <w:rPr>
          <w:rFonts w:eastAsia="MS Mincho"/>
          <w:sz w:val="20"/>
          <w:szCs w:val="22"/>
          <w:lang w:val="en-GB" w:eastAsia="ja-JP"/>
        </w:rPr>
        <w:t>urtle</w:t>
      </w:r>
      <w:r w:rsidR="004006B8">
        <w:rPr>
          <w:rFonts w:eastAsia="MS Mincho"/>
          <w:sz w:val="20"/>
          <w:szCs w:val="22"/>
          <w:lang w:val="en-GB" w:eastAsia="ja-JP"/>
        </w:rPr>
        <w:t xml:space="preserve"> D</w:t>
      </w:r>
      <w:r w:rsidR="004006B8" w:rsidRPr="00C96521">
        <w:rPr>
          <w:rFonts w:eastAsia="MS Mincho"/>
          <w:sz w:val="20"/>
          <w:szCs w:val="22"/>
          <w:lang w:val="en-GB" w:eastAsia="ja-JP"/>
        </w:rPr>
        <w:t>ove</w:t>
      </w:r>
      <w:r w:rsidRPr="00C96521">
        <w:rPr>
          <w:rFonts w:eastAsia="MS Mincho"/>
          <w:sz w:val="20"/>
          <w:szCs w:val="22"/>
          <w:lang w:val="en-GB" w:eastAsia="ja-JP"/>
        </w:rPr>
        <w:t xml:space="preserve"> seem to have been triggered by the Management Plan, while most of the conservation measures were taken regardless of the Plan, under the framework of a wide range of different instruments: legislative, regulatory, planning, programmatic and financial. Many of the actions were carried out by academic institutions and NGOs, and hunting organi</w:t>
      </w:r>
      <w:r w:rsidR="004006B8">
        <w:rPr>
          <w:rFonts w:eastAsia="MS Mincho"/>
          <w:sz w:val="20"/>
          <w:szCs w:val="22"/>
          <w:lang w:val="en-GB" w:eastAsia="ja-JP"/>
        </w:rPr>
        <w:t>z</w:t>
      </w:r>
      <w:r w:rsidRPr="00C96521">
        <w:rPr>
          <w:rFonts w:eastAsia="MS Mincho"/>
          <w:sz w:val="20"/>
          <w:szCs w:val="22"/>
          <w:lang w:val="en-GB" w:eastAsia="ja-JP"/>
        </w:rPr>
        <w:t>ations contributed to implementation of some of the activities, including habitat management.</w:t>
      </w:r>
    </w:p>
    <w:p w14:paraId="5C52EA85" w14:textId="77777777" w:rsidR="00C96521" w:rsidRPr="00C96521" w:rsidRDefault="00C96521" w:rsidP="00C96521">
      <w:pPr>
        <w:widowControl/>
        <w:autoSpaceDE/>
        <w:autoSpaceDN/>
        <w:adjustRightInd/>
        <w:spacing w:line="276" w:lineRule="auto"/>
        <w:rPr>
          <w:rFonts w:eastAsia="MS Mincho"/>
          <w:sz w:val="20"/>
          <w:szCs w:val="22"/>
          <w:lang w:val="en-GB" w:eastAsia="ja-JP"/>
        </w:rPr>
        <w:sectPr w:rsidR="00C96521" w:rsidRPr="00C96521" w:rsidSect="00C96521">
          <w:headerReference w:type="even" r:id="rId31"/>
          <w:headerReference w:type="default" r:id="rId32"/>
          <w:footerReference w:type="default" r:id="rId33"/>
          <w:footerReference w:type="first" r:id="rId34"/>
          <w:pgSz w:w="11920" w:h="16840"/>
          <w:pgMar w:top="1276" w:right="1300" w:bottom="920" w:left="1300" w:header="730" w:footer="738" w:gutter="0"/>
          <w:cols w:space="720"/>
          <w:docGrid w:linePitch="299"/>
        </w:sectPr>
      </w:pPr>
    </w:p>
    <w:p w14:paraId="73FBD4DE" w14:textId="77777777" w:rsidR="00C96521" w:rsidRPr="00C96521" w:rsidRDefault="00C96521" w:rsidP="00C96521">
      <w:pPr>
        <w:keepNext/>
        <w:keepLines/>
        <w:widowControl/>
        <w:autoSpaceDE/>
        <w:autoSpaceDN/>
        <w:adjustRightInd/>
        <w:spacing w:before="480" w:line="276" w:lineRule="auto"/>
        <w:outlineLvl w:val="0"/>
        <w:rPr>
          <w:rFonts w:eastAsia="MS Gothic"/>
          <w:b/>
          <w:bCs/>
          <w:color w:val="365F91"/>
          <w:sz w:val="32"/>
          <w:szCs w:val="28"/>
          <w:lang w:val="en-GB" w:eastAsia="ja-JP"/>
        </w:rPr>
      </w:pPr>
      <w:bookmarkStart w:id="12" w:name="_Toc478646897"/>
      <w:r w:rsidRPr="00C96521">
        <w:rPr>
          <w:rFonts w:eastAsia="MS Gothic"/>
          <w:b/>
          <w:bCs/>
          <w:color w:val="365F91"/>
          <w:sz w:val="32"/>
          <w:szCs w:val="28"/>
          <w:lang w:val="en-GB" w:eastAsia="ja-JP"/>
        </w:rPr>
        <w:t>2 - FRAMEWORK FOR ACTION</w:t>
      </w:r>
      <w:bookmarkEnd w:id="12"/>
    </w:p>
    <w:p w14:paraId="1F223FB6" w14:textId="77777777" w:rsidR="00C96521" w:rsidRPr="00C96521" w:rsidRDefault="00C96521" w:rsidP="00C96521">
      <w:pPr>
        <w:keepNext/>
        <w:keepLines/>
        <w:widowControl/>
        <w:autoSpaceDE/>
        <w:autoSpaceDN/>
        <w:adjustRightInd/>
        <w:spacing w:before="200" w:line="276" w:lineRule="auto"/>
        <w:outlineLvl w:val="1"/>
        <w:rPr>
          <w:rFonts w:ascii="Cambria" w:eastAsia="MS Gothic" w:hAnsi="Cambria"/>
          <w:b/>
          <w:bCs/>
          <w:color w:val="4F81BD"/>
          <w:sz w:val="26"/>
          <w:szCs w:val="26"/>
          <w:lang w:val="en-GB" w:eastAsia="ja-JP"/>
        </w:rPr>
      </w:pPr>
      <w:bookmarkStart w:id="13" w:name="_Toc478646898"/>
      <w:r w:rsidRPr="00C96521">
        <w:rPr>
          <w:rFonts w:ascii="Cambria" w:eastAsia="MS Gothic" w:hAnsi="Cambria"/>
          <w:b/>
          <w:bCs/>
          <w:color w:val="4F81BD"/>
          <w:sz w:val="26"/>
          <w:szCs w:val="26"/>
          <w:lang w:val="en-GB" w:eastAsia="ja-JP"/>
        </w:rPr>
        <w:t>Goal</w:t>
      </w:r>
      <w:bookmarkEnd w:id="13"/>
    </w:p>
    <w:p w14:paraId="7FF2F4B7" w14:textId="04A31E5C" w:rsidR="00C96521" w:rsidRPr="00C96521" w:rsidRDefault="00C96521" w:rsidP="00C96521">
      <w:pPr>
        <w:widowControl/>
        <w:autoSpaceDE/>
        <w:autoSpaceDN/>
        <w:adjustRightInd/>
        <w:spacing w:before="120" w:line="276" w:lineRule="auto"/>
        <w:rPr>
          <w:rFonts w:eastAsia="MS Mincho"/>
          <w:sz w:val="20"/>
          <w:szCs w:val="22"/>
          <w:lang w:val="en-GB" w:eastAsia="ja-JP"/>
        </w:rPr>
      </w:pPr>
      <w:r w:rsidRPr="00C96521">
        <w:rPr>
          <w:rFonts w:eastAsia="MS Mincho"/>
          <w:sz w:val="20"/>
          <w:szCs w:val="22"/>
          <w:lang w:val="en-GB" w:eastAsia="ja-JP"/>
        </w:rPr>
        <w:t>To restore the European Turtle</w:t>
      </w:r>
      <w:r w:rsidR="004006B8">
        <w:rPr>
          <w:rFonts w:eastAsia="MS Mincho"/>
          <w:sz w:val="20"/>
          <w:szCs w:val="22"/>
          <w:lang w:val="en-GB" w:eastAsia="ja-JP"/>
        </w:rPr>
        <w:t xml:space="preserve"> Dov</w:t>
      </w:r>
      <w:r w:rsidRPr="00C96521">
        <w:rPr>
          <w:rFonts w:eastAsia="MS Mincho"/>
          <w:sz w:val="20"/>
          <w:szCs w:val="22"/>
          <w:lang w:val="en-GB" w:eastAsia="ja-JP"/>
        </w:rPr>
        <w:t>e (</w:t>
      </w:r>
      <w:r w:rsidRPr="00C96521">
        <w:rPr>
          <w:rFonts w:eastAsia="MS Mincho"/>
          <w:i/>
          <w:sz w:val="20"/>
          <w:szCs w:val="22"/>
          <w:lang w:val="en-GB" w:eastAsia="ja-JP"/>
        </w:rPr>
        <w:t>Streptopelia turtur</w:t>
      </w:r>
      <w:r w:rsidRPr="00C96521">
        <w:rPr>
          <w:rFonts w:eastAsia="MS Mincho"/>
          <w:sz w:val="20"/>
          <w:szCs w:val="22"/>
          <w:lang w:val="en-GB" w:eastAsia="ja-JP"/>
        </w:rPr>
        <w:t>) to a favourable population status so it can be safely removed from the threatened categories of the IUCN Red List.</w:t>
      </w:r>
    </w:p>
    <w:p w14:paraId="26A31B40" w14:textId="77777777" w:rsidR="00C96521" w:rsidRPr="00C96521" w:rsidRDefault="00C96521" w:rsidP="00C96521">
      <w:pPr>
        <w:keepNext/>
        <w:keepLines/>
        <w:widowControl/>
        <w:autoSpaceDE/>
        <w:autoSpaceDN/>
        <w:adjustRightInd/>
        <w:spacing w:before="200" w:line="276" w:lineRule="auto"/>
        <w:outlineLvl w:val="1"/>
        <w:rPr>
          <w:rFonts w:ascii="Cambria" w:eastAsia="MS Gothic" w:hAnsi="Cambria"/>
          <w:b/>
          <w:bCs/>
          <w:color w:val="4F81BD"/>
          <w:sz w:val="26"/>
          <w:szCs w:val="26"/>
          <w:lang w:val="en-GB" w:eastAsia="ja-JP"/>
        </w:rPr>
      </w:pPr>
      <w:bookmarkStart w:id="14" w:name="_Toc478646899"/>
      <w:r w:rsidRPr="00C96521">
        <w:rPr>
          <w:rFonts w:ascii="Cambria" w:eastAsia="MS Gothic" w:hAnsi="Cambria"/>
          <w:b/>
          <w:bCs/>
          <w:color w:val="4F81BD"/>
          <w:sz w:val="26"/>
          <w:szCs w:val="26"/>
          <w:lang w:val="en-GB" w:eastAsia="ja-JP"/>
        </w:rPr>
        <w:t>High Level Objective</w:t>
      </w:r>
      <w:bookmarkEnd w:id="14"/>
    </w:p>
    <w:p w14:paraId="5A592903" w14:textId="28DE4019" w:rsidR="00C96521" w:rsidRPr="00C96521" w:rsidRDefault="00C96521" w:rsidP="00C96521">
      <w:pPr>
        <w:widowControl/>
        <w:autoSpaceDE/>
        <w:autoSpaceDN/>
        <w:adjustRightInd/>
        <w:spacing w:before="120" w:line="276" w:lineRule="auto"/>
        <w:rPr>
          <w:rFonts w:eastAsia="MS Mincho"/>
          <w:sz w:val="20"/>
          <w:szCs w:val="22"/>
          <w:lang w:val="en-GB" w:eastAsia="ja-JP"/>
        </w:rPr>
      </w:pPr>
      <w:r w:rsidRPr="00C96521">
        <w:rPr>
          <w:rFonts w:eastAsia="MS Mincho"/>
          <w:sz w:val="20"/>
          <w:szCs w:val="22"/>
          <w:lang w:val="en-GB" w:eastAsia="ja-JP"/>
        </w:rPr>
        <w:t>To halt the population decline of the European Turtle</w:t>
      </w:r>
      <w:r w:rsidR="004006B8">
        <w:rPr>
          <w:rFonts w:eastAsia="MS Mincho"/>
          <w:sz w:val="20"/>
          <w:szCs w:val="22"/>
          <w:lang w:val="en-GB" w:eastAsia="ja-JP"/>
        </w:rPr>
        <w:t xml:space="preserve"> D</w:t>
      </w:r>
      <w:r w:rsidRPr="00C96521">
        <w:rPr>
          <w:rFonts w:eastAsia="MS Mincho"/>
          <w:sz w:val="20"/>
          <w:szCs w:val="22"/>
          <w:lang w:val="en-GB" w:eastAsia="ja-JP"/>
        </w:rPr>
        <w:t>ove throughout most of its range, preparing the way for an increase in population sizes within each flyway during the period of the next version of the Action Plan.</w:t>
      </w:r>
    </w:p>
    <w:p w14:paraId="29872BDD" w14:textId="77777777" w:rsidR="00C96521" w:rsidRPr="00C96521" w:rsidRDefault="00C96521" w:rsidP="00C96521">
      <w:pPr>
        <w:keepNext/>
        <w:keepLines/>
        <w:widowControl/>
        <w:autoSpaceDE/>
        <w:autoSpaceDN/>
        <w:adjustRightInd/>
        <w:spacing w:before="200" w:line="276" w:lineRule="auto"/>
        <w:outlineLvl w:val="1"/>
        <w:rPr>
          <w:rFonts w:ascii="Cambria" w:eastAsia="MS Gothic" w:hAnsi="Cambria"/>
          <w:b/>
          <w:bCs/>
          <w:color w:val="4F81BD"/>
          <w:sz w:val="26"/>
          <w:szCs w:val="26"/>
          <w:lang w:val="en-GB" w:eastAsia="ja-JP"/>
        </w:rPr>
      </w:pPr>
      <w:bookmarkStart w:id="15" w:name="_Toc478646900"/>
      <w:r w:rsidRPr="00C96521">
        <w:rPr>
          <w:rFonts w:ascii="Cambria" w:eastAsia="MS Gothic" w:hAnsi="Cambria"/>
          <w:b/>
          <w:bCs/>
          <w:color w:val="4F81BD"/>
          <w:sz w:val="26"/>
          <w:szCs w:val="26"/>
          <w:lang w:val="en-GB" w:eastAsia="ja-JP"/>
        </w:rPr>
        <w:t>Results and actions</w:t>
      </w:r>
      <w:bookmarkEnd w:id="15"/>
    </w:p>
    <w:p w14:paraId="41AA739C" w14:textId="77777777" w:rsidR="00C96521" w:rsidRPr="00C96521" w:rsidRDefault="00C96521" w:rsidP="00C96521">
      <w:pPr>
        <w:widowControl/>
        <w:autoSpaceDE/>
        <w:autoSpaceDN/>
        <w:adjustRightInd/>
        <w:spacing w:line="276" w:lineRule="auto"/>
        <w:rPr>
          <w:rFonts w:eastAsia="MS Mincho"/>
          <w:color w:val="FF0000"/>
          <w:sz w:val="20"/>
          <w:szCs w:val="22"/>
          <w:lang w:val="en-GB" w:eastAsia="ja-JP"/>
        </w:rPr>
      </w:pPr>
    </w:p>
    <w:p w14:paraId="4321F599" w14:textId="77777777" w:rsidR="00C96521" w:rsidRPr="00C96521" w:rsidRDefault="00C96521" w:rsidP="00C96521">
      <w:pPr>
        <w:widowControl/>
        <w:autoSpaceDE/>
        <w:autoSpaceDN/>
        <w:adjustRightInd/>
        <w:spacing w:line="276" w:lineRule="auto"/>
        <w:rPr>
          <w:rFonts w:eastAsia="MS Mincho"/>
          <w:color w:val="FF0000"/>
          <w:sz w:val="20"/>
          <w:szCs w:val="22"/>
          <w:lang w:val="en-GB" w:eastAsia="ja-JP"/>
        </w:rPr>
      </w:pPr>
      <w:r w:rsidRPr="00C96521">
        <w:rPr>
          <w:rFonts w:eastAsia="MS Mincho"/>
          <w:color w:val="FF0000"/>
          <w:sz w:val="20"/>
          <w:szCs w:val="22"/>
          <w:lang w:val="en-GB" w:eastAsia="ja-JP"/>
        </w:rPr>
        <w:t xml:space="preserve">Editors' note: any dates and values are provisional and have not been agreed.  They are inserted in </w:t>
      </w:r>
      <w:r w:rsidRPr="00C96521">
        <w:rPr>
          <w:rFonts w:eastAsia="MS Mincho"/>
          <w:i/>
          <w:color w:val="FF0000"/>
          <w:sz w:val="20"/>
          <w:szCs w:val="22"/>
          <w:lang w:val="en-GB" w:eastAsia="ja-JP"/>
        </w:rPr>
        <w:t>italics</w:t>
      </w:r>
      <w:r w:rsidRPr="00C96521">
        <w:rPr>
          <w:rFonts w:eastAsia="MS Mincho"/>
          <w:color w:val="FF0000"/>
          <w:sz w:val="20"/>
          <w:szCs w:val="22"/>
          <w:lang w:val="en-GB" w:eastAsia="ja-JP"/>
        </w:rPr>
        <w:t xml:space="preserve"> and [brackets].  Exact measures will be determined during the consultation process.</w:t>
      </w:r>
    </w:p>
    <w:p w14:paraId="08D7C4D4" w14:textId="77777777" w:rsidR="00C96521" w:rsidRPr="00C96521" w:rsidRDefault="00C96521" w:rsidP="00C96521">
      <w:pPr>
        <w:widowControl/>
        <w:autoSpaceDE/>
        <w:autoSpaceDN/>
        <w:adjustRightInd/>
        <w:spacing w:line="276" w:lineRule="auto"/>
        <w:rPr>
          <w:rFonts w:eastAsia="MS Mincho"/>
          <w:color w:val="FF0000"/>
          <w:sz w:val="20"/>
          <w:szCs w:val="22"/>
          <w:lang w:val="en-GB" w:eastAsia="ja-JP"/>
        </w:rPr>
      </w:pPr>
    </w:p>
    <w:tbl>
      <w:tblPr>
        <w:tblStyle w:val="TableGrid"/>
        <w:tblW w:w="0" w:type="auto"/>
        <w:tblLook w:val="04A0" w:firstRow="1" w:lastRow="0" w:firstColumn="1" w:lastColumn="0" w:noHBand="0" w:noVBand="1"/>
      </w:tblPr>
      <w:tblGrid>
        <w:gridCol w:w="6912"/>
        <w:gridCol w:w="1985"/>
        <w:gridCol w:w="5278"/>
      </w:tblGrid>
      <w:tr w:rsidR="00C96521" w:rsidRPr="005D4262" w14:paraId="4F7A0128" w14:textId="77777777" w:rsidTr="00C96521">
        <w:tc>
          <w:tcPr>
            <w:tcW w:w="6912" w:type="dxa"/>
            <w:shd w:val="clear" w:color="auto" w:fill="D9D9D9"/>
          </w:tcPr>
          <w:p w14:paraId="58A6AF1D" w14:textId="77777777" w:rsidR="00C96521" w:rsidRPr="005D4262" w:rsidRDefault="00C96521" w:rsidP="00C96521">
            <w:pPr>
              <w:widowControl/>
              <w:autoSpaceDE/>
              <w:autoSpaceDN/>
              <w:adjustRightInd/>
              <w:rPr>
                <w:rFonts w:ascii="Arial" w:hAnsi="Arial" w:cs="Arial"/>
                <w:b/>
                <w:sz w:val="18"/>
                <w:szCs w:val="18"/>
                <w:lang w:val="en-GB"/>
              </w:rPr>
            </w:pPr>
            <w:r w:rsidRPr="005D4262">
              <w:rPr>
                <w:rFonts w:ascii="Arial" w:hAnsi="Arial" w:cs="Arial"/>
                <w:b/>
                <w:sz w:val="18"/>
                <w:szCs w:val="18"/>
                <w:lang w:val="en-GB"/>
              </w:rPr>
              <w:t>Threat assessment</w:t>
            </w:r>
          </w:p>
        </w:tc>
        <w:tc>
          <w:tcPr>
            <w:tcW w:w="1985" w:type="dxa"/>
            <w:shd w:val="clear" w:color="auto" w:fill="D9D9D9"/>
          </w:tcPr>
          <w:p w14:paraId="0D98CAEC" w14:textId="77777777" w:rsidR="00C96521" w:rsidRPr="005D4262" w:rsidRDefault="00C96521" w:rsidP="00C96521">
            <w:pPr>
              <w:widowControl/>
              <w:autoSpaceDE/>
              <w:autoSpaceDN/>
              <w:adjustRightInd/>
              <w:rPr>
                <w:rFonts w:ascii="Arial" w:hAnsi="Arial" w:cs="Arial"/>
                <w:b/>
                <w:sz w:val="18"/>
                <w:szCs w:val="18"/>
                <w:lang w:val="en-GB"/>
              </w:rPr>
            </w:pPr>
            <w:r w:rsidRPr="005D4262">
              <w:rPr>
                <w:rFonts w:ascii="Arial" w:hAnsi="Arial" w:cs="Arial"/>
                <w:b/>
                <w:sz w:val="18"/>
                <w:szCs w:val="18"/>
                <w:lang w:val="en-GB"/>
              </w:rPr>
              <w:t>Action priority</w:t>
            </w:r>
          </w:p>
        </w:tc>
        <w:tc>
          <w:tcPr>
            <w:tcW w:w="5278" w:type="dxa"/>
            <w:shd w:val="clear" w:color="auto" w:fill="D9D9D9"/>
          </w:tcPr>
          <w:p w14:paraId="39AD7BFA" w14:textId="77777777" w:rsidR="00C96521" w:rsidRPr="005D4262" w:rsidRDefault="00C96521" w:rsidP="00C96521">
            <w:pPr>
              <w:widowControl/>
              <w:autoSpaceDE/>
              <w:autoSpaceDN/>
              <w:adjustRightInd/>
              <w:rPr>
                <w:rFonts w:ascii="Arial" w:hAnsi="Arial" w:cs="Arial"/>
                <w:b/>
                <w:sz w:val="18"/>
                <w:szCs w:val="18"/>
                <w:lang w:val="en-GB"/>
              </w:rPr>
            </w:pPr>
            <w:r w:rsidRPr="005D4262">
              <w:rPr>
                <w:rFonts w:ascii="Arial" w:hAnsi="Arial" w:cs="Arial"/>
                <w:b/>
                <w:sz w:val="18"/>
                <w:szCs w:val="18"/>
                <w:lang w:val="en-GB"/>
              </w:rPr>
              <w:t>Action timescale</w:t>
            </w:r>
          </w:p>
        </w:tc>
      </w:tr>
      <w:tr w:rsidR="00C96521" w:rsidRPr="005D4262" w14:paraId="3EFBDA0D" w14:textId="77777777" w:rsidTr="00C96521">
        <w:tc>
          <w:tcPr>
            <w:tcW w:w="6912" w:type="dxa"/>
          </w:tcPr>
          <w:p w14:paraId="168B457C"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b/>
                <w:sz w:val="18"/>
                <w:szCs w:val="18"/>
                <w:lang w:val="en-GB"/>
              </w:rPr>
              <w:t>Critical</w:t>
            </w:r>
            <w:r w:rsidRPr="005D4262">
              <w:rPr>
                <w:rFonts w:ascii="Arial" w:hAnsi="Arial" w:cs="Arial"/>
                <w:sz w:val="18"/>
                <w:szCs w:val="18"/>
                <w:lang w:val="en-GB"/>
              </w:rPr>
              <w:t xml:space="preserve"> - causing or likely to cause very rapid declines and/or extinction</w:t>
            </w:r>
          </w:p>
        </w:tc>
        <w:tc>
          <w:tcPr>
            <w:tcW w:w="1985" w:type="dxa"/>
          </w:tcPr>
          <w:p w14:paraId="77F55360" w14:textId="77777777" w:rsidR="00C96521" w:rsidRPr="005D4262" w:rsidRDefault="00C96521" w:rsidP="00C96521">
            <w:pPr>
              <w:widowControl/>
              <w:autoSpaceDE/>
              <w:autoSpaceDN/>
              <w:adjustRightInd/>
              <w:rPr>
                <w:rFonts w:ascii="Arial" w:hAnsi="Arial" w:cs="Arial"/>
                <w:b/>
                <w:sz w:val="18"/>
                <w:szCs w:val="18"/>
                <w:lang w:val="en-GB"/>
              </w:rPr>
            </w:pPr>
            <w:r w:rsidRPr="005D4262">
              <w:rPr>
                <w:rFonts w:ascii="Arial" w:hAnsi="Arial" w:cs="Arial"/>
                <w:b/>
                <w:sz w:val="18"/>
                <w:szCs w:val="18"/>
                <w:lang w:val="en-GB"/>
              </w:rPr>
              <w:t>Essential</w:t>
            </w:r>
          </w:p>
        </w:tc>
        <w:tc>
          <w:tcPr>
            <w:tcW w:w="5278" w:type="dxa"/>
          </w:tcPr>
          <w:p w14:paraId="198C85F5"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b/>
                <w:sz w:val="18"/>
                <w:szCs w:val="18"/>
                <w:lang w:val="en-GB"/>
              </w:rPr>
              <w:t>Immediate</w:t>
            </w:r>
            <w:r w:rsidRPr="005D4262">
              <w:rPr>
                <w:rFonts w:ascii="Arial" w:hAnsi="Arial" w:cs="Arial"/>
                <w:sz w:val="18"/>
                <w:szCs w:val="18"/>
                <w:lang w:val="en-GB"/>
              </w:rPr>
              <w:t xml:space="preserve"> - to commence within the next year</w:t>
            </w:r>
          </w:p>
        </w:tc>
      </w:tr>
      <w:tr w:rsidR="00C96521" w:rsidRPr="005D4262" w14:paraId="197E19AB" w14:textId="77777777" w:rsidTr="00C96521">
        <w:tc>
          <w:tcPr>
            <w:tcW w:w="6912" w:type="dxa"/>
          </w:tcPr>
          <w:p w14:paraId="5EE8FA97"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b/>
                <w:sz w:val="18"/>
                <w:szCs w:val="18"/>
                <w:lang w:val="en-GB"/>
              </w:rPr>
              <w:t>High</w:t>
            </w:r>
            <w:r w:rsidRPr="005D4262">
              <w:rPr>
                <w:rFonts w:ascii="Arial" w:hAnsi="Arial" w:cs="Arial"/>
                <w:sz w:val="18"/>
                <w:szCs w:val="18"/>
                <w:lang w:val="en-GB"/>
              </w:rPr>
              <w:t xml:space="preserve"> - causing or likely to cause rapid decline leading to depletion</w:t>
            </w:r>
          </w:p>
        </w:tc>
        <w:tc>
          <w:tcPr>
            <w:tcW w:w="1985" w:type="dxa"/>
          </w:tcPr>
          <w:p w14:paraId="2AE252D7" w14:textId="77777777" w:rsidR="00C96521" w:rsidRPr="005D4262" w:rsidRDefault="00C96521" w:rsidP="00C96521">
            <w:pPr>
              <w:widowControl/>
              <w:autoSpaceDE/>
              <w:autoSpaceDN/>
              <w:adjustRightInd/>
              <w:rPr>
                <w:rFonts w:ascii="Arial" w:hAnsi="Arial" w:cs="Arial"/>
                <w:b/>
                <w:sz w:val="18"/>
                <w:szCs w:val="18"/>
                <w:lang w:val="en-GB"/>
              </w:rPr>
            </w:pPr>
            <w:r w:rsidRPr="005D4262">
              <w:rPr>
                <w:rFonts w:ascii="Arial" w:hAnsi="Arial" w:cs="Arial"/>
                <w:b/>
                <w:sz w:val="18"/>
                <w:szCs w:val="18"/>
                <w:lang w:val="en-GB"/>
              </w:rPr>
              <w:t>High</w:t>
            </w:r>
          </w:p>
        </w:tc>
        <w:tc>
          <w:tcPr>
            <w:tcW w:w="5278" w:type="dxa"/>
          </w:tcPr>
          <w:p w14:paraId="4790CFBB"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b/>
                <w:sz w:val="18"/>
                <w:szCs w:val="18"/>
                <w:lang w:val="en-GB"/>
              </w:rPr>
              <w:t>Short</w:t>
            </w:r>
            <w:r w:rsidRPr="005D4262">
              <w:rPr>
                <w:rFonts w:ascii="Arial" w:hAnsi="Arial" w:cs="Arial"/>
                <w:sz w:val="18"/>
                <w:szCs w:val="18"/>
                <w:lang w:val="en-GB"/>
              </w:rPr>
              <w:t xml:space="preserve"> - to commence within the next 3 years</w:t>
            </w:r>
          </w:p>
        </w:tc>
      </w:tr>
      <w:tr w:rsidR="00C96521" w:rsidRPr="005D4262" w14:paraId="575CB24B" w14:textId="77777777" w:rsidTr="00C96521">
        <w:tc>
          <w:tcPr>
            <w:tcW w:w="6912" w:type="dxa"/>
          </w:tcPr>
          <w:p w14:paraId="15AB7BB5"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b/>
                <w:sz w:val="18"/>
                <w:szCs w:val="18"/>
                <w:lang w:val="en-GB"/>
              </w:rPr>
              <w:t>Medium</w:t>
            </w:r>
            <w:r w:rsidRPr="005D4262">
              <w:rPr>
                <w:rFonts w:ascii="Arial" w:hAnsi="Arial" w:cs="Arial"/>
                <w:sz w:val="18"/>
                <w:szCs w:val="18"/>
                <w:lang w:val="en-GB"/>
              </w:rPr>
              <w:t xml:space="preserve"> - causing or likely to cause relatively slow, but significant, declines</w:t>
            </w:r>
          </w:p>
        </w:tc>
        <w:tc>
          <w:tcPr>
            <w:tcW w:w="1985" w:type="dxa"/>
          </w:tcPr>
          <w:p w14:paraId="6EB58646" w14:textId="77777777" w:rsidR="00C96521" w:rsidRPr="005D4262" w:rsidRDefault="00C96521" w:rsidP="00C96521">
            <w:pPr>
              <w:widowControl/>
              <w:autoSpaceDE/>
              <w:autoSpaceDN/>
              <w:adjustRightInd/>
              <w:rPr>
                <w:rFonts w:ascii="Arial" w:hAnsi="Arial" w:cs="Arial"/>
                <w:b/>
                <w:sz w:val="18"/>
                <w:szCs w:val="18"/>
                <w:lang w:val="en-GB"/>
              </w:rPr>
            </w:pPr>
            <w:r w:rsidRPr="005D4262">
              <w:rPr>
                <w:rFonts w:ascii="Arial" w:hAnsi="Arial" w:cs="Arial"/>
                <w:b/>
                <w:sz w:val="18"/>
                <w:szCs w:val="18"/>
                <w:lang w:val="en-GB"/>
              </w:rPr>
              <w:t>Medium</w:t>
            </w:r>
          </w:p>
        </w:tc>
        <w:tc>
          <w:tcPr>
            <w:tcW w:w="5278" w:type="dxa"/>
          </w:tcPr>
          <w:p w14:paraId="44ED1C1F"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b/>
                <w:sz w:val="18"/>
                <w:szCs w:val="18"/>
                <w:lang w:val="en-GB"/>
              </w:rPr>
              <w:t>Medium</w:t>
            </w:r>
            <w:r w:rsidRPr="005D4262">
              <w:rPr>
                <w:rFonts w:ascii="Arial" w:hAnsi="Arial" w:cs="Arial"/>
                <w:sz w:val="18"/>
                <w:szCs w:val="18"/>
                <w:lang w:val="en-GB"/>
              </w:rPr>
              <w:t xml:space="preserve"> - to commence within the next 5 years</w:t>
            </w:r>
          </w:p>
        </w:tc>
      </w:tr>
      <w:tr w:rsidR="00C96521" w:rsidRPr="005D4262" w14:paraId="1864385A" w14:textId="77777777" w:rsidTr="00C96521">
        <w:tc>
          <w:tcPr>
            <w:tcW w:w="6912" w:type="dxa"/>
          </w:tcPr>
          <w:p w14:paraId="1A30C9B4"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b/>
                <w:sz w:val="18"/>
                <w:szCs w:val="18"/>
                <w:lang w:val="en-GB"/>
              </w:rPr>
              <w:t>Low</w:t>
            </w:r>
            <w:r w:rsidRPr="005D4262">
              <w:rPr>
                <w:rFonts w:ascii="Arial" w:hAnsi="Arial" w:cs="Arial"/>
                <w:sz w:val="18"/>
                <w:szCs w:val="18"/>
                <w:lang w:val="en-GB"/>
              </w:rPr>
              <w:t xml:space="preserve"> - causing or likely to cause fluctuations or minimal change</w:t>
            </w:r>
          </w:p>
        </w:tc>
        <w:tc>
          <w:tcPr>
            <w:tcW w:w="1985" w:type="dxa"/>
          </w:tcPr>
          <w:p w14:paraId="5CB6CBCA" w14:textId="77777777" w:rsidR="00C96521" w:rsidRPr="005D4262" w:rsidRDefault="00C96521" w:rsidP="00C96521">
            <w:pPr>
              <w:widowControl/>
              <w:autoSpaceDE/>
              <w:autoSpaceDN/>
              <w:adjustRightInd/>
              <w:rPr>
                <w:rFonts w:ascii="Arial" w:hAnsi="Arial" w:cs="Arial"/>
                <w:b/>
                <w:sz w:val="18"/>
                <w:szCs w:val="18"/>
                <w:lang w:val="en-GB"/>
              </w:rPr>
            </w:pPr>
            <w:r w:rsidRPr="005D4262">
              <w:rPr>
                <w:rFonts w:ascii="Arial" w:hAnsi="Arial" w:cs="Arial"/>
                <w:b/>
                <w:sz w:val="18"/>
                <w:szCs w:val="18"/>
                <w:lang w:val="en-GB"/>
              </w:rPr>
              <w:t>Low</w:t>
            </w:r>
          </w:p>
        </w:tc>
        <w:tc>
          <w:tcPr>
            <w:tcW w:w="5278" w:type="dxa"/>
          </w:tcPr>
          <w:p w14:paraId="6BB4F692"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b/>
                <w:sz w:val="18"/>
                <w:szCs w:val="18"/>
                <w:lang w:val="en-GB"/>
              </w:rPr>
              <w:t>Long</w:t>
            </w:r>
            <w:r w:rsidRPr="005D4262">
              <w:rPr>
                <w:rFonts w:ascii="Arial" w:hAnsi="Arial" w:cs="Arial"/>
                <w:sz w:val="18"/>
                <w:szCs w:val="18"/>
                <w:lang w:val="en-GB"/>
              </w:rPr>
              <w:t xml:space="preserve"> - to commence within the next 10 years</w:t>
            </w:r>
          </w:p>
        </w:tc>
      </w:tr>
      <w:tr w:rsidR="00C96521" w:rsidRPr="005D4262" w14:paraId="57DCCC92" w14:textId="77777777" w:rsidTr="00C96521">
        <w:tc>
          <w:tcPr>
            <w:tcW w:w="6912" w:type="dxa"/>
          </w:tcPr>
          <w:p w14:paraId="57D28B2B"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b/>
                <w:sz w:val="18"/>
                <w:szCs w:val="18"/>
                <w:lang w:val="en-GB"/>
              </w:rPr>
              <w:t>Local</w:t>
            </w:r>
            <w:r w:rsidRPr="005D4262">
              <w:rPr>
                <w:rFonts w:ascii="Arial" w:hAnsi="Arial" w:cs="Arial"/>
                <w:sz w:val="18"/>
                <w:szCs w:val="18"/>
                <w:lang w:val="en-GB"/>
              </w:rPr>
              <w:t xml:space="preserve"> - causing or likely to cause negligible declines in small parts of the population</w:t>
            </w:r>
          </w:p>
        </w:tc>
        <w:tc>
          <w:tcPr>
            <w:tcW w:w="1985" w:type="dxa"/>
          </w:tcPr>
          <w:p w14:paraId="4331CC7C" w14:textId="77777777" w:rsidR="00C96521" w:rsidRPr="005D4262" w:rsidRDefault="00C96521" w:rsidP="00C96521">
            <w:pPr>
              <w:widowControl/>
              <w:autoSpaceDE/>
              <w:autoSpaceDN/>
              <w:adjustRightInd/>
              <w:rPr>
                <w:rFonts w:ascii="Arial" w:hAnsi="Arial" w:cs="Arial"/>
                <w:b/>
                <w:sz w:val="18"/>
                <w:szCs w:val="18"/>
                <w:lang w:val="en-GB"/>
              </w:rPr>
            </w:pPr>
          </w:p>
        </w:tc>
        <w:tc>
          <w:tcPr>
            <w:tcW w:w="5278" w:type="dxa"/>
          </w:tcPr>
          <w:p w14:paraId="687E7F0C"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b/>
                <w:sz w:val="18"/>
                <w:szCs w:val="18"/>
                <w:lang w:val="en-GB"/>
              </w:rPr>
              <w:t>Ongoing</w:t>
            </w:r>
            <w:r w:rsidRPr="005D4262">
              <w:rPr>
                <w:rFonts w:ascii="Arial" w:hAnsi="Arial" w:cs="Arial"/>
                <w:sz w:val="18"/>
                <w:szCs w:val="18"/>
                <w:lang w:val="en-GB"/>
              </w:rPr>
              <w:t xml:space="preserve"> - currently implemented and should continue</w:t>
            </w:r>
          </w:p>
        </w:tc>
      </w:tr>
      <w:tr w:rsidR="00C96521" w:rsidRPr="005D4262" w14:paraId="62ADF1F0" w14:textId="77777777" w:rsidTr="00C96521">
        <w:tc>
          <w:tcPr>
            <w:tcW w:w="6912" w:type="dxa"/>
          </w:tcPr>
          <w:p w14:paraId="4CA0D561"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b/>
                <w:sz w:val="18"/>
                <w:szCs w:val="18"/>
                <w:lang w:val="en-GB"/>
              </w:rPr>
              <w:t>Unknown</w:t>
            </w:r>
            <w:r w:rsidRPr="005D4262">
              <w:rPr>
                <w:rFonts w:ascii="Arial" w:hAnsi="Arial" w:cs="Arial"/>
                <w:sz w:val="18"/>
                <w:szCs w:val="18"/>
                <w:lang w:val="en-GB"/>
              </w:rPr>
              <w:t xml:space="preserve"> - likely to affect the species, but extent unknown</w:t>
            </w:r>
          </w:p>
        </w:tc>
        <w:tc>
          <w:tcPr>
            <w:tcW w:w="1985" w:type="dxa"/>
          </w:tcPr>
          <w:p w14:paraId="5126C9FF" w14:textId="77777777" w:rsidR="00C96521" w:rsidRPr="005D4262" w:rsidRDefault="00C96521" w:rsidP="00C96521">
            <w:pPr>
              <w:widowControl/>
              <w:autoSpaceDE/>
              <w:autoSpaceDN/>
              <w:adjustRightInd/>
              <w:rPr>
                <w:rFonts w:ascii="Arial" w:hAnsi="Arial" w:cs="Arial"/>
                <w:b/>
                <w:sz w:val="18"/>
                <w:szCs w:val="18"/>
                <w:lang w:val="en-GB"/>
              </w:rPr>
            </w:pPr>
          </w:p>
        </w:tc>
        <w:tc>
          <w:tcPr>
            <w:tcW w:w="5278" w:type="dxa"/>
          </w:tcPr>
          <w:p w14:paraId="58201AB8"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b/>
                <w:sz w:val="18"/>
                <w:szCs w:val="18"/>
                <w:lang w:val="en-GB"/>
              </w:rPr>
              <w:t>Completed</w:t>
            </w:r>
            <w:r w:rsidRPr="005D4262">
              <w:rPr>
                <w:rFonts w:ascii="Arial" w:hAnsi="Arial" w:cs="Arial"/>
                <w:sz w:val="18"/>
                <w:szCs w:val="18"/>
                <w:lang w:val="en-GB"/>
              </w:rPr>
              <w:t xml:space="preserve"> - completed during preparation of the Action Plan</w:t>
            </w:r>
          </w:p>
        </w:tc>
      </w:tr>
    </w:tbl>
    <w:p w14:paraId="46277002" w14:textId="77777777" w:rsidR="00C96521" w:rsidRPr="005D4262" w:rsidRDefault="00C96521" w:rsidP="00C96521">
      <w:pPr>
        <w:widowControl/>
        <w:autoSpaceDE/>
        <w:autoSpaceDN/>
        <w:adjustRightInd/>
        <w:spacing w:line="276" w:lineRule="auto"/>
        <w:rPr>
          <w:rFonts w:eastAsia="MS Mincho" w:cs="Arial"/>
          <w:szCs w:val="18"/>
          <w:lang w:val="en-GB" w:eastAsia="ja-JP"/>
        </w:rPr>
      </w:pPr>
    </w:p>
    <w:tbl>
      <w:tblPr>
        <w:tblStyle w:val="TableGrid"/>
        <w:tblW w:w="0" w:type="auto"/>
        <w:tblLook w:val="04A0" w:firstRow="1" w:lastRow="0" w:firstColumn="1" w:lastColumn="0" w:noHBand="0" w:noVBand="1"/>
      </w:tblPr>
      <w:tblGrid>
        <w:gridCol w:w="2607"/>
        <w:gridCol w:w="3880"/>
        <w:gridCol w:w="61"/>
        <w:gridCol w:w="1880"/>
        <w:gridCol w:w="1315"/>
        <w:gridCol w:w="2355"/>
        <w:gridCol w:w="2077"/>
      </w:tblGrid>
      <w:tr w:rsidR="00C96521" w:rsidRPr="006A313E" w14:paraId="61B7BA79" w14:textId="77777777" w:rsidTr="006A313E">
        <w:trPr>
          <w:tblHeader/>
        </w:trPr>
        <w:tc>
          <w:tcPr>
            <w:tcW w:w="14175" w:type="dxa"/>
            <w:gridSpan w:val="7"/>
            <w:shd w:val="clear" w:color="auto" w:fill="BFBFBF" w:themeFill="background1" w:themeFillShade="BF"/>
          </w:tcPr>
          <w:p w14:paraId="7200E52D"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Objective 1: Good quality habitats, with available and accessible water and food, are maintained and increased on the breeding grounds.</w:t>
            </w:r>
          </w:p>
          <w:p w14:paraId="2764D122"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Threat - Lack of one or more of the three essential requirements during the breeding season: food, water, nesting locations (Critical)</w:t>
            </w:r>
          </w:p>
        </w:tc>
      </w:tr>
      <w:tr w:rsidR="00C96521" w:rsidRPr="006A313E" w14:paraId="61649F2E" w14:textId="77777777" w:rsidTr="00C96521">
        <w:trPr>
          <w:tblHeader/>
        </w:trPr>
        <w:tc>
          <w:tcPr>
            <w:tcW w:w="2607" w:type="dxa"/>
            <w:shd w:val="clear" w:color="auto" w:fill="D9D9D9"/>
          </w:tcPr>
          <w:p w14:paraId="6079ABD7"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Result</w:t>
            </w:r>
          </w:p>
        </w:tc>
        <w:tc>
          <w:tcPr>
            <w:tcW w:w="3941" w:type="dxa"/>
            <w:gridSpan w:val="2"/>
            <w:shd w:val="clear" w:color="auto" w:fill="D9D9D9"/>
          </w:tcPr>
          <w:p w14:paraId="36C248EC"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and scope</w:t>
            </w:r>
          </w:p>
        </w:tc>
        <w:tc>
          <w:tcPr>
            <w:tcW w:w="1880" w:type="dxa"/>
            <w:shd w:val="clear" w:color="auto" w:fill="D9D9D9"/>
          </w:tcPr>
          <w:p w14:paraId="56745C33"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Priority</w:t>
            </w:r>
          </w:p>
        </w:tc>
        <w:tc>
          <w:tcPr>
            <w:tcW w:w="1315" w:type="dxa"/>
            <w:shd w:val="clear" w:color="auto" w:fill="D9D9D9"/>
          </w:tcPr>
          <w:p w14:paraId="490201E5"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Timescale</w:t>
            </w:r>
          </w:p>
        </w:tc>
        <w:tc>
          <w:tcPr>
            <w:tcW w:w="2355" w:type="dxa"/>
            <w:shd w:val="clear" w:color="auto" w:fill="D9D9D9"/>
          </w:tcPr>
          <w:p w14:paraId="6D0F8136" w14:textId="4F88234E"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Organi</w:t>
            </w:r>
            <w:r w:rsidR="004006B8" w:rsidRPr="006A313E">
              <w:rPr>
                <w:rFonts w:ascii="Arial" w:hAnsi="Arial" w:cs="Arial"/>
                <w:sz w:val="18"/>
                <w:szCs w:val="18"/>
                <w:lang w:val="en-GB"/>
              </w:rPr>
              <w:t>z</w:t>
            </w:r>
            <w:r w:rsidRPr="006A313E">
              <w:rPr>
                <w:rFonts w:ascii="Arial" w:hAnsi="Arial" w:cs="Arial"/>
                <w:sz w:val="18"/>
                <w:szCs w:val="18"/>
                <w:lang w:val="en-GB"/>
              </w:rPr>
              <w:t>ations responsible</w:t>
            </w:r>
          </w:p>
        </w:tc>
        <w:tc>
          <w:tcPr>
            <w:tcW w:w="2077" w:type="dxa"/>
            <w:shd w:val="clear" w:color="auto" w:fill="D9D9D9"/>
          </w:tcPr>
          <w:p w14:paraId="06DCD85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Inputs required</w:t>
            </w:r>
          </w:p>
        </w:tc>
      </w:tr>
      <w:tr w:rsidR="00C96521" w:rsidRPr="006A313E" w14:paraId="43F84428" w14:textId="77777777" w:rsidTr="00C96521">
        <w:tc>
          <w:tcPr>
            <w:tcW w:w="2607" w:type="dxa"/>
          </w:tcPr>
          <w:p w14:paraId="6C3B812C" w14:textId="6E88986E"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1.1 Emergency scheme deployed to provide feeding opportunities for </w:t>
            </w:r>
            <w:r w:rsidR="004006B8" w:rsidRPr="006A313E">
              <w:rPr>
                <w:rFonts w:ascii="Arial" w:hAnsi="Arial" w:cs="Arial"/>
                <w:sz w:val="18"/>
                <w:szCs w:val="18"/>
                <w:lang w:val="en-GB"/>
              </w:rPr>
              <w:t>T</w:t>
            </w:r>
            <w:r w:rsidRPr="006A313E">
              <w:rPr>
                <w:rFonts w:ascii="Arial" w:hAnsi="Arial" w:cs="Arial"/>
                <w:sz w:val="18"/>
                <w:szCs w:val="18"/>
                <w:lang w:val="en-GB"/>
              </w:rPr>
              <w:t>urtle</w:t>
            </w:r>
            <w:r w:rsidR="004006B8" w:rsidRPr="006A313E">
              <w:rPr>
                <w:rFonts w:ascii="Arial" w:hAnsi="Arial" w:cs="Arial"/>
                <w:sz w:val="18"/>
                <w:szCs w:val="18"/>
                <w:lang w:val="en-GB"/>
              </w:rPr>
              <w:t xml:space="preserve"> D</w:t>
            </w:r>
            <w:r w:rsidRPr="006A313E">
              <w:rPr>
                <w:rFonts w:ascii="Arial" w:hAnsi="Arial" w:cs="Arial"/>
                <w:sz w:val="18"/>
                <w:szCs w:val="18"/>
                <w:lang w:val="en-GB"/>
              </w:rPr>
              <w:t>oves by [</w:t>
            </w:r>
            <w:r w:rsidRPr="006A313E">
              <w:rPr>
                <w:rFonts w:ascii="Arial" w:hAnsi="Arial" w:cs="Arial"/>
                <w:i/>
                <w:sz w:val="18"/>
                <w:szCs w:val="18"/>
                <w:lang w:val="en-GB"/>
              </w:rPr>
              <w:t>2018</w:t>
            </w:r>
            <w:r w:rsidRPr="006A313E">
              <w:rPr>
                <w:rFonts w:ascii="Arial" w:hAnsi="Arial" w:cs="Arial"/>
                <w:sz w:val="18"/>
                <w:szCs w:val="18"/>
                <w:lang w:val="en-GB"/>
              </w:rPr>
              <w:t>].</w:t>
            </w:r>
          </w:p>
        </w:tc>
        <w:tc>
          <w:tcPr>
            <w:tcW w:w="3941" w:type="dxa"/>
            <w:gridSpan w:val="2"/>
          </w:tcPr>
          <w:p w14:paraId="41D7708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1.1.1</w:t>
            </w:r>
          </w:p>
          <w:p w14:paraId="01054C35"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Using existing knowledge, implement emergency feeding schemes to provide a short-term solution to food availability.</w:t>
            </w:r>
          </w:p>
          <w:p w14:paraId="43493A36" w14:textId="77777777" w:rsidR="00C96521" w:rsidRPr="006A313E" w:rsidRDefault="00C96521" w:rsidP="00C96521">
            <w:pPr>
              <w:widowControl/>
              <w:autoSpaceDE/>
              <w:autoSpaceDN/>
              <w:adjustRightInd/>
              <w:rPr>
                <w:rFonts w:ascii="Arial" w:hAnsi="Arial" w:cs="Arial"/>
                <w:sz w:val="18"/>
                <w:szCs w:val="18"/>
                <w:lang w:val="en-GB"/>
              </w:rPr>
            </w:pPr>
          </w:p>
          <w:p w14:paraId="6B4B02D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w:t>
            </w:r>
            <w:r w:rsidRPr="006A313E">
              <w:rPr>
                <w:rFonts w:ascii="Arial" w:hAnsi="Arial" w:cs="Arial"/>
                <w:i/>
                <w:sz w:val="18"/>
                <w:szCs w:val="18"/>
                <w:lang w:val="en-GB"/>
              </w:rPr>
              <w:t>Proposals for specific measures are being developed through a consultancy and will be incorporated to the second draft</w:t>
            </w:r>
            <w:r w:rsidRPr="006A313E">
              <w:rPr>
                <w:rFonts w:ascii="Arial" w:hAnsi="Arial" w:cs="Arial"/>
                <w:sz w:val="18"/>
                <w:szCs w:val="18"/>
                <w:lang w:val="en-GB"/>
              </w:rPr>
              <w:t>.]</w:t>
            </w:r>
          </w:p>
          <w:p w14:paraId="37B97DAD" w14:textId="77777777" w:rsidR="00C96521" w:rsidRPr="006A313E" w:rsidRDefault="00C96521" w:rsidP="00C96521">
            <w:pPr>
              <w:widowControl/>
              <w:autoSpaceDE/>
              <w:autoSpaceDN/>
              <w:adjustRightInd/>
              <w:rPr>
                <w:rFonts w:ascii="Arial" w:hAnsi="Arial" w:cs="Arial"/>
                <w:sz w:val="18"/>
                <w:szCs w:val="18"/>
                <w:lang w:val="en-GB"/>
              </w:rPr>
            </w:pPr>
          </w:p>
          <w:p w14:paraId="621721E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EU Member States.</w:t>
            </w:r>
          </w:p>
        </w:tc>
        <w:tc>
          <w:tcPr>
            <w:tcW w:w="1880" w:type="dxa"/>
          </w:tcPr>
          <w:p w14:paraId="2C7C5C68"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Essential</w:t>
            </w:r>
          </w:p>
        </w:tc>
        <w:tc>
          <w:tcPr>
            <w:tcW w:w="1315" w:type="dxa"/>
          </w:tcPr>
          <w:p w14:paraId="39F1D22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Immediate</w:t>
            </w:r>
          </w:p>
        </w:tc>
        <w:tc>
          <w:tcPr>
            <w:tcW w:w="2355" w:type="dxa"/>
          </w:tcPr>
          <w:p w14:paraId="0D1904B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European Commission, national farming agencies, conservation NGOs, academic institutions</w:t>
            </w:r>
          </w:p>
        </w:tc>
        <w:tc>
          <w:tcPr>
            <w:tcW w:w="2077" w:type="dxa"/>
          </w:tcPr>
          <w:p w14:paraId="13D7417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Existing studies on diet, habitat requirements, and ecology; existing scheme results.</w:t>
            </w:r>
          </w:p>
        </w:tc>
      </w:tr>
      <w:tr w:rsidR="00C96521" w:rsidRPr="006A313E" w14:paraId="725C0950" w14:textId="77777777" w:rsidTr="00C96521">
        <w:tc>
          <w:tcPr>
            <w:tcW w:w="2607" w:type="dxa"/>
            <w:vMerge w:val="restart"/>
          </w:tcPr>
          <w:p w14:paraId="265B9404"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1.2 Pillar I and Pillar II of the CAP provide mechanisms to cater for the ecological requirements of the turtle-dove by [</w:t>
            </w:r>
            <w:r w:rsidRPr="006A313E">
              <w:rPr>
                <w:rFonts w:ascii="Arial" w:hAnsi="Arial" w:cs="Arial"/>
                <w:i/>
                <w:sz w:val="18"/>
                <w:szCs w:val="18"/>
                <w:lang w:val="en-GB"/>
              </w:rPr>
              <w:t>2020</w:t>
            </w:r>
            <w:r w:rsidRPr="006A313E">
              <w:rPr>
                <w:rFonts w:ascii="Arial" w:hAnsi="Arial" w:cs="Arial"/>
                <w:sz w:val="18"/>
                <w:szCs w:val="18"/>
                <w:lang w:val="en-GB"/>
              </w:rPr>
              <w:t>].</w:t>
            </w:r>
          </w:p>
        </w:tc>
        <w:tc>
          <w:tcPr>
            <w:tcW w:w="3941" w:type="dxa"/>
            <w:gridSpan w:val="2"/>
          </w:tcPr>
          <w:p w14:paraId="224A1CF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1.2.1</w:t>
            </w:r>
          </w:p>
          <w:p w14:paraId="10471751" w14:textId="3C846C90"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Screen existing Pillar I (e</w:t>
            </w:r>
            <w:r w:rsidR="004006B8" w:rsidRPr="006A313E">
              <w:rPr>
                <w:rFonts w:ascii="Arial" w:hAnsi="Arial" w:cs="Arial"/>
                <w:sz w:val="18"/>
                <w:szCs w:val="18"/>
                <w:lang w:val="en-GB"/>
              </w:rPr>
              <w:t>.</w:t>
            </w:r>
            <w:r w:rsidRPr="006A313E">
              <w:rPr>
                <w:rFonts w:ascii="Arial" w:hAnsi="Arial" w:cs="Arial"/>
                <w:sz w:val="18"/>
                <w:szCs w:val="18"/>
                <w:lang w:val="en-GB"/>
              </w:rPr>
              <w:t>g greening measures) and Pillar II (e</w:t>
            </w:r>
            <w:r w:rsidR="004006B8" w:rsidRPr="006A313E">
              <w:rPr>
                <w:rFonts w:ascii="Arial" w:hAnsi="Arial" w:cs="Arial"/>
                <w:sz w:val="18"/>
                <w:szCs w:val="18"/>
                <w:lang w:val="en-GB"/>
              </w:rPr>
              <w:t>.</w:t>
            </w:r>
            <w:r w:rsidRPr="006A313E">
              <w:rPr>
                <w:rFonts w:ascii="Arial" w:hAnsi="Arial" w:cs="Arial"/>
                <w:sz w:val="18"/>
                <w:szCs w:val="18"/>
                <w:lang w:val="en-GB"/>
              </w:rPr>
              <w:t xml:space="preserve">g agri-environment packages) to assess which elements benefit </w:t>
            </w:r>
            <w:r w:rsidR="004006B8" w:rsidRPr="006A313E">
              <w:rPr>
                <w:rFonts w:ascii="Arial" w:hAnsi="Arial" w:cs="Arial"/>
                <w:sz w:val="18"/>
                <w:szCs w:val="18"/>
                <w:lang w:val="en-GB"/>
              </w:rPr>
              <w:t>T</w:t>
            </w:r>
            <w:r w:rsidRPr="006A313E">
              <w:rPr>
                <w:rFonts w:ascii="Arial" w:hAnsi="Arial" w:cs="Arial"/>
                <w:sz w:val="18"/>
                <w:szCs w:val="18"/>
                <w:lang w:val="en-GB"/>
              </w:rPr>
              <w:t xml:space="preserve">urtle </w:t>
            </w:r>
            <w:r w:rsidR="004006B8" w:rsidRPr="006A313E">
              <w:rPr>
                <w:rFonts w:ascii="Arial" w:hAnsi="Arial" w:cs="Arial"/>
                <w:sz w:val="18"/>
                <w:szCs w:val="18"/>
                <w:lang w:val="en-GB"/>
              </w:rPr>
              <w:t>D</w:t>
            </w:r>
            <w:r w:rsidRPr="006A313E">
              <w:rPr>
                <w:rFonts w:ascii="Arial" w:hAnsi="Arial" w:cs="Arial"/>
                <w:sz w:val="18"/>
                <w:szCs w:val="18"/>
                <w:lang w:val="en-GB"/>
              </w:rPr>
              <w:t>oves and other biodiversity (such as Ecological Focus Areas, late season cutting, low input traditional meadows, margins, providing subsidies to encourage low-intensity farming) and which elements are particularly detrimental.</w:t>
            </w:r>
          </w:p>
          <w:p w14:paraId="12562624" w14:textId="77777777" w:rsidR="00C96521" w:rsidRPr="006A313E" w:rsidRDefault="00C96521" w:rsidP="00C96521">
            <w:pPr>
              <w:widowControl/>
              <w:autoSpaceDE/>
              <w:autoSpaceDN/>
              <w:adjustRightInd/>
              <w:rPr>
                <w:rFonts w:ascii="Arial" w:hAnsi="Arial" w:cs="Arial"/>
                <w:sz w:val="18"/>
                <w:szCs w:val="18"/>
                <w:lang w:val="en-GB"/>
              </w:rPr>
            </w:pPr>
          </w:p>
          <w:p w14:paraId="0E01F0E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EU Member States.</w:t>
            </w:r>
          </w:p>
        </w:tc>
        <w:tc>
          <w:tcPr>
            <w:tcW w:w="1880" w:type="dxa"/>
          </w:tcPr>
          <w:p w14:paraId="7B835568"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Essential</w:t>
            </w:r>
          </w:p>
        </w:tc>
        <w:tc>
          <w:tcPr>
            <w:tcW w:w="1315" w:type="dxa"/>
          </w:tcPr>
          <w:p w14:paraId="78707D4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0E82E86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European Commission, national farming agencies, national wildlife agencies, conservation NGOs, academic institutions</w:t>
            </w:r>
          </w:p>
        </w:tc>
        <w:tc>
          <w:tcPr>
            <w:tcW w:w="2077" w:type="dxa"/>
          </w:tcPr>
          <w:p w14:paraId="4F1BA37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LIFE funding; existing studies on diet, habitat requirements, and ecology; existing scheme results; previous Management Plan.</w:t>
            </w:r>
          </w:p>
        </w:tc>
      </w:tr>
      <w:tr w:rsidR="00C96521" w:rsidRPr="006A313E" w14:paraId="67E186A6" w14:textId="77777777" w:rsidTr="00C96521">
        <w:tc>
          <w:tcPr>
            <w:tcW w:w="2607" w:type="dxa"/>
            <w:vMerge/>
          </w:tcPr>
          <w:p w14:paraId="4FDE3B85" w14:textId="77777777" w:rsidR="00C96521" w:rsidRPr="006A313E" w:rsidRDefault="00C96521" w:rsidP="00C96521">
            <w:pPr>
              <w:widowControl/>
              <w:autoSpaceDE/>
              <w:autoSpaceDN/>
              <w:adjustRightInd/>
              <w:rPr>
                <w:rFonts w:ascii="Arial" w:hAnsi="Arial" w:cs="Arial"/>
                <w:sz w:val="18"/>
                <w:szCs w:val="18"/>
                <w:lang w:val="en-GB"/>
              </w:rPr>
            </w:pPr>
          </w:p>
        </w:tc>
        <w:tc>
          <w:tcPr>
            <w:tcW w:w="3941" w:type="dxa"/>
            <w:gridSpan w:val="2"/>
          </w:tcPr>
          <w:p w14:paraId="1B9E4817"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1.2.2</w:t>
            </w:r>
          </w:p>
          <w:p w14:paraId="22406DFA" w14:textId="58046A18"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Develop a National Spatial Conservation Strategy for Turtle</w:t>
            </w:r>
            <w:r w:rsidR="004006B8" w:rsidRPr="006A313E">
              <w:rPr>
                <w:rFonts w:ascii="Arial" w:hAnsi="Arial" w:cs="Arial"/>
                <w:sz w:val="18"/>
                <w:szCs w:val="18"/>
                <w:lang w:val="en-GB"/>
              </w:rPr>
              <w:t xml:space="preserve"> D</w:t>
            </w:r>
            <w:r w:rsidRPr="006A313E">
              <w:rPr>
                <w:rFonts w:ascii="Arial" w:hAnsi="Arial" w:cs="Arial"/>
                <w:sz w:val="18"/>
                <w:szCs w:val="18"/>
                <w:lang w:val="en-GB"/>
              </w:rPr>
              <w:t>ove that includes technical specification for agri-environment packages, based on availability and accessibility of food, water and breeding habitat, including a "bespoke seed package".  The specification required will vary between regions.</w:t>
            </w:r>
          </w:p>
          <w:p w14:paraId="1CC7DE93" w14:textId="77777777" w:rsidR="00C96521" w:rsidRPr="006A313E" w:rsidRDefault="00C96521" w:rsidP="00C96521">
            <w:pPr>
              <w:widowControl/>
              <w:autoSpaceDE/>
              <w:autoSpaceDN/>
              <w:adjustRightInd/>
              <w:rPr>
                <w:rFonts w:ascii="Arial" w:hAnsi="Arial" w:cs="Arial"/>
                <w:sz w:val="18"/>
                <w:szCs w:val="18"/>
                <w:lang w:val="en-GB"/>
              </w:rPr>
            </w:pPr>
          </w:p>
          <w:p w14:paraId="3AB25D35"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EU Member States</w:t>
            </w:r>
          </w:p>
        </w:tc>
        <w:tc>
          <w:tcPr>
            <w:tcW w:w="1880" w:type="dxa"/>
          </w:tcPr>
          <w:p w14:paraId="67AE8FB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Essential</w:t>
            </w:r>
          </w:p>
        </w:tc>
        <w:tc>
          <w:tcPr>
            <w:tcW w:w="1315" w:type="dxa"/>
          </w:tcPr>
          <w:p w14:paraId="2ECD75E5"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1B308E10"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xml:space="preserve"> national farming agencies, national wildlife agencies, conservation NGOs, academic institutions</w:t>
            </w:r>
          </w:p>
        </w:tc>
        <w:tc>
          <w:tcPr>
            <w:tcW w:w="2077" w:type="dxa"/>
          </w:tcPr>
          <w:p w14:paraId="30C6B44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1.2.1</w:t>
            </w:r>
          </w:p>
          <w:p w14:paraId="520012E4"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7.4.1</w:t>
            </w:r>
          </w:p>
        </w:tc>
      </w:tr>
      <w:tr w:rsidR="00C96521" w:rsidRPr="006A313E" w14:paraId="22A4EC51" w14:textId="77777777" w:rsidTr="00C96521">
        <w:tc>
          <w:tcPr>
            <w:tcW w:w="2607" w:type="dxa"/>
            <w:vMerge/>
          </w:tcPr>
          <w:p w14:paraId="51F775A1" w14:textId="77777777" w:rsidR="00C96521" w:rsidRPr="006A313E" w:rsidRDefault="00C96521" w:rsidP="00C96521">
            <w:pPr>
              <w:widowControl/>
              <w:autoSpaceDE/>
              <w:autoSpaceDN/>
              <w:adjustRightInd/>
              <w:rPr>
                <w:rFonts w:ascii="Arial" w:hAnsi="Arial" w:cs="Arial"/>
                <w:sz w:val="18"/>
                <w:szCs w:val="18"/>
                <w:lang w:val="en-GB"/>
              </w:rPr>
            </w:pPr>
          </w:p>
        </w:tc>
        <w:tc>
          <w:tcPr>
            <w:tcW w:w="3941" w:type="dxa"/>
            <w:gridSpan w:val="2"/>
          </w:tcPr>
          <w:p w14:paraId="1D688DD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1.2.3</w:t>
            </w:r>
          </w:p>
          <w:p w14:paraId="4F16173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Promotion of the turtle-dove agri-environment packages and "bespoke seed package"</w:t>
            </w:r>
          </w:p>
          <w:p w14:paraId="1D8690D3" w14:textId="77777777" w:rsidR="00C96521" w:rsidRPr="006A313E" w:rsidRDefault="00C96521" w:rsidP="00C96521">
            <w:pPr>
              <w:widowControl/>
              <w:autoSpaceDE/>
              <w:autoSpaceDN/>
              <w:adjustRightInd/>
              <w:rPr>
                <w:rFonts w:ascii="Arial" w:hAnsi="Arial" w:cs="Arial"/>
                <w:sz w:val="18"/>
                <w:szCs w:val="18"/>
                <w:lang w:val="en-GB"/>
              </w:rPr>
            </w:pPr>
          </w:p>
          <w:p w14:paraId="4E6EA653"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EU Member States</w:t>
            </w:r>
          </w:p>
        </w:tc>
        <w:tc>
          <w:tcPr>
            <w:tcW w:w="1880" w:type="dxa"/>
          </w:tcPr>
          <w:p w14:paraId="05EF966C"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Essential</w:t>
            </w:r>
          </w:p>
        </w:tc>
        <w:tc>
          <w:tcPr>
            <w:tcW w:w="1315" w:type="dxa"/>
          </w:tcPr>
          <w:p w14:paraId="536A5FA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32E4B99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European Commission</w:t>
            </w:r>
          </w:p>
        </w:tc>
        <w:tc>
          <w:tcPr>
            <w:tcW w:w="2077" w:type="dxa"/>
          </w:tcPr>
          <w:p w14:paraId="0BB10F4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1.2.2</w:t>
            </w:r>
          </w:p>
        </w:tc>
      </w:tr>
      <w:tr w:rsidR="00C96521" w:rsidRPr="006A313E" w14:paraId="17DF53BF" w14:textId="77777777" w:rsidTr="00C96521">
        <w:tc>
          <w:tcPr>
            <w:tcW w:w="2607" w:type="dxa"/>
            <w:vMerge/>
          </w:tcPr>
          <w:p w14:paraId="2C0AB61F" w14:textId="77777777" w:rsidR="00C96521" w:rsidRPr="006A313E" w:rsidRDefault="00C96521" w:rsidP="00C96521">
            <w:pPr>
              <w:widowControl/>
              <w:autoSpaceDE/>
              <w:autoSpaceDN/>
              <w:adjustRightInd/>
              <w:rPr>
                <w:rFonts w:ascii="Arial" w:hAnsi="Arial" w:cs="Arial"/>
                <w:sz w:val="18"/>
                <w:szCs w:val="18"/>
                <w:lang w:val="en-GB"/>
              </w:rPr>
            </w:pPr>
          </w:p>
        </w:tc>
        <w:tc>
          <w:tcPr>
            <w:tcW w:w="3941" w:type="dxa"/>
            <w:gridSpan w:val="2"/>
          </w:tcPr>
          <w:p w14:paraId="31F97CC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1.2.4</w:t>
            </w:r>
          </w:p>
          <w:p w14:paraId="4B35D7D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Influence the CAP Reform process to reduce negative incentives/polices (such as conversion of extensive grassland management, promotion of intensive land-use practices) detrimental to turtle-dove.</w:t>
            </w:r>
          </w:p>
          <w:p w14:paraId="6BA6D169" w14:textId="77777777" w:rsidR="00C96521" w:rsidRPr="006A313E" w:rsidRDefault="00C96521" w:rsidP="00C96521">
            <w:pPr>
              <w:widowControl/>
              <w:autoSpaceDE/>
              <w:autoSpaceDN/>
              <w:adjustRightInd/>
              <w:rPr>
                <w:rFonts w:ascii="Arial" w:hAnsi="Arial" w:cs="Arial"/>
                <w:sz w:val="18"/>
                <w:szCs w:val="18"/>
                <w:lang w:val="en-GB"/>
              </w:rPr>
            </w:pPr>
          </w:p>
          <w:p w14:paraId="79BC95B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EU Member States.</w:t>
            </w:r>
          </w:p>
        </w:tc>
        <w:tc>
          <w:tcPr>
            <w:tcW w:w="1880" w:type="dxa"/>
          </w:tcPr>
          <w:p w14:paraId="52C86EF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Essential</w:t>
            </w:r>
          </w:p>
        </w:tc>
        <w:tc>
          <w:tcPr>
            <w:tcW w:w="1315" w:type="dxa"/>
          </w:tcPr>
          <w:p w14:paraId="6E55B958"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69B446F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CONSERVATION NGOs, FACE,</w:t>
            </w:r>
            <w:r w:rsidRPr="006A313E">
              <w:rPr>
                <w:rFonts w:ascii="Arial" w:hAnsi="Arial" w:cs="Arial"/>
                <w:sz w:val="18"/>
                <w:szCs w:val="18"/>
                <w:lang w:val="en-GB"/>
              </w:rPr>
              <w:t xml:space="preserve"> academic institutions</w:t>
            </w:r>
          </w:p>
        </w:tc>
        <w:tc>
          <w:tcPr>
            <w:tcW w:w="2077" w:type="dxa"/>
          </w:tcPr>
          <w:p w14:paraId="4413AEC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1.1.1</w:t>
            </w:r>
          </w:p>
          <w:p w14:paraId="4224C67C"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1.2.1-1.2.2</w:t>
            </w:r>
          </w:p>
        </w:tc>
      </w:tr>
      <w:tr w:rsidR="00C96521" w:rsidRPr="006A313E" w14:paraId="0F0FE2E7" w14:textId="77777777" w:rsidTr="00C96521">
        <w:tc>
          <w:tcPr>
            <w:tcW w:w="2607" w:type="dxa"/>
            <w:vMerge w:val="restart"/>
          </w:tcPr>
          <w:p w14:paraId="6D9C91E9" w14:textId="60433F60"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1.3 National agri-environment schemes cater for ecological requirements of the European Turtle</w:t>
            </w:r>
            <w:r w:rsidR="00FC6C34" w:rsidRPr="006A313E">
              <w:rPr>
                <w:rFonts w:ascii="Arial" w:hAnsi="Arial" w:cs="Arial"/>
                <w:sz w:val="18"/>
                <w:szCs w:val="18"/>
                <w:lang w:val="en-GB"/>
              </w:rPr>
              <w:t xml:space="preserve"> D</w:t>
            </w:r>
            <w:r w:rsidRPr="006A313E">
              <w:rPr>
                <w:rFonts w:ascii="Arial" w:hAnsi="Arial" w:cs="Arial"/>
                <w:sz w:val="18"/>
                <w:szCs w:val="18"/>
                <w:lang w:val="en-GB"/>
              </w:rPr>
              <w:t>ove by [</w:t>
            </w:r>
            <w:r w:rsidRPr="006A313E">
              <w:rPr>
                <w:rFonts w:ascii="Arial" w:hAnsi="Arial" w:cs="Arial"/>
                <w:i/>
                <w:sz w:val="18"/>
                <w:szCs w:val="18"/>
                <w:lang w:val="en-GB"/>
              </w:rPr>
              <w:t>2020</w:t>
            </w:r>
            <w:r w:rsidRPr="006A313E">
              <w:rPr>
                <w:rFonts w:ascii="Arial" w:hAnsi="Arial" w:cs="Arial"/>
                <w:sz w:val="18"/>
                <w:szCs w:val="18"/>
                <w:lang w:val="en-GB"/>
              </w:rPr>
              <w:t>].</w:t>
            </w:r>
          </w:p>
        </w:tc>
        <w:tc>
          <w:tcPr>
            <w:tcW w:w="3941" w:type="dxa"/>
            <w:gridSpan w:val="2"/>
          </w:tcPr>
          <w:p w14:paraId="2A969B72"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1.3.1</w:t>
            </w:r>
          </w:p>
          <w:p w14:paraId="6ED62B5E" w14:textId="29AFA415"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Implement national agri-environment packages to benefit turtle-doves (as part of national spatial conservation strategies for </w:t>
            </w:r>
            <w:r w:rsidR="00FC6C34" w:rsidRPr="006A313E">
              <w:rPr>
                <w:rFonts w:ascii="Arial" w:hAnsi="Arial" w:cs="Arial"/>
                <w:sz w:val="18"/>
                <w:szCs w:val="18"/>
                <w:lang w:val="en-GB"/>
              </w:rPr>
              <w:t>T</w:t>
            </w:r>
            <w:r w:rsidRPr="006A313E">
              <w:rPr>
                <w:rFonts w:ascii="Arial" w:hAnsi="Arial" w:cs="Arial"/>
                <w:sz w:val="18"/>
                <w:szCs w:val="18"/>
                <w:lang w:val="en-GB"/>
              </w:rPr>
              <w:t>urtle</w:t>
            </w:r>
            <w:r w:rsidR="00FC6C34" w:rsidRPr="006A313E">
              <w:rPr>
                <w:rFonts w:ascii="Arial" w:hAnsi="Arial" w:cs="Arial"/>
                <w:sz w:val="18"/>
                <w:szCs w:val="18"/>
                <w:lang w:val="en-GB"/>
              </w:rPr>
              <w:t xml:space="preserve"> D</w:t>
            </w:r>
            <w:r w:rsidRPr="006A313E">
              <w:rPr>
                <w:rFonts w:ascii="Arial" w:hAnsi="Arial" w:cs="Arial"/>
                <w:sz w:val="18"/>
                <w:szCs w:val="18"/>
                <w:lang w:val="en-GB"/>
              </w:rPr>
              <w:t xml:space="preserve">dove) by introducing or retaining </w:t>
            </w:r>
            <w:r w:rsidRPr="006A313E">
              <w:rPr>
                <w:rFonts w:ascii="Arial" w:hAnsi="Arial" w:cs="Arial"/>
                <w:sz w:val="18"/>
                <w:szCs w:val="18"/>
                <w:u w:val="single"/>
                <w:lang w:val="en-GB"/>
              </w:rPr>
              <w:t>fallow land</w:t>
            </w:r>
            <w:r w:rsidRPr="006A313E">
              <w:rPr>
                <w:rFonts w:ascii="Arial" w:hAnsi="Arial" w:cs="Arial"/>
                <w:sz w:val="18"/>
                <w:szCs w:val="18"/>
                <w:lang w:val="en-GB"/>
              </w:rPr>
              <w:t xml:space="preserve"> in the farmed landscape.</w:t>
            </w:r>
          </w:p>
          <w:p w14:paraId="294AB5E1" w14:textId="77777777" w:rsidR="00C96521" w:rsidRPr="006A313E" w:rsidRDefault="00C96521" w:rsidP="00C96521">
            <w:pPr>
              <w:widowControl/>
              <w:autoSpaceDE/>
              <w:autoSpaceDN/>
              <w:adjustRightInd/>
              <w:rPr>
                <w:rFonts w:ascii="Arial" w:hAnsi="Arial" w:cs="Arial"/>
                <w:sz w:val="18"/>
                <w:szCs w:val="18"/>
                <w:lang w:val="en-GB"/>
              </w:rPr>
            </w:pPr>
          </w:p>
          <w:p w14:paraId="32302E9D"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Recommended minimum of [</w:t>
            </w:r>
            <w:r w:rsidRPr="006A313E">
              <w:rPr>
                <w:rFonts w:ascii="Arial" w:hAnsi="Arial" w:cs="Arial"/>
                <w:i/>
                <w:sz w:val="18"/>
                <w:szCs w:val="18"/>
                <w:lang w:val="en-GB"/>
              </w:rPr>
              <w:t>x</w:t>
            </w:r>
            <w:r w:rsidRPr="006A313E">
              <w:rPr>
                <w:rFonts w:ascii="Arial" w:hAnsi="Arial" w:cs="Arial"/>
                <w:sz w:val="18"/>
                <w:szCs w:val="18"/>
                <w:lang w:val="en-GB"/>
              </w:rPr>
              <w:t>] hectares of fallow land per 10,000 hectares of agricultural landscape.</w:t>
            </w:r>
          </w:p>
          <w:p w14:paraId="7D790783" w14:textId="77777777" w:rsidR="00C96521" w:rsidRPr="006A313E" w:rsidRDefault="00C96521" w:rsidP="00C96521">
            <w:pPr>
              <w:widowControl/>
              <w:autoSpaceDE/>
              <w:autoSpaceDN/>
              <w:adjustRightInd/>
              <w:rPr>
                <w:rFonts w:ascii="Arial" w:hAnsi="Arial" w:cs="Arial"/>
                <w:sz w:val="18"/>
                <w:szCs w:val="18"/>
                <w:lang w:val="en-GB"/>
              </w:rPr>
            </w:pPr>
          </w:p>
          <w:p w14:paraId="27221B8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breeding Range States in north-western Europe.</w:t>
            </w:r>
          </w:p>
        </w:tc>
        <w:tc>
          <w:tcPr>
            <w:tcW w:w="1880" w:type="dxa"/>
          </w:tcPr>
          <w:p w14:paraId="6288173C"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Essential</w:t>
            </w:r>
          </w:p>
        </w:tc>
        <w:tc>
          <w:tcPr>
            <w:tcW w:w="1315" w:type="dxa"/>
          </w:tcPr>
          <w:p w14:paraId="19F05448"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33DE0ED2"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xml:space="preserve"> conservation NGOs, FACE, academic institutions, national farming agencies, national wildlife agencies</w:t>
            </w:r>
          </w:p>
          <w:p w14:paraId="68EB5EC3" w14:textId="77777777" w:rsidR="00C96521" w:rsidRPr="006A313E" w:rsidRDefault="00C96521" w:rsidP="00C96521">
            <w:pPr>
              <w:widowControl/>
              <w:autoSpaceDE/>
              <w:autoSpaceDN/>
              <w:adjustRightInd/>
              <w:rPr>
                <w:rFonts w:ascii="Arial" w:hAnsi="Arial" w:cs="Arial"/>
                <w:sz w:val="18"/>
                <w:szCs w:val="18"/>
                <w:lang w:val="en-GB"/>
              </w:rPr>
            </w:pPr>
          </w:p>
          <w:p w14:paraId="289F3BD4" w14:textId="77777777" w:rsidR="00C96521" w:rsidRPr="006A313E" w:rsidRDefault="00C96521" w:rsidP="00C96521">
            <w:pPr>
              <w:widowControl/>
              <w:autoSpaceDE/>
              <w:autoSpaceDN/>
              <w:adjustRightInd/>
              <w:rPr>
                <w:rFonts w:ascii="Arial" w:hAnsi="Arial" w:cs="Arial"/>
                <w:sz w:val="18"/>
                <w:szCs w:val="18"/>
                <w:lang w:val="en-GB"/>
              </w:rPr>
            </w:pPr>
          </w:p>
        </w:tc>
        <w:tc>
          <w:tcPr>
            <w:tcW w:w="2077" w:type="dxa"/>
          </w:tcPr>
          <w:p w14:paraId="7FC6F773"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1.2.2</w:t>
            </w:r>
          </w:p>
        </w:tc>
      </w:tr>
      <w:tr w:rsidR="00C96521" w:rsidRPr="006A313E" w14:paraId="0144BAA2" w14:textId="77777777" w:rsidTr="00C96521">
        <w:tc>
          <w:tcPr>
            <w:tcW w:w="2607" w:type="dxa"/>
            <w:vMerge/>
          </w:tcPr>
          <w:p w14:paraId="6F806F96" w14:textId="77777777" w:rsidR="00C96521" w:rsidRPr="006A313E" w:rsidRDefault="00C96521" w:rsidP="00C96521">
            <w:pPr>
              <w:widowControl/>
              <w:autoSpaceDE/>
              <w:autoSpaceDN/>
              <w:adjustRightInd/>
              <w:rPr>
                <w:rFonts w:ascii="Arial" w:hAnsi="Arial" w:cs="Arial"/>
                <w:sz w:val="18"/>
                <w:szCs w:val="18"/>
                <w:lang w:val="en-GB"/>
              </w:rPr>
            </w:pPr>
          </w:p>
        </w:tc>
        <w:tc>
          <w:tcPr>
            <w:tcW w:w="3941" w:type="dxa"/>
            <w:gridSpan w:val="2"/>
          </w:tcPr>
          <w:p w14:paraId="2D45CC1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1.3.2</w:t>
            </w:r>
          </w:p>
          <w:p w14:paraId="69B49A33" w14:textId="5AE73196"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Implement national agri-environment packages to benefit </w:t>
            </w:r>
            <w:r w:rsidR="00FC6C34" w:rsidRPr="006A313E">
              <w:rPr>
                <w:rFonts w:ascii="Arial" w:hAnsi="Arial" w:cs="Arial"/>
                <w:sz w:val="18"/>
                <w:szCs w:val="18"/>
                <w:lang w:val="en-GB"/>
              </w:rPr>
              <w:t>T</w:t>
            </w:r>
            <w:r w:rsidRPr="006A313E">
              <w:rPr>
                <w:rFonts w:ascii="Arial" w:hAnsi="Arial" w:cs="Arial"/>
                <w:sz w:val="18"/>
                <w:szCs w:val="18"/>
                <w:lang w:val="en-GB"/>
              </w:rPr>
              <w:t xml:space="preserve">urtle </w:t>
            </w:r>
            <w:r w:rsidR="00FC6C34" w:rsidRPr="006A313E">
              <w:rPr>
                <w:rFonts w:ascii="Arial" w:hAnsi="Arial" w:cs="Arial"/>
                <w:sz w:val="18"/>
                <w:szCs w:val="18"/>
                <w:lang w:val="en-GB"/>
              </w:rPr>
              <w:t>D</w:t>
            </w:r>
            <w:r w:rsidRPr="006A313E">
              <w:rPr>
                <w:rFonts w:ascii="Arial" w:hAnsi="Arial" w:cs="Arial"/>
                <w:sz w:val="18"/>
                <w:szCs w:val="18"/>
                <w:lang w:val="en-GB"/>
              </w:rPr>
              <w:t xml:space="preserve">oves (as part of national spatial conservation strategies for turtle-dove) by </w:t>
            </w:r>
            <w:r w:rsidRPr="006A313E">
              <w:rPr>
                <w:rFonts w:ascii="Arial" w:hAnsi="Arial" w:cs="Arial"/>
                <w:sz w:val="18"/>
                <w:szCs w:val="18"/>
                <w:u w:val="single"/>
                <w:lang w:val="en-GB"/>
              </w:rPr>
              <w:t>managing stubbles</w:t>
            </w:r>
            <w:r w:rsidRPr="006A313E">
              <w:rPr>
                <w:rFonts w:ascii="Arial" w:hAnsi="Arial" w:cs="Arial"/>
                <w:sz w:val="18"/>
                <w:szCs w:val="18"/>
                <w:lang w:val="en-GB"/>
              </w:rPr>
              <w:t>.</w:t>
            </w:r>
          </w:p>
          <w:p w14:paraId="508C87AB" w14:textId="77777777" w:rsidR="00C96521" w:rsidRPr="006A313E" w:rsidRDefault="00C96521" w:rsidP="00C96521">
            <w:pPr>
              <w:widowControl/>
              <w:autoSpaceDE/>
              <w:autoSpaceDN/>
              <w:adjustRightInd/>
              <w:rPr>
                <w:rFonts w:ascii="Arial" w:hAnsi="Arial" w:cs="Arial"/>
                <w:sz w:val="18"/>
                <w:szCs w:val="18"/>
                <w:lang w:val="en-GB"/>
              </w:rPr>
            </w:pPr>
          </w:p>
          <w:p w14:paraId="3A3D8F9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Recommended no burning or ploughing between [</w:t>
            </w:r>
            <w:r w:rsidRPr="006A313E">
              <w:rPr>
                <w:rFonts w:ascii="Arial" w:hAnsi="Arial" w:cs="Arial"/>
                <w:i/>
                <w:sz w:val="18"/>
                <w:szCs w:val="18"/>
                <w:lang w:val="en-GB"/>
              </w:rPr>
              <w:t>month</w:t>
            </w:r>
            <w:r w:rsidRPr="006A313E">
              <w:rPr>
                <w:rFonts w:ascii="Arial" w:hAnsi="Arial" w:cs="Arial"/>
                <w:sz w:val="18"/>
                <w:szCs w:val="18"/>
                <w:lang w:val="en-GB"/>
              </w:rPr>
              <w:t>] and [</w:t>
            </w:r>
            <w:r w:rsidRPr="006A313E">
              <w:rPr>
                <w:rFonts w:ascii="Arial" w:hAnsi="Arial" w:cs="Arial"/>
                <w:i/>
                <w:sz w:val="18"/>
                <w:szCs w:val="18"/>
                <w:lang w:val="en-GB"/>
              </w:rPr>
              <w:t>month</w:t>
            </w:r>
            <w:r w:rsidRPr="006A313E">
              <w:rPr>
                <w:rFonts w:ascii="Arial" w:hAnsi="Arial" w:cs="Arial"/>
                <w:sz w:val="18"/>
                <w:szCs w:val="18"/>
                <w:lang w:val="en-GB"/>
              </w:rPr>
              <w:t>].</w:t>
            </w:r>
          </w:p>
          <w:p w14:paraId="66BAD0AC" w14:textId="77777777" w:rsidR="00C96521" w:rsidRPr="006A313E" w:rsidRDefault="00C96521" w:rsidP="00C96521">
            <w:pPr>
              <w:widowControl/>
              <w:autoSpaceDE/>
              <w:autoSpaceDN/>
              <w:adjustRightInd/>
              <w:rPr>
                <w:rFonts w:ascii="Arial" w:hAnsi="Arial" w:cs="Arial"/>
                <w:sz w:val="18"/>
                <w:szCs w:val="18"/>
                <w:lang w:val="en-GB"/>
              </w:rPr>
            </w:pPr>
          </w:p>
          <w:p w14:paraId="27E44C80"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breeding Range States in north-western Europe.</w:t>
            </w:r>
          </w:p>
        </w:tc>
        <w:tc>
          <w:tcPr>
            <w:tcW w:w="1880" w:type="dxa"/>
          </w:tcPr>
          <w:p w14:paraId="7C578132"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Essential</w:t>
            </w:r>
          </w:p>
        </w:tc>
        <w:tc>
          <w:tcPr>
            <w:tcW w:w="1315" w:type="dxa"/>
          </w:tcPr>
          <w:p w14:paraId="44044BE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73E1D18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xml:space="preserve"> conservation NGOs, FACE, academic institutions, national farming agencies, national wildlife agencies</w:t>
            </w:r>
          </w:p>
          <w:p w14:paraId="39305A13" w14:textId="77777777" w:rsidR="00C96521" w:rsidRPr="006A313E" w:rsidRDefault="00C96521" w:rsidP="00C96521">
            <w:pPr>
              <w:widowControl/>
              <w:autoSpaceDE/>
              <w:autoSpaceDN/>
              <w:adjustRightInd/>
              <w:rPr>
                <w:rFonts w:ascii="Arial" w:hAnsi="Arial" w:cs="Arial"/>
                <w:sz w:val="18"/>
                <w:szCs w:val="18"/>
                <w:lang w:val="en-GB"/>
              </w:rPr>
            </w:pPr>
          </w:p>
        </w:tc>
        <w:tc>
          <w:tcPr>
            <w:tcW w:w="2077" w:type="dxa"/>
          </w:tcPr>
          <w:p w14:paraId="0EFC548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1.2.2</w:t>
            </w:r>
          </w:p>
        </w:tc>
      </w:tr>
      <w:tr w:rsidR="00C96521" w:rsidRPr="006A313E" w14:paraId="3C554407" w14:textId="77777777" w:rsidTr="00C96521">
        <w:tc>
          <w:tcPr>
            <w:tcW w:w="2607" w:type="dxa"/>
            <w:vMerge/>
          </w:tcPr>
          <w:p w14:paraId="44B893AC" w14:textId="77777777" w:rsidR="00C96521" w:rsidRPr="006A313E" w:rsidRDefault="00C96521" w:rsidP="00C96521">
            <w:pPr>
              <w:widowControl/>
              <w:autoSpaceDE/>
              <w:autoSpaceDN/>
              <w:adjustRightInd/>
              <w:rPr>
                <w:rFonts w:ascii="Arial" w:hAnsi="Arial" w:cs="Arial"/>
                <w:sz w:val="18"/>
                <w:szCs w:val="18"/>
                <w:lang w:val="en-GB"/>
              </w:rPr>
            </w:pPr>
          </w:p>
        </w:tc>
        <w:tc>
          <w:tcPr>
            <w:tcW w:w="3941" w:type="dxa"/>
            <w:gridSpan w:val="2"/>
          </w:tcPr>
          <w:p w14:paraId="7805F783"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1.3.3</w:t>
            </w:r>
          </w:p>
          <w:p w14:paraId="17F55394" w14:textId="4C3928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Implement national agri-environment packages to benefit </w:t>
            </w:r>
            <w:r w:rsidR="00FC6C34" w:rsidRPr="006A313E">
              <w:rPr>
                <w:rFonts w:ascii="Arial" w:hAnsi="Arial" w:cs="Arial"/>
                <w:sz w:val="18"/>
                <w:szCs w:val="18"/>
                <w:lang w:val="en-GB"/>
              </w:rPr>
              <w:t>T</w:t>
            </w:r>
            <w:r w:rsidRPr="006A313E">
              <w:rPr>
                <w:rFonts w:ascii="Arial" w:hAnsi="Arial" w:cs="Arial"/>
                <w:sz w:val="18"/>
                <w:szCs w:val="18"/>
                <w:lang w:val="en-GB"/>
              </w:rPr>
              <w:t xml:space="preserve">urtle </w:t>
            </w:r>
            <w:r w:rsidR="00FC6C34" w:rsidRPr="006A313E">
              <w:rPr>
                <w:rFonts w:ascii="Arial" w:hAnsi="Arial" w:cs="Arial"/>
                <w:sz w:val="18"/>
                <w:szCs w:val="18"/>
                <w:lang w:val="en-GB"/>
              </w:rPr>
              <w:t>D</w:t>
            </w:r>
            <w:r w:rsidRPr="006A313E">
              <w:rPr>
                <w:rFonts w:ascii="Arial" w:hAnsi="Arial" w:cs="Arial"/>
                <w:sz w:val="18"/>
                <w:szCs w:val="18"/>
                <w:lang w:val="en-GB"/>
              </w:rPr>
              <w:t xml:space="preserve">oves (as part of national spatial conservation strategies for turtle-dove) by </w:t>
            </w:r>
            <w:r w:rsidRPr="006A313E">
              <w:rPr>
                <w:rFonts w:ascii="Arial" w:hAnsi="Arial" w:cs="Arial"/>
                <w:sz w:val="18"/>
                <w:szCs w:val="18"/>
                <w:u w:val="single"/>
                <w:lang w:val="en-GB"/>
              </w:rPr>
              <w:t>introducing/retaining</w:t>
            </w:r>
            <w:r w:rsidRPr="006A313E">
              <w:rPr>
                <w:rFonts w:ascii="Arial" w:hAnsi="Arial" w:cs="Arial"/>
                <w:sz w:val="18"/>
                <w:szCs w:val="18"/>
                <w:lang w:val="en-GB"/>
              </w:rPr>
              <w:t xml:space="preserve"> </w:t>
            </w:r>
            <w:r w:rsidRPr="006A313E">
              <w:rPr>
                <w:rFonts w:ascii="Arial" w:hAnsi="Arial" w:cs="Arial"/>
                <w:sz w:val="18"/>
                <w:szCs w:val="18"/>
                <w:u w:val="single"/>
                <w:lang w:val="en-GB"/>
              </w:rPr>
              <w:t>late season cutting and low-input traditional species-rich meadows</w:t>
            </w:r>
            <w:r w:rsidRPr="006A313E">
              <w:rPr>
                <w:rFonts w:ascii="Arial" w:hAnsi="Arial" w:cs="Arial"/>
                <w:sz w:val="18"/>
                <w:szCs w:val="18"/>
                <w:lang w:val="en-GB"/>
              </w:rPr>
              <w:t>.</w:t>
            </w:r>
          </w:p>
          <w:p w14:paraId="39941953" w14:textId="77777777" w:rsidR="00C96521" w:rsidRPr="006A313E" w:rsidRDefault="00C96521" w:rsidP="00C96521">
            <w:pPr>
              <w:widowControl/>
              <w:autoSpaceDE/>
              <w:autoSpaceDN/>
              <w:adjustRightInd/>
              <w:rPr>
                <w:rFonts w:ascii="Arial" w:hAnsi="Arial" w:cs="Arial"/>
                <w:sz w:val="18"/>
                <w:szCs w:val="18"/>
                <w:lang w:val="en-GB"/>
              </w:rPr>
            </w:pPr>
          </w:p>
          <w:p w14:paraId="019C66B7"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Recommended minimum of [</w:t>
            </w:r>
            <w:r w:rsidRPr="006A313E">
              <w:rPr>
                <w:rFonts w:ascii="Arial" w:hAnsi="Arial" w:cs="Arial"/>
                <w:i/>
                <w:sz w:val="18"/>
                <w:szCs w:val="18"/>
                <w:lang w:val="en-GB"/>
              </w:rPr>
              <w:t>x</w:t>
            </w:r>
            <w:r w:rsidRPr="006A313E">
              <w:rPr>
                <w:rFonts w:ascii="Arial" w:hAnsi="Arial" w:cs="Arial"/>
                <w:sz w:val="18"/>
                <w:szCs w:val="18"/>
                <w:lang w:val="en-GB"/>
              </w:rPr>
              <w:t>] hectares of late-season cutting per 10,000 hectares of agricultural landscape.  No loss of existing low-input traditional species-rich meadows.</w:t>
            </w:r>
          </w:p>
          <w:p w14:paraId="681D1A9F" w14:textId="77777777" w:rsidR="00C96521" w:rsidRPr="006A313E" w:rsidRDefault="00C96521" w:rsidP="00C96521">
            <w:pPr>
              <w:widowControl/>
              <w:autoSpaceDE/>
              <w:autoSpaceDN/>
              <w:adjustRightInd/>
              <w:rPr>
                <w:rFonts w:ascii="Arial" w:hAnsi="Arial" w:cs="Arial"/>
                <w:sz w:val="18"/>
                <w:szCs w:val="18"/>
                <w:lang w:val="en-GB"/>
              </w:rPr>
            </w:pPr>
          </w:p>
          <w:p w14:paraId="3F93430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breeding Range States, with specific reference to Range States in the Baltic and south-eastern Europe.</w:t>
            </w:r>
          </w:p>
        </w:tc>
        <w:tc>
          <w:tcPr>
            <w:tcW w:w="1880" w:type="dxa"/>
          </w:tcPr>
          <w:p w14:paraId="0F7FD6E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Essential</w:t>
            </w:r>
          </w:p>
        </w:tc>
        <w:tc>
          <w:tcPr>
            <w:tcW w:w="1315" w:type="dxa"/>
          </w:tcPr>
          <w:p w14:paraId="3664814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48C0A2C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xml:space="preserve"> conservation NGOs, FACE, academic institutions, national farming agencies, national wildlife agencies</w:t>
            </w:r>
          </w:p>
          <w:p w14:paraId="2131EDFC" w14:textId="77777777" w:rsidR="00C96521" w:rsidRPr="006A313E" w:rsidRDefault="00C96521" w:rsidP="00C96521">
            <w:pPr>
              <w:widowControl/>
              <w:autoSpaceDE/>
              <w:autoSpaceDN/>
              <w:adjustRightInd/>
              <w:rPr>
                <w:rFonts w:ascii="Arial" w:hAnsi="Arial" w:cs="Arial"/>
                <w:sz w:val="18"/>
                <w:szCs w:val="18"/>
                <w:lang w:val="en-GB"/>
              </w:rPr>
            </w:pPr>
          </w:p>
        </w:tc>
        <w:tc>
          <w:tcPr>
            <w:tcW w:w="2077" w:type="dxa"/>
          </w:tcPr>
          <w:p w14:paraId="1383A4C8"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1.2.2</w:t>
            </w:r>
          </w:p>
        </w:tc>
      </w:tr>
      <w:tr w:rsidR="00C96521" w:rsidRPr="006A313E" w14:paraId="6E585A38" w14:textId="77777777" w:rsidTr="00C96521">
        <w:tc>
          <w:tcPr>
            <w:tcW w:w="2607" w:type="dxa"/>
            <w:vMerge/>
          </w:tcPr>
          <w:p w14:paraId="2E1FA34D" w14:textId="77777777" w:rsidR="00C96521" w:rsidRPr="006A313E" w:rsidRDefault="00C96521" w:rsidP="00C96521">
            <w:pPr>
              <w:widowControl/>
              <w:autoSpaceDE/>
              <w:autoSpaceDN/>
              <w:adjustRightInd/>
              <w:rPr>
                <w:rFonts w:ascii="Arial" w:hAnsi="Arial" w:cs="Arial"/>
                <w:sz w:val="18"/>
                <w:szCs w:val="18"/>
                <w:lang w:val="en-GB"/>
              </w:rPr>
            </w:pPr>
          </w:p>
        </w:tc>
        <w:tc>
          <w:tcPr>
            <w:tcW w:w="3941" w:type="dxa"/>
            <w:gridSpan w:val="2"/>
          </w:tcPr>
          <w:p w14:paraId="0EC883E3"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1.3.4</w:t>
            </w:r>
          </w:p>
          <w:p w14:paraId="3D7856CF" w14:textId="7EBA8663"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Implement national agri-environment packages to benefit </w:t>
            </w:r>
            <w:r w:rsidR="00FC6C34" w:rsidRPr="006A313E">
              <w:rPr>
                <w:rFonts w:ascii="Arial" w:hAnsi="Arial" w:cs="Arial"/>
                <w:sz w:val="18"/>
                <w:szCs w:val="18"/>
                <w:lang w:val="en-GB"/>
              </w:rPr>
              <w:t>T</w:t>
            </w:r>
            <w:r w:rsidRPr="006A313E">
              <w:rPr>
                <w:rFonts w:ascii="Arial" w:hAnsi="Arial" w:cs="Arial"/>
                <w:sz w:val="18"/>
                <w:szCs w:val="18"/>
                <w:lang w:val="en-GB"/>
              </w:rPr>
              <w:t>urtle</w:t>
            </w:r>
            <w:r w:rsidR="00FC6C34" w:rsidRPr="006A313E">
              <w:rPr>
                <w:rFonts w:ascii="Arial" w:hAnsi="Arial" w:cs="Arial"/>
                <w:sz w:val="18"/>
                <w:szCs w:val="18"/>
                <w:lang w:val="en-GB"/>
              </w:rPr>
              <w:t xml:space="preserve"> D</w:t>
            </w:r>
            <w:r w:rsidRPr="006A313E">
              <w:rPr>
                <w:rFonts w:ascii="Arial" w:hAnsi="Arial" w:cs="Arial"/>
                <w:sz w:val="18"/>
                <w:szCs w:val="18"/>
                <w:lang w:val="en-GB"/>
              </w:rPr>
              <w:t xml:space="preserve">oves (as part of national spatial conservation strategies for turtle-dove) by </w:t>
            </w:r>
            <w:r w:rsidRPr="006A313E">
              <w:rPr>
                <w:rFonts w:ascii="Arial" w:hAnsi="Arial" w:cs="Arial"/>
                <w:sz w:val="18"/>
                <w:szCs w:val="18"/>
                <w:u w:val="single"/>
                <w:lang w:val="en-GB"/>
              </w:rPr>
              <w:t>protection of margins through traditional farming</w:t>
            </w:r>
            <w:r w:rsidRPr="006A313E">
              <w:rPr>
                <w:rFonts w:ascii="Arial" w:hAnsi="Arial" w:cs="Arial"/>
                <w:sz w:val="18"/>
                <w:szCs w:val="18"/>
                <w:lang w:val="en-GB"/>
              </w:rPr>
              <w:t>.</w:t>
            </w:r>
          </w:p>
          <w:p w14:paraId="4CA717A5" w14:textId="77777777" w:rsidR="00C96521" w:rsidRPr="006A313E" w:rsidRDefault="00C96521" w:rsidP="00C96521">
            <w:pPr>
              <w:widowControl/>
              <w:autoSpaceDE/>
              <w:autoSpaceDN/>
              <w:adjustRightInd/>
              <w:rPr>
                <w:rFonts w:ascii="Arial" w:hAnsi="Arial" w:cs="Arial"/>
                <w:sz w:val="18"/>
                <w:szCs w:val="18"/>
                <w:lang w:val="en-GB"/>
              </w:rPr>
            </w:pPr>
          </w:p>
          <w:p w14:paraId="4142E39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Recommended minimum [</w:t>
            </w:r>
            <w:r w:rsidRPr="006A313E">
              <w:rPr>
                <w:rFonts w:ascii="Arial" w:hAnsi="Arial" w:cs="Arial"/>
                <w:i/>
                <w:sz w:val="18"/>
                <w:szCs w:val="18"/>
                <w:lang w:val="en-GB"/>
              </w:rPr>
              <w:t>x</w:t>
            </w:r>
            <w:r w:rsidRPr="006A313E">
              <w:rPr>
                <w:rFonts w:ascii="Arial" w:hAnsi="Arial" w:cs="Arial"/>
                <w:sz w:val="18"/>
                <w:szCs w:val="18"/>
                <w:lang w:val="en-GB"/>
              </w:rPr>
              <w:t>] metres around field edges left unploughed and suitable for grazing.</w:t>
            </w:r>
          </w:p>
          <w:p w14:paraId="3E22F399" w14:textId="77777777" w:rsidR="00C96521" w:rsidRPr="006A313E" w:rsidRDefault="00C96521" w:rsidP="00C96521">
            <w:pPr>
              <w:widowControl/>
              <w:autoSpaceDE/>
              <w:autoSpaceDN/>
              <w:adjustRightInd/>
              <w:rPr>
                <w:rFonts w:ascii="Arial" w:hAnsi="Arial" w:cs="Arial"/>
                <w:sz w:val="18"/>
                <w:szCs w:val="18"/>
                <w:lang w:val="en-GB"/>
              </w:rPr>
            </w:pPr>
          </w:p>
          <w:p w14:paraId="5DE80E32"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breeding Range States, with specific reference to Range States in the Baltic and south-eastern Europe.</w:t>
            </w:r>
          </w:p>
        </w:tc>
        <w:tc>
          <w:tcPr>
            <w:tcW w:w="1880" w:type="dxa"/>
          </w:tcPr>
          <w:p w14:paraId="2A75774C"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Essential</w:t>
            </w:r>
          </w:p>
        </w:tc>
        <w:tc>
          <w:tcPr>
            <w:tcW w:w="1315" w:type="dxa"/>
          </w:tcPr>
          <w:p w14:paraId="776E5DF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6018F31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xml:space="preserve"> conservation NGOs, FACE, academic institutions, national farming agencies, national wildlife agencies</w:t>
            </w:r>
          </w:p>
          <w:p w14:paraId="383302D7" w14:textId="77777777" w:rsidR="00C96521" w:rsidRPr="006A313E" w:rsidRDefault="00C96521" w:rsidP="00C96521">
            <w:pPr>
              <w:widowControl/>
              <w:autoSpaceDE/>
              <w:autoSpaceDN/>
              <w:adjustRightInd/>
              <w:rPr>
                <w:rFonts w:ascii="Arial" w:hAnsi="Arial" w:cs="Arial"/>
                <w:sz w:val="18"/>
                <w:szCs w:val="18"/>
                <w:lang w:val="en-GB"/>
              </w:rPr>
            </w:pPr>
          </w:p>
        </w:tc>
        <w:tc>
          <w:tcPr>
            <w:tcW w:w="2077" w:type="dxa"/>
          </w:tcPr>
          <w:p w14:paraId="1800B625"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1.2.2</w:t>
            </w:r>
          </w:p>
        </w:tc>
      </w:tr>
      <w:tr w:rsidR="00C96521" w:rsidRPr="006A313E" w14:paraId="77C173AA" w14:textId="77777777" w:rsidTr="00C96521">
        <w:tc>
          <w:tcPr>
            <w:tcW w:w="2607" w:type="dxa"/>
            <w:vMerge/>
          </w:tcPr>
          <w:p w14:paraId="4E89F9B3" w14:textId="77777777" w:rsidR="00C96521" w:rsidRPr="006A313E" w:rsidRDefault="00C96521" w:rsidP="00C96521">
            <w:pPr>
              <w:widowControl/>
              <w:autoSpaceDE/>
              <w:autoSpaceDN/>
              <w:adjustRightInd/>
              <w:rPr>
                <w:rFonts w:ascii="Arial" w:hAnsi="Arial" w:cs="Arial"/>
                <w:sz w:val="18"/>
                <w:szCs w:val="18"/>
                <w:lang w:val="en-GB"/>
              </w:rPr>
            </w:pPr>
          </w:p>
        </w:tc>
        <w:tc>
          <w:tcPr>
            <w:tcW w:w="3941" w:type="dxa"/>
            <w:gridSpan w:val="2"/>
          </w:tcPr>
          <w:p w14:paraId="1E3D1C7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1.3.5</w:t>
            </w:r>
          </w:p>
          <w:p w14:paraId="297A1CA2" w14:textId="43E1CC30"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Implement national agri-environment packages to benefit </w:t>
            </w:r>
            <w:r w:rsidR="00FC6C34" w:rsidRPr="006A313E">
              <w:rPr>
                <w:rFonts w:ascii="Arial" w:hAnsi="Arial" w:cs="Arial"/>
                <w:sz w:val="18"/>
                <w:szCs w:val="18"/>
                <w:lang w:val="en-GB"/>
              </w:rPr>
              <w:t>T</w:t>
            </w:r>
            <w:r w:rsidRPr="006A313E">
              <w:rPr>
                <w:rFonts w:ascii="Arial" w:hAnsi="Arial" w:cs="Arial"/>
                <w:sz w:val="18"/>
                <w:szCs w:val="18"/>
                <w:lang w:val="en-GB"/>
              </w:rPr>
              <w:t xml:space="preserve">urtle </w:t>
            </w:r>
            <w:r w:rsidR="00FC6C34" w:rsidRPr="006A313E">
              <w:rPr>
                <w:rFonts w:ascii="Arial" w:hAnsi="Arial" w:cs="Arial"/>
                <w:sz w:val="18"/>
                <w:szCs w:val="18"/>
                <w:lang w:val="en-GB"/>
              </w:rPr>
              <w:t>D</w:t>
            </w:r>
            <w:r w:rsidRPr="006A313E">
              <w:rPr>
                <w:rFonts w:ascii="Arial" w:hAnsi="Arial" w:cs="Arial"/>
                <w:sz w:val="18"/>
                <w:szCs w:val="18"/>
                <w:lang w:val="en-GB"/>
              </w:rPr>
              <w:t xml:space="preserve">oves (as part of national spatial conservation strategies for turtle-dove) in </w:t>
            </w:r>
            <w:r w:rsidRPr="006A313E">
              <w:rPr>
                <w:rFonts w:ascii="Arial" w:hAnsi="Arial" w:cs="Arial"/>
                <w:sz w:val="18"/>
                <w:szCs w:val="18"/>
                <w:u w:val="single"/>
                <w:lang w:val="en-GB"/>
              </w:rPr>
              <w:t>deciduous forest, woodland and woodland edge habitats</w:t>
            </w:r>
            <w:r w:rsidRPr="006A313E">
              <w:rPr>
                <w:rFonts w:ascii="Arial" w:hAnsi="Arial" w:cs="Arial"/>
                <w:sz w:val="18"/>
                <w:szCs w:val="18"/>
                <w:lang w:val="en-GB"/>
              </w:rPr>
              <w:t>.</w:t>
            </w:r>
          </w:p>
          <w:p w14:paraId="4CA9420D" w14:textId="77777777" w:rsidR="00C96521" w:rsidRPr="006A313E" w:rsidRDefault="00C96521" w:rsidP="00C96521">
            <w:pPr>
              <w:widowControl/>
              <w:autoSpaceDE/>
              <w:autoSpaceDN/>
              <w:adjustRightInd/>
              <w:rPr>
                <w:rFonts w:ascii="Arial" w:hAnsi="Arial" w:cs="Arial"/>
                <w:sz w:val="18"/>
                <w:szCs w:val="18"/>
                <w:lang w:val="en-GB"/>
              </w:rPr>
            </w:pPr>
          </w:p>
          <w:p w14:paraId="1457C657"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Recommended minimum  [</w:t>
            </w:r>
            <w:r w:rsidRPr="006A313E">
              <w:rPr>
                <w:rFonts w:ascii="Arial" w:hAnsi="Arial" w:cs="Arial"/>
                <w:i/>
                <w:sz w:val="18"/>
                <w:szCs w:val="18"/>
                <w:lang w:val="en-GB"/>
              </w:rPr>
              <w:t>x%</w:t>
            </w:r>
            <w:r w:rsidRPr="006A313E">
              <w:rPr>
                <w:rFonts w:ascii="Arial" w:hAnsi="Arial" w:cs="Arial"/>
                <w:sz w:val="18"/>
                <w:szCs w:val="18"/>
                <w:lang w:val="en-GB"/>
              </w:rPr>
              <w:t>] of open or herbaceous understory.</w:t>
            </w:r>
          </w:p>
          <w:p w14:paraId="0660B460" w14:textId="77777777" w:rsidR="00C96521" w:rsidRPr="006A313E" w:rsidRDefault="00C96521" w:rsidP="00C96521">
            <w:pPr>
              <w:widowControl/>
              <w:autoSpaceDE/>
              <w:autoSpaceDN/>
              <w:adjustRightInd/>
              <w:rPr>
                <w:rFonts w:ascii="Arial" w:hAnsi="Arial" w:cs="Arial"/>
                <w:sz w:val="18"/>
                <w:szCs w:val="18"/>
                <w:lang w:val="en-GB"/>
              </w:rPr>
            </w:pPr>
          </w:p>
          <w:p w14:paraId="46F48644"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breeding Range States.</w:t>
            </w:r>
          </w:p>
        </w:tc>
        <w:tc>
          <w:tcPr>
            <w:tcW w:w="1880" w:type="dxa"/>
          </w:tcPr>
          <w:p w14:paraId="2DCFABC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Essential</w:t>
            </w:r>
          </w:p>
        </w:tc>
        <w:tc>
          <w:tcPr>
            <w:tcW w:w="1315" w:type="dxa"/>
          </w:tcPr>
          <w:p w14:paraId="12FED428"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551DBF9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xml:space="preserve"> conservation NGOs, FACE, academic institutions, national farming agencies, national wildlife agencies</w:t>
            </w:r>
          </w:p>
          <w:p w14:paraId="714C2BD8" w14:textId="77777777" w:rsidR="00C96521" w:rsidRPr="006A313E" w:rsidRDefault="00C96521" w:rsidP="00C96521">
            <w:pPr>
              <w:widowControl/>
              <w:autoSpaceDE/>
              <w:autoSpaceDN/>
              <w:adjustRightInd/>
              <w:rPr>
                <w:rFonts w:ascii="Arial" w:hAnsi="Arial" w:cs="Arial"/>
                <w:sz w:val="18"/>
                <w:szCs w:val="18"/>
                <w:lang w:val="en-GB"/>
              </w:rPr>
            </w:pPr>
          </w:p>
        </w:tc>
        <w:tc>
          <w:tcPr>
            <w:tcW w:w="2077" w:type="dxa"/>
          </w:tcPr>
          <w:p w14:paraId="123AE074"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1.2.2</w:t>
            </w:r>
          </w:p>
        </w:tc>
      </w:tr>
      <w:tr w:rsidR="00C96521" w:rsidRPr="006A313E" w14:paraId="4FAB7F2A" w14:textId="77777777" w:rsidTr="00C96521">
        <w:tc>
          <w:tcPr>
            <w:tcW w:w="2607" w:type="dxa"/>
            <w:vMerge/>
          </w:tcPr>
          <w:p w14:paraId="537F436F" w14:textId="77777777" w:rsidR="00C96521" w:rsidRPr="006A313E" w:rsidRDefault="00C96521" w:rsidP="00C96521">
            <w:pPr>
              <w:widowControl/>
              <w:autoSpaceDE/>
              <w:autoSpaceDN/>
              <w:adjustRightInd/>
              <w:rPr>
                <w:rFonts w:ascii="Arial" w:hAnsi="Arial" w:cs="Arial"/>
                <w:sz w:val="18"/>
                <w:szCs w:val="18"/>
                <w:lang w:val="en-GB"/>
              </w:rPr>
            </w:pPr>
          </w:p>
        </w:tc>
        <w:tc>
          <w:tcPr>
            <w:tcW w:w="3941" w:type="dxa"/>
            <w:gridSpan w:val="2"/>
          </w:tcPr>
          <w:p w14:paraId="544ACAC5"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1.3.6</w:t>
            </w:r>
          </w:p>
          <w:p w14:paraId="5451D26A" w14:textId="6DD0534D"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Implement national agri-environment packages to benefit </w:t>
            </w:r>
            <w:r w:rsidR="00FC6C34" w:rsidRPr="006A313E">
              <w:rPr>
                <w:rFonts w:ascii="Arial" w:hAnsi="Arial" w:cs="Arial"/>
                <w:sz w:val="18"/>
                <w:szCs w:val="18"/>
                <w:lang w:val="en-GB"/>
              </w:rPr>
              <w:t>T</w:t>
            </w:r>
            <w:r w:rsidRPr="006A313E">
              <w:rPr>
                <w:rFonts w:ascii="Arial" w:hAnsi="Arial" w:cs="Arial"/>
                <w:sz w:val="18"/>
                <w:szCs w:val="18"/>
                <w:lang w:val="en-GB"/>
              </w:rPr>
              <w:t>urtle</w:t>
            </w:r>
            <w:r w:rsidR="00FC6C34" w:rsidRPr="006A313E">
              <w:rPr>
                <w:rFonts w:ascii="Arial" w:hAnsi="Arial" w:cs="Arial"/>
                <w:sz w:val="18"/>
                <w:szCs w:val="18"/>
                <w:lang w:val="en-GB"/>
              </w:rPr>
              <w:t xml:space="preserve"> D</w:t>
            </w:r>
            <w:r w:rsidRPr="006A313E">
              <w:rPr>
                <w:rFonts w:ascii="Arial" w:hAnsi="Arial" w:cs="Arial"/>
                <w:sz w:val="18"/>
                <w:szCs w:val="18"/>
                <w:lang w:val="en-GB"/>
              </w:rPr>
              <w:t xml:space="preserve">oves (as part of national spatial conservation strategies for turtle-dove) in </w:t>
            </w:r>
            <w:r w:rsidRPr="006A313E">
              <w:rPr>
                <w:rFonts w:ascii="Arial" w:hAnsi="Arial" w:cs="Arial"/>
                <w:sz w:val="18"/>
                <w:szCs w:val="18"/>
                <w:u w:val="single"/>
                <w:lang w:val="en-GB"/>
              </w:rPr>
              <w:t>coniferous forest, woodland and woodland edge habitats</w:t>
            </w:r>
            <w:r w:rsidRPr="006A313E">
              <w:rPr>
                <w:rFonts w:ascii="Arial" w:hAnsi="Arial" w:cs="Arial"/>
                <w:sz w:val="18"/>
                <w:szCs w:val="18"/>
                <w:lang w:val="en-GB"/>
              </w:rPr>
              <w:t>.</w:t>
            </w:r>
          </w:p>
          <w:p w14:paraId="62020718" w14:textId="77777777" w:rsidR="00C96521" w:rsidRPr="006A313E" w:rsidRDefault="00C96521" w:rsidP="00C96521">
            <w:pPr>
              <w:widowControl/>
              <w:autoSpaceDE/>
              <w:autoSpaceDN/>
              <w:adjustRightInd/>
              <w:rPr>
                <w:rFonts w:ascii="Arial" w:hAnsi="Arial" w:cs="Arial"/>
                <w:sz w:val="18"/>
                <w:szCs w:val="18"/>
                <w:lang w:val="en-GB"/>
              </w:rPr>
            </w:pPr>
          </w:p>
          <w:p w14:paraId="02D714B7"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Recommended minimum  [</w:t>
            </w:r>
            <w:r w:rsidRPr="006A313E">
              <w:rPr>
                <w:rFonts w:ascii="Arial" w:hAnsi="Arial" w:cs="Arial"/>
                <w:i/>
                <w:sz w:val="18"/>
                <w:szCs w:val="18"/>
                <w:lang w:val="en-GB"/>
              </w:rPr>
              <w:t>x%</w:t>
            </w:r>
            <w:r w:rsidRPr="006A313E">
              <w:rPr>
                <w:rFonts w:ascii="Arial" w:hAnsi="Arial" w:cs="Arial"/>
                <w:sz w:val="18"/>
                <w:szCs w:val="18"/>
                <w:lang w:val="en-GB"/>
              </w:rPr>
              <w:t>] of open or herbaceous understory.</w:t>
            </w:r>
          </w:p>
          <w:p w14:paraId="104260AA" w14:textId="77777777" w:rsidR="00C96521" w:rsidRPr="006A313E" w:rsidRDefault="00C96521" w:rsidP="00C96521">
            <w:pPr>
              <w:widowControl/>
              <w:autoSpaceDE/>
              <w:autoSpaceDN/>
              <w:adjustRightInd/>
              <w:rPr>
                <w:rFonts w:ascii="Arial" w:hAnsi="Arial" w:cs="Arial"/>
                <w:sz w:val="18"/>
                <w:szCs w:val="18"/>
                <w:lang w:val="en-GB"/>
              </w:rPr>
            </w:pPr>
          </w:p>
          <w:p w14:paraId="5D83055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breeding Range States.</w:t>
            </w:r>
          </w:p>
        </w:tc>
        <w:tc>
          <w:tcPr>
            <w:tcW w:w="1880" w:type="dxa"/>
          </w:tcPr>
          <w:p w14:paraId="0671CD0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Essential</w:t>
            </w:r>
          </w:p>
        </w:tc>
        <w:tc>
          <w:tcPr>
            <w:tcW w:w="1315" w:type="dxa"/>
          </w:tcPr>
          <w:p w14:paraId="56D446C2"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28AB74E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xml:space="preserve"> conservation NGOs, FACE, academic institutions, national farming agencies, national wildlife agencies</w:t>
            </w:r>
          </w:p>
          <w:p w14:paraId="54B11930" w14:textId="77777777" w:rsidR="00C96521" w:rsidRPr="006A313E" w:rsidRDefault="00C96521" w:rsidP="00C96521">
            <w:pPr>
              <w:widowControl/>
              <w:autoSpaceDE/>
              <w:autoSpaceDN/>
              <w:adjustRightInd/>
              <w:rPr>
                <w:rFonts w:ascii="Arial" w:hAnsi="Arial" w:cs="Arial"/>
                <w:sz w:val="18"/>
                <w:szCs w:val="18"/>
                <w:lang w:val="en-GB"/>
              </w:rPr>
            </w:pPr>
          </w:p>
        </w:tc>
        <w:tc>
          <w:tcPr>
            <w:tcW w:w="2077" w:type="dxa"/>
          </w:tcPr>
          <w:p w14:paraId="29201AA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1.2.2</w:t>
            </w:r>
          </w:p>
        </w:tc>
      </w:tr>
      <w:tr w:rsidR="00C96521" w:rsidRPr="006A313E" w14:paraId="2832AB21" w14:textId="77777777" w:rsidTr="00C96521">
        <w:tc>
          <w:tcPr>
            <w:tcW w:w="2607" w:type="dxa"/>
            <w:vMerge/>
          </w:tcPr>
          <w:p w14:paraId="013A49D3" w14:textId="77777777" w:rsidR="00C96521" w:rsidRPr="006A313E" w:rsidRDefault="00C96521" w:rsidP="00C96521">
            <w:pPr>
              <w:widowControl/>
              <w:autoSpaceDE/>
              <w:autoSpaceDN/>
              <w:adjustRightInd/>
              <w:rPr>
                <w:rFonts w:ascii="Arial" w:hAnsi="Arial" w:cs="Arial"/>
                <w:sz w:val="18"/>
                <w:szCs w:val="18"/>
                <w:lang w:val="en-GB"/>
              </w:rPr>
            </w:pPr>
          </w:p>
        </w:tc>
        <w:tc>
          <w:tcPr>
            <w:tcW w:w="3941" w:type="dxa"/>
            <w:gridSpan w:val="2"/>
          </w:tcPr>
          <w:p w14:paraId="342ED5C8"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1.3.7</w:t>
            </w:r>
          </w:p>
          <w:p w14:paraId="03CC20FE" w14:textId="50ED7ADC"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Implement national agri-environment packages to benefit </w:t>
            </w:r>
            <w:r w:rsidR="00FC6C34" w:rsidRPr="006A313E">
              <w:rPr>
                <w:rFonts w:ascii="Arial" w:hAnsi="Arial" w:cs="Arial"/>
                <w:sz w:val="18"/>
                <w:szCs w:val="18"/>
                <w:lang w:val="en-GB"/>
              </w:rPr>
              <w:t>T</w:t>
            </w:r>
            <w:r w:rsidRPr="006A313E">
              <w:rPr>
                <w:rFonts w:ascii="Arial" w:hAnsi="Arial" w:cs="Arial"/>
                <w:sz w:val="18"/>
                <w:szCs w:val="18"/>
                <w:lang w:val="en-GB"/>
              </w:rPr>
              <w:t>urtle</w:t>
            </w:r>
            <w:r w:rsidR="00FC6C34" w:rsidRPr="006A313E">
              <w:rPr>
                <w:rFonts w:ascii="Arial" w:hAnsi="Arial" w:cs="Arial"/>
                <w:sz w:val="18"/>
                <w:szCs w:val="18"/>
                <w:lang w:val="en-GB"/>
              </w:rPr>
              <w:t xml:space="preserve"> D</w:t>
            </w:r>
            <w:r w:rsidRPr="006A313E">
              <w:rPr>
                <w:rFonts w:ascii="Arial" w:hAnsi="Arial" w:cs="Arial"/>
                <w:sz w:val="18"/>
                <w:szCs w:val="18"/>
                <w:lang w:val="en-GB"/>
              </w:rPr>
              <w:t xml:space="preserve">oves (as part of national spatial conservation strategies for </w:t>
            </w:r>
            <w:r w:rsidR="00FC6C34" w:rsidRPr="006A313E">
              <w:rPr>
                <w:rFonts w:ascii="Arial" w:hAnsi="Arial" w:cs="Arial"/>
                <w:sz w:val="18"/>
                <w:szCs w:val="18"/>
                <w:lang w:val="en-GB"/>
              </w:rPr>
              <w:t>T</w:t>
            </w:r>
            <w:r w:rsidRPr="006A313E">
              <w:rPr>
                <w:rFonts w:ascii="Arial" w:hAnsi="Arial" w:cs="Arial"/>
                <w:sz w:val="18"/>
                <w:szCs w:val="18"/>
                <w:lang w:val="en-GB"/>
              </w:rPr>
              <w:t>urtle</w:t>
            </w:r>
            <w:r w:rsidR="00FC6C34" w:rsidRPr="006A313E">
              <w:rPr>
                <w:rFonts w:ascii="Arial" w:hAnsi="Arial" w:cs="Arial"/>
                <w:sz w:val="18"/>
                <w:szCs w:val="18"/>
                <w:lang w:val="en-GB"/>
              </w:rPr>
              <w:t xml:space="preserve"> D</w:t>
            </w:r>
            <w:r w:rsidRPr="006A313E">
              <w:rPr>
                <w:rFonts w:ascii="Arial" w:hAnsi="Arial" w:cs="Arial"/>
                <w:sz w:val="18"/>
                <w:szCs w:val="18"/>
                <w:lang w:val="en-GB"/>
              </w:rPr>
              <w:t xml:space="preserve">ove) in </w:t>
            </w:r>
            <w:r w:rsidRPr="006A313E">
              <w:rPr>
                <w:rFonts w:ascii="Arial" w:hAnsi="Arial" w:cs="Arial"/>
                <w:sz w:val="18"/>
                <w:szCs w:val="18"/>
                <w:u w:val="single"/>
                <w:lang w:val="en-GB"/>
              </w:rPr>
              <w:t>mixed forest, woodland and woodland edge habitats</w:t>
            </w:r>
            <w:r w:rsidRPr="006A313E">
              <w:rPr>
                <w:rFonts w:ascii="Arial" w:hAnsi="Arial" w:cs="Arial"/>
                <w:sz w:val="18"/>
                <w:szCs w:val="18"/>
                <w:lang w:val="en-GB"/>
              </w:rPr>
              <w:t>.</w:t>
            </w:r>
          </w:p>
          <w:p w14:paraId="491A6C41" w14:textId="77777777" w:rsidR="00C96521" w:rsidRPr="006A313E" w:rsidRDefault="00C96521" w:rsidP="00C96521">
            <w:pPr>
              <w:widowControl/>
              <w:autoSpaceDE/>
              <w:autoSpaceDN/>
              <w:adjustRightInd/>
              <w:rPr>
                <w:rFonts w:ascii="Arial" w:hAnsi="Arial" w:cs="Arial"/>
                <w:sz w:val="18"/>
                <w:szCs w:val="18"/>
                <w:lang w:val="en-GB"/>
              </w:rPr>
            </w:pPr>
          </w:p>
          <w:p w14:paraId="15B7CFB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Recommended minimum  [</w:t>
            </w:r>
            <w:r w:rsidRPr="006A313E">
              <w:rPr>
                <w:rFonts w:ascii="Arial" w:hAnsi="Arial" w:cs="Arial"/>
                <w:i/>
                <w:sz w:val="18"/>
                <w:szCs w:val="18"/>
                <w:lang w:val="en-GB"/>
              </w:rPr>
              <w:t>x%</w:t>
            </w:r>
            <w:r w:rsidRPr="006A313E">
              <w:rPr>
                <w:rFonts w:ascii="Arial" w:hAnsi="Arial" w:cs="Arial"/>
                <w:sz w:val="18"/>
                <w:szCs w:val="18"/>
                <w:lang w:val="en-GB"/>
              </w:rPr>
              <w:t>] of open or herbaceous understory.</w:t>
            </w:r>
          </w:p>
          <w:p w14:paraId="47A9912D" w14:textId="77777777" w:rsidR="00C96521" w:rsidRPr="006A313E" w:rsidRDefault="00C96521" w:rsidP="00C96521">
            <w:pPr>
              <w:widowControl/>
              <w:autoSpaceDE/>
              <w:autoSpaceDN/>
              <w:adjustRightInd/>
              <w:rPr>
                <w:rFonts w:ascii="Arial" w:hAnsi="Arial" w:cs="Arial"/>
                <w:sz w:val="18"/>
                <w:szCs w:val="18"/>
                <w:lang w:val="en-GB"/>
              </w:rPr>
            </w:pPr>
          </w:p>
          <w:p w14:paraId="4F334D6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breeding Range States.</w:t>
            </w:r>
          </w:p>
        </w:tc>
        <w:tc>
          <w:tcPr>
            <w:tcW w:w="1880" w:type="dxa"/>
          </w:tcPr>
          <w:p w14:paraId="7E2E45E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Essential</w:t>
            </w:r>
          </w:p>
        </w:tc>
        <w:tc>
          <w:tcPr>
            <w:tcW w:w="1315" w:type="dxa"/>
          </w:tcPr>
          <w:p w14:paraId="503BCF8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21958BE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xml:space="preserve"> conservation NGOs, FACE, academic institutions, national farming agencies, national wildlife agencies</w:t>
            </w:r>
          </w:p>
          <w:p w14:paraId="0125855A" w14:textId="77777777" w:rsidR="00C96521" w:rsidRPr="006A313E" w:rsidRDefault="00C96521" w:rsidP="00C96521">
            <w:pPr>
              <w:widowControl/>
              <w:autoSpaceDE/>
              <w:autoSpaceDN/>
              <w:adjustRightInd/>
              <w:rPr>
                <w:rFonts w:ascii="Arial" w:hAnsi="Arial" w:cs="Arial"/>
                <w:sz w:val="18"/>
                <w:szCs w:val="18"/>
                <w:lang w:val="en-GB"/>
              </w:rPr>
            </w:pPr>
          </w:p>
        </w:tc>
        <w:tc>
          <w:tcPr>
            <w:tcW w:w="2077" w:type="dxa"/>
          </w:tcPr>
          <w:p w14:paraId="17796C0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1.2.2</w:t>
            </w:r>
          </w:p>
        </w:tc>
      </w:tr>
      <w:tr w:rsidR="00C96521" w:rsidRPr="006A313E" w14:paraId="66FEDC70" w14:textId="77777777" w:rsidTr="00C96521">
        <w:tc>
          <w:tcPr>
            <w:tcW w:w="2607" w:type="dxa"/>
            <w:vMerge w:val="restart"/>
          </w:tcPr>
          <w:p w14:paraId="3ADBDAC1" w14:textId="77777777" w:rsidR="00C96521" w:rsidRPr="006A313E" w:rsidRDefault="00C96521" w:rsidP="00C96521">
            <w:pPr>
              <w:widowControl/>
              <w:autoSpaceDE/>
              <w:autoSpaceDN/>
              <w:adjustRightInd/>
              <w:rPr>
                <w:rFonts w:ascii="Arial" w:hAnsi="Arial" w:cs="Arial"/>
                <w:sz w:val="18"/>
                <w:szCs w:val="18"/>
                <w:lang w:val="en-GB"/>
              </w:rPr>
            </w:pPr>
          </w:p>
        </w:tc>
        <w:tc>
          <w:tcPr>
            <w:tcW w:w="3880" w:type="dxa"/>
          </w:tcPr>
          <w:p w14:paraId="1F64046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1.3.8</w:t>
            </w:r>
          </w:p>
          <w:p w14:paraId="5B0AB7BE" w14:textId="72DA6B95"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Implement national agri-environment packages to benefit </w:t>
            </w:r>
            <w:r w:rsidR="00FC6C34" w:rsidRPr="006A313E">
              <w:rPr>
                <w:rFonts w:ascii="Arial" w:hAnsi="Arial" w:cs="Arial"/>
                <w:sz w:val="18"/>
                <w:szCs w:val="18"/>
                <w:lang w:val="en-GB"/>
              </w:rPr>
              <w:t>T</w:t>
            </w:r>
            <w:r w:rsidRPr="006A313E">
              <w:rPr>
                <w:rFonts w:ascii="Arial" w:hAnsi="Arial" w:cs="Arial"/>
                <w:sz w:val="18"/>
                <w:szCs w:val="18"/>
                <w:lang w:val="en-GB"/>
              </w:rPr>
              <w:t>urtle</w:t>
            </w:r>
            <w:r w:rsidR="00FC6C34" w:rsidRPr="006A313E">
              <w:rPr>
                <w:rFonts w:ascii="Arial" w:hAnsi="Arial" w:cs="Arial"/>
                <w:sz w:val="18"/>
                <w:szCs w:val="18"/>
                <w:lang w:val="en-GB"/>
              </w:rPr>
              <w:t xml:space="preserve"> D</w:t>
            </w:r>
            <w:r w:rsidRPr="006A313E">
              <w:rPr>
                <w:rFonts w:ascii="Arial" w:hAnsi="Arial" w:cs="Arial"/>
                <w:sz w:val="18"/>
                <w:szCs w:val="18"/>
                <w:lang w:val="en-GB"/>
              </w:rPr>
              <w:t xml:space="preserve">oves (as part of national spatial conservation strategies for turtle-dove) in </w:t>
            </w:r>
            <w:r w:rsidRPr="006A313E">
              <w:rPr>
                <w:rFonts w:ascii="Arial" w:hAnsi="Arial" w:cs="Arial"/>
                <w:sz w:val="18"/>
                <w:szCs w:val="18"/>
                <w:u w:val="single"/>
                <w:lang w:val="en-GB"/>
              </w:rPr>
              <w:t>forest plantations</w:t>
            </w:r>
            <w:r w:rsidRPr="006A313E">
              <w:rPr>
                <w:rFonts w:ascii="Arial" w:hAnsi="Arial" w:cs="Arial"/>
                <w:sz w:val="18"/>
                <w:szCs w:val="18"/>
                <w:lang w:val="en-GB"/>
              </w:rPr>
              <w:t>.</w:t>
            </w:r>
          </w:p>
          <w:p w14:paraId="4537CE50" w14:textId="77777777" w:rsidR="00C96521" w:rsidRPr="006A313E" w:rsidRDefault="00C96521" w:rsidP="00C96521">
            <w:pPr>
              <w:widowControl/>
              <w:autoSpaceDE/>
              <w:autoSpaceDN/>
              <w:adjustRightInd/>
              <w:rPr>
                <w:rFonts w:ascii="Arial" w:hAnsi="Arial" w:cs="Arial"/>
                <w:sz w:val="18"/>
                <w:szCs w:val="18"/>
                <w:lang w:val="en-GB"/>
              </w:rPr>
            </w:pPr>
          </w:p>
          <w:p w14:paraId="08F2A82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Recommended minimum  [</w:t>
            </w:r>
            <w:r w:rsidRPr="006A313E">
              <w:rPr>
                <w:rFonts w:ascii="Arial" w:hAnsi="Arial" w:cs="Arial"/>
                <w:i/>
                <w:sz w:val="18"/>
                <w:szCs w:val="18"/>
                <w:lang w:val="en-GB"/>
              </w:rPr>
              <w:t>x%</w:t>
            </w:r>
            <w:r w:rsidRPr="006A313E">
              <w:rPr>
                <w:rFonts w:ascii="Arial" w:hAnsi="Arial" w:cs="Arial"/>
                <w:sz w:val="18"/>
                <w:szCs w:val="18"/>
                <w:lang w:val="en-GB"/>
              </w:rPr>
              <w:t>] of open or herbaceous understory.</w:t>
            </w:r>
          </w:p>
          <w:p w14:paraId="602AD3BC" w14:textId="77777777" w:rsidR="00C96521" w:rsidRPr="006A313E" w:rsidRDefault="00C96521" w:rsidP="00C96521">
            <w:pPr>
              <w:widowControl/>
              <w:autoSpaceDE/>
              <w:autoSpaceDN/>
              <w:adjustRightInd/>
              <w:rPr>
                <w:rFonts w:ascii="Arial" w:hAnsi="Arial" w:cs="Arial"/>
                <w:sz w:val="18"/>
                <w:szCs w:val="18"/>
                <w:lang w:val="en-GB"/>
              </w:rPr>
            </w:pPr>
          </w:p>
          <w:p w14:paraId="6609CA22"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breeding Range States</w:t>
            </w:r>
          </w:p>
        </w:tc>
        <w:tc>
          <w:tcPr>
            <w:tcW w:w="1941" w:type="dxa"/>
            <w:gridSpan w:val="2"/>
          </w:tcPr>
          <w:p w14:paraId="209C5757"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Essential</w:t>
            </w:r>
          </w:p>
        </w:tc>
        <w:tc>
          <w:tcPr>
            <w:tcW w:w="1315" w:type="dxa"/>
          </w:tcPr>
          <w:p w14:paraId="28CF680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37D733C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xml:space="preserve"> conservation NGOs, FACE, academic institutions, national farming agencies, national wildlife agencies</w:t>
            </w:r>
          </w:p>
          <w:p w14:paraId="55E95113" w14:textId="77777777" w:rsidR="00C96521" w:rsidRPr="006A313E" w:rsidRDefault="00C96521" w:rsidP="00C96521">
            <w:pPr>
              <w:widowControl/>
              <w:autoSpaceDE/>
              <w:autoSpaceDN/>
              <w:adjustRightInd/>
              <w:rPr>
                <w:rFonts w:ascii="Arial" w:hAnsi="Arial" w:cs="Arial"/>
                <w:b/>
                <w:sz w:val="18"/>
                <w:szCs w:val="18"/>
                <w:lang w:val="en-GB"/>
              </w:rPr>
            </w:pPr>
          </w:p>
        </w:tc>
        <w:tc>
          <w:tcPr>
            <w:tcW w:w="2077" w:type="dxa"/>
          </w:tcPr>
          <w:p w14:paraId="72D81732"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1.2.2</w:t>
            </w:r>
          </w:p>
        </w:tc>
      </w:tr>
      <w:tr w:rsidR="00C96521" w:rsidRPr="006A313E" w14:paraId="0830E018" w14:textId="77777777" w:rsidTr="00C96521">
        <w:tc>
          <w:tcPr>
            <w:tcW w:w="2607" w:type="dxa"/>
            <w:vMerge/>
          </w:tcPr>
          <w:p w14:paraId="5A5B9784" w14:textId="77777777" w:rsidR="00C96521" w:rsidRPr="006A313E" w:rsidRDefault="00C96521" w:rsidP="00C96521">
            <w:pPr>
              <w:widowControl/>
              <w:autoSpaceDE/>
              <w:autoSpaceDN/>
              <w:adjustRightInd/>
              <w:rPr>
                <w:rFonts w:ascii="Arial" w:hAnsi="Arial" w:cs="Arial"/>
                <w:sz w:val="18"/>
                <w:szCs w:val="18"/>
                <w:lang w:val="en-GB"/>
              </w:rPr>
            </w:pPr>
          </w:p>
        </w:tc>
        <w:tc>
          <w:tcPr>
            <w:tcW w:w="3880" w:type="dxa"/>
          </w:tcPr>
          <w:p w14:paraId="06D09333"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1.3.9</w:t>
            </w:r>
          </w:p>
          <w:p w14:paraId="0AABC2C1" w14:textId="1B5CB158" w:rsidR="00C96521" w:rsidRPr="006A313E" w:rsidRDefault="00C96521" w:rsidP="00C96521">
            <w:pPr>
              <w:widowControl/>
              <w:autoSpaceDE/>
              <w:autoSpaceDN/>
              <w:adjustRightInd/>
              <w:rPr>
                <w:rFonts w:ascii="Arial" w:hAnsi="Arial" w:cs="Arial"/>
                <w:sz w:val="18"/>
                <w:szCs w:val="18"/>
                <w:u w:val="single"/>
                <w:lang w:val="en-GB"/>
              </w:rPr>
            </w:pPr>
            <w:r w:rsidRPr="006A313E">
              <w:rPr>
                <w:rFonts w:ascii="Arial" w:hAnsi="Arial" w:cs="Arial"/>
                <w:sz w:val="18"/>
                <w:szCs w:val="18"/>
                <w:lang w:val="en-GB"/>
              </w:rPr>
              <w:t xml:space="preserve">Implement national agri-environment packages to benefit </w:t>
            </w:r>
            <w:r w:rsidR="00FC6C34" w:rsidRPr="006A313E">
              <w:rPr>
                <w:rFonts w:ascii="Arial" w:hAnsi="Arial" w:cs="Arial"/>
                <w:sz w:val="18"/>
                <w:szCs w:val="18"/>
                <w:lang w:val="en-GB"/>
              </w:rPr>
              <w:t>T</w:t>
            </w:r>
            <w:r w:rsidRPr="006A313E">
              <w:rPr>
                <w:rFonts w:ascii="Arial" w:hAnsi="Arial" w:cs="Arial"/>
                <w:sz w:val="18"/>
                <w:szCs w:val="18"/>
                <w:lang w:val="en-GB"/>
              </w:rPr>
              <w:t>urtle</w:t>
            </w:r>
            <w:r w:rsidR="00FC6C34" w:rsidRPr="006A313E">
              <w:rPr>
                <w:rFonts w:ascii="Arial" w:hAnsi="Arial" w:cs="Arial"/>
                <w:sz w:val="18"/>
                <w:szCs w:val="18"/>
                <w:lang w:val="en-GB"/>
              </w:rPr>
              <w:t xml:space="preserve"> D</w:t>
            </w:r>
            <w:r w:rsidRPr="006A313E">
              <w:rPr>
                <w:rFonts w:ascii="Arial" w:hAnsi="Arial" w:cs="Arial"/>
                <w:sz w:val="18"/>
                <w:szCs w:val="18"/>
                <w:lang w:val="en-GB"/>
              </w:rPr>
              <w:t xml:space="preserve">oves (as part of national spatial conservation strategies for turtle-dove) in </w:t>
            </w:r>
            <w:r w:rsidRPr="006A313E">
              <w:rPr>
                <w:rFonts w:ascii="Arial" w:hAnsi="Arial" w:cs="Arial"/>
                <w:sz w:val="18"/>
                <w:szCs w:val="18"/>
                <w:u w:val="single"/>
                <w:lang w:val="en-GB"/>
              </w:rPr>
              <w:t>orchard habitats, including olive groves.</w:t>
            </w:r>
          </w:p>
          <w:p w14:paraId="7A5B1491" w14:textId="77777777" w:rsidR="00C96521" w:rsidRPr="006A313E" w:rsidRDefault="00C96521" w:rsidP="00C96521">
            <w:pPr>
              <w:widowControl/>
              <w:autoSpaceDE/>
              <w:autoSpaceDN/>
              <w:adjustRightInd/>
              <w:rPr>
                <w:rFonts w:ascii="Arial" w:hAnsi="Arial" w:cs="Arial"/>
                <w:sz w:val="18"/>
                <w:szCs w:val="18"/>
                <w:lang w:val="en-GB"/>
              </w:rPr>
            </w:pPr>
          </w:p>
          <w:p w14:paraId="1330F032"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Recommended minimum [</w:t>
            </w:r>
            <w:r w:rsidRPr="006A313E">
              <w:rPr>
                <w:rFonts w:ascii="Arial" w:hAnsi="Arial" w:cs="Arial"/>
                <w:i/>
                <w:sz w:val="18"/>
                <w:szCs w:val="18"/>
                <w:lang w:val="en-GB"/>
              </w:rPr>
              <w:t>x%</w:t>
            </w:r>
            <w:r w:rsidRPr="006A313E">
              <w:rPr>
                <w:rFonts w:ascii="Arial" w:hAnsi="Arial" w:cs="Arial"/>
                <w:sz w:val="18"/>
                <w:szCs w:val="18"/>
                <w:lang w:val="en-GB"/>
              </w:rPr>
              <w:t>] of open or herbaceous understory.</w:t>
            </w:r>
          </w:p>
          <w:p w14:paraId="577B68D5" w14:textId="77777777" w:rsidR="00C96521" w:rsidRPr="006A313E" w:rsidRDefault="00C96521" w:rsidP="00C96521">
            <w:pPr>
              <w:widowControl/>
              <w:autoSpaceDE/>
              <w:autoSpaceDN/>
              <w:adjustRightInd/>
              <w:rPr>
                <w:rFonts w:ascii="Arial" w:hAnsi="Arial" w:cs="Arial"/>
                <w:sz w:val="18"/>
                <w:szCs w:val="18"/>
                <w:lang w:val="en-GB"/>
              </w:rPr>
            </w:pPr>
          </w:p>
          <w:p w14:paraId="347195D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breeding Range States, with particular focus on Range States in the Mediterranean region</w:t>
            </w:r>
          </w:p>
        </w:tc>
        <w:tc>
          <w:tcPr>
            <w:tcW w:w="1941" w:type="dxa"/>
            <w:gridSpan w:val="2"/>
          </w:tcPr>
          <w:p w14:paraId="048E002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Essential</w:t>
            </w:r>
          </w:p>
        </w:tc>
        <w:tc>
          <w:tcPr>
            <w:tcW w:w="1315" w:type="dxa"/>
          </w:tcPr>
          <w:p w14:paraId="56A85745"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1328C504" w14:textId="77777777" w:rsidR="00C96521" w:rsidRPr="006A313E" w:rsidRDefault="00C96521" w:rsidP="00C96521">
            <w:pPr>
              <w:widowControl/>
              <w:autoSpaceDE/>
              <w:autoSpaceDN/>
              <w:adjustRightInd/>
              <w:rPr>
                <w:rFonts w:ascii="Arial" w:hAnsi="Arial" w:cs="Arial"/>
                <w:b/>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xml:space="preserve"> conservation NGOs, FACE, academic institutions, national farming agencies, national wildlife agencies</w:t>
            </w:r>
          </w:p>
        </w:tc>
        <w:tc>
          <w:tcPr>
            <w:tcW w:w="2077" w:type="dxa"/>
          </w:tcPr>
          <w:p w14:paraId="1E1AE0D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1.2.2</w:t>
            </w:r>
          </w:p>
        </w:tc>
      </w:tr>
      <w:tr w:rsidR="00C96521" w:rsidRPr="006A313E" w14:paraId="1F65A07F" w14:textId="77777777" w:rsidTr="00C96521">
        <w:tc>
          <w:tcPr>
            <w:tcW w:w="2607" w:type="dxa"/>
            <w:vMerge/>
          </w:tcPr>
          <w:p w14:paraId="5611A47A" w14:textId="77777777" w:rsidR="00C96521" w:rsidRPr="006A313E" w:rsidRDefault="00C96521" w:rsidP="00C96521">
            <w:pPr>
              <w:widowControl/>
              <w:autoSpaceDE/>
              <w:autoSpaceDN/>
              <w:adjustRightInd/>
              <w:rPr>
                <w:rFonts w:ascii="Arial" w:hAnsi="Arial" w:cs="Arial"/>
                <w:sz w:val="18"/>
                <w:szCs w:val="18"/>
                <w:lang w:val="en-GB"/>
              </w:rPr>
            </w:pPr>
          </w:p>
        </w:tc>
        <w:tc>
          <w:tcPr>
            <w:tcW w:w="3880" w:type="dxa"/>
          </w:tcPr>
          <w:p w14:paraId="7DDFB927"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1.3.10</w:t>
            </w:r>
          </w:p>
          <w:p w14:paraId="0ACF0F66" w14:textId="1F27D80B"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Implement national agri-environment packages to benefit </w:t>
            </w:r>
            <w:r w:rsidR="00FC6C34" w:rsidRPr="006A313E">
              <w:rPr>
                <w:rFonts w:ascii="Arial" w:hAnsi="Arial" w:cs="Arial"/>
                <w:sz w:val="18"/>
                <w:szCs w:val="18"/>
                <w:lang w:val="en-GB"/>
              </w:rPr>
              <w:t>T</w:t>
            </w:r>
            <w:r w:rsidRPr="006A313E">
              <w:rPr>
                <w:rFonts w:ascii="Arial" w:hAnsi="Arial" w:cs="Arial"/>
                <w:sz w:val="18"/>
                <w:szCs w:val="18"/>
                <w:lang w:val="en-GB"/>
              </w:rPr>
              <w:t>urtle</w:t>
            </w:r>
            <w:r w:rsidR="00FC6C34" w:rsidRPr="006A313E">
              <w:rPr>
                <w:rFonts w:ascii="Arial" w:hAnsi="Arial" w:cs="Arial"/>
                <w:sz w:val="18"/>
                <w:szCs w:val="18"/>
                <w:lang w:val="en-GB"/>
              </w:rPr>
              <w:t xml:space="preserve"> D</w:t>
            </w:r>
            <w:r w:rsidRPr="006A313E">
              <w:rPr>
                <w:rFonts w:ascii="Arial" w:hAnsi="Arial" w:cs="Arial"/>
                <w:sz w:val="18"/>
                <w:szCs w:val="18"/>
                <w:lang w:val="en-GB"/>
              </w:rPr>
              <w:t xml:space="preserve">oves (as part of national spatial conservation strategies for turtle-dove) to </w:t>
            </w:r>
            <w:r w:rsidRPr="006A313E">
              <w:rPr>
                <w:rFonts w:ascii="Arial" w:hAnsi="Arial" w:cs="Arial"/>
                <w:sz w:val="18"/>
                <w:szCs w:val="18"/>
                <w:u w:val="single"/>
                <w:lang w:val="en-GB"/>
              </w:rPr>
              <w:t>maintain/restore woody linear habitats</w:t>
            </w:r>
            <w:r w:rsidRPr="006A313E">
              <w:rPr>
                <w:rFonts w:ascii="Arial" w:hAnsi="Arial" w:cs="Arial"/>
                <w:sz w:val="18"/>
                <w:szCs w:val="18"/>
                <w:lang w:val="en-GB"/>
              </w:rPr>
              <w:t>.</w:t>
            </w:r>
          </w:p>
          <w:p w14:paraId="448E63D7" w14:textId="77777777" w:rsidR="00C96521" w:rsidRPr="006A313E" w:rsidRDefault="00C96521" w:rsidP="00C96521">
            <w:pPr>
              <w:widowControl/>
              <w:autoSpaceDE/>
              <w:autoSpaceDN/>
              <w:adjustRightInd/>
              <w:rPr>
                <w:rFonts w:ascii="Arial" w:hAnsi="Arial" w:cs="Arial"/>
                <w:sz w:val="18"/>
                <w:szCs w:val="18"/>
                <w:lang w:val="en-GB"/>
              </w:rPr>
            </w:pPr>
          </w:p>
          <w:p w14:paraId="25991A4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Recommended minimum [</w:t>
            </w:r>
            <w:r w:rsidRPr="006A313E">
              <w:rPr>
                <w:rFonts w:ascii="Arial" w:hAnsi="Arial" w:cs="Arial"/>
                <w:i/>
                <w:sz w:val="18"/>
                <w:szCs w:val="18"/>
                <w:lang w:val="en-GB"/>
              </w:rPr>
              <w:t>x</w:t>
            </w:r>
            <w:r w:rsidRPr="006A313E">
              <w:rPr>
                <w:rFonts w:ascii="Arial" w:hAnsi="Arial" w:cs="Arial"/>
                <w:sz w:val="18"/>
                <w:szCs w:val="18"/>
                <w:lang w:val="en-GB"/>
              </w:rPr>
              <w:t>] hectares of tree lines, arboreal hedgerows or riparian galleries, as appropriate, per 10,000 hectares of agricultural landscape.</w:t>
            </w:r>
          </w:p>
          <w:p w14:paraId="7D90FFB5" w14:textId="77777777" w:rsidR="00C96521" w:rsidRPr="006A313E" w:rsidRDefault="00C96521" w:rsidP="00C96521">
            <w:pPr>
              <w:widowControl/>
              <w:autoSpaceDE/>
              <w:autoSpaceDN/>
              <w:adjustRightInd/>
              <w:rPr>
                <w:rFonts w:ascii="Arial" w:hAnsi="Arial" w:cs="Arial"/>
                <w:sz w:val="18"/>
                <w:szCs w:val="18"/>
                <w:lang w:val="en-GB"/>
              </w:rPr>
            </w:pPr>
          </w:p>
          <w:p w14:paraId="3EAEC9A0"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breeding Range States.</w:t>
            </w:r>
          </w:p>
        </w:tc>
        <w:tc>
          <w:tcPr>
            <w:tcW w:w="1941" w:type="dxa"/>
            <w:gridSpan w:val="2"/>
          </w:tcPr>
          <w:p w14:paraId="5279D72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Essential</w:t>
            </w:r>
          </w:p>
        </w:tc>
        <w:tc>
          <w:tcPr>
            <w:tcW w:w="1315" w:type="dxa"/>
          </w:tcPr>
          <w:p w14:paraId="27405082"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695D546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xml:space="preserve"> conservation NGOs, FACE, academic institutions, national farming agencies, national wildlife agencies</w:t>
            </w:r>
          </w:p>
        </w:tc>
        <w:tc>
          <w:tcPr>
            <w:tcW w:w="2077" w:type="dxa"/>
          </w:tcPr>
          <w:p w14:paraId="3C7CEB8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1.2.2</w:t>
            </w:r>
          </w:p>
        </w:tc>
      </w:tr>
      <w:tr w:rsidR="00C96521" w:rsidRPr="006A313E" w14:paraId="4F098D60" w14:textId="77777777" w:rsidTr="00C96521">
        <w:tc>
          <w:tcPr>
            <w:tcW w:w="2607" w:type="dxa"/>
            <w:vMerge/>
          </w:tcPr>
          <w:p w14:paraId="18CAEFEC" w14:textId="77777777" w:rsidR="00C96521" w:rsidRPr="006A313E" w:rsidRDefault="00C96521" w:rsidP="00C96521">
            <w:pPr>
              <w:widowControl/>
              <w:autoSpaceDE/>
              <w:autoSpaceDN/>
              <w:adjustRightInd/>
              <w:rPr>
                <w:rFonts w:ascii="Arial" w:hAnsi="Arial" w:cs="Arial"/>
                <w:sz w:val="18"/>
                <w:szCs w:val="18"/>
                <w:lang w:val="en-GB"/>
              </w:rPr>
            </w:pPr>
          </w:p>
        </w:tc>
        <w:tc>
          <w:tcPr>
            <w:tcW w:w="3880" w:type="dxa"/>
          </w:tcPr>
          <w:p w14:paraId="3C62E4A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1.3.11</w:t>
            </w:r>
          </w:p>
          <w:p w14:paraId="38EAFC84" w14:textId="597501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Lobby national governments, farming organisations and agricultural agencies to promote the </w:t>
            </w:r>
            <w:r w:rsidR="00FC6C34" w:rsidRPr="006A313E">
              <w:rPr>
                <w:rFonts w:ascii="Arial" w:hAnsi="Arial" w:cs="Arial"/>
                <w:sz w:val="18"/>
                <w:szCs w:val="18"/>
                <w:lang w:val="en-GB"/>
              </w:rPr>
              <w:t>T</w:t>
            </w:r>
            <w:r w:rsidRPr="006A313E">
              <w:rPr>
                <w:rFonts w:ascii="Arial" w:hAnsi="Arial" w:cs="Arial"/>
                <w:sz w:val="18"/>
                <w:szCs w:val="18"/>
                <w:lang w:val="en-GB"/>
              </w:rPr>
              <w:t>urtle</w:t>
            </w:r>
            <w:r w:rsidR="00FC6C34" w:rsidRPr="006A313E">
              <w:rPr>
                <w:rFonts w:ascii="Arial" w:hAnsi="Arial" w:cs="Arial"/>
                <w:sz w:val="18"/>
                <w:szCs w:val="18"/>
                <w:lang w:val="en-GB"/>
              </w:rPr>
              <w:t xml:space="preserve"> D</w:t>
            </w:r>
            <w:r w:rsidRPr="006A313E">
              <w:rPr>
                <w:rFonts w:ascii="Arial" w:hAnsi="Arial" w:cs="Arial"/>
                <w:sz w:val="18"/>
                <w:szCs w:val="18"/>
                <w:lang w:val="en-GB"/>
              </w:rPr>
              <w:t>dove agri-environment packages.</w:t>
            </w:r>
          </w:p>
          <w:p w14:paraId="29E6149E" w14:textId="77777777" w:rsidR="00C96521" w:rsidRPr="006A313E" w:rsidRDefault="00C96521" w:rsidP="00C96521">
            <w:pPr>
              <w:widowControl/>
              <w:autoSpaceDE/>
              <w:autoSpaceDN/>
              <w:adjustRightInd/>
              <w:rPr>
                <w:rFonts w:ascii="Arial" w:hAnsi="Arial" w:cs="Arial"/>
                <w:sz w:val="18"/>
                <w:szCs w:val="18"/>
                <w:lang w:val="en-GB"/>
              </w:rPr>
            </w:pPr>
          </w:p>
          <w:p w14:paraId="7AB1C1D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breeding Range States.</w:t>
            </w:r>
          </w:p>
        </w:tc>
        <w:tc>
          <w:tcPr>
            <w:tcW w:w="1941" w:type="dxa"/>
            <w:gridSpan w:val="2"/>
          </w:tcPr>
          <w:p w14:paraId="10676500"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Essential</w:t>
            </w:r>
          </w:p>
        </w:tc>
        <w:tc>
          <w:tcPr>
            <w:tcW w:w="1315" w:type="dxa"/>
          </w:tcPr>
          <w:p w14:paraId="699A7482"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65749251" w14:textId="77777777" w:rsidR="00C96521" w:rsidRPr="006A313E" w:rsidRDefault="00C96521" w:rsidP="00C96521">
            <w:pPr>
              <w:widowControl/>
              <w:autoSpaceDE/>
              <w:autoSpaceDN/>
              <w:adjustRightInd/>
              <w:rPr>
                <w:rFonts w:ascii="Arial" w:hAnsi="Arial" w:cs="Arial"/>
                <w:b/>
                <w:sz w:val="18"/>
                <w:szCs w:val="18"/>
                <w:lang w:val="en-GB"/>
              </w:rPr>
            </w:pPr>
            <w:r w:rsidRPr="006A313E">
              <w:rPr>
                <w:rFonts w:ascii="Arial" w:hAnsi="Arial" w:cs="Arial"/>
                <w:b/>
                <w:sz w:val="18"/>
                <w:szCs w:val="18"/>
                <w:lang w:val="en-GB"/>
              </w:rPr>
              <w:t>CONSERVATION NGOs, FACE</w:t>
            </w:r>
          </w:p>
        </w:tc>
        <w:tc>
          <w:tcPr>
            <w:tcW w:w="2077" w:type="dxa"/>
          </w:tcPr>
          <w:p w14:paraId="441E0744"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1.3.1-1.3.10</w:t>
            </w:r>
          </w:p>
        </w:tc>
      </w:tr>
      <w:tr w:rsidR="00C96521" w:rsidRPr="006A313E" w14:paraId="569CA343" w14:textId="77777777" w:rsidTr="00C96521">
        <w:tc>
          <w:tcPr>
            <w:tcW w:w="2607" w:type="dxa"/>
            <w:vMerge w:val="restart"/>
          </w:tcPr>
          <w:p w14:paraId="3C817544"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1.4 Turtle-dove breeding season requirements guidelines are available to key stakeholders by [</w:t>
            </w:r>
            <w:r w:rsidRPr="006A313E">
              <w:rPr>
                <w:rFonts w:ascii="Arial" w:hAnsi="Arial" w:cs="Arial"/>
                <w:i/>
                <w:sz w:val="18"/>
                <w:szCs w:val="18"/>
                <w:lang w:val="en-GB"/>
              </w:rPr>
              <w:t>2020</w:t>
            </w:r>
            <w:r w:rsidRPr="006A313E">
              <w:rPr>
                <w:rFonts w:ascii="Arial" w:hAnsi="Arial" w:cs="Arial"/>
                <w:sz w:val="18"/>
                <w:szCs w:val="18"/>
                <w:lang w:val="en-GB"/>
              </w:rPr>
              <w:t>], and incorporated into planning by [</w:t>
            </w:r>
            <w:r w:rsidRPr="006A313E">
              <w:rPr>
                <w:rFonts w:ascii="Arial" w:hAnsi="Arial" w:cs="Arial"/>
                <w:i/>
                <w:sz w:val="18"/>
                <w:szCs w:val="18"/>
                <w:lang w:val="en-GB"/>
              </w:rPr>
              <w:t>2025</w:t>
            </w:r>
            <w:r w:rsidRPr="006A313E">
              <w:rPr>
                <w:rFonts w:ascii="Arial" w:hAnsi="Arial" w:cs="Arial"/>
                <w:sz w:val="18"/>
                <w:szCs w:val="18"/>
                <w:lang w:val="en-GB"/>
              </w:rPr>
              <w:t>].</w:t>
            </w:r>
          </w:p>
        </w:tc>
        <w:tc>
          <w:tcPr>
            <w:tcW w:w="3880" w:type="dxa"/>
          </w:tcPr>
          <w:p w14:paraId="4D7C7FE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1.4.1</w:t>
            </w:r>
          </w:p>
          <w:p w14:paraId="3C449937"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Develop and roll-out guidelines on suitable management of </w:t>
            </w:r>
            <w:r w:rsidRPr="006A313E">
              <w:rPr>
                <w:rFonts w:ascii="Arial" w:hAnsi="Arial" w:cs="Arial"/>
                <w:sz w:val="18"/>
                <w:szCs w:val="18"/>
                <w:u w:val="single"/>
                <w:lang w:val="en-GB"/>
              </w:rPr>
              <w:t>understory vegetation in Mediterranean zones</w:t>
            </w:r>
            <w:r w:rsidRPr="006A313E">
              <w:rPr>
                <w:rFonts w:ascii="Arial" w:hAnsi="Arial" w:cs="Arial"/>
                <w:sz w:val="18"/>
                <w:szCs w:val="18"/>
                <w:lang w:val="en-GB"/>
              </w:rPr>
              <w:t xml:space="preserve"> (Spain, Portugal and Greece) for turtle-doves. </w:t>
            </w:r>
          </w:p>
          <w:p w14:paraId="2EB69EF6" w14:textId="77777777" w:rsidR="00C96521" w:rsidRPr="006A313E" w:rsidRDefault="00C96521" w:rsidP="00C96521">
            <w:pPr>
              <w:widowControl/>
              <w:autoSpaceDE/>
              <w:autoSpaceDN/>
              <w:adjustRightInd/>
              <w:rPr>
                <w:rFonts w:ascii="Arial" w:hAnsi="Arial" w:cs="Arial"/>
                <w:sz w:val="18"/>
                <w:szCs w:val="18"/>
                <w:lang w:val="en-GB"/>
              </w:rPr>
            </w:pPr>
          </w:p>
          <w:p w14:paraId="2EFCFDE3"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(in breeding Range States) forest and woodland managers; water/river managers; community and local authorities; national authorities; Protected Area managers (including Ecological Focus Areas and Natura 2000 sites); military land holding managers; hunting estates; quarry managers.</w:t>
            </w:r>
          </w:p>
        </w:tc>
        <w:tc>
          <w:tcPr>
            <w:tcW w:w="1941" w:type="dxa"/>
            <w:gridSpan w:val="2"/>
          </w:tcPr>
          <w:p w14:paraId="3AA4C1FC"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High</w:t>
            </w:r>
          </w:p>
        </w:tc>
        <w:tc>
          <w:tcPr>
            <w:tcW w:w="1315" w:type="dxa"/>
          </w:tcPr>
          <w:p w14:paraId="5DB2B630"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2C0440E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CONSERVATION NGOs, FACE, ACADEMIC INSTITUTIONS,</w:t>
            </w:r>
            <w:r w:rsidRPr="006A313E">
              <w:rPr>
                <w:rFonts w:ascii="Arial" w:hAnsi="Arial" w:cs="Arial"/>
                <w:sz w:val="18"/>
                <w:szCs w:val="18"/>
                <w:lang w:val="en-GB"/>
              </w:rPr>
              <w:t xml:space="preserve"> national farming agencies, national forestry agencies, national wildlife agencies</w:t>
            </w:r>
          </w:p>
          <w:p w14:paraId="3A39D1BA" w14:textId="77777777" w:rsidR="00C96521" w:rsidRPr="006A313E" w:rsidRDefault="00C96521" w:rsidP="00C96521">
            <w:pPr>
              <w:widowControl/>
              <w:autoSpaceDE/>
              <w:autoSpaceDN/>
              <w:adjustRightInd/>
              <w:rPr>
                <w:rFonts w:ascii="Arial" w:hAnsi="Arial" w:cs="Arial"/>
                <w:sz w:val="18"/>
                <w:szCs w:val="18"/>
                <w:lang w:val="en-GB"/>
              </w:rPr>
            </w:pPr>
          </w:p>
        </w:tc>
        <w:tc>
          <w:tcPr>
            <w:tcW w:w="2077" w:type="dxa"/>
          </w:tcPr>
          <w:p w14:paraId="572FAC2D"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Existing studies on diet, habitat requirements, and ecology.</w:t>
            </w:r>
          </w:p>
          <w:p w14:paraId="5AED31D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1.2.2</w:t>
            </w:r>
          </w:p>
          <w:p w14:paraId="589E93E5"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Actions 1.3.1-1.3.10</w:t>
            </w:r>
          </w:p>
        </w:tc>
      </w:tr>
      <w:tr w:rsidR="00C96521" w:rsidRPr="006A313E" w14:paraId="3AFE1862" w14:textId="77777777" w:rsidTr="00C96521">
        <w:tc>
          <w:tcPr>
            <w:tcW w:w="2607" w:type="dxa"/>
            <w:vMerge/>
          </w:tcPr>
          <w:p w14:paraId="523030D5" w14:textId="77777777" w:rsidR="00C96521" w:rsidRPr="006A313E" w:rsidRDefault="00C96521" w:rsidP="00C96521">
            <w:pPr>
              <w:widowControl/>
              <w:autoSpaceDE/>
              <w:autoSpaceDN/>
              <w:adjustRightInd/>
              <w:rPr>
                <w:rFonts w:ascii="Arial" w:hAnsi="Arial" w:cs="Arial"/>
                <w:sz w:val="18"/>
                <w:szCs w:val="18"/>
                <w:lang w:val="en-GB"/>
              </w:rPr>
            </w:pPr>
          </w:p>
        </w:tc>
        <w:tc>
          <w:tcPr>
            <w:tcW w:w="3880" w:type="dxa"/>
          </w:tcPr>
          <w:p w14:paraId="1DCE4003"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1.4.2</w:t>
            </w:r>
          </w:p>
          <w:p w14:paraId="0C7A6465" w14:textId="5573C54B"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Develop and roll-out breeding season guidelines on suitable management of </w:t>
            </w:r>
            <w:r w:rsidRPr="006A313E">
              <w:rPr>
                <w:rFonts w:ascii="Arial" w:hAnsi="Arial" w:cs="Arial"/>
                <w:sz w:val="18"/>
                <w:szCs w:val="18"/>
                <w:u w:val="single"/>
                <w:lang w:val="en-GB"/>
              </w:rPr>
              <w:t>riparian forests</w:t>
            </w:r>
            <w:r w:rsidRPr="006A313E">
              <w:rPr>
                <w:rFonts w:ascii="Arial" w:hAnsi="Arial" w:cs="Arial"/>
                <w:sz w:val="18"/>
                <w:szCs w:val="18"/>
                <w:lang w:val="en-GB"/>
              </w:rPr>
              <w:t xml:space="preserve"> for </w:t>
            </w:r>
            <w:r w:rsidR="00FC6C34" w:rsidRPr="006A313E">
              <w:rPr>
                <w:rFonts w:ascii="Arial" w:hAnsi="Arial" w:cs="Arial"/>
                <w:sz w:val="18"/>
                <w:szCs w:val="18"/>
                <w:lang w:val="en-GB"/>
              </w:rPr>
              <w:t>T</w:t>
            </w:r>
            <w:r w:rsidRPr="006A313E">
              <w:rPr>
                <w:rFonts w:ascii="Arial" w:hAnsi="Arial" w:cs="Arial"/>
                <w:sz w:val="18"/>
                <w:szCs w:val="18"/>
                <w:lang w:val="en-GB"/>
              </w:rPr>
              <w:t>urtle</w:t>
            </w:r>
            <w:r w:rsidR="00FC6C34" w:rsidRPr="006A313E">
              <w:rPr>
                <w:rFonts w:ascii="Arial" w:hAnsi="Arial" w:cs="Arial"/>
                <w:sz w:val="18"/>
                <w:szCs w:val="18"/>
                <w:lang w:val="en-GB"/>
              </w:rPr>
              <w:t xml:space="preserve"> D</w:t>
            </w:r>
            <w:r w:rsidRPr="006A313E">
              <w:rPr>
                <w:rFonts w:ascii="Arial" w:hAnsi="Arial" w:cs="Arial"/>
                <w:sz w:val="18"/>
                <w:szCs w:val="18"/>
                <w:lang w:val="en-GB"/>
              </w:rPr>
              <w:t xml:space="preserve">oves. </w:t>
            </w:r>
          </w:p>
          <w:p w14:paraId="4E6A3E19" w14:textId="77777777" w:rsidR="00C96521" w:rsidRPr="006A313E" w:rsidRDefault="00C96521" w:rsidP="00C96521">
            <w:pPr>
              <w:widowControl/>
              <w:autoSpaceDE/>
              <w:autoSpaceDN/>
              <w:adjustRightInd/>
              <w:rPr>
                <w:rFonts w:ascii="Arial" w:hAnsi="Arial" w:cs="Arial"/>
                <w:sz w:val="18"/>
                <w:szCs w:val="18"/>
                <w:lang w:val="en-GB"/>
              </w:rPr>
            </w:pPr>
          </w:p>
          <w:p w14:paraId="5CDD22E4"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(in breeding Range States) forest and woodland managers; water/river managers; community and local authorities; national authorities; Protected Area managers (including Ecological Focus Areas and Natura 2000 sites); military land holding managers; hunting estates; quarry managers.</w:t>
            </w:r>
          </w:p>
        </w:tc>
        <w:tc>
          <w:tcPr>
            <w:tcW w:w="1941" w:type="dxa"/>
            <w:gridSpan w:val="2"/>
          </w:tcPr>
          <w:p w14:paraId="2A906E8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High</w:t>
            </w:r>
          </w:p>
        </w:tc>
        <w:tc>
          <w:tcPr>
            <w:tcW w:w="1315" w:type="dxa"/>
          </w:tcPr>
          <w:p w14:paraId="01EDFC6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21F7D0F5"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CONSERVATION NGOs, FACE, ACADEMIC INSTITUTIONS,</w:t>
            </w:r>
            <w:r w:rsidRPr="006A313E">
              <w:rPr>
                <w:rFonts w:ascii="Arial" w:hAnsi="Arial" w:cs="Arial"/>
                <w:sz w:val="18"/>
                <w:szCs w:val="18"/>
                <w:lang w:val="en-GB"/>
              </w:rPr>
              <w:t xml:space="preserve"> national river agencies, national forestry agencies, national wildlife agencies</w:t>
            </w:r>
          </w:p>
          <w:p w14:paraId="3B1817EE" w14:textId="77777777" w:rsidR="00C96521" w:rsidRPr="006A313E" w:rsidRDefault="00C96521" w:rsidP="00C96521">
            <w:pPr>
              <w:widowControl/>
              <w:autoSpaceDE/>
              <w:autoSpaceDN/>
              <w:adjustRightInd/>
              <w:rPr>
                <w:rFonts w:ascii="Arial" w:hAnsi="Arial" w:cs="Arial"/>
                <w:sz w:val="18"/>
                <w:szCs w:val="18"/>
                <w:lang w:val="en-GB"/>
              </w:rPr>
            </w:pPr>
          </w:p>
        </w:tc>
        <w:tc>
          <w:tcPr>
            <w:tcW w:w="2077" w:type="dxa"/>
          </w:tcPr>
          <w:p w14:paraId="265AD68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Existing studies on diet, habitat requirements, and ecology.</w:t>
            </w:r>
          </w:p>
          <w:p w14:paraId="05E50DC8"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1.2.2</w:t>
            </w:r>
          </w:p>
          <w:p w14:paraId="3F4E5420"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Actions 1.3.1-1.3.10</w:t>
            </w:r>
          </w:p>
        </w:tc>
      </w:tr>
      <w:tr w:rsidR="00C96521" w:rsidRPr="006A313E" w14:paraId="3A0E632C" w14:textId="77777777" w:rsidTr="00C96521">
        <w:tc>
          <w:tcPr>
            <w:tcW w:w="2607" w:type="dxa"/>
            <w:vMerge/>
          </w:tcPr>
          <w:p w14:paraId="40FA2964" w14:textId="77777777" w:rsidR="00C96521" w:rsidRPr="006A313E" w:rsidRDefault="00C96521" w:rsidP="00C96521">
            <w:pPr>
              <w:widowControl/>
              <w:autoSpaceDE/>
              <w:autoSpaceDN/>
              <w:adjustRightInd/>
              <w:rPr>
                <w:rFonts w:ascii="Arial" w:hAnsi="Arial" w:cs="Arial"/>
                <w:sz w:val="18"/>
                <w:szCs w:val="18"/>
                <w:lang w:val="en-GB"/>
              </w:rPr>
            </w:pPr>
          </w:p>
        </w:tc>
        <w:tc>
          <w:tcPr>
            <w:tcW w:w="3880" w:type="dxa"/>
          </w:tcPr>
          <w:p w14:paraId="5812A73C"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1.4.3</w:t>
            </w:r>
          </w:p>
          <w:p w14:paraId="5EA694B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Develop and roll-out breeding season guidelines for turtle-doves in </w:t>
            </w:r>
            <w:r w:rsidRPr="006A313E">
              <w:rPr>
                <w:rFonts w:ascii="Arial" w:hAnsi="Arial" w:cs="Arial"/>
                <w:sz w:val="18"/>
                <w:szCs w:val="18"/>
                <w:u w:val="single"/>
                <w:lang w:val="en-GB"/>
              </w:rPr>
              <w:t>Protected Areas</w:t>
            </w:r>
            <w:r w:rsidRPr="006A313E">
              <w:rPr>
                <w:rFonts w:ascii="Arial" w:hAnsi="Arial" w:cs="Arial"/>
                <w:sz w:val="18"/>
                <w:szCs w:val="18"/>
                <w:lang w:val="en-GB"/>
              </w:rPr>
              <w:t xml:space="preserve"> (including Ecological Focus Areas and Natura 2000 sites). </w:t>
            </w:r>
          </w:p>
          <w:p w14:paraId="37A339B8" w14:textId="77777777" w:rsidR="00C96521" w:rsidRPr="006A313E" w:rsidRDefault="00C96521" w:rsidP="00C96521">
            <w:pPr>
              <w:widowControl/>
              <w:autoSpaceDE/>
              <w:autoSpaceDN/>
              <w:adjustRightInd/>
              <w:rPr>
                <w:rFonts w:ascii="Arial" w:hAnsi="Arial" w:cs="Arial"/>
                <w:sz w:val="18"/>
                <w:szCs w:val="18"/>
                <w:lang w:val="en-GB"/>
              </w:rPr>
            </w:pPr>
          </w:p>
          <w:p w14:paraId="0BEA2582"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(in breeding Range States) Protected Area managers (including Ecological Focus Areas and Natura 2000 sites).</w:t>
            </w:r>
          </w:p>
        </w:tc>
        <w:tc>
          <w:tcPr>
            <w:tcW w:w="1941" w:type="dxa"/>
            <w:gridSpan w:val="2"/>
          </w:tcPr>
          <w:p w14:paraId="30ADA1A7"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High</w:t>
            </w:r>
          </w:p>
        </w:tc>
        <w:tc>
          <w:tcPr>
            <w:tcW w:w="1315" w:type="dxa"/>
          </w:tcPr>
          <w:p w14:paraId="101F4AB4"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1B81965D"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CONSERVATION NGOs, FACE, ACADEMIC INSTITUTIONS,</w:t>
            </w:r>
            <w:r w:rsidRPr="006A313E">
              <w:rPr>
                <w:rFonts w:ascii="Arial" w:hAnsi="Arial" w:cs="Arial"/>
                <w:sz w:val="18"/>
                <w:szCs w:val="18"/>
                <w:lang w:val="en-GB"/>
              </w:rPr>
              <w:t xml:space="preserve"> national Protected Area agencies, national wildlife agencies</w:t>
            </w:r>
          </w:p>
          <w:p w14:paraId="55721F63" w14:textId="77777777" w:rsidR="00C96521" w:rsidRPr="006A313E" w:rsidRDefault="00C96521" w:rsidP="00C96521">
            <w:pPr>
              <w:widowControl/>
              <w:autoSpaceDE/>
              <w:autoSpaceDN/>
              <w:adjustRightInd/>
              <w:rPr>
                <w:rFonts w:ascii="Arial" w:hAnsi="Arial" w:cs="Arial"/>
                <w:sz w:val="18"/>
                <w:szCs w:val="18"/>
                <w:lang w:val="en-GB"/>
              </w:rPr>
            </w:pPr>
          </w:p>
        </w:tc>
        <w:tc>
          <w:tcPr>
            <w:tcW w:w="2077" w:type="dxa"/>
          </w:tcPr>
          <w:p w14:paraId="162AFC3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Existing studies on diet, habitat requirements, and ecology.</w:t>
            </w:r>
          </w:p>
          <w:p w14:paraId="0A1BCA37"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1.2.2</w:t>
            </w:r>
          </w:p>
          <w:p w14:paraId="672964D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Actions 1.3.1-1.3.10</w:t>
            </w:r>
          </w:p>
        </w:tc>
      </w:tr>
      <w:tr w:rsidR="00C96521" w:rsidRPr="006A313E" w14:paraId="27803D12" w14:textId="77777777" w:rsidTr="00C96521">
        <w:tc>
          <w:tcPr>
            <w:tcW w:w="2607" w:type="dxa"/>
            <w:vMerge/>
          </w:tcPr>
          <w:p w14:paraId="54FF6B5F" w14:textId="77777777" w:rsidR="00C96521" w:rsidRPr="006A313E" w:rsidRDefault="00C96521" w:rsidP="00C96521">
            <w:pPr>
              <w:widowControl/>
              <w:autoSpaceDE/>
              <w:autoSpaceDN/>
              <w:adjustRightInd/>
              <w:rPr>
                <w:rFonts w:ascii="Arial" w:hAnsi="Arial" w:cs="Arial"/>
                <w:sz w:val="18"/>
                <w:szCs w:val="18"/>
                <w:lang w:val="en-GB"/>
              </w:rPr>
            </w:pPr>
          </w:p>
        </w:tc>
        <w:tc>
          <w:tcPr>
            <w:tcW w:w="3880" w:type="dxa"/>
          </w:tcPr>
          <w:p w14:paraId="65C6F3ED"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1.4.4</w:t>
            </w:r>
          </w:p>
          <w:p w14:paraId="1C88B1D4" w14:textId="52A8CEFF"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Develop and roll-out breeding season guidelines on suitable management for </w:t>
            </w:r>
            <w:r w:rsidR="008807BF" w:rsidRPr="006A313E">
              <w:rPr>
                <w:rFonts w:ascii="Arial" w:hAnsi="Arial" w:cs="Arial"/>
                <w:sz w:val="18"/>
                <w:szCs w:val="18"/>
                <w:lang w:val="en-GB"/>
              </w:rPr>
              <w:t>Turtle Dove</w:t>
            </w:r>
            <w:r w:rsidRPr="006A313E">
              <w:rPr>
                <w:rFonts w:ascii="Arial" w:hAnsi="Arial" w:cs="Arial"/>
                <w:sz w:val="18"/>
                <w:szCs w:val="18"/>
                <w:lang w:val="en-GB"/>
              </w:rPr>
              <w:t xml:space="preserve">s on </w:t>
            </w:r>
            <w:r w:rsidRPr="006A313E">
              <w:rPr>
                <w:rFonts w:ascii="Arial" w:hAnsi="Arial" w:cs="Arial"/>
                <w:sz w:val="18"/>
                <w:szCs w:val="18"/>
                <w:u w:val="single"/>
                <w:lang w:val="en-GB"/>
              </w:rPr>
              <w:t>military land</w:t>
            </w:r>
            <w:r w:rsidRPr="006A313E">
              <w:rPr>
                <w:rFonts w:ascii="Arial" w:hAnsi="Arial" w:cs="Arial"/>
                <w:sz w:val="18"/>
                <w:szCs w:val="18"/>
                <w:lang w:val="en-GB"/>
              </w:rPr>
              <w:t xml:space="preserve">. </w:t>
            </w:r>
          </w:p>
          <w:p w14:paraId="431AC69E" w14:textId="77777777" w:rsidR="00C96521" w:rsidRPr="006A313E" w:rsidRDefault="00C96521" w:rsidP="00C96521">
            <w:pPr>
              <w:widowControl/>
              <w:autoSpaceDE/>
              <w:autoSpaceDN/>
              <w:adjustRightInd/>
              <w:rPr>
                <w:rFonts w:ascii="Arial" w:hAnsi="Arial" w:cs="Arial"/>
                <w:sz w:val="18"/>
                <w:szCs w:val="18"/>
                <w:lang w:val="en-GB"/>
              </w:rPr>
            </w:pPr>
          </w:p>
          <w:p w14:paraId="7542628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(in breeding Range States) military land holding managers.</w:t>
            </w:r>
          </w:p>
        </w:tc>
        <w:tc>
          <w:tcPr>
            <w:tcW w:w="1941" w:type="dxa"/>
            <w:gridSpan w:val="2"/>
          </w:tcPr>
          <w:p w14:paraId="0EC9D72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High</w:t>
            </w:r>
          </w:p>
        </w:tc>
        <w:tc>
          <w:tcPr>
            <w:tcW w:w="1315" w:type="dxa"/>
          </w:tcPr>
          <w:p w14:paraId="70503A1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50D1DB1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CONSERVATION NGOs, FACE, ACADEMIC INSTITUTIONS,</w:t>
            </w:r>
            <w:r w:rsidRPr="006A313E">
              <w:rPr>
                <w:rFonts w:ascii="Arial" w:hAnsi="Arial" w:cs="Arial"/>
                <w:sz w:val="18"/>
                <w:szCs w:val="18"/>
                <w:lang w:val="en-GB"/>
              </w:rPr>
              <w:t xml:space="preserve"> national wildlife agencies, military</w:t>
            </w:r>
          </w:p>
          <w:p w14:paraId="1DCF3E67" w14:textId="77777777" w:rsidR="00C96521" w:rsidRPr="006A313E" w:rsidRDefault="00C96521" w:rsidP="00C96521">
            <w:pPr>
              <w:widowControl/>
              <w:autoSpaceDE/>
              <w:autoSpaceDN/>
              <w:adjustRightInd/>
              <w:rPr>
                <w:rFonts w:ascii="Arial" w:hAnsi="Arial" w:cs="Arial"/>
                <w:sz w:val="18"/>
                <w:szCs w:val="18"/>
                <w:lang w:val="en-GB"/>
              </w:rPr>
            </w:pPr>
          </w:p>
        </w:tc>
        <w:tc>
          <w:tcPr>
            <w:tcW w:w="2077" w:type="dxa"/>
          </w:tcPr>
          <w:p w14:paraId="3299B39C"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Existing studies on diet, habitat requirements, and ecology.</w:t>
            </w:r>
          </w:p>
          <w:p w14:paraId="4D8C385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1.2.2</w:t>
            </w:r>
          </w:p>
          <w:p w14:paraId="175B600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Actions 1.3.1-1.3.10</w:t>
            </w:r>
          </w:p>
        </w:tc>
      </w:tr>
      <w:tr w:rsidR="00C96521" w:rsidRPr="006A313E" w14:paraId="446AAF74" w14:textId="77777777" w:rsidTr="00C96521">
        <w:tc>
          <w:tcPr>
            <w:tcW w:w="2607" w:type="dxa"/>
            <w:vMerge/>
          </w:tcPr>
          <w:p w14:paraId="7DB3A26B" w14:textId="77777777" w:rsidR="00C96521" w:rsidRPr="006A313E" w:rsidRDefault="00C96521" w:rsidP="00C96521">
            <w:pPr>
              <w:widowControl/>
              <w:autoSpaceDE/>
              <w:autoSpaceDN/>
              <w:adjustRightInd/>
              <w:rPr>
                <w:rFonts w:ascii="Arial" w:hAnsi="Arial" w:cs="Arial"/>
                <w:sz w:val="18"/>
                <w:szCs w:val="18"/>
                <w:lang w:val="en-GB"/>
              </w:rPr>
            </w:pPr>
          </w:p>
        </w:tc>
        <w:tc>
          <w:tcPr>
            <w:tcW w:w="3880" w:type="dxa"/>
          </w:tcPr>
          <w:p w14:paraId="6F6ADCA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1.4.5</w:t>
            </w:r>
          </w:p>
          <w:p w14:paraId="719EECC5" w14:textId="2C13DFC1"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Develop and roll-out breeding season guidelines for </w:t>
            </w:r>
            <w:r w:rsidR="00DC6B90" w:rsidRPr="006A313E">
              <w:rPr>
                <w:rFonts w:ascii="Arial" w:hAnsi="Arial" w:cs="Arial"/>
                <w:sz w:val="18"/>
                <w:szCs w:val="18"/>
                <w:lang w:val="en-GB"/>
              </w:rPr>
              <w:t>T</w:t>
            </w:r>
            <w:r w:rsidRPr="006A313E">
              <w:rPr>
                <w:rFonts w:ascii="Arial" w:hAnsi="Arial" w:cs="Arial"/>
                <w:sz w:val="18"/>
                <w:szCs w:val="18"/>
                <w:lang w:val="en-GB"/>
              </w:rPr>
              <w:t>urtle</w:t>
            </w:r>
            <w:r w:rsidR="00DC6B90" w:rsidRPr="006A313E">
              <w:rPr>
                <w:rFonts w:ascii="Arial" w:hAnsi="Arial" w:cs="Arial"/>
                <w:sz w:val="18"/>
                <w:szCs w:val="18"/>
                <w:lang w:val="en-GB"/>
              </w:rPr>
              <w:t xml:space="preserve"> D</w:t>
            </w:r>
            <w:r w:rsidRPr="006A313E">
              <w:rPr>
                <w:rFonts w:ascii="Arial" w:hAnsi="Arial" w:cs="Arial"/>
                <w:sz w:val="18"/>
                <w:szCs w:val="18"/>
                <w:lang w:val="en-GB"/>
              </w:rPr>
              <w:t xml:space="preserve">oves on </w:t>
            </w:r>
            <w:r w:rsidRPr="006A313E">
              <w:rPr>
                <w:rFonts w:ascii="Arial" w:hAnsi="Arial" w:cs="Arial"/>
                <w:sz w:val="18"/>
                <w:szCs w:val="18"/>
                <w:u w:val="single"/>
                <w:lang w:val="en-GB"/>
              </w:rPr>
              <w:t>hunting estates</w:t>
            </w:r>
            <w:r w:rsidRPr="006A313E">
              <w:rPr>
                <w:rFonts w:ascii="Arial" w:hAnsi="Arial" w:cs="Arial"/>
                <w:sz w:val="18"/>
                <w:szCs w:val="18"/>
                <w:lang w:val="en-GB"/>
              </w:rPr>
              <w:t xml:space="preserve">. </w:t>
            </w:r>
          </w:p>
          <w:p w14:paraId="78EE2B23" w14:textId="77777777" w:rsidR="00C96521" w:rsidRPr="006A313E" w:rsidRDefault="00C96521" w:rsidP="00C96521">
            <w:pPr>
              <w:widowControl/>
              <w:autoSpaceDE/>
              <w:autoSpaceDN/>
              <w:adjustRightInd/>
              <w:rPr>
                <w:rFonts w:ascii="Arial" w:hAnsi="Arial" w:cs="Arial"/>
                <w:sz w:val="18"/>
                <w:szCs w:val="18"/>
                <w:lang w:val="en-GB"/>
              </w:rPr>
            </w:pPr>
          </w:p>
          <w:p w14:paraId="63F9DB5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(in breeding Range States) hunting estates.</w:t>
            </w:r>
          </w:p>
        </w:tc>
        <w:tc>
          <w:tcPr>
            <w:tcW w:w="1941" w:type="dxa"/>
            <w:gridSpan w:val="2"/>
          </w:tcPr>
          <w:p w14:paraId="03619685"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High</w:t>
            </w:r>
          </w:p>
        </w:tc>
        <w:tc>
          <w:tcPr>
            <w:tcW w:w="1315" w:type="dxa"/>
          </w:tcPr>
          <w:p w14:paraId="51D818F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6A42EC2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FACE, CONSERVATION NGOs, ACADEMIC INSTITUTIONS,</w:t>
            </w:r>
            <w:r w:rsidRPr="006A313E">
              <w:rPr>
                <w:rFonts w:ascii="Arial" w:hAnsi="Arial" w:cs="Arial"/>
                <w:sz w:val="18"/>
                <w:szCs w:val="18"/>
                <w:lang w:val="en-GB"/>
              </w:rPr>
              <w:t xml:space="preserve"> national hunting agencies, national wildlife agencies</w:t>
            </w:r>
          </w:p>
        </w:tc>
        <w:tc>
          <w:tcPr>
            <w:tcW w:w="2077" w:type="dxa"/>
          </w:tcPr>
          <w:p w14:paraId="246BBE3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Existing studies on diet, habitat requirements, and ecology.</w:t>
            </w:r>
          </w:p>
          <w:p w14:paraId="546CF01D"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1.2.2</w:t>
            </w:r>
          </w:p>
          <w:p w14:paraId="724461D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Actions 1.3.1-1.3.10</w:t>
            </w:r>
          </w:p>
        </w:tc>
      </w:tr>
      <w:tr w:rsidR="00C96521" w:rsidRPr="006A313E" w14:paraId="5676882B" w14:textId="77777777" w:rsidTr="00C96521">
        <w:tc>
          <w:tcPr>
            <w:tcW w:w="2607" w:type="dxa"/>
            <w:vMerge/>
          </w:tcPr>
          <w:p w14:paraId="4BD9C517" w14:textId="77777777" w:rsidR="00C96521" w:rsidRPr="006A313E" w:rsidRDefault="00C96521" w:rsidP="00C96521">
            <w:pPr>
              <w:widowControl/>
              <w:autoSpaceDE/>
              <w:autoSpaceDN/>
              <w:adjustRightInd/>
              <w:rPr>
                <w:rFonts w:ascii="Arial" w:hAnsi="Arial" w:cs="Arial"/>
                <w:sz w:val="18"/>
                <w:szCs w:val="18"/>
                <w:lang w:val="en-GB"/>
              </w:rPr>
            </w:pPr>
          </w:p>
        </w:tc>
        <w:tc>
          <w:tcPr>
            <w:tcW w:w="3880" w:type="dxa"/>
          </w:tcPr>
          <w:p w14:paraId="7C6AD5EC"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1.4.6</w:t>
            </w:r>
          </w:p>
          <w:p w14:paraId="299DC562" w14:textId="6E125163"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Develop and roll-out breeding season guidelines for </w:t>
            </w:r>
            <w:r w:rsidR="00DC6B90" w:rsidRPr="006A313E">
              <w:rPr>
                <w:rFonts w:ascii="Arial" w:hAnsi="Arial" w:cs="Arial"/>
                <w:sz w:val="18"/>
                <w:szCs w:val="18"/>
                <w:lang w:val="en-GB"/>
              </w:rPr>
              <w:t>T</w:t>
            </w:r>
            <w:r w:rsidRPr="006A313E">
              <w:rPr>
                <w:rFonts w:ascii="Arial" w:hAnsi="Arial" w:cs="Arial"/>
                <w:sz w:val="18"/>
                <w:szCs w:val="18"/>
                <w:lang w:val="en-GB"/>
              </w:rPr>
              <w:t>urtle</w:t>
            </w:r>
            <w:r w:rsidR="00DC6B90" w:rsidRPr="006A313E">
              <w:rPr>
                <w:rFonts w:ascii="Arial" w:hAnsi="Arial" w:cs="Arial"/>
                <w:sz w:val="18"/>
                <w:szCs w:val="18"/>
                <w:lang w:val="en-GB"/>
              </w:rPr>
              <w:t xml:space="preserve"> D</w:t>
            </w:r>
            <w:r w:rsidRPr="006A313E">
              <w:rPr>
                <w:rFonts w:ascii="Arial" w:hAnsi="Arial" w:cs="Arial"/>
                <w:sz w:val="18"/>
                <w:szCs w:val="18"/>
                <w:lang w:val="en-GB"/>
              </w:rPr>
              <w:t xml:space="preserve">oves in </w:t>
            </w:r>
            <w:r w:rsidRPr="006A313E">
              <w:rPr>
                <w:rFonts w:ascii="Arial" w:hAnsi="Arial" w:cs="Arial"/>
                <w:sz w:val="18"/>
                <w:szCs w:val="18"/>
                <w:u w:val="single"/>
                <w:lang w:val="en-GB"/>
              </w:rPr>
              <w:t>quarries</w:t>
            </w:r>
            <w:r w:rsidRPr="006A313E">
              <w:rPr>
                <w:rFonts w:ascii="Arial" w:hAnsi="Arial" w:cs="Arial"/>
                <w:sz w:val="18"/>
                <w:szCs w:val="18"/>
                <w:lang w:val="en-GB"/>
              </w:rPr>
              <w:t xml:space="preserve">. </w:t>
            </w:r>
          </w:p>
          <w:p w14:paraId="24AA03D0" w14:textId="77777777" w:rsidR="00C96521" w:rsidRPr="006A313E" w:rsidRDefault="00C96521" w:rsidP="00C96521">
            <w:pPr>
              <w:widowControl/>
              <w:autoSpaceDE/>
              <w:autoSpaceDN/>
              <w:adjustRightInd/>
              <w:rPr>
                <w:rFonts w:ascii="Arial" w:hAnsi="Arial" w:cs="Arial"/>
                <w:sz w:val="18"/>
                <w:szCs w:val="18"/>
                <w:lang w:val="en-GB"/>
              </w:rPr>
            </w:pPr>
          </w:p>
          <w:p w14:paraId="296119C8"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(in breeding Range States) quarry managers.</w:t>
            </w:r>
          </w:p>
        </w:tc>
        <w:tc>
          <w:tcPr>
            <w:tcW w:w="1941" w:type="dxa"/>
            <w:gridSpan w:val="2"/>
          </w:tcPr>
          <w:p w14:paraId="0D26D19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High</w:t>
            </w:r>
          </w:p>
        </w:tc>
        <w:tc>
          <w:tcPr>
            <w:tcW w:w="1315" w:type="dxa"/>
          </w:tcPr>
          <w:p w14:paraId="25446A93"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4CB94A84"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CONSERVATION NGOs, FACE, ACADEMIC INSTITUTIONS,</w:t>
            </w:r>
            <w:r w:rsidRPr="006A313E">
              <w:rPr>
                <w:rFonts w:ascii="Arial" w:hAnsi="Arial" w:cs="Arial"/>
                <w:sz w:val="18"/>
                <w:szCs w:val="18"/>
                <w:lang w:val="en-GB"/>
              </w:rPr>
              <w:t xml:space="preserve"> national wildlife agencies, aggregate/quarry industry</w:t>
            </w:r>
          </w:p>
          <w:p w14:paraId="7B6C7DDF" w14:textId="77777777" w:rsidR="00C96521" w:rsidRPr="006A313E" w:rsidRDefault="00C96521" w:rsidP="00C96521">
            <w:pPr>
              <w:widowControl/>
              <w:autoSpaceDE/>
              <w:autoSpaceDN/>
              <w:adjustRightInd/>
              <w:rPr>
                <w:rFonts w:ascii="Arial" w:hAnsi="Arial" w:cs="Arial"/>
                <w:sz w:val="18"/>
                <w:szCs w:val="18"/>
                <w:lang w:val="en-GB"/>
              </w:rPr>
            </w:pPr>
          </w:p>
        </w:tc>
        <w:tc>
          <w:tcPr>
            <w:tcW w:w="2077" w:type="dxa"/>
          </w:tcPr>
          <w:p w14:paraId="0C25BEA3"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Existing studies on diet, habitat requirements, and ecology.</w:t>
            </w:r>
          </w:p>
          <w:p w14:paraId="1F0F38F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1.2.2</w:t>
            </w:r>
          </w:p>
          <w:p w14:paraId="2609866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Actions 1.3.1-1.3.10</w:t>
            </w:r>
          </w:p>
        </w:tc>
      </w:tr>
      <w:tr w:rsidR="00C96521" w:rsidRPr="006A313E" w14:paraId="3EDADF10" w14:textId="77777777" w:rsidTr="00C96521">
        <w:tc>
          <w:tcPr>
            <w:tcW w:w="2607" w:type="dxa"/>
            <w:vMerge/>
          </w:tcPr>
          <w:p w14:paraId="1C52B689" w14:textId="77777777" w:rsidR="00C96521" w:rsidRPr="006A313E" w:rsidRDefault="00C96521" w:rsidP="00C96521">
            <w:pPr>
              <w:widowControl/>
              <w:autoSpaceDE/>
              <w:autoSpaceDN/>
              <w:adjustRightInd/>
              <w:rPr>
                <w:rFonts w:ascii="Arial" w:hAnsi="Arial" w:cs="Arial"/>
                <w:sz w:val="18"/>
                <w:szCs w:val="18"/>
                <w:lang w:val="en-GB"/>
              </w:rPr>
            </w:pPr>
          </w:p>
        </w:tc>
        <w:tc>
          <w:tcPr>
            <w:tcW w:w="3880" w:type="dxa"/>
          </w:tcPr>
          <w:p w14:paraId="2C31623D"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1.4.7</w:t>
            </w:r>
          </w:p>
          <w:p w14:paraId="7D928809" w14:textId="772FAEA8"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Reassess existing Key Biodiversity Areas (KBAs) for </w:t>
            </w:r>
            <w:r w:rsidR="00DC6B90" w:rsidRPr="006A313E">
              <w:rPr>
                <w:rFonts w:ascii="Arial" w:hAnsi="Arial" w:cs="Arial"/>
                <w:sz w:val="18"/>
                <w:szCs w:val="18"/>
                <w:lang w:val="en-GB"/>
              </w:rPr>
              <w:t>T</w:t>
            </w:r>
            <w:r w:rsidRPr="006A313E">
              <w:rPr>
                <w:rFonts w:ascii="Arial" w:hAnsi="Arial" w:cs="Arial"/>
                <w:sz w:val="18"/>
                <w:szCs w:val="18"/>
                <w:lang w:val="en-GB"/>
              </w:rPr>
              <w:t>urtle</w:t>
            </w:r>
            <w:r w:rsidR="00DC6B90" w:rsidRPr="006A313E">
              <w:rPr>
                <w:rFonts w:ascii="Arial" w:hAnsi="Arial" w:cs="Arial"/>
                <w:sz w:val="18"/>
                <w:szCs w:val="18"/>
                <w:lang w:val="en-GB"/>
              </w:rPr>
              <w:t xml:space="preserve"> D</w:t>
            </w:r>
            <w:r w:rsidRPr="006A313E">
              <w:rPr>
                <w:rFonts w:ascii="Arial" w:hAnsi="Arial" w:cs="Arial"/>
                <w:sz w:val="18"/>
                <w:szCs w:val="18"/>
                <w:lang w:val="en-GB"/>
              </w:rPr>
              <w:t>ove, and ensure that turtle-dove is listed as a management requirement.</w:t>
            </w:r>
          </w:p>
          <w:p w14:paraId="7979C537" w14:textId="77777777" w:rsidR="00C96521" w:rsidRPr="006A313E" w:rsidRDefault="00C96521" w:rsidP="00C96521">
            <w:pPr>
              <w:widowControl/>
              <w:autoSpaceDE/>
              <w:autoSpaceDN/>
              <w:adjustRightInd/>
              <w:rPr>
                <w:rFonts w:ascii="Arial" w:hAnsi="Arial" w:cs="Arial"/>
                <w:sz w:val="18"/>
                <w:szCs w:val="18"/>
                <w:lang w:val="en-GB"/>
              </w:rPr>
            </w:pPr>
          </w:p>
          <w:p w14:paraId="4F8FCA3D"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Range States.</w:t>
            </w:r>
          </w:p>
        </w:tc>
        <w:tc>
          <w:tcPr>
            <w:tcW w:w="1941" w:type="dxa"/>
            <w:gridSpan w:val="2"/>
          </w:tcPr>
          <w:p w14:paraId="5A4E585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High</w:t>
            </w:r>
          </w:p>
        </w:tc>
        <w:tc>
          <w:tcPr>
            <w:tcW w:w="1315" w:type="dxa"/>
          </w:tcPr>
          <w:p w14:paraId="0AA07ED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4A2FBC07"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CONSERVATION NGOs, FACE, ACADEMIC INSTITUTIONS,</w:t>
            </w:r>
            <w:r w:rsidRPr="006A313E">
              <w:rPr>
                <w:rFonts w:ascii="Arial" w:hAnsi="Arial" w:cs="Arial"/>
                <w:sz w:val="18"/>
                <w:szCs w:val="18"/>
                <w:lang w:val="en-GB"/>
              </w:rPr>
              <w:t xml:space="preserve"> national wildlife agencies</w:t>
            </w:r>
          </w:p>
        </w:tc>
        <w:tc>
          <w:tcPr>
            <w:tcW w:w="2077" w:type="dxa"/>
          </w:tcPr>
          <w:p w14:paraId="244D26EC" w14:textId="7A314802"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KBA inventories, national </w:t>
            </w:r>
            <w:r w:rsidR="00DC6B90" w:rsidRPr="006A313E">
              <w:rPr>
                <w:rFonts w:ascii="Arial" w:hAnsi="Arial" w:cs="Arial"/>
                <w:sz w:val="18"/>
                <w:szCs w:val="18"/>
                <w:lang w:val="en-GB"/>
              </w:rPr>
              <w:t xml:space="preserve">Turtle Dove </w:t>
            </w:r>
            <w:r w:rsidRPr="006A313E">
              <w:rPr>
                <w:rFonts w:ascii="Arial" w:hAnsi="Arial" w:cs="Arial"/>
                <w:sz w:val="18"/>
                <w:szCs w:val="18"/>
                <w:lang w:val="en-GB"/>
              </w:rPr>
              <w:t>data</w:t>
            </w:r>
          </w:p>
        </w:tc>
      </w:tr>
      <w:tr w:rsidR="00C96521" w:rsidRPr="006A313E" w14:paraId="6E51C319" w14:textId="77777777" w:rsidTr="00C96521">
        <w:tc>
          <w:tcPr>
            <w:tcW w:w="2607" w:type="dxa"/>
            <w:vMerge/>
          </w:tcPr>
          <w:p w14:paraId="6DAC2C8C" w14:textId="77777777" w:rsidR="00C96521" w:rsidRPr="006A313E" w:rsidRDefault="00C96521" w:rsidP="00C96521">
            <w:pPr>
              <w:widowControl/>
              <w:autoSpaceDE/>
              <w:autoSpaceDN/>
              <w:adjustRightInd/>
              <w:rPr>
                <w:rFonts w:ascii="Arial" w:hAnsi="Arial" w:cs="Arial"/>
                <w:sz w:val="18"/>
                <w:szCs w:val="18"/>
                <w:lang w:val="en-GB"/>
              </w:rPr>
            </w:pPr>
          </w:p>
        </w:tc>
        <w:tc>
          <w:tcPr>
            <w:tcW w:w="3880" w:type="dxa"/>
          </w:tcPr>
          <w:p w14:paraId="0135D87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1.4.8</w:t>
            </w:r>
          </w:p>
          <w:p w14:paraId="09BF2754" w14:textId="1539369F"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Reassess existing Special Protection Areas (SPAs) for </w:t>
            </w:r>
            <w:r w:rsidR="00DC6B90" w:rsidRPr="006A313E">
              <w:rPr>
                <w:rFonts w:ascii="Arial" w:hAnsi="Arial" w:cs="Arial"/>
                <w:sz w:val="18"/>
                <w:szCs w:val="18"/>
                <w:lang w:val="en-GB"/>
              </w:rPr>
              <w:t>Turtle Dove</w:t>
            </w:r>
            <w:r w:rsidRPr="006A313E">
              <w:rPr>
                <w:rFonts w:ascii="Arial" w:hAnsi="Arial" w:cs="Arial"/>
                <w:sz w:val="18"/>
                <w:szCs w:val="18"/>
                <w:lang w:val="en-GB"/>
              </w:rPr>
              <w:t xml:space="preserve">, and ensure that </w:t>
            </w:r>
            <w:r w:rsidR="00DC6B90" w:rsidRPr="006A313E">
              <w:rPr>
                <w:rFonts w:ascii="Arial" w:hAnsi="Arial" w:cs="Arial"/>
                <w:sz w:val="18"/>
                <w:szCs w:val="18"/>
                <w:lang w:val="en-GB"/>
              </w:rPr>
              <w:t xml:space="preserve">Turtle Dove </w:t>
            </w:r>
            <w:r w:rsidRPr="006A313E">
              <w:rPr>
                <w:rFonts w:ascii="Arial" w:hAnsi="Arial" w:cs="Arial"/>
                <w:sz w:val="18"/>
                <w:szCs w:val="18"/>
                <w:lang w:val="en-GB"/>
              </w:rPr>
              <w:t>is listed as a management requirement.</w:t>
            </w:r>
          </w:p>
          <w:p w14:paraId="055474EC" w14:textId="77777777" w:rsidR="00C96521" w:rsidRPr="006A313E" w:rsidRDefault="00C96521" w:rsidP="00C96521">
            <w:pPr>
              <w:widowControl/>
              <w:autoSpaceDE/>
              <w:autoSpaceDN/>
              <w:adjustRightInd/>
              <w:rPr>
                <w:rFonts w:ascii="Arial" w:hAnsi="Arial" w:cs="Arial"/>
                <w:sz w:val="18"/>
                <w:szCs w:val="18"/>
                <w:lang w:val="en-GB"/>
              </w:rPr>
            </w:pPr>
          </w:p>
          <w:p w14:paraId="14163194"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EU Range States.</w:t>
            </w:r>
          </w:p>
        </w:tc>
        <w:tc>
          <w:tcPr>
            <w:tcW w:w="1941" w:type="dxa"/>
            <w:gridSpan w:val="2"/>
          </w:tcPr>
          <w:p w14:paraId="3278C090"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High </w:t>
            </w:r>
          </w:p>
        </w:tc>
        <w:tc>
          <w:tcPr>
            <w:tcW w:w="1315" w:type="dxa"/>
          </w:tcPr>
          <w:p w14:paraId="5D802293"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17BB43D3" w14:textId="77777777" w:rsidR="00C96521" w:rsidRPr="006A313E" w:rsidRDefault="00C96521" w:rsidP="00C96521">
            <w:pPr>
              <w:widowControl/>
              <w:autoSpaceDE/>
              <w:autoSpaceDN/>
              <w:adjustRightInd/>
              <w:rPr>
                <w:rFonts w:ascii="Arial" w:hAnsi="Arial" w:cs="Arial"/>
                <w:b/>
                <w:sz w:val="18"/>
                <w:szCs w:val="18"/>
                <w:lang w:val="en-GB"/>
              </w:rPr>
            </w:pPr>
            <w:r w:rsidRPr="006A313E">
              <w:rPr>
                <w:rFonts w:ascii="Arial" w:hAnsi="Arial" w:cs="Arial"/>
                <w:b/>
                <w:sz w:val="18"/>
                <w:szCs w:val="18"/>
                <w:lang w:val="en-GB"/>
              </w:rPr>
              <w:t>NATIONAL WILDLIFE AGENCIES</w:t>
            </w:r>
            <w:r w:rsidRPr="006A313E">
              <w:rPr>
                <w:rFonts w:ascii="Arial" w:hAnsi="Arial" w:cs="Arial"/>
                <w:sz w:val="18"/>
                <w:szCs w:val="18"/>
                <w:lang w:val="en-GB"/>
              </w:rPr>
              <w:t>, conservation NGOs, academic institutions</w:t>
            </w:r>
          </w:p>
        </w:tc>
        <w:tc>
          <w:tcPr>
            <w:tcW w:w="2077" w:type="dxa"/>
          </w:tcPr>
          <w:p w14:paraId="0625AC5B" w14:textId="7518A4F1"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KBA inventories, national </w:t>
            </w:r>
            <w:r w:rsidR="00DC6B90" w:rsidRPr="006A313E">
              <w:rPr>
                <w:rFonts w:ascii="Arial" w:hAnsi="Arial" w:cs="Arial"/>
                <w:sz w:val="18"/>
                <w:szCs w:val="18"/>
                <w:lang w:val="en-GB"/>
              </w:rPr>
              <w:t xml:space="preserve">Turtle Dove </w:t>
            </w:r>
            <w:r w:rsidRPr="006A313E">
              <w:rPr>
                <w:rFonts w:ascii="Arial" w:hAnsi="Arial" w:cs="Arial"/>
                <w:sz w:val="18"/>
                <w:szCs w:val="18"/>
                <w:lang w:val="en-GB"/>
              </w:rPr>
              <w:t>data</w:t>
            </w:r>
          </w:p>
        </w:tc>
      </w:tr>
      <w:tr w:rsidR="00C96521" w:rsidRPr="006A313E" w14:paraId="6C630C5D" w14:textId="77777777" w:rsidTr="00C96521">
        <w:tc>
          <w:tcPr>
            <w:tcW w:w="2607" w:type="dxa"/>
            <w:vMerge/>
          </w:tcPr>
          <w:p w14:paraId="51B67E15" w14:textId="77777777" w:rsidR="00C96521" w:rsidRPr="006A313E" w:rsidRDefault="00C96521" w:rsidP="00C96521">
            <w:pPr>
              <w:widowControl/>
              <w:autoSpaceDE/>
              <w:autoSpaceDN/>
              <w:adjustRightInd/>
              <w:rPr>
                <w:rFonts w:ascii="Arial" w:hAnsi="Arial" w:cs="Arial"/>
                <w:sz w:val="18"/>
                <w:szCs w:val="18"/>
                <w:lang w:val="en-GB"/>
              </w:rPr>
            </w:pPr>
          </w:p>
        </w:tc>
        <w:tc>
          <w:tcPr>
            <w:tcW w:w="3880" w:type="dxa"/>
          </w:tcPr>
          <w:p w14:paraId="610FC9F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1.4.9</w:t>
            </w:r>
          </w:p>
          <w:p w14:paraId="35C3D682" w14:textId="0971000B"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Promote at the national level the inclusion of </w:t>
            </w:r>
            <w:r w:rsidR="00DC6B90" w:rsidRPr="006A313E">
              <w:rPr>
                <w:rFonts w:ascii="Arial" w:hAnsi="Arial" w:cs="Arial"/>
                <w:sz w:val="18"/>
                <w:szCs w:val="18"/>
                <w:lang w:val="en-GB"/>
              </w:rPr>
              <w:t xml:space="preserve">Turtle Dove </w:t>
            </w:r>
            <w:r w:rsidRPr="006A313E">
              <w:rPr>
                <w:rFonts w:ascii="Arial" w:hAnsi="Arial" w:cs="Arial"/>
                <w:sz w:val="18"/>
                <w:szCs w:val="18"/>
                <w:lang w:val="en-GB"/>
              </w:rPr>
              <w:t>requirements into Site Management Plans.</w:t>
            </w:r>
          </w:p>
          <w:p w14:paraId="35090189" w14:textId="77777777" w:rsidR="00C96521" w:rsidRPr="006A313E" w:rsidRDefault="00C96521" w:rsidP="00C96521">
            <w:pPr>
              <w:widowControl/>
              <w:autoSpaceDE/>
              <w:autoSpaceDN/>
              <w:adjustRightInd/>
              <w:rPr>
                <w:rFonts w:ascii="Arial" w:hAnsi="Arial" w:cs="Arial"/>
                <w:sz w:val="18"/>
                <w:szCs w:val="18"/>
                <w:lang w:val="en-GB"/>
              </w:rPr>
            </w:pPr>
          </w:p>
          <w:p w14:paraId="358CA31C"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(in breeding Range States) all land managers.</w:t>
            </w:r>
          </w:p>
        </w:tc>
        <w:tc>
          <w:tcPr>
            <w:tcW w:w="1941" w:type="dxa"/>
            <w:gridSpan w:val="2"/>
          </w:tcPr>
          <w:p w14:paraId="6F5A47C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High</w:t>
            </w:r>
          </w:p>
        </w:tc>
        <w:tc>
          <w:tcPr>
            <w:tcW w:w="1315" w:type="dxa"/>
          </w:tcPr>
          <w:p w14:paraId="7581937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0703DA63"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CONSERVATION NGOs, FACE, ACADEMIC INSTITUTIONS,</w:t>
            </w:r>
            <w:r w:rsidRPr="006A313E">
              <w:rPr>
                <w:rFonts w:ascii="Arial" w:hAnsi="Arial" w:cs="Arial"/>
                <w:sz w:val="18"/>
                <w:szCs w:val="18"/>
                <w:lang w:val="en-GB"/>
              </w:rPr>
              <w:t xml:space="preserve"> national wildlife agencies, all land managers</w:t>
            </w:r>
          </w:p>
        </w:tc>
        <w:tc>
          <w:tcPr>
            <w:tcW w:w="2077" w:type="dxa"/>
          </w:tcPr>
          <w:p w14:paraId="39DDAF74"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1.2.2</w:t>
            </w:r>
          </w:p>
          <w:p w14:paraId="08A0C46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Actions 1.3.1-1.3.10</w:t>
            </w:r>
          </w:p>
          <w:p w14:paraId="1A9BF718"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Actions 1.4.7-1.4.8</w:t>
            </w:r>
          </w:p>
        </w:tc>
      </w:tr>
      <w:tr w:rsidR="00C96521" w:rsidRPr="006A313E" w14:paraId="34A6445D" w14:textId="77777777" w:rsidTr="00C96521">
        <w:tc>
          <w:tcPr>
            <w:tcW w:w="2607" w:type="dxa"/>
          </w:tcPr>
          <w:p w14:paraId="2EDE31E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1.5 [</w:t>
            </w:r>
            <w:r w:rsidRPr="006A313E">
              <w:rPr>
                <w:rFonts w:ascii="Arial" w:hAnsi="Arial" w:cs="Arial"/>
                <w:i/>
                <w:sz w:val="18"/>
                <w:szCs w:val="18"/>
                <w:lang w:val="en-GB"/>
              </w:rPr>
              <w:t>n</w:t>
            </w:r>
            <w:r w:rsidRPr="006A313E">
              <w:rPr>
                <w:rFonts w:ascii="Arial" w:hAnsi="Arial" w:cs="Arial"/>
                <w:sz w:val="18"/>
                <w:szCs w:val="18"/>
                <w:lang w:val="en-GB"/>
              </w:rPr>
              <w:t>] locally supported small-scale projects are promoted across the breeding range by [</w:t>
            </w:r>
            <w:r w:rsidRPr="006A313E">
              <w:rPr>
                <w:rFonts w:ascii="Arial" w:hAnsi="Arial" w:cs="Arial"/>
                <w:i/>
                <w:sz w:val="18"/>
                <w:szCs w:val="18"/>
                <w:lang w:val="en-GB"/>
              </w:rPr>
              <w:t>2020</w:t>
            </w:r>
            <w:r w:rsidRPr="006A313E">
              <w:rPr>
                <w:rFonts w:ascii="Arial" w:hAnsi="Arial" w:cs="Arial"/>
                <w:sz w:val="18"/>
                <w:szCs w:val="18"/>
                <w:lang w:val="en-GB"/>
              </w:rPr>
              <w:t>].</w:t>
            </w:r>
          </w:p>
        </w:tc>
        <w:tc>
          <w:tcPr>
            <w:tcW w:w="3880" w:type="dxa"/>
          </w:tcPr>
          <w:p w14:paraId="1D2DA7A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1.5.1</w:t>
            </w:r>
          </w:p>
          <w:p w14:paraId="7B85ED6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Best practice and case study examples of small-scale local projects are promoted across the breeding range.</w:t>
            </w:r>
          </w:p>
          <w:p w14:paraId="5BF2C2DE" w14:textId="77777777" w:rsidR="00C96521" w:rsidRPr="006A313E" w:rsidRDefault="00C96521" w:rsidP="00C96521">
            <w:pPr>
              <w:widowControl/>
              <w:autoSpaceDE/>
              <w:autoSpaceDN/>
              <w:adjustRightInd/>
              <w:rPr>
                <w:rFonts w:ascii="Arial" w:hAnsi="Arial" w:cs="Arial"/>
                <w:sz w:val="18"/>
                <w:szCs w:val="18"/>
                <w:lang w:val="en-GB"/>
              </w:rPr>
            </w:pPr>
          </w:p>
          <w:p w14:paraId="0B2AAF1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breeding Range States.</w:t>
            </w:r>
          </w:p>
        </w:tc>
        <w:tc>
          <w:tcPr>
            <w:tcW w:w="1941" w:type="dxa"/>
            <w:gridSpan w:val="2"/>
          </w:tcPr>
          <w:p w14:paraId="7F8CDE0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Low</w:t>
            </w:r>
          </w:p>
        </w:tc>
        <w:tc>
          <w:tcPr>
            <w:tcW w:w="1315" w:type="dxa"/>
          </w:tcPr>
          <w:p w14:paraId="5A2E7AF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Medium</w:t>
            </w:r>
          </w:p>
        </w:tc>
        <w:tc>
          <w:tcPr>
            <w:tcW w:w="2355" w:type="dxa"/>
          </w:tcPr>
          <w:p w14:paraId="44317B5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CONSERVATION NGOs, FACE, ACADEMIC INSTITUTIONS</w:t>
            </w:r>
          </w:p>
        </w:tc>
        <w:tc>
          <w:tcPr>
            <w:tcW w:w="2077" w:type="dxa"/>
          </w:tcPr>
          <w:p w14:paraId="3956090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1.4.1</w:t>
            </w:r>
          </w:p>
        </w:tc>
      </w:tr>
      <w:tr w:rsidR="00C96521" w:rsidRPr="006A313E" w14:paraId="46E9E910" w14:textId="77777777" w:rsidTr="00C96521">
        <w:tc>
          <w:tcPr>
            <w:tcW w:w="2607" w:type="dxa"/>
          </w:tcPr>
          <w:p w14:paraId="69997B4D" w14:textId="2B764A88"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1.6 Environmental Impact Assessments include a </w:t>
            </w:r>
            <w:r w:rsidR="008807BF" w:rsidRPr="006A313E">
              <w:rPr>
                <w:rFonts w:ascii="Arial" w:hAnsi="Arial" w:cs="Arial"/>
                <w:sz w:val="18"/>
                <w:szCs w:val="18"/>
                <w:lang w:val="en-GB"/>
              </w:rPr>
              <w:t>Turtle Dove</w:t>
            </w:r>
            <w:r w:rsidRPr="006A313E">
              <w:rPr>
                <w:rFonts w:ascii="Arial" w:hAnsi="Arial" w:cs="Arial"/>
                <w:sz w:val="18"/>
                <w:szCs w:val="18"/>
                <w:lang w:val="en-GB"/>
              </w:rPr>
              <w:t xml:space="preserve"> evaluation by [</w:t>
            </w:r>
            <w:r w:rsidRPr="006A313E">
              <w:rPr>
                <w:rFonts w:ascii="Arial" w:hAnsi="Arial" w:cs="Arial"/>
                <w:i/>
                <w:sz w:val="18"/>
                <w:szCs w:val="18"/>
                <w:lang w:val="en-GB"/>
              </w:rPr>
              <w:t>2020</w:t>
            </w:r>
            <w:r w:rsidRPr="006A313E">
              <w:rPr>
                <w:rFonts w:ascii="Arial" w:hAnsi="Arial" w:cs="Arial"/>
                <w:sz w:val="18"/>
                <w:szCs w:val="18"/>
                <w:lang w:val="en-GB"/>
              </w:rPr>
              <w:t>].</w:t>
            </w:r>
          </w:p>
        </w:tc>
        <w:tc>
          <w:tcPr>
            <w:tcW w:w="3880" w:type="dxa"/>
          </w:tcPr>
          <w:p w14:paraId="401C18C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1.6.1</w:t>
            </w:r>
          </w:p>
          <w:p w14:paraId="10F07CE4" w14:textId="28166112"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Influence legislation/guideline sat national level for inclusion of impact assessment on turtle-dove conservation in EIA processes (e</w:t>
            </w:r>
            <w:r w:rsidR="008807BF" w:rsidRPr="006A313E">
              <w:rPr>
                <w:rFonts w:ascii="Arial" w:hAnsi="Arial" w:cs="Arial"/>
                <w:sz w:val="18"/>
                <w:szCs w:val="18"/>
                <w:lang w:val="en-GB"/>
              </w:rPr>
              <w:t>.</w:t>
            </w:r>
            <w:r w:rsidRPr="006A313E">
              <w:rPr>
                <w:rFonts w:ascii="Arial" w:hAnsi="Arial" w:cs="Arial"/>
                <w:sz w:val="18"/>
                <w:szCs w:val="18"/>
                <w:lang w:val="en-GB"/>
              </w:rPr>
              <w:t>g</w:t>
            </w:r>
            <w:r w:rsidR="008807BF" w:rsidRPr="006A313E">
              <w:rPr>
                <w:rFonts w:ascii="Arial" w:hAnsi="Arial" w:cs="Arial"/>
                <w:sz w:val="18"/>
                <w:szCs w:val="18"/>
                <w:lang w:val="en-GB"/>
              </w:rPr>
              <w:t>.</w:t>
            </w:r>
            <w:r w:rsidRPr="006A313E">
              <w:rPr>
                <w:rFonts w:ascii="Arial" w:hAnsi="Arial" w:cs="Arial"/>
                <w:sz w:val="18"/>
                <w:szCs w:val="18"/>
                <w:lang w:val="en-GB"/>
              </w:rPr>
              <w:t xml:space="preserve"> for important roosts).</w:t>
            </w:r>
          </w:p>
          <w:p w14:paraId="74F3F970" w14:textId="77777777" w:rsidR="00C96521" w:rsidRPr="006A313E" w:rsidRDefault="00C96521" w:rsidP="00C96521">
            <w:pPr>
              <w:widowControl/>
              <w:autoSpaceDE/>
              <w:autoSpaceDN/>
              <w:adjustRightInd/>
              <w:rPr>
                <w:rFonts w:ascii="Arial" w:hAnsi="Arial" w:cs="Arial"/>
                <w:sz w:val="18"/>
                <w:szCs w:val="18"/>
                <w:lang w:val="en-GB"/>
              </w:rPr>
            </w:pPr>
          </w:p>
          <w:p w14:paraId="4EB529E2"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breeding Range States</w:t>
            </w:r>
          </w:p>
        </w:tc>
        <w:tc>
          <w:tcPr>
            <w:tcW w:w="1941" w:type="dxa"/>
            <w:gridSpan w:val="2"/>
          </w:tcPr>
          <w:p w14:paraId="1714A808"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Medium</w:t>
            </w:r>
          </w:p>
        </w:tc>
        <w:tc>
          <w:tcPr>
            <w:tcW w:w="1315" w:type="dxa"/>
          </w:tcPr>
          <w:p w14:paraId="0E7F081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3A65EAEA" w14:textId="77777777" w:rsidR="00C96521" w:rsidRPr="006A313E" w:rsidRDefault="00C96521" w:rsidP="00C96521">
            <w:pPr>
              <w:widowControl/>
              <w:autoSpaceDE/>
              <w:autoSpaceDN/>
              <w:adjustRightInd/>
              <w:rPr>
                <w:rFonts w:ascii="Arial" w:hAnsi="Arial" w:cs="Arial"/>
                <w:b/>
                <w:sz w:val="18"/>
                <w:szCs w:val="18"/>
                <w:lang w:val="en-GB"/>
              </w:rPr>
            </w:pPr>
            <w:r w:rsidRPr="006A313E">
              <w:rPr>
                <w:rFonts w:ascii="Arial" w:hAnsi="Arial" w:cs="Arial"/>
                <w:b/>
                <w:sz w:val="18"/>
                <w:szCs w:val="18"/>
                <w:lang w:val="en-GB"/>
              </w:rPr>
              <w:t>CONSERVATION NGOs, FACE, ACADEMIC INSTITUTIONS,</w:t>
            </w:r>
            <w:r w:rsidRPr="006A313E">
              <w:rPr>
                <w:rFonts w:ascii="Arial" w:hAnsi="Arial" w:cs="Arial"/>
                <w:sz w:val="18"/>
                <w:szCs w:val="18"/>
                <w:lang w:val="en-GB"/>
              </w:rPr>
              <w:t xml:space="preserve"> national wildlife agencies</w:t>
            </w:r>
          </w:p>
        </w:tc>
        <w:tc>
          <w:tcPr>
            <w:tcW w:w="2077" w:type="dxa"/>
          </w:tcPr>
          <w:p w14:paraId="72F1F250" w14:textId="77777777" w:rsidR="00C96521" w:rsidRPr="006A313E" w:rsidRDefault="00C96521" w:rsidP="00C96521">
            <w:pPr>
              <w:widowControl/>
              <w:autoSpaceDE/>
              <w:autoSpaceDN/>
              <w:adjustRightInd/>
              <w:rPr>
                <w:rFonts w:ascii="Arial" w:hAnsi="Arial" w:cs="Arial"/>
                <w:sz w:val="18"/>
                <w:szCs w:val="18"/>
                <w:lang w:val="en-GB"/>
              </w:rPr>
            </w:pPr>
          </w:p>
        </w:tc>
      </w:tr>
      <w:tr w:rsidR="00C96521" w:rsidRPr="006A313E" w14:paraId="3624D65A" w14:textId="77777777" w:rsidTr="00C96521">
        <w:tc>
          <w:tcPr>
            <w:tcW w:w="2607" w:type="dxa"/>
          </w:tcPr>
          <w:p w14:paraId="169EEA5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1.7 Compliance with EU stubble burning regulations by [</w:t>
            </w:r>
            <w:r w:rsidRPr="006A313E">
              <w:rPr>
                <w:rFonts w:ascii="Arial" w:hAnsi="Arial" w:cs="Arial"/>
                <w:i/>
                <w:sz w:val="18"/>
                <w:szCs w:val="18"/>
                <w:lang w:val="en-GB"/>
              </w:rPr>
              <w:t>2020</w:t>
            </w:r>
            <w:r w:rsidRPr="006A313E">
              <w:rPr>
                <w:rFonts w:ascii="Arial" w:hAnsi="Arial" w:cs="Arial"/>
                <w:sz w:val="18"/>
                <w:szCs w:val="18"/>
                <w:lang w:val="en-GB"/>
              </w:rPr>
              <w:t>].</w:t>
            </w:r>
          </w:p>
        </w:tc>
        <w:tc>
          <w:tcPr>
            <w:tcW w:w="3880" w:type="dxa"/>
          </w:tcPr>
          <w:p w14:paraId="69912282"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1.7.1</w:t>
            </w:r>
          </w:p>
          <w:p w14:paraId="7FE5CEA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Governments enforce existing legislation on the burning of stubbles.</w:t>
            </w:r>
          </w:p>
          <w:p w14:paraId="2E36FA46" w14:textId="77777777" w:rsidR="00C96521" w:rsidRPr="006A313E" w:rsidRDefault="00C96521" w:rsidP="00C96521">
            <w:pPr>
              <w:widowControl/>
              <w:autoSpaceDE/>
              <w:autoSpaceDN/>
              <w:adjustRightInd/>
              <w:rPr>
                <w:rFonts w:ascii="Arial" w:hAnsi="Arial" w:cs="Arial"/>
                <w:sz w:val="18"/>
                <w:szCs w:val="18"/>
                <w:lang w:val="en-GB"/>
              </w:rPr>
            </w:pPr>
          </w:p>
          <w:p w14:paraId="0E2C1C1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EU Member States.</w:t>
            </w:r>
          </w:p>
        </w:tc>
        <w:tc>
          <w:tcPr>
            <w:tcW w:w="1941" w:type="dxa"/>
            <w:gridSpan w:val="2"/>
          </w:tcPr>
          <w:p w14:paraId="4D3E2480"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Medium</w:t>
            </w:r>
          </w:p>
        </w:tc>
        <w:tc>
          <w:tcPr>
            <w:tcW w:w="1315" w:type="dxa"/>
          </w:tcPr>
          <w:p w14:paraId="640B184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355" w:type="dxa"/>
          </w:tcPr>
          <w:p w14:paraId="18AFCE43"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xml:space="preserve"> national enforcement agencies</w:t>
            </w:r>
          </w:p>
        </w:tc>
        <w:tc>
          <w:tcPr>
            <w:tcW w:w="2077" w:type="dxa"/>
          </w:tcPr>
          <w:p w14:paraId="2B88B217"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EU cross-compliance.</w:t>
            </w:r>
          </w:p>
        </w:tc>
      </w:tr>
      <w:tr w:rsidR="00C96521" w:rsidRPr="006A313E" w14:paraId="30A2BEBD" w14:textId="77777777" w:rsidTr="00C96521">
        <w:tc>
          <w:tcPr>
            <w:tcW w:w="2607" w:type="dxa"/>
          </w:tcPr>
          <w:p w14:paraId="3E4004CD" w14:textId="2913F676"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1.8 Chemical-free zones introduced in important </w:t>
            </w:r>
            <w:r w:rsidR="008807BF" w:rsidRPr="006A313E">
              <w:rPr>
                <w:rFonts w:ascii="Arial" w:hAnsi="Arial" w:cs="Arial"/>
                <w:sz w:val="18"/>
                <w:szCs w:val="18"/>
                <w:lang w:val="en-GB"/>
              </w:rPr>
              <w:t>Turtle Dove</w:t>
            </w:r>
            <w:r w:rsidRPr="006A313E">
              <w:rPr>
                <w:rFonts w:ascii="Arial" w:hAnsi="Arial" w:cs="Arial"/>
                <w:sz w:val="18"/>
                <w:szCs w:val="18"/>
                <w:lang w:val="en-GB"/>
              </w:rPr>
              <w:t xml:space="preserve"> areas by [</w:t>
            </w:r>
            <w:r w:rsidRPr="006A313E">
              <w:rPr>
                <w:rFonts w:ascii="Arial" w:hAnsi="Arial" w:cs="Arial"/>
                <w:i/>
                <w:sz w:val="18"/>
                <w:szCs w:val="18"/>
                <w:lang w:val="en-GB"/>
              </w:rPr>
              <w:t>2025</w:t>
            </w:r>
            <w:r w:rsidRPr="006A313E">
              <w:rPr>
                <w:rFonts w:ascii="Arial" w:hAnsi="Arial" w:cs="Arial"/>
                <w:sz w:val="18"/>
                <w:szCs w:val="18"/>
                <w:lang w:val="en-GB"/>
              </w:rPr>
              <w:t>].</w:t>
            </w:r>
          </w:p>
        </w:tc>
        <w:tc>
          <w:tcPr>
            <w:tcW w:w="3880" w:type="dxa"/>
          </w:tcPr>
          <w:p w14:paraId="3904F89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1.8.1</w:t>
            </w:r>
          </w:p>
          <w:p w14:paraId="0EC1F468"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Chemical-free zones introduced in key turtle-dove breeding areas.</w:t>
            </w:r>
          </w:p>
          <w:p w14:paraId="41C9DFB2" w14:textId="77777777" w:rsidR="00C96521" w:rsidRPr="006A313E" w:rsidRDefault="00C96521" w:rsidP="00C96521">
            <w:pPr>
              <w:widowControl/>
              <w:autoSpaceDE/>
              <w:autoSpaceDN/>
              <w:adjustRightInd/>
              <w:rPr>
                <w:rFonts w:ascii="Arial" w:hAnsi="Arial" w:cs="Arial"/>
                <w:sz w:val="18"/>
                <w:szCs w:val="18"/>
                <w:lang w:val="en-GB"/>
              </w:rPr>
            </w:pPr>
          </w:p>
          <w:p w14:paraId="7897860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Range States.</w:t>
            </w:r>
          </w:p>
        </w:tc>
        <w:tc>
          <w:tcPr>
            <w:tcW w:w="1941" w:type="dxa"/>
            <w:gridSpan w:val="2"/>
          </w:tcPr>
          <w:p w14:paraId="67FEB17B" w14:textId="77777777" w:rsidR="00C96521" w:rsidRPr="006A313E" w:rsidDel="00AD2FBC"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Medium</w:t>
            </w:r>
          </w:p>
        </w:tc>
        <w:tc>
          <w:tcPr>
            <w:tcW w:w="1315" w:type="dxa"/>
          </w:tcPr>
          <w:p w14:paraId="30EBB931" w14:textId="77777777" w:rsidR="00C96521" w:rsidRPr="006A313E" w:rsidDel="00AD2FBC"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Medium</w:t>
            </w:r>
          </w:p>
        </w:tc>
        <w:tc>
          <w:tcPr>
            <w:tcW w:w="2355" w:type="dxa"/>
          </w:tcPr>
          <w:p w14:paraId="5E2C49CA" w14:textId="77777777" w:rsidR="00C96521" w:rsidRPr="006A313E" w:rsidRDefault="00C96521" w:rsidP="00C96521">
            <w:pPr>
              <w:widowControl/>
              <w:autoSpaceDE/>
              <w:autoSpaceDN/>
              <w:adjustRightInd/>
              <w:rPr>
                <w:rFonts w:ascii="Arial" w:hAnsi="Arial" w:cs="Arial"/>
                <w:b/>
                <w:sz w:val="18"/>
                <w:szCs w:val="18"/>
                <w:lang w:val="en-GB"/>
              </w:rPr>
            </w:pPr>
            <w:r w:rsidRPr="006A313E">
              <w:rPr>
                <w:rFonts w:ascii="Arial" w:hAnsi="Arial" w:cs="Arial"/>
                <w:b/>
                <w:sz w:val="18"/>
                <w:szCs w:val="18"/>
                <w:lang w:val="en-GB"/>
              </w:rPr>
              <w:t>NATIONAL GOVERNMENTS</w:t>
            </w:r>
          </w:p>
        </w:tc>
        <w:tc>
          <w:tcPr>
            <w:tcW w:w="2077" w:type="dxa"/>
          </w:tcPr>
          <w:p w14:paraId="6417C50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Existing scientific literature on risk posed by pesticides</w:t>
            </w:r>
          </w:p>
          <w:p w14:paraId="7EEEF7B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7.11.1</w:t>
            </w:r>
          </w:p>
        </w:tc>
      </w:tr>
      <w:tr w:rsidR="00C96521" w:rsidRPr="006A313E" w14:paraId="4DFBFCEE" w14:textId="77777777" w:rsidTr="00C96521">
        <w:tc>
          <w:tcPr>
            <w:tcW w:w="2607" w:type="dxa"/>
          </w:tcPr>
          <w:p w14:paraId="6E7C319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1.9 Land-sharing promoted in important agricultural landscapes for turtle-dove by [</w:t>
            </w:r>
            <w:r w:rsidRPr="006A313E">
              <w:rPr>
                <w:rFonts w:ascii="Arial" w:hAnsi="Arial" w:cs="Arial"/>
                <w:i/>
                <w:sz w:val="18"/>
                <w:szCs w:val="18"/>
                <w:lang w:val="en-GB"/>
              </w:rPr>
              <w:t>2025</w:t>
            </w:r>
            <w:r w:rsidRPr="006A313E">
              <w:rPr>
                <w:rFonts w:ascii="Arial" w:hAnsi="Arial" w:cs="Arial"/>
                <w:sz w:val="18"/>
                <w:szCs w:val="18"/>
                <w:lang w:val="en-GB"/>
              </w:rPr>
              <w:t>]</w:t>
            </w:r>
          </w:p>
        </w:tc>
        <w:tc>
          <w:tcPr>
            <w:tcW w:w="3880" w:type="dxa"/>
          </w:tcPr>
          <w:p w14:paraId="2D87ABB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1.9.1</w:t>
            </w:r>
          </w:p>
          <w:p w14:paraId="48D3BCD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Land-sharing practices introduced to ensure nesting and feeding habitats in agricultural areas.</w:t>
            </w:r>
          </w:p>
          <w:p w14:paraId="7E003568" w14:textId="77777777" w:rsidR="00C96521" w:rsidRPr="006A313E" w:rsidRDefault="00C96521" w:rsidP="00C96521">
            <w:pPr>
              <w:widowControl/>
              <w:autoSpaceDE/>
              <w:autoSpaceDN/>
              <w:adjustRightInd/>
              <w:rPr>
                <w:rFonts w:ascii="Arial" w:hAnsi="Arial" w:cs="Arial"/>
                <w:sz w:val="18"/>
                <w:szCs w:val="18"/>
                <w:lang w:val="en-GB"/>
              </w:rPr>
            </w:pPr>
          </w:p>
          <w:p w14:paraId="690DC48D"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Range States.</w:t>
            </w:r>
          </w:p>
        </w:tc>
        <w:tc>
          <w:tcPr>
            <w:tcW w:w="1941" w:type="dxa"/>
            <w:gridSpan w:val="2"/>
          </w:tcPr>
          <w:p w14:paraId="503A331B" w14:textId="77777777" w:rsidR="00C96521" w:rsidRPr="006A313E" w:rsidDel="0099772C"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Medium</w:t>
            </w:r>
          </w:p>
        </w:tc>
        <w:tc>
          <w:tcPr>
            <w:tcW w:w="1315" w:type="dxa"/>
          </w:tcPr>
          <w:p w14:paraId="63C78380"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Long</w:t>
            </w:r>
          </w:p>
        </w:tc>
        <w:tc>
          <w:tcPr>
            <w:tcW w:w="2355" w:type="dxa"/>
          </w:tcPr>
          <w:p w14:paraId="780CA687" w14:textId="77777777" w:rsidR="00C96521" w:rsidRPr="006A313E" w:rsidRDefault="00C96521" w:rsidP="00C96521">
            <w:pPr>
              <w:widowControl/>
              <w:autoSpaceDE/>
              <w:autoSpaceDN/>
              <w:adjustRightInd/>
              <w:rPr>
                <w:rFonts w:ascii="Arial" w:hAnsi="Arial" w:cs="Arial"/>
                <w:b/>
                <w:sz w:val="18"/>
                <w:szCs w:val="18"/>
                <w:lang w:val="en-GB"/>
              </w:rPr>
            </w:pPr>
            <w:r w:rsidRPr="006A313E">
              <w:rPr>
                <w:rFonts w:ascii="Arial" w:hAnsi="Arial" w:cs="Arial"/>
                <w:b/>
                <w:sz w:val="18"/>
                <w:szCs w:val="18"/>
                <w:lang w:val="en-GB"/>
              </w:rPr>
              <w:t>NATIONAL GOVERNMENTS</w:t>
            </w:r>
          </w:p>
        </w:tc>
        <w:tc>
          <w:tcPr>
            <w:tcW w:w="2077" w:type="dxa"/>
          </w:tcPr>
          <w:p w14:paraId="185D91DD"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Existing scientific literature on land-sharing</w:t>
            </w:r>
          </w:p>
          <w:p w14:paraId="58B198D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7.4.1</w:t>
            </w:r>
          </w:p>
          <w:p w14:paraId="30412382" w14:textId="77777777" w:rsidR="00C96521" w:rsidRPr="006A313E" w:rsidRDefault="00C96521" w:rsidP="00C96521">
            <w:pPr>
              <w:widowControl/>
              <w:autoSpaceDE/>
              <w:autoSpaceDN/>
              <w:adjustRightInd/>
              <w:rPr>
                <w:rFonts w:ascii="Arial" w:hAnsi="Arial" w:cs="Arial"/>
                <w:sz w:val="18"/>
                <w:szCs w:val="18"/>
                <w:lang w:val="en-GB"/>
              </w:rPr>
            </w:pPr>
          </w:p>
        </w:tc>
      </w:tr>
    </w:tbl>
    <w:p w14:paraId="572313F8" w14:textId="77777777" w:rsidR="00C96521" w:rsidRPr="005D4262" w:rsidRDefault="00C96521" w:rsidP="00C96521">
      <w:pPr>
        <w:widowControl/>
        <w:autoSpaceDE/>
        <w:autoSpaceDN/>
        <w:adjustRightInd/>
        <w:spacing w:line="276" w:lineRule="auto"/>
        <w:rPr>
          <w:rFonts w:eastAsia="MS Mincho" w:cs="Arial"/>
          <w:szCs w:val="18"/>
          <w:lang w:val="en-GB" w:eastAsia="ja-JP"/>
        </w:rPr>
      </w:pPr>
    </w:p>
    <w:p w14:paraId="77C2054E" w14:textId="77777777" w:rsidR="00C96521" w:rsidRPr="005D4262" w:rsidRDefault="00C96521" w:rsidP="00C96521">
      <w:pPr>
        <w:widowControl/>
        <w:autoSpaceDE/>
        <w:autoSpaceDN/>
        <w:adjustRightInd/>
        <w:spacing w:line="276" w:lineRule="auto"/>
        <w:rPr>
          <w:rFonts w:eastAsia="MS Mincho" w:cs="Arial"/>
          <w:szCs w:val="18"/>
          <w:lang w:val="en-GB" w:eastAsia="ja-JP"/>
        </w:rPr>
      </w:pPr>
    </w:p>
    <w:tbl>
      <w:tblPr>
        <w:tblStyle w:val="TableGrid"/>
        <w:tblW w:w="0" w:type="auto"/>
        <w:tblLook w:val="04A0" w:firstRow="1" w:lastRow="0" w:firstColumn="1" w:lastColumn="0" w:noHBand="0" w:noVBand="1"/>
      </w:tblPr>
      <w:tblGrid>
        <w:gridCol w:w="2278"/>
        <w:gridCol w:w="4411"/>
        <w:gridCol w:w="1262"/>
        <w:gridCol w:w="1229"/>
        <w:gridCol w:w="2620"/>
        <w:gridCol w:w="2375"/>
      </w:tblGrid>
      <w:tr w:rsidR="00C96521" w:rsidRPr="006A313E" w14:paraId="0C729163" w14:textId="77777777" w:rsidTr="006A313E">
        <w:trPr>
          <w:tblHeader/>
        </w:trPr>
        <w:tc>
          <w:tcPr>
            <w:tcW w:w="14175" w:type="dxa"/>
            <w:gridSpan w:val="6"/>
            <w:shd w:val="clear" w:color="auto" w:fill="BFBFBF" w:themeFill="background1" w:themeFillShade="BF"/>
          </w:tcPr>
          <w:p w14:paraId="695276F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Objective 2: Eradicate illegal killing in the European Union and reduce elsewhere.</w:t>
            </w:r>
          </w:p>
          <w:p w14:paraId="1BAB0F3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Threat - Illegal killing (Critical)</w:t>
            </w:r>
          </w:p>
        </w:tc>
      </w:tr>
      <w:tr w:rsidR="00C96521" w:rsidRPr="006A313E" w14:paraId="7B69B19E" w14:textId="77777777" w:rsidTr="00C96521">
        <w:trPr>
          <w:tblHeader/>
        </w:trPr>
        <w:tc>
          <w:tcPr>
            <w:tcW w:w="2278" w:type="dxa"/>
            <w:shd w:val="clear" w:color="auto" w:fill="D9D9D9"/>
          </w:tcPr>
          <w:p w14:paraId="22403A7D"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Result</w:t>
            </w:r>
          </w:p>
        </w:tc>
        <w:tc>
          <w:tcPr>
            <w:tcW w:w="4411" w:type="dxa"/>
            <w:shd w:val="clear" w:color="auto" w:fill="D9D9D9"/>
          </w:tcPr>
          <w:p w14:paraId="151097B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and scope</w:t>
            </w:r>
          </w:p>
        </w:tc>
        <w:tc>
          <w:tcPr>
            <w:tcW w:w="1262" w:type="dxa"/>
            <w:shd w:val="clear" w:color="auto" w:fill="D9D9D9"/>
          </w:tcPr>
          <w:p w14:paraId="389A0EB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Priority</w:t>
            </w:r>
          </w:p>
        </w:tc>
        <w:tc>
          <w:tcPr>
            <w:tcW w:w="1229" w:type="dxa"/>
            <w:shd w:val="clear" w:color="auto" w:fill="D9D9D9"/>
          </w:tcPr>
          <w:p w14:paraId="09327EC3"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Timescale</w:t>
            </w:r>
          </w:p>
        </w:tc>
        <w:tc>
          <w:tcPr>
            <w:tcW w:w="2620" w:type="dxa"/>
            <w:shd w:val="clear" w:color="auto" w:fill="D9D9D9"/>
          </w:tcPr>
          <w:p w14:paraId="7135A5E0" w14:textId="3109E412"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Organi</w:t>
            </w:r>
            <w:r w:rsidR="008807BF" w:rsidRPr="006A313E">
              <w:rPr>
                <w:rFonts w:ascii="Arial" w:hAnsi="Arial" w:cs="Arial"/>
                <w:sz w:val="18"/>
                <w:szCs w:val="18"/>
                <w:lang w:val="en-GB"/>
              </w:rPr>
              <w:t>z</w:t>
            </w:r>
            <w:r w:rsidRPr="006A313E">
              <w:rPr>
                <w:rFonts w:ascii="Arial" w:hAnsi="Arial" w:cs="Arial"/>
                <w:sz w:val="18"/>
                <w:szCs w:val="18"/>
                <w:lang w:val="en-GB"/>
              </w:rPr>
              <w:t>ations responsible</w:t>
            </w:r>
          </w:p>
        </w:tc>
        <w:tc>
          <w:tcPr>
            <w:tcW w:w="2375" w:type="dxa"/>
            <w:shd w:val="clear" w:color="auto" w:fill="D9D9D9"/>
          </w:tcPr>
          <w:p w14:paraId="3229749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Inputs required</w:t>
            </w:r>
          </w:p>
        </w:tc>
      </w:tr>
      <w:tr w:rsidR="00C96521" w:rsidRPr="006A313E" w14:paraId="01CA5CFA" w14:textId="77777777" w:rsidTr="00C96521">
        <w:tc>
          <w:tcPr>
            <w:tcW w:w="2278" w:type="dxa"/>
            <w:vMerge w:val="restart"/>
          </w:tcPr>
          <w:p w14:paraId="20CFFD8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2.1 Evaluation of the scale of illegal killing by [</w:t>
            </w:r>
            <w:r w:rsidRPr="006A313E">
              <w:rPr>
                <w:rFonts w:ascii="Arial" w:hAnsi="Arial" w:cs="Arial"/>
                <w:i/>
                <w:sz w:val="18"/>
                <w:szCs w:val="18"/>
                <w:lang w:val="en-GB"/>
              </w:rPr>
              <w:t>mid-2018</w:t>
            </w:r>
            <w:r w:rsidRPr="006A313E">
              <w:rPr>
                <w:rFonts w:ascii="Arial" w:hAnsi="Arial" w:cs="Arial"/>
                <w:sz w:val="18"/>
                <w:szCs w:val="18"/>
                <w:lang w:val="en-GB"/>
              </w:rPr>
              <w:t>].</w:t>
            </w:r>
          </w:p>
        </w:tc>
        <w:tc>
          <w:tcPr>
            <w:tcW w:w="4411" w:type="dxa"/>
          </w:tcPr>
          <w:p w14:paraId="663DD2B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2.1.1</w:t>
            </w:r>
          </w:p>
          <w:p w14:paraId="6CC9E343"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Assess and report on the scale of illegal killing across the range of the turtle-dove. </w:t>
            </w:r>
          </w:p>
          <w:p w14:paraId="18207C4D" w14:textId="77777777" w:rsidR="00C96521" w:rsidRPr="006A313E" w:rsidRDefault="00C96521" w:rsidP="00C96521">
            <w:pPr>
              <w:widowControl/>
              <w:autoSpaceDE/>
              <w:autoSpaceDN/>
              <w:adjustRightInd/>
              <w:rPr>
                <w:rFonts w:ascii="Arial" w:hAnsi="Arial" w:cs="Arial"/>
                <w:sz w:val="18"/>
                <w:szCs w:val="18"/>
                <w:lang w:val="en-GB"/>
              </w:rPr>
            </w:pPr>
          </w:p>
          <w:p w14:paraId="314D4C4C" w14:textId="77777777" w:rsidR="00C96521" w:rsidRPr="006A313E" w:rsidRDefault="00C96521" w:rsidP="00C96521">
            <w:pPr>
              <w:widowControl/>
              <w:autoSpaceDE/>
              <w:autoSpaceDN/>
              <w:adjustRightInd/>
              <w:rPr>
                <w:rFonts w:ascii="Arial" w:hAnsi="Arial" w:cs="Arial"/>
                <w:sz w:val="18"/>
                <w:szCs w:val="18"/>
                <w:lang w:val="en-GB"/>
              </w:rPr>
            </w:pPr>
          </w:p>
          <w:p w14:paraId="7D74CD88" w14:textId="77777777" w:rsidR="00C96521" w:rsidRPr="006A313E" w:rsidRDefault="00C96521" w:rsidP="00C96521">
            <w:pPr>
              <w:widowControl/>
              <w:autoSpaceDE/>
              <w:autoSpaceDN/>
              <w:adjustRightInd/>
              <w:rPr>
                <w:rFonts w:ascii="Arial" w:hAnsi="Arial" w:cs="Arial"/>
                <w:sz w:val="18"/>
                <w:szCs w:val="18"/>
                <w:lang w:val="en-GB"/>
              </w:rPr>
            </w:pPr>
          </w:p>
          <w:p w14:paraId="04FDD704" w14:textId="77777777" w:rsidR="00C96521" w:rsidRPr="006A313E" w:rsidRDefault="00C96521" w:rsidP="00C96521">
            <w:pPr>
              <w:widowControl/>
              <w:autoSpaceDE/>
              <w:autoSpaceDN/>
              <w:adjustRightInd/>
              <w:rPr>
                <w:rFonts w:ascii="Arial" w:hAnsi="Arial" w:cs="Arial"/>
                <w:sz w:val="18"/>
                <w:szCs w:val="18"/>
                <w:lang w:val="en-GB"/>
              </w:rPr>
            </w:pPr>
          </w:p>
          <w:p w14:paraId="192E6AA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Applicable to: all Range States, with focus on areas of current poor information, such as the Middle East and Africa, and some Mediterranean islands. </w:t>
            </w:r>
          </w:p>
        </w:tc>
        <w:tc>
          <w:tcPr>
            <w:tcW w:w="1262" w:type="dxa"/>
          </w:tcPr>
          <w:p w14:paraId="24BD627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Essential</w:t>
            </w:r>
          </w:p>
        </w:tc>
        <w:tc>
          <w:tcPr>
            <w:tcW w:w="1229" w:type="dxa"/>
          </w:tcPr>
          <w:p w14:paraId="1077C0C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Immediate</w:t>
            </w:r>
          </w:p>
        </w:tc>
        <w:tc>
          <w:tcPr>
            <w:tcW w:w="2620" w:type="dxa"/>
          </w:tcPr>
          <w:p w14:paraId="5D2C7A8C"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conservation NGOs, FACE, national hunting federations, academic institutions</w:t>
            </w:r>
          </w:p>
        </w:tc>
        <w:tc>
          <w:tcPr>
            <w:tcW w:w="2375" w:type="dxa"/>
          </w:tcPr>
          <w:p w14:paraId="0E66334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National reports to the Berne Convention, EU Road-Map, CMS MIKT, IMPEL, National Action Plans, tagging projects and research, reports and data from NGOs and national authorities. Mediterranean region data (Brochet </w:t>
            </w:r>
            <w:r w:rsidRPr="006A313E">
              <w:rPr>
                <w:rFonts w:ascii="Arial" w:hAnsi="Arial" w:cs="Arial"/>
                <w:i/>
                <w:sz w:val="18"/>
                <w:szCs w:val="18"/>
                <w:lang w:val="en-GB"/>
              </w:rPr>
              <w:t>et al</w:t>
            </w:r>
            <w:r w:rsidRPr="006A313E">
              <w:rPr>
                <w:rFonts w:ascii="Arial" w:hAnsi="Arial" w:cs="Arial"/>
                <w:sz w:val="18"/>
                <w:szCs w:val="18"/>
                <w:lang w:val="en-GB"/>
              </w:rPr>
              <w:t xml:space="preserve"> 2016).</w:t>
            </w:r>
          </w:p>
        </w:tc>
      </w:tr>
      <w:tr w:rsidR="00C96521" w:rsidRPr="006A313E" w14:paraId="3CEC2ADC" w14:textId="77777777" w:rsidTr="00C96521">
        <w:tc>
          <w:tcPr>
            <w:tcW w:w="2278" w:type="dxa"/>
            <w:vMerge/>
          </w:tcPr>
          <w:p w14:paraId="4B5D940C" w14:textId="77777777" w:rsidR="00C96521" w:rsidRPr="006A313E" w:rsidRDefault="00C96521" w:rsidP="00C96521">
            <w:pPr>
              <w:widowControl/>
              <w:autoSpaceDE/>
              <w:autoSpaceDN/>
              <w:adjustRightInd/>
              <w:rPr>
                <w:rFonts w:ascii="Arial" w:hAnsi="Arial" w:cs="Arial"/>
                <w:sz w:val="18"/>
                <w:szCs w:val="18"/>
                <w:lang w:val="en-GB"/>
              </w:rPr>
            </w:pPr>
          </w:p>
        </w:tc>
        <w:tc>
          <w:tcPr>
            <w:tcW w:w="4411" w:type="dxa"/>
          </w:tcPr>
          <w:p w14:paraId="6005772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2.1.2</w:t>
            </w:r>
          </w:p>
          <w:p w14:paraId="4CB958D4"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Identify and police of illegal killing hot-spots. </w:t>
            </w:r>
          </w:p>
          <w:p w14:paraId="7D919D4C" w14:textId="77777777" w:rsidR="00C96521" w:rsidRPr="006A313E" w:rsidRDefault="00C96521" w:rsidP="00C96521">
            <w:pPr>
              <w:widowControl/>
              <w:autoSpaceDE/>
              <w:autoSpaceDN/>
              <w:adjustRightInd/>
              <w:rPr>
                <w:rFonts w:ascii="Arial" w:hAnsi="Arial" w:cs="Arial"/>
                <w:sz w:val="18"/>
                <w:szCs w:val="18"/>
                <w:lang w:val="en-GB"/>
              </w:rPr>
            </w:pPr>
          </w:p>
          <w:p w14:paraId="564C561B" w14:textId="77777777" w:rsidR="00C96521" w:rsidRPr="006A313E" w:rsidRDefault="00C96521" w:rsidP="00C96521">
            <w:pPr>
              <w:widowControl/>
              <w:autoSpaceDE/>
              <w:autoSpaceDN/>
              <w:adjustRightInd/>
              <w:rPr>
                <w:rFonts w:ascii="Arial" w:hAnsi="Arial" w:cs="Arial"/>
                <w:sz w:val="18"/>
                <w:szCs w:val="18"/>
                <w:lang w:val="en-GB"/>
              </w:rPr>
            </w:pPr>
          </w:p>
          <w:p w14:paraId="4990406B" w14:textId="77777777" w:rsidR="00C96521" w:rsidRPr="006A313E" w:rsidRDefault="00C96521" w:rsidP="00C96521">
            <w:pPr>
              <w:widowControl/>
              <w:autoSpaceDE/>
              <w:autoSpaceDN/>
              <w:adjustRightInd/>
              <w:rPr>
                <w:rFonts w:ascii="Arial" w:hAnsi="Arial" w:cs="Arial"/>
                <w:sz w:val="18"/>
                <w:szCs w:val="18"/>
                <w:lang w:val="en-GB"/>
              </w:rPr>
            </w:pPr>
          </w:p>
          <w:p w14:paraId="3E043751" w14:textId="77777777" w:rsidR="00C96521" w:rsidRPr="006A313E" w:rsidRDefault="00C96521" w:rsidP="00C96521">
            <w:pPr>
              <w:widowControl/>
              <w:autoSpaceDE/>
              <w:autoSpaceDN/>
              <w:adjustRightInd/>
              <w:rPr>
                <w:rFonts w:ascii="Arial" w:hAnsi="Arial" w:cs="Arial"/>
                <w:sz w:val="18"/>
                <w:szCs w:val="18"/>
                <w:lang w:val="en-GB"/>
              </w:rPr>
            </w:pPr>
          </w:p>
          <w:p w14:paraId="42CAEE39" w14:textId="77777777" w:rsidR="00C96521" w:rsidRPr="006A313E" w:rsidRDefault="00C96521" w:rsidP="00C96521">
            <w:pPr>
              <w:widowControl/>
              <w:autoSpaceDE/>
              <w:autoSpaceDN/>
              <w:adjustRightInd/>
              <w:rPr>
                <w:rFonts w:ascii="Arial" w:hAnsi="Arial" w:cs="Arial"/>
                <w:sz w:val="18"/>
                <w:szCs w:val="18"/>
                <w:lang w:val="en-GB"/>
              </w:rPr>
            </w:pPr>
          </w:p>
          <w:p w14:paraId="7E21EBB3" w14:textId="77777777" w:rsidR="00C96521" w:rsidRPr="006A313E" w:rsidRDefault="00C96521" w:rsidP="00C96521">
            <w:pPr>
              <w:widowControl/>
              <w:autoSpaceDE/>
              <w:autoSpaceDN/>
              <w:adjustRightInd/>
              <w:rPr>
                <w:rFonts w:ascii="Arial" w:hAnsi="Arial" w:cs="Arial"/>
                <w:sz w:val="18"/>
                <w:szCs w:val="18"/>
                <w:lang w:val="en-GB"/>
              </w:rPr>
            </w:pPr>
          </w:p>
          <w:p w14:paraId="765C40E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eastern Mediterranean, Middle Eastern and African Range States.</w:t>
            </w:r>
          </w:p>
        </w:tc>
        <w:tc>
          <w:tcPr>
            <w:tcW w:w="1262" w:type="dxa"/>
          </w:tcPr>
          <w:p w14:paraId="4C3339D5"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Essential</w:t>
            </w:r>
          </w:p>
        </w:tc>
        <w:tc>
          <w:tcPr>
            <w:tcW w:w="1229" w:type="dxa"/>
          </w:tcPr>
          <w:p w14:paraId="643E7EB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620" w:type="dxa"/>
          </w:tcPr>
          <w:p w14:paraId="4C90004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conservation NGOs, FACE, national hunting federations, academic institutions</w:t>
            </w:r>
          </w:p>
        </w:tc>
        <w:tc>
          <w:tcPr>
            <w:tcW w:w="2375" w:type="dxa"/>
          </w:tcPr>
          <w:p w14:paraId="4B66AC48"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National reports to the Berne Convention, EU Road-Map, CMS MIKT, IMPEL, National Action Plans, tagging projects and research, reports and data from NGOs and national authorities. Mediterranean region data (Brochet </w:t>
            </w:r>
            <w:r w:rsidRPr="006A313E">
              <w:rPr>
                <w:rFonts w:ascii="Arial" w:hAnsi="Arial" w:cs="Arial"/>
                <w:i/>
                <w:sz w:val="18"/>
                <w:szCs w:val="18"/>
                <w:lang w:val="en-GB"/>
              </w:rPr>
              <w:t>et al</w:t>
            </w:r>
            <w:r w:rsidRPr="006A313E">
              <w:rPr>
                <w:rFonts w:ascii="Arial" w:hAnsi="Arial" w:cs="Arial"/>
                <w:sz w:val="18"/>
                <w:szCs w:val="18"/>
                <w:lang w:val="en-GB"/>
              </w:rPr>
              <w:t xml:space="preserve"> 2016).</w:t>
            </w:r>
          </w:p>
        </w:tc>
      </w:tr>
      <w:tr w:rsidR="00C96521" w:rsidRPr="006A313E" w14:paraId="405ED50C" w14:textId="77777777" w:rsidTr="00C96521">
        <w:tc>
          <w:tcPr>
            <w:tcW w:w="2278" w:type="dxa"/>
          </w:tcPr>
          <w:p w14:paraId="4B35188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2.2 Guidance on effective mechanisms for enforcing hunting regulations by [</w:t>
            </w:r>
            <w:r w:rsidRPr="006A313E">
              <w:rPr>
                <w:rFonts w:ascii="Arial" w:hAnsi="Arial" w:cs="Arial"/>
                <w:i/>
                <w:sz w:val="18"/>
                <w:szCs w:val="18"/>
                <w:lang w:val="en-GB"/>
              </w:rPr>
              <w:t>2018</w:t>
            </w:r>
            <w:r w:rsidRPr="006A313E">
              <w:rPr>
                <w:rFonts w:ascii="Arial" w:hAnsi="Arial" w:cs="Arial"/>
                <w:sz w:val="18"/>
                <w:szCs w:val="18"/>
                <w:lang w:val="en-GB"/>
              </w:rPr>
              <w:t>].</w:t>
            </w:r>
          </w:p>
        </w:tc>
        <w:tc>
          <w:tcPr>
            <w:tcW w:w="4411" w:type="dxa"/>
          </w:tcPr>
          <w:p w14:paraId="4EFBE93C"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2.2.1</w:t>
            </w:r>
          </w:p>
          <w:p w14:paraId="312F80FC" w14:textId="0601C8A8"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Develop guidance on effective voluntary and </w:t>
            </w:r>
            <w:r w:rsidR="008807BF" w:rsidRPr="006A313E">
              <w:rPr>
                <w:rFonts w:ascii="Arial" w:hAnsi="Arial" w:cs="Arial"/>
                <w:sz w:val="18"/>
                <w:szCs w:val="18"/>
                <w:lang w:val="en-GB"/>
              </w:rPr>
              <w:t>S</w:t>
            </w:r>
            <w:r w:rsidRPr="006A313E">
              <w:rPr>
                <w:rFonts w:ascii="Arial" w:hAnsi="Arial" w:cs="Arial"/>
                <w:sz w:val="18"/>
                <w:szCs w:val="18"/>
                <w:lang w:val="en-GB"/>
              </w:rPr>
              <w:t>tate mechanisms for enforcing hunting regulations.</w:t>
            </w:r>
          </w:p>
          <w:p w14:paraId="06740364" w14:textId="77777777" w:rsidR="00C96521" w:rsidRPr="006A313E" w:rsidRDefault="00C96521" w:rsidP="00C96521">
            <w:pPr>
              <w:widowControl/>
              <w:autoSpaceDE/>
              <w:autoSpaceDN/>
              <w:adjustRightInd/>
              <w:rPr>
                <w:rFonts w:ascii="Arial" w:hAnsi="Arial" w:cs="Arial"/>
                <w:sz w:val="18"/>
                <w:szCs w:val="18"/>
                <w:lang w:val="en-GB"/>
              </w:rPr>
            </w:pPr>
          </w:p>
          <w:p w14:paraId="2BB2BD84" w14:textId="77777777" w:rsidR="00C96521" w:rsidRPr="006A313E" w:rsidRDefault="00C96521" w:rsidP="00C96521">
            <w:pPr>
              <w:widowControl/>
              <w:autoSpaceDE/>
              <w:autoSpaceDN/>
              <w:adjustRightInd/>
              <w:rPr>
                <w:rFonts w:ascii="Arial" w:hAnsi="Arial" w:cs="Arial"/>
                <w:sz w:val="18"/>
                <w:szCs w:val="18"/>
                <w:lang w:val="en-GB"/>
              </w:rPr>
            </w:pPr>
          </w:p>
          <w:p w14:paraId="031D2E8C" w14:textId="77777777" w:rsidR="00C96521" w:rsidRPr="006A313E" w:rsidRDefault="00C96521" w:rsidP="00C96521">
            <w:pPr>
              <w:widowControl/>
              <w:autoSpaceDE/>
              <w:autoSpaceDN/>
              <w:adjustRightInd/>
              <w:rPr>
                <w:rFonts w:ascii="Arial" w:hAnsi="Arial" w:cs="Arial"/>
                <w:sz w:val="18"/>
                <w:szCs w:val="18"/>
                <w:lang w:val="en-GB"/>
              </w:rPr>
            </w:pPr>
          </w:p>
          <w:p w14:paraId="118F702D" w14:textId="77777777" w:rsidR="00C96521" w:rsidRPr="006A313E" w:rsidRDefault="00C96521" w:rsidP="00C96521">
            <w:pPr>
              <w:widowControl/>
              <w:autoSpaceDE/>
              <w:autoSpaceDN/>
              <w:adjustRightInd/>
              <w:rPr>
                <w:rFonts w:ascii="Arial" w:hAnsi="Arial" w:cs="Arial"/>
                <w:sz w:val="18"/>
                <w:szCs w:val="18"/>
                <w:lang w:val="en-GB"/>
              </w:rPr>
            </w:pPr>
          </w:p>
          <w:p w14:paraId="46CF347C" w14:textId="77777777" w:rsidR="00C96521" w:rsidRPr="006A313E" w:rsidRDefault="00C96521" w:rsidP="00C96521">
            <w:pPr>
              <w:widowControl/>
              <w:autoSpaceDE/>
              <w:autoSpaceDN/>
              <w:adjustRightInd/>
              <w:rPr>
                <w:rFonts w:ascii="Arial" w:hAnsi="Arial" w:cs="Arial"/>
                <w:sz w:val="18"/>
                <w:szCs w:val="18"/>
                <w:lang w:val="en-GB"/>
              </w:rPr>
            </w:pPr>
          </w:p>
          <w:p w14:paraId="161D4421" w14:textId="77777777" w:rsidR="00C96521" w:rsidRPr="006A313E" w:rsidRDefault="00C96521" w:rsidP="00C96521">
            <w:pPr>
              <w:widowControl/>
              <w:autoSpaceDE/>
              <w:autoSpaceDN/>
              <w:adjustRightInd/>
              <w:rPr>
                <w:rFonts w:ascii="Arial" w:hAnsi="Arial" w:cs="Arial"/>
                <w:sz w:val="18"/>
                <w:szCs w:val="18"/>
                <w:lang w:val="en-GB"/>
              </w:rPr>
            </w:pPr>
          </w:p>
          <w:p w14:paraId="7BCB599C" w14:textId="77777777" w:rsidR="00C96521" w:rsidRPr="006A313E" w:rsidRDefault="00C96521" w:rsidP="00C96521">
            <w:pPr>
              <w:widowControl/>
              <w:autoSpaceDE/>
              <w:autoSpaceDN/>
              <w:adjustRightInd/>
              <w:rPr>
                <w:rFonts w:ascii="Arial" w:hAnsi="Arial" w:cs="Arial"/>
                <w:sz w:val="18"/>
                <w:szCs w:val="18"/>
                <w:lang w:val="en-GB"/>
              </w:rPr>
            </w:pPr>
          </w:p>
          <w:p w14:paraId="4339BBA5"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Range States.</w:t>
            </w:r>
          </w:p>
        </w:tc>
        <w:tc>
          <w:tcPr>
            <w:tcW w:w="1262" w:type="dxa"/>
          </w:tcPr>
          <w:p w14:paraId="18E07A17"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High</w:t>
            </w:r>
          </w:p>
        </w:tc>
        <w:tc>
          <w:tcPr>
            <w:tcW w:w="1229" w:type="dxa"/>
          </w:tcPr>
          <w:p w14:paraId="76B89354"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Immediate</w:t>
            </w:r>
          </w:p>
        </w:tc>
        <w:tc>
          <w:tcPr>
            <w:tcW w:w="2620" w:type="dxa"/>
          </w:tcPr>
          <w:p w14:paraId="21F8E897"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xml:space="preserve">, </w:t>
            </w:r>
            <w:r w:rsidRPr="006A313E">
              <w:rPr>
                <w:rFonts w:ascii="Arial" w:hAnsi="Arial" w:cs="Arial"/>
                <w:b/>
                <w:sz w:val="18"/>
                <w:szCs w:val="18"/>
                <w:lang w:val="en-GB"/>
              </w:rPr>
              <w:t>ENFORCEMENT AGENCIES</w:t>
            </w:r>
            <w:r w:rsidRPr="006A313E">
              <w:rPr>
                <w:rFonts w:ascii="Arial" w:hAnsi="Arial" w:cs="Arial"/>
                <w:sz w:val="18"/>
                <w:szCs w:val="18"/>
                <w:lang w:val="en-GB"/>
              </w:rPr>
              <w:t>, conservation NGOs, FACE, national hunting federations, academic institutions</w:t>
            </w:r>
          </w:p>
        </w:tc>
        <w:tc>
          <w:tcPr>
            <w:tcW w:w="2375" w:type="dxa"/>
          </w:tcPr>
          <w:p w14:paraId="64FFB20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Guidance already developed by the Government of Malta. National reports to the Berne Convention, EU Road-Map, CMS MIKT, IMPEL, National Action Plans, tagging projects and research, reports and data from NGOs and national authorities.</w:t>
            </w:r>
          </w:p>
        </w:tc>
      </w:tr>
      <w:tr w:rsidR="00C96521" w:rsidRPr="006A313E" w14:paraId="63A55455" w14:textId="77777777" w:rsidTr="00C96521">
        <w:tc>
          <w:tcPr>
            <w:tcW w:w="2278" w:type="dxa"/>
            <w:vMerge w:val="restart"/>
          </w:tcPr>
          <w:p w14:paraId="112000E8"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2.3 Enhanced enforcement in EU hot-spots by [</w:t>
            </w:r>
            <w:r w:rsidRPr="006A313E">
              <w:rPr>
                <w:rFonts w:ascii="Arial" w:hAnsi="Arial" w:cs="Arial"/>
                <w:i/>
                <w:sz w:val="18"/>
                <w:szCs w:val="18"/>
                <w:lang w:val="en-GB"/>
              </w:rPr>
              <w:t>2020</w:t>
            </w:r>
            <w:r w:rsidRPr="006A313E">
              <w:rPr>
                <w:rFonts w:ascii="Arial" w:hAnsi="Arial" w:cs="Arial"/>
                <w:sz w:val="18"/>
                <w:szCs w:val="18"/>
                <w:lang w:val="en-GB"/>
              </w:rPr>
              <w:t>] and non-EU hot-spots by [</w:t>
            </w:r>
            <w:r w:rsidRPr="006A313E">
              <w:rPr>
                <w:rFonts w:ascii="Arial" w:hAnsi="Arial" w:cs="Arial"/>
                <w:i/>
                <w:sz w:val="18"/>
                <w:szCs w:val="18"/>
                <w:lang w:val="en-GB"/>
              </w:rPr>
              <w:t>2025</w:t>
            </w:r>
            <w:r w:rsidRPr="006A313E">
              <w:rPr>
                <w:rFonts w:ascii="Arial" w:hAnsi="Arial" w:cs="Arial"/>
                <w:sz w:val="18"/>
                <w:szCs w:val="18"/>
                <w:lang w:val="en-GB"/>
              </w:rPr>
              <w:t>].</w:t>
            </w:r>
          </w:p>
        </w:tc>
        <w:tc>
          <w:tcPr>
            <w:tcW w:w="4411" w:type="dxa"/>
          </w:tcPr>
          <w:p w14:paraId="13CF8C1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2.3.1</w:t>
            </w:r>
          </w:p>
          <w:p w14:paraId="1C3D1C1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Develop and deploy training to enhance enforcement of hunting laws in hot-spot areas, both for local enforcement officers and the judiciary. </w:t>
            </w:r>
          </w:p>
          <w:p w14:paraId="6F6BE690" w14:textId="77777777" w:rsidR="00C96521" w:rsidRPr="006A313E" w:rsidRDefault="00C96521" w:rsidP="00C96521">
            <w:pPr>
              <w:widowControl/>
              <w:autoSpaceDE/>
              <w:autoSpaceDN/>
              <w:adjustRightInd/>
              <w:rPr>
                <w:rFonts w:ascii="Arial" w:hAnsi="Arial" w:cs="Arial"/>
                <w:sz w:val="18"/>
                <w:szCs w:val="18"/>
                <w:lang w:val="en-GB"/>
              </w:rPr>
            </w:pPr>
          </w:p>
          <w:p w14:paraId="19790957" w14:textId="77777777" w:rsidR="00C96521" w:rsidRPr="006A313E" w:rsidRDefault="00C96521" w:rsidP="00C96521">
            <w:pPr>
              <w:widowControl/>
              <w:autoSpaceDE/>
              <w:autoSpaceDN/>
              <w:adjustRightInd/>
              <w:rPr>
                <w:rFonts w:ascii="Arial" w:hAnsi="Arial" w:cs="Arial"/>
                <w:sz w:val="18"/>
                <w:szCs w:val="18"/>
                <w:lang w:val="en-GB"/>
              </w:rPr>
            </w:pPr>
          </w:p>
          <w:p w14:paraId="53681F27"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Range States.</w:t>
            </w:r>
          </w:p>
        </w:tc>
        <w:tc>
          <w:tcPr>
            <w:tcW w:w="1262" w:type="dxa"/>
          </w:tcPr>
          <w:p w14:paraId="5C7FFF1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High</w:t>
            </w:r>
          </w:p>
        </w:tc>
        <w:tc>
          <w:tcPr>
            <w:tcW w:w="1229" w:type="dxa"/>
          </w:tcPr>
          <w:p w14:paraId="356B2DF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620" w:type="dxa"/>
          </w:tcPr>
          <w:p w14:paraId="6BCE3CA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xml:space="preserve">, </w:t>
            </w:r>
            <w:r w:rsidRPr="006A313E">
              <w:rPr>
                <w:rFonts w:ascii="Arial" w:hAnsi="Arial" w:cs="Arial"/>
                <w:b/>
                <w:sz w:val="18"/>
                <w:szCs w:val="18"/>
                <w:lang w:val="en-GB"/>
              </w:rPr>
              <w:t>ENFORCEMENT AGENCIES</w:t>
            </w:r>
          </w:p>
        </w:tc>
        <w:tc>
          <w:tcPr>
            <w:tcW w:w="2375" w:type="dxa"/>
          </w:tcPr>
          <w:p w14:paraId="61FAE003"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Existing Programme of Work of the CMS Task Force on the Illegal Killing of Birds in the Mediterranean</w:t>
            </w:r>
          </w:p>
          <w:p w14:paraId="7070B638"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2.1.1-2.1.2</w:t>
            </w:r>
          </w:p>
          <w:p w14:paraId="2F0B681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2.2.1</w:t>
            </w:r>
          </w:p>
        </w:tc>
      </w:tr>
      <w:tr w:rsidR="00C96521" w:rsidRPr="006A313E" w14:paraId="3CE5A6C1" w14:textId="77777777" w:rsidTr="00C96521">
        <w:tc>
          <w:tcPr>
            <w:tcW w:w="2278" w:type="dxa"/>
            <w:vMerge/>
          </w:tcPr>
          <w:p w14:paraId="58A12522" w14:textId="77777777" w:rsidR="00C96521" w:rsidRPr="006A313E" w:rsidRDefault="00C96521" w:rsidP="00C96521">
            <w:pPr>
              <w:widowControl/>
              <w:autoSpaceDE/>
              <w:autoSpaceDN/>
              <w:adjustRightInd/>
              <w:rPr>
                <w:rFonts w:ascii="Arial" w:hAnsi="Arial" w:cs="Arial"/>
                <w:sz w:val="18"/>
                <w:szCs w:val="18"/>
                <w:lang w:val="en-GB"/>
              </w:rPr>
            </w:pPr>
          </w:p>
        </w:tc>
        <w:tc>
          <w:tcPr>
            <w:tcW w:w="4411" w:type="dxa"/>
          </w:tcPr>
          <w:p w14:paraId="391A648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2.3.2</w:t>
            </w:r>
          </w:p>
          <w:p w14:paraId="448FDE25"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Increase investment in enforcement.</w:t>
            </w:r>
          </w:p>
          <w:p w14:paraId="5E4A0D60" w14:textId="77777777" w:rsidR="00C96521" w:rsidRPr="006A313E" w:rsidRDefault="00C96521" w:rsidP="00C96521">
            <w:pPr>
              <w:widowControl/>
              <w:autoSpaceDE/>
              <w:autoSpaceDN/>
              <w:adjustRightInd/>
              <w:rPr>
                <w:rFonts w:ascii="Arial" w:hAnsi="Arial" w:cs="Arial"/>
                <w:sz w:val="18"/>
                <w:szCs w:val="18"/>
                <w:lang w:val="en-GB"/>
              </w:rPr>
            </w:pPr>
          </w:p>
          <w:p w14:paraId="59F01735"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Range States.</w:t>
            </w:r>
          </w:p>
        </w:tc>
        <w:tc>
          <w:tcPr>
            <w:tcW w:w="1262" w:type="dxa"/>
          </w:tcPr>
          <w:p w14:paraId="6AB72557"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High</w:t>
            </w:r>
          </w:p>
        </w:tc>
        <w:tc>
          <w:tcPr>
            <w:tcW w:w="1229" w:type="dxa"/>
          </w:tcPr>
          <w:p w14:paraId="0F2079B0"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620" w:type="dxa"/>
          </w:tcPr>
          <w:p w14:paraId="6BE90ACF" w14:textId="77777777" w:rsidR="00C96521" w:rsidRPr="006A313E" w:rsidRDefault="00C96521" w:rsidP="00C96521">
            <w:pPr>
              <w:widowControl/>
              <w:autoSpaceDE/>
              <w:autoSpaceDN/>
              <w:adjustRightInd/>
              <w:rPr>
                <w:rFonts w:ascii="Arial" w:hAnsi="Arial" w:cs="Arial"/>
                <w:b/>
                <w:sz w:val="18"/>
                <w:szCs w:val="18"/>
                <w:lang w:val="en-GB"/>
              </w:rPr>
            </w:pPr>
            <w:r w:rsidRPr="006A313E">
              <w:rPr>
                <w:rFonts w:ascii="Arial" w:hAnsi="Arial" w:cs="Arial"/>
                <w:b/>
                <w:sz w:val="18"/>
                <w:szCs w:val="18"/>
                <w:lang w:val="en-GB"/>
              </w:rPr>
              <w:t>NATIONAL GOVERNMENTS</w:t>
            </w:r>
          </w:p>
        </w:tc>
        <w:tc>
          <w:tcPr>
            <w:tcW w:w="2375" w:type="dxa"/>
          </w:tcPr>
          <w:p w14:paraId="6650980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2.3.1</w:t>
            </w:r>
          </w:p>
        </w:tc>
      </w:tr>
    </w:tbl>
    <w:p w14:paraId="513AFBE6" w14:textId="77777777" w:rsidR="00C96521" w:rsidRPr="005D4262" w:rsidRDefault="00C96521" w:rsidP="00C96521">
      <w:pPr>
        <w:widowControl/>
        <w:autoSpaceDE/>
        <w:autoSpaceDN/>
        <w:adjustRightInd/>
        <w:spacing w:line="276" w:lineRule="auto"/>
        <w:rPr>
          <w:rFonts w:eastAsia="MS Mincho" w:cs="Arial"/>
          <w:szCs w:val="18"/>
          <w:lang w:val="en-GB" w:eastAsia="ja-JP"/>
        </w:rPr>
      </w:pPr>
    </w:p>
    <w:p w14:paraId="5EDE92D3" w14:textId="77777777" w:rsidR="00C96521" w:rsidRPr="005D4262" w:rsidRDefault="00C96521" w:rsidP="00C96521">
      <w:pPr>
        <w:widowControl/>
        <w:autoSpaceDE/>
        <w:autoSpaceDN/>
        <w:adjustRightInd/>
        <w:spacing w:line="276" w:lineRule="auto"/>
        <w:rPr>
          <w:rFonts w:eastAsia="MS Mincho" w:cs="Arial"/>
          <w:szCs w:val="18"/>
          <w:lang w:val="en-GB" w:eastAsia="ja-JP"/>
        </w:rPr>
      </w:pPr>
    </w:p>
    <w:tbl>
      <w:tblPr>
        <w:tblStyle w:val="TableGrid"/>
        <w:tblW w:w="0" w:type="auto"/>
        <w:tblLook w:val="04A0" w:firstRow="1" w:lastRow="0" w:firstColumn="1" w:lastColumn="0" w:noHBand="0" w:noVBand="1"/>
      </w:tblPr>
      <w:tblGrid>
        <w:gridCol w:w="2326"/>
        <w:gridCol w:w="4516"/>
        <w:gridCol w:w="1126"/>
        <w:gridCol w:w="1131"/>
        <w:gridCol w:w="2657"/>
        <w:gridCol w:w="2419"/>
      </w:tblGrid>
      <w:tr w:rsidR="00C96521" w:rsidRPr="006A313E" w14:paraId="3F68B774" w14:textId="77777777" w:rsidTr="006A313E">
        <w:trPr>
          <w:tblHeader/>
        </w:trPr>
        <w:tc>
          <w:tcPr>
            <w:tcW w:w="14175" w:type="dxa"/>
            <w:gridSpan w:val="6"/>
            <w:shd w:val="clear" w:color="auto" w:fill="BFBFBF" w:themeFill="background1" w:themeFillShade="BF"/>
          </w:tcPr>
          <w:p w14:paraId="1BB3948D" w14:textId="2FE6CC9E"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Objective 3: Hunting across the range of the European Turtle</w:t>
            </w:r>
            <w:r w:rsidR="008807BF" w:rsidRPr="006A313E">
              <w:rPr>
                <w:rFonts w:ascii="Arial" w:hAnsi="Arial" w:cs="Arial"/>
                <w:sz w:val="18"/>
                <w:szCs w:val="18"/>
                <w:lang w:val="en-GB"/>
              </w:rPr>
              <w:t xml:space="preserve"> D</w:t>
            </w:r>
            <w:r w:rsidRPr="006A313E">
              <w:rPr>
                <w:rFonts w:ascii="Arial" w:hAnsi="Arial" w:cs="Arial"/>
                <w:sz w:val="18"/>
                <w:szCs w:val="18"/>
                <w:lang w:val="en-GB"/>
              </w:rPr>
              <w:t>ove is carried out at locally and internationally sustainable levels.</w:t>
            </w:r>
          </w:p>
          <w:p w14:paraId="5356AE47"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Threat - Unsustainable hunting (High/Critical)</w:t>
            </w:r>
          </w:p>
        </w:tc>
      </w:tr>
      <w:tr w:rsidR="00C96521" w:rsidRPr="006A313E" w14:paraId="14155AC7" w14:textId="77777777" w:rsidTr="00C96521">
        <w:trPr>
          <w:tblHeader/>
        </w:trPr>
        <w:tc>
          <w:tcPr>
            <w:tcW w:w="2326" w:type="dxa"/>
            <w:shd w:val="clear" w:color="auto" w:fill="D9D9D9"/>
          </w:tcPr>
          <w:p w14:paraId="2F52B8E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Result</w:t>
            </w:r>
          </w:p>
        </w:tc>
        <w:tc>
          <w:tcPr>
            <w:tcW w:w="4516" w:type="dxa"/>
            <w:shd w:val="clear" w:color="auto" w:fill="D9D9D9"/>
          </w:tcPr>
          <w:p w14:paraId="138D497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and scope</w:t>
            </w:r>
          </w:p>
        </w:tc>
        <w:tc>
          <w:tcPr>
            <w:tcW w:w="1126" w:type="dxa"/>
            <w:shd w:val="clear" w:color="auto" w:fill="D9D9D9"/>
          </w:tcPr>
          <w:p w14:paraId="2E49481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Priority</w:t>
            </w:r>
          </w:p>
        </w:tc>
        <w:tc>
          <w:tcPr>
            <w:tcW w:w="1131" w:type="dxa"/>
            <w:shd w:val="clear" w:color="auto" w:fill="D9D9D9"/>
          </w:tcPr>
          <w:p w14:paraId="4C600BC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Timescale</w:t>
            </w:r>
          </w:p>
        </w:tc>
        <w:tc>
          <w:tcPr>
            <w:tcW w:w="2657" w:type="dxa"/>
            <w:shd w:val="clear" w:color="auto" w:fill="D9D9D9"/>
          </w:tcPr>
          <w:p w14:paraId="1BB08E36" w14:textId="55E99DDA"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Organi</w:t>
            </w:r>
            <w:r w:rsidR="008807BF" w:rsidRPr="006A313E">
              <w:rPr>
                <w:rFonts w:ascii="Arial" w:hAnsi="Arial" w:cs="Arial"/>
                <w:sz w:val="18"/>
                <w:szCs w:val="18"/>
                <w:lang w:val="en-GB"/>
              </w:rPr>
              <w:t>z</w:t>
            </w:r>
            <w:r w:rsidRPr="006A313E">
              <w:rPr>
                <w:rFonts w:ascii="Arial" w:hAnsi="Arial" w:cs="Arial"/>
                <w:sz w:val="18"/>
                <w:szCs w:val="18"/>
                <w:lang w:val="en-GB"/>
              </w:rPr>
              <w:t>ations responsible</w:t>
            </w:r>
          </w:p>
        </w:tc>
        <w:tc>
          <w:tcPr>
            <w:tcW w:w="2419" w:type="dxa"/>
            <w:shd w:val="clear" w:color="auto" w:fill="D9D9D9"/>
          </w:tcPr>
          <w:p w14:paraId="5F4C7AF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Inputs required</w:t>
            </w:r>
          </w:p>
        </w:tc>
      </w:tr>
      <w:tr w:rsidR="00C96521" w:rsidRPr="006A313E" w14:paraId="355F23C8" w14:textId="77777777" w:rsidTr="00C96521">
        <w:tc>
          <w:tcPr>
            <w:tcW w:w="2326" w:type="dxa"/>
            <w:vMerge w:val="restart"/>
          </w:tcPr>
          <w:p w14:paraId="12483500"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3.1 Interim measures to ensure that hunting is at sustainable levels implemented by end [</w:t>
            </w:r>
            <w:r w:rsidRPr="006A313E">
              <w:rPr>
                <w:rFonts w:ascii="Arial" w:hAnsi="Arial" w:cs="Arial"/>
                <w:i/>
                <w:sz w:val="18"/>
                <w:szCs w:val="18"/>
                <w:lang w:val="en-GB"/>
              </w:rPr>
              <w:t>2017</w:t>
            </w:r>
            <w:r w:rsidRPr="006A313E">
              <w:rPr>
                <w:rFonts w:ascii="Arial" w:hAnsi="Arial" w:cs="Arial"/>
                <w:sz w:val="18"/>
                <w:szCs w:val="18"/>
                <w:lang w:val="en-GB"/>
              </w:rPr>
              <w:t>].</w:t>
            </w:r>
          </w:p>
        </w:tc>
        <w:tc>
          <w:tcPr>
            <w:tcW w:w="4516" w:type="dxa"/>
          </w:tcPr>
          <w:p w14:paraId="7725F705"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3.1.1</w:t>
            </w:r>
          </w:p>
          <w:p w14:paraId="0682799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Develop initial harvest model for the western flyway to assess sustainability of current levels of hunting and propose management measures required until an adaptive sustainable harvest modelling framework is financed and implemented</w:t>
            </w:r>
          </w:p>
          <w:p w14:paraId="567FA2F2" w14:textId="77777777" w:rsidR="00C96521" w:rsidRPr="006A313E" w:rsidRDefault="00C96521" w:rsidP="00C96521">
            <w:pPr>
              <w:widowControl/>
              <w:autoSpaceDE/>
              <w:autoSpaceDN/>
              <w:adjustRightInd/>
              <w:rPr>
                <w:rFonts w:ascii="Arial" w:hAnsi="Arial" w:cs="Arial"/>
                <w:sz w:val="18"/>
                <w:szCs w:val="18"/>
                <w:lang w:val="en-GB"/>
              </w:rPr>
            </w:pPr>
          </w:p>
          <w:p w14:paraId="799AF8E0"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Range States with hunting.</w:t>
            </w:r>
          </w:p>
        </w:tc>
        <w:tc>
          <w:tcPr>
            <w:tcW w:w="1126" w:type="dxa"/>
          </w:tcPr>
          <w:p w14:paraId="494A96D8"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Essential</w:t>
            </w:r>
          </w:p>
        </w:tc>
        <w:tc>
          <w:tcPr>
            <w:tcW w:w="1131" w:type="dxa"/>
          </w:tcPr>
          <w:p w14:paraId="4D89C4D8"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Ongoing</w:t>
            </w:r>
          </w:p>
        </w:tc>
        <w:tc>
          <w:tcPr>
            <w:tcW w:w="2657" w:type="dxa"/>
          </w:tcPr>
          <w:p w14:paraId="39516D48"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FACE, CONSERVATION NGOs, ACADEMIC INSTITUTIONS, NATIONAL HUNTING FEDERATIONS</w:t>
            </w:r>
            <w:r w:rsidRPr="006A313E">
              <w:rPr>
                <w:rFonts w:ascii="Arial" w:hAnsi="Arial" w:cs="Arial"/>
                <w:sz w:val="18"/>
                <w:szCs w:val="18"/>
                <w:lang w:val="en-GB"/>
              </w:rPr>
              <w:t>, national governments, national wildlife agencies</w:t>
            </w:r>
          </w:p>
        </w:tc>
        <w:tc>
          <w:tcPr>
            <w:tcW w:w="2419" w:type="dxa"/>
          </w:tcPr>
          <w:p w14:paraId="03DA42B2"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Existing population, trend and hunting data; demographic data (including survival, productivity), </w:t>
            </w:r>
          </w:p>
          <w:p w14:paraId="673D4A7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7.2.2</w:t>
            </w:r>
          </w:p>
        </w:tc>
      </w:tr>
      <w:tr w:rsidR="00C96521" w:rsidRPr="006A313E" w14:paraId="1252A271" w14:textId="77777777" w:rsidTr="00C96521">
        <w:tc>
          <w:tcPr>
            <w:tcW w:w="2326" w:type="dxa"/>
            <w:vMerge/>
          </w:tcPr>
          <w:p w14:paraId="1DEC73FE" w14:textId="77777777" w:rsidR="00C96521" w:rsidRPr="006A313E" w:rsidRDefault="00C96521" w:rsidP="00C96521">
            <w:pPr>
              <w:widowControl/>
              <w:autoSpaceDE/>
              <w:autoSpaceDN/>
              <w:adjustRightInd/>
              <w:rPr>
                <w:rFonts w:ascii="Arial" w:hAnsi="Arial" w:cs="Arial"/>
                <w:sz w:val="18"/>
                <w:szCs w:val="18"/>
                <w:lang w:val="en-GB"/>
              </w:rPr>
            </w:pPr>
          </w:p>
        </w:tc>
        <w:tc>
          <w:tcPr>
            <w:tcW w:w="4516" w:type="dxa"/>
          </w:tcPr>
          <w:p w14:paraId="132AA3E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3.1.2</w:t>
            </w:r>
          </w:p>
          <w:p w14:paraId="65DF8DF7" w14:textId="681FF39C"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Based on recommendations emerging from Action 3.1.1, adopt hunting management measures to reduce impact in the short</w:t>
            </w:r>
            <w:r w:rsidR="008807BF" w:rsidRPr="006A313E">
              <w:rPr>
                <w:rFonts w:ascii="Arial" w:hAnsi="Arial" w:cs="Arial"/>
                <w:sz w:val="18"/>
                <w:szCs w:val="18"/>
                <w:lang w:val="en-GB"/>
              </w:rPr>
              <w:t xml:space="preserve"> </w:t>
            </w:r>
            <w:r w:rsidRPr="006A313E">
              <w:rPr>
                <w:rFonts w:ascii="Arial" w:hAnsi="Arial" w:cs="Arial"/>
                <w:sz w:val="18"/>
                <w:szCs w:val="18"/>
                <w:lang w:val="en-GB"/>
              </w:rPr>
              <w:t>term, and assess impact.</w:t>
            </w:r>
          </w:p>
          <w:p w14:paraId="4C5638E3" w14:textId="77777777" w:rsidR="00C96521" w:rsidRPr="006A313E" w:rsidRDefault="00C96521" w:rsidP="00C96521">
            <w:pPr>
              <w:widowControl/>
              <w:autoSpaceDE/>
              <w:autoSpaceDN/>
              <w:adjustRightInd/>
              <w:rPr>
                <w:rFonts w:ascii="Arial" w:hAnsi="Arial" w:cs="Arial"/>
                <w:sz w:val="18"/>
                <w:szCs w:val="18"/>
                <w:lang w:val="en-GB"/>
              </w:rPr>
            </w:pPr>
          </w:p>
          <w:p w14:paraId="22D1357B" w14:textId="7A913035"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Reduce hunting pressure in [</w:t>
            </w:r>
            <w:r w:rsidRPr="006A313E">
              <w:rPr>
                <w:rFonts w:ascii="Arial" w:hAnsi="Arial" w:cs="Arial"/>
                <w:i/>
                <w:sz w:val="18"/>
                <w:szCs w:val="18"/>
                <w:lang w:val="en-GB"/>
              </w:rPr>
              <w:t>Member States</w:t>
            </w:r>
            <w:r w:rsidRPr="006A313E">
              <w:rPr>
                <w:rFonts w:ascii="Arial" w:hAnsi="Arial" w:cs="Arial"/>
                <w:sz w:val="18"/>
                <w:szCs w:val="18"/>
                <w:lang w:val="en-GB"/>
              </w:rPr>
              <w:t>] by [</w:t>
            </w:r>
            <w:r w:rsidRPr="006A313E">
              <w:rPr>
                <w:rFonts w:ascii="Arial" w:hAnsi="Arial" w:cs="Arial"/>
                <w:i/>
                <w:sz w:val="18"/>
                <w:szCs w:val="18"/>
                <w:lang w:val="en-GB"/>
              </w:rPr>
              <w:t>% reduction</w:t>
            </w:r>
            <w:r w:rsidRPr="006A313E">
              <w:rPr>
                <w:rFonts w:ascii="Arial" w:hAnsi="Arial" w:cs="Arial"/>
                <w:sz w:val="18"/>
                <w:szCs w:val="18"/>
                <w:lang w:val="en-GB"/>
              </w:rPr>
              <w:t>] through [</w:t>
            </w:r>
            <w:r w:rsidRPr="006A313E">
              <w:rPr>
                <w:rFonts w:ascii="Arial" w:hAnsi="Arial" w:cs="Arial"/>
                <w:i/>
                <w:sz w:val="18"/>
                <w:szCs w:val="18"/>
                <w:lang w:val="en-GB"/>
              </w:rPr>
              <w:t>measures to be determined from e</w:t>
            </w:r>
            <w:r w:rsidR="008807BF" w:rsidRPr="006A313E">
              <w:rPr>
                <w:rFonts w:ascii="Arial" w:hAnsi="Arial" w:cs="Arial"/>
                <w:i/>
                <w:sz w:val="18"/>
                <w:szCs w:val="18"/>
                <w:lang w:val="en-GB"/>
              </w:rPr>
              <w:t>.</w:t>
            </w:r>
            <w:r w:rsidRPr="006A313E">
              <w:rPr>
                <w:rFonts w:ascii="Arial" w:hAnsi="Arial" w:cs="Arial"/>
                <w:i/>
                <w:sz w:val="18"/>
                <w:szCs w:val="18"/>
                <w:lang w:val="en-GB"/>
              </w:rPr>
              <w:t>g</w:t>
            </w:r>
            <w:r w:rsidR="008807BF" w:rsidRPr="006A313E">
              <w:rPr>
                <w:rFonts w:ascii="Arial" w:hAnsi="Arial" w:cs="Arial"/>
                <w:i/>
                <w:sz w:val="18"/>
                <w:szCs w:val="18"/>
                <w:lang w:val="en-GB"/>
              </w:rPr>
              <w:t>.</w:t>
            </w:r>
            <w:r w:rsidRPr="006A313E">
              <w:rPr>
                <w:rFonts w:ascii="Arial" w:hAnsi="Arial" w:cs="Arial"/>
                <w:i/>
                <w:sz w:val="18"/>
                <w:szCs w:val="18"/>
                <w:lang w:val="en-GB"/>
              </w:rPr>
              <w:t xml:space="preserve"> bag limits/quotas, hunting bag data collection systems, hunting season length/timing, possible temporary hunting moratoriums, spatial planning (% area huntable), setting quotas for hunting tourism</w:t>
            </w:r>
            <w:r w:rsidRPr="006A313E">
              <w:rPr>
                <w:rFonts w:ascii="Arial" w:hAnsi="Arial" w:cs="Arial"/>
                <w:sz w:val="18"/>
                <w:szCs w:val="18"/>
                <w:lang w:val="en-GB"/>
              </w:rPr>
              <w:t>]</w:t>
            </w:r>
            <w:r w:rsidRPr="006A313E">
              <w:rPr>
                <w:rFonts w:ascii="Arial" w:hAnsi="Arial" w:cs="Arial"/>
                <w:i/>
                <w:sz w:val="18"/>
                <w:szCs w:val="18"/>
                <w:lang w:val="en-GB"/>
              </w:rPr>
              <w:t>.</w:t>
            </w:r>
          </w:p>
          <w:p w14:paraId="4EFD816E" w14:textId="77777777" w:rsidR="00C96521" w:rsidRPr="006A313E" w:rsidRDefault="00C96521" w:rsidP="00C96521">
            <w:pPr>
              <w:widowControl/>
              <w:autoSpaceDE/>
              <w:autoSpaceDN/>
              <w:adjustRightInd/>
              <w:rPr>
                <w:rFonts w:ascii="Arial" w:hAnsi="Arial" w:cs="Arial"/>
                <w:sz w:val="18"/>
                <w:szCs w:val="18"/>
                <w:lang w:val="en-GB"/>
              </w:rPr>
            </w:pPr>
          </w:p>
          <w:p w14:paraId="6E5B395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Range States with hunting.</w:t>
            </w:r>
          </w:p>
        </w:tc>
        <w:tc>
          <w:tcPr>
            <w:tcW w:w="1126" w:type="dxa"/>
          </w:tcPr>
          <w:p w14:paraId="3CB2C8E5"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Essential</w:t>
            </w:r>
          </w:p>
        </w:tc>
        <w:tc>
          <w:tcPr>
            <w:tcW w:w="1131" w:type="dxa"/>
          </w:tcPr>
          <w:p w14:paraId="31D1C565"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Immediate</w:t>
            </w:r>
          </w:p>
        </w:tc>
        <w:tc>
          <w:tcPr>
            <w:tcW w:w="2657" w:type="dxa"/>
          </w:tcPr>
          <w:p w14:paraId="578E831D"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FACE, conservation NGOs, academic institutions, national hunting federations, national wildlife agencies.</w:t>
            </w:r>
          </w:p>
          <w:p w14:paraId="1148DE0F" w14:textId="77777777" w:rsidR="00C96521" w:rsidRPr="006A313E" w:rsidRDefault="00C96521" w:rsidP="00C96521">
            <w:pPr>
              <w:widowControl/>
              <w:autoSpaceDE/>
              <w:autoSpaceDN/>
              <w:adjustRightInd/>
              <w:rPr>
                <w:rFonts w:ascii="Arial" w:hAnsi="Arial" w:cs="Arial"/>
                <w:sz w:val="18"/>
                <w:szCs w:val="18"/>
                <w:lang w:val="en-GB"/>
              </w:rPr>
            </w:pPr>
          </w:p>
        </w:tc>
        <w:tc>
          <w:tcPr>
            <w:tcW w:w="2419" w:type="dxa"/>
          </w:tcPr>
          <w:p w14:paraId="337B95D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3.1.1</w:t>
            </w:r>
          </w:p>
          <w:p w14:paraId="2730B313"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7.2.2</w:t>
            </w:r>
          </w:p>
        </w:tc>
      </w:tr>
      <w:tr w:rsidR="00C96521" w:rsidRPr="006A313E" w14:paraId="3171EE89" w14:textId="77777777" w:rsidTr="00C96521">
        <w:tc>
          <w:tcPr>
            <w:tcW w:w="2326" w:type="dxa"/>
            <w:vMerge w:val="restart"/>
          </w:tcPr>
          <w:p w14:paraId="072E87EB"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3.2 Ensure that hunting bags are informed by an adaptive harvesting modelling framework by [</w:t>
            </w:r>
            <w:r w:rsidRPr="006A313E">
              <w:rPr>
                <w:rFonts w:ascii="Arial" w:hAnsi="Arial" w:cs="Arial"/>
                <w:i/>
                <w:sz w:val="18"/>
                <w:szCs w:val="18"/>
                <w:lang w:val="en-GB"/>
              </w:rPr>
              <w:t>2020</w:t>
            </w:r>
            <w:r w:rsidRPr="006A313E">
              <w:rPr>
                <w:rFonts w:ascii="Arial" w:hAnsi="Arial" w:cs="Arial"/>
                <w:sz w:val="18"/>
                <w:szCs w:val="18"/>
                <w:lang w:val="en-GB"/>
              </w:rPr>
              <w:t>].</w:t>
            </w:r>
          </w:p>
        </w:tc>
        <w:tc>
          <w:tcPr>
            <w:tcW w:w="4516" w:type="dxa"/>
          </w:tcPr>
          <w:p w14:paraId="1F21050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3.2.1</w:t>
            </w:r>
          </w:p>
          <w:p w14:paraId="50CBDD40" w14:textId="04459F9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Develop and implement a robust adaptive harvest modelling framework for the hunting of </w:t>
            </w:r>
            <w:r w:rsidR="008807BF" w:rsidRPr="006A313E">
              <w:rPr>
                <w:rFonts w:ascii="Arial" w:hAnsi="Arial" w:cs="Arial"/>
                <w:sz w:val="18"/>
                <w:szCs w:val="18"/>
                <w:lang w:val="en-GB"/>
              </w:rPr>
              <w:t>T</w:t>
            </w:r>
            <w:r w:rsidRPr="006A313E">
              <w:rPr>
                <w:rFonts w:ascii="Arial" w:hAnsi="Arial" w:cs="Arial"/>
                <w:sz w:val="18"/>
                <w:szCs w:val="18"/>
                <w:lang w:val="en-GB"/>
              </w:rPr>
              <w:t xml:space="preserve">urtle </w:t>
            </w:r>
            <w:r w:rsidR="008807BF" w:rsidRPr="006A313E">
              <w:rPr>
                <w:rFonts w:ascii="Arial" w:hAnsi="Arial" w:cs="Arial"/>
                <w:sz w:val="18"/>
                <w:szCs w:val="18"/>
                <w:lang w:val="en-GB"/>
              </w:rPr>
              <w:t>D</w:t>
            </w:r>
            <w:r w:rsidRPr="006A313E">
              <w:rPr>
                <w:rFonts w:ascii="Arial" w:hAnsi="Arial" w:cs="Arial"/>
                <w:sz w:val="18"/>
                <w:szCs w:val="18"/>
                <w:lang w:val="en-GB"/>
              </w:rPr>
              <w:t>ove for each flyway, based on demographic and hunting data, with yearly planning and assessment of national and local hunting quotas and seasons, coordinated by an International Turtle Dove Sustainable Harvest Working Group.</w:t>
            </w:r>
          </w:p>
          <w:p w14:paraId="37F3C10F" w14:textId="77777777" w:rsidR="00C96521" w:rsidRPr="006A313E" w:rsidRDefault="00C96521" w:rsidP="00C96521">
            <w:pPr>
              <w:widowControl/>
              <w:autoSpaceDE/>
              <w:autoSpaceDN/>
              <w:adjustRightInd/>
              <w:rPr>
                <w:rFonts w:ascii="Arial" w:hAnsi="Arial" w:cs="Arial"/>
                <w:sz w:val="18"/>
                <w:szCs w:val="18"/>
                <w:lang w:val="en-GB"/>
              </w:rPr>
            </w:pPr>
          </w:p>
          <w:p w14:paraId="1D422A01" w14:textId="77777777" w:rsidR="00C96521" w:rsidRPr="006A313E" w:rsidRDefault="00C96521" w:rsidP="00C96521">
            <w:pPr>
              <w:widowControl/>
              <w:autoSpaceDE/>
              <w:autoSpaceDN/>
              <w:adjustRightInd/>
              <w:rPr>
                <w:rFonts w:ascii="Arial" w:hAnsi="Arial" w:cs="Arial"/>
                <w:sz w:val="18"/>
                <w:szCs w:val="18"/>
                <w:lang w:val="en-GB"/>
              </w:rPr>
            </w:pPr>
          </w:p>
          <w:p w14:paraId="0E521BC4" w14:textId="77777777" w:rsidR="00C96521" w:rsidRPr="006A313E" w:rsidRDefault="00C96521" w:rsidP="00C96521">
            <w:pPr>
              <w:widowControl/>
              <w:autoSpaceDE/>
              <w:autoSpaceDN/>
              <w:adjustRightInd/>
              <w:rPr>
                <w:rFonts w:ascii="Arial" w:hAnsi="Arial" w:cs="Arial"/>
                <w:sz w:val="18"/>
                <w:szCs w:val="18"/>
                <w:lang w:val="en-GB"/>
              </w:rPr>
            </w:pPr>
          </w:p>
          <w:p w14:paraId="7EFFF8E7" w14:textId="77777777" w:rsidR="00C96521" w:rsidRPr="006A313E" w:rsidRDefault="00C96521" w:rsidP="00C96521">
            <w:pPr>
              <w:widowControl/>
              <w:autoSpaceDE/>
              <w:autoSpaceDN/>
              <w:adjustRightInd/>
              <w:rPr>
                <w:rFonts w:ascii="Arial" w:hAnsi="Arial" w:cs="Arial"/>
                <w:sz w:val="18"/>
                <w:szCs w:val="18"/>
                <w:lang w:val="en-GB"/>
              </w:rPr>
            </w:pPr>
          </w:p>
          <w:p w14:paraId="3CFCB9CB" w14:textId="77777777" w:rsidR="00C96521" w:rsidRPr="006A313E" w:rsidRDefault="00C96521" w:rsidP="00C96521">
            <w:pPr>
              <w:widowControl/>
              <w:autoSpaceDE/>
              <w:autoSpaceDN/>
              <w:adjustRightInd/>
              <w:rPr>
                <w:rFonts w:ascii="Arial" w:hAnsi="Arial" w:cs="Arial"/>
                <w:sz w:val="18"/>
                <w:szCs w:val="18"/>
                <w:lang w:val="en-GB"/>
              </w:rPr>
            </w:pPr>
          </w:p>
          <w:p w14:paraId="46706E99" w14:textId="77777777" w:rsidR="00C96521" w:rsidRPr="006A313E" w:rsidRDefault="00C96521" w:rsidP="00C96521">
            <w:pPr>
              <w:widowControl/>
              <w:autoSpaceDE/>
              <w:autoSpaceDN/>
              <w:adjustRightInd/>
              <w:rPr>
                <w:rFonts w:ascii="Arial" w:hAnsi="Arial" w:cs="Arial"/>
                <w:sz w:val="18"/>
                <w:szCs w:val="18"/>
                <w:lang w:val="en-GB"/>
              </w:rPr>
            </w:pPr>
          </w:p>
          <w:p w14:paraId="624FB2DB" w14:textId="77777777" w:rsidR="00C96521" w:rsidRPr="006A313E" w:rsidRDefault="00C96521" w:rsidP="00C96521">
            <w:pPr>
              <w:widowControl/>
              <w:autoSpaceDE/>
              <w:autoSpaceDN/>
              <w:adjustRightInd/>
              <w:rPr>
                <w:rFonts w:ascii="Arial" w:hAnsi="Arial" w:cs="Arial"/>
                <w:sz w:val="18"/>
                <w:szCs w:val="18"/>
                <w:lang w:val="en-GB"/>
              </w:rPr>
            </w:pPr>
          </w:p>
          <w:p w14:paraId="268D5C25" w14:textId="77777777" w:rsidR="00C96521" w:rsidRPr="006A313E" w:rsidRDefault="00C96521" w:rsidP="00C96521">
            <w:pPr>
              <w:widowControl/>
              <w:autoSpaceDE/>
              <w:autoSpaceDN/>
              <w:adjustRightInd/>
              <w:rPr>
                <w:rFonts w:ascii="Arial" w:hAnsi="Arial" w:cs="Arial"/>
                <w:sz w:val="18"/>
                <w:szCs w:val="18"/>
                <w:lang w:val="en-GB"/>
              </w:rPr>
            </w:pPr>
          </w:p>
          <w:p w14:paraId="1814B017"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Range States with hunting.</w:t>
            </w:r>
          </w:p>
        </w:tc>
        <w:tc>
          <w:tcPr>
            <w:tcW w:w="1126" w:type="dxa"/>
          </w:tcPr>
          <w:p w14:paraId="6CB4221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Essential</w:t>
            </w:r>
          </w:p>
        </w:tc>
        <w:tc>
          <w:tcPr>
            <w:tcW w:w="1131" w:type="dxa"/>
          </w:tcPr>
          <w:p w14:paraId="558DC8D7"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657" w:type="dxa"/>
          </w:tcPr>
          <w:p w14:paraId="3B5EC855"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INTERNATINAL TURTLE DOVE SUSTAINABLE HARVEST WORKING GROUP</w:t>
            </w:r>
            <w:r w:rsidRPr="006A313E">
              <w:rPr>
                <w:rFonts w:ascii="Arial" w:hAnsi="Arial" w:cs="Arial"/>
                <w:sz w:val="18"/>
                <w:szCs w:val="18"/>
                <w:lang w:val="en-GB"/>
              </w:rPr>
              <w:t xml:space="preserve"> (consisting of EU Member States, conservation NGOs, FACE, academic institutions).</w:t>
            </w:r>
          </w:p>
        </w:tc>
        <w:tc>
          <w:tcPr>
            <w:tcW w:w="2419" w:type="dxa"/>
          </w:tcPr>
          <w:p w14:paraId="3E3831C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Nature Directives Fitness Check Guide; EU Sustainable Hunting Guide; data from new studies commissioned under objective 8. AEWA Guidelines on Sustainable Harvest of Migratory Waterbirds. Existing European approaches using adaptive harvest management under AEWA. </w:t>
            </w:r>
          </w:p>
          <w:p w14:paraId="0CD9A0E4"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3.1.1</w:t>
            </w:r>
          </w:p>
          <w:p w14:paraId="13FE1443"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3.1.2</w:t>
            </w:r>
          </w:p>
          <w:p w14:paraId="155C021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7.2.2</w:t>
            </w:r>
          </w:p>
          <w:p w14:paraId="05CA001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7.7.1</w:t>
            </w:r>
          </w:p>
        </w:tc>
      </w:tr>
      <w:tr w:rsidR="00C96521" w:rsidRPr="006A313E" w14:paraId="4C4FFE9A" w14:textId="77777777" w:rsidTr="00C96521">
        <w:tc>
          <w:tcPr>
            <w:tcW w:w="2326" w:type="dxa"/>
            <w:vMerge/>
          </w:tcPr>
          <w:p w14:paraId="7AD8CD7D" w14:textId="77777777" w:rsidR="00C96521" w:rsidRPr="006A313E" w:rsidRDefault="00C96521" w:rsidP="00C96521">
            <w:pPr>
              <w:widowControl/>
              <w:autoSpaceDE/>
              <w:autoSpaceDN/>
              <w:adjustRightInd/>
              <w:rPr>
                <w:rFonts w:ascii="Arial" w:hAnsi="Arial" w:cs="Arial"/>
                <w:sz w:val="18"/>
                <w:szCs w:val="18"/>
                <w:lang w:val="en-GB"/>
              </w:rPr>
            </w:pPr>
          </w:p>
        </w:tc>
        <w:tc>
          <w:tcPr>
            <w:tcW w:w="4516" w:type="dxa"/>
          </w:tcPr>
          <w:p w14:paraId="6A503ECD"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3.2.2</w:t>
            </w:r>
          </w:p>
          <w:p w14:paraId="23862B32"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Collect robust and accurate hunting bag data using compatible standardised protocols, including on-the-spot reporting of bagged birds. For EU Member States, reporting of hunting bag data is introduced to the 2013-2018 Article 12 reporting format (Birds Directive).</w:t>
            </w:r>
          </w:p>
          <w:p w14:paraId="6D33E624" w14:textId="77777777" w:rsidR="00C96521" w:rsidRPr="006A313E" w:rsidRDefault="00C96521" w:rsidP="00C96521">
            <w:pPr>
              <w:widowControl/>
              <w:autoSpaceDE/>
              <w:autoSpaceDN/>
              <w:adjustRightInd/>
              <w:rPr>
                <w:rFonts w:ascii="Arial" w:hAnsi="Arial" w:cs="Arial"/>
                <w:sz w:val="18"/>
                <w:szCs w:val="18"/>
                <w:lang w:val="en-GB"/>
              </w:rPr>
            </w:pPr>
          </w:p>
          <w:p w14:paraId="7B10F02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Report hunting bag statistics annually to the Turtle Dove Harvest Working Group. Calculate a yearly hunting bag statistic for each Range State, based on annual collections of hunting bag data.</w:t>
            </w:r>
          </w:p>
          <w:p w14:paraId="53D92855" w14:textId="77777777" w:rsidR="00C96521" w:rsidRPr="006A313E" w:rsidRDefault="00C96521" w:rsidP="00C96521">
            <w:pPr>
              <w:widowControl/>
              <w:autoSpaceDE/>
              <w:autoSpaceDN/>
              <w:adjustRightInd/>
              <w:rPr>
                <w:rFonts w:ascii="Arial" w:hAnsi="Arial" w:cs="Arial"/>
                <w:sz w:val="18"/>
                <w:szCs w:val="18"/>
                <w:lang w:val="en-GB"/>
              </w:rPr>
            </w:pPr>
          </w:p>
          <w:p w14:paraId="4CED38F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Range States.</w:t>
            </w:r>
          </w:p>
        </w:tc>
        <w:tc>
          <w:tcPr>
            <w:tcW w:w="1126" w:type="dxa"/>
          </w:tcPr>
          <w:p w14:paraId="43AE5D40"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High</w:t>
            </w:r>
          </w:p>
        </w:tc>
        <w:tc>
          <w:tcPr>
            <w:tcW w:w="1131" w:type="dxa"/>
          </w:tcPr>
          <w:p w14:paraId="133C4914"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657" w:type="dxa"/>
          </w:tcPr>
          <w:p w14:paraId="0ACC3C2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FACE, national hunting federations</w:t>
            </w:r>
          </w:p>
        </w:tc>
        <w:tc>
          <w:tcPr>
            <w:tcW w:w="2419" w:type="dxa"/>
          </w:tcPr>
          <w:p w14:paraId="582CDE10"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7.7.1</w:t>
            </w:r>
          </w:p>
        </w:tc>
      </w:tr>
      <w:tr w:rsidR="00C96521" w:rsidRPr="006A313E" w14:paraId="3A58C861" w14:textId="77777777" w:rsidTr="00C96521">
        <w:tc>
          <w:tcPr>
            <w:tcW w:w="2326" w:type="dxa"/>
            <w:vMerge w:val="restart"/>
          </w:tcPr>
          <w:p w14:paraId="33E73E46" w14:textId="6E5EE095"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3.3 </w:t>
            </w:r>
            <w:r w:rsidR="008807BF" w:rsidRPr="006A313E">
              <w:rPr>
                <w:rFonts w:ascii="Arial" w:hAnsi="Arial" w:cs="Arial"/>
                <w:sz w:val="18"/>
                <w:szCs w:val="18"/>
                <w:lang w:val="en-GB"/>
              </w:rPr>
              <w:t xml:space="preserve">Turtle Dove </w:t>
            </w:r>
            <w:r w:rsidRPr="006A313E">
              <w:rPr>
                <w:rFonts w:ascii="Arial" w:hAnsi="Arial" w:cs="Arial"/>
                <w:sz w:val="18"/>
                <w:szCs w:val="18"/>
                <w:lang w:val="en-GB"/>
              </w:rPr>
              <w:t>specific Sustainable Hunting Initiative promoted to hunters/hunting organisations by [</w:t>
            </w:r>
            <w:r w:rsidRPr="006A313E">
              <w:rPr>
                <w:rFonts w:ascii="Arial" w:hAnsi="Arial" w:cs="Arial"/>
                <w:i/>
                <w:sz w:val="18"/>
                <w:szCs w:val="18"/>
                <w:lang w:val="en-GB"/>
              </w:rPr>
              <w:t>2019</w:t>
            </w:r>
            <w:r w:rsidRPr="006A313E">
              <w:rPr>
                <w:rFonts w:ascii="Arial" w:hAnsi="Arial" w:cs="Arial"/>
                <w:sz w:val="18"/>
                <w:szCs w:val="18"/>
                <w:lang w:val="en-GB"/>
              </w:rPr>
              <w:t>].</w:t>
            </w:r>
          </w:p>
        </w:tc>
        <w:tc>
          <w:tcPr>
            <w:tcW w:w="4516" w:type="dxa"/>
          </w:tcPr>
          <w:p w14:paraId="494CE59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3.3.1</w:t>
            </w:r>
          </w:p>
          <w:p w14:paraId="26108363" w14:textId="22B03DA4"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Develop a </w:t>
            </w:r>
            <w:r w:rsidR="008807BF" w:rsidRPr="006A313E">
              <w:rPr>
                <w:rFonts w:ascii="Arial" w:hAnsi="Arial" w:cs="Arial"/>
                <w:sz w:val="18"/>
                <w:szCs w:val="18"/>
                <w:lang w:val="en-GB"/>
              </w:rPr>
              <w:t xml:space="preserve">Turtle Dove </w:t>
            </w:r>
            <w:r w:rsidRPr="006A313E">
              <w:rPr>
                <w:rFonts w:ascii="Arial" w:hAnsi="Arial" w:cs="Arial"/>
                <w:sz w:val="18"/>
                <w:szCs w:val="18"/>
                <w:lang w:val="en-GB"/>
              </w:rPr>
              <w:t xml:space="preserve">specific Sustainable Hunting Initiative, to include good hunting practice, especially at bottle-necks and concentrations. </w:t>
            </w:r>
          </w:p>
          <w:p w14:paraId="628D22E9" w14:textId="77777777" w:rsidR="00C96521" w:rsidRPr="006A313E" w:rsidRDefault="00C96521" w:rsidP="00C96521">
            <w:pPr>
              <w:widowControl/>
              <w:autoSpaceDE/>
              <w:autoSpaceDN/>
              <w:adjustRightInd/>
              <w:rPr>
                <w:rFonts w:ascii="Arial" w:hAnsi="Arial" w:cs="Arial"/>
                <w:sz w:val="18"/>
                <w:szCs w:val="18"/>
                <w:lang w:val="en-GB"/>
              </w:rPr>
            </w:pPr>
          </w:p>
          <w:p w14:paraId="5B813C74" w14:textId="37BA1B28"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Applicable to: all Range States with </w:t>
            </w:r>
            <w:r w:rsidR="008807BF" w:rsidRPr="006A313E">
              <w:rPr>
                <w:rFonts w:ascii="Arial" w:hAnsi="Arial" w:cs="Arial"/>
                <w:sz w:val="18"/>
                <w:szCs w:val="18"/>
                <w:lang w:val="en-GB"/>
              </w:rPr>
              <w:t xml:space="preserve">Turtle Dove </w:t>
            </w:r>
            <w:r w:rsidRPr="006A313E">
              <w:rPr>
                <w:rFonts w:ascii="Arial" w:hAnsi="Arial" w:cs="Arial"/>
                <w:sz w:val="18"/>
                <w:szCs w:val="18"/>
                <w:lang w:val="en-GB"/>
              </w:rPr>
              <w:t>hunting.</w:t>
            </w:r>
          </w:p>
        </w:tc>
        <w:tc>
          <w:tcPr>
            <w:tcW w:w="1126" w:type="dxa"/>
          </w:tcPr>
          <w:p w14:paraId="07F918F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Essential</w:t>
            </w:r>
          </w:p>
        </w:tc>
        <w:tc>
          <w:tcPr>
            <w:tcW w:w="1131" w:type="dxa"/>
          </w:tcPr>
          <w:p w14:paraId="7A407C7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Immediate</w:t>
            </w:r>
          </w:p>
        </w:tc>
        <w:tc>
          <w:tcPr>
            <w:tcW w:w="2657" w:type="dxa"/>
          </w:tcPr>
          <w:p w14:paraId="16F50522"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FACE, NATIONAL HUNTING FEDERATIONS</w:t>
            </w:r>
            <w:r w:rsidRPr="006A313E">
              <w:rPr>
                <w:rFonts w:ascii="Arial" w:hAnsi="Arial" w:cs="Arial"/>
                <w:sz w:val="18"/>
                <w:szCs w:val="18"/>
                <w:lang w:val="en-GB"/>
              </w:rPr>
              <w:t>.</w:t>
            </w:r>
          </w:p>
        </w:tc>
        <w:tc>
          <w:tcPr>
            <w:tcW w:w="2419" w:type="dxa"/>
          </w:tcPr>
          <w:p w14:paraId="50D29988"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2.2.1 and input from Conservation NGOs.</w:t>
            </w:r>
          </w:p>
        </w:tc>
      </w:tr>
      <w:tr w:rsidR="00C96521" w:rsidRPr="006A313E" w14:paraId="2BD1F07E" w14:textId="77777777" w:rsidTr="00C96521">
        <w:tc>
          <w:tcPr>
            <w:tcW w:w="2326" w:type="dxa"/>
            <w:vMerge/>
          </w:tcPr>
          <w:p w14:paraId="7B0C0022" w14:textId="77777777" w:rsidR="00C96521" w:rsidRPr="006A313E" w:rsidRDefault="00C96521" w:rsidP="00C96521">
            <w:pPr>
              <w:widowControl/>
              <w:autoSpaceDE/>
              <w:autoSpaceDN/>
              <w:adjustRightInd/>
              <w:rPr>
                <w:rFonts w:ascii="Arial" w:hAnsi="Arial" w:cs="Arial"/>
                <w:sz w:val="18"/>
                <w:szCs w:val="18"/>
                <w:lang w:val="en-GB"/>
              </w:rPr>
            </w:pPr>
          </w:p>
        </w:tc>
        <w:tc>
          <w:tcPr>
            <w:tcW w:w="4516" w:type="dxa"/>
          </w:tcPr>
          <w:p w14:paraId="166E22D2"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3.3.2</w:t>
            </w:r>
          </w:p>
          <w:p w14:paraId="1A3A9F8B" w14:textId="59E72CD0"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The International Council for Game and Wildlife Conservation promotes good practice hunting tourism of </w:t>
            </w:r>
            <w:r w:rsidR="008807BF" w:rsidRPr="006A313E">
              <w:rPr>
                <w:rFonts w:ascii="Arial" w:hAnsi="Arial" w:cs="Arial"/>
                <w:sz w:val="18"/>
                <w:szCs w:val="18"/>
                <w:lang w:val="en-GB"/>
              </w:rPr>
              <w:t xml:space="preserve">Turtle Dove </w:t>
            </w:r>
            <w:r w:rsidRPr="006A313E">
              <w:rPr>
                <w:rFonts w:ascii="Arial" w:hAnsi="Arial" w:cs="Arial"/>
                <w:sz w:val="18"/>
                <w:szCs w:val="18"/>
                <w:lang w:val="en-GB"/>
              </w:rPr>
              <w:t>outside Europe.</w:t>
            </w:r>
          </w:p>
          <w:p w14:paraId="56075563" w14:textId="77777777" w:rsidR="00C96521" w:rsidRPr="006A313E" w:rsidRDefault="00C96521" w:rsidP="00C96521">
            <w:pPr>
              <w:widowControl/>
              <w:autoSpaceDE/>
              <w:autoSpaceDN/>
              <w:adjustRightInd/>
              <w:rPr>
                <w:rFonts w:ascii="Arial" w:hAnsi="Arial" w:cs="Arial"/>
                <w:sz w:val="18"/>
                <w:szCs w:val="18"/>
                <w:lang w:val="en-GB"/>
              </w:rPr>
            </w:pPr>
          </w:p>
          <w:p w14:paraId="7263922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Range States where hunting tourism occurs.</w:t>
            </w:r>
          </w:p>
        </w:tc>
        <w:tc>
          <w:tcPr>
            <w:tcW w:w="1126" w:type="dxa"/>
          </w:tcPr>
          <w:p w14:paraId="70EABE2D"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Medium</w:t>
            </w:r>
          </w:p>
        </w:tc>
        <w:tc>
          <w:tcPr>
            <w:tcW w:w="1131" w:type="dxa"/>
          </w:tcPr>
          <w:p w14:paraId="788EC6A5"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657" w:type="dxa"/>
          </w:tcPr>
          <w:p w14:paraId="1867A35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FACE, NATIONAL HUNTING FEDERATIONS</w:t>
            </w:r>
            <w:r w:rsidRPr="006A313E">
              <w:rPr>
                <w:rFonts w:ascii="Arial" w:hAnsi="Arial" w:cs="Arial"/>
                <w:sz w:val="18"/>
                <w:szCs w:val="18"/>
                <w:lang w:val="en-GB"/>
              </w:rPr>
              <w:t>.</w:t>
            </w:r>
          </w:p>
        </w:tc>
        <w:tc>
          <w:tcPr>
            <w:tcW w:w="2419" w:type="dxa"/>
          </w:tcPr>
          <w:p w14:paraId="5AF26D77"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3.4.1</w:t>
            </w:r>
          </w:p>
          <w:p w14:paraId="215E49CC"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3.4.2</w:t>
            </w:r>
          </w:p>
          <w:p w14:paraId="3941C93D" w14:textId="77777777" w:rsidR="00C96521" w:rsidRPr="006A313E" w:rsidRDefault="00C96521" w:rsidP="00C96521">
            <w:pPr>
              <w:widowControl/>
              <w:autoSpaceDE/>
              <w:autoSpaceDN/>
              <w:adjustRightInd/>
              <w:rPr>
                <w:rFonts w:ascii="Arial" w:hAnsi="Arial" w:cs="Arial"/>
                <w:sz w:val="18"/>
                <w:szCs w:val="18"/>
                <w:lang w:val="en-GB"/>
              </w:rPr>
            </w:pPr>
          </w:p>
        </w:tc>
      </w:tr>
      <w:tr w:rsidR="00C96521" w:rsidRPr="006A313E" w14:paraId="5A5A035A" w14:textId="77777777" w:rsidTr="00C96521">
        <w:tc>
          <w:tcPr>
            <w:tcW w:w="2326" w:type="dxa"/>
            <w:vMerge w:val="restart"/>
          </w:tcPr>
          <w:p w14:paraId="3003E89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3.4 Consistent turtle-dove hunting legislation across the flyway by [</w:t>
            </w:r>
            <w:r w:rsidRPr="006A313E">
              <w:rPr>
                <w:rFonts w:ascii="Arial" w:hAnsi="Arial" w:cs="Arial"/>
                <w:i/>
                <w:sz w:val="18"/>
                <w:szCs w:val="18"/>
                <w:lang w:val="en-GB"/>
              </w:rPr>
              <w:t>2020</w:t>
            </w:r>
            <w:r w:rsidRPr="006A313E">
              <w:rPr>
                <w:rFonts w:ascii="Arial" w:hAnsi="Arial" w:cs="Arial"/>
                <w:sz w:val="18"/>
                <w:szCs w:val="18"/>
                <w:lang w:val="en-GB"/>
              </w:rPr>
              <w:t>].</w:t>
            </w:r>
          </w:p>
        </w:tc>
        <w:tc>
          <w:tcPr>
            <w:tcW w:w="4516" w:type="dxa"/>
          </w:tcPr>
          <w:p w14:paraId="20FFBCE2"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3.4.1</w:t>
            </w:r>
          </w:p>
          <w:p w14:paraId="0DFDE885"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Carry out a survey of national legislation across the flyway legislation.</w:t>
            </w:r>
          </w:p>
          <w:p w14:paraId="60CDF58E" w14:textId="77777777" w:rsidR="00C96521" w:rsidRPr="006A313E" w:rsidRDefault="00C96521" w:rsidP="00C96521">
            <w:pPr>
              <w:widowControl/>
              <w:autoSpaceDE/>
              <w:autoSpaceDN/>
              <w:adjustRightInd/>
              <w:rPr>
                <w:rFonts w:ascii="Arial" w:hAnsi="Arial" w:cs="Arial"/>
                <w:sz w:val="18"/>
                <w:szCs w:val="18"/>
                <w:lang w:val="en-GB"/>
              </w:rPr>
            </w:pPr>
          </w:p>
          <w:p w14:paraId="58522E1D"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Range States.</w:t>
            </w:r>
          </w:p>
        </w:tc>
        <w:tc>
          <w:tcPr>
            <w:tcW w:w="1126" w:type="dxa"/>
          </w:tcPr>
          <w:p w14:paraId="63BFED18"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High</w:t>
            </w:r>
          </w:p>
        </w:tc>
        <w:tc>
          <w:tcPr>
            <w:tcW w:w="1131" w:type="dxa"/>
          </w:tcPr>
          <w:p w14:paraId="54F7946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657" w:type="dxa"/>
          </w:tcPr>
          <w:p w14:paraId="3904EF5D"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FACE</w:t>
            </w:r>
            <w:r w:rsidRPr="006A313E">
              <w:rPr>
                <w:rFonts w:ascii="Arial" w:hAnsi="Arial" w:cs="Arial"/>
                <w:sz w:val="18"/>
                <w:szCs w:val="18"/>
                <w:lang w:val="en-GB"/>
              </w:rPr>
              <w:t>, conservation NGOs, national hunting federations, national wildlife agencies</w:t>
            </w:r>
          </w:p>
        </w:tc>
        <w:tc>
          <w:tcPr>
            <w:tcW w:w="2419" w:type="dxa"/>
          </w:tcPr>
          <w:p w14:paraId="0D5F824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EU Sustainable Hunting Guide, national legislation.</w:t>
            </w:r>
          </w:p>
          <w:p w14:paraId="2414A552"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Birds Directive</w:t>
            </w:r>
          </w:p>
          <w:p w14:paraId="47170CFC" w14:textId="77777777" w:rsidR="00C96521" w:rsidRPr="006A313E" w:rsidRDefault="00C96521" w:rsidP="00C96521">
            <w:pPr>
              <w:widowControl/>
              <w:autoSpaceDE/>
              <w:autoSpaceDN/>
              <w:adjustRightInd/>
              <w:rPr>
                <w:rFonts w:ascii="Arial" w:hAnsi="Arial" w:cs="Arial"/>
                <w:color w:val="FF0000"/>
                <w:sz w:val="18"/>
                <w:szCs w:val="18"/>
                <w:lang w:val="en-GB"/>
              </w:rPr>
            </w:pPr>
          </w:p>
        </w:tc>
      </w:tr>
      <w:tr w:rsidR="00C96521" w:rsidRPr="006A313E" w14:paraId="605A5F31" w14:textId="77777777" w:rsidTr="00C96521">
        <w:tc>
          <w:tcPr>
            <w:tcW w:w="2326" w:type="dxa"/>
            <w:vMerge/>
          </w:tcPr>
          <w:p w14:paraId="4A3F6B70" w14:textId="77777777" w:rsidR="00C96521" w:rsidRPr="006A313E" w:rsidRDefault="00C96521" w:rsidP="00C96521">
            <w:pPr>
              <w:widowControl/>
              <w:autoSpaceDE/>
              <w:autoSpaceDN/>
              <w:adjustRightInd/>
              <w:rPr>
                <w:rFonts w:ascii="Arial" w:hAnsi="Arial" w:cs="Arial"/>
                <w:sz w:val="18"/>
                <w:szCs w:val="18"/>
                <w:lang w:val="en-GB"/>
              </w:rPr>
            </w:pPr>
          </w:p>
        </w:tc>
        <w:tc>
          <w:tcPr>
            <w:tcW w:w="4516" w:type="dxa"/>
          </w:tcPr>
          <w:p w14:paraId="7E09760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3.4.2</w:t>
            </w:r>
          </w:p>
          <w:p w14:paraId="4C031D80" w14:textId="5B01EAD9"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Ensure National Threat Status is up</w:t>
            </w:r>
            <w:r w:rsidR="008807BF" w:rsidRPr="006A313E">
              <w:rPr>
                <w:rFonts w:ascii="Arial" w:hAnsi="Arial" w:cs="Arial"/>
                <w:sz w:val="18"/>
                <w:szCs w:val="18"/>
                <w:lang w:val="en-GB"/>
              </w:rPr>
              <w:t xml:space="preserve"> </w:t>
            </w:r>
            <w:r w:rsidRPr="006A313E">
              <w:rPr>
                <w:rFonts w:ascii="Arial" w:hAnsi="Arial" w:cs="Arial"/>
                <w:sz w:val="18"/>
                <w:szCs w:val="18"/>
                <w:lang w:val="en-GB"/>
              </w:rPr>
              <w:t>to</w:t>
            </w:r>
            <w:r w:rsidR="008807BF" w:rsidRPr="006A313E">
              <w:rPr>
                <w:rFonts w:ascii="Arial" w:hAnsi="Arial" w:cs="Arial"/>
                <w:sz w:val="18"/>
                <w:szCs w:val="18"/>
                <w:lang w:val="en-GB"/>
              </w:rPr>
              <w:t xml:space="preserve"> </w:t>
            </w:r>
            <w:r w:rsidRPr="006A313E">
              <w:rPr>
                <w:rFonts w:ascii="Arial" w:hAnsi="Arial" w:cs="Arial"/>
                <w:sz w:val="18"/>
                <w:szCs w:val="18"/>
                <w:lang w:val="en-GB"/>
              </w:rPr>
              <w:t>date in relation to latest available information.</w:t>
            </w:r>
          </w:p>
          <w:p w14:paraId="2E8FA1AD" w14:textId="77777777" w:rsidR="00C96521" w:rsidRPr="006A313E" w:rsidRDefault="00C96521" w:rsidP="00C96521">
            <w:pPr>
              <w:widowControl/>
              <w:autoSpaceDE/>
              <w:autoSpaceDN/>
              <w:adjustRightInd/>
              <w:rPr>
                <w:rFonts w:ascii="Arial" w:hAnsi="Arial" w:cs="Arial"/>
                <w:sz w:val="18"/>
                <w:szCs w:val="18"/>
                <w:lang w:val="en-GB"/>
              </w:rPr>
            </w:pPr>
          </w:p>
          <w:p w14:paraId="573A2C15"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Range States.</w:t>
            </w:r>
          </w:p>
        </w:tc>
        <w:tc>
          <w:tcPr>
            <w:tcW w:w="1126" w:type="dxa"/>
          </w:tcPr>
          <w:p w14:paraId="6DBA1158"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High</w:t>
            </w:r>
          </w:p>
        </w:tc>
        <w:tc>
          <w:tcPr>
            <w:tcW w:w="1131" w:type="dxa"/>
          </w:tcPr>
          <w:p w14:paraId="1638568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657" w:type="dxa"/>
          </w:tcPr>
          <w:p w14:paraId="0A5B5E52"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b/>
                <w:sz w:val="18"/>
                <w:szCs w:val="18"/>
                <w:lang w:val="en-GB"/>
              </w:rPr>
              <w:t>NATIONAL GOVERNMENTS</w:t>
            </w:r>
            <w:r w:rsidRPr="006A313E">
              <w:rPr>
                <w:rFonts w:ascii="Arial" w:hAnsi="Arial" w:cs="Arial"/>
                <w:sz w:val="18"/>
                <w:szCs w:val="18"/>
                <w:lang w:val="en-GB"/>
              </w:rPr>
              <w:t>, conservation NGOs, FACE</w:t>
            </w:r>
          </w:p>
        </w:tc>
        <w:tc>
          <w:tcPr>
            <w:tcW w:w="2419" w:type="dxa"/>
          </w:tcPr>
          <w:p w14:paraId="6E3E1FE4"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3.4.1</w:t>
            </w:r>
          </w:p>
        </w:tc>
      </w:tr>
      <w:tr w:rsidR="00C96521" w:rsidRPr="006A313E" w14:paraId="013EA692" w14:textId="77777777" w:rsidTr="00C96521">
        <w:tc>
          <w:tcPr>
            <w:tcW w:w="2326" w:type="dxa"/>
            <w:vMerge/>
          </w:tcPr>
          <w:p w14:paraId="0602D443" w14:textId="77777777" w:rsidR="00C96521" w:rsidRPr="006A313E" w:rsidRDefault="00C96521" w:rsidP="00C96521">
            <w:pPr>
              <w:widowControl/>
              <w:autoSpaceDE/>
              <w:autoSpaceDN/>
              <w:adjustRightInd/>
              <w:rPr>
                <w:rFonts w:ascii="Arial" w:hAnsi="Arial" w:cs="Arial"/>
                <w:sz w:val="18"/>
                <w:szCs w:val="18"/>
                <w:lang w:val="en-GB"/>
              </w:rPr>
            </w:pPr>
          </w:p>
        </w:tc>
        <w:tc>
          <w:tcPr>
            <w:tcW w:w="4516" w:type="dxa"/>
          </w:tcPr>
          <w:p w14:paraId="3595D2AD"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3.4.3</w:t>
            </w:r>
          </w:p>
          <w:p w14:paraId="4FC00380" w14:textId="09D87A42"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Lobby to ensure that national legislation is appropriate to ensure hunting of </w:t>
            </w:r>
            <w:r w:rsidR="008807BF" w:rsidRPr="006A313E">
              <w:rPr>
                <w:rFonts w:ascii="Arial" w:hAnsi="Arial" w:cs="Arial"/>
                <w:sz w:val="18"/>
                <w:szCs w:val="18"/>
                <w:lang w:val="en-GB"/>
              </w:rPr>
              <w:t xml:space="preserve">Turtle Dove </w:t>
            </w:r>
            <w:r w:rsidRPr="006A313E">
              <w:rPr>
                <w:rFonts w:ascii="Arial" w:hAnsi="Arial" w:cs="Arial"/>
                <w:sz w:val="18"/>
                <w:szCs w:val="18"/>
                <w:lang w:val="en-GB"/>
              </w:rPr>
              <w:t>is consistent with harvest management measures and enforcement carried out.</w:t>
            </w:r>
          </w:p>
          <w:p w14:paraId="14531860" w14:textId="77777777" w:rsidR="00C96521" w:rsidRPr="006A313E" w:rsidRDefault="00C96521" w:rsidP="00C96521">
            <w:pPr>
              <w:widowControl/>
              <w:autoSpaceDE/>
              <w:autoSpaceDN/>
              <w:adjustRightInd/>
              <w:rPr>
                <w:rFonts w:ascii="Arial" w:hAnsi="Arial" w:cs="Arial"/>
                <w:sz w:val="18"/>
                <w:szCs w:val="18"/>
                <w:lang w:val="en-GB"/>
              </w:rPr>
            </w:pPr>
          </w:p>
          <w:p w14:paraId="52DACA4E"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Range States where there is hunting.</w:t>
            </w:r>
          </w:p>
        </w:tc>
        <w:tc>
          <w:tcPr>
            <w:tcW w:w="1126" w:type="dxa"/>
          </w:tcPr>
          <w:p w14:paraId="2E8FEB5A"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High</w:t>
            </w:r>
          </w:p>
        </w:tc>
        <w:tc>
          <w:tcPr>
            <w:tcW w:w="1131" w:type="dxa"/>
          </w:tcPr>
          <w:p w14:paraId="6244AD71"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657" w:type="dxa"/>
          </w:tcPr>
          <w:p w14:paraId="7FBEA868" w14:textId="77777777" w:rsidR="00C96521" w:rsidRPr="006A313E" w:rsidRDefault="00C96521" w:rsidP="00C96521">
            <w:pPr>
              <w:widowControl/>
              <w:autoSpaceDE/>
              <w:autoSpaceDN/>
              <w:adjustRightInd/>
              <w:rPr>
                <w:rFonts w:ascii="Arial" w:hAnsi="Arial" w:cs="Arial"/>
                <w:b/>
                <w:sz w:val="18"/>
                <w:szCs w:val="18"/>
                <w:lang w:val="en-GB"/>
              </w:rPr>
            </w:pPr>
            <w:r w:rsidRPr="006A313E">
              <w:rPr>
                <w:rFonts w:ascii="Arial" w:hAnsi="Arial" w:cs="Arial"/>
                <w:b/>
                <w:sz w:val="18"/>
                <w:szCs w:val="18"/>
                <w:lang w:val="en-GB"/>
              </w:rPr>
              <w:t>CONSERVATION NGOs</w:t>
            </w:r>
          </w:p>
        </w:tc>
        <w:tc>
          <w:tcPr>
            <w:tcW w:w="2419" w:type="dxa"/>
          </w:tcPr>
          <w:p w14:paraId="504F8E3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3.4.1</w:t>
            </w:r>
          </w:p>
          <w:p w14:paraId="1710F974"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3.4.2</w:t>
            </w:r>
          </w:p>
        </w:tc>
      </w:tr>
      <w:tr w:rsidR="00C96521" w:rsidRPr="006A313E" w14:paraId="76DD282A" w14:textId="77777777" w:rsidTr="00C96521">
        <w:tc>
          <w:tcPr>
            <w:tcW w:w="2326" w:type="dxa"/>
            <w:vMerge/>
          </w:tcPr>
          <w:p w14:paraId="5B88D0D5" w14:textId="77777777" w:rsidR="00C96521" w:rsidRPr="006A313E" w:rsidRDefault="00C96521" w:rsidP="00C96521">
            <w:pPr>
              <w:widowControl/>
              <w:autoSpaceDE/>
              <w:autoSpaceDN/>
              <w:adjustRightInd/>
              <w:rPr>
                <w:rFonts w:ascii="Arial" w:hAnsi="Arial" w:cs="Arial"/>
                <w:sz w:val="18"/>
                <w:szCs w:val="18"/>
                <w:lang w:val="en-GB"/>
              </w:rPr>
            </w:pPr>
          </w:p>
        </w:tc>
        <w:tc>
          <w:tcPr>
            <w:tcW w:w="4516" w:type="dxa"/>
          </w:tcPr>
          <w:p w14:paraId="2AC05226"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Action 3.4.4</w:t>
            </w:r>
          </w:p>
          <w:p w14:paraId="2F1C47C9" w14:textId="3B505200"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 xml:space="preserve">Ensure links to the Convention on Biological Diversity through inclusion of the </w:t>
            </w:r>
            <w:r w:rsidR="008807BF" w:rsidRPr="006A313E">
              <w:rPr>
                <w:rFonts w:ascii="Arial" w:hAnsi="Arial" w:cs="Arial"/>
                <w:sz w:val="18"/>
                <w:szCs w:val="18"/>
                <w:lang w:val="en-GB"/>
              </w:rPr>
              <w:t xml:space="preserve">Turtle Dove </w:t>
            </w:r>
            <w:r w:rsidRPr="006A313E">
              <w:rPr>
                <w:rFonts w:ascii="Arial" w:hAnsi="Arial" w:cs="Arial"/>
                <w:sz w:val="18"/>
                <w:szCs w:val="18"/>
                <w:lang w:val="en-GB"/>
              </w:rPr>
              <w:t xml:space="preserve">in National Biodiversity Strategy and Action Plans, ensuring regular national reporting, particularly for non-EU </w:t>
            </w:r>
            <w:r w:rsidR="008807BF" w:rsidRPr="006A313E">
              <w:rPr>
                <w:rFonts w:ascii="Arial" w:hAnsi="Arial" w:cs="Arial"/>
                <w:sz w:val="18"/>
                <w:szCs w:val="18"/>
                <w:lang w:val="en-GB"/>
              </w:rPr>
              <w:t>R</w:t>
            </w:r>
            <w:r w:rsidRPr="006A313E">
              <w:rPr>
                <w:rFonts w:ascii="Arial" w:hAnsi="Arial" w:cs="Arial"/>
                <w:sz w:val="18"/>
                <w:szCs w:val="18"/>
                <w:lang w:val="en-GB"/>
              </w:rPr>
              <w:t xml:space="preserve">ange </w:t>
            </w:r>
            <w:r w:rsidR="008807BF" w:rsidRPr="006A313E">
              <w:rPr>
                <w:rFonts w:ascii="Arial" w:hAnsi="Arial" w:cs="Arial"/>
                <w:sz w:val="18"/>
                <w:szCs w:val="18"/>
                <w:lang w:val="en-GB"/>
              </w:rPr>
              <w:t>S</w:t>
            </w:r>
            <w:r w:rsidRPr="006A313E">
              <w:rPr>
                <w:rFonts w:ascii="Arial" w:hAnsi="Arial" w:cs="Arial"/>
                <w:sz w:val="18"/>
                <w:szCs w:val="18"/>
                <w:lang w:val="en-GB"/>
              </w:rPr>
              <w:t>tates not covered by Article 12 reporting.</w:t>
            </w:r>
          </w:p>
          <w:p w14:paraId="6AFAA489" w14:textId="77777777" w:rsidR="00C96521" w:rsidRPr="006A313E" w:rsidRDefault="00C96521" w:rsidP="00C96521">
            <w:pPr>
              <w:widowControl/>
              <w:autoSpaceDE/>
              <w:autoSpaceDN/>
              <w:adjustRightInd/>
              <w:rPr>
                <w:rFonts w:ascii="Arial" w:hAnsi="Arial" w:cs="Arial"/>
                <w:sz w:val="18"/>
                <w:szCs w:val="18"/>
                <w:lang w:val="en-GB"/>
              </w:rPr>
            </w:pPr>
          </w:p>
          <w:p w14:paraId="2C8716A7"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Applicable to: all Range States.</w:t>
            </w:r>
          </w:p>
        </w:tc>
        <w:tc>
          <w:tcPr>
            <w:tcW w:w="1126" w:type="dxa"/>
          </w:tcPr>
          <w:p w14:paraId="557CDA4F"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High</w:t>
            </w:r>
          </w:p>
        </w:tc>
        <w:tc>
          <w:tcPr>
            <w:tcW w:w="1131" w:type="dxa"/>
          </w:tcPr>
          <w:p w14:paraId="31CFFA24"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Short</w:t>
            </w:r>
          </w:p>
        </w:tc>
        <w:tc>
          <w:tcPr>
            <w:tcW w:w="2657" w:type="dxa"/>
          </w:tcPr>
          <w:p w14:paraId="12BC1112" w14:textId="77777777" w:rsidR="00C96521" w:rsidRPr="006A313E" w:rsidRDefault="00C96521" w:rsidP="00C96521">
            <w:pPr>
              <w:widowControl/>
              <w:autoSpaceDE/>
              <w:autoSpaceDN/>
              <w:adjustRightInd/>
              <w:rPr>
                <w:rFonts w:ascii="Arial" w:hAnsi="Arial" w:cs="Arial"/>
                <w:b/>
                <w:sz w:val="18"/>
                <w:szCs w:val="18"/>
                <w:lang w:val="en-GB"/>
              </w:rPr>
            </w:pPr>
            <w:r w:rsidRPr="006A313E">
              <w:rPr>
                <w:rFonts w:ascii="Arial" w:hAnsi="Arial" w:cs="Arial"/>
                <w:b/>
                <w:sz w:val="18"/>
                <w:szCs w:val="18"/>
                <w:lang w:val="en-GB"/>
              </w:rPr>
              <w:t>NATIONAL GOVERNMENTS</w:t>
            </w:r>
          </w:p>
        </w:tc>
        <w:tc>
          <w:tcPr>
            <w:tcW w:w="2419" w:type="dxa"/>
          </w:tcPr>
          <w:p w14:paraId="53E798C9" w14:textId="77777777" w:rsidR="00C96521" w:rsidRPr="006A313E" w:rsidRDefault="00C96521" w:rsidP="00C96521">
            <w:pPr>
              <w:widowControl/>
              <w:autoSpaceDE/>
              <w:autoSpaceDN/>
              <w:adjustRightInd/>
              <w:rPr>
                <w:rFonts w:ascii="Arial" w:hAnsi="Arial" w:cs="Arial"/>
                <w:sz w:val="18"/>
                <w:szCs w:val="18"/>
                <w:lang w:val="en-GB"/>
              </w:rPr>
            </w:pPr>
            <w:r w:rsidRPr="006A313E">
              <w:rPr>
                <w:rFonts w:ascii="Arial" w:hAnsi="Arial" w:cs="Arial"/>
                <w:sz w:val="18"/>
                <w:szCs w:val="18"/>
                <w:lang w:val="en-GB"/>
              </w:rPr>
              <w:t>National Biodiversity Strategy and Action Plans.</w:t>
            </w:r>
          </w:p>
        </w:tc>
      </w:tr>
    </w:tbl>
    <w:p w14:paraId="1D5AC899" w14:textId="77777777" w:rsidR="00C96521" w:rsidRPr="005D4262" w:rsidRDefault="00C96521" w:rsidP="00C96521">
      <w:pPr>
        <w:widowControl/>
        <w:autoSpaceDE/>
        <w:autoSpaceDN/>
        <w:adjustRightInd/>
        <w:spacing w:line="276" w:lineRule="auto"/>
        <w:rPr>
          <w:rFonts w:eastAsia="MS Mincho" w:cs="Arial"/>
          <w:szCs w:val="18"/>
          <w:lang w:val="en-GB" w:eastAsia="ja-JP"/>
        </w:rPr>
      </w:pPr>
    </w:p>
    <w:p w14:paraId="3ECE5A71" w14:textId="77777777" w:rsidR="00C96521" w:rsidRPr="005D4262" w:rsidRDefault="00C96521" w:rsidP="00C96521">
      <w:pPr>
        <w:widowControl/>
        <w:autoSpaceDE/>
        <w:autoSpaceDN/>
        <w:adjustRightInd/>
        <w:spacing w:line="276" w:lineRule="auto"/>
        <w:rPr>
          <w:rFonts w:eastAsia="MS Mincho" w:cs="Arial"/>
          <w:szCs w:val="18"/>
          <w:lang w:val="en-GB" w:eastAsia="ja-JP"/>
        </w:rPr>
      </w:pPr>
    </w:p>
    <w:tbl>
      <w:tblPr>
        <w:tblStyle w:val="TableGrid"/>
        <w:tblW w:w="0" w:type="auto"/>
        <w:tblLook w:val="04A0" w:firstRow="1" w:lastRow="0" w:firstColumn="1" w:lastColumn="0" w:noHBand="0" w:noVBand="1"/>
      </w:tblPr>
      <w:tblGrid>
        <w:gridCol w:w="2340"/>
        <w:gridCol w:w="4572"/>
        <w:gridCol w:w="993"/>
        <w:gridCol w:w="1134"/>
        <w:gridCol w:w="2693"/>
        <w:gridCol w:w="2443"/>
      </w:tblGrid>
      <w:tr w:rsidR="00C96521" w:rsidRPr="006437E1" w14:paraId="21CE0FF0" w14:textId="77777777" w:rsidTr="006A313E">
        <w:trPr>
          <w:tblHeader/>
        </w:trPr>
        <w:tc>
          <w:tcPr>
            <w:tcW w:w="14175" w:type="dxa"/>
            <w:gridSpan w:val="6"/>
            <w:shd w:val="clear" w:color="auto" w:fill="BFBFBF" w:themeFill="background1" w:themeFillShade="BF"/>
          </w:tcPr>
          <w:p w14:paraId="0D70781F" w14:textId="28F4306E"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Objective 4: Good quantity and quality of suitable </w:t>
            </w:r>
            <w:r w:rsidR="008807BF" w:rsidRPr="006437E1">
              <w:rPr>
                <w:rFonts w:ascii="Arial" w:hAnsi="Arial" w:cs="Arial"/>
                <w:sz w:val="18"/>
                <w:szCs w:val="18"/>
                <w:lang w:val="en-GB"/>
              </w:rPr>
              <w:t xml:space="preserve">Turtle Dove </w:t>
            </w:r>
            <w:r w:rsidRPr="006437E1">
              <w:rPr>
                <w:rFonts w:ascii="Arial" w:hAnsi="Arial" w:cs="Arial"/>
                <w:sz w:val="18"/>
                <w:szCs w:val="18"/>
                <w:lang w:val="en-GB"/>
              </w:rPr>
              <w:t>habitat, with available and accessible water and food, are maintained and increased at key sites for stop-over and overwintering.</w:t>
            </w:r>
          </w:p>
          <w:p w14:paraId="2EBCF349"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Threat - Lack of one or more of the three essential requirements at key sites while on migration/overwintering: food, water, roosting locations (High)</w:t>
            </w:r>
          </w:p>
        </w:tc>
      </w:tr>
      <w:tr w:rsidR="00C96521" w:rsidRPr="006437E1" w14:paraId="1C4AD727" w14:textId="77777777" w:rsidTr="00C96521">
        <w:trPr>
          <w:tblHeader/>
        </w:trPr>
        <w:tc>
          <w:tcPr>
            <w:tcW w:w="2340" w:type="dxa"/>
            <w:shd w:val="clear" w:color="auto" w:fill="D9D9D9"/>
          </w:tcPr>
          <w:p w14:paraId="79462A8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Result</w:t>
            </w:r>
          </w:p>
        </w:tc>
        <w:tc>
          <w:tcPr>
            <w:tcW w:w="4572" w:type="dxa"/>
            <w:shd w:val="clear" w:color="auto" w:fill="D9D9D9"/>
          </w:tcPr>
          <w:p w14:paraId="13DB3E3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and scope</w:t>
            </w:r>
          </w:p>
        </w:tc>
        <w:tc>
          <w:tcPr>
            <w:tcW w:w="993" w:type="dxa"/>
            <w:shd w:val="clear" w:color="auto" w:fill="D9D9D9"/>
          </w:tcPr>
          <w:p w14:paraId="5CED7EB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Priority</w:t>
            </w:r>
          </w:p>
        </w:tc>
        <w:tc>
          <w:tcPr>
            <w:tcW w:w="1134" w:type="dxa"/>
            <w:shd w:val="clear" w:color="auto" w:fill="D9D9D9"/>
          </w:tcPr>
          <w:p w14:paraId="1E22428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Timescale</w:t>
            </w:r>
          </w:p>
        </w:tc>
        <w:tc>
          <w:tcPr>
            <w:tcW w:w="2693" w:type="dxa"/>
            <w:shd w:val="clear" w:color="auto" w:fill="D9D9D9"/>
          </w:tcPr>
          <w:p w14:paraId="235F73BD" w14:textId="05D7AE56"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Organi</w:t>
            </w:r>
            <w:r w:rsidR="008807BF" w:rsidRPr="006437E1">
              <w:rPr>
                <w:rFonts w:ascii="Arial" w:hAnsi="Arial" w:cs="Arial"/>
                <w:sz w:val="18"/>
                <w:szCs w:val="18"/>
                <w:lang w:val="en-GB"/>
              </w:rPr>
              <w:t>z</w:t>
            </w:r>
            <w:r w:rsidRPr="006437E1">
              <w:rPr>
                <w:rFonts w:ascii="Arial" w:hAnsi="Arial" w:cs="Arial"/>
                <w:sz w:val="18"/>
                <w:szCs w:val="18"/>
                <w:lang w:val="en-GB"/>
              </w:rPr>
              <w:t>ations responsible</w:t>
            </w:r>
          </w:p>
        </w:tc>
        <w:tc>
          <w:tcPr>
            <w:tcW w:w="2443" w:type="dxa"/>
            <w:shd w:val="clear" w:color="auto" w:fill="D9D9D9"/>
          </w:tcPr>
          <w:p w14:paraId="1FE7D7B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Inputs required</w:t>
            </w:r>
          </w:p>
        </w:tc>
      </w:tr>
      <w:tr w:rsidR="00C96521" w:rsidRPr="006437E1" w14:paraId="58D19911" w14:textId="77777777" w:rsidTr="00C96521">
        <w:tc>
          <w:tcPr>
            <w:tcW w:w="2340" w:type="dxa"/>
            <w:vMerge w:val="restart"/>
          </w:tcPr>
          <w:p w14:paraId="7E2CC6EF" w14:textId="4376D550"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4.1 Water availability improved for </w:t>
            </w:r>
            <w:r w:rsidR="008807BF" w:rsidRPr="006437E1">
              <w:rPr>
                <w:rFonts w:ascii="Arial" w:hAnsi="Arial" w:cs="Arial"/>
                <w:sz w:val="18"/>
                <w:szCs w:val="18"/>
                <w:lang w:val="en-GB"/>
              </w:rPr>
              <w:t xml:space="preserve">Turtle Dove </w:t>
            </w:r>
            <w:r w:rsidRPr="006437E1">
              <w:rPr>
                <w:rFonts w:ascii="Arial" w:hAnsi="Arial" w:cs="Arial"/>
                <w:sz w:val="18"/>
                <w:szCs w:val="18"/>
                <w:lang w:val="en-GB"/>
              </w:rPr>
              <w:t>in range states where the species overwinters by [</w:t>
            </w:r>
            <w:r w:rsidRPr="006437E1">
              <w:rPr>
                <w:rFonts w:ascii="Arial" w:hAnsi="Arial" w:cs="Arial"/>
                <w:i/>
                <w:sz w:val="18"/>
                <w:szCs w:val="18"/>
                <w:lang w:val="en-GB"/>
              </w:rPr>
              <w:t>2025</w:t>
            </w:r>
            <w:r w:rsidRPr="006437E1">
              <w:rPr>
                <w:rFonts w:ascii="Arial" w:hAnsi="Arial" w:cs="Arial"/>
                <w:sz w:val="18"/>
                <w:szCs w:val="18"/>
                <w:lang w:val="en-GB"/>
              </w:rPr>
              <w:t>].</w:t>
            </w:r>
          </w:p>
        </w:tc>
        <w:tc>
          <w:tcPr>
            <w:tcW w:w="4572" w:type="dxa"/>
          </w:tcPr>
          <w:p w14:paraId="16D8C1E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4.1.1</w:t>
            </w:r>
          </w:p>
          <w:p w14:paraId="52BA4C16" w14:textId="6BB0EB2C"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Evaluate water availability and persistence of sources in Africa in areas used by large numbers of </w:t>
            </w:r>
            <w:r w:rsidR="008807BF" w:rsidRPr="006437E1">
              <w:rPr>
                <w:rFonts w:ascii="Arial" w:hAnsi="Arial" w:cs="Arial"/>
                <w:sz w:val="18"/>
                <w:szCs w:val="18"/>
                <w:lang w:val="en-GB"/>
              </w:rPr>
              <w:t xml:space="preserve">Turtle Doves </w:t>
            </w:r>
          </w:p>
          <w:p w14:paraId="5005C055"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Range States in West and East Africa.</w:t>
            </w:r>
          </w:p>
        </w:tc>
        <w:tc>
          <w:tcPr>
            <w:tcW w:w="993" w:type="dxa"/>
          </w:tcPr>
          <w:p w14:paraId="07B05CA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134" w:type="dxa"/>
          </w:tcPr>
          <w:p w14:paraId="13DEB84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93" w:type="dxa"/>
          </w:tcPr>
          <w:p w14:paraId="625128B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NATIONAL GOVERNMENTS</w:t>
            </w:r>
            <w:r w:rsidRPr="006437E1">
              <w:rPr>
                <w:rFonts w:ascii="Arial" w:hAnsi="Arial" w:cs="Arial"/>
                <w:sz w:val="18"/>
                <w:szCs w:val="18"/>
                <w:lang w:val="en-GB"/>
              </w:rPr>
              <w:t>, conservation NGOs, national hunting federations, academic institutions</w:t>
            </w:r>
          </w:p>
        </w:tc>
        <w:tc>
          <w:tcPr>
            <w:tcW w:w="2443" w:type="dxa"/>
          </w:tcPr>
          <w:p w14:paraId="5E936D36"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Tracking data, hydrology data, remote sensing imagery.</w:t>
            </w:r>
          </w:p>
        </w:tc>
      </w:tr>
      <w:tr w:rsidR="00C96521" w:rsidRPr="006437E1" w14:paraId="6F841797" w14:textId="77777777" w:rsidTr="00C96521">
        <w:tc>
          <w:tcPr>
            <w:tcW w:w="2340" w:type="dxa"/>
            <w:vMerge/>
          </w:tcPr>
          <w:p w14:paraId="7BEA02F4" w14:textId="77777777" w:rsidR="00C96521" w:rsidRPr="006437E1" w:rsidRDefault="00C96521" w:rsidP="00C96521">
            <w:pPr>
              <w:widowControl/>
              <w:autoSpaceDE/>
              <w:autoSpaceDN/>
              <w:adjustRightInd/>
              <w:rPr>
                <w:rFonts w:ascii="Arial" w:hAnsi="Arial" w:cs="Arial"/>
                <w:sz w:val="18"/>
                <w:szCs w:val="18"/>
                <w:lang w:val="en-GB"/>
              </w:rPr>
            </w:pPr>
          </w:p>
        </w:tc>
        <w:tc>
          <w:tcPr>
            <w:tcW w:w="4572" w:type="dxa"/>
          </w:tcPr>
          <w:p w14:paraId="5B804C6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4.1.2</w:t>
            </w:r>
          </w:p>
          <w:p w14:paraId="64006F6C" w14:textId="090ABABB"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Implement local actions to manage water availability at key stop-over and wintering sites for </w:t>
            </w:r>
            <w:r w:rsidR="008807BF" w:rsidRPr="006437E1">
              <w:rPr>
                <w:rFonts w:ascii="Arial" w:hAnsi="Arial" w:cs="Arial"/>
                <w:sz w:val="18"/>
                <w:szCs w:val="18"/>
                <w:lang w:val="en-GB"/>
              </w:rPr>
              <w:t>Turtle Dove</w:t>
            </w:r>
          </w:p>
          <w:p w14:paraId="7FBF782B" w14:textId="77777777" w:rsidR="00C96521" w:rsidRPr="006437E1" w:rsidRDefault="00C96521" w:rsidP="00C96521">
            <w:pPr>
              <w:widowControl/>
              <w:autoSpaceDE/>
              <w:autoSpaceDN/>
              <w:adjustRightInd/>
              <w:rPr>
                <w:rFonts w:ascii="Arial" w:hAnsi="Arial" w:cs="Arial"/>
                <w:sz w:val="18"/>
                <w:szCs w:val="18"/>
                <w:lang w:val="en-GB"/>
              </w:rPr>
            </w:pPr>
          </w:p>
          <w:p w14:paraId="6F72061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Range States in West and East Africa</w:t>
            </w:r>
          </w:p>
        </w:tc>
        <w:tc>
          <w:tcPr>
            <w:tcW w:w="993" w:type="dxa"/>
          </w:tcPr>
          <w:p w14:paraId="045FFBDF"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134" w:type="dxa"/>
          </w:tcPr>
          <w:p w14:paraId="714E3BF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Long</w:t>
            </w:r>
          </w:p>
        </w:tc>
        <w:tc>
          <w:tcPr>
            <w:tcW w:w="2693" w:type="dxa"/>
          </w:tcPr>
          <w:p w14:paraId="615EE45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NATIONAL GOVERNMENTS</w:t>
            </w:r>
            <w:r w:rsidRPr="006437E1">
              <w:rPr>
                <w:rFonts w:ascii="Arial" w:hAnsi="Arial" w:cs="Arial"/>
                <w:sz w:val="18"/>
                <w:szCs w:val="18"/>
                <w:lang w:val="en-GB"/>
              </w:rPr>
              <w:t>, conservation NGOs, national hunting federations, academic institutions</w:t>
            </w:r>
          </w:p>
        </w:tc>
        <w:tc>
          <w:tcPr>
            <w:tcW w:w="2443" w:type="dxa"/>
          </w:tcPr>
          <w:p w14:paraId="106AE29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4.1.1</w:t>
            </w:r>
          </w:p>
        </w:tc>
      </w:tr>
      <w:tr w:rsidR="00C96521" w:rsidRPr="006437E1" w14:paraId="2338693F" w14:textId="77777777" w:rsidTr="00C96521">
        <w:tc>
          <w:tcPr>
            <w:tcW w:w="2340" w:type="dxa"/>
            <w:vMerge w:val="restart"/>
          </w:tcPr>
          <w:p w14:paraId="398A0068" w14:textId="46A91983"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4.2 Food availability improved for </w:t>
            </w:r>
            <w:r w:rsidR="008807BF" w:rsidRPr="006437E1">
              <w:rPr>
                <w:rFonts w:ascii="Arial" w:hAnsi="Arial" w:cs="Arial"/>
                <w:sz w:val="18"/>
                <w:szCs w:val="18"/>
                <w:lang w:val="en-GB"/>
              </w:rPr>
              <w:t xml:space="preserve">Turtle Dove </w:t>
            </w:r>
            <w:r w:rsidRPr="006437E1">
              <w:rPr>
                <w:rFonts w:ascii="Arial" w:hAnsi="Arial" w:cs="Arial"/>
                <w:sz w:val="18"/>
                <w:szCs w:val="18"/>
                <w:lang w:val="en-GB"/>
              </w:rPr>
              <w:t>in range states where the species overwinters by [</w:t>
            </w:r>
            <w:r w:rsidRPr="006437E1">
              <w:rPr>
                <w:rFonts w:ascii="Arial" w:hAnsi="Arial" w:cs="Arial"/>
                <w:i/>
                <w:sz w:val="18"/>
                <w:szCs w:val="18"/>
                <w:lang w:val="en-GB"/>
              </w:rPr>
              <w:t>2025</w:t>
            </w:r>
            <w:r w:rsidRPr="006437E1">
              <w:rPr>
                <w:rFonts w:ascii="Arial" w:hAnsi="Arial" w:cs="Arial"/>
                <w:sz w:val="18"/>
                <w:szCs w:val="18"/>
                <w:lang w:val="en-GB"/>
              </w:rPr>
              <w:t>].</w:t>
            </w:r>
          </w:p>
        </w:tc>
        <w:tc>
          <w:tcPr>
            <w:tcW w:w="4572" w:type="dxa"/>
          </w:tcPr>
          <w:p w14:paraId="7E3E55B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4.2.1</w:t>
            </w:r>
          </w:p>
          <w:p w14:paraId="386A652E"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Evaluate food availability and persistence of food sources in Africa in areas used by large numbers of turtle-doves.</w:t>
            </w:r>
          </w:p>
          <w:p w14:paraId="64B8758B" w14:textId="77777777" w:rsidR="00C96521" w:rsidRPr="006437E1" w:rsidRDefault="00C96521" w:rsidP="00C96521">
            <w:pPr>
              <w:widowControl/>
              <w:autoSpaceDE/>
              <w:autoSpaceDN/>
              <w:adjustRightInd/>
              <w:rPr>
                <w:rFonts w:ascii="Arial" w:hAnsi="Arial" w:cs="Arial"/>
                <w:sz w:val="18"/>
                <w:szCs w:val="18"/>
                <w:lang w:val="en-GB"/>
              </w:rPr>
            </w:pPr>
          </w:p>
          <w:p w14:paraId="13823B8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Range States in West and East Africa.</w:t>
            </w:r>
          </w:p>
        </w:tc>
        <w:tc>
          <w:tcPr>
            <w:tcW w:w="993" w:type="dxa"/>
          </w:tcPr>
          <w:p w14:paraId="063352D6"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134" w:type="dxa"/>
          </w:tcPr>
          <w:p w14:paraId="79FDA19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93" w:type="dxa"/>
          </w:tcPr>
          <w:p w14:paraId="122C6955"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NATIONAL GOVERNMENTS</w:t>
            </w:r>
            <w:r w:rsidRPr="006437E1">
              <w:rPr>
                <w:rFonts w:ascii="Arial" w:hAnsi="Arial" w:cs="Arial"/>
                <w:sz w:val="18"/>
                <w:szCs w:val="18"/>
                <w:lang w:val="en-GB"/>
              </w:rPr>
              <w:t>, conservation NGOs, national hunting federations, academic institutions</w:t>
            </w:r>
          </w:p>
        </w:tc>
        <w:tc>
          <w:tcPr>
            <w:tcW w:w="2443" w:type="dxa"/>
          </w:tcPr>
          <w:p w14:paraId="4CD1AF2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Tracking data, hydrology data, remote sensing imagery.</w:t>
            </w:r>
          </w:p>
        </w:tc>
      </w:tr>
      <w:tr w:rsidR="00C96521" w:rsidRPr="006437E1" w14:paraId="79324FC0" w14:textId="77777777" w:rsidTr="00C96521">
        <w:tc>
          <w:tcPr>
            <w:tcW w:w="2340" w:type="dxa"/>
            <w:vMerge/>
          </w:tcPr>
          <w:p w14:paraId="462A4AB6" w14:textId="77777777" w:rsidR="00C96521" w:rsidRPr="006437E1" w:rsidRDefault="00C96521" w:rsidP="00C96521">
            <w:pPr>
              <w:widowControl/>
              <w:autoSpaceDE/>
              <w:autoSpaceDN/>
              <w:adjustRightInd/>
              <w:rPr>
                <w:rFonts w:ascii="Arial" w:hAnsi="Arial" w:cs="Arial"/>
                <w:sz w:val="18"/>
                <w:szCs w:val="18"/>
                <w:lang w:val="en-GB"/>
              </w:rPr>
            </w:pPr>
          </w:p>
        </w:tc>
        <w:tc>
          <w:tcPr>
            <w:tcW w:w="4572" w:type="dxa"/>
          </w:tcPr>
          <w:p w14:paraId="5F81042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4.2.2</w:t>
            </w:r>
          </w:p>
          <w:p w14:paraId="738841EC" w14:textId="2179A1DC"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Implement local actions to manage food availability at key stop-over and wintering sites for </w:t>
            </w:r>
            <w:r w:rsidR="008807BF" w:rsidRPr="006437E1">
              <w:rPr>
                <w:rFonts w:ascii="Arial" w:hAnsi="Arial" w:cs="Arial"/>
                <w:sz w:val="18"/>
                <w:szCs w:val="18"/>
                <w:lang w:val="en-GB"/>
              </w:rPr>
              <w:t>Turtle Dove</w:t>
            </w:r>
          </w:p>
          <w:p w14:paraId="4D55F611" w14:textId="77777777" w:rsidR="00C96521" w:rsidRPr="006437E1" w:rsidRDefault="00C96521" w:rsidP="00C96521">
            <w:pPr>
              <w:widowControl/>
              <w:autoSpaceDE/>
              <w:autoSpaceDN/>
              <w:adjustRightInd/>
              <w:rPr>
                <w:rFonts w:ascii="Arial" w:hAnsi="Arial" w:cs="Arial"/>
                <w:sz w:val="18"/>
                <w:szCs w:val="18"/>
                <w:lang w:val="en-GB"/>
              </w:rPr>
            </w:pPr>
          </w:p>
          <w:p w14:paraId="75CDC36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Range States in West and East Africa</w:t>
            </w:r>
          </w:p>
        </w:tc>
        <w:tc>
          <w:tcPr>
            <w:tcW w:w="993" w:type="dxa"/>
          </w:tcPr>
          <w:p w14:paraId="71CEA02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134" w:type="dxa"/>
          </w:tcPr>
          <w:p w14:paraId="1EE3190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Long</w:t>
            </w:r>
          </w:p>
        </w:tc>
        <w:tc>
          <w:tcPr>
            <w:tcW w:w="2693" w:type="dxa"/>
          </w:tcPr>
          <w:p w14:paraId="09446DE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NATIONAL GOVERNMENTS</w:t>
            </w:r>
            <w:r w:rsidRPr="006437E1">
              <w:rPr>
                <w:rFonts w:ascii="Arial" w:hAnsi="Arial" w:cs="Arial"/>
                <w:sz w:val="18"/>
                <w:szCs w:val="18"/>
                <w:lang w:val="en-GB"/>
              </w:rPr>
              <w:t>, conservation NGOs, national hunting federations, academic institutions</w:t>
            </w:r>
          </w:p>
        </w:tc>
        <w:tc>
          <w:tcPr>
            <w:tcW w:w="2443" w:type="dxa"/>
          </w:tcPr>
          <w:p w14:paraId="2137EAA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4.2.1</w:t>
            </w:r>
          </w:p>
        </w:tc>
      </w:tr>
      <w:tr w:rsidR="00C96521" w:rsidRPr="006437E1" w14:paraId="50456DF5" w14:textId="77777777" w:rsidTr="00C96521">
        <w:tc>
          <w:tcPr>
            <w:tcW w:w="2340" w:type="dxa"/>
            <w:vMerge w:val="restart"/>
          </w:tcPr>
          <w:p w14:paraId="1A2A6A5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4.3 Guidelines on management of turtle-dove passage and overwintering sites for key stakeholders by [</w:t>
            </w:r>
            <w:r w:rsidRPr="006437E1">
              <w:rPr>
                <w:rFonts w:ascii="Arial" w:hAnsi="Arial" w:cs="Arial"/>
                <w:i/>
                <w:sz w:val="18"/>
                <w:szCs w:val="18"/>
                <w:lang w:val="en-GB"/>
              </w:rPr>
              <w:t>2020</w:t>
            </w:r>
            <w:r w:rsidRPr="006437E1">
              <w:rPr>
                <w:rFonts w:ascii="Arial" w:hAnsi="Arial" w:cs="Arial"/>
                <w:sz w:val="18"/>
                <w:szCs w:val="18"/>
                <w:lang w:val="en-GB"/>
              </w:rPr>
              <w:t>], and incorporated into planning by [</w:t>
            </w:r>
            <w:r w:rsidRPr="006437E1">
              <w:rPr>
                <w:rFonts w:ascii="Arial" w:hAnsi="Arial" w:cs="Arial"/>
                <w:i/>
                <w:sz w:val="18"/>
                <w:szCs w:val="18"/>
                <w:lang w:val="en-GB"/>
              </w:rPr>
              <w:t>2025</w:t>
            </w:r>
            <w:r w:rsidRPr="006437E1">
              <w:rPr>
                <w:rFonts w:ascii="Arial" w:hAnsi="Arial" w:cs="Arial"/>
                <w:sz w:val="18"/>
                <w:szCs w:val="18"/>
                <w:lang w:val="en-GB"/>
              </w:rPr>
              <w:t>].</w:t>
            </w:r>
          </w:p>
        </w:tc>
        <w:tc>
          <w:tcPr>
            <w:tcW w:w="4572" w:type="dxa"/>
          </w:tcPr>
          <w:p w14:paraId="683E738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4.3.1</w:t>
            </w:r>
          </w:p>
          <w:p w14:paraId="3EE2FFC6" w14:textId="72D2508E"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Develop, test and roll-out guidelines on managing </w:t>
            </w:r>
            <w:r w:rsidR="008807BF" w:rsidRPr="006437E1">
              <w:rPr>
                <w:rFonts w:ascii="Arial" w:hAnsi="Arial" w:cs="Arial"/>
                <w:sz w:val="18"/>
                <w:szCs w:val="18"/>
                <w:lang w:val="en-GB"/>
              </w:rPr>
              <w:t xml:space="preserve">Turtle Dove </w:t>
            </w:r>
            <w:r w:rsidRPr="006437E1">
              <w:rPr>
                <w:rFonts w:ascii="Arial" w:hAnsi="Arial" w:cs="Arial"/>
                <w:sz w:val="18"/>
                <w:szCs w:val="18"/>
                <w:lang w:val="en-GB"/>
              </w:rPr>
              <w:t>habitats at passage and overwintering sites, with regional variation as required.</w:t>
            </w:r>
          </w:p>
          <w:p w14:paraId="257B20D4" w14:textId="77777777" w:rsidR="00C96521" w:rsidRPr="006437E1" w:rsidRDefault="00C96521" w:rsidP="00C96521">
            <w:pPr>
              <w:widowControl/>
              <w:autoSpaceDE/>
              <w:autoSpaceDN/>
              <w:adjustRightInd/>
              <w:rPr>
                <w:rFonts w:ascii="Arial" w:hAnsi="Arial" w:cs="Arial"/>
                <w:sz w:val="18"/>
                <w:szCs w:val="18"/>
                <w:lang w:val="en-GB"/>
              </w:rPr>
            </w:pPr>
          </w:p>
          <w:p w14:paraId="7FA72CF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(in wintering and key stop-over Range States): forest and woodland managers; water/river managers; community and local authorities; national authorities; Protected Area managers; military land holding managers; hunting estates.</w:t>
            </w:r>
          </w:p>
        </w:tc>
        <w:tc>
          <w:tcPr>
            <w:tcW w:w="993" w:type="dxa"/>
          </w:tcPr>
          <w:p w14:paraId="4B74282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High</w:t>
            </w:r>
          </w:p>
        </w:tc>
        <w:tc>
          <w:tcPr>
            <w:tcW w:w="1134" w:type="dxa"/>
          </w:tcPr>
          <w:p w14:paraId="4234BA0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93" w:type="dxa"/>
          </w:tcPr>
          <w:p w14:paraId="7BD18D49"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NATIONAL GOVERNMENTS</w:t>
            </w:r>
            <w:r w:rsidRPr="006437E1">
              <w:rPr>
                <w:rFonts w:ascii="Arial" w:hAnsi="Arial" w:cs="Arial"/>
                <w:sz w:val="18"/>
                <w:szCs w:val="18"/>
                <w:lang w:val="en-GB"/>
              </w:rPr>
              <w:t>, conservation NGOs, national hunting federations, academic institutions, land managers, water resource managers, community and local authorities</w:t>
            </w:r>
          </w:p>
        </w:tc>
        <w:tc>
          <w:tcPr>
            <w:tcW w:w="2443" w:type="dxa"/>
          </w:tcPr>
          <w:p w14:paraId="3126153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Existing studies on diet, habitat requirements, and ecology. </w:t>
            </w:r>
          </w:p>
          <w:p w14:paraId="1D07D36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1.2.2</w:t>
            </w:r>
          </w:p>
        </w:tc>
      </w:tr>
      <w:tr w:rsidR="00C96521" w:rsidRPr="006437E1" w14:paraId="3B40DD15" w14:textId="77777777" w:rsidTr="00C96521">
        <w:tc>
          <w:tcPr>
            <w:tcW w:w="2340" w:type="dxa"/>
            <w:vMerge/>
          </w:tcPr>
          <w:p w14:paraId="1298268D" w14:textId="77777777" w:rsidR="00C96521" w:rsidRPr="006437E1" w:rsidRDefault="00C96521" w:rsidP="00C96521">
            <w:pPr>
              <w:widowControl/>
              <w:autoSpaceDE/>
              <w:autoSpaceDN/>
              <w:adjustRightInd/>
              <w:rPr>
                <w:rFonts w:ascii="Arial" w:hAnsi="Arial" w:cs="Arial"/>
                <w:sz w:val="18"/>
                <w:szCs w:val="18"/>
                <w:lang w:val="en-GB"/>
              </w:rPr>
            </w:pPr>
          </w:p>
        </w:tc>
        <w:tc>
          <w:tcPr>
            <w:tcW w:w="4572" w:type="dxa"/>
          </w:tcPr>
          <w:p w14:paraId="720B9AD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4.3.2</w:t>
            </w:r>
          </w:p>
          <w:p w14:paraId="423FAC47" w14:textId="0A227EC3"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Reassessment of existing Key Biodiversity Areas (KBAs) for </w:t>
            </w:r>
            <w:r w:rsidR="008807BF" w:rsidRPr="00235FA0">
              <w:rPr>
                <w:rFonts w:ascii="Arial" w:hAnsi="Arial" w:cs="Arial"/>
                <w:sz w:val="18"/>
                <w:szCs w:val="18"/>
                <w:lang w:val="en-GB"/>
              </w:rPr>
              <w:t xml:space="preserve">Turtle Dove </w:t>
            </w:r>
            <w:r w:rsidRPr="006437E1">
              <w:rPr>
                <w:rFonts w:ascii="Arial" w:hAnsi="Arial" w:cs="Arial"/>
                <w:sz w:val="18"/>
                <w:szCs w:val="18"/>
                <w:lang w:val="en-GB"/>
              </w:rPr>
              <w:t>and production and implementation of tailored management guidelines for the species in KBAs.</w:t>
            </w:r>
          </w:p>
          <w:p w14:paraId="1FC103F9" w14:textId="77777777" w:rsidR="00C96521" w:rsidRPr="006437E1" w:rsidRDefault="00C96521" w:rsidP="00C96521">
            <w:pPr>
              <w:widowControl/>
              <w:autoSpaceDE/>
              <w:autoSpaceDN/>
              <w:adjustRightInd/>
              <w:rPr>
                <w:rFonts w:ascii="Arial" w:hAnsi="Arial" w:cs="Arial"/>
                <w:sz w:val="18"/>
                <w:szCs w:val="18"/>
                <w:lang w:val="en-GB"/>
              </w:rPr>
            </w:pPr>
          </w:p>
          <w:p w14:paraId="4AC23BA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(in wintering and key stop-over Range States) Protected Area managers.</w:t>
            </w:r>
          </w:p>
        </w:tc>
        <w:tc>
          <w:tcPr>
            <w:tcW w:w="993" w:type="dxa"/>
          </w:tcPr>
          <w:p w14:paraId="18783BF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134" w:type="dxa"/>
          </w:tcPr>
          <w:p w14:paraId="57A1E7BF"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93" w:type="dxa"/>
          </w:tcPr>
          <w:p w14:paraId="794462E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CONSERVATION NGOs</w:t>
            </w:r>
            <w:r w:rsidRPr="006437E1">
              <w:rPr>
                <w:rFonts w:ascii="Arial" w:hAnsi="Arial" w:cs="Arial"/>
                <w:sz w:val="18"/>
                <w:szCs w:val="18"/>
                <w:lang w:val="en-GB"/>
              </w:rPr>
              <w:t>, academic institutions, land managers, water resource managers, community and local authorities</w:t>
            </w:r>
          </w:p>
        </w:tc>
        <w:tc>
          <w:tcPr>
            <w:tcW w:w="2443" w:type="dxa"/>
          </w:tcPr>
          <w:p w14:paraId="4F92191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4.1.2</w:t>
            </w:r>
          </w:p>
          <w:p w14:paraId="32D89E6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4.3.1</w:t>
            </w:r>
          </w:p>
        </w:tc>
      </w:tr>
      <w:tr w:rsidR="00C96521" w:rsidRPr="006437E1" w14:paraId="3B8194AE" w14:textId="77777777" w:rsidTr="00C96521">
        <w:tc>
          <w:tcPr>
            <w:tcW w:w="2340" w:type="dxa"/>
            <w:vMerge w:val="restart"/>
          </w:tcPr>
          <w:p w14:paraId="426E536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4.4 [n] locally supported small-scale projects aimed at restoring or conserving turtle-dove habitat across the wintering range by [</w:t>
            </w:r>
            <w:r w:rsidRPr="006437E1">
              <w:rPr>
                <w:rFonts w:ascii="Arial" w:hAnsi="Arial" w:cs="Arial"/>
                <w:i/>
                <w:sz w:val="18"/>
                <w:szCs w:val="18"/>
                <w:lang w:val="en-GB"/>
              </w:rPr>
              <w:t>2020</w:t>
            </w:r>
            <w:r w:rsidRPr="006437E1">
              <w:rPr>
                <w:rFonts w:ascii="Arial" w:hAnsi="Arial" w:cs="Arial"/>
                <w:sz w:val="18"/>
                <w:szCs w:val="18"/>
                <w:lang w:val="en-GB"/>
              </w:rPr>
              <w:t>].</w:t>
            </w:r>
          </w:p>
        </w:tc>
        <w:tc>
          <w:tcPr>
            <w:tcW w:w="4572" w:type="dxa"/>
          </w:tcPr>
          <w:p w14:paraId="1D82A26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4.4.1</w:t>
            </w:r>
          </w:p>
          <w:p w14:paraId="379C6F21" w14:textId="0F15032C"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Inventory and evaluation of small-scale local projects that benefit turtle-dove habitats (e</w:t>
            </w:r>
            <w:r w:rsidR="008807BF" w:rsidRPr="006437E1">
              <w:rPr>
                <w:rFonts w:ascii="Arial" w:hAnsi="Arial" w:cs="Arial"/>
                <w:sz w:val="18"/>
                <w:szCs w:val="18"/>
                <w:lang w:val="en-GB"/>
              </w:rPr>
              <w:t>.</w:t>
            </w:r>
            <w:r w:rsidRPr="006437E1">
              <w:rPr>
                <w:rFonts w:ascii="Arial" w:hAnsi="Arial" w:cs="Arial"/>
                <w:sz w:val="18"/>
                <w:szCs w:val="18"/>
                <w:lang w:val="en-GB"/>
              </w:rPr>
              <w:t>g</w:t>
            </w:r>
            <w:r w:rsidR="008807BF" w:rsidRPr="006437E1">
              <w:rPr>
                <w:rFonts w:ascii="Arial" w:hAnsi="Arial" w:cs="Arial"/>
                <w:sz w:val="18"/>
                <w:szCs w:val="18"/>
                <w:lang w:val="en-GB"/>
              </w:rPr>
              <w:t>.</w:t>
            </w:r>
            <w:r w:rsidRPr="006437E1">
              <w:rPr>
                <w:rFonts w:ascii="Arial" w:hAnsi="Arial" w:cs="Arial"/>
                <w:sz w:val="18"/>
                <w:szCs w:val="18"/>
                <w:lang w:val="en-GB"/>
              </w:rPr>
              <w:t xml:space="preserve"> native tree-planting projects where local people are encouraged to contribute and later have the opportunity to harvest the wood).</w:t>
            </w:r>
          </w:p>
          <w:p w14:paraId="0760238D" w14:textId="77777777" w:rsidR="00C96521" w:rsidRPr="006437E1" w:rsidRDefault="00C96521" w:rsidP="00C96521">
            <w:pPr>
              <w:widowControl/>
              <w:autoSpaceDE/>
              <w:autoSpaceDN/>
              <w:adjustRightInd/>
              <w:rPr>
                <w:rFonts w:ascii="Arial" w:hAnsi="Arial" w:cs="Arial"/>
                <w:sz w:val="18"/>
                <w:szCs w:val="18"/>
                <w:lang w:val="en-GB"/>
              </w:rPr>
            </w:pPr>
          </w:p>
          <w:p w14:paraId="0E40948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wintering Range States.</w:t>
            </w:r>
          </w:p>
        </w:tc>
        <w:tc>
          <w:tcPr>
            <w:tcW w:w="993" w:type="dxa"/>
          </w:tcPr>
          <w:p w14:paraId="5E8F547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134" w:type="dxa"/>
          </w:tcPr>
          <w:p w14:paraId="3BA7328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93" w:type="dxa"/>
          </w:tcPr>
          <w:p w14:paraId="1849C60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CONSERVATION NGOs</w:t>
            </w:r>
            <w:r w:rsidRPr="006437E1">
              <w:rPr>
                <w:rFonts w:ascii="Arial" w:hAnsi="Arial" w:cs="Arial"/>
                <w:sz w:val="18"/>
                <w:szCs w:val="18"/>
                <w:lang w:val="en-GB"/>
              </w:rPr>
              <w:t>, development NGOs.</w:t>
            </w:r>
          </w:p>
        </w:tc>
        <w:tc>
          <w:tcPr>
            <w:tcW w:w="2443" w:type="dxa"/>
          </w:tcPr>
          <w:p w14:paraId="613EA66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Local project reports.</w:t>
            </w:r>
          </w:p>
        </w:tc>
      </w:tr>
      <w:tr w:rsidR="00C96521" w:rsidRPr="006437E1" w14:paraId="5CEB3C4C" w14:textId="77777777" w:rsidTr="00C96521">
        <w:tc>
          <w:tcPr>
            <w:tcW w:w="2340" w:type="dxa"/>
            <w:vMerge/>
          </w:tcPr>
          <w:p w14:paraId="7531AEF3" w14:textId="77777777" w:rsidR="00C96521" w:rsidRPr="006437E1" w:rsidRDefault="00C96521" w:rsidP="00C96521">
            <w:pPr>
              <w:widowControl/>
              <w:autoSpaceDE/>
              <w:autoSpaceDN/>
              <w:adjustRightInd/>
              <w:rPr>
                <w:rFonts w:ascii="Arial" w:hAnsi="Arial" w:cs="Arial"/>
                <w:sz w:val="18"/>
                <w:szCs w:val="18"/>
                <w:lang w:val="en-GB"/>
              </w:rPr>
            </w:pPr>
          </w:p>
        </w:tc>
        <w:tc>
          <w:tcPr>
            <w:tcW w:w="4572" w:type="dxa"/>
          </w:tcPr>
          <w:p w14:paraId="0E119505"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4.4.2</w:t>
            </w:r>
          </w:p>
          <w:p w14:paraId="538E944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Best practice and case study examples of small-scale local projects promoted across the wintering range.</w:t>
            </w:r>
          </w:p>
          <w:p w14:paraId="1FDBD2EC" w14:textId="77777777" w:rsidR="00C96521" w:rsidRPr="006437E1" w:rsidRDefault="00C96521" w:rsidP="00C96521">
            <w:pPr>
              <w:widowControl/>
              <w:autoSpaceDE/>
              <w:autoSpaceDN/>
              <w:adjustRightInd/>
              <w:rPr>
                <w:rFonts w:ascii="Arial" w:hAnsi="Arial" w:cs="Arial"/>
                <w:sz w:val="18"/>
                <w:szCs w:val="18"/>
                <w:lang w:val="en-GB"/>
              </w:rPr>
            </w:pPr>
          </w:p>
          <w:p w14:paraId="4F375AC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wintering Range States.</w:t>
            </w:r>
          </w:p>
        </w:tc>
        <w:tc>
          <w:tcPr>
            <w:tcW w:w="993" w:type="dxa"/>
          </w:tcPr>
          <w:p w14:paraId="19A1B91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134" w:type="dxa"/>
          </w:tcPr>
          <w:p w14:paraId="6C458CE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2693" w:type="dxa"/>
          </w:tcPr>
          <w:p w14:paraId="433C527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CONSERVATION NGOs</w:t>
            </w:r>
            <w:r w:rsidRPr="006437E1">
              <w:rPr>
                <w:rFonts w:ascii="Arial" w:hAnsi="Arial" w:cs="Arial"/>
                <w:sz w:val="18"/>
                <w:szCs w:val="18"/>
                <w:lang w:val="en-GB"/>
              </w:rPr>
              <w:t>, development NGOs.</w:t>
            </w:r>
          </w:p>
        </w:tc>
        <w:tc>
          <w:tcPr>
            <w:tcW w:w="2443" w:type="dxa"/>
          </w:tcPr>
          <w:p w14:paraId="7C3373B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4.4.1</w:t>
            </w:r>
          </w:p>
        </w:tc>
      </w:tr>
      <w:tr w:rsidR="00C96521" w:rsidRPr="006437E1" w14:paraId="3F7CC335" w14:textId="77777777" w:rsidTr="00C96521">
        <w:tc>
          <w:tcPr>
            <w:tcW w:w="2340" w:type="dxa"/>
          </w:tcPr>
          <w:p w14:paraId="47752386" w14:textId="317E9CC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4.5 Large </w:t>
            </w:r>
            <w:r w:rsidR="008807BF" w:rsidRPr="00235FA0">
              <w:rPr>
                <w:rFonts w:ascii="Arial" w:hAnsi="Arial" w:cs="Arial"/>
                <w:sz w:val="18"/>
                <w:szCs w:val="18"/>
                <w:lang w:val="en-GB"/>
              </w:rPr>
              <w:t xml:space="preserve">Turtle Dove </w:t>
            </w:r>
            <w:r w:rsidRPr="006437E1">
              <w:rPr>
                <w:rFonts w:ascii="Arial" w:hAnsi="Arial" w:cs="Arial"/>
                <w:sz w:val="18"/>
                <w:szCs w:val="18"/>
                <w:lang w:val="en-GB"/>
              </w:rPr>
              <w:t>roosts under the control of special interest groups are managed sympathetically by [</w:t>
            </w:r>
            <w:r w:rsidRPr="006437E1">
              <w:rPr>
                <w:rFonts w:ascii="Arial" w:hAnsi="Arial" w:cs="Arial"/>
                <w:i/>
                <w:sz w:val="18"/>
                <w:szCs w:val="18"/>
                <w:lang w:val="en-GB"/>
              </w:rPr>
              <w:t>2025</w:t>
            </w:r>
            <w:r w:rsidRPr="006437E1">
              <w:rPr>
                <w:rFonts w:ascii="Arial" w:hAnsi="Arial" w:cs="Arial"/>
                <w:sz w:val="18"/>
                <w:szCs w:val="18"/>
                <w:lang w:val="en-GB"/>
              </w:rPr>
              <w:t>].</w:t>
            </w:r>
          </w:p>
        </w:tc>
        <w:tc>
          <w:tcPr>
            <w:tcW w:w="4572" w:type="dxa"/>
          </w:tcPr>
          <w:p w14:paraId="73E0A57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4.5.1</w:t>
            </w:r>
          </w:p>
          <w:p w14:paraId="0C37D11F" w14:textId="409961B2"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Establish Management Agreements for specific </w:t>
            </w:r>
            <w:r w:rsidR="008807BF" w:rsidRPr="006437E1">
              <w:rPr>
                <w:rFonts w:ascii="Arial" w:hAnsi="Arial" w:cs="Arial"/>
                <w:sz w:val="18"/>
                <w:szCs w:val="18"/>
                <w:lang w:val="en-GB"/>
              </w:rPr>
              <w:t>T</w:t>
            </w:r>
            <w:r w:rsidRPr="006437E1">
              <w:rPr>
                <w:rFonts w:ascii="Arial" w:hAnsi="Arial" w:cs="Arial"/>
                <w:sz w:val="18"/>
                <w:szCs w:val="18"/>
                <w:lang w:val="en-GB"/>
              </w:rPr>
              <w:t>urtle</w:t>
            </w:r>
            <w:r w:rsidR="008807BF" w:rsidRPr="006437E1">
              <w:rPr>
                <w:rFonts w:ascii="Arial" w:hAnsi="Arial" w:cs="Arial"/>
                <w:sz w:val="18"/>
                <w:szCs w:val="18"/>
                <w:lang w:val="en-GB"/>
              </w:rPr>
              <w:t xml:space="preserve"> D</w:t>
            </w:r>
            <w:r w:rsidRPr="006437E1">
              <w:rPr>
                <w:rFonts w:ascii="Arial" w:hAnsi="Arial" w:cs="Arial"/>
                <w:sz w:val="18"/>
                <w:szCs w:val="18"/>
                <w:lang w:val="en-GB"/>
              </w:rPr>
              <w:t>ove roosting areas that are under the control of special interest groups (e</w:t>
            </w:r>
            <w:r w:rsidR="008807BF" w:rsidRPr="006437E1">
              <w:rPr>
                <w:rFonts w:ascii="Arial" w:hAnsi="Arial" w:cs="Arial"/>
                <w:sz w:val="18"/>
                <w:szCs w:val="18"/>
                <w:lang w:val="en-GB"/>
              </w:rPr>
              <w:t>.</w:t>
            </w:r>
            <w:r w:rsidRPr="006437E1">
              <w:rPr>
                <w:rFonts w:ascii="Arial" w:hAnsi="Arial" w:cs="Arial"/>
                <w:sz w:val="18"/>
                <w:szCs w:val="18"/>
                <w:lang w:val="en-GB"/>
              </w:rPr>
              <w:t>g</w:t>
            </w:r>
            <w:r w:rsidR="008807BF" w:rsidRPr="006437E1">
              <w:rPr>
                <w:rFonts w:ascii="Arial" w:hAnsi="Arial" w:cs="Arial"/>
                <w:sz w:val="18"/>
                <w:szCs w:val="18"/>
                <w:lang w:val="en-GB"/>
              </w:rPr>
              <w:t>.</w:t>
            </w:r>
            <w:r w:rsidRPr="006437E1">
              <w:rPr>
                <w:rFonts w:ascii="Arial" w:hAnsi="Arial" w:cs="Arial"/>
                <w:sz w:val="18"/>
                <w:szCs w:val="18"/>
                <w:lang w:val="en-GB"/>
              </w:rPr>
              <w:t xml:space="preserve"> religious orders), based on the guidelines developed in Action 4.3.1.</w:t>
            </w:r>
          </w:p>
          <w:p w14:paraId="545E497C" w14:textId="77777777" w:rsidR="00C96521" w:rsidRPr="006437E1" w:rsidRDefault="00C96521" w:rsidP="00C96521">
            <w:pPr>
              <w:widowControl/>
              <w:autoSpaceDE/>
              <w:autoSpaceDN/>
              <w:adjustRightInd/>
              <w:rPr>
                <w:rFonts w:ascii="Arial" w:hAnsi="Arial" w:cs="Arial"/>
                <w:sz w:val="18"/>
                <w:szCs w:val="18"/>
                <w:lang w:val="en-GB"/>
              </w:rPr>
            </w:pPr>
          </w:p>
          <w:p w14:paraId="4035EEDE"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Range States in West and East Africa</w:t>
            </w:r>
          </w:p>
        </w:tc>
        <w:tc>
          <w:tcPr>
            <w:tcW w:w="993" w:type="dxa"/>
          </w:tcPr>
          <w:p w14:paraId="701985C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134" w:type="dxa"/>
          </w:tcPr>
          <w:p w14:paraId="1E2EEA6F"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2693" w:type="dxa"/>
          </w:tcPr>
          <w:p w14:paraId="08E4599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CONSERVATION NGOs</w:t>
            </w:r>
            <w:r w:rsidRPr="006437E1">
              <w:rPr>
                <w:rFonts w:ascii="Arial" w:hAnsi="Arial" w:cs="Arial"/>
                <w:sz w:val="18"/>
                <w:szCs w:val="18"/>
                <w:lang w:val="en-GB"/>
              </w:rPr>
              <w:t>, special interest groups.</w:t>
            </w:r>
          </w:p>
        </w:tc>
        <w:tc>
          <w:tcPr>
            <w:tcW w:w="2443" w:type="dxa"/>
          </w:tcPr>
          <w:p w14:paraId="3B4E220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4.3.1</w:t>
            </w:r>
          </w:p>
        </w:tc>
      </w:tr>
      <w:tr w:rsidR="00C96521" w:rsidRPr="006437E1" w14:paraId="72454610" w14:textId="77777777" w:rsidTr="00C96521">
        <w:tc>
          <w:tcPr>
            <w:tcW w:w="2340" w:type="dxa"/>
          </w:tcPr>
          <w:p w14:paraId="30599F79"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4.6 Fewer wildfires recorded at key turtle-dove wintering and stopover sites by [</w:t>
            </w:r>
            <w:r w:rsidRPr="006437E1">
              <w:rPr>
                <w:rFonts w:ascii="Arial" w:hAnsi="Arial" w:cs="Arial"/>
                <w:i/>
                <w:sz w:val="18"/>
                <w:szCs w:val="18"/>
                <w:lang w:val="en-GB"/>
              </w:rPr>
              <w:t>2025</w:t>
            </w:r>
            <w:r w:rsidRPr="006437E1">
              <w:rPr>
                <w:rFonts w:ascii="Arial" w:hAnsi="Arial" w:cs="Arial"/>
                <w:sz w:val="18"/>
                <w:szCs w:val="18"/>
                <w:lang w:val="en-GB"/>
              </w:rPr>
              <w:t>].</w:t>
            </w:r>
          </w:p>
        </w:tc>
        <w:tc>
          <w:tcPr>
            <w:tcW w:w="4572" w:type="dxa"/>
          </w:tcPr>
          <w:p w14:paraId="7947A8E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4.6.1</w:t>
            </w:r>
          </w:p>
          <w:p w14:paraId="4D280F8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Promote early controlled burning in key areas to prevent wildfires.</w:t>
            </w:r>
          </w:p>
          <w:p w14:paraId="14E92F20" w14:textId="77777777" w:rsidR="00C96521" w:rsidRPr="006437E1" w:rsidRDefault="00C96521" w:rsidP="00C96521">
            <w:pPr>
              <w:widowControl/>
              <w:autoSpaceDE/>
              <w:autoSpaceDN/>
              <w:adjustRightInd/>
              <w:rPr>
                <w:rFonts w:ascii="Arial" w:hAnsi="Arial" w:cs="Arial"/>
                <w:sz w:val="18"/>
                <w:szCs w:val="18"/>
                <w:lang w:val="en-GB"/>
              </w:rPr>
            </w:pPr>
          </w:p>
          <w:p w14:paraId="50C19A1E"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wintering Range States and at key stop-over sites.</w:t>
            </w:r>
          </w:p>
        </w:tc>
        <w:tc>
          <w:tcPr>
            <w:tcW w:w="993" w:type="dxa"/>
          </w:tcPr>
          <w:p w14:paraId="2E42534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High</w:t>
            </w:r>
          </w:p>
        </w:tc>
        <w:tc>
          <w:tcPr>
            <w:tcW w:w="1134" w:type="dxa"/>
          </w:tcPr>
          <w:p w14:paraId="4181B79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Long</w:t>
            </w:r>
          </w:p>
        </w:tc>
        <w:tc>
          <w:tcPr>
            <w:tcW w:w="2693" w:type="dxa"/>
          </w:tcPr>
          <w:p w14:paraId="286CEBCE"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NATIONAL GOVERNMENTS,</w:t>
            </w:r>
            <w:r w:rsidRPr="006437E1">
              <w:rPr>
                <w:rFonts w:ascii="Arial" w:hAnsi="Arial" w:cs="Arial"/>
                <w:sz w:val="18"/>
                <w:szCs w:val="18"/>
                <w:lang w:val="en-GB"/>
              </w:rPr>
              <w:t xml:space="preserve"> conservation NGOs, academic institutions</w:t>
            </w:r>
          </w:p>
        </w:tc>
        <w:tc>
          <w:tcPr>
            <w:tcW w:w="2443" w:type="dxa"/>
          </w:tcPr>
          <w:p w14:paraId="759F106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Data on national wildfire occurrence.</w:t>
            </w:r>
          </w:p>
        </w:tc>
      </w:tr>
      <w:tr w:rsidR="00C96521" w:rsidRPr="006437E1" w14:paraId="540DB15A" w14:textId="77777777" w:rsidTr="00C96521">
        <w:tc>
          <w:tcPr>
            <w:tcW w:w="2340" w:type="dxa"/>
          </w:tcPr>
          <w:p w14:paraId="669DBD62" w14:textId="47258041"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4.7 Less wood harvesting in key </w:t>
            </w:r>
            <w:r w:rsidR="008807BF" w:rsidRPr="006437E1">
              <w:rPr>
                <w:rFonts w:ascii="Arial" w:hAnsi="Arial" w:cs="Arial"/>
                <w:sz w:val="18"/>
                <w:szCs w:val="18"/>
                <w:lang w:val="en-GB"/>
              </w:rPr>
              <w:t xml:space="preserve">Turtle Dove </w:t>
            </w:r>
            <w:r w:rsidRPr="006437E1">
              <w:rPr>
                <w:rFonts w:ascii="Arial" w:hAnsi="Arial" w:cs="Arial"/>
                <w:sz w:val="18"/>
                <w:szCs w:val="18"/>
                <w:lang w:val="en-GB"/>
              </w:rPr>
              <w:t>wintering and stopover sites by [2025].</w:t>
            </w:r>
          </w:p>
        </w:tc>
        <w:tc>
          <w:tcPr>
            <w:tcW w:w="4572" w:type="dxa"/>
          </w:tcPr>
          <w:p w14:paraId="4C77564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4.7.1</w:t>
            </w:r>
          </w:p>
          <w:p w14:paraId="1934ECE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Promotion of alternative fuel/cooking methods in key areas to prevent loss of roosting sites due to fuel wood harvesting.</w:t>
            </w:r>
          </w:p>
          <w:p w14:paraId="1E714C56" w14:textId="77777777" w:rsidR="00C96521" w:rsidRPr="006437E1" w:rsidRDefault="00C96521" w:rsidP="00C96521">
            <w:pPr>
              <w:widowControl/>
              <w:autoSpaceDE/>
              <w:autoSpaceDN/>
              <w:adjustRightInd/>
              <w:rPr>
                <w:rFonts w:ascii="Arial" w:hAnsi="Arial" w:cs="Arial"/>
                <w:sz w:val="18"/>
                <w:szCs w:val="18"/>
                <w:lang w:val="en-GB"/>
              </w:rPr>
            </w:pPr>
          </w:p>
          <w:p w14:paraId="7B8A40B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wintering Range States.</w:t>
            </w:r>
          </w:p>
        </w:tc>
        <w:tc>
          <w:tcPr>
            <w:tcW w:w="993" w:type="dxa"/>
          </w:tcPr>
          <w:p w14:paraId="01E21656"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High</w:t>
            </w:r>
          </w:p>
        </w:tc>
        <w:tc>
          <w:tcPr>
            <w:tcW w:w="1134" w:type="dxa"/>
          </w:tcPr>
          <w:p w14:paraId="597F90F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Long</w:t>
            </w:r>
          </w:p>
        </w:tc>
        <w:tc>
          <w:tcPr>
            <w:tcW w:w="2693" w:type="dxa"/>
          </w:tcPr>
          <w:p w14:paraId="0DE96EF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CONSERVATION NGOs</w:t>
            </w:r>
            <w:r w:rsidRPr="006437E1">
              <w:rPr>
                <w:rFonts w:ascii="Arial" w:hAnsi="Arial" w:cs="Arial"/>
                <w:sz w:val="18"/>
                <w:szCs w:val="18"/>
                <w:lang w:val="en-GB"/>
              </w:rPr>
              <w:t>, development NGOs.</w:t>
            </w:r>
          </w:p>
        </w:tc>
        <w:tc>
          <w:tcPr>
            <w:tcW w:w="2443" w:type="dxa"/>
          </w:tcPr>
          <w:p w14:paraId="4F5391D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Data on wood harvesting and uptake of alternatives.</w:t>
            </w:r>
          </w:p>
        </w:tc>
      </w:tr>
    </w:tbl>
    <w:p w14:paraId="2C59ACE7" w14:textId="77777777" w:rsidR="00C96521" w:rsidRPr="005D4262" w:rsidRDefault="00C96521" w:rsidP="00C96521">
      <w:pPr>
        <w:widowControl/>
        <w:autoSpaceDE/>
        <w:autoSpaceDN/>
        <w:adjustRightInd/>
        <w:spacing w:line="276" w:lineRule="auto"/>
        <w:rPr>
          <w:rFonts w:eastAsia="MS Mincho" w:cs="Arial"/>
          <w:szCs w:val="18"/>
          <w:lang w:val="en-GB" w:eastAsia="ja-JP"/>
        </w:rPr>
      </w:pPr>
    </w:p>
    <w:p w14:paraId="074AE048" w14:textId="77777777" w:rsidR="00C96521" w:rsidRPr="005D4262" w:rsidRDefault="00C96521" w:rsidP="00C96521">
      <w:pPr>
        <w:widowControl/>
        <w:autoSpaceDE/>
        <w:autoSpaceDN/>
        <w:adjustRightInd/>
        <w:spacing w:line="276" w:lineRule="auto"/>
        <w:rPr>
          <w:rFonts w:eastAsia="MS Mincho" w:cs="Arial"/>
          <w:szCs w:val="18"/>
          <w:lang w:val="en-GB" w:eastAsia="ja-JP"/>
        </w:rPr>
      </w:pPr>
    </w:p>
    <w:tbl>
      <w:tblPr>
        <w:tblStyle w:val="TableGrid"/>
        <w:tblW w:w="0" w:type="auto"/>
        <w:tblLook w:val="04A0" w:firstRow="1" w:lastRow="0" w:firstColumn="1" w:lastColumn="0" w:noHBand="0" w:noVBand="1"/>
      </w:tblPr>
      <w:tblGrid>
        <w:gridCol w:w="2340"/>
        <w:gridCol w:w="4572"/>
        <w:gridCol w:w="993"/>
        <w:gridCol w:w="1134"/>
        <w:gridCol w:w="2693"/>
        <w:gridCol w:w="2443"/>
      </w:tblGrid>
      <w:tr w:rsidR="00C96521" w:rsidRPr="006437E1" w14:paraId="0DDE9EA0" w14:textId="77777777" w:rsidTr="006437E1">
        <w:trPr>
          <w:tblHeader/>
        </w:trPr>
        <w:tc>
          <w:tcPr>
            <w:tcW w:w="14175" w:type="dxa"/>
            <w:gridSpan w:val="6"/>
            <w:shd w:val="clear" w:color="auto" w:fill="BFBFBF" w:themeFill="background1" w:themeFillShade="BF"/>
          </w:tcPr>
          <w:p w14:paraId="5E8ACCC6"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Objective 5: Enhance international co-operation, through enabling sharing of information and expertise</w:t>
            </w:r>
          </w:p>
        </w:tc>
      </w:tr>
      <w:tr w:rsidR="00C96521" w:rsidRPr="006437E1" w14:paraId="500CF5CC" w14:textId="77777777" w:rsidTr="00C96521">
        <w:trPr>
          <w:tblHeader/>
        </w:trPr>
        <w:tc>
          <w:tcPr>
            <w:tcW w:w="2340" w:type="dxa"/>
            <w:shd w:val="clear" w:color="auto" w:fill="D9D9D9"/>
          </w:tcPr>
          <w:p w14:paraId="307819A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Result</w:t>
            </w:r>
          </w:p>
        </w:tc>
        <w:tc>
          <w:tcPr>
            <w:tcW w:w="4572" w:type="dxa"/>
            <w:shd w:val="clear" w:color="auto" w:fill="D9D9D9"/>
          </w:tcPr>
          <w:p w14:paraId="0A7DA225"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and scope</w:t>
            </w:r>
          </w:p>
        </w:tc>
        <w:tc>
          <w:tcPr>
            <w:tcW w:w="993" w:type="dxa"/>
            <w:shd w:val="clear" w:color="auto" w:fill="D9D9D9"/>
          </w:tcPr>
          <w:p w14:paraId="10C223EF"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Priority</w:t>
            </w:r>
          </w:p>
        </w:tc>
        <w:tc>
          <w:tcPr>
            <w:tcW w:w="1134" w:type="dxa"/>
            <w:shd w:val="clear" w:color="auto" w:fill="D9D9D9"/>
          </w:tcPr>
          <w:p w14:paraId="02E94E09"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Timescale</w:t>
            </w:r>
          </w:p>
        </w:tc>
        <w:tc>
          <w:tcPr>
            <w:tcW w:w="2693" w:type="dxa"/>
            <w:shd w:val="clear" w:color="auto" w:fill="D9D9D9"/>
          </w:tcPr>
          <w:p w14:paraId="4B636A5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Organisations responsible</w:t>
            </w:r>
          </w:p>
        </w:tc>
        <w:tc>
          <w:tcPr>
            <w:tcW w:w="2443" w:type="dxa"/>
            <w:shd w:val="clear" w:color="auto" w:fill="D9D9D9"/>
          </w:tcPr>
          <w:p w14:paraId="3FF25E0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Inputs required</w:t>
            </w:r>
          </w:p>
        </w:tc>
      </w:tr>
      <w:tr w:rsidR="00C96521" w:rsidRPr="006437E1" w14:paraId="66860317" w14:textId="77777777" w:rsidTr="00C96521">
        <w:tc>
          <w:tcPr>
            <w:tcW w:w="2340" w:type="dxa"/>
            <w:vMerge w:val="restart"/>
          </w:tcPr>
          <w:p w14:paraId="1C3E7E1C" w14:textId="2D9314F0"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5.1 International Turtle</w:t>
            </w:r>
            <w:r w:rsidR="008807BF" w:rsidRPr="006437E1">
              <w:rPr>
                <w:rFonts w:ascii="Arial" w:hAnsi="Arial" w:cs="Arial"/>
                <w:sz w:val="18"/>
                <w:szCs w:val="18"/>
                <w:lang w:val="en-GB"/>
              </w:rPr>
              <w:t xml:space="preserve"> </w:t>
            </w:r>
            <w:r w:rsidRPr="006437E1">
              <w:rPr>
                <w:rFonts w:ascii="Arial" w:hAnsi="Arial" w:cs="Arial"/>
                <w:sz w:val="18"/>
                <w:szCs w:val="18"/>
                <w:lang w:val="en-GB"/>
              </w:rPr>
              <w:t>Dove Working Group to support the Action Plan active by the end of [</w:t>
            </w:r>
            <w:r w:rsidRPr="006437E1">
              <w:rPr>
                <w:rFonts w:ascii="Arial" w:hAnsi="Arial" w:cs="Arial"/>
                <w:i/>
                <w:sz w:val="18"/>
                <w:szCs w:val="18"/>
                <w:lang w:val="en-GB"/>
              </w:rPr>
              <w:t>2017</w:t>
            </w:r>
            <w:r w:rsidRPr="006437E1">
              <w:rPr>
                <w:rFonts w:ascii="Arial" w:hAnsi="Arial" w:cs="Arial"/>
                <w:sz w:val="18"/>
                <w:szCs w:val="18"/>
                <w:lang w:val="en-GB"/>
              </w:rPr>
              <w:t>].</w:t>
            </w:r>
          </w:p>
        </w:tc>
        <w:tc>
          <w:tcPr>
            <w:tcW w:w="4572" w:type="dxa"/>
          </w:tcPr>
          <w:p w14:paraId="2478BA56"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Action 5.1.1 </w:t>
            </w:r>
          </w:p>
          <w:p w14:paraId="469137A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Create an on-line workspace to share documents and data (including developing joint databases), with a discussion forum.</w:t>
            </w:r>
          </w:p>
          <w:p w14:paraId="4C0FF2C8" w14:textId="77777777" w:rsidR="00C96521" w:rsidRPr="006437E1" w:rsidRDefault="00C96521" w:rsidP="00C96521">
            <w:pPr>
              <w:widowControl/>
              <w:autoSpaceDE/>
              <w:autoSpaceDN/>
              <w:adjustRightInd/>
              <w:rPr>
                <w:rFonts w:ascii="Arial" w:hAnsi="Arial" w:cs="Arial"/>
                <w:sz w:val="18"/>
                <w:szCs w:val="18"/>
                <w:lang w:val="en-GB"/>
              </w:rPr>
            </w:pPr>
          </w:p>
          <w:p w14:paraId="1AE1AD96" w14:textId="77777777" w:rsidR="00C96521" w:rsidRPr="006437E1" w:rsidRDefault="00C96521" w:rsidP="00C96521">
            <w:pPr>
              <w:widowControl/>
              <w:autoSpaceDE/>
              <w:autoSpaceDN/>
              <w:adjustRightInd/>
              <w:rPr>
                <w:rFonts w:ascii="Arial" w:hAnsi="Arial" w:cs="Arial"/>
                <w:sz w:val="18"/>
                <w:szCs w:val="18"/>
                <w:lang w:val="en-GB"/>
              </w:rPr>
            </w:pPr>
          </w:p>
          <w:p w14:paraId="5ECD1F8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 and interested parties.</w:t>
            </w:r>
          </w:p>
        </w:tc>
        <w:tc>
          <w:tcPr>
            <w:tcW w:w="993" w:type="dxa"/>
          </w:tcPr>
          <w:p w14:paraId="7E3FFF5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High</w:t>
            </w:r>
          </w:p>
        </w:tc>
        <w:tc>
          <w:tcPr>
            <w:tcW w:w="1134" w:type="dxa"/>
          </w:tcPr>
          <w:p w14:paraId="7833C9B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Immediate</w:t>
            </w:r>
          </w:p>
        </w:tc>
        <w:tc>
          <w:tcPr>
            <w:tcW w:w="2693" w:type="dxa"/>
          </w:tcPr>
          <w:p w14:paraId="75CEE106"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CONSERVATION NGOs, FACE, ACADEMIC INSTITUTIONS</w:t>
            </w:r>
            <w:r w:rsidRPr="006437E1">
              <w:rPr>
                <w:rFonts w:ascii="Arial" w:hAnsi="Arial" w:cs="Arial"/>
                <w:sz w:val="18"/>
                <w:szCs w:val="18"/>
                <w:lang w:val="en-GB"/>
              </w:rPr>
              <w:t>, national wildlife agencies, national hunting federations</w:t>
            </w:r>
          </w:p>
          <w:p w14:paraId="1C9B9825" w14:textId="77777777" w:rsidR="00C96521" w:rsidRPr="006437E1" w:rsidRDefault="00C96521" w:rsidP="00C96521">
            <w:pPr>
              <w:widowControl/>
              <w:autoSpaceDE/>
              <w:autoSpaceDN/>
              <w:adjustRightInd/>
              <w:rPr>
                <w:rFonts w:ascii="Arial" w:hAnsi="Arial" w:cs="Arial"/>
                <w:sz w:val="18"/>
                <w:szCs w:val="18"/>
                <w:lang w:val="en-GB"/>
              </w:rPr>
            </w:pPr>
          </w:p>
        </w:tc>
        <w:tc>
          <w:tcPr>
            <w:tcW w:w="2443" w:type="dxa"/>
          </w:tcPr>
          <w:p w14:paraId="18288BC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Research papers, grey literature, expert contact list, Action Planning documents, Terms of Reference.</w:t>
            </w:r>
          </w:p>
        </w:tc>
      </w:tr>
      <w:tr w:rsidR="00C96521" w:rsidRPr="006437E1" w14:paraId="0F00FC69" w14:textId="77777777" w:rsidTr="00C96521">
        <w:tc>
          <w:tcPr>
            <w:tcW w:w="2340" w:type="dxa"/>
            <w:vMerge/>
          </w:tcPr>
          <w:p w14:paraId="3E3167FE" w14:textId="77777777" w:rsidR="00C96521" w:rsidRPr="006437E1" w:rsidRDefault="00C96521" w:rsidP="00C96521">
            <w:pPr>
              <w:widowControl/>
              <w:autoSpaceDE/>
              <w:autoSpaceDN/>
              <w:adjustRightInd/>
              <w:rPr>
                <w:rFonts w:ascii="Arial" w:hAnsi="Arial" w:cs="Arial"/>
                <w:sz w:val="18"/>
                <w:szCs w:val="18"/>
                <w:lang w:val="en-GB"/>
              </w:rPr>
            </w:pPr>
          </w:p>
        </w:tc>
        <w:tc>
          <w:tcPr>
            <w:tcW w:w="4572" w:type="dxa"/>
          </w:tcPr>
          <w:p w14:paraId="086F3E9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5.1.2</w:t>
            </w:r>
          </w:p>
          <w:p w14:paraId="2EBFD22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Convene a Working Group Management Team to operate, oversee and develop the on-line activities.</w:t>
            </w:r>
          </w:p>
          <w:p w14:paraId="0FED488F" w14:textId="77777777" w:rsidR="00C96521" w:rsidRPr="006437E1" w:rsidRDefault="00C96521" w:rsidP="00C96521">
            <w:pPr>
              <w:widowControl/>
              <w:autoSpaceDE/>
              <w:autoSpaceDN/>
              <w:adjustRightInd/>
              <w:rPr>
                <w:rFonts w:ascii="Arial" w:hAnsi="Arial" w:cs="Arial"/>
                <w:sz w:val="18"/>
                <w:szCs w:val="18"/>
                <w:lang w:val="en-GB"/>
              </w:rPr>
            </w:pPr>
          </w:p>
          <w:p w14:paraId="1D05402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 and interested parties.</w:t>
            </w:r>
          </w:p>
        </w:tc>
        <w:tc>
          <w:tcPr>
            <w:tcW w:w="993" w:type="dxa"/>
          </w:tcPr>
          <w:p w14:paraId="6D7A3C4E"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134" w:type="dxa"/>
          </w:tcPr>
          <w:p w14:paraId="0568620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93" w:type="dxa"/>
          </w:tcPr>
          <w:p w14:paraId="1084F9A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CONSERVATION NGOs, FACE, ACADEMIC INSTITUTIONS</w:t>
            </w:r>
            <w:r w:rsidRPr="006437E1">
              <w:rPr>
                <w:rFonts w:ascii="Arial" w:hAnsi="Arial" w:cs="Arial"/>
                <w:sz w:val="18"/>
                <w:szCs w:val="18"/>
                <w:lang w:val="en-GB"/>
              </w:rPr>
              <w:t>, national wildlife agencies, national hunting federations</w:t>
            </w:r>
          </w:p>
        </w:tc>
        <w:tc>
          <w:tcPr>
            <w:tcW w:w="2443" w:type="dxa"/>
          </w:tcPr>
          <w:p w14:paraId="586AA9C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5.1.1</w:t>
            </w:r>
          </w:p>
        </w:tc>
      </w:tr>
      <w:tr w:rsidR="00C96521" w:rsidRPr="006437E1" w14:paraId="2DFF1B7D" w14:textId="77777777" w:rsidTr="00C96521">
        <w:tc>
          <w:tcPr>
            <w:tcW w:w="2340" w:type="dxa"/>
            <w:vMerge/>
          </w:tcPr>
          <w:p w14:paraId="33E000F1" w14:textId="77777777" w:rsidR="00C96521" w:rsidRPr="006437E1" w:rsidRDefault="00C96521" w:rsidP="00C96521">
            <w:pPr>
              <w:widowControl/>
              <w:autoSpaceDE/>
              <w:autoSpaceDN/>
              <w:adjustRightInd/>
              <w:rPr>
                <w:rFonts w:ascii="Arial" w:hAnsi="Arial" w:cs="Arial"/>
                <w:sz w:val="18"/>
                <w:szCs w:val="18"/>
                <w:lang w:val="en-GB"/>
              </w:rPr>
            </w:pPr>
          </w:p>
        </w:tc>
        <w:tc>
          <w:tcPr>
            <w:tcW w:w="4572" w:type="dxa"/>
          </w:tcPr>
          <w:p w14:paraId="3390EB4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5.1.3</w:t>
            </w:r>
          </w:p>
          <w:p w14:paraId="599DDDF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 representative of the Working Group to liaise with CMS and African-Eurasian Migratory Landbirds Action Plan (AEMLAP), the Migrant Landbird Study Group (MLSG) and other relevant conventions/initiatives.</w:t>
            </w:r>
          </w:p>
          <w:p w14:paraId="18589C1B" w14:textId="77777777" w:rsidR="00C96521" w:rsidRPr="006437E1" w:rsidRDefault="00C96521" w:rsidP="00C96521">
            <w:pPr>
              <w:widowControl/>
              <w:autoSpaceDE/>
              <w:autoSpaceDN/>
              <w:adjustRightInd/>
              <w:rPr>
                <w:rFonts w:ascii="Arial" w:hAnsi="Arial" w:cs="Arial"/>
                <w:sz w:val="18"/>
                <w:szCs w:val="18"/>
                <w:lang w:val="en-GB"/>
              </w:rPr>
            </w:pPr>
          </w:p>
          <w:p w14:paraId="1A696FB5"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 and interested parties.</w:t>
            </w:r>
          </w:p>
        </w:tc>
        <w:tc>
          <w:tcPr>
            <w:tcW w:w="993" w:type="dxa"/>
          </w:tcPr>
          <w:p w14:paraId="59EF398F"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134" w:type="dxa"/>
          </w:tcPr>
          <w:p w14:paraId="498015B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93" w:type="dxa"/>
          </w:tcPr>
          <w:p w14:paraId="51CED7F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CONSERVATION NGOs, FACE, ACADEMIC INSTITUTIONS</w:t>
            </w:r>
            <w:r w:rsidRPr="006437E1">
              <w:rPr>
                <w:rFonts w:ascii="Arial" w:hAnsi="Arial" w:cs="Arial"/>
                <w:sz w:val="18"/>
                <w:szCs w:val="18"/>
                <w:lang w:val="en-GB"/>
              </w:rPr>
              <w:t>, CMS, national wildlife agencies, national hunting federations</w:t>
            </w:r>
          </w:p>
          <w:p w14:paraId="0740E712" w14:textId="77777777" w:rsidR="00C96521" w:rsidRPr="006437E1" w:rsidRDefault="00C96521" w:rsidP="00C96521">
            <w:pPr>
              <w:widowControl/>
              <w:autoSpaceDE/>
              <w:autoSpaceDN/>
              <w:adjustRightInd/>
              <w:rPr>
                <w:rFonts w:ascii="Arial" w:hAnsi="Arial" w:cs="Arial"/>
                <w:sz w:val="18"/>
                <w:szCs w:val="18"/>
                <w:lang w:val="en-GB"/>
              </w:rPr>
            </w:pPr>
          </w:p>
        </w:tc>
        <w:tc>
          <w:tcPr>
            <w:tcW w:w="2443" w:type="dxa"/>
          </w:tcPr>
          <w:p w14:paraId="5FED4F1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5.1.2</w:t>
            </w:r>
          </w:p>
        </w:tc>
      </w:tr>
      <w:tr w:rsidR="00C96521" w:rsidRPr="006437E1" w14:paraId="1B4888AE" w14:textId="77777777" w:rsidTr="00C96521">
        <w:tc>
          <w:tcPr>
            <w:tcW w:w="2340" w:type="dxa"/>
          </w:tcPr>
          <w:p w14:paraId="2ECE5BD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5.2 International Tracking Group active by end of [</w:t>
            </w:r>
            <w:r w:rsidRPr="006437E1">
              <w:rPr>
                <w:rFonts w:ascii="Arial" w:hAnsi="Arial" w:cs="Arial"/>
                <w:i/>
                <w:sz w:val="18"/>
                <w:szCs w:val="18"/>
                <w:lang w:val="en-GB"/>
              </w:rPr>
              <w:t>2017</w:t>
            </w:r>
            <w:r w:rsidRPr="006437E1">
              <w:rPr>
                <w:rFonts w:ascii="Arial" w:hAnsi="Arial" w:cs="Arial"/>
                <w:sz w:val="18"/>
                <w:szCs w:val="18"/>
                <w:lang w:val="en-GB"/>
              </w:rPr>
              <w:t>].</w:t>
            </w:r>
          </w:p>
        </w:tc>
        <w:tc>
          <w:tcPr>
            <w:tcW w:w="4572" w:type="dxa"/>
          </w:tcPr>
          <w:p w14:paraId="3DA6CB6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5.2.1</w:t>
            </w:r>
          </w:p>
          <w:p w14:paraId="42D62F5F" w14:textId="427C983A"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Convene an International Turtle</w:t>
            </w:r>
            <w:r w:rsidR="008807BF" w:rsidRPr="006437E1">
              <w:rPr>
                <w:rFonts w:ascii="Arial" w:hAnsi="Arial" w:cs="Arial"/>
                <w:sz w:val="18"/>
                <w:szCs w:val="18"/>
                <w:lang w:val="en-GB"/>
              </w:rPr>
              <w:t xml:space="preserve"> D</w:t>
            </w:r>
            <w:r w:rsidRPr="006437E1">
              <w:rPr>
                <w:rFonts w:ascii="Arial" w:hAnsi="Arial" w:cs="Arial"/>
                <w:sz w:val="18"/>
                <w:szCs w:val="18"/>
                <w:lang w:val="en-GB"/>
              </w:rPr>
              <w:t>ove Tracking Group to collaborate on tracking projects, methodologies, and financing.</w:t>
            </w:r>
          </w:p>
          <w:p w14:paraId="2DE41A24" w14:textId="77777777" w:rsidR="00C96521" w:rsidRPr="006437E1" w:rsidRDefault="00C96521" w:rsidP="00C96521">
            <w:pPr>
              <w:widowControl/>
              <w:autoSpaceDE/>
              <w:autoSpaceDN/>
              <w:adjustRightInd/>
              <w:rPr>
                <w:rFonts w:ascii="Arial" w:hAnsi="Arial" w:cs="Arial"/>
                <w:sz w:val="18"/>
                <w:szCs w:val="18"/>
                <w:lang w:val="en-GB"/>
              </w:rPr>
            </w:pPr>
          </w:p>
          <w:p w14:paraId="22CBAD9F"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 and interested parties.</w:t>
            </w:r>
          </w:p>
        </w:tc>
        <w:tc>
          <w:tcPr>
            <w:tcW w:w="993" w:type="dxa"/>
          </w:tcPr>
          <w:p w14:paraId="7AD07EB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High</w:t>
            </w:r>
          </w:p>
        </w:tc>
        <w:tc>
          <w:tcPr>
            <w:tcW w:w="1134" w:type="dxa"/>
          </w:tcPr>
          <w:p w14:paraId="2B9AC13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Immediate</w:t>
            </w:r>
          </w:p>
        </w:tc>
        <w:tc>
          <w:tcPr>
            <w:tcW w:w="2693" w:type="dxa"/>
          </w:tcPr>
          <w:p w14:paraId="6AF27F5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CONSERVATION NGOs, FACE, ACADEMIC INSTITUTIONS</w:t>
            </w:r>
            <w:r w:rsidRPr="006437E1">
              <w:rPr>
                <w:rFonts w:ascii="Arial" w:hAnsi="Arial" w:cs="Arial"/>
                <w:sz w:val="18"/>
                <w:szCs w:val="18"/>
                <w:lang w:val="en-GB"/>
              </w:rPr>
              <w:t>, national wildlife agencies, national hunting federations</w:t>
            </w:r>
          </w:p>
          <w:p w14:paraId="740C272F" w14:textId="77777777" w:rsidR="00C96521" w:rsidRPr="006437E1" w:rsidRDefault="00C96521" w:rsidP="00C96521">
            <w:pPr>
              <w:widowControl/>
              <w:autoSpaceDE/>
              <w:autoSpaceDN/>
              <w:adjustRightInd/>
              <w:rPr>
                <w:rFonts w:ascii="Arial" w:hAnsi="Arial" w:cs="Arial"/>
                <w:sz w:val="18"/>
                <w:szCs w:val="18"/>
                <w:lang w:val="en-GB"/>
              </w:rPr>
            </w:pPr>
          </w:p>
        </w:tc>
        <w:tc>
          <w:tcPr>
            <w:tcW w:w="2443" w:type="dxa"/>
          </w:tcPr>
          <w:p w14:paraId="11483C9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5.1.1; existing tracking projects and experts.</w:t>
            </w:r>
          </w:p>
        </w:tc>
      </w:tr>
      <w:tr w:rsidR="00C96521" w:rsidRPr="006437E1" w14:paraId="252D787E" w14:textId="77777777" w:rsidTr="00C96521">
        <w:tc>
          <w:tcPr>
            <w:tcW w:w="2340" w:type="dxa"/>
          </w:tcPr>
          <w:p w14:paraId="48B0344E"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5.3 International Turtle Dove Sustainable Harvest Working Group active by end of [</w:t>
            </w:r>
            <w:r w:rsidRPr="006437E1">
              <w:rPr>
                <w:rFonts w:ascii="Arial" w:hAnsi="Arial" w:cs="Arial"/>
                <w:i/>
                <w:sz w:val="18"/>
                <w:szCs w:val="18"/>
                <w:lang w:val="en-GB"/>
              </w:rPr>
              <w:t>2017</w:t>
            </w:r>
            <w:r w:rsidRPr="006437E1">
              <w:rPr>
                <w:rFonts w:ascii="Arial" w:hAnsi="Arial" w:cs="Arial"/>
                <w:sz w:val="18"/>
                <w:szCs w:val="18"/>
                <w:lang w:val="en-GB"/>
              </w:rPr>
              <w:t>].</w:t>
            </w:r>
          </w:p>
        </w:tc>
        <w:tc>
          <w:tcPr>
            <w:tcW w:w="4572" w:type="dxa"/>
          </w:tcPr>
          <w:p w14:paraId="2AD37DE9"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5.3.1</w:t>
            </w:r>
          </w:p>
          <w:p w14:paraId="0E922ADD" w14:textId="1F460BA5"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Convene an International Turtle</w:t>
            </w:r>
            <w:r w:rsidR="008807BF" w:rsidRPr="006437E1">
              <w:rPr>
                <w:rFonts w:ascii="Arial" w:hAnsi="Arial" w:cs="Arial"/>
                <w:sz w:val="18"/>
                <w:szCs w:val="18"/>
                <w:lang w:val="en-GB"/>
              </w:rPr>
              <w:t xml:space="preserve"> D</w:t>
            </w:r>
            <w:r w:rsidRPr="006437E1">
              <w:rPr>
                <w:rFonts w:ascii="Arial" w:hAnsi="Arial" w:cs="Arial"/>
                <w:sz w:val="18"/>
                <w:szCs w:val="18"/>
                <w:lang w:val="en-GB"/>
              </w:rPr>
              <w:t>ove Sustainable Harvest Working Group to collaborate on development of sustainable harvest models and practice.</w:t>
            </w:r>
          </w:p>
          <w:p w14:paraId="1883243F" w14:textId="77777777" w:rsidR="00C96521" w:rsidRPr="006437E1" w:rsidRDefault="00C96521" w:rsidP="00C96521">
            <w:pPr>
              <w:widowControl/>
              <w:autoSpaceDE/>
              <w:autoSpaceDN/>
              <w:adjustRightInd/>
              <w:rPr>
                <w:rFonts w:ascii="Arial" w:hAnsi="Arial" w:cs="Arial"/>
                <w:sz w:val="18"/>
                <w:szCs w:val="18"/>
                <w:lang w:val="en-GB"/>
              </w:rPr>
            </w:pPr>
          </w:p>
          <w:p w14:paraId="7A12550F"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w:t>
            </w:r>
          </w:p>
        </w:tc>
        <w:tc>
          <w:tcPr>
            <w:tcW w:w="993" w:type="dxa"/>
          </w:tcPr>
          <w:p w14:paraId="2C5607E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High</w:t>
            </w:r>
          </w:p>
        </w:tc>
        <w:tc>
          <w:tcPr>
            <w:tcW w:w="1134" w:type="dxa"/>
          </w:tcPr>
          <w:p w14:paraId="7B7AE31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Immediate</w:t>
            </w:r>
          </w:p>
        </w:tc>
        <w:tc>
          <w:tcPr>
            <w:tcW w:w="2693" w:type="dxa"/>
          </w:tcPr>
          <w:p w14:paraId="3466DAF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FACE, CONSERVATION NGOs, ACADEMIC INSTITUTIONS</w:t>
            </w:r>
            <w:r w:rsidRPr="006437E1">
              <w:rPr>
                <w:rFonts w:ascii="Arial" w:hAnsi="Arial" w:cs="Arial"/>
                <w:sz w:val="18"/>
                <w:szCs w:val="18"/>
                <w:lang w:val="en-GB"/>
              </w:rPr>
              <w:t>, national wildlife agencies, national hunting federations</w:t>
            </w:r>
          </w:p>
          <w:p w14:paraId="68EA5DD6" w14:textId="77777777" w:rsidR="00C96521" w:rsidRPr="006437E1" w:rsidRDefault="00C96521" w:rsidP="00C96521">
            <w:pPr>
              <w:widowControl/>
              <w:autoSpaceDE/>
              <w:autoSpaceDN/>
              <w:adjustRightInd/>
              <w:rPr>
                <w:rFonts w:ascii="Arial" w:hAnsi="Arial" w:cs="Arial"/>
                <w:sz w:val="18"/>
                <w:szCs w:val="18"/>
                <w:lang w:val="en-GB"/>
              </w:rPr>
            </w:pPr>
          </w:p>
        </w:tc>
        <w:tc>
          <w:tcPr>
            <w:tcW w:w="2443" w:type="dxa"/>
          </w:tcPr>
          <w:p w14:paraId="021ED87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3.1.1</w:t>
            </w:r>
          </w:p>
          <w:p w14:paraId="74636BDA" w14:textId="77777777" w:rsidR="00C96521" w:rsidRPr="006437E1" w:rsidRDefault="00C96521" w:rsidP="00C96521">
            <w:pPr>
              <w:widowControl/>
              <w:autoSpaceDE/>
              <w:autoSpaceDN/>
              <w:adjustRightInd/>
              <w:rPr>
                <w:rFonts w:ascii="Arial" w:hAnsi="Arial" w:cs="Arial"/>
                <w:color w:val="FF0000"/>
                <w:sz w:val="18"/>
                <w:szCs w:val="18"/>
                <w:lang w:val="en-GB"/>
              </w:rPr>
            </w:pPr>
            <w:r w:rsidRPr="006437E1">
              <w:rPr>
                <w:rFonts w:ascii="Arial" w:hAnsi="Arial" w:cs="Arial"/>
                <w:sz w:val="18"/>
                <w:szCs w:val="18"/>
                <w:lang w:val="en-GB"/>
              </w:rPr>
              <w:t>Action 3.2.1</w:t>
            </w:r>
          </w:p>
        </w:tc>
      </w:tr>
      <w:tr w:rsidR="00C96521" w:rsidRPr="006437E1" w14:paraId="0C099688" w14:textId="77777777" w:rsidTr="00C96521">
        <w:tc>
          <w:tcPr>
            <w:tcW w:w="2340" w:type="dxa"/>
          </w:tcPr>
          <w:p w14:paraId="5C7452B6" w14:textId="4C5D88A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5.4 Documented standardi</w:t>
            </w:r>
            <w:r w:rsidR="008807BF" w:rsidRPr="006437E1">
              <w:rPr>
                <w:rFonts w:ascii="Arial" w:hAnsi="Arial" w:cs="Arial"/>
                <w:sz w:val="18"/>
                <w:szCs w:val="18"/>
                <w:lang w:val="en-GB"/>
              </w:rPr>
              <w:t>z</w:t>
            </w:r>
            <w:r w:rsidRPr="006437E1">
              <w:rPr>
                <w:rFonts w:ascii="Arial" w:hAnsi="Arial" w:cs="Arial"/>
                <w:sz w:val="18"/>
                <w:szCs w:val="18"/>
                <w:lang w:val="en-GB"/>
              </w:rPr>
              <w:t xml:space="preserve">ed procedures for studying </w:t>
            </w:r>
            <w:r w:rsidR="008807BF" w:rsidRPr="00235FA0">
              <w:rPr>
                <w:rFonts w:ascii="Arial" w:hAnsi="Arial" w:cs="Arial"/>
                <w:sz w:val="18"/>
                <w:szCs w:val="18"/>
                <w:lang w:val="en-GB"/>
              </w:rPr>
              <w:t xml:space="preserve">Turtle Dove </w:t>
            </w:r>
            <w:r w:rsidRPr="006437E1">
              <w:rPr>
                <w:rFonts w:ascii="Arial" w:hAnsi="Arial" w:cs="Arial"/>
                <w:sz w:val="18"/>
                <w:szCs w:val="18"/>
                <w:lang w:val="en-GB"/>
              </w:rPr>
              <w:t>available by end [</w:t>
            </w:r>
            <w:r w:rsidRPr="006437E1">
              <w:rPr>
                <w:rFonts w:ascii="Arial" w:hAnsi="Arial" w:cs="Arial"/>
                <w:i/>
                <w:sz w:val="18"/>
                <w:szCs w:val="18"/>
                <w:lang w:val="en-GB"/>
              </w:rPr>
              <w:t>2019</w:t>
            </w:r>
            <w:r w:rsidRPr="006437E1">
              <w:rPr>
                <w:rFonts w:ascii="Arial" w:hAnsi="Arial" w:cs="Arial"/>
                <w:sz w:val="18"/>
                <w:szCs w:val="18"/>
                <w:lang w:val="en-GB"/>
              </w:rPr>
              <w:t>].</w:t>
            </w:r>
          </w:p>
        </w:tc>
        <w:tc>
          <w:tcPr>
            <w:tcW w:w="4572" w:type="dxa"/>
          </w:tcPr>
          <w:p w14:paraId="7596014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5.4.1</w:t>
            </w:r>
          </w:p>
          <w:p w14:paraId="16BB2575"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Development of a set of agreed standards and methodologies across all Range States for collecting data (eg blood samples, productivity), tracking, and analyses.</w:t>
            </w:r>
          </w:p>
          <w:p w14:paraId="2498C34F" w14:textId="77777777" w:rsidR="00C96521" w:rsidRPr="006437E1" w:rsidRDefault="00C96521" w:rsidP="00C96521">
            <w:pPr>
              <w:widowControl/>
              <w:autoSpaceDE/>
              <w:autoSpaceDN/>
              <w:adjustRightInd/>
              <w:rPr>
                <w:rFonts w:ascii="Arial" w:hAnsi="Arial" w:cs="Arial"/>
                <w:sz w:val="18"/>
                <w:szCs w:val="18"/>
                <w:lang w:val="en-GB"/>
              </w:rPr>
            </w:pPr>
          </w:p>
          <w:p w14:paraId="1389845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 and interested parties.</w:t>
            </w:r>
          </w:p>
        </w:tc>
        <w:tc>
          <w:tcPr>
            <w:tcW w:w="993" w:type="dxa"/>
          </w:tcPr>
          <w:p w14:paraId="1DA5F05E"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High</w:t>
            </w:r>
          </w:p>
        </w:tc>
        <w:tc>
          <w:tcPr>
            <w:tcW w:w="1134" w:type="dxa"/>
          </w:tcPr>
          <w:p w14:paraId="020310EE"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Immediate</w:t>
            </w:r>
          </w:p>
        </w:tc>
        <w:tc>
          <w:tcPr>
            <w:tcW w:w="2693" w:type="dxa"/>
          </w:tcPr>
          <w:p w14:paraId="4AAD389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CONSERVATION NGOs, FACE, ACADEMIC INSTITUTIONS</w:t>
            </w:r>
            <w:r w:rsidRPr="006437E1">
              <w:rPr>
                <w:rFonts w:ascii="Arial" w:hAnsi="Arial" w:cs="Arial"/>
                <w:sz w:val="18"/>
                <w:szCs w:val="18"/>
                <w:lang w:val="en-GB"/>
              </w:rPr>
              <w:t>, national wildlife agencies, national hunting federations</w:t>
            </w:r>
          </w:p>
          <w:p w14:paraId="72604F7F" w14:textId="77777777" w:rsidR="00C96521" w:rsidRPr="006437E1" w:rsidRDefault="00C96521" w:rsidP="00C96521">
            <w:pPr>
              <w:widowControl/>
              <w:autoSpaceDE/>
              <w:autoSpaceDN/>
              <w:adjustRightInd/>
              <w:rPr>
                <w:rFonts w:ascii="Arial" w:hAnsi="Arial" w:cs="Arial"/>
                <w:sz w:val="18"/>
                <w:szCs w:val="18"/>
                <w:lang w:val="en-GB"/>
              </w:rPr>
            </w:pPr>
          </w:p>
        </w:tc>
        <w:tc>
          <w:tcPr>
            <w:tcW w:w="2443" w:type="dxa"/>
          </w:tcPr>
          <w:p w14:paraId="73D6A1C9"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5.1.1, existing projects and methodologies.</w:t>
            </w:r>
          </w:p>
        </w:tc>
      </w:tr>
      <w:tr w:rsidR="00C96521" w:rsidRPr="008C00B8" w14:paraId="5B9A431D" w14:textId="77777777" w:rsidTr="00C96521">
        <w:tc>
          <w:tcPr>
            <w:tcW w:w="2340" w:type="dxa"/>
          </w:tcPr>
          <w:p w14:paraId="66E0924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5.5 National Action Plans are aligned with EU Action Plan by end [</w:t>
            </w:r>
            <w:r w:rsidRPr="006437E1">
              <w:rPr>
                <w:rFonts w:ascii="Arial" w:hAnsi="Arial" w:cs="Arial"/>
                <w:i/>
                <w:sz w:val="18"/>
                <w:szCs w:val="18"/>
                <w:lang w:val="en-GB"/>
              </w:rPr>
              <w:t>2018</w:t>
            </w:r>
            <w:r w:rsidRPr="006437E1">
              <w:rPr>
                <w:rFonts w:ascii="Arial" w:hAnsi="Arial" w:cs="Arial"/>
                <w:sz w:val="18"/>
                <w:szCs w:val="18"/>
                <w:lang w:val="en-GB"/>
              </w:rPr>
              <w:t>].</w:t>
            </w:r>
          </w:p>
        </w:tc>
        <w:tc>
          <w:tcPr>
            <w:tcW w:w="4572" w:type="dxa"/>
          </w:tcPr>
          <w:p w14:paraId="5058BACF"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5.5.1</w:t>
            </w:r>
          </w:p>
          <w:p w14:paraId="77036B3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Ensure that National Action Plans are coordinated with the overarching EU Plan.</w:t>
            </w:r>
          </w:p>
          <w:p w14:paraId="59342864" w14:textId="77777777" w:rsidR="00C96521" w:rsidRPr="006437E1" w:rsidRDefault="00C96521" w:rsidP="00C96521">
            <w:pPr>
              <w:widowControl/>
              <w:autoSpaceDE/>
              <w:autoSpaceDN/>
              <w:adjustRightInd/>
              <w:rPr>
                <w:rFonts w:ascii="Arial" w:hAnsi="Arial" w:cs="Arial"/>
                <w:sz w:val="18"/>
                <w:szCs w:val="18"/>
                <w:lang w:val="en-GB"/>
              </w:rPr>
            </w:pPr>
          </w:p>
          <w:p w14:paraId="40FE6C4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Spain (currently), other EU Member States as they develop National Action Plans.</w:t>
            </w:r>
          </w:p>
        </w:tc>
        <w:tc>
          <w:tcPr>
            <w:tcW w:w="993" w:type="dxa"/>
          </w:tcPr>
          <w:p w14:paraId="7B8BD0F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Essential</w:t>
            </w:r>
          </w:p>
        </w:tc>
        <w:tc>
          <w:tcPr>
            <w:tcW w:w="1134" w:type="dxa"/>
          </w:tcPr>
          <w:p w14:paraId="3DDCFF15"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Immediate</w:t>
            </w:r>
          </w:p>
        </w:tc>
        <w:tc>
          <w:tcPr>
            <w:tcW w:w="2693" w:type="dxa"/>
          </w:tcPr>
          <w:p w14:paraId="623290A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NATIONAL GOVERNMENTS</w:t>
            </w:r>
            <w:r w:rsidRPr="006437E1">
              <w:rPr>
                <w:rFonts w:ascii="Arial" w:hAnsi="Arial" w:cs="Arial"/>
                <w:sz w:val="18"/>
                <w:szCs w:val="18"/>
                <w:lang w:val="en-GB"/>
              </w:rPr>
              <w:t>, conservation NGOs</w:t>
            </w:r>
          </w:p>
        </w:tc>
        <w:tc>
          <w:tcPr>
            <w:tcW w:w="2443" w:type="dxa"/>
          </w:tcPr>
          <w:p w14:paraId="48E3860C" w14:textId="77777777" w:rsidR="00C96521" w:rsidRPr="006437E1" w:rsidRDefault="00C96521" w:rsidP="00C96521">
            <w:pPr>
              <w:widowControl/>
              <w:autoSpaceDE/>
              <w:autoSpaceDN/>
              <w:adjustRightInd/>
              <w:rPr>
                <w:rFonts w:ascii="Arial" w:hAnsi="Arial" w:cs="Arial"/>
                <w:sz w:val="18"/>
                <w:szCs w:val="18"/>
                <w:lang w:val="fr-FR"/>
              </w:rPr>
            </w:pPr>
            <w:r w:rsidRPr="006437E1">
              <w:rPr>
                <w:rFonts w:ascii="Arial" w:hAnsi="Arial" w:cs="Arial"/>
                <w:sz w:val="18"/>
                <w:szCs w:val="18"/>
                <w:lang w:val="fr-FR"/>
              </w:rPr>
              <w:t>National Action Plans, EU Action Plan.</w:t>
            </w:r>
          </w:p>
        </w:tc>
      </w:tr>
      <w:tr w:rsidR="00C96521" w:rsidRPr="006437E1" w14:paraId="6AED259A" w14:textId="77777777" w:rsidTr="00C96521">
        <w:tc>
          <w:tcPr>
            <w:tcW w:w="2340" w:type="dxa"/>
            <w:vMerge w:val="restart"/>
          </w:tcPr>
          <w:p w14:paraId="480D97AF" w14:textId="75921CD1"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5.6 Common goals of Conservation NGOs and Development NGOs working within </w:t>
            </w:r>
            <w:r w:rsidR="008807BF" w:rsidRPr="00235FA0">
              <w:rPr>
                <w:rFonts w:ascii="Arial" w:hAnsi="Arial" w:cs="Arial"/>
                <w:sz w:val="18"/>
                <w:szCs w:val="18"/>
                <w:lang w:val="en-GB"/>
              </w:rPr>
              <w:t xml:space="preserve">Turtle Dove </w:t>
            </w:r>
            <w:r w:rsidRPr="006437E1">
              <w:rPr>
                <w:rFonts w:ascii="Arial" w:hAnsi="Arial" w:cs="Arial"/>
                <w:sz w:val="18"/>
                <w:szCs w:val="18"/>
                <w:lang w:val="en-GB"/>
              </w:rPr>
              <w:t xml:space="preserve">wintering </w:t>
            </w:r>
            <w:r w:rsidR="008807BF" w:rsidRPr="006437E1">
              <w:rPr>
                <w:rFonts w:ascii="Arial" w:hAnsi="Arial" w:cs="Arial"/>
                <w:sz w:val="18"/>
                <w:szCs w:val="18"/>
                <w:lang w:val="en-GB"/>
              </w:rPr>
              <w:t>R</w:t>
            </w:r>
            <w:r w:rsidRPr="006437E1">
              <w:rPr>
                <w:rFonts w:ascii="Arial" w:hAnsi="Arial" w:cs="Arial"/>
                <w:sz w:val="18"/>
                <w:szCs w:val="18"/>
                <w:lang w:val="en-GB"/>
              </w:rPr>
              <w:t xml:space="preserve">ange </w:t>
            </w:r>
            <w:r w:rsidR="008807BF" w:rsidRPr="006437E1">
              <w:rPr>
                <w:rFonts w:ascii="Arial" w:hAnsi="Arial" w:cs="Arial"/>
                <w:sz w:val="18"/>
                <w:szCs w:val="18"/>
                <w:lang w:val="en-GB"/>
              </w:rPr>
              <w:t>S</w:t>
            </w:r>
            <w:r w:rsidRPr="006437E1">
              <w:rPr>
                <w:rFonts w:ascii="Arial" w:hAnsi="Arial" w:cs="Arial"/>
                <w:sz w:val="18"/>
                <w:szCs w:val="18"/>
                <w:lang w:val="en-GB"/>
              </w:rPr>
              <w:t xml:space="preserve">tates and </w:t>
            </w:r>
            <w:r w:rsidR="008807BF" w:rsidRPr="006437E1">
              <w:rPr>
                <w:rFonts w:ascii="Arial" w:hAnsi="Arial" w:cs="Arial"/>
                <w:sz w:val="18"/>
                <w:szCs w:val="18"/>
                <w:lang w:val="en-GB"/>
              </w:rPr>
              <w:t>S</w:t>
            </w:r>
            <w:r w:rsidRPr="006437E1">
              <w:rPr>
                <w:rFonts w:ascii="Arial" w:hAnsi="Arial" w:cs="Arial"/>
                <w:sz w:val="18"/>
                <w:szCs w:val="18"/>
                <w:lang w:val="en-GB"/>
              </w:rPr>
              <w:t>tates with important stop-over sites are identified by [</w:t>
            </w:r>
            <w:r w:rsidRPr="006437E1">
              <w:rPr>
                <w:rFonts w:ascii="Arial" w:hAnsi="Arial" w:cs="Arial"/>
                <w:i/>
                <w:sz w:val="18"/>
                <w:szCs w:val="18"/>
                <w:lang w:val="en-GB"/>
              </w:rPr>
              <w:t>end 2018</w:t>
            </w:r>
            <w:r w:rsidRPr="006437E1">
              <w:rPr>
                <w:rFonts w:ascii="Arial" w:hAnsi="Arial" w:cs="Arial"/>
                <w:sz w:val="18"/>
                <w:szCs w:val="18"/>
                <w:lang w:val="en-GB"/>
              </w:rPr>
              <w:t>].</w:t>
            </w:r>
          </w:p>
        </w:tc>
        <w:tc>
          <w:tcPr>
            <w:tcW w:w="4572" w:type="dxa"/>
          </w:tcPr>
          <w:p w14:paraId="4C8100D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5.6.1</w:t>
            </w:r>
          </w:p>
          <w:p w14:paraId="0C0A4A5E" w14:textId="10E5DD16"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Assess the goals of Conservation NGOs and Development NGOs working in </w:t>
            </w:r>
            <w:r w:rsidR="008807BF" w:rsidRPr="00235FA0">
              <w:rPr>
                <w:rFonts w:ascii="Arial" w:hAnsi="Arial" w:cs="Arial"/>
                <w:sz w:val="18"/>
                <w:szCs w:val="18"/>
                <w:lang w:val="en-GB"/>
              </w:rPr>
              <w:t xml:space="preserve">Turtle Dove </w:t>
            </w:r>
            <w:r w:rsidRPr="006437E1">
              <w:rPr>
                <w:rFonts w:ascii="Arial" w:hAnsi="Arial" w:cs="Arial"/>
                <w:sz w:val="18"/>
                <w:szCs w:val="18"/>
                <w:lang w:val="en-GB"/>
              </w:rPr>
              <w:t xml:space="preserve">wintering range states and states with important stop-over sites and identify where these goals overlap to benefit </w:t>
            </w:r>
            <w:r w:rsidR="008807BF" w:rsidRPr="00235FA0">
              <w:rPr>
                <w:rFonts w:ascii="Arial" w:hAnsi="Arial" w:cs="Arial"/>
                <w:sz w:val="18"/>
                <w:szCs w:val="18"/>
                <w:lang w:val="en-GB"/>
              </w:rPr>
              <w:t>Turtle Dove</w:t>
            </w:r>
            <w:r w:rsidRPr="006437E1">
              <w:rPr>
                <w:rFonts w:ascii="Arial" w:hAnsi="Arial" w:cs="Arial"/>
                <w:sz w:val="18"/>
                <w:szCs w:val="18"/>
                <w:lang w:val="en-GB"/>
              </w:rPr>
              <w:t xml:space="preserve">. </w:t>
            </w:r>
          </w:p>
          <w:p w14:paraId="01D3C135" w14:textId="77777777" w:rsidR="00C96521" w:rsidRPr="006437E1" w:rsidRDefault="00C96521" w:rsidP="00C96521">
            <w:pPr>
              <w:widowControl/>
              <w:autoSpaceDE/>
              <w:autoSpaceDN/>
              <w:adjustRightInd/>
              <w:rPr>
                <w:rFonts w:ascii="Arial" w:hAnsi="Arial" w:cs="Arial"/>
                <w:sz w:val="18"/>
                <w:szCs w:val="18"/>
                <w:lang w:val="en-GB"/>
              </w:rPr>
            </w:pPr>
          </w:p>
          <w:p w14:paraId="33A7C58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NGOs working on livelihoods and human welfare across all Range States (including FAO, UNDP, UNCCD, Great Green Wall).</w:t>
            </w:r>
          </w:p>
        </w:tc>
        <w:tc>
          <w:tcPr>
            <w:tcW w:w="993" w:type="dxa"/>
          </w:tcPr>
          <w:p w14:paraId="46528E0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134" w:type="dxa"/>
          </w:tcPr>
          <w:p w14:paraId="681EE71F"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93" w:type="dxa"/>
          </w:tcPr>
          <w:p w14:paraId="04958EE5"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CONSERVATION NGOs</w:t>
            </w:r>
            <w:r w:rsidRPr="006437E1">
              <w:rPr>
                <w:rFonts w:ascii="Arial" w:hAnsi="Arial" w:cs="Arial"/>
                <w:sz w:val="18"/>
                <w:szCs w:val="18"/>
                <w:lang w:val="en-GB"/>
              </w:rPr>
              <w:t>, academic institutions</w:t>
            </w:r>
          </w:p>
        </w:tc>
        <w:tc>
          <w:tcPr>
            <w:tcW w:w="2443" w:type="dxa"/>
          </w:tcPr>
          <w:p w14:paraId="7897999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Mission statements of NGOs from other sectors.</w:t>
            </w:r>
          </w:p>
        </w:tc>
      </w:tr>
      <w:tr w:rsidR="00C96521" w:rsidRPr="006437E1" w14:paraId="5B82A2BB" w14:textId="77777777" w:rsidTr="00C96521">
        <w:tc>
          <w:tcPr>
            <w:tcW w:w="2340" w:type="dxa"/>
            <w:vMerge/>
          </w:tcPr>
          <w:p w14:paraId="26C871AB" w14:textId="77777777" w:rsidR="00C96521" w:rsidRPr="006437E1" w:rsidRDefault="00C96521" w:rsidP="00C96521">
            <w:pPr>
              <w:widowControl/>
              <w:autoSpaceDE/>
              <w:autoSpaceDN/>
              <w:adjustRightInd/>
              <w:rPr>
                <w:rFonts w:ascii="Arial" w:hAnsi="Arial" w:cs="Arial"/>
                <w:sz w:val="18"/>
                <w:szCs w:val="18"/>
                <w:lang w:val="en-GB"/>
              </w:rPr>
            </w:pPr>
          </w:p>
        </w:tc>
        <w:tc>
          <w:tcPr>
            <w:tcW w:w="4572" w:type="dxa"/>
          </w:tcPr>
          <w:p w14:paraId="72BD762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5.6.2</w:t>
            </w:r>
          </w:p>
          <w:p w14:paraId="696B7A0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Promote common goals to other sector NGOs, and develop working links as appropriate.</w:t>
            </w:r>
          </w:p>
          <w:p w14:paraId="5B347AAA" w14:textId="77777777" w:rsidR="00C96521" w:rsidRPr="006437E1" w:rsidRDefault="00C96521" w:rsidP="00C96521">
            <w:pPr>
              <w:widowControl/>
              <w:autoSpaceDE/>
              <w:autoSpaceDN/>
              <w:adjustRightInd/>
              <w:rPr>
                <w:rFonts w:ascii="Arial" w:hAnsi="Arial" w:cs="Arial"/>
                <w:sz w:val="18"/>
                <w:szCs w:val="18"/>
                <w:lang w:val="en-GB"/>
              </w:rPr>
            </w:pPr>
          </w:p>
          <w:p w14:paraId="0752A0B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NGOs working on livelihoods and human welfare across all Range States (including FAO, UNDP, UNCCD, Great Green Wall).</w:t>
            </w:r>
          </w:p>
        </w:tc>
        <w:tc>
          <w:tcPr>
            <w:tcW w:w="993" w:type="dxa"/>
          </w:tcPr>
          <w:p w14:paraId="07ECD8A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134" w:type="dxa"/>
          </w:tcPr>
          <w:p w14:paraId="2440A41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2693" w:type="dxa"/>
          </w:tcPr>
          <w:p w14:paraId="5EE4A26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CONSERVATION NGOs</w:t>
            </w:r>
            <w:r w:rsidRPr="006437E1">
              <w:rPr>
                <w:rFonts w:ascii="Arial" w:hAnsi="Arial" w:cs="Arial"/>
                <w:sz w:val="18"/>
                <w:szCs w:val="18"/>
                <w:lang w:val="en-GB"/>
              </w:rPr>
              <w:t>, academic institutions</w:t>
            </w:r>
          </w:p>
        </w:tc>
        <w:tc>
          <w:tcPr>
            <w:tcW w:w="2443" w:type="dxa"/>
          </w:tcPr>
          <w:p w14:paraId="043760A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5.6.1</w:t>
            </w:r>
          </w:p>
        </w:tc>
      </w:tr>
      <w:tr w:rsidR="00C96521" w:rsidRPr="006437E1" w14:paraId="299898BC" w14:textId="77777777" w:rsidTr="00C96521">
        <w:tc>
          <w:tcPr>
            <w:tcW w:w="2340" w:type="dxa"/>
          </w:tcPr>
          <w:p w14:paraId="3DA9BA26"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5.7 Local conservation NGOs in core areas are able to support turtle-dove activities by [</w:t>
            </w:r>
            <w:r w:rsidRPr="006437E1">
              <w:rPr>
                <w:rFonts w:ascii="Arial" w:hAnsi="Arial" w:cs="Arial"/>
                <w:i/>
                <w:sz w:val="18"/>
                <w:szCs w:val="18"/>
                <w:lang w:val="en-GB"/>
              </w:rPr>
              <w:t>2025</w:t>
            </w:r>
            <w:r w:rsidRPr="006437E1">
              <w:rPr>
                <w:rFonts w:ascii="Arial" w:hAnsi="Arial" w:cs="Arial"/>
                <w:sz w:val="18"/>
                <w:szCs w:val="18"/>
                <w:lang w:val="en-GB"/>
              </w:rPr>
              <w:t>].</w:t>
            </w:r>
          </w:p>
        </w:tc>
        <w:tc>
          <w:tcPr>
            <w:tcW w:w="4572" w:type="dxa"/>
          </w:tcPr>
          <w:p w14:paraId="335711F5"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5.7.1</w:t>
            </w:r>
          </w:p>
          <w:p w14:paraId="2E58A8CA" w14:textId="3CD4B571"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Increase capacity in small conservation NGOs to carry out national conservation activities to support the conservation of the </w:t>
            </w:r>
            <w:r w:rsidR="000C3653" w:rsidRPr="00235FA0">
              <w:rPr>
                <w:rFonts w:ascii="Arial" w:hAnsi="Arial" w:cs="Arial"/>
                <w:sz w:val="18"/>
                <w:szCs w:val="18"/>
                <w:lang w:val="en-GB"/>
              </w:rPr>
              <w:t>Turtle Dove</w:t>
            </w:r>
            <w:r w:rsidRPr="006437E1">
              <w:rPr>
                <w:rFonts w:ascii="Arial" w:hAnsi="Arial" w:cs="Arial"/>
                <w:sz w:val="18"/>
                <w:szCs w:val="18"/>
                <w:lang w:val="en-GB"/>
              </w:rPr>
              <w:t>.</w:t>
            </w:r>
          </w:p>
          <w:p w14:paraId="1A501D7C" w14:textId="77777777" w:rsidR="00C96521" w:rsidRPr="006437E1" w:rsidRDefault="00C96521" w:rsidP="00C96521">
            <w:pPr>
              <w:widowControl/>
              <w:autoSpaceDE/>
              <w:autoSpaceDN/>
              <w:adjustRightInd/>
              <w:rPr>
                <w:rFonts w:ascii="Arial" w:hAnsi="Arial" w:cs="Arial"/>
                <w:sz w:val="18"/>
                <w:szCs w:val="18"/>
                <w:lang w:val="en-GB"/>
              </w:rPr>
            </w:pPr>
          </w:p>
          <w:p w14:paraId="0E87D83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Range States with no large existing conservation NGO.</w:t>
            </w:r>
          </w:p>
        </w:tc>
        <w:tc>
          <w:tcPr>
            <w:tcW w:w="993" w:type="dxa"/>
          </w:tcPr>
          <w:p w14:paraId="0C7DA7D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High</w:t>
            </w:r>
          </w:p>
        </w:tc>
        <w:tc>
          <w:tcPr>
            <w:tcW w:w="1134" w:type="dxa"/>
          </w:tcPr>
          <w:p w14:paraId="4B9CCD5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2693" w:type="dxa"/>
          </w:tcPr>
          <w:p w14:paraId="597EE54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CONSERVATION NGOs</w:t>
            </w:r>
            <w:r w:rsidRPr="006437E1">
              <w:rPr>
                <w:rFonts w:ascii="Arial" w:hAnsi="Arial" w:cs="Arial"/>
                <w:sz w:val="18"/>
                <w:szCs w:val="18"/>
                <w:lang w:val="en-GB"/>
              </w:rPr>
              <w:t>, academic institutions</w:t>
            </w:r>
          </w:p>
        </w:tc>
        <w:tc>
          <w:tcPr>
            <w:tcW w:w="2443" w:type="dxa"/>
          </w:tcPr>
          <w:p w14:paraId="742E26EF"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BirdLife Partnership Partner Support network.</w:t>
            </w:r>
          </w:p>
        </w:tc>
      </w:tr>
    </w:tbl>
    <w:p w14:paraId="5E282C27" w14:textId="77777777" w:rsidR="00C96521" w:rsidRPr="005D4262" w:rsidRDefault="00C96521" w:rsidP="00C96521">
      <w:pPr>
        <w:widowControl/>
        <w:autoSpaceDE/>
        <w:autoSpaceDN/>
        <w:adjustRightInd/>
        <w:spacing w:line="276" w:lineRule="auto"/>
        <w:rPr>
          <w:rFonts w:eastAsia="MS Mincho" w:cs="Arial"/>
          <w:szCs w:val="18"/>
          <w:lang w:val="en-GB" w:eastAsia="ja-JP"/>
        </w:rPr>
      </w:pPr>
    </w:p>
    <w:p w14:paraId="4632B56D" w14:textId="77777777" w:rsidR="00C96521" w:rsidRPr="005D4262" w:rsidRDefault="00C96521" w:rsidP="00C96521">
      <w:pPr>
        <w:widowControl/>
        <w:autoSpaceDE/>
        <w:autoSpaceDN/>
        <w:adjustRightInd/>
        <w:spacing w:line="276" w:lineRule="auto"/>
        <w:rPr>
          <w:rFonts w:eastAsia="MS Mincho" w:cs="Arial"/>
          <w:szCs w:val="18"/>
          <w:lang w:val="en-GB" w:eastAsia="ja-JP"/>
        </w:rPr>
      </w:pPr>
    </w:p>
    <w:tbl>
      <w:tblPr>
        <w:tblStyle w:val="TableGrid"/>
        <w:tblW w:w="0" w:type="auto"/>
        <w:tblLook w:val="04A0" w:firstRow="1" w:lastRow="0" w:firstColumn="1" w:lastColumn="0" w:noHBand="0" w:noVBand="1"/>
      </w:tblPr>
      <w:tblGrid>
        <w:gridCol w:w="2340"/>
        <w:gridCol w:w="4572"/>
        <w:gridCol w:w="993"/>
        <w:gridCol w:w="1134"/>
        <w:gridCol w:w="2693"/>
        <w:gridCol w:w="2443"/>
      </w:tblGrid>
      <w:tr w:rsidR="00C96521" w:rsidRPr="006437E1" w14:paraId="60CF999E" w14:textId="77777777" w:rsidTr="006437E1">
        <w:trPr>
          <w:tblHeader/>
        </w:trPr>
        <w:tc>
          <w:tcPr>
            <w:tcW w:w="14175" w:type="dxa"/>
            <w:gridSpan w:val="6"/>
            <w:shd w:val="clear" w:color="auto" w:fill="BFBFBF" w:themeFill="background1" w:themeFillShade="BF"/>
          </w:tcPr>
          <w:p w14:paraId="2266E799"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Objective 6: Raise awareness</w:t>
            </w:r>
          </w:p>
        </w:tc>
      </w:tr>
      <w:tr w:rsidR="00C96521" w:rsidRPr="006437E1" w14:paraId="57C48EB8" w14:textId="77777777" w:rsidTr="00C96521">
        <w:trPr>
          <w:tblHeader/>
        </w:trPr>
        <w:tc>
          <w:tcPr>
            <w:tcW w:w="2340" w:type="dxa"/>
            <w:shd w:val="clear" w:color="auto" w:fill="D9D9D9"/>
          </w:tcPr>
          <w:p w14:paraId="174535B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Result</w:t>
            </w:r>
          </w:p>
        </w:tc>
        <w:tc>
          <w:tcPr>
            <w:tcW w:w="4572" w:type="dxa"/>
            <w:shd w:val="clear" w:color="auto" w:fill="D9D9D9"/>
          </w:tcPr>
          <w:p w14:paraId="552A75D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and scope</w:t>
            </w:r>
          </w:p>
        </w:tc>
        <w:tc>
          <w:tcPr>
            <w:tcW w:w="993" w:type="dxa"/>
            <w:shd w:val="clear" w:color="auto" w:fill="D9D9D9"/>
          </w:tcPr>
          <w:p w14:paraId="58F8649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Priority</w:t>
            </w:r>
          </w:p>
        </w:tc>
        <w:tc>
          <w:tcPr>
            <w:tcW w:w="1134" w:type="dxa"/>
            <w:shd w:val="clear" w:color="auto" w:fill="D9D9D9"/>
          </w:tcPr>
          <w:p w14:paraId="4C37F5B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Timescale</w:t>
            </w:r>
          </w:p>
        </w:tc>
        <w:tc>
          <w:tcPr>
            <w:tcW w:w="2693" w:type="dxa"/>
            <w:shd w:val="clear" w:color="auto" w:fill="D9D9D9"/>
          </w:tcPr>
          <w:p w14:paraId="19DAF0F6" w14:textId="1816FEFA"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Organi</w:t>
            </w:r>
            <w:r w:rsidR="005028F9" w:rsidRPr="006437E1">
              <w:rPr>
                <w:rFonts w:ascii="Arial" w:hAnsi="Arial" w:cs="Arial"/>
                <w:sz w:val="18"/>
                <w:szCs w:val="18"/>
                <w:lang w:val="en-GB"/>
              </w:rPr>
              <w:t>z</w:t>
            </w:r>
            <w:r w:rsidRPr="006437E1">
              <w:rPr>
                <w:rFonts w:ascii="Arial" w:hAnsi="Arial" w:cs="Arial"/>
                <w:sz w:val="18"/>
                <w:szCs w:val="18"/>
                <w:lang w:val="en-GB"/>
              </w:rPr>
              <w:t>ations responsible</w:t>
            </w:r>
          </w:p>
        </w:tc>
        <w:tc>
          <w:tcPr>
            <w:tcW w:w="2443" w:type="dxa"/>
            <w:shd w:val="clear" w:color="auto" w:fill="D9D9D9"/>
          </w:tcPr>
          <w:p w14:paraId="7F5AC1A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Inputs required</w:t>
            </w:r>
          </w:p>
        </w:tc>
      </w:tr>
      <w:tr w:rsidR="00C96521" w:rsidRPr="006437E1" w14:paraId="4B0F04B4" w14:textId="77777777" w:rsidTr="00C96521">
        <w:tc>
          <w:tcPr>
            <w:tcW w:w="2340" w:type="dxa"/>
            <w:vMerge w:val="restart"/>
          </w:tcPr>
          <w:p w14:paraId="2AA3FB57" w14:textId="62921AD4"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6.1 Communications Strategy for the International Turtle</w:t>
            </w:r>
            <w:r w:rsidR="000C3653" w:rsidRPr="006437E1">
              <w:rPr>
                <w:rFonts w:ascii="Arial" w:hAnsi="Arial" w:cs="Arial"/>
                <w:sz w:val="18"/>
                <w:szCs w:val="18"/>
                <w:lang w:val="en-GB"/>
              </w:rPr>
              <w:t xml:space="preserve"> D</w:t>
            </w:r>
            <w:r w:rsidRPr="006437E1">
              <w:rPr>
                <w:rFonts w:ascii="Arial" w:hAnsi="Arial" w:cs="Arial"/>
                <w:sz w:val="18"/>
                <w:szCs w:val="18"/>
                <w:lang w:val="en-GB"/>
              </w:rPr>
              <w:t>ove Action Plan by [</w:t>
            </w:r>
            <w:r w:rsidRPr="006437E1">
              <w:rPr>
                <w:rFonts w:ascii="Arial" w:hAnsi="Arial" w:cs="Arial"/>
                <w:i/>
                <w:sz w:val="18"/>
                <w:szCs w:val="18"/>
                <w:lang w:val="en-GB"/>
              </w:rPr>
              <w:t>2018</w:t>
            </w:r>
            <w:r w:rsidRPr="006437E1">
              <w:rPr>
                <w:rFonts w:ascii="Arial" w:hAnsi="Arial" w:cs="Arial"/>
                <w:sz w:val="18"/>
                <w:szCs w:val="18"/>
                <w:lang w:val="en-GB"/>
              </w:rPr>
              <w:t>].</w:t>
            </w:r>
          </w:p>
        </w:tc>
        <w:tc>
          <w:tcPr>
            <w:tcW w:w="4572" w:type="dxa"/>
          </w:tcPr>
          <w:p w14:paraId="6FEE11E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6.1.1</w:t>
            </w:r>
          </w:p>
          <w:p w14:paraId="1B3251FE"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Develop a Communications Strategy to promote the implementation of the actions of the Action Plan to raise awareness among stakeholders and national authorities to promote the development and implementation of agri-environment schemes for turtle-dove, the Sustainable Hunting Initiative, and to ensure that the turtle-dove and the multiple biodiversity benefits related to its conservation remain high on the political and economic agenda for national governments.</w:t>
            </w:r>
          </w:p>
          <w:p w14:paraId="74804D38" w14:textId="77777777" w:rsidR="00C96521" w:rsidRPr="006437E1" w:rsidRDefault="00C96521" w:rsidP="00C96521">
            <w:pPr>
              <w:widowControl/>
              <w:autoSpaceDE/>
              <w:autoSpaceDN/>
              <w:adjustRightInd/>
              <w:rPr>
                <w:rFonts w:ascii="Arial" w:hAnsi="Arial" w:cs="Arial"/>
                <w:sz w:val="18"/>
                <w:szCs w:val="18"/>
                <w:lang w:val="en-GB"/>
              </w:rPr>
            </w:pPr>
          </w:p>
          <w:p w14:paraId="791F5646"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w:t>
            </w:r>
          </w:p>
        </w:tc>
        <w:tc>
          <w:tcPr>
            <w:tcW w:w="993" w:type="dxa"/>
          </w:tcPr>
          <w:p w14:paraId="423DC23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High</w:t>
            </w:r>
          </w:p>
        </w:tc>
        <w:tc>
          <w:tcPr>
            <w:tcW w:w="1134" w:type="dxa"/>
          </w:tcPr>
          <w:p w14:paraId="5650FC3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Immediate</w:t>
            </w:r>
          </w:p>
        </w:tc>
        <w:tc>
          <w:tcPr>
            <w:tcW w:w="2693" w:type="dxa"/>
          </w:tcPr>
          <w:p w14:paraId="7BE8BF5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CONSERVATION NGOs, FACE</w:t>
            </w:r>
            <w:r w:rsidRPr="006437E1">
              <w:rPr>
                <w:rFonts w:ascii="Arial" w:hAnsi="Arial" w:cs="Arial"/>
                <w:sz w:val="18"/>
                <w:szCs w:val="18"/>
                <w:lang w:val="en-GB"/>
              </w:rPr>
              <w:t>, national hunting federations</w:t>
            </w:r>
          </w:p>
        </w:tc>
        <w:tc>
          <w:tcPr>
            <w:tcW w:w="2443" w:type="dxa"/>
          </w:tcPr>
          <w:p w14:paraId="2B00718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3.3.1</w:t>
            </w:r>
          </w:p>
        </w:tc>
      </w:tr>
      <w:tr w:rsidR="00C96521" w:rsidRPr="006437E1" w14:paraId="31C244F0" w14:textId="77777777" w:rsidTr="00C96521">
        <w:tc>
          <w:tcPr>
            <w:tcW w:w="2340" w:type="dxa"/>
            <w:vMerge/>
          </w:tcPr>
          <w:p w14:paraId="1A3458FE" w14:textId="77777777" w:rsidR="00C96521" w:rsidRPr="006437E1" w:rsidRDefault="00C96521" w:rsidP="00C96521">
            <w:pPr>
              <w:widowControl/>
              <w:autoSpaceDE/>
              <w:autoSpaceDN/>
              <w:adjustRightInd/>
              <w:rPr>
                <w:rFonts w:ascii="Arial" w:hAnsi="Arial" w:cs="Arial"/>
                <w:sz w:val="18"/>
                <w:szCs w:val="18"/>
                <w:lang w:val="en-GB"/>
              </w:rPr>
            </w:pPr>
          </w:p>
        </w:tc>
        <w:tc>
          <w:tcPr>
            <w:tcW w:w="4572" w:type="dxa"/>
          </w:tcPr>
          <w:p w14:paraId="6546B57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6.1.2</w:t>
            </w:r>
          </w:p>
          <w:p w14:paraId="64AC1149"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Use the biannual meeting of the Expert Group on Birds and Habitats Directives (NADEG) to discuss and inform on the progress/outputs of the implementation of the Action Plan.</w:t>
            </w:r>
          </w:p>
          <w:p w14:paraId="381FF7CF" w14:textId="77777777" w:rsidR="00C96521" w:rsidRPr="006437E1" w:rsidRDefault="00C96521" w:rsidP="00C96521">
            <w:pPr>
              <w:widowControl/>
              <w:autoSpaceDE/>
              <w:autoSpaceDN/>
              <w:adjustRightInd/>
              <w:rPr>
                <w:rFonts w:ascii="Arial" w:hAnsi="Arial" w:cs="Arial"/>
                <w:sz w:val="18"/>
                <w:szCs w:val="18"/>
                <w:lang w:val="en-GB"/>
              </w:rPr>
            </w:pPr>
          </w:p>
          <w:p w14:paraId="3D72955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EU Range States.</w:t>
            </w:r>
          </w:p>
        </w:tc>
        <w:tc>
          <w:tcPr>
            <w:tcW w:w="993" w:type="dxa"/>
          </w:tcPr>
          <w:p w14:paraId="6FD72B7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High </w:t>
            </w:r>
          </w:p>
        </w:tc>
        <w:tc>
          <w:tcPr>
            <w:tcW w:w="1134" w:type="dxa"/>
          </w:tcPr>
          <w:p w14:paraId="2CAAD19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Immediate</w:t>
            </w:r>
          </w:p>
        </w:tc>
        <w:tc>
          <w:tcPr>
            <w:tcW w:w="2693" w:type="dxa"/>
          </w:tcPr>
          <w:p w14:paraId="3038512C" w14:textId="77777777" w:rsidR="00C96521" w:rsidRPr="006437E1" w:rsidRDefault="00C96521" w:rsidP="00C96521">
            <w:pPr>
              <w:widowControl/>
              <w:autoSpaceDE/>
              <w:autoSpaceDN/>
              <w:adjustRightInd/>
              <w:rPr>
                <w:rFonts w:ascii="Arial" w:hAnsi="Arial" w:cs="Arial"/>
                <w:b/>
                <w:sz w:val="18"/>
                <w:szCs w:val="18"/>
                <w:lang w:val="en-GB"/>
              </w:rPr>
            </w:pPr>
            <w:r w:rsidRPr="006437E1">
              <w:rPr>
                <w:rFonts w:ascii="Arial" w:hAnsi="Arial" w:cs="Arial"/>
                <w:b/>
                <w:sz w:val="18"/>
                <w:szCs w:val="18"/>
                <w:lang w:val="en-GB"/>
              </w:rPr>
              <w:t>EUROPEAN COMMISSION</w:t>
            </w:r>
          </w:p>
        </w:tc>
        <w:tc>
          <w:tcPr>
            <w:tcW w:w="2443" w:type="dxa"/>
          </w:tcPr>
          <w:p w14:paraId="7B8ED65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Complete Action Plan.</w:t>
            </w:r>
          </w:p>
        </w:tc>
      </w:tr>
      <w:tr w:rsidR="00C96521" w:rsidRPr="006437E1" w14:paraId="240801DF" w14:textId="77777777" w:rsidTr="00C96521">
        <w:tc>
          <w:tcPr>
            <w:tcW w:w="2340" w:type="dxa"/>
          </w:tcPr>
          <w:p w14:paraId="04DB89FA" w14:textId="40AD6F0B"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6.2 Turtle</w:t>
            </w:r>
            <w:r w:rsidR="000063EB" w:rsidRPr="006437E1">
              <w:rPr>
                <w:rFonts w:ascii="Arial" w:hAnsi="Arial" w:cs="Arial"/>
                <w:sz w:val="18"/>
                <w:szCs w:val="18"/>
                <w:lang w:val="en-GB"/>
              </w:rPr>
              <w:t xml:space="preserve"> D</w:t>
            </w:r>
            <w:r w:rsidRPr="006437E1">
              <w:rPr>
                <w:rFonts w:ascii="Arial" w:hAnsi="Arial" w:cs="Arial"/>
                <w:sz w:val="18"/>
                <w:szCs w:val="18"/>
                <w:lang w:val="en-GB"/>
              </w:rPr>
              <w:t>ove incorporated into at least [</w:t>
            </w:r>
            <w:r w:rsidRPr="006437E1">
              <w:rPr>
                <w:rFonts w:ascii="Arial" w:hAnsi="Arial" w:cs="Arial"/>
                <w:i/>
                <w:sz w:val="18"/>
                <w:szCs w:val="18"/>
                <w:lang w:val="en-GB"/>
              </w:rPr>
              <w:t>n</w:t>
            </w:r>
            <w:r w:rsidRPr="006437E1">
              <w:rPr>
                <w:rFonts w:ascii="Arial" w:hAnsi="Arial" w:cs="Arial"/>
                <w:sz w:val="18"/>
                <w:szCs w:val="18"/>
                <w:lang w:val="en-GB"/>
              </w:rPr>
              <w:t>] national Citizen Science project in each Range State (breeding, wintering and passage) by [</w:t>
            </w:r>
            <w:r w:rsidRPr="006437E1">
              <w:rPr>
                <w:rFonts w:ascii="Arial" w:hAnsi="Arial" w:cs="Arial"/>
                <w:i/>
                <w:sz w:val="18"/>
                <w:szCs w:val="18"/>
                <w:lang w:val="en-GB"/>
              </w:rPr>
              <w:t>2025</w:t>
            </w:r>
            <w:r w:rsidRPr="006437E1">
              <w:rPr>
                <w:rFonts w:ascii="Arial" w:hAnsi="Arial" w:cs="Arial"/>
                <w:sz w:val="18"/>
                <w:szCs w:val="18"/>
                <w:lang w:val="en-GB"/>
              </w:rPr>
              <w:t>].</w:t>
            </w:r>
          </w:p>
        </w:tc>
        <w:tc>
          <w:tcPr>
            <w:tcW w:w="4572" w:type="dxa"/>
          </w:tcPr>
          <w:p w14:paraId="7548E6A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6.2.1</w:t>
            </w:r>
          </w:p>
          <w:p w14:paraId="08C67728" w14:textId="595F2E9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Promote the </w:t>
            </w:r>
            <w:r w:rsidR="000063EB" w:rsidRPr="006437E1">
              <w:rPr>
                <w:rFonts w:ascii="Arial" w:hAnsi="Arial" w:cs="Arial"/>
                <w:sz w:val="18"/>
                <w:szCs w:val="18"/>
                <w:lang w:val="en-GB"/>
              </w:rPr>
              <w:t>T</w:t>
            </w:r>
            <w:r w:rsidRPr="006437E1">
              <w:rPr>
                <w:rFonts w:ascii="Arial" w:hAnsi="Arial" w:cs="Arial"/>
                <w:sz w:val="18"/>
                <w:szCs w:val="18"/>
                <w:lang w:val="en-GB"/>
              </w:rPr>
              <w:t>urtle</w:t>
            </w:r>
            <w:r w:rsidR="000063EB" w:rsidRPr="006437E1">
              <w:rPr>
                <w:rFonts w:ascii="Arial" w:hAnsi="Arial" w:cs="Arial"/>
                <w:sz w:val="18"/>
                <w:szCs w:val="18"/>
                <w:lang w:val="en-GB"/>
              </w:rPr>
              <w:t xml:space="preserve"> D</w:t>
            </w:r>
            <w:r w:rsidRPr="006437E1">
              <w:rPr>
                <w:rFonts w:ascii="Arial" w:hAnsi="Arial" w:cs="Arial"/>
                <w:sz w:val="18"/>
                <w:szCs w:val="18"/>
                <w:lang w:val="en-GB"/>
              </w:rPr>
              <w:t>ove as a target species for national Citizen Science projects with an emphasis on filling the knowledge gaps identified in Objective 7.</w:t>
            </w:r>
          </w:p>
          <w:p w14:paraId="40D5FA32" w14:textId="77777777" w:rsidR="00C96521" w:rsidRPr="006437E1" w:rsidRDefault="00C96521" w:rsidP="00C96521">
            <w:pPr>
              <w:widowControl/>
              <w:autoSpaceDE/>
              <w:autoSpaceDN/>
              <w:adjustRightInd/>
              <w:rPr>
                <w:rFonts w:ascii="Arial" w:hAnsi="Arial" w:cs="Arial"/>
                <w:sz w:val="18"/>
                <w:szCs w:val="18"/>
                <w:lang w:val="en-GB"/>
              </w:rPr>
            </w:pPr>
          </w:p>
          <w:p w14:paraId="6BEC20A2" w14:textId="77777777" w:rsidR="00C96521" w:rsidRPr="006437E1" w:rsidRDefault="00C96521" w:rsidP="00C96521">
            <w:pPr>
              <w:widowControl/>
              <w:autoSpaceDE/>
              <w:autoSpaceDN/>
              <w:adjustRightInd/>
              <w:rPr>
                <w:rFonts w:ascii="Arial" w:hAnsi="Arial" w:cs="Arial"/>
                <w:sz w:val="18"/>
                <w:szCs w:val="18"/>
                <w:lang w:val="en-GB"/>
              </w:rPr>
            </w:pPr>
          </w:p>
          <w:p w14:paraId="5CACEA3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w:t>
            </w:r>
          </w:p>
        </w:tc>
        <w:tc>
          <w:tcPr>
            <w:tcW w:w="993" w:type="dxa"/>
          </w:tcPr>
          <w:p w14:paraId="70A19066"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Low</w:t>
            </w:r>
          </w:p>
        </w:tc>
        <w:tc>
          <w:tcPr>
            <w:tcW w:w="1134" w:type="dxa"/>
          </w:tcPr>
          <w:p w14:paraId="012D8C26"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Long</w:t>
            </w:r>
          </w:p>
        </w:tc>
        <w:tc>
          <w:tcPr>
            <w:tcW w:w="2693" w:type="dxa"/>
          </w:tcPr>
          <w:p w14:paraId="4B66414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CONSERVATION NGOs</w:t>
            </w:r>
            <w:r w:rsidRPr="006437E1">
              <w:rPr>
                <w:rFonts w:ascii="Arial" w:hAnsi="Arial" w:cs="Arial"/>
                <w:sz w:val="18"/>
                <w:szCs w:val="18"/>
                <w:lang w:val="en-GB"/>
              </w:rPr>
              <w:t>, FACE, national hunting federations, national governments</w:t>
            </w:r>
          </w:p>
        </w:tc>
        <w:tc>
          <w:tcPr>
            <w:tcW w:w="2443" w:type="dxa"/>
          </w:tcPr>
          <w:p w14:paraId="2CE338D5" w14:textId="77777777" w:rsidR="00C96521" w:rsidRPr="006437E1" w:rsidRDefault="00C96521" w:rsidP="00C96521">
            <w:pPr>
              <w:widowControl/>
              <w:autoSpaceDE/>
              <w:autoSpaceDN/>
              <w:adjustRightInd/>
              <w:rPr>
                <w:rFonts w:ascii="Arial" w:hAnsi="Arial" w:cs="Arial"/>
                <w:sz w:val="18"/>
                <w:szCs w:val="18"/>
                <w:lang w:val="en-GB"/>
              </w:rPr>
            </w:pPr>
          </w:p>
        </w:tc>
      </w:tr>
      <w:tr w:rsidR="00C96521" w:rsidRPr="006437E1" w14:paraId="7FD4EDBF" w14:textId="77777777" w:rsidTr="00C96521">
        <w:tc>
          <w:tcPr>
            <w:tcW w:w="2340" w:type="dxa"/>
          </w:tcPr>
          <w:p w14:paraId="623C8E38" w14:textId="75B5B7F4"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6.3 Zero-tolerance of illegal killing of </w:t>
            </w:r>
            <w:r w:rsidR="000063EB" w:rsidRPr="006437E1">
              <w:rPr>
                <w:rFonts w:ascii="Arial" w:hAnsi="Arial" w:cs="Arial"/>
                <w:sz w:val="18"/>
                <w:szCs w:val="18"/>
                <w:lang w:val="en-GB"/>
              </w:rPr>
              <w:t>T</w:t>
            </w:r>
            <w:r w:rsidRPr="006437E1">
              <w:rPr>
                <w:rFonts w:ascii="Arial" w:hAnsi="Arial" w:cs="Arial"/>
                <w:sz w:val="18"/>
                <w:szCs w:val="18"/>
                <w:lang w:val="en-GB"/>
              </w:rPr>
              <w:t>urtle</w:t>
            </w:r>
            <w:r w:rsidR="000063EB" w:rsidRPr="006437E1">
              <w:rPr>
                <w:rFonts w:ascii="Arial" w:hAnsi="Arial" w:cs="Arial"/>
                <w:sz w:val="18"/>
                <w:szCs w:val="18"/>
                <w:lang w:val="en-GB"/>
              </w:rPr>
              <w:t>D</w:t>
            </w:r>
            <w:r w:rsidRPr="006437E1">
              <w:rPr>
                <w:rFonts w:ascii="Arial" w:hAnsi="Arial" w:cs="Arial"/>
                <w:sz w:val="18"/>
                <w:szCs w:val="18"/>
                <w:lang w:val="en-GB"/>
              </w:rPr>
              <w:t>oves by [</w:t>
            </w:r>
            <w:r w:rsidRPr="006437E1">
              <w:rPr>
                <w:rFonts w:ascii="Arial" w:hAnsi="Arial" w:cs="Arial"/>
                <w:i/>
                <w:sz w:val="18"/>
                <w:szCs w:val="18"/>
                <w:lang w:val="en-GB"/>
              </w:rPr>
              <w:t>2020</w:t>
            </w:r>
            <w:r w:rsidRPr="006437E1">
              <w:rPr>
                <w:rFonts w:ascii="Arial" w:hAnsi="Arial" w:cs="Arial"/>
                <w:sz w:val="18"/>
                <w:szCs w:val="18"/>
                <w:lang w:val="en-GB"/>
              </w:rPr>
              <w:t>]. (NB - the zero</w:t>
            </w:r>
            <w:r w:rsidR="000C3653" w:rsidRPr="006437E1">
              <w:rPr>
                <w:rFonts w:ascii="Arial" w:hAnsi="Arial" w:cs="Arial"/>
                <w:sz w:val="18"/>
                <w:szCs w:val="18"/>
                <w:lang w:val="en-GB"/>
              </w:rPr>
              <w:t>-</w:t>
            </w:r>
            <w:r w:rsidRPr="006437E1">
              <w:rPr>
                <w:rFonts w:ascii="Arial" w:hAnsi="Arial" w:cs="Arial"/>
                <w:sz w:val="18"/>
                <w:szCs w:val="18"/>
                <w:lang w:val="en-GB"/>
              </w:rPr>
              <w:t>tolerance approach is a principle of CMS MIKT and accepted by national government signatories; this action is about awareness raising with the general public)</w:t>
            </w:r>
          </w:p>
        </w:tc>
        <w:tc>
          <w:tcPr>
            <w:tcW w:w="4572" w:type="dxa"/>
          </w:tcPr>
          <w:p w14:paraId="4828DBC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6.3.1</w:t>
            </w:r>
          </w:p>
          <w:p w14:paraId="628333AF" w14:textId="379D9029"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Promotion of zero-tolerance of illegal killing of </w:t>
            </w:r>
            <w:r w:rsidR="000063EB" w:rsidRPr="006437E1">
              <w:rPr>
                <w:rFonts w:ascii="Arial" w:hAnsi="Arial" w:cs="Arial"/>
                <w:sz w:val="18"/>
                <w:szCs w:val="18"/>
                <w:lang w:val="en-GB"/>
              </w:rPr>
              <w:t>T</w:t>
            </w:r>
            <w:r w:rsidRPr="006437E1">
              <w:rPr>
                <w:rFonts w:ascii="Arial" w:hAnsi="Arial" w:cs="Arial"/>
                <w:sz w:val="18"/>
                <w:szCs w:val="18"/>
                <w:lang w:val="en-GB"/>
              </w:rPr>
              <w:t>urtle</w:t>
            </w:r>
            <w:r w:rsidR="000063EB" w:rsidRPr="006437E1">
              <w:rPr>
                <w:rFonts w:ascii="Arial" w:hAnsi="Arial" w:cs="Arial"/>
                <w:sz w:val="18"/>
                <w:szCs w:val="18"/>
                <w:lang w:val="en-GB"/>
              </w:rPr>
              <w:t xml:space="preserve"> D</w:t>
            </w:r>
            <w:r w:rsidRPr="006437E1">
              <w:rPr>
                <w:rFonts w:ascii="Arial" w:hAnsi="Arial" w:cs="Arial"/>
                <w:sz w:val="18"/>
                <w:szCs w:val="18"/>
                <w:lang w:val="en-GB"/>
              </w:rPr>
              <w:t>ove (and other birds) to hunters and the general public.</w:t>
            </w:r>
          </w:p>
          <w:p w14:paraId="5E629FBB" w14:textId="77777777" w:rsidR="00C96521" w:rsidRPr="006437E1" w:rsidRDefault="00C96521" w:rsidP="00C96521">
            <w:pPr>
              <w:widowControl/>
              <w:autoSpaceDE/>
              <w:autoSpaceDN/>
              <w:adjustRightInd/>
              <w:rPr>
                <w:rFonts w:ascii="Arial" w:hAnsi="Arial" w:cs="Arial"/>
                <w:sz w:val="18"/>
                <w:szCs w:val="18"/>
                <w:lang w:val="en-GB"/>
              </w:rPr>
            </w:pPr>
          </w:p>
          <w:p w14:paraId="0896BD00" w14:textId="77777777" w:rsidR="00C96521" w:rsidRPr="006437E1" w:rsidRDefault="00C96521" w:rsidP="00C96521">
            <w:pPr>
              <w:widowControl/>
              <w:autoSpaceDE/>
              <w:autoSpaceDN/>
              <w:adjustRightInd/>
              <w:rPr>
                <w:rFonts w:ascii="Arial" w:hAnsi="Arial" w:cs="Arial"/>
                <w:sz w:val="18"/>
                <w:szCs w:val="18"/>
                <w:lang w:val="en-GB"/>
              </w:rPr>
            </w:pPr>
          </w:p>
          <w:p w14:paraId="19DD6A57" w14:textId="77777777" w:rsidR="00C96521" w:rsidRPr="006437E1" w:rsidRDefault="00C96521" w:rsidP="00C96521">
            <w:pPr>
              <w:widowControl/>
              <w:autoSpaceDE/>
              <w:autoSpaceDN/>
              <w:adjustRightInd/>
              <w:rPr>
                <w:rFonts w:ascii="Arial" w:hAnsi="Arial" w:cs="Arial"/>
                <w:sz w:val="18"/>
                <w:szCs w:val="18"/>
                <w:lang w:val="en-GB"/>
              </w:rPr>
            </w:pPr>
          </w:p>
          <w:p w14:paraId="5E454E11" w14:textId="77777777" w:rsidR="00C96521" w:rsidRPr="006437E1" w:rsidRDefault="00C96521" w:rsidP="00C96521">
            <w:pPr>
              <w:widowControl/>
              <w:autoSpaceDE/>
              <w:autoSpaceDN/>
              <w:adjustRightInd/>
              <w:rPr>
                <w:rFonts w:ascii="Arial" w:hAnsi="Arial" w:cs="Arial"/>
                <w:sz w:val="18"/>
                <w:szCs w:val="18"/>
                <w:lang w:val="en-GB"/>
              </w:rPr>
            </w:pPr>
          </w:p>
          <w:p w14:paraId="23D0C070" w14:textId="77777777" w:rsidR="00C96521" w:rsidRPr="006437E1" w:rsidRDefault="00C96521" w:rsidP="00C96521">
            <w:pPr>
              <w:widowControl/>
              <w:autoSpaceDE/>
              <w:autoSpaceDN/>
              <w:adjustRightInd/>
              <w:rPr>
                <w:rFonts w:ascii="Arial" w:hAnsi="Arial" w:cs="Arial"/>
                <w:sz w:val="18"/>
                <w:szCs w:val="18"/>
                <w:lang w:val="en-GB"/>
              </w:rPr>
            </w:pPr>
          </w:p>
          <w:p w14:paraId="1A734F7F"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 with illegal killing.</w:t>
            </w:r>
          </w:p>
        </w:tc>
        <w:tc>
          <w:tcPr>
            <w:tcW w:w="993" w:type="dxa"/>
          </w:tcPr>
          <w:p w14:paraId="54BD879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High</w:t>
            </w:r>
          </w:p>
        </w:tc>
        <w:tc>
          <w:tcPr>
            <w:tcW w:w="1134" w:type="dxa"/>
          </w:tcPr>
          <w:p w14:paraId="060683A5"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93" w:type="dxa"/>
          </w:tcPr>
          <w:p w14:paraId="42F50CB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FACE, NATIONAL HUNTING FEDERATIONS</w:t>
            </w:r>
            <w:r w:rsidRPr="006437E1">
              <w:rPr>
                <w:rFonts w:ascii="Arial" w:hAnsi="Arial" w:cs="Arial"/>
                <w:sz w:val="18"/>
                <w:szCs w:val="18"/>
                <w:lang w:val="en-GB"/>
              </w:rPr>
              <w:t>, national wildlife agencies.</w:t>
            </w:r>
          </w:p>
        </w:tc>
        <w:tc>
          <w:tcPr>
            <w:tcW w:w="2443" w:type="dxa"/>
          </w:tcPr>
          <w:p w14:paraId="4DF66030" w14:textId="7770DBA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National reports to the Berne Convention, EU Road-Map, CMS MIKT, IMPEL, Larnaca </w:t>
            </w:r>
            <w:r w:rsidR="000063EB" w:rsidRPr="006437E1">
              <w:rPr>
                <w:rFonts w:ascii="Arial" w:hAnsi="Arial" w:cs="Arial"/>
                <w:sz w:val="18"/>
                <w:szCs w:val="18"/>
                <w:lang w:val="en-GB"/>
              </w:rPr>
              <w:t>D</w:t>
            </w:r>
            <w:r w:rsidRPr="006437E1">
              <w:rPr>
                <w:rFonts w:ascii="Arial" w:hAnsi="Arial" w:cs="Arial"/>
                <w:sz w:val="18"/>
                <w:szCs w:val="18"/>
                <w:lang w:val="en-GB"/>
              </w:rPr>
              <w:t>eclaration of 2011.</w:t>
            </w:r>
          </w:p>
        </w:tc>
      </w:tr>
      <w:tr w:rsidR="00C96521" w:rsidRPr="006437E1" w14:paraId="7F6FA608" w14:textId="77777777" w:rsidTr="00C96521">
        <w:tc>
          <w:tcPr>
            <w:tcW w:w="2340" w:type="dxa"/>
          </w:tcPr>
          <w:p w14:paraId="26B1B033" w14:textId="1545C2E6"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6.4 Better enforcement and support to fight illegal killing with CMS </w:t>
            </w:r>
            <w:r w:rsidR="000063EB" w:rsidRPr="006437E1">
              <w:rPr>
                <w:rFonts w:ascii="Arial" w:hAnsi="Arial" w:cs="Arial"/>
                <w:sz w:val="18"/>
                <w:szCs w:val="18"/>
                <w:lang w:val="en-GB"/>
              </w:rPr>
              <w:t>Parti</w:t>
            </w:r>
            <w:r w:rsidRPr="006437E1">
              <w:rPr>
                <w:rFonts w:ascii="Arial" w:hAnsi="Arial" w:cs="Arial"/>
                <w:sz w:val="18"/>
                <w:szCs w:val="18"/>
                <w:lang w:val="en-GB"/>
              </w:rPr>
              <w:t>es and EU Member States by [</w:t>
            </w:r>
            <w:r w:rsidRPr="006437E1">
              <w:rPr>
                <w:rFonts w:ascii="Arial" w:hAnsi="Arial" w:cs="Arial"/>
                <w:i/>
                <w:sz w:val="18"/>
                <w:szCs w:val="18"/>
                <w:lang w:val="en-GB"/>
              </w:rPr>
              <w:t>2020</w:t>
            </w:r>
            <w:r w:rsidRPr="006437E1">
              <w:rPr>
                <w:rFonts w:ascii="Arial" w:hAnsi="Arial" w:cs="Arial"/>
                <w:sz w:val="18"/>
                <w:szCs w:val="18"/>
                <w:lang w:val="en-GB"/>
              </w:rPr>
              <w:t>].</w:t>
            </w:r>
          </w:p>
        </w:tc>
        <w:tc>
          <w:tcPr>
            <w:tcW w:w="4572" w:type="dxa"/>
          </w:tcPr>
          <w:p w14:paraId="09C1591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6.4.1</w:t>
            </w:r>
          </w:p>
          <w:p w14:paraId="5983828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In conjunction with CMS MIKT and BC TAP, undertake an advocacy campaign to promote better enforcement of hunting legislation, to provide technical support, and to fund efforts to reduce illegal killing. Promotion zero-tolerance of illegal killing of turtle doves to enforcement authorities/services.</w:t>
            </w:r>
          </w:p>
          <w:p w14:paraId="253421BB" w14:textId="77777777" w:rsidR="00C96521" w:rsidRPr="006437E1" w:rsidRDefault="00C96521" w:rsidP="00C96521">
            <w:pPr>
              <w:widowControl/>
              <w:autoSpaceDE/>
              <w:autoSpaceDN/>
              <w:adjustRightInd/>
              <w:rPr>
                <w:rFonts w:ascii="Arial" w:hAnsi="Arial" w:cs="Arial"/>
                <w:sz w:val="18"/>
                <w:szCs w:val="18"/>
                <w:lang w:val="en-GB"/>
              </w:rPr>
            </w:pPr>
          </w:p>
          <w:p w14:paraId="5BFED9D9" w14:textId="70DAD702"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Applicable to: EU Member States and CMS </w:t>
            </w:r>
            <w:r w:rsidR="000063EB" w:rsidRPr="006437E1">
              <w:rPr>
                <w:rFonts w:ascii="Arial" w:hAnsi="Arial" w:cs="Arial"/>
                <w:sz w:val="18"/>
                <w:szCs w:val="18"/>
                <w:lang w:val="en-GB"/>
              </w:rPr>
              <w:t>P</w:t>
            </w:r>
            <w:r w:rsidRPr="006437E1">
              <w:rPr>
                <w:rFonts w:ascii="Arial" w:hAnsi="Arial" w:cs="Arial"/>
                <w:sz w:val="18"/>
                <w:szCs w:val="18"/>
                <w:lang w:val="en-GB"/>
              </w:rPr>
              <w:t>arties.</w:t>
            </w:r>
          </w:p>
        </w:tc>
        <w:tc>
          <w:tcPr>
            <w:tcW w:w="993" w:type="dxa"/>
          </w:tcPr>
          <w:p w14:paraId="5AF84EA5"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High</w:t>
            </w:r>
          </w:p>
        </w:tc>
        <w:tc>
          <w:tcPr>
            <w:tcW w:w="1134" w:type="dxa"/>
          </w:tcPr>
          <w:p w14:paraId="02EDF09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Long</w:t>
            </w:r>
          </w:p>
        </w:tc>
        <w:tc>
          <w:tcPr>
            <w:tcW w:w="2693" w:type="dxa"/>
          </w:tcPr>
          <w:p w14:paraId="7D34038E"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 xml:space="preserve">NATIONAL GOVERNMENTS, FACE, </w:t>
            </w:r>
            <w:r w:rsidRPr="006437E1">
              <w:rPr>
                <w:rFonts w:ascii="Arial" w:hAnsi="Arial" w:cs="Arial"/>
                <w:sz w:val="18"/>
                <w:szCs w:val="18"/>
                <w:lang w:val="en-GB"/>
              </w:rPr>
              <w:t>national hunting federations, conservation NGOs</w:t>
            </w:r>
          </w:p>
        </w:tc>
        <w:tc>
          <w:tcPr>
            <w:tcW w:w="2443" w:type="dxa"/>
          </w:tcPr>
          <w:p w14:paraId="4F7966F5"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Illegal killing data, national reports to the Berne Convention, EU Road-Map, CMS MIKT, IMPEL.</w:t>
            </w:r>
          </w:p>
        </w:tc>
      </w:tr>
      <w:tr w:rsidR="00C96521" w:rsidRPr="006437E1" w14:paraId="031E3573" w14:textId="77777777" w:rsidTr="00C96521">
        <w:tc>
          <w:tcPr>
            <w:tcW w:w="2340" w:type="dxa"/>
            <w:vMerge w:val="restart"/>
          </w:tcPr>
          <w:p w14:paraId="794189B9" w14:textId="0BE0977B"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6.5 Reduced disturbance of breeding </w:t>
            </w:r>
            <w:r w:rsidR="000063EB" w:rsidRPr="006437E1">
              <w:rPr>
                <w:rFonts w:ascii="Arial" w:hAnsi="Arial" w:cs="Arial"/>
                <w:sz w:val="18"/>
                <w:szCs w:val="18"/>
                <w:lang w:val="en-GB"/>
              </w:rPr>
              <w:t>T</w:t>
            </w:r>
            <w:r w:rsidRPr="006437E1">
              <w:rPr>
                <w:rFonts w:ascii="Arial" w:hAnsi="Arial" w:cs="Arial"/>
                <w:sz w:val="18"/>
                <w:szCs w:val="18"/>
                <w:lang w:val="en-GB"/>
              </w:rPr>
              <w:t xml:space="preserve">urtle </w:t>
            </w:r>
            <w:r w:rsidR="000063EB" w:rsidRPr="006437E1">
              <w:rPr>
                <w:rFonts w:ascii="Arial" w:hAnsi="Arial" w:cs="Arial"/>
                <w:sz w:val="18"/>
                <w:szCs w:val="18"/>
                <w:lang w:val="en-GB"/>
              </w:rPr>
              <w:t>D</w:t>
            </w:r>
            <w:r w:rsidRPr="006437E1">
              <w:rPr>
                <w:rFonts w:ascii="Arial" w:hAnsi="Arial" w:cs="Arial"/>
                <w:sz w:val="18"/>
                <w:szCs w:val="18"/>
                <w:lang w:val="en-GB"/>
              </w:rPr>
              <w:t>oves in North Africa by [</w:t>
            </w:r>
            <w:r w:rsidRPr="006437E1">
              <w:rPr>
                <w:rFonts w:ascii="Arial" w:hAnsi="Arial" w:cs="Arial"/>
                <w:i/>
                <w:sz w:val="18"/>
                <w:szCs w:val="18"/>
                <w:lang w:val="en-GB"/>
              </w:rPr>
              <w:t>2025</w:t>
            </w:r>
            <w:r w:rsidRPr="006437E1">
              <w:rPr>
                <w:rFonts w:ascii="Arial" w:hAnsi="Arial" w:cs="Arial"/>
                <w:sz w:val="18"/>
                <w:szCs w:val="18"/>
                <w:lang w:val="en-GB"/>
              </w:rPr>
              <w:t>].</w:t>
            </w:r>
          </w:p>
        </w:tc>
        <w:tc>
          <w:tcPr>
            <w:tcW w:w="4572" w:type="dxa"/>
          </w:tcPr>
          <w:p w14:paraId="624D721F"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6.5.1</w:t>
            </w:r>
          </w:p>
          <w:p w14:paraId="501FE91A" w14:textId="0704921F"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Develop and distribute guidelines for farmers undertaking operations that disturb breeding turtle-doves and other wildlife (e</w:t>
            </w:r>
            <w:r w:rsidR="000063EB" w:rsidRPr="006437E1">
              <w:rPr>
                <w:rFonts w:ascii="Arial" w:hAnsi="Arial" w:cs="Arial"/>
                <w:sz w:val="18"/>
                <w:szCs w:val="18"/>
                <w:lang w:val="en-GB"/>
              </w:rPr>
              <w:t>.</w:t>
            </w:r>
            <w:r w:rsidRPr="006437E1">
              <w:rPr>
                <w:rFonts w:ascii="Arial" w:hAnsi="Arial" w:cs="Arial"/>
                <w:sz w:val="18"/>
                <w:szCs w:val="18"/>
                <w:lang w:val="en-GB"/>
              </w:rPr>
              <w:t>g</w:t>
            </w:r>
            <w:r w:rsidR="000063EB" w:rsidRPr="006437E1">
              <w:rPr>
                <w:rFonts w:ascii="Arial" w:hAnsi="Arial" w:cs="Arial"/>
                <w:sz w:val="18"/>
                <w:szCs w:val="18"/>
                <w:lang w:val="en-GB"/>
              </w:rPr>
              <w:t>.</w:t>
            </w:r>
            <w:r w:rsidRPr="006437E1">
              <w:rPr>
                <w:rFonts w:ascii="Arial" w:hAnsi="Arial" w:cs="Arial"/>
                <w:sz w:val="18"/>
                <w:szCs w:val="18"/>
                <w:lang w:val="en-GB"/>
              </w:rPr>
              <w:t xml:space="preserve"> orange harvest).</w:t>
            </w:r>
          </w:p>
          <w:p w14:paraId="733E5C1D" w14:textId="77777777" w:rsidR="00C96521" w:rsidRPr="006437E1" w:rsidRDefault="00C96521" w:rsidP="00C96521">
            <w:pPr>
              <w:widowControl/>
              <w:autoSpaceDE/>
              <w:autoSpaceDN/>
              <w:adjustRightInd/>
              <w:rPr>
                <w:rFonts w:ascii="Arial" w:hAnsi="Arial" w:cs="Arial"/>
                <w:sz w:val="18"/>
                <w:szCs w:val="18"/>
                <w:lang w:val="en-GB"/>
              </w:rPr>
            </w:pPr>
          </w:p>
          <w:p w14:paraId="3A60C44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North African Range States.</w:t>
            </w:r>
          </w:p>
        </w:tc>
        <w:tc>
          <w:tcPr>
            <w:tcW w:w="993" w:type="dxa"/>
          </w:tcPr>
          <w:p w14:paraId="2D57192F"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134" w:type="dxa"/>
          </w:tcPr>
          <w:p w14:paraId="016DF2C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2693" w:type="dxa"/>
          </w:tcPr>
          <w:p w14:paraId="720843F6"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NATIONAL GOVERNMENTS</w:t>
            </w:r>
            <w:r w:rsidRPr="006437E1">
              <w:rPr>
                <w:rFonts w:ascii="Arial" w:hAnsi="Arial" w:cs="Arial"/>
                <w:sz w:val="18"/>
                <w:szCs w:val="18"/>
                <w:lang w:val="en-GB"/>
              </w:rPr>
              <w:t>, conservation NGOs, national farming agencies</w:t>
            </w:r>
          </w:p>
        </w:tc>
        <w:tc>
          <w:tcPr>
            <w:tcW w:w="2443" w:type="dxa"/>
          </w:tcPr>
          <w:p w14:paraId="42243BF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Data and publication on disturbance.</w:t>
            </w:r>
          </w:p>
        </w:tc>
      </w:tr>
      <w:tr w:rsidR="00C96521" w:rsidRPr="006437E1" w14:paraId="3DD816B8" w14:textId="77777777" w:rsidTr="00C96521">
        <w:tc>
          <w:tcPr>
            <w:tcW w:w="2340" w:type="dxa"/>
            <w:vMerge/>
          </w:tcPr>
          <w:p w14:paraId="38F53CC4" w14:textId="77777777" w:rsidR="00C96521" w:rsidRPr="006437E1" w:rsidRDefault="00C96521" w:rsidP="00C96521">
            <w:pPr>
              <w:widowControl/>
              <w:autoSpaceDE/>
              <w:autoSpaceDN/>
              <w:adjustRightInd/>
              <w:rPr>
                <w:rFonts w:ascii="Arial" w:hAnsi="Arial" w:cs="Arial"/>
                <w:sz w:val="18"/>
                <w:szCs w:val="18"/>
                <w:lang w:val="en-GB"/>
              </w:rPr>
            </w:pPr>
          </w:p>
        </w:tc>
        <w:tc>
          <w:tcPr>
            <w:tcW w:w="4572" w:type="dxa"/>
          </w:tcPr>
          <w:p w14:paraId="332909B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6.5.2</w:t>
            </w:r>
          </w:p>
          <w:p w14:paraId="486597A7" w14:textId="3D38F95A"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Development and distribution of educational materials for schools to teach children not to deliberately disturb turtle-doves and other wildlife (e</w:t>
            </w:r>
            <w:r w:rsidR="000063EB" w:rsidRPr="006437E1">
              <w:rPr>
                <w:rFonts w:ascii="Arial" w:hAnsi="Arial" w:cs="Arial"/>
                <w:sz w:val="18"/>
                <w:szCs w:val="18"/>
                <w:lang w:val="en-GB"/>
              </w:rPr>
              <w:t>.</w:t>
            </w:r>
            <w:r w:rsidRPr="006437E1">
              <w:rPr>
                <w:rFonts w:ascii="Arial" w:hAnsi="Arial" w:cs="Arial"/>
                <w:sz w:val="18"/>
                <w:szCs w:val="18"/>
                <w:lang w:val="en-GB"/>
              </w:rPr>
              <w:t>g</w:t>
            </w:r>
            <w:r w:rsidR="000063EB" w:rsidRPr="006437E1">
              <w:rPr>
                <w:rFonts w:ascii="Arial" w:hAnsi="Arial" w:cs="Arial"/>
                <w:sz w:val="18"/>
                <w:szCs w:val="18"/>
                <w:lang w:val="en-GB"/>
              </w:rPr>
              <w:t>.</w:t>
            </w:r>
            <w:r w:rsidRPr="006437E1">
              <w:rPr>
                <w:rFonts w:ascii="Arial" w:hAnsi="Arial" w:cs="Arial"/>
                <w:sz w:val="18"/>
                <w:szCs w:val="18"/>
                <w:lang w:val="en-GB"/>
              </w:rPr>
              <w:t xml:space="preserve"> using a sling-shot).</w:t>
            </w:r>
          </w:p>
          <w:p w14:paraId="7C77BF06" w14:textId="77777777" w:rsidR="00C96521" w:rsidRPr="006437E1" w:rsidRDefault="00C96521" w:rsidP="00C96521">
            <w:pPr>
              <w:widowControl/>
              <w:autoSpaceDE/>
              <w:autoSpaceDN/>
              <w:adjustRightInd/>
              <w:rPr>
                <w:rFonts w:ascii="Arial" w:hAnsi="Arial" w:cs="Arial"/>
                <w:sz w:val="18"/>
                <w:szCs w:val="18"/>
                <w:lang w:val="en-GB"/>
              </w:rPr>
            </w:pPr>
          </w:p>
          <w:p w14:paraId="18E855D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North African Range States.</w:t>
            </w:r>
          </w:p>
        </w:tc>
        <w:tc>
          <w:tcPr>
            <w:tcW w:w="993" w:type="dxa"/>
          </w:tcPr>
          <w:p w14:paraId="243130E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134" w:type="dxa"/>
          </w:tcPr>
          <w:p w14:paraId="0E2D0E8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2693" w:type="dxa"/>
          </w:tcPr>
          <w:p w14:paraId="7193A61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NATIONAL GOVERNMENTS</w:t>
            </w:r>
            <w:r w:rsidRPr="006437E1">
              <w:rPr>
                <w:rFonts w:ascii="Arial" w:hAnsi="Arial" w:cs="Arial"/>
                <w:sz w:val="18"/>
                <w:szCs w:val="18"/>
                <w:lang w:val="en-GB"/>
              </w:rPr>
              <w:t>, conservation NGOs, schools and education establishments.</w:t>
            </w:r>
          </w:p>
        </w:tc>
        <w:tc>
          <w:tcPr>
            <w:tcW w:w="2443" w:type="dxa"/>
          </w:tcPr>
          <w:p w14:paraId="48569D29"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Data and publication on disturbance.</w:t>
            </w:r>
          </w:p>
        </w:tc>
      </w:tr>
      <w:tr w:rsidR="00C96521" w:rsidRPr="006437E1" w14:paraId="4D9CACFA" w14:textId="77777777" w:rsidTr="00C96521">
        <w:tc>
          <w:tcPr>
            <w:tcW w:w="2340" w:type="dxa"/>
          </w:tcPr>
          <w:p w14:paraId="25EC6F1B" w14:textId="686464A1"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6.6 Good practice guidelines for provision of food and water for </w:t>
            </w:r>
            <w:r w:rsidR="000063EB" w:rsidRPr="006437E1">
              <w:rPr>
                <w:rFonts w:ascii="Arial" w:hAnsi="Arial" w:cs="Arial"/>
                <w:sz w:val="18"/>
                <w:szCs w:val="18"/>
                <w:lang w:val="en-GB"/>
              </w:rPr>
              <w:t>T</w:t>
            </w:r>
            <w:r w:rsidRPr="006437E1">
              <w:rPr>
                <w:rFonts w:ascii="Arial" w:hAnsi="Arial" w:cs="Arial"/>
                <w:sz w:val="18"/>
                <w:szCs w:val="18"/>
                <w:lang w:val="en-GB"/>
              </w:rPr>
              <w:t>urtle</w:t>
            </w:r>
            <w:r w:rsidR="000063EB" w:rsidRPr="006437E1">
              <w:rPr>
                <w:rFonts w:ascii="Arial" w:hAnsi="Arial" w:cs="Arial"/>
                <w:sz w:val="18"/>
                <w:szCs w:val="18"/>
                <w:lang w:val="en-GB"/>
              </w:rPr>
              <w:t>D</w:t>
            </w:r>
            <w:r w:rsidRPr="006437E1">
              <w:rPr>
                <w:rFonts w:ascii="Arial" w:hAnsi="Arial" w:cs="Arial"/>
                <w:sz w:val="18"/>
                <w:szCs w:val="18"/>
                <w:lang w:val="en-GB"/>
              </w:rPr>
              <w:t>oves available and promoted by [</w:t>
            </w:r>
            <w:r w:rsidRPr="006437E1">
              <w:rPr>
                <w:rFonts w:ascii="Arial" w:hAnsi="Arial" w:cs="Arial"/>
                <w:i/>
                <w:sz w:val="18"/>
                <w:szCs w:val="18"/>
                <w:lang w:val="en-GB"/>
              </w:rPr>
              <w:t>2020</w:t>
            </w:r>
            <w:r w:rsidRPr="006437E1">
              <w:rPr>
                <w:rFonts w:ascii="Arial" w:hAnsi="Arial" w:cs="Arial"/>
                <w:sz w:val="18"/>
                <w:szCs w:val="18"/>
                <w:lang w:val="en-GB"/>
              </w:rPr>
              <w:t>].</w:t>
            </w:r>
          </w:p>
        </w:tc>
        <w:tc>
          <w:tcPr>
            <w:tcW w:w="4572" w:type="dxa"/>
          </w:tcPr>
          <w:p w14:paraId="7A6F259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6.6.1</w:t>
            </w:r>
          </w:p>
          <w:p w14:paraId="1502EAD4" w14:textId="7F2805E2"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Develop and promote good practice for any party putting out food or water for </w:t>
            </w:r>
            <w:r w:rsidR="000063EB" w:rsidRPr="006437E1">
              <w:rPr>
                <w:rFonts w:ascii="Arial" w:hAnsi="Arial" w:cs="Arial"/>
                <w:sz w:val="18"/>
                <w:szCs w:val="18"/>
                <w:lang w:val="en-GB"/>
              </w:rPr>
              <w:t>T</w:t>
            </w:r>
            <w:r w:rsidRPr="006437E1">
              <w:rPr>
                <w:rFonts w:ascii="Arial" w:hAnsi="Arial" w:cs="Arial"/>
                <w:sz w:val="18"/>
                <w:szCs w:val="18"/>
                <w:lang w:val="en-GB"/>
              </w:rPr>
              <w:t>urtle</w:t>
            </w:r>
            <w:r w:rsidR="000063EB" w:rsidRPr="006437E1">
              <w:rPr>
                <w:rFonts w:ascii="Arial" w:hAnsi="Arial" w:cs="Arial"/>
                <w:sz w:val="18"/>
                <w:szCs w:val="18"/>
                <w:lang w:val="en-GB"/>
              </w:rPr>
              <w:t xml:space="preserve"> D</w:t>
            </w:r>
            <w:r w:rsidRPr="006437E1">
              <w:rPr>
                <w:rFonts w:ascii="Arial" w:hAnsi="Arial" w:cs="Arial"/>
                <w:sz w:val="18"/>
                <w:szCs w:val="18"/>
                <w:lang w:val="en-GB"/>
              </w:rPr>
              <w:t>oves and other wildlife (e</w:t>
            </w:r>
            <w:r w:rsidR="000063EB" w:rsidRPr="006437E1">
              <w:rPr>
                <w:rFonts w:ascii="Arial" w:hAnsi="Arial" w:cs="Arial"/>
                <w:sz w:val="18"/>
                <w:szCs w:val="18"/>
                <w:lang w:val="en-GB"/>
              </w:rPr>
              <w:t>.</w:t>
            </w:r>
            <w:r w:rsidRPr="006437E1">
              <w:rPr>
                <w:rFonts w:ascii="Arial" w:hAnsi="Arial" w:cs="Arial"/>
                <w:sz w:val="18"/>
                <w:szCs w:val="18"/>
                <w:lang w:val="en-GB"/>
              </w:rPr>
              <w:t>g</w:t>
            </w:r>
            <w:r w:rsidR="000063EB" w:rsidRPr="006437E1">
              <w:rPr>
                <w:rFonts w:ascii="Arial" w:hAnsi="Arial" w:cs="Arial"/>
                <w:sz w:val="18"/>
                <w:szCs w:val="18"/>
                <w:lang w:val="en-GB"/>
              </w:rPr>
              <w:t>.</w:t>
            </w:r>
            <w:r w:rsidRPr="006437E1">
              <w:rPr>
                <w:rFonts w:ascii="Arial" w:hAnsi="Arial" w:cs="Arial"/>
                <w:sz w:val="18"/>
                <w:szCs w:val="18"/>
                <w:lang w:val="en-GB"/>
              </w:rPr>
              <w:t xml:space="preserve"> birdwatchers, hunters).</w:t>
            </w:r>
          </w:p>
          <w:p w14:paraId="2BF784FC" w14:textId="77777777" w:rsidR="00C96521" w:rsidRPr="006437E1" w:rsidRDefault="00C96521" w:rsidP="00C96521">
            <w:pPr>
              <w:widowControl/>
              <w:autoSpaceDE/>
              <w:autoSpaceDN/>
              <w:adjustRightInd/>
              <w:rPr>
                <w:rFonts w:ascii="Arial" w:hAnsi="Arial" w:cs="Arial"/>
                <w:sz w:val="18"/>
                <w:szCs w:val="18"/>
                <w:lang w:val="en-GB"/>
              </w:rPr>
            </w:pPr>
          </w:p>
          <w:p w14:paraId="51B5735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w:t>
            </w:r>
          </w:p>
        </w:tc>
        <w:tc>
          <w:tcPr>
            <w:tcW w:w="993" w:type="dxa"/>
          </w:tcPr>
          <w:p w14:paraId="3916A87F"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134" w:type="dxa"/>
          </w:tcPr>
          <w:p w14:paraId="354AEC7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93" w:type="dxa"/>
          </w:tcPr>
          <w:p w14:paraId="165DC93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CONSERVATION NGOs, FACE,</w:t>
            </w:r>
            <w:r w:rsidRPr="006437E1">
              <w:rPr>
                <w:rFonts w:ascii="Arial" w:hAnsi="Arial" w:cs="Arial"/>
                <w:sz w:val="18"/>
                <w:szCs w:val="18"/>
                <w:lang w:val="en-GB"/>
              </w:rPr>
              <w:t xml:space="preserve"> national hunting federations, academic institutions</w:t>
            </w:r>
          </w:p>
        </w:tc>
        <w:tc>
          <w:tcPr>
            <w:tcW w:w="2443" w:type="dxa"/>
          </w:tcPr>
          <w:p w14:paraId="26FD7A8E"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Existing guidance (eg RSPB), results of new publications on disease risk/spread.</w:t>
            </w:r>
          </w:p>
          <w:p w14:paraId="6553742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7.10.1</w:t>
            </w:r>
          </w:p>
        </w:tc>
      </w:tr>
      <w:tr w:rsidR="00C96521" w:rsidRPr="006437E1" w14:paraId="5787AE16" w14:textId="77777777" w:rsidTr="00C96521">
        <w:tc>
          <w:tcPr>
            <w:tcW w:w="2340" w:type="dxa"/>
          </w:tcPr>
          <w:p w14:paraId="0EA4C95E"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6.7 Good practice guidelines for using chemically coated seeds available and promoted by [</w:t>
            </w:r>
            <w:r w:rsidRPr="006437E1">
              <w:rPr>
                <w:rFonts w:ascii="Arial" w:hAnsi="Arial" w:cs="Arial"/>
                <w:i/>
                <w:sz w:val="18"/>
                <w:szCs w:val="18"/>
                <w:lang w:val="en-GB"/>
              </w:rPr>
              <w:t>2020</w:t>
            </w:r>
            <w:r w:rsidRPr="006437E1">
              <w:rPr>
                <w:rFonts w:ascii="Arial" w:hAnsi="Arial" w:cs="Arial"/>
                <w:sz w:val="18"/>
                <w:szCs w:val="18"/>
                <w:lang w:val="en-GB"/>
              </w:rPr>
              <w:t>].</w:t>
            </w:r>
          </w:p>
        </w:tc>
        <w:tc>
          <w:tcPr>
            <w:tcW w:w="4572" w:type="dxa"/>
          </w:tcPr>
          <w:p w14:paraId="62CDC6C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6.7.1</w:t>
            </w:r>
          </w:p>
          <w:p w14:paraId="0B4ECF61" w14:textId="77285DB0"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Develop and promote good practice for farmers using chemically coated seeds in order to limit threat to </w:t>
            </w:r>
            <w:r w:rsidR="005028F9" w:rsidRPr="006437E1">
              <w:rPr>
                <w:rFonts w:ascii="Arial" w:hAnsi="Arial" w:cs="Arial"/>
                <w:sz w:val="18"/>
                <w:szCs w:val="18"/>
                <w:lang w:val="en-GB"/>
              </w:rPr>
              <w:t>T</w:t>
            </w:r>
            <w:r w:rsidRPr="006437E1">
              <w:rPr>
                <w:rFonts w:ascii="Arial" w:hAnsi="Arial" w:cs="Arial"/>
                <w:sz w:val="18"/>
                <w:szCs w:val="18"/>
                <w:lang w:val="en-GB"/>
              </w:rPr>
              <w:t>urtle</w:t>
            </w:r>
            <w:r w:rsidR="005028F9" w:rsidRPr="006437E1">
              <w:rPr>
                <w:rFonts w:ascii="Arial" w:hAnsi="Arial" w:cs="Arial"/>
                <w:sz w:val="18"/>
                <w:szCs w:val="18"/>
                <w:lang w:val="en-GB"/>
              </w:rPr>
              <w:t xml:space="preserve"> D</w:t>
            </w:r>
            <w:r w:rsidRPr="006437E1">
              <w:rPr>
                <w:rFonts w:ascii="Arial" w:hAnsi="Arial" w:cs="Arial"/>
                <w:sz w:val="18"/>
                <w:szCs w:val="18"/>
                <w:lang w:val="en-GB"/>
              </w:rPr>
              <w:t>oves and other wildlife.</w:t>
            </w:r>
          </w:p>
          <w:p w14:paraId="697679FA" w14:textId="77777777" w:rsidR="00C96521" w:rsidRPr="006437E1" w:rsidRDefault="00C96521" w:rsidP="00C96521">
            <w:pPr>
              <w:widowControl/>
              <w:autoSpaceDE/>
              <w:autoSpaceDN/>
              <w:adjustRightInd/>
              <w:rPr>
                <w:rFonts w:ascii="Arial" w:hAnsi="Arial" w:cs="Arial"/>
                <w:sz w:val="18"/>
                <w:szCs w:val="18"/>
                <w:lang w:val="en-GB"/>
              </w:rPr>
            </w:pPr>
          </w:p>
          <w:p w14:paraId="01325F70" w14:textId="6D5F9169"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Applicable to: all Range States where chemically coated seeds are available to </w:t>
            </w:r>
            <w:r w:rsidR="005028F9" w:rsidRPr="006437E1">
              <w:rPr>
                <w:rFonts w:ascii="Arial" w:hAnsi="Arial" w:cs="Arial"/>
                <w:sz w:val="18"/>
                <w:szCs w:val="18"/>
                <w:lang w:val="en-GB"/>
              </w:rPr>
              <w:t>T</w:t>
            </w:r>
            <w:r w:rsidRPr="006437E1">
              <w:rPr>
                <w:rFonts w:ascii="Arial" w:hAnsi="Arial" w:cs="Arial"/>
                <w:sz w:val="18"/>
                <w:szCs w:val="18"/>
                <w:lang w:val="en-GB"/>
              </w:rPr>
              <w:t>urtle</w:t>
            </w:r>
            <w:r w:rsidR="005028F9" w:rsidRPr="006437E1">
              <w:rPr>
                <w:rFonts w:ascii="Arial" w:hAnsi="Arial" w:cs="Arial"/>
                <w:sz w:val="18"/>
                <w:szCs w:val="18"/>
                <w:lang w:val="en-GB"/>
              </w:rPr>
              <w:t xml:space="preserve"> D</w:t>
            </w:r>
            <w:r w:rsidRPr="006437E1">
              <w:rPr>
                <w:rFonts w:ascii="Arial" w:hAnsi="Arial" w:cs="Arial"/>
                <w:sz w:val="18"/>
                <w:szCs w:val="18"/>
                <w:lang w:val="en-GB"/>
              </w:rPr>
              <w:t>oves (i</w:t>
            </w:r>
            <w:r w:rsidR="005028F9" w:rsidRPr="006437E1">
              <w:rPr>
                <w:rFonts w:ascii="Arial" w:hAnsi="Arial" w:cs="Arial"/>
                <w:sz w:val="18"/>
                <w:szCs w:val="18"/>
                <w:lang w:val="en-GB"/>
              </w:rPr>
              <w:t>.</w:t>
            </w:r>
            <w:r w:rsidRPr="006437E1">
              <w:rPr>
                <w:rFonts w:ascii="Arial" w:hAnsi="Arial" w:cs="Arial"/>
                <w:sz w:val="18"/>
                <w:szCs w:val="18"/>
                <w:lang w:val="en-GB"/>
              </w:rPr>
              <w:t>e</w:t>
            </w:r>
            <w:r w:rsidR="005028F9" w:rsidRPr="006437E1">
              <w:rPr>
                <w:rFonts w:ascii="Arial" w:hAnsi="Arial" w:cs="Arial"/>
                <w:sz w:val="18"/>
                <w:szCs w:val="18"/>
                <w:lang w:val="en-GB"/>
              </w:rPr>
              <w:t>.</w:t>
            </w:r>
            <w:r w:rsidRPr="006437E1">
              <w:rPr>
                <w:rFonts w:ascii="Arial" w:hAnsi="Arial" w:cs="Arial"/>
                <w:sz w:val="18"/>
                <w:szCs w:val="18"/>
                <w:lang w:val="en-GB"/>
              </w:rPr>
              <w:t xml:space="preserve"> both are present at same time)</w:t>
            </w:r>
          </w:p>
        </w:tc>
        <w:tc>
          <w:tcPr>
            <w:tcW w:w="993" w:type="dxa"/>
          </w:tcPr>
          <w:p w14:paraId="04840995"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134" w:type="dxa"/>
          </w:tcPr>
          <w:p w14:paraId="58704DF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93" w:type="dxa"/>
          </w:tcPr>
          <w:p w14:paraId="676B7126"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NATIONAL FARMING AGENCIES</w:t>
            </w:r>
            <w:r w:rsidRPr="006437E1">
              <w:rPr>
                <w:rFonts w:ascii="Arial" w:hAnsi="Arial" w:cs="Arial"/>
                <w:sz w:val="18"/>
                <w:szCs w:val="18"/>
                <w:lang w:val="en-GB"/>
              </w:rPr>
              <w:t>, academic institutions</w:t>
            </w:r>
          </w:p>
        </w:tc>
        <w:tc>
          <w:tcPr>
            <w:tcW w:w="2443" w:type="dxa"/>
          </w:tcPr>
          <w:p w14:paraId="1FE0A1C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Farming guidelines, agricultural supplier guidelines, results of new publications on poisoning.</w:t>
            </w:r>
          </w:p>
          <w:p w14:paraId="07AB73D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7.11.1</w:t>
            </w:r>
          </w:p>
        </w:tc>
      </w:tr>
      <w:tr w:rsidR="00C96521" w:rsidRPr="006437E1" w14:paraId="35A45F7D" w14:textId="77777777" w:rsidTr="00C96521">
        <w:tc>
          <w:tcPr>
            <w:tcW w:w="2340" w:type="dxa"/>
          </w:tcPr>
          <w:p w14:paraId="0B2E5790" w14:textId="4224B3BF"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6.8 Turtle</w:t>
            </w:r>
            <w:r w:rsidR="005028F9" w:rsidRPr="006437E1">
              <w:rPr>
                <w:rFonts w:ascii="Arial" w:hAnsi="Arial" w:cs="Arial"/>
                <w:sz w:val="18"/>
                <w:szCs w:val="18"/>
                <w:lang w:val="en-GB"/>
              </w:rPr>
              <w:t xml:space="preserve"> D</w:t>
            </w:r>
            <w:r w:rsidRPr="006437E1">
              <w:rPr>
                <w:rFonts w:ascii="Arial" w:hAnsi="Arial" w:cs="Arial"/>
                <w:sz w:val="18"/>
                <w:szCs w:val="18"/>
                <w:lang w:val="en-GB"/>
              </w:rPr>
              <w:t>ove listed as an EU priority species for funding by [</w:t>
            </w:r>
            <w:r w:rsidRPr="006437E1">
              <w:rPr>
                <w:rFonts w:ascii="Arial" w:hAnsi="Arial" w:cs="Arial"/>
                <w:i/>
                <w:sz w:val="18"/>
                <w:szCs w:val="18"/>
                <w:lang w:val="en-GB"/>
              </w:rPr>
              <w:t>2018</w:t>
            </w:r>
            <w:r w:rsidRPr="006437E1">
              <w:rPr>
                <w:rFonts w:ascii="Arial" w:hAnsi="Arial" w:cs="Arial"/>
                <w:sz w:val="18"/>
                <w:szCs w:val="18"/>
                <w:lang w:val="en-GB"/>
              </w:rPr>
              <w:t>].</w:t>
            </w:r>
          </w:p>
        </w:tc>
        <w:tc>
          <w:tcPr>
            <w:tcW w:w="4572" w:type="dxa"/>
          </w:tcPr>
          <w:p w14:paraId="0BE1F36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6.8.1</w:t>
            </w:r>
          </w:p>
          <w:p w14:paraId="76445457" w14:textId="30F3FF0B"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European Commission includes the turtle-dove on the EU list of priority species, to enable access to funding (e</w:t>
            </w:r>
            <w:r w:rsidR="005028F9" w:rsidRPr="006437E1">
              <w:rPr>
                <w:rFonts w:ascii="Arial" w:hAnsi="Arial" w:cs="Arial"/>
                <w:sz w:val="18"/>
                <w:szCs w:val="18"/>
                <w:lang w:val="en-GB"/>
              </w:rPr>
              <w:t>.</w:t>
            </w:r>
            <w:r w:rsidRPr="006437E1">
              <w:rPr>
                <w:rFonts w:ascii="Arial" w:hAnsi="Arial" w:cs="Arial"/>
                <w:sz w:val="18"/>
                <w:szCs w:val="18"/>
                <w:lang w:val="en-GB"/>
              </w:rPr>
              <w:t>g</w:t>
            </w:r>
            <w:r w:rsidR="005028F9" w:rsidRPr="006437E1">
              <w:rPr>
                <w:rFonts w:ascii="Arial" w:hAnsi="Arial" w:cs="Arial"/>
                <w:sz w:val="18"/>
                <w:szCs w:val="18"/>
                <w:lang w:val="en-GB"/>
              </w:rPr>
              <w:t>.</w:t>
            </w:r>
            <w:r w:rsidRPr="006437E1">
              <w:rPr>
                <w:rFonts w:ascii="Arial" w:hAnsi="Arial" w:cs="Arial"/>
                <w:sz w:val="18"/>
                <w:szCs w:val="18"/>
                <w:lang w:val="en-GB"/>
              </w:rPr>
              <w:t xml:space="preserve"> LIFE programme).</w:t>
            </w:r>
          </w:p>
          <w:p w14:paraId="36649334" w14:textId="77777777" w:rsidR="00C96521" w:rsidRPr="006437E1" w:rsidRDefault="00C96521" w:rsidP="00C96521">
            <w:pPr>
              <w:widowControl/>
              <w:autoSpaceDE/>
              <w:autoSpaceDN/>
              <w:adjustRightInd/>
              <w:rPr>
                <w:rFonts w:ascii="Arial" w:hAnsi="Arial" w:cs="Arial"/>
                <w:sz w:val="18"/>
                <w:szCs w:val="18"/>
                <w:lang w:val="en-GB"/>
              </w:rPr>
            </w:pPr>
          </w:p>
          <w:p w14:paraId="4B7006A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EU Member States.</w:t>
            </w:r>
          </w:p>
        </w:tc>
        <w:tc>
          <w:tcPr>
            <w:tcW w:w="993" w:type="dxa"/>
          </w:tcPr>
          <w:p w14:paraId="23BB5F6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High</w:t>
            </w:r>
          </w:p>
        </w:tc>
        <w:tc>
          <w:tcPr>
            <w:tcW w:w="1134" w:type="dxa"/>
          </w:tcPr>
          <w:p w14:paraId="6647B12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93" w:type="dxa"/>
          </w:tcPr>
          <w:p w14:paraId="67634076" w14:textId="77777777" w:rsidR="00C96521" w:rsidRPr="006437E1" w:rsidRDefault="00C96521" w:rsidP="00C96521">
            <w:pPr>
              <w:widowControl/>
              <w:autoSpaceDE/>
              <w:autoSpaceDN/>
              <w:adjustRightInd/>
              <w:rPr>
                <w:rFonts w:ascii="Arial" w:hAnsi="Arial" w:cs="Arial"/>
                <w:b/>
                <w:sz w:val="18"/>
                <w:szCs w:val="18"/>
                <w:lang w:val="en-GB"/>
              </w:rPr>
            </w:pPr>
            <w:r w:rsidRPr="006437E1">
              <w:rPr>
                <w:rFonts w:ascii="Arial" w:hAnsi="Arial" w:cs="Arial"/>
                <w:b/>
                <w:sz w:val="18"/>
                <w:szCs w:val="18"/>
                <w:lang w:val="en-GB"/>
              </w:rPr>
              <w:t>EUROPEAN COMMISSION</w:t>
            </w:r>
          </w:p>
        </w:tc>
        <w:tc>
          <w:tcPr>
            <w:tcW w:w="2443" w:type="dxa"/>
          </w:tcPr>
          <w:p w14:paraId="65ACEA46" w14:textId="41A7229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Evidence of strong declines of </w:t>
            </w:r>
            <w:r w:rsidR="005028F9" w:rsidRPr="006437E1">
              <w:rPr>
                <w:rFonts w:ascii="Arial" w:hAnsi="Arial" w:cs="Arial"/>
                <w:sz w:val="18"/>
                <w:szCs w:val="18"/>
                <w:lang w:val="en-GB"/>
              </w:rPr>
              <w:t xml:space="preserve">Turtle Dove </w:t>
            </w:r>
            <w:r w:rsidRPr="006437E1">
              <w:rPr>
                <w:rFonts w:ascii="Arial" w:hAnsi="Arial" w:cs="Arial"/>
                <w:sz w:val="18"/>
                <w:szCs w:val="18"/>
                <w:lang w:val="en-GB"/>
              </w:rPr>
              <w:t>in Europe; IUCN Red List status of turtle-dove.</w:t>
            </w:r>
          </w:p>
        </w:tc>
      </w:tr>
    </w:tbl>
    <w:p w14:paraId="7DF01300" w14:textId="77777777" w:rsidR="00C96521" w:rsidRPr="005D4262" w:rsidRDefault="00C96521" w:rsidP="00C96521">
      <w:pPr>
        <w:widowControl/>
        <w:autoSpaceDE/>
        <w:autoSpaceDN/>
        <w:adjustRightInd/>
        <w:spacing w:line="276" w:lineRule="auto"/>
        <w:rPr>
          <w:rFonts w:eastAsia="MS Mincho" w:cs="Arial"/>
          <w:szCs w:val="18"/>
          <w:lang w:val="en-GB" w:eastAsia="ja-JP"/>
        </w:rPr>
      </w:pPr>
    </w:p>
    <w:p w14:paraId="7E15E9F9" w14:textId="77777777" w:rsidR="00C96521" w:rsidRPr="005D4262" w:rsidRDefault="00C96521" w:rsidP="00C96521">
      <w:pPr>
        <w:widowControl/>
        <w:autoSpaceDE/>
        <w:autoSpaceDN/>
        <w:adjustRightInd/>
        <w:spacing w:line="276" w:lineRule="auto"/>
        <w:rPr>
          <w:rFonts w:eastAsia="MS Mincho" w:cs="Arial"/>
          <w:szCs w:val="18"/>
          <w:lang w:val="en-GB" w:eastAsia="ja-JP"/>
        </w:rPr>
      </w:pPr>
    </w:p>
    <w:tbl>
      <w:tblPr>
        <w:tblStyle w:val="TableGrid"/>
        <w:tblW w:w="0" w:type="auto"/>
        <w:tblLook w:val="04A0" w:firstRow="1" w:lastRow="0" w:firstColumn="1" w:lastColumn="0" w:noHBand="0" w:noVBand="1"/>
      </w:tblPr>
      <w:tblGrid>
        <w:gridCol w:w="2291"/>
        <w:gridCol w:w="4404"/>
        <w:gridCol w:w="1252"/>
        <w:gridCol w:w="1238"/>
        <w:gridCol w:w="2612"/>
        <w:gridCol w:w="2378"/>
      </w:tblGrid>
      <w:tr w:rsidR="00C96521" w:rsidRPr="006437E1" w14:paraId="74B1C6BB" w14:textId="77777777" w:rsidTr="006437E1">
        <w:trPr>
          <w:tblHeader/>
        </w:trPr>
        <w:tc>
          <w:tcPr>
            <w:tcW w:w="14175" w:type="dxa"/>
            <w:gridSpan w:val="6"/>
            <w:shd w:val="clear" w:color="auto" w:fill="BFBFBF" w:themeFill="background1" w:themeFillShade="BF"/>
          </w:tcPr>
          <w:p w14:paraId="29BDE2C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Objective 7: Fill knowledge gaps</w:t>
            </w:r>
          </w:p>
        </w:tc>
      </w:tr>
      <w:tr w:rsidR="00C96521" w:rsidRPr="006437E1" w14:paraId="36ACFE8C" w14:textId="77777777" w:rsidTr="00C96521">
        <w:trPr>
          <w:tblHeader/>
        </w:trPr>
        <w:tc>
          <w:tcPr>
            <w:tcW w:w="2291" w:type="dxa"/>
            <w:shd w:val="clear" w:color="auto" w:fill="D9D9D9"/>
          </w:tcPr>
          <w:p w14:paraId="6321D6F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Result</w:t>
            </w:r>
          </w:p>
        </w:tc>
        <w:tc>
          <w:tcPr>
            <w:tcW w:w="4404" w:type="dxa"/>
            <w:shd w:val="clear" w:color="auto" w:fill="D9D9D9"/>
          </w:tcPr>
          <w:p w14:paraId="244186D9"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and scope</w:t>
            </w:r>
          </w:p>
        </w:tc>
        <w:tc>
          <w:tcPr>
            <w:tcW w:w="1252" w:type="dxa"/>
            <w:shd w:val="clear" w:color="auto" w:fill="D9D9D9"/>
          </w:tcPr>
          <w:p w14:paraId="00DEEBA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Priority</w:t>
            </w:r>
          </w:p>
        </w:tc>
        <w:tc>
          <w:tcPr>
            <w:tcW w:w="1238" w:type="dxa"/>
            <w:shd w:val="clear" w:color="auto" w:fill="D9D9D9"/>
          </w:tcPr>
          <w:p w14:paraId="03024D3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Timescale</w:t>
            </w:r>
          </w:p>
        </w:tc>
        <w:tc>
          <w:tcPr>
            <w:tcW w:w="2612" w:type="dxa"/>
            <w:shd w:val="clear" w:color="auto" w:fill="D9D9D9"/>
          </w:tcPr>
          <w:p w14:paraId="0A581225" w14:textId="60512C1C"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Organi</w:t>
            </w:r>
            <w:r w:rsidR="005028F9" w:rsidRPr="006437E1">
              <w:rPr>
                <w:rFonts w:ascii="Arial" w:hAnsi="Arial" w:cs="Arial"/>
                <w:sz w:val="18"/>
                <w:szCs w:val="18"/>
                <w:lang w:val="en-GB"/>
              </w:rPr>
              <w:t>z</w:t>
            </w:r>
            <w:r w:rsidRPr="006437E1">
              <w:rPr>
                <w:rFonts w:ascii="Arial" w:hAnsi="Arial" w:cs="Arial"/>
                <w:sz w:val="18"/>
                <w:szCs w:val="18"/>
                <w:lang w:val="en-GB"/>
              </w:rPr>
              <w:t>ations responsible</w:t>
            </w:r>
          </w:p>
        </w:tc>
        <w:tc>
          <w:tcPr>
            <w:tcW w:w="2378" w:type="dxa"/>
            <w:shd w:val="clear" w:color="auto" w:fill="D9D9D9"/>
          </w:tcPr>
          <w:p w14:paraId="6FBCBD09"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Inputs required</w:t>
            </w:r>
          </w:p>
        </w:tc>
      </w:tr>
      <w:tr w:rsidR="00C96521" w:rsidRPr="006437E1" w14:paraId="1A81E052" w14:textId="77777777" w:rsidTr="00C96521">
        <w:tc>
          <w:tcPr>
            <w:tcW w:w="2291" w:type="dxa"/>
            <w:vMerge w:val="restart"/>
          </w:tcPr>
          <w:p w14:paraId="25AE208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7.1 More complete knowledge of turtle-dove movements throughout the yearly cycle by [</w:t>
            </w:r>
            <w:r w:rsidRPr="006437E1">
              <w:rPr>
                <w:rFonts w:ascii="Arial" w:hAnsi="Arial" w:cs="Arial"/>
                <w:i/>
                <w:sz w:val="18"/>
                <w:szCs w:val="18"/>
                <w:lang w:val="en-GB"/>
              </w:rPr>
              <w:t>2020</w:t>
            </w:r>
            <w:r w:rsidRPr="006437E1">
              <w:rPr>
                <w:rFonts w:ascii="Arial" w:hAnsi="Arial" w:cs="Arial"/>
                <w:sz w:val="18"/>
                <w:szCs w:val="18"/>
                <w:lang w:val="en-GB"/>
              </w:rPr>
              <w:t>].</w:t>
            </w:r>
          </w:p>
        </w:tc>
        <w:tc>
          <w:tcPr>
            <w:tcW w:w="4404" w:type="dxa"/>
          </w:tcPr>
          <w:p w14:paraId="24234C9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7.1.1</w:t>
            </w:r>
          </w:p>
          <w:p w14:paraId="793EEDE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Undertake further tracking studies and ringing return analyses to determine migration routes and key stop-over/bottle-neck areas in Western Europe.</w:t>
            </w:r>
          </w:p>
          <w:p w14:paraId="7E3908E9" w14:textId="77777777" w:rsidR="00C96521" w:rsidRPr="006437E1" w:rsidRDefault="00C96521" w:rsidP="00C96521">
            <w:pPr>
              <w:widowControl/>
              <w:autoSpaceDE/>
              <w:autoSpaceDN/>
              <w:adjustRightInd/>
              <w:rPr>
                <w:rFonts w:ascii="Arial" w:hAnsi="Arial" w:cs="Arial"/>
                <w:sz w:val="18"/>
                <w:szCs w:val="18"/>
                <w:lang w:val="en-GB"/>
              </w:rPr>
            </w:pPr>
          </w:p>
          <w:p w14:paraId="6D17BEC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western Europe and African Range States.</w:t>
            </w:r>
          </w:p>
        </w:tc>
        <w:tc>
          <w:tcPr>
            <w:tcW w:w="1252" w:type="dxa"/>
          </w:tcPr>
          <w:p w14:paraId="42FE433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238" w:type="dxa"/>
          </w:tcPr>
          <w:p w14:paraId="2F66538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12" w:type="dxa"/>
          </w:tcPr>
          <w:p w14:paraId="039E3543" w14:textId="77777777" w:rsidR="00C96521" w:rsidRPr="006437E1" w:rsidRDefault="00C96521" w:rsidP="00C96521">
            <w:pPr>
              <w:widowControl/>
              <w:autoSpaceDE/>
              <w:autoSpaceDN/>
              <w:adjustRightInd/>
              <w:rPr>
                <w:rFonts w:ascii="Arial" w:hAnsi="Arial" w:cs="Arial"/>
                <w:b/>
                <w:sz w:val="18"/>
                <w:szCs w:val="18"/>
                <w:lang w:val="en-GB"/>
              </w:rPr>
            </w:pPr>
            <w:r w:rsidRPr="006437E1">
              <w:rPr>
                <w:rFonts w:ascii="Arial" w:hAnsi="Arial" w:cs="Arial"/>
                <w:b/>
                <w:sz w:val="18"/>
                <w:szCs w:val="18"/>
                <w:lang w:val="en-GB"/>
              </w:rPr>
              <w:t xml:space="preserve">CONSERVATION NGOs, </w:t>
            </w:r>
          </w:p>
          <w:p w14:paraId="676E040F"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ACADEMIC INSTITUTIONS</w:t>
            </w:r>
            <w:r w:rsidRPr="006437E1">
              <w:rPr>
                <w:rFonts w:ascii="Arial" w:hAnsi="Arial" w:cs="Arial"/>
                <w:sz w:val="18"/>
                <w:szCs w:val="18"/>
                <w:lang w:val="en-GB"/>
              </w:rPr>
              <w:t>, national hunting federations, national wildlife agencies.</w:t>
            </w:r>
          </w:p>
        </w:tc>
        <w:tc>
          <w:tcPr>
            <w:tcW w:w="2378" w:type="dxa"/>
          </w:tcPr>
          <w:p w14:paraId="029EA08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Ringing and tagging studies; EURING; common bird monitoring.</w:t>
            </w:r>
          </w:p>
        </w:tc>
      </w:tr>
      <w:tr w:rsidR="00C96521" w:rsidRPr="006437E1" w14:paraId="344DC9DC" w14:textId="77777777" w:rsidTr="00C96521">
        <w:tc>
          <w:tcPr>
            <w:tcW w:w="2291" w:type="dxa"/>
            <w:vMerge/>
          </w:tcPr>
          <w:p w14:paraId="03876BE2" w14:textId="77777777" w:rsidR="00C96521" w:rsidRPr="006437E1" w:rsidRDefault="00C96521" w:rsidP="00C96521">
            <w:pPr>
              <w:widowControl/>
              <w:autoSpaceDE/>
              <w:autoSpaceDN/>
              <w:adjustRightInd/>
              <w:rPr>
                <w:rFonts w:ascii="Arial" w:hAnsi="Arial" w:cs="Arial"/>
                <w:sz w:val="18"/>
                <w:szCs w:val="18"/>
                <w:lang w:val="en-GB"/>
              </w:rPr>
            </w:pPr>
          </w:p>
        </w:tc>
        <w:tc>
          <w:tcPr>
            <w:tcW w:w="4404" w:type="dxa"/>
          </w:tcPr>
          <w:p w14:paraId="7D42692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7.1.2</w:t>
            </w:r>
          </w:p>
          <w:p w14:paraId="77C91C3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Undertake further tracking studies to determine migration routes and key stop-over/bottle-neck areas in Eastern Europe and Central Asia.</w:t>
            </w:r>
          </w:p>
          <w:p w14:paraId="794D41F9" w14:textId="77777777" w:rsidR="00C96521" w:rsidRPr="006437E1" w:rsidRDefault="00C96521" w:rsidP="00C96521">
            <w:pPr>
              <w:widowControl/>
              <w:autoSpaceDE/>
              <w:autoSpaceDN/>
              <w:adjustRightInd/>
              <w:rPr>
                <w:rFonts w:ascii="Arial" w:hAnsi="Arial" w:cs="Arial"/>
                <w:sz w:val="18"/>
                <w:szCs w:val="18"/>
                <w:lang w:val="en-GB"/>
              </w:rPr>
            </w:pPr>
          </w:p>
          <w:p w14:paraId="23E8EA5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eastern Europe, Central Asia and Middle East Range States.</w:t>
            </w:r>
          </w:p>
        </w:tc>
        <w:tc>
          <w:tcPr>
            <w:tcW w:w="1252" w:type="dxa"/>
          </w:tcPr>
          <w:p w14:paraId="3973C3D5"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High</w:t>
            </w:r>
          </w:p>
        </w:tc>
        <w:tc>
          <w:tcPr>
            <w:tcW w:w="1238" w:type="dxa"/>
          </w:tcPr>
          <w:p w14:paraId="292C984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12" w:type="dxa"/>
          </w:tcPr>
          <w:p w14:paraId="2ED988DF" w14:textId="77777777" w:rsidR="00C96521" w:rsidRPr="006437E1" w:rsidRDefault="00C96521" w:rsidP="00C96521">
            <w:pPr>
              <w:widowControl/>
              <w:autoSpaceDE/>
              <w:autoSpaceDN/>
              <w:adjustRightInd/>
              <w:rPr>
                <w:rFonts w:ascii="Arial" w:hAnsi="Arial" w:cs="Arial"/>
                <w:b/>
                <w:sz w:val="18"/>
                <w:szCs w:val="18"/>
                <w:lang w:val="en-GB"/>
              </w:rPr>
            </w:pPr>
            <w:r w:rsidRPr="006437E1">
              <w:rPr>
                <w:rFonts w:ascii="Arial" w:hAnsi="Arial" w:cs="Arial"/>
                <w:b/>
                <w:sz w:val="18"/>
                <w:szCs w:val="18"/>
                <w:lang w:val="en-GB"/>
              </w:rPr>
              <w:t xml:space="preserve">CONSERVATION NGOs, </w:t>
            </w:r>
          </w:p>
          <w:p w14:paraId="6A64A0A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ACADEMIC INSTITUTIONS</w:t>
            </w:r>
            <w:r w:rsidRPr="006437E1">
              <w:rPr>
                <w:rFonts w:ascii="Arial" w:hAnsi="Arial" w:cs="Arial"/>
                <w:sz w:val="18"/>
                <w:szCs w:val="18"/>
                <w:lang w:val="en-GB"/>
              </w:rPr>
              <w:t>, national hunting federations, national wildlife agencies.</w:t>
            </w:r>
          </w:p>
        </w:tc>
        <w:tc>
          <w:tcPr>
            <w:tcW w:w="2378" w:type="dxa"/>
          </w:tcPr>
          <w:p w14:paraId="31736DF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Ringing and tagging studies; EURING; common bird monitoring.</w:t>
            </w:r>
          </w:p>
        </w:tc>
      </w:tr>
      <w:tr w:rsidR="00C96521" w:rsidRPr="006437E1" w14:paraId="63A2866E" w14:textId="77777777" w:rsidTr="00C96521">
        <w:tc>
          <w:tcPr>
            <w:tcW w:w="2291" w:type="dxa"/>
            <w:vMerge/>
          </w:tcPr>
          <w:p w14:paraId="2745DACF" w14:textId="77777777" w:rsidR="00C96521" w:rsidRPr="006437E1" w:rsidRDefault="00C96521" w:rsidP="00C96521">
            <w:pPr>
              <w:widowControl/>
              <w:autoSpaceDE/>
              <w:autoSpaceDN/>
              <w:adjustRightInd/>
              <w:rPr>
                <w:rFonts w:ascii="Arial" w:hAnsi="Arial" w:cs="Arial"/>
                <w:sz w:val="18"/>
                <w:szCs w:val="18"/>
                <w:lang w:val="en-GB"/>
              </w:rPr>
            </w:pPr>
          </w:p>
        </w:tc>
        <w:tc>
          <w:tcPr>
            <w:tcW w:w="4404" w:type="dxa"/>
          </w:tcPr>
          <w:p w14:paraId="3DE8018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7.1.3</w:t>
            </w:r>
          </w:p>
          <w:p w14:paraId="088F791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Undertake further tracking studies to determine movements and habitat use of birds within their wintering grounds in Africa.</w:t>
            </w:r>
          </w:p>
          <w:p w14:paraId="0324B05D" w14:textId="77777777" w:rsidR="00C96521" w:rsidRPr="006437E1" w:rsidRDefault="00C96521" w:rsidP="00C96521">
            <w:pPr>
              <w:widowControl/>
              <w:autoSpaceDE/>
              <w:autoSpaceDN/>
              <w:adjustRightInd/>
              <w:rPr>
                <w:rFonts w:ascii="Arial" w:hAnsi="Arial" w:cs="Arial"/>
                <w:sz w:val="18"/>
                <w:szCs w:val="18"/>
                <w:lang w:val="en-GB"/>
              </w:rPr>
            </w:pPr>
          </w:p>
          <w:p w14:paraId="318E86D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West Africa, East Africa</w:t>
            </w:r>
          </w:p>
        </w:tc>
        <w:tc>
          <w:tcPr>
            <w:tcW w:w="1252" w:type="dxa"/>
          </w:tcPr>
          <w:p w14:paraId="43D7187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High</w:t>
            </w:r>
          </w:p>
        </w:tc>
        <w:tc>
          <w:tcPr>
            <w:tcW w:w="1238" w:type="dxa"/>
          </w:tcPr>
          <w:p w14:paraId="2DD310A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12" w:type="dxa"/>
          </w:tcPr>
          <w:p w14:paraId="1531EA8D" w14:textId="77777777" w:rsidR="00C96521" w:rsidRPr="006437E1" w:rsidRDefault="00C96521" w:rsidP="00C96521">
            <w:pPr>
              <w:widowControl/>
              <w:autoSpaceDE/>
              <w:autoSpaceDN/>
              <w:adjustRightInd/>
              <w:rPr>
                <w:rFonts w:ascii="Arial" w:hAnsi="Arial" w:cs="Arial"/>
                <w:b/>
                <w:sz w:val="18"/>
                <w:szCs w:val="18"/>
                <w:lang w:val="en-GB"/>
              </w:rPr>
            </w:pPr>
            <w:r w:rsidRPr="006437E1">
              <w:rPr>
                <w:rFonts w:ascii="Arial" w:hAnsi="Arial" w:cs="Arial"/>
                <w:b/>
                <w:sz w:val="18"/>
                <w:szCs w:val="18"/>
                <w:lang w:val="en-GB"/>
              </w:rPr>
              <w:t xml:space="preserve">CONSERVATION NGOs, </w:t>
            </w:r>
          </w:p>
          <w:p w14:paraId="36FFD29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ACADEMIC INSTITUTIONS</w:t>
            </w:r>
            <w:r w:rsidRPr="006437E1">
              <w:rPr>
                <w:rFonts w:ascii="Arial" w:hAnsi="Arial" w:cs="Arial"/>
                <w:sz w:val="18"/>
                <w:szCs w:val="18"/>
                <w:lang w:val="en-GB"/>
              </w:rPr>
              <w:t>, national hunting federations, national wildlife agencies.</w:t>
            </w:r>
          </w:p>
        </w:tc>
        <w:tc>
          <w:tcPr>
            <w:tcW w:w="2378" w:type="dxa"/>
          </w:tcPr>
          <w:p w14:paraId="0F3E49D1" w14:textId="31967FCA"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Ringing and tagging studies; EURING; national databases (e</w:t>
            </w:r>
            <w:r w:rsidR="005028F9" w:rsidRPr="006437E1">
              <w:rPr>
                <w:rFonts w:ascii="Arial" w:hAnsi="Arial" w:cs="Arial"/>
                <w:sz w:val="18"/>
                <w:szCs w:val="18"/>
                <w:lang w:val="en-GB"/>
              </w:rPr>
              <w:t>.</w:t>
            </w:r>
            <w:r w:rsidRPr="006437E1">
              <w:rPr>
                <w:rFonts w:ascii="Arial" w:hAnsi="Arial" w:cs="Arial"/>
                <w:sz w:val="18"/>
                <w:szCs w:val="18"/>
                <w:lang w:val="en-GB"/>
              </w:rPr>
              <w:t>g</w:t>
            </w:r>
            <w:r w:rsidR="005028F9" w:rsidRPr="006437E1">
              <w:rPr>
                <w:rFonts w:ascii="Arial" w:hAnsi="Arial" w:cs="Arial"/>
                <w:sz w:val="18"/>
                <w:szCs w:val="18"/>
                <w:lang w:val="en-GB"/>
              </w:rPr>
              <w:t>.</w:t>
            </w:r>
            <w:r w:rsidRPr="006437E1">
              <w:rPr>
                <w:rFonts w:ascii="Arial" w:hAnsi="Arial" w:cs="Arial"/>
                <w:sz w:val="18"/>
                <w:szCs w:val="18"/>
                <w:lang w:val="en-GB"/>
              </w:rPr>
              <w:t xml:space="preserve"> WABDaB for West Africa).</w:t>
            </w:r>
          </w:p>
        </w:tc>
      </w:tr>
      <w:tr w:rsidR="00C96521" w:rsidRPr="006437E1" w14:paraId="719A7332" w14:textId="77777777" w:rsidTr="00C96521">
        <w:tc>
          <w:tcPr>
            <w:tcW w:w="2291" w:type="dxa"/>
            <w:vMerge/>
          </w:tcPr>
          <w:p w14:paraId="6D0C09F1" w14:textId="77777777" w:rsidR="00C96521" w:rsidRPr="006437E1" w:rsidRDefault="00C96521" w:rsidP="00C96521">
            <w:pPr>
              <w:widowControl/>
              <w:autoSpaceDE/>
              <w:autoSpaceDN/>
              <w:adjustRightInd/>
              <w:rPr>
                <w:rFonts w:ascii="Arial" w:hAnsi="Arial" w:cs="Arial"/>
                <w:sz w:val="18"/>
                <w:szCs w:val="18"/>
                <w:lang w:val="en-GB"/>
              </w:rPr>
            </w:pPr>
          </w:p>
        </w:tc>
        <w:tc>
          <w:tcPr>
            <w:tcW w:w="4404" w:type="dxa"/>
          </w:tcPr>
          <w:p w14:paraId="01E6568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7.1.4</w:t>
            </w:r>
          </w:p>
          <w:p w14:paraId="7C92CCD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Undertake tracking studies to determine movements of birds breeding in North Africa.</w:t>
            </w:r>
          </w:p>
          <w:p w14:paraId="26CA273C" w14:textId="77777777" w:rsidR="00C96521" w:rsidRPr="006437E1" w:rsidRDefault="00C96521" w:rsidP="00C96521">
            <w:pPr>
              <w:widowControl/>
              <w:autoSpaceDE/>
              <w:autoSpaceDN/>
              <w:adjustRightInd/>
              <w:rPr>
                <w:rFonts w:ascii="Arial" w:hAnsi="Arial" w:cs="Arial"/>
                <w:sz w:val="18"/>
                <w:szCs w:val="18"/>
                <w:lang w:val="en-GB"/>
              </w:rPr>
            </w:pPr>
          </w:p>
          <w:p w14:paraId="344FF766"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North, West and East Africa.</w:t>
            </w:r>
          </w:p>
        </w:tc>
        <w:tc>
          <w:tcPr>
            <w:tcW w:w="1252" w:type="dxa"/>
          </w:tcPr>
          <w:p w14:paraId="7AD2CC4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238" w:type="dxa"/>
          </w:tcPr>
          <w:p w14:paraId="03F3EA4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2612" w:type="dxa"/>
          </w:tcPr>
          <w:p w14:paraId="3F6EA272" w14:textId="77777777" w:rsidR="00C96521" w:rsidRPr="006437E1" w:rsidRDefault="00C96521" w:rsidP="00C96521">
            <w:pPr>
              <w:widowControl/>
              <w:autoSpaceDE/>
              <w:autoSpaceDN/>
              <w:adjustRightInd/>
              <w:rPr>
                <w:rFonts w:ascii="Arial" w:hAnsi="Arial" w:cs="Arial"/>
                <w:b/>
                <w:sz w:val="18"/>
                <w:szCs w:val="18"/>
                <w:lang w:val="en-GB"/>
              </w:rPr>
            </w:pPr>
            <w:r w:rsidRPr="006437E1">
              <w:rPr>
                <w:rFonts w:ascii="Arial" w:hAnsi="Arial" w:cs="Arial"/>
                <w:b/>
                <w:sz w:val="18"/>
                <w:szCs w:val="18"/>
                <w:lang w:val="en-GB"/>
              </w:rPr>
              <w:t xml:space="preserve">CONSERVATION NGOs, </w:t>
            </w:r>
          </w:p>
          <w:p w14:paraId="125AB94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ACADEMIC INSTITUTIONS</w:t>
            </w:r>
            <w:r w:rsidRPr="006437E1">
              <w:rPr>
                <w:rFonts w:ascii="Arial" w:hAnsi="Arial" w:cs="Arial"/>
                <w:sz w:val="18"/>
                <w:szCs w:val="18"/>
                <w:lang w:val="en-GB"/>
              </w:rPr>
              <w:t>, national hunting federations, national wildlife agencies.</w:t>
            </w:r>
          </w:p>
        </w:tc>
        <w:tc>
          <w:tcPr>
            <w:tcW w:w="2378" w:type="dxa"/>
          </w:tcPr>
          <w:p w14:paraId="3D834FD5" w14:textId="4000D9C6"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Ringing and tagging studies; EURING; national databases (e</w:t>
            </w:r>
            <w:r w:rsidR="005028F9" w:rsidRPr="006437E1">
              <w:rPr>
                <w:rFonts w:ascii="Arial" w:hAnsi="Arial" w:cs="Arial"/>
                <w:sz w:val="18"/>
                <w:szCs w:val="18"/>
                <w:lang w:val="en-GB"/>
              </w:rPr>
              <w:t>.</w:t>
            </w:r>
            <w:r w:rsidRPr="006437E1">
              <w:rPr>
                <w:rFonts w:ascii="Arial" w:hAnsi="Arial" w:cs="Arial"/>
                <w:sz w:val="18"/>
                <w:szCs w:val="18"/>
                <w:lang w:val="en-GB"/>
              </w:rPr>
              <w:t>g</w:t>
            </w:r>
            <w:r w:rsidR="005028F9" w:rsidRPr="006437E1">
              <w:rPr>
                <w:rFonts w:ascii="Arial" w:hAnsi="Arial" w:cs="Arial"/>
                <w:sz w:val="18"/>
                <w:szCs w:val="18"/>
                <w:lang w:val="en-GB"/>
              </w:rPr>
              <w:t>.</w:t>
            </w:r>
            <w:r w:rsidRPr="006437E1">
              <w:rPr>
                <w:rFonts w:ascii="Arial" w:hAnsi="Arial" w:cs="Arial"/>
                <w:sz w:val="18"/>
                <w:szCs w:val="18"/>
                <w:lang w:val="en-GB"/>
              </w:rPr>
              <w:t xml:space="preserve"> WABDaB for West Africa).</w:t>
            </w:r>
          </w:p>
        </w:tc>
      </w:tr>
      <w:tr w:rsidR="00C96521" w:rsidRPr="006437E1" w14:paraId="258E00CE" w14:textId="77777777" w:rsidTr="00C96521">
        <w:tc>
          <w:tcPr>
            <w:tcW w:w="2291" w:type="dxa"/>
            <w:vMerge w:val="restart"/>
          </w:tcPr>
          <w:p w14:paraId="4D4236AE"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7.2 More complete knowledge of national population sizes and trends by [</w:t>
            </w:r>
            <w:r w:rsidRPr="006437E1">
              <w:rPr>
                <w:rFonts w:ascii="Arial" w:hAnsi="Arial" w:cs="Arial"/>
                <w:i/>
                <w:sz w:val="18"/>
                <w:szCs w:val="18"/>
                <w:lang w:val="en-GB"/>
              </w:rPr>
              <w:t>2020</w:t>
            </w:r>
            <w:r w:rsidRPr="006437E1">
              <w:rPr>
                <w:rFonts w:ascii="Arial" w:hAnsi="Arial" w:cs="Arial"/>
                <w:sz w:val="18"/>
                <w:szCs w:val="18"/>
                <w:lang w:val="en-GB"/>
              </w:rPr>
              <w:t>].</w:t>
            </w:r>
          </w:p>
          <w:p w14:paraId="0038923F" w14:textId="77777777" w:rsidR="00C96521" w:rsidRPr="006437E1" w:rsidRDefault="00C96521" w:rsidP="00C96521">
            <w:pPr>
              <w:widowControl/>
              <w:autoSpaceDE/>
              <w:autoSpaceDN/>
              <w:adjustRightInd/>
              <w:rPr>
                <w:rFonts w:ascii="Arial" w:hAnsi="Arial" w:cs="Arial"/>
                <w:sz w:val="18"/>
                <w:szCs w:val="18"/>
                <w:lang w:val="en-GB"/>
              </w:rPr>
            </w:pPr>
          </w:p>
        </w:tc>
        <w:tc>
          <w:tcPr>
            <w:tcW w:w="4404" w:type="dxa"/>
          </w:tcPr>
          <w:p w14:paraId="154F36F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7.2.1</w:t>
            </w:r>
          </w:p>
          <w:p w14:paraId="1AFD089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Collate existing information on eastern populations of turtle-dove that are not within the scope of this Action Plan to determine activities for future versions.</w:t>
            </w:r>
          </w:p>
          <w:p w14:paraId="783F3CAF" w14:textId="77777777" w:rsidR="00C96521" w:rsidRPr="006437E1" w:rsidRDefault="00C96521" w:rsidP="00C96521">
            <w:pPr>
              <w:widowControl/>
              <w:autoSpaceDE/>
              <w:autoSpaceDN/>
              <w:adjustRightInd/>
              <w:rPr>
                <w:rFonts w:ascii="Arial" w:hAnsi="Arial" w:cs="Arial"/>
                <w:sz w:val="18"/>
                <w:szCs w:val="18"/>
                <w:lang w:val="en-GB"/>
              </w:rPr>
            </w:pPr>
          </w:p>
          <w:p w14:paraId="2D0801F5"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some Range States in Central Asia, the Middle East , and Asia (as far east as China).</w:t>
            </w:r>
          </w:p>
        </w:tc>
        <w:tc>
          <w:tcPr>
            <w:tcW w:w="1252" w:type="dxa"/>
          </w:tcPr>
          <w:p w14:paraId="273FDB9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Low</w:t>
            </w:r>
          </w:p>
        </w:tc>
        <w:tc>
          <w:tcPr>
            <w:tcW w:w="1238" w:type="dxa"/>
          </w:tcPr>
          <w:p w14:paraId="57D6E8B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Long</w:t>
            </w:r>
          </w:p>
        </w:tc>
        <w:tc>
          <w:tcPr>
            <w:tcW w:w="2612" w:type="dxa"/>
          </w:tcPr>
          <w:p w14:paraId="6AA9D625" w14:textId="77777777" w:rsidR="00C96521" w:rsidRPr="006437E1" w:rsidRDefault="00C96521" w:rsidP="00C96521">
            <w:pPr>
              <w:widowControl/>
              <w:autoSpaceDE/>
              <w:autoSpaceDN/>
              <w:adjustRightInd/>
              <w:rPr>
                <w:rFonts w:ascii="Arial" w:hAnsi="Arial" w:cs="Arial"/>
                <w:b/>
                <w:sz w:val="18"/>
                <w:szCs w:val="18"/>
                <w:lang w:val="en-GB"/>
              </w:rPr>
            </w:pPr>
            <w:r w:rsidRPr="006437E1">
              <w:rPr>
                <w:rFonts w:ascii="Arial" w:hAnsi="Arial" w:cs="Arial"/>
                <w:b/>
                <w:sz w:val="18"/>
                <w:szCs w:val="18"/>
                <w:lang w:val="en-GB"/>
              </w:rPr>
              <w:t xml:space="preserve">CONSERVATION NGOs, </w:t>
            </w:r>
          </w:p>
          <w:p w14:paraId="10892F59"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ACADEMIC INSTITUTIONS</w:t>
            </w:r>
            <w:r w:rsidRPr="006437E1">
              <w:rPr>
                <w:rFonts w:ascii="Arial" w:hAnsi="Arial" w:cs="Arial"/>
                <w:sz w:val="18"/>
                <w:szCs w:val="18"/>
                <w:lang w:val="en-GB"/>
              </w:rPr>
              <w:t>, national hunting federations, national wildlife agencies.</w:t>
            </w:r>
          </w:p>
        </w:tc>
        <w:tc>
          <w:tcPr>
            <w:tcW w:w="2378" w:type="dxa"/>
          </w:tcPr>
          <w:p w14:paraId="79EA1E0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National databases; common bird monitoring; turtle-dove specific surveys.</w:t>
            </w:r>
          </w:p>
        </w:tc>
      </w:tr>
      <w:tr w:rsidR="00C96521" w:rsidRPr="006437E1" w14:paraId="01C3791F" w14:textId="77777777" w:rsidTr="00C96521">
        <w:tc>
          <w:tcPr>
            <w:tcW w:w="2291" w:type="dxa"/>
            <w:vMerge/>
          </w:tcPr>
          <w:p w14:paraId="53C19CCD" w14:textId="77777777" w:rsidR="00C96521" w:rsidRPr="006437E1" w:rsidRDefault="00C96521" w:rsidP="00C96521">
            <w:pPr>
              <w:widowControl/>
              <w:autoSpaceDE/>
              <w:autoSpaceDN/>
              <w:adjustRightInd/>
              <w:rPr>
                <w:rFonts w:ascii="Arial" w:hAnsi="Arial" w:cs="Arial"/>
                <w:sz w:val="18"/>
                <w:szCs w:val="18"/>
                <w:lang w:val="en-GB"/>
              </w:rPr>
            </w:pPr>
          </w:p>
        </w:tc>
        <w:tc>
          <w:tcPr>
            <w:tcW w:w="4404" w:type="dxa"/>
          </w:tcPr>
          <w:p w14:paraId="45A946A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7.2.2</w:t>
            </w:r>
          </w:p>
          <w:p w14:paraId="0A07666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Ensure that national monitoring schemes include turtle-dove specific surveys in order to enable more robust estimates of national, regional and international population sizes and trends, and modelling of recent and potential changes is possible.</w:t>
            </w:r>
          </w:p>
          <w:p w14:paraId="58EF738C" w14:textId="77777777" w:rsidR="00C96521" w:rsidRPr="006437E1" w:rsidRDefault="00C96521" w:rsidP="00C96521">
            <w:pPr>
              <w:widowControl/>
              <w:autoSpaceDE/>
              <w:autoSpaceDN/>
              <w:adjustRightInd/>
              <w:rPr>
                <w:rFonts w:ascii="Arial" w:hAnsi="Arial" w:cs="Arial"/>
                <w:sz w:val="18"/>
                <w:szCs w:val="18"/>
                <w:lang w:val="en-GB"/>
              </w:rPr>
            </w:pPr>
          </w:p>
          <w:p w14:paraId="7530B9A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 but in particular those currently with poor population and trend estimates, especially Turkey, eastern Europe, and into Asia.</w:t>
            </w:r>
          </w:p>
        </w:tc>
        <w:tc>
          <w:tcPr>
            <w:tcW w:w="1252" w:type="dxa"/>
          </w:tcPr>
          <w:p w14:paraId="694FBFF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High</w:t>
            </w:r>
          </w:p>
        </w:tc>
        <w:tc>
          <w:tcPr>
            <w:tcW w:w="1238" w:type="dxa"/>
          </w:tcPr>
          <w:p w14:paraId="338467D5"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12" w:type="dxa"/>
          </w:tcPr>
          <w:p w14:paraId="79902EF1" w14:textId="77777777" w:rsidR="00C96521" w:rsidRPr="006437E1" w:rsidRDefault="00C96521" w:rsidP="00C96521">
            <w:pPr>
              <w:widowControl/>
              <w:autoSpaceDE/>
              <w:autoSpaceDN/>
              <w:adjustRightInd/>
              <w:rPr>
                <w:rFonts w:ascii="Arial" w:hAnsi="Arial" w:cs="Arial"/>
                <w:b/>
                <w:sz w:val="18"/>
                <w:szCs w:val="18"/>
                <w:lang w:val="en-GB"/>
              </w:rPr>
            </w:pPr>
            <w:r w:rsidRPr="006437E1">
              <w:rPr>
                <w:rFonts w:ascii="Arial" w:hAnsi="Arial" w:cs="Arial"/>
                <w:b/>
                <w:sz w:val="18"/>
                <w:szCs w:val="18"/>
                <w:lang w:val="en-GB"/>
              </w:rPr>
              <w:t xml:space="preserve">CONSERVATION NGOs, </w:t>
            </w:r>
          </w:p>
          <w:p w14:paraId="2B65C83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ACADEMIC INSTITUTIONS</w:t>
            </w:r>
            <w:r w:rsidRPr="006437E1">
              <w:rPr>
                <w:rFonts w:ascii="Arial" w:hAnsi="Arial" w:cs="Arial"/>
                <w:sz w:val="18"/>
                <w:szCs w:val="18"/>
                <w:lang w:val="en-GB"/>
              </w:rPr>
              <w:t>, national hunting federations, national wildlife agencies.</w:t>
            </w:r>
          </w:p>
        </w:tc>
        <w:tc>
          <w:tcPr>
            <w:tcW w:w="2378" w:type="dxa"/>
          </w:tcPr>
          <w:p w14:paraId="7ABEB8C6" w14:textId="73A42C6A"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National databases; common bird monitoring; </w:t>
            </w:r>
            <w:r w:rsidR="005028F9" w:rsidRPr="006437E1">
              <w:rPr>
                <w:rFonts w:ascii="Arial" w:hAnsi="Arial" w:cs="Arial"/>
                <w:sz w:val="18"/>
                <w:szCs w:val="18"/>
                <w:lang w:val="en-GB"/>
              </w:rPr>
              <w:t xml:space="preserve">Turtle Dove </w:t>
            </w:r>
            <w:r w:rsidRPr="006437E1">
              <w:rPr>
                <w:rFonts w:ascii="Arial" w:hAnsi="Arial" w:cs="Arial"/>
                <w:sz w:val="18"/>
                <w:szCs w:val="18"/>
                <w:lang w:val="en-GB"/>
              </w:rPr>
              <w:t>specific surveys; Article 12 reporting under Birds Directive.</w:t>
            </w:r>
          </w:p>
        </w:tc>
      </w:tr>
      <w:tr w:rsidR="00C96521" w:rsidRPr="006437E1" w14:paraId="5B1A74A2" w14:textId="77777777" w:rsidTr="00C96521">
        <w:tc>
          <w:tcPr>
            <w:tcW w:w="2291" w:type="dxa"/>
            <w:vMerge/>
          </w:tcPr>
          <w:p w14:paraId="430A5109" w14:textId="77777777" w:rsidR="00C96521" w:rsidRPr="006437E1" w:rsidRDefault="00C96521" w:rsidP="00C96521">
            <w:pPr>
              <w:widowControl/>
              <w:autoSpaceDE/>
              <w:autoSpaceDN/>
              <w:adjustRightInd/>
              <w:rPr>
                <w:rFonts w:ascii="Arial" w:hAnsi="Arial" w:cs="Arial"/>
                <w:sz w:val="18"/>
                <w:szCs w:val="18"/>
                <w:lang w:val="en-GB"/>
              </w:rPr>
            </w:pPr>
          </w:p>
        </w:tc>
        <w:tc>
          <w:tcPr>
            <w:tcW w:w="4404" w:type="dxa"/>
          </w:tcPr>
          <w:p w14:paraId="7DD397A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7.2.3</w:t>
            </w:r>
          </w:p>
          <w:p w14:paraId="396D6976" w14:textId="3D3BE8FB"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Develop targeted data collection on population size and trends of </w:t>
            </w:r>
            <w:r w:rsidR="005028F9" w:rsidRPr="006437E1">
              <w:rPr>
                <w:rFonts w:ascii="Arial" w:hAnsi="Arial" w:cs="Arial"/>
                <w:sz w:val="18"/>
                <w:szCs w:val="18"/>
                <w:lang w:val="en-GB"/>
              </w:rPr>
              <w:t xml:space="preserve">Turtle Dove </w:t>
            </w:r>
            <w:r w:rsidRPr="006437E1">
              <w:rPr>
                <w:rFonts w:ascii="Arial" w:hAnsi="Arial" w:cs="Arial"/>
                <w:sz w:val="18"/>
                <w:szCs w:val="18"/>
                <w:lang w:val="en-GB"/>
              </w:rPr>
              <w:t>populations in sub-Saharan Africa and collate information into a single database.</w:t>
            </w:r>
          </w:p>
          <w:p w14:paraId="3573A983" w14:textId="77777777" w:rsidR="00C96521" w:rsidRPr="006437E1" w:rsidRDefault="00C96521" w:rsidP="00C96521">
            <w:pPr>
              <w:widowControl/>
              <w:autoSpaceDE/>
              <w:autoSpaceDN/>
              <w:adjustRightInd/>
              <w:rPr>
                <w:rFonts w:ascii="Arial" w:hAnsi="Arial" w:cs="Arial"/>
                <w:sz w:val="18"/>
                <w:szCs w:val="18"/>
                <w:lang w:val="en-GB"/>
              </w:rPr>
            </w:pPr>
          </w:p>
          <w:p w14:paraId="313AD1A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 in sub-Saharan Africa</w:t>
            </w:r>
          </w:p>
        </w:tc>
        <w:tc>
          <w:tcPr>
            <w:tcW w:w="1252" w:type="dxa"/>
          </w:tcPr>
          <w:p w14:paraId="388A671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High</w:t>
            </w:r>
          </w:p>
        </w:tc>
        <w:tc>
          <w:tcPr>
            <w:tcW w:w="1238" w:type="dxa"/>
          </w:tcPr>
          <w:p w14:paraId="30A27CC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12" w:type="dxa"/>
          </w:tcPr>
          <w:p w14:paraId="6499D5CD" w14:textId="77777777" w:rsidR="00C96521" w:rsidRPr="006437E1" w:rsidRDefault="00C96521" w:rsidP="00C96521">
            <w:pPr>
              <w:widowControl/>
              <w:autoSpaceDE/>
              <w:autoSpaceDN/>
              <w:adjustRightInd/>
              <w:rPr>
                <w:rFonts w:ascii="Arial" w:hAnsi="Arial" w:cs="Arial"/>
                <w:b/>
                <w:sz w:val="18"/>
                <w:szCs w:val="18"/>
                <w:lang w:val="en-GB"/>
              </w:rPr>
            </w:pPr>
            <w:r w:rsidRPr="006437E1">
              <w:rPr>
                <w:rFonts w:ascii="Arial" w:hAnsi="Arial" w:cs="Arial"/>
                <w:b/>
                <w:sz w:val="18"/>
                <w:szCs w:val="18"/>
                <w:lang w:val="en-GB"/>
              </w:rPr>
              <w:t xml:space="preserve">CONSERVATION NGOs, </w:t>
            </w:r>
          </w:p>
          <w:p w14:paraId="7CAC0ECF"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ACADEMIC INSTITUTIONS</w:t>
            </w:r>
            <w:r w:rsidRPr="006437E1">
              <w:rPr>
                <w:rFonts w:ascii="Arial" w:hAnsi="Arial" w:cs="Arial"/>
                <w:sz w:val="18"/>
                <w:szCs w:val="18"/>
                <w:lang w:val="en-GB"/>
              </w:rPr>
              <w:t>, national hunting federations, national wildlife agencies.</w:t>
            </w:r>
          </w:p>
        </w:tc>
        <w:tc>
          <w:tcPr>
            <w:tcW w:w="2378" w:type="dxa"/>
          </w:tcPr>
          <w:p w14:paraId="6FC10645" w14:textId="4A5B9636"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National databases; common bird monitoring structures; </w:t>
            </w:r>
            <w:r w:rsidR="005028F9" w:rsidRPr="006437E1">
              <w:rPr>
                <w:rFonts w:ascii="Arial" w:hAnsi="Arial" w:cs="Arial"/>
                <w:sz w:val="18"/>
                <w:szCs w:val="18"/>
                <w:lang w:val="en-GB"/>
              </w:rPr>
              <w:t xml:space="preserve">Turtle Dove </w:t>
            </w:r>
            <w:r w:rsidRPr="006437E1">
              <w:rPr>
                <w:rFonts w:ascii="Arial" w:hAnsi="Arial" w:cs="Arial"/>
                <w:sz w:val="18"/>
                <w:szCs w:val="18"/>
                <w:lang w:val="en-GB"/>
              </w:rPr>
              <w:t>specific surveys.</w:t>
            </w:r>
          </w:p>
        </w:tc>
      </w:tr>
      <w:tr w:rsidR="00C96521" w:rsidRPr="006437E1" w14:paraId="52C4BCAE" w14:textId="77777777" w:rsidTr="00C96521">
        <w:tc>
          <w:tcPr>
            <w:tcW w:w="2291" w:type="dxa"/>
          </w:tcPr>
          <w:p w14:paraId="20F9568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7.3 More complete knowledge of sub-species distributions and movements by [</w:t>
            </w:r>
            <w:r w:rsidRPr="006437E1">
              <w:rPr>
                <w:rFonts w:ascii="Arial" w:hAnsi="Arial" w:cs="Arial"/>
                <w:i/>
                <w:sz w:val="18"/>
                <w:szCs w:val="18"/>
                <w:lang w:val="en-GB"/>
              </w:rPr>
              <w:t>2025</w:t>
            </w:r>
            <w:r w:rsidRPr="006437E1">
              <w:rPr>
                <w:rFonts w:ascii="Arial" w:hAnsi="Arial" w:cs="Arial"/>
                <w:sz w:val="18"/>
                <w:szCs w:val="18"/>
                <w:lang w:val="en-GB"/>
              </w:rPr>
              <w:t>].</w:t>
            </w:r>
          </w:p>
        </w:tc>
        <w:tc>
          <w:tcPr>
            <w:tcW w:w="4404" w:type="dxa"/>
          </w:tcPr>
          <w:p w14:paraId="18792D3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7.3.1</w:t>
            </w:r>
          </w:p>
          <w:p w14:paraId="7BC79AD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Undertake research to determine movements and population sizes and trends for the turtle-dove sub-species, including isotope and genetic research in eastern Europe.</w:t>
            </w:r>
          </w:p>
          <w:p w14:paraId="338B6B51" w14:textId="77777777" w:rsidR="00C96521" w:rsidRPr="006437E1" w:rsidRDefault="00C96521" w:rsidP="00C96521">
            <w:pPr>
              <w:widowControl/>
              <w:autoSpaceDE/>
              <w:autoSpaceDN/>
              <w:adjustRightInd/>
              <w:rPr>
                <w:rFonts w:ascii="Arial" w:hAnsi="Arial" w:cs="Arial"/>
                <w:sz w:val="18"/>
                <w:szCs w:val="18"/>
                <w:lang w:val="en-GB"/>
              </w:rPr>
            </w:pPr>
          </w:p>
          <w:p w14:paraId="06A0D42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Applicable to: those Range States holding less well-studied sub-species (in particular, but not confined to, </w:t>
            </w:r>
            <w:r w:rsidRPr="006437E1">
              <w:rPr>
                <w:rFonts w:ascii="Arial" w:hAnsi="Arial" w:cs="Arial"/>
                <w:i/>
                <w:sz w:val="18"/>
                <w:szCs w:val="18"/>
                <w:lang w:val="en-GB"/>
              </w:rPr>
              <w:t>S. t. hoggara</w:t>
            </w:r>
            <w:r w:rsidRPr="006437E1">
              <w:rPr>
                <w:rFonts w:ascii="Arial" w:hAnsi="Arial" w:cs="Arial"/>
                <w:sz w:val="18"/>
                <w:szCs w:val="18"/>
                <w:lang w:val="en-GB"/>
              </w:rPr>
              <w:t xml:space="preserve"> and </w:t>
            </w:r>
            <w:r w:rsidRPr="006437E1">
              <w:rPr>
                <w:rFonts w:ascii="Arial" w:hAnsi="Arial" w:cs="Arial"/>
                <w:i/>
                <w:sz w:val="18"/>
                <w:szCs w:val="18"/>
                <w:lang w:val="en-GB"/>
              </w:rPr>
              <w:t>S. t. rufescens</w:t>
            </w:r>
            <w:r w:rsidRPr="006437E1">
              <w:rPr>
                <w:rFonts w:ascii="Arial" w:hAnsi="Arial" w:cs="Arial"/>
                <w:sz w:val="18"/>
                <w:szCs w:val="18"/>
                <w:lang w:val="en-GB"/>
              </w:rPr>
              <w:t>).</w:t>
            </w:r>
          </w:p>
        </w:tc>
        <w:tc>
          <w:tcPr>
            <w:tcW w:w="1252" w:type="dxa"/>
          </w:tcPr>
          <w:p w14:paraId="62F87C5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Low</w:t>
            </w:r>
          </w:p>
        </w:tc>
        <w:tc>
          <w:tcPr>
            <w:tcW w:w="1238" w:type="dxa"/>
          </w:tcPr>
          <w:p w14:paraId="71C7061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2612" w:type="dxa"/>
          </w:tcPr>
          <w:p w14:paraId="7B40D307" w14:textId="77777777" w:rsidR="00C96521" w:rsidRPr="006437E1" w:rsidRDefault="00C96521" w:rsidP="00C96521">
            <w:pPr>
              <w:widowControl/>
              <w:autoSpaceDE/>
              <w:autoSpaceDN/>
              <w:adjustRightInd/>
              <w:rPr>
                <w:rFonts w:ascii="Arial" w:hAnsi="Arial" w:cs="Arial"/>
                <w:b/>
                <w:sz w:val="18"/>
                <w:szCs w:val="18"/>
                <w:lang w:val="en-GB"/>
              </w:rPr>
            </w:pPr>
            <w:r w:rsidRPr="006437E1">
              <w:rPr>
                <w:rFonts w:ascii="Arial" w:hAnsi="Arial" w:cs="Arial"/>
                <w:b/>
                <w:sz w:val="18"/>
                <w:szCs w:val="18"/>
                <w:lang w:val="en-GB"/>
              </w:rPr>
              <w:t xml:space="preserve">CONSERVATION NGOs, </w:t>
            </w:r>
          </w:p>
          <w:p w14:paraId="00ECA25E"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ACADEMIC INSTITUTIONS</w:t>
            </w:r>
            <w:r w:rsidRPr="006437E1">
              <w:rPr>
                <w:rFonts w:ascii="Arial" w:hAnsi="Arial" w:cs="Arial"/>
                <w:sz w:val="18"/>
                <w:szCs w:val="18"/>
                <w:lang w:val="en-GB"/>
              </w:rPr>
              <w:t>, national hunting federations, national wildlife agencies.</w:t>
            </w:r>
          </w:p>
        </w:tc>
        <w:tc>
          <w:tcPr>
            <w:tcW w:w="2378" w:type="dxa"/>
          </w:tcPr>
          <w:p w14:paraId="111D962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Actions 7.1.1-7.1.4</w:t>
            </w:r>
          </w:p>
          <w:p w14:paraId="37159A1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7.2.1-7.23</w:t>
            </w:r>
          </w:p>
        </w:tc>
      </w:tr>
      <w:tr w:rsidR="00C96521" w:rsidRPr="006437E1" w14:paraId="0F27393C" w14:textId="77777777" w:rsidTr="00C96521">
        <w:tc>
          <w:tcPr>
            <w:tcW w:w="2291" w:type="dxa"/>
            <w:vMerge w:val="restart"/>
          </w:tcPr>
          <w:p w14:paraId="60874569" w14:textId="3FA66F8A"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7.4 Greater understanding of the key components needed in a </w:t>
            </w:r>
            <w:r w:rsidR="005028F9" w:rsidRPr="006437E1">
              <w:rPr>
                <w:rFonts w:ascii="Arial" w:hAnsi="Arial" w:cs="Arial"/>
                <w:sz w:val="18"/>
                <w:szCs w:val="18"/>
                <w:lang w:val="en-GB"/>
              </w:rPr>
              <w:t xml:space="preserve">Turtle Dove‘s </w:t>
            </w:r>
            <w:r w:rsidRPr="006437E1">
              <w:rPr>
                <w:rFonts w:ascii="Arial" w:hAnsi="Arial" w:cs="Arial"/>
                <w:sz w:val="18"/>
                <w:szCs w:val="18"/>
                <w:lang w:val="en-GB"/>
              </w:rPr>
              <w:t>habitat by [</w:t>
            </w:r>
            <w:r w:rsidRPr="006437E1">
              <w:rPr>
                <w:rFonts w:ascii="Arial" w:hAnsi="Arial" w:cs="Arial"/>
                <w:i/>
                <w:sz w:val="18"/>
                <w:szCs w:val="18"/>
                <w:lang w:val="en-GB"/>
              </w:rPr>
              <w:t>2020</w:t>
            </w:r>
            <w:r w:rsidRPr="006437E1">
              <w:rPr>
                <w:rFonts w:ascii="Arial" w:hAnsi="Arial" w:cs="Arial"/>
                <w:sz w:val="18"/>
                <w:szCs w:val="18"/>
                <w:lang w:val="en-GB"/>
              </w:rPr>
              <w:t>].</w:t>
            </w:r>
          </w:p>
          <w:p w14:paraId="407EC40E" w14:textId="77777777" w:rsidR="00C96521" w:rsidRPr="006437E1" w:rsidRDefault="00C96521" w:rsidP="00C96521">
            <w:pPr>
              <w:widowControl/>
              <w:autoSpaceDE/>
              <w:autoSpaceDN/>
              <w:adjustRightInd/>
              <w:rPr>
                <w:rFonts w:ascii="Arial" w:hAnsi="Arial" w:cs="Arial"/>
                <w:sz w:val="18"/>
                <w:szCs w:val="18"/>
                <w:lang w:val="en-GB"/>
              </w:rPr>
            </w:pPr>
          </w:p>
          <w:p w14:paraId="5A34310A" w14:textId="77777777" w:rsidR="00C96521" w:rsidRPr="006437E1" w:rsidRDefault="00C96521" w:rsidP="00C96521">
            <w:pPr>
              <w:widowControl/>
              <w:autoSpaceDE/>
              <w:autoSpaceDN/>
              <w:adjustRightInd/>
              <w:rPr>
                <w:rFonts w:ascii="Arial" w:hAnsi="Arial" w:cs="Arial"/>
                <w:sz w:val="18"/>
                <w:szCs w:val="18"/>
                <w:lang w:val="en-GB"/>
              </w:rPr>
            </w:pPr>
          </w:p>
        </w:tc>
        <w:tc>
          <w:tcPr>
            <w:tcW w:w="4404" w:type="dxa"/>
          </w:tcPr>
          <w:p w14:paraId="1F4A325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7.4.1</w:t>
            </w:r>
          </w:p>
          <w:p w14:paraId="7C78ED3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Improve knowledge of turtle-dove habitat associations and dietary needs, and undertake regional comparisons in population change compared to agricultural change.  </w:t>
            </w:r>
          </w:p>
          <w:p w14:paraId="4630719A" w14:textId="77777777" w:rsidR="00C96521" w:rsidRPr="006437E1" w:rsidRDefault="00C96521" w:rsidP="00C96521">
            <w:pPr>
              <w:widowControl/>
              <w:autoSpaceDE/>
              <w:autoSpaceDN/>
              <w:adjustRightInd/>
              <w:rPr>
                <w:rFonts w:ascii="Arial" w:hAnsi="Arial" w:cs="Arial"/>
                <w:sz w:val="18"/>
                <w:szCs w:val="18"/>
                <w:lang w:val="en-GB"/>
              </w:rPr>
            </w:pPr>
          </w:p>
          <w:p w14:paraId="4B83041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w:t>
            </w:r>
          </w:p>
        </w:tc>
        <w:tc>
          <w:tcPr>
            <w:tcW w:w="1252" w:type="dxa"/>
          </w:tcPr>
          <w:p w14:paraId="7C4032A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High</w:t>
            </w:r>
          </w:p>
        </w:tc>
        <w:tc>
          <w:tcPr>
            <w:tcW w:w="1238" w:type="dxa"/>
          </w:tcPr>
          <w:p w14:paraId="45E4242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12" w:type="dxa"/>
          </w:tcPr>
          <w:p w14:paraId="5C4B02BE" w14:textId="77777777" w:rsidR="00C96521" w:rsidRPr="006437E1" w:rsidRDefault="00C96521" w:rsidP="00C96521">
            <w:pPr>
              <w:widowControl/>
              <w:autoSpaceDE/>
              <w:autoSpaceDN/>
              <w:adjustRightInd/>
              <w:rPr>
                <w:rFonts w:ascii="Arial" w:hAnsi="Arial" w:cs="Arial"/>
                <w:b/>
                <w:sz w:val="18"/>
                <w:szCs w:val="18"/>
                <w:lang w:val="en-GB"/>
              </w:rPr>
            </w:pPr>
            <w:r w:rsidRPr="006437E1">
              <w:rPr>
                <w:rFonts w:ascii="Arial" w:hAnsi="Arial" w:cs="Arial"/>
                <w:b/>
                <w:sz w:val="18"/>
                <w:szCs w:val="18"/>
                <w:lang w:val="en-GB"/>
              </w:rPr>
              <w:t xml:space="preserve">CONSERVATION NGOs, </w:t>
            </w:r>
          </w:p>
          <w:p w14:paraId="44B51D6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ACADEMIC INSTITUTIONS</w:t>
            </w:r>
            <w:r w:rsidRPr="006437E1">
              <w:rPr>
                <w:rFonts w:ascii="Arial" w:hAnsi="Arial" w:cs="Arial"/>
                <w:sz w:val="18"/>
                <w:szCs w:val="18"/>
                <w:lang w:val="en-GB"/>
              </w:rPr>
              <w:t>, national hunting federations, national wildlife agencies.</w:t>
            </w:r>
          </w:p>
        </w:tc>
        <w:tc>
          <w:tcPr>
            <w:tcW w:w="2378" w:type="dxa"/>
          </w:tcPr>
          <w:p w14:paraId="73368F6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Existing successful prescriptions for turtle-doves; research papers; hunting bag samples.</w:t>
            </w:r>
          </w:p>
        </w:tc>
      </w:tr>
      <w:tr w:rsidR="00C96521" w:rsidRPr="006437E1" w14:paraId="12989FE0" w14:textId="77777777" w:rsidTr="00C96521">
        <w:tc>
          <w:tcPr>
            <w:tcW w:w="2291" w:type="dxa"/>
            <w:vMerge/>
          </w:tcPr>
          <w:p w14:paraId="6ECB60E0" w14:textId="77777777" w:rsidR="00C96521" w:rsidRPr="006437E1" w:rsidRDefault="00C96521" w:rsidP="00C96521">
            <w:pPr>
              <w:widowControl/>
              <w:autoSpaceDE/>
              <w:autoSpaceDN/>
              <w:adjustRightInd/>
              <w:rPr>
                <w:rFonts w:ascii="Arial" w:hAnsi="Arial" w:cs="Arial"/>
                <w:sz w:val="18"/>
                <w:szCs w:val="18"/>
                <w:lang w:val="en-GB"/>
              </w:rPr>
            </w:pPr>
          </w:p>
        </w:tc>
        <w:tc>
          <w:tcPr>
            <w:tcW w:w="4404" w:type="dxa"/>
          </w:tcPr>
          <w:p w14:paraId="0B50666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7.4.2</w:t>
            </w:r>
          </w:p>
          <w:p w14:paraId="2675BFD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Undertake tracking studies to determine small-scale movements of birds within their breeding area in different habitats (forest, agricultural landscapes).</w:t>
            </w:r>
          </w:p>
          <w:p w14:paraId="0E4E1C1D" w14:textId="77777777" w:rsidR="00C96521" w:rsidRPr="006437E1" w:rsidRDefault="00C96521" w:rsidP="00C96521">
            <w:pPr>
              <w:widowControl/>
              <w:autoSpaceDE/>
              <w:autoSpaceDN/>
              <w:adjustRightInd/>
              <w:rPr>
                <w:rFonts w:ascii="Arial" w:hAnsi="Arial" w:cs="Arial"/>
                <w:sz w:val="18"/>
                <w:szCs w:val="18"/>
                <w:lang w:val="en-GB"/>
              </w:rPr>
            </w:pPr>
          </w:p>
          <w:p w14:paraId="6599390F"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w:t>
            </w:r>
          </w:p>
        </w:tc>
        <w:tc>
          <w:tcPr>
            <w:tcW w:w="1252" w:type="dxa"/>
          </w:tcPr>
          <w:p w14:paraId="422EDAF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High</w:t>
            </w:r>
          </w:p>
        </w:tc>
        <w:tc>
          <w:tcPr>
            <w:tcW w:w="1238" w:type="dxa"/>
          </w:tcPr>
          <w:p w14:paraId="1A9288B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12" w:type="dxa"/>
          </w:tcPr>
          <w:p w14:paraId="02930E80" w14:textId="77777777" w:rsidR="00C96521" w:rsidRPr="006437E1" w:rsidRDefault="00C96521" w:rsidP="00C96521">
            <w:pPr>
              <w:widowControl/>
              <w:autoSpaceDE/>
              <w:autoSpaceDN/>
              <w:adjustRightInd/>
              <w:rPr>
                <w:rFonts w:ascii="Arial" w:hAnsi="Arial" w:cs="Arial"/>
                <w:b/>
                <w:sz w:val="18"/>
                <w:szCs w:val="18"/>
                <w:lang w:val="en-GB"/>
              </w:rPr>
            </w:pPr>
            <w:r w:rsidRPr="006437E1">
              <w:rPr>
                <w:rFonts w:ascii="Arial" w:hAnsi="Arial" w:cs="Arial"/>
                <w:b/>
                <w:sz w:val="18"/>
                <w:szCs w:val="18"/>
                <w:lang w:val="en-GB"/>
              </w:rPr>
              <w:t xml:space="preserve">CONSERVATION NGOs, </w:t>
            </w:r>
          </w:p>
          <w:p w14:paraId="5EA0055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ACADEMIC INSTITUTIONS</w:t>
            </w:r>
            <w:r w:rsidRPr="006437E1">
              <w:rPr>
                <w:rFonts w:ascii="Arial" w:hAnsi="Arial" w:cs="Arial"/>
                <w:sz w:val="18"/>
                <w:szCs w:val="18"/>
                <w:lang w:val="en-GB"/>
              </w:rPr>
              <w:t>, national hunting federations, national wildlife agencies.</w:t>
            </w:r>
          </w:p>
        </w:tc>
        <w:tc>
          <w:tcPr>
            <w:tcW w:w="2378" w:type="dxa"/>
          </w:tcPr>
          <w:p w14:paraId="3BF8AC7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Actions 7.1.1-7.1.4</w:t>
            </w:r>
          </w:p>
          <w:p w14:paraId="4DFD89B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7.4.1</w:t>
            </w:r>
          </w:p>
        </w:tc>
      </w:tr>
      <w:tr w:rsidR="00C96521" w:rsidRPr="006437E1" w14:paraId="4FB42B65" w14:textId="77777777" w:rsidTr="00C96521">
        <w:tc>
          <w:tcPr>
            <w:tcW w:w="2291" w:type="dxa"/>
            <w:vMerge/>
          </w:tcPr>
          <w:p w14:paraId="043A13EB" w14:textId="77777777" w:rsidR="00C96521" w:rsidRPr="006437E1" w:rsidRDefault="00C96521" w:rsidP="00C96521">
            <w:pPr>
              <w:widowControl/>
              <w:autoSpaceDE/>
              <w:autoSpaceDN/>
              <w:adjustRightInd/>
              <w:rPr>
                <w:rFonts w:ascii="Arial" w:hAnsi="Arial" w:cs="Arial"/>
                <w:sz w:val="18"/>
                <w:szCs w:val="18"/>
                <w:lang w:val="en-GB"/>
              </w:rPr>
            </w:pPr>
          </w:p>
        </w:tc>
        <w:tc>
          <w:tcPr>
            <w:tcW w:w="4404" w:type="dxa"/>
          </w:tcPr>
          <w:p w14:paraId="431AD30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7.4.3</w:t>
            </w:r>
          </w:p>
          <w:p w14:paraId="771F416E" w14:textId="46A2906A"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Conduct a Sahel-wide inventory of features that contribute to good quality </w:t>
            </w:r>
            <w:r w:rsidR="005028F9" w:rsidRPr="006437E1">
              <w:rPr>
                <w:rFonts w:ascii="Arial" w:hAnsi="Arial" w:cs="Arial"/>
                <w:sz w:val="18"/>
                <w:szCs w:val="18"/>
                <w:lang w:val="en-GB"/>
              </w:rPr>
              <w:t xml:space="preserve">Turtle Dove </w:t>
            </w:r>
            <w:r w:rsidRPr="006437E1">
              <w:rPr>
                <w:rFonts w:ascii="Arial" w:hAnsi="Arial" w:cs="Arial"/>
                <w:sz w:val="18"/>
                <w:szCs w:val="18"/>
                <w:lang w:val="en-GB"/>
              </w:rPr>
              <w:t>habitat, including roosting sites, wetlands and seasonally-flooded acacia stands.</w:t>
            </w:r>
          </w:p>
          <w:p w14:paraId="051E2382" w14:textId="77777777" w:rsidR="00C96521" w:rsidRPr="006437E1" w:rsidRDefault="00C96521" w:rsidP="00C96521">
            <w:pPr>
              <w:widowControl/>
              <w:autoSpaceDE/>
              <w:autoSpaceDN/>
              <w:adjustRightInd/>
              <w:rPr>
                <w:rFonts w:ascii="Arial" w:hAnsi="Arial" w:cs="Arial"/>
                <w:sz w:val="18"/>
                <w:szCs w:val="18"/>
                <w:lang w:val="en-GB"/>
              </w:rPr>
            </w:pPr>
          </w:p>
          <w:p w14:paraId="7044E02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 in sub-Saharan Africa.</w:t>
            </w:r>
          </w:p>
        </w:tc>
        <w:tc>
          <w:tcPr>
            <w:tcW w:w="1252" w:type="dxa"/>
          </w:tcPr>
          <w:p w14:paraId="1D5845A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High</w:t>
            </w:r>
          </w:p>
        </w:tc>
        <w:tc>
          <w:tcPr>
            <w:tcW w:w="1238" w:type="dxa"/>
          </w:tcPr>
          <w:p w14:paraId="5E742F4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12" w:type="dxa"/>
          </w:tcPr>
          <w:p w14:paraId="2A47291D" w14:textId="77777777" w:rsidR="00C96521" w:rsidRPr="006437E1" w:rsidRDefault="00C96521" w:rsidP="00C96521">
            <w:pPr>
              <w:widowControl/>
              <w:autoSpaceDE/>
              <w:autoSpaceDN/>
              <w:adjustRightInd/>
              <w:rPr>
                <w:rFonts w:ascii="Arial" w:hAnsi="Arial" w:cs="Arial"/>
                <w:b/>
                <w:sz w:val="18"/>
                <w:szCs w:val="18"/>
                <w:lang w:val="en-GB"/>
              </w:rPr>
            </w:pPr>
            <w:r w:rsidRPr="006437E1">
              <w:rPr>
                <w:rFonts w:ascii="Arial" w:hAnsi="Arial" w:cs="Arial"/>
                <w:b/>
                <w:sz w:val="18"/>
                <w:szCs w:val="18"/>
                <w:lang w:val="en-GB"/>
              </w:rPr>
              <w:t xml:space="preserve">CONSERVATION NGOs, </w:t>
            </w:r>
          </w:p>
          <w:p w14:paraId="07010159"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ACADEMIC INSTITUTIONS</w:t>
            </w:r>
            <w:r w:rsidRPr="006437E1">
              <w:rPr>
                <w:rFonts w:ascii="Arial" w:hAnsi="Arial" w:cs="Arial"/>
                <w:sz w:val="18"/>
                <w:szCs w:val="18"/>
                <w:lang w:val="en-GB"/>
              </w:rPr>
              <w:t>, national hunting federations, national wildlife agencies.</w:t>
            </w:r>
          </w:p>
        </w:tc>
        <w:tc>
          <w:tcPr>
            <w:tcW w:w="2378" w:type="dxa"/>
          </w:tcPr>
          <w:p w14:paraId="4C9D759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Ramsar, CBD, UNCCD, CMS, EU Joint Research Centre for Remote Sensing.</w:t>
            </w:r>
          </w:p>
        </w:tc>
      </w:tr>
      <w:tr w:rsidR="00C96521" w:rsidRPr="006437E1" w14:paraId="098AA5F7" w14:textId="77777777" w:rsidTr="00C96521">
        <w:tc>
          <w:tcPr>
            <w:tcW w:w="2291" w:type="dxa"/>
          </w:tcPr>
          <w:p w14:paraId="4DF194DC" w14:textId="054A5A09"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7.5 Greater understanding of </w:t>
            </w:r>
            <w:r w:rsidR="005028F9" w:rsidRPr="006437E1">
              <w:rPr>
                <w:rFonts w:ascii="Arial" w:hAnsi="Arial" w:cs="Arial"/>
                <w:sz w:val="18"/>
                <w:szCs w:val="18"/>
                <w:lang w:val="en-GB"/>
              </w:rPr>
              <w:t>Turtle Dove</w:t>
            </w:r>
            <w:r w:rsidRPr="006437E1">
              <w:rPr>
                <w:rFonts w:ascii="Arial" w:hAnsi="Arial" w:cs="Arial"/>
                <w:sz w:val="18"/>
                <w:szCs w:val="18"/>
                <w:lang w:val="en-GB"/>
              </w:rPr>
              <w:t xml:space="preserve"> survival and breeding productivity by [</w:t>
            </w:r>
            <w:r w:rsidRPr="006437E1">
              <w:rPr>
                <w:rFonts w:ascii="Arial" w:hAnsi="Arial" w:cs="Arial"/>
                <w:i/>
                <w:sz w:val="18"/>
                <w:szCs w:val="18"/>
                <w:lang w:val="en-GB"/>
              </w:rPr>
              <w:t>2020</w:t>
            </w:r>
            <w:r w:rsidRPr="006437E1">
              <w:rPr>
                <w:rFonts w:ascii="Arial" w:hAnsi="Arial" w:cs="Arial"/>
                <w:sz w:val="18"/>
                <w:szCs w:val="18"/>
                <w:lang w:val="en-GB"/>
              </w:rPr>
              <w:t>].</w:t>
            </w:r>
          </w:p>
        </w:tc>
        <w:tc>
          <w:tcPr>
            <w:tcW w:w="4404" w:type="dxa"/>
          </w:tcPr>
          <w:p w14:paraId="47E8AD9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7.5.1</w:t>
            </w:r>
          </w:p>
          <w:p w14:paraId="44584263" w14:textId="709B487F"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Put in place long-term monitoring programmes on annual survival (e</w:t>
            </w:r>
            <w:r w:rsidR="005028F9" w:rsidRPr="006437E1">
              <w:rPr>
                <w:rFonts w:ascii="Arial" w:hAnsi="Arial" w:cs="Arial"/>
                <w:sz w:val="18"/>
                <w:szCs w:val="18"/>
                <w:lang w:val="en-GB"/>
              </w:rPr>
              <w:t>.</w:t>
            </w:r>
            <w:r w:rsidRPr="006437E1">
              <w:rPr>
                <w:rFonts w:ascii="Arial" w:hAnsi="Arial" w:cs="Arial"/>
                <w:sz w:val="18"/>
                <w:szCs w:val="18"/>
                <w:lang w:val="en-GB"/>
              </w:rPr>
              <w:t>g</w:t>
            </w:r>
            <w:r w:rsidR="005028F9" w:rsidRPr="006437E1">
              <w:rPr>
                <w:rFonts w:ascii="Arial" w:hAnsi="Arial" w:cs="Arial"/>
                <w:sz w:val="18"/>
                <w:szCs w:val="18"/>
                <w:lang w:val="en-GB"/>
              </w:rPr>
              <w:t>.</w:t>
            </w:r>
            <w:r w:rsidRPr="006437E1">
              <w:rPr>
                <w:rFonts w:ascii="Arial" w:hAnsi="Arial" w:cs="Arial"/>
                <w:sz w:val="18"/>
                <w:szCs w:val="18"/>
                <w:lang w:val="en-GB"/>
              </w:rPr>
              <w:t xml:space="preserve"> capture-mark-recapture) and breeding productivity.</w:t>
            </w:r>
          </w:p>
          <w:p w14:paraId="08F7A337" w14:textId="77777777" w:rsidR="00C96521" w:rsidRPr="006437E1" w:rsidRDefault="00C96521" w:rsidP="00C96521">
            <w:pPr>
              <w:widowControl/>
              <w:autoSpaceDE/>
              <w:autoSpaceDN/>
              <w:adjustRightInd/>
              <w:rPr>
                <w:rFonts w:ascii="Arial" w:hAnsi="Arial" w:cs="Arial"/>
                <w:sz w:val="18"/>
                <w:szCs w:val="18"/>
                <w:lang w:val="en-GB"/>
              </w:rPr>
            </w:pPr>
          </w:p>
          <w:p w14:paraId="1F3D20E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w:t>
            </w:r>
          </w:p>
        </w:tc>
        <w:tc>
          <w:tcPr>
            <w:tcW w:w="1252" w:type="dxa"/>
          </w:tcPr>
          <w:p w14:paraId="07238F3E"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High</w:t>
            </w:r>
          </w:p>
        </w:tc>
        <w:tc>
          <w:tcPr>
            <w:tcW w:w="1238" w:type="dxa"/>
          </w:tcPr>
          <w:p w14:paraId="7A3AEAC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12" w:type="dxa"/>
          </w:tcPr>
          <w:p w14:paraId="414DC968" w14:textId="77777777" w:rsidR="00C96521" w:rsidRPr="006437E1" w:rsidRDefault="00C96521" w:rsidP="00C96521">
            <w:pPr>
              <w:widowControl/>
              <w:autoSpaceDE/>
              <w:autoSpaceDN/>
              <w:adjustRightInd/>
              <w:rPr>
                <w:rFonts w:ascii="Arial" w:hAnsi="Arial" w:cs="Arial"/>
                <w:b/>
                <w:sz w:val="18"/>
                <w:szCs w:val="18"/>
                <w:lang w:val="en-GB"/>
              </w:rPr>
            </w:pPr>
            <w:r w:rsidRPr="006437E1">
              <w:rPr>
                <w:rFonts w:ascii="Arial" w:hAnsi="Arial" w:cs="Arial"/>
                <w:b/>
                <w:sz w:val="18"/>
                <w:szCs w:val="18"/>
                <w:lang w:val="en-GB"/>
              </w:rPr>
              <w:t xml:space="preserve">CONSERVATION NGOs, </w:t>
            </w:r>
          </w:p>
          <w:p w14:paraId="60347106"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ACADEMIC INSTITUTIONS</w:t>
            </w:r>
            <w:r w:rsidRPr="006437E1">
              <w:rPr>
                <w:rFonts w:ascii="Arial" w:hAnsi="Arial" w:cs="Arial"/>
                <w:sz w:val="18"/>
                <w:szCs w:val="18"/>
                <w:lang w:val="en-GB"/>
              </w:rPr>
              <w:t>, national hunting federations, national wildlife agencies.</w:t>
            </w:r>
          </w:p>
        </w:tc>
        <w:tc>
          <w:tcPr>
            <w:tcW w:w="2378" w:type="dxa"/>
          </w:tcPr>
          <w:p w14:paraId="56E0CFA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Research papers; hunting bag samples.</w:t>
            </w:r>
          </w:p>
        </w:tc>
      </w:tr>
      <w:tr w:rsidR="00C96521" w:rsidRPr="006437E1" w14:paraId="79B64F96" w14:textId="77777777" w:rsidTr="00C96521">
        <w:tc>
          <w:tcPr>
            <w:tcW w:w="2291" w:type="dxa"/>
          </w:tcPr>
          <w:p w14:paraId="270DB0FA" w14:textId="09A49750"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7.6 Characterisation of ideal stop-over and wintering sites for </w:t>
            </w:r>
            <w:r w:rsidR="005028F9" w:rsidRPr="006437E1">
              <w:rPr>
                <w:rFonts w:ascii="Arial" w:hAnsi="Arial" w:cs="Arial"/>
                <w:sz w:val="18"/>
                <w:szCs w:val="18"/>
                <w:lang w:val="en-GB"/>
              </w:rPr>
              <w:t>Turtle Dove</w:t>
            </w:r>
            <w:r w:rsidRPr="006437E1">
              <w:rPr>
                <w:rFonts w:ascii="Arial" w:hAnsi="Arial" w:cs="Arial"/>
                <w:sz w:val="18"/>
                <w:szCs w:val="18"/>
                <w:lang w:val="en-GB"/>
              </w:rPr>
              <w:t xml:space="preserve"> by [</w:t>
            </w:r>
            <w:r w:rsidRPr="006437E1">
              <w:rPr>
                <w:rFonts w:ascii="Arial" w:hAnsi="Arial" w:cs="Arial"/>
                <w:i/>
                <w:sz w:val="18"/>
                <w:szCs w:val="18"/>
                <w:lang w:val="en-GB"/>
              </w:rPr>
              <w:t>2025</w:t>
            </w:r>
            <w:r w:rsidRPr="006437E1">
              <w:rPr>
                <w:rFonts w:ascii="Arial" w:hAnsi="Arial" w:cs="Arial"/>
                <w:sz w:val="18"/>
                <w:szCs w:val="18"/>
                <w:lang w:val="en-GB"/>
              </w:rPr>
              <w:t>].</w:t>
            </w:r>
          </w:p>
        </w:tc>
        <w:tc>
          <w:tcPr>
            <w:tcW w:w="4404" w:type="dxa"/>
          </w:tcPr>
          <w:p w14:paraId="534B1BC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7.6.1</w:t>
            </w:r>
          </w:p>
          <w:p w14:paraId="037624B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Undertake research to characterise key stop-over and wintering sites, and an assessment of remote sensing as a tool to predict further areas.</w:t>
            </w:r>
          </w:p>
          <w:p w14:paraId="666A945B" w14:textId="77777777" w:rsidR="00C96521" w:rsidRPr="006437E1" w:rsidRDefault="00C96521" w:rsidP="00C96521">
            <w:pPr>
              <w:widowControl/>
              <w:autoSpaceDE/>
              <w:autoSpaceDN/>
              <w:adjustRightInd/>
              <w:rPr>
                <w:rFonts w:ascii="Arial" w:hAnsi="Arial" w:cs="Arial"/>
                <w:sz w:val="18"/>
                <w:szCs w:val="18"/>
                <w:lang w:val="en-GB"/>
              </w:rPr>
            </w:pPr>
          </w:p>
          <w:p w14:paraId="21CA632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wintering Range States and those with key stop-over sites.</w:t>
            </w:r>
          </w:p>
        </w:tc>
        <w:tc>
          <w:tcPr>
            <w:tcW w:w="1252" w:type="dxa"/>
          </w:tcPr>
          <w:p w14:paraId="6C4A2E1F"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238" w:type="dxa"/>
          </w:tcPr>
          <w:p w14:paraId="74D8577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2612" w:type="dxa"/>
          </w:tcPr>
          <w:p w14:paraId="2AA15CE8" w14:textId="77777777" w:rsidR="00C96521" w:rsidRPr="006437E1" w:rsidRDefault="00C96521" w:rsidP="00C96521">
            <w:pPr>
              <w:widowControl/>
              <w:autoSpaceDE/>
              <w:autoSpaceDN/>
              <w:adjustRightInd/>
              <w:rPr>
                <w:rFonts w:ascii="Arial" w:hAnsi="Arial" w:cs="Arial"/>
                <w:b/>
                <w:sz w:val="18"/>
                <w:szCs w:val="18"/>
                <w:lang w:val="en-GB"/>
              </w:rPr>
            </w:pPr>
            <w:r w:rsidRPr="006437E1">
              <w:rPr>
                <w:rFonts w:ascii="Arial" w:hAnsi="Arial" w:cs="Arial"/>
                <w:b/>
                <w:sz w:val="18"/>
                <w:szCs w:val="18"/>
                <w:lang w:val="en-GB"/>
              </w:rPr>
              <w:t xml:space="preserve">CONSERVATION NGOs, </w:t>
            </w:r>
          </w:p>
          <w:p w14:paraId="0B760BE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ACADEMIC INSTITUTIONS</w:t>
            </w:r>
            <w:r w:rsidRPr="006437E1">
              <w:rPr>
                <w:rFonts w:ascii="Arial" w:hAnsi="Arial" w:cs="Arial"/>
                <w:sz w:val="18"/>
                <w:szCs w:val="18"/>
                <w:lang w:val="en-GB"/>
              </w:rPr>
              <w:t>, national hunting federations, national wildlife agencies.</w:t>
            </w:r>
          </w:p>
        </w:tc>
        <w:tc>
          <w:tcPr>
            <w:tcW w:w="2378" w:type="dxa"/>
          </w:tcPr>
          <w:p w14:paraId="4AB415D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Actions 7.1.1-7.1.3</w:t>
            </w:r>
          </w:p>
        </w:tc>
      </w:tr>
      <w:tr w:rsidR="00C96521" w:rsidRPr="006437E1" w14:paraId="66275FF3" w14:textId="77777777" w:rsidTr="00C96521">
        <w:tc>
          <w:tcPr>
            <w:tcW w:w="2291" w:type="dxa"/>
          </w:tcPr>
          <w:p w14:paraId="62182B1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7.7 Understanding of the country of origin of hunted birds [</w:t>
            </w:r>
            <w:r w:rsidRPr="006437E1">
              <w:rPr>
                <w:rFonts w:ascii="Arial" w:hAnsi="Arial" w:cs="Arial"/>
                <w:i/>
                <w:sz w:val="18"/>
                <w:szCs w:val="18"/>
                <w:lang w:val="en-GB"/>
              </w:rPr>
              <w:t>2020</w:t>
            </w:r>
            <w:r w:rsidRPr="006437E1">
              <w:rPr>
                <w:rFonts w:ascii="Arial" w:hAnsi="Arial" w:cs="Arial"/>
                <w:sz w:val="18"/>
                <w:szCs w:val="18"/>
                <w:lang w:val="en-GB"/>
              </w:rPr>
              <w:t>].</w:t>
            </w:r>
          </w:p>
        </w:tc>
        <w:tc>
          <w:tcPr>
            <w:tcW w:w="4404" w:type="dxa"/>
          </w:tcPr>
          <w:p w14:paraId="54393BD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7.7.1</w:t>
            </w:r>
          </w:p>
          <w:p w14:paraId="32BA5D76"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Analyse new tracking and isotopic data to determine the origins of birds killed in each country.</w:t>
            </w:r>
          </w:p>
          <w:p w14:paraId="32A038FB" w14:textId="77777777" w:rsidR="00C96521" w:rsidRPr="006437E1" w:rsidRDefault="00C96521" w:rsidP="00C96521">
            <w:pPr>
              <w:widowControl/>
              <w:autoSpaceDE/>
              <w:autoSpaceDN/>
              <w:adjustRightInd/>
              <w:rPr>
                <w:rFonts w:ascii="Arial" w:hAnsi="Arial" w:cs="Arial"/>
                <w:sz w:val="18"/>
                <w:szCs w:val="18"/>
                <w:lang w:val="en-GB"/>
              </w:rPr>
            </w:pPr>
          </w:p>
          <w:p w14:paraId="47B6C91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Application: all Range States.</w:t>
            </w:r>
          </w:p>
        </w:tc>
        <w:tc>
          <w:tcPr>
            <w:tcW w:w="1252" w:type="dxa"/>
          </w:tcPr>
          <w:p w14:paraId="4A4DD51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238" w:type="dxa"/>
          </w:tcPr>
          <w:p w14:paraId="26F3D939"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2612" w:type="dxa"/>
          </w:tcPr>
          <w:p w14:paraId="73E136B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NATIONAL GOVERNMENTS</w:t>
            </w:r>
            <w:r w:rsidRPr="006437E1">
              <w:rPr>
                <w:rFonts w:ascii="Arial" w:hAnsi="Arial" w:cs="Arial"/>
                <w:sz w:val="18"/>
                <w:szCs w:val="18"/>
                <w:lang w:val="en-GB"/>
              </w:rPr>
              <w:t xml:space="preserve">, </w:t>
            </w:r>
            <w:r w:rsidRPr="006437E1">
              <w:rPr>
                <w:rFonts w:ascii="Arial" w:hAnsi="Arial" w:cs="Arial"/>
                <w:b/>
                <w:sz w:val="18"/>
                <w:szCs w:val="18"/>
                <w:lang w:val="en-GB"/>
              </w:rPr>
              <w:t>ACADEMIC INSTITUTIONS</w:t>
            </w:r>
            <w:r w:rsidRPr="006437E1">
              <w:rPr>
                <w:rFonts w:ascii="Arial" w:hAnsi="Arial" w:cs="Arial"/>
                <w:sz w:val="18"/>
                <w:szCs w:val="18"/>
                <w:lang w:val="en-GB"/>
              </w:rPr>
              <w:t>, FACE, national hunting federations.</w:t>
            </w:r>
          </w:p>
        </w:tc>
        <w:tc>
          <w:tcPr>
            <w:tcW w:w="2378" w:type="dxa"/>
          </w:tcPr>
          <w:p w14:paraId="21FC467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Actions 7.1.1-7.1.4</w:t>
            </w:r>
          </w:p>
        </w:tc>
      </w:tr>
      <w:tr w:rsidR="00C96521" w:rsidRPr="006437E1" w14:paraId="21CF08D6" w14:textId="77777777" w:rsidTr="00C96521">
        <w:tc>
          <w:tcPr>
            <w:tcW w:w="2291" w:type="dxa"/>
          </w:tcPr>
          <w:p w14:paraId="0F98D3A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7.8 More robust figures for hunting tourism by [</w:t>
            </w:r>
            <w:r w:rsidRPr="006437E1">
              <w:rPr>
                <w:rFonts w:ascii="Arial" w:hAnsi="Arial" w:cs="Arial"/>
                <w:i/>
                <w:sz w:val="18"/>
                <w:szCs w:val="18"/>
                <w:lang w:val="en-GB"/>
              </w:rPr>
              <w:t>2020</w:t>
            </w:r>
            <w:r w:rsidRPr="006437E1">
              <w:rPr>
                <w:rFonts w:ascii="Arial" w:hAnsi="Arial" w:cs="Arial"/>
                <w:sz w:val="18"/>
                <w:szCs w:val="18"/>
                <w:lang w:val="en-GB"/>
              </w:rPr>
              <w:t>].</w:t>
            </w:r>
          </w:p>
        </w:tc>
        <w:tc>
          <w:tcPr>
            <w:tcW w:w="4404" w:type="dxa"/>
          </w:tcPr>
          <w:p w14:paraId="74FBA5F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7.8.1</w:t>
            </w:r>
          </w:p>
          <w:p w14:paraId="751B1D2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Collect and analyse data on hunting tourism to develop more accurate estimates of yearly take.</w:t>
            </w:r>
          </w:p>
          <w:p w14:paraId="2C3AE10D" w14:textId="77777777" w:rsidR="00C96521" w:rsidRPr="006437E1" w:rsidRDefault="00C96521" w:rsidP="00C96521">
            <w:pPr>
              <w:widowControl/>
              <w:autoSpaceDE/>
              <w:autoSpaceDN/>
              <w:adjustRightInd/>
              <w:rPr>
                <w:rFonts w:ascii="Arial" w:hAnsi="Arial" w:cs="Arial"/>
                <w:sz w:val="18"/>
                <w:szCs w:val="18"/>
                <w:lang w:val="en-GB"/>
              </w:rPr>
            </w:pPr>
          </w:p>
          <w:p w14:paraId="69D86EE3" w14:textId="77777777" w:rsidR="00C96521" w:rsidRPr="006437E1" w:rsidRDefault="00C96521" w:rsidP="00C96521">
            <w:pPr>
              <w:widowControl/>
              <w:autoSpaceDE/>
              <w:autoSpaceDN/>
              <w:adjustRightInd/>
              <w:rPr>
                <w:rFonts w:ascii="Arial" w:hAnsi="Arial" w:cs="Arial"/>
                <w:sz w:val="18"/>
                <w:szCs w:val="18"/>
                <w:lang w:val="en-GB"/>
              </w:rPr>
            </w:pPr>
          </w:p>
          <w:p w14:paraId="2F22D907" w14:textId="77777777" w:rsidR="00C96521" w:rsidRPr="006437E1" w:rsidRDefault="00C96521" w:rsidP="00C96521">
            <w:pPr>
              <w:widowControl/>
              <w:autoSpaceDE/>
              <w:autoSpaceDN/>
              <w:adjustRightInd/>
              <w:rPr>
                <w:rFonts w:ascii="Arial" w:hAnsi="Arial" w:cs="Arial"/>
                <w:sz w:val="18"/>
                <w:szCs w:val="18"/>
                <w:lang w:val="en-GB"/>
              </w:rPr>
            </w:pPr>
          </w:p>
          <w:p w14:paraId="66EC9DDC" w14:textId="77777777" w:rsidR="00C96521" w:rsidRPr="006437E1" w:rsidRDefault="00C96521" w:rsidP="00C96521">
            <w:pPr>
              <w:widowControl/>
              <w:autoSpaceDE/>
              <w:autoSpaceDN/>
              <w:adjustRightInd/>
              <w:rPr>
                <w:rFonts w:ascii="Arial" w:hAnsi="Arial" w:cs="Arial"/>
                <w:sz w:val="18"/>
                <w:szCs w:val="18"/>
                <w:lang w:val="en-GB"/>
              </w:rPr>
            </w:pPr>
          </w:p>
          <w:p w14:paraId="1E70E33B" w14:textId="77777777" w:rsidR="00C96521" w:rsidRPr="006437E1" w:rsidRDefault="00C96521" w:rsidP="00C96521">
            <w:pPr>
              <w:widowControl/>
              <w:autoSpaceDE/>
              <w:autoSpaceDN/>
              <w:adjustRightInd/>
              <w:rPr>
                <w:rFonts w:ascii="Arial" w:hAnsi="Arial" w:cs="Arial"/>
                <w:sz w:val="18"/>
                <w:szCs w:val="18"/>
                <w:lang w:val="en-GB"/>
              </w:rPr>
            </w:pPr>
          </w:p>
          <w:p w14:paraId="6BCA0DE5" w14:textId="77777777" w:rsidR="00C96521" w:rsidRPr="006437E1" w:rsidRDefault="00C96521" w:rsidP="00C96521">
            <w:pPr>
              <w:widowControl/>
              <w:autoSpaceDE/>
              <w:autoSpaceDN/>
              <w:adjustRightInd/>
              <w:rPr>
                <w:rFonts w:ascii="Arial" w:hAnsi="Arial" w:cs="Arial"/>
                <w:sz w:val="18"/>
                <w:szCs w:val="18"/>
                <w:lang w:val="en-GB"/>
              </w:rPr>
            </w:pPr>
          </w:p>
          <w:p w14:paraId="418404A0" w14:textId="77777777" w:rsidR="00C96521" w:rsidRPr="006437E1" w:rsidRDefault="00C96521" w:rsidP="00C96521">
            <w:pPr>
              <w:widowControl/>
              <w:autoSpaceDE/>
              <w:autoSpaceDN/>
              <w:adjustRightInd/>
              <w:rPr>
                <w:rFonts w:ascii="Arial" w:hAnsi="Arial" w:cs="Arial"/>
                <w:sz w:val="18"/>
                <w:szCs w:val="18"/>
                <w:lang w:val="en-GB"/>
              </w:rPr>
            </w:pPr>
          </w:p>
          <w:p w14:paraId="00B2407A" w14:textId="77777777" w:rsidR="00C96521" w:rsidRPr="006437E1" w:rsidRDefault="00C96521" w:rsidP="00C96521">
            <w:pPr>
              <w:widowControl/>
              <w:autoSpaceDE/>
              <w:autoSpaceDN/>
              <w:adjustRightInd/>
              <w:rPr>
                <w:rFonts w:ascii="Arial" w:hAnsi="Arial" w:cs="Arial"/>
                <w:sz w:val="18"/>
                <w:szCs w:val="18"/>
                <w:lang w:val="en-GB"/>
              </w:rPr>
            </w:pPr>
          </w:p>
          <w:p w14:paraId="51602D56"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w:t>
            </w:r>
          </w:p>
        </w:tc>
        <w:tc>
          <w:tcPr>
            <w:tcW w:w="1252" w:type="dxa"/>
          </w:tcPr>
          <w:p w14:paraId="71B80BB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High</w:t>
            </w:r>
          </w:p>
        </w:tc>
        <w:tc>
          <w:tcPr>
            <w:tcW w:w="1238" w:type="dxa"/>
          </w:tcPr>
          <w:p w14:paraId="3CA7529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12" w:type="dxa"/>
          </w:tcPr>
          <w:p w14:paraId="7A191BB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NATIONAL GOVERNMENTS</w:t>
            </w:r>
            <w:r w:rsidRPr="006437E1">
              <w:rPr>
                <w:rFonts w:ascii="Arial" w:hAnsi="Arial" w:cs="Arial"/>
                <w:sz w:val="18"/>
                <w:szCs w:val="18"/>
                <w:lang w:val="en-GB"/>
              </w:rPr>
              <w:t xml:space="preserve">, </w:t>
            </w:r>
            <w:r w:rsidRPr="006437E1">
              <w:rPr>
                <w:rFonts w:ascii="Arial" w:hAnsi="Arial" w:cs="Arial"/>
                <w:b/>
                <w:sz w:val="18"/>
                <w:szCs w:val="18"/>
                <w:lang w:val="en-GB"/>
              </w:rPr>
              <w:t>ACADEMIC INSTITUTIONS</w:t>
            </w:r>
            <w:r w:rsidRPr="006437E1">
              <w:rPr>
                <w:rFonts w:ascii="Arial" w:hAnsi="Arial" w:cs="Arial"/>
                <w:sz w:val="18"/>
                <w:szCs w:val="18"/>
                <w:lang w:val="en-GB"/>
              </w:rPr>
              <w:t>, FACE, national hunting federations.</w:t>
            </w:r>
          </w:p>
        </w:tc>
        <w:tc>
          <w:tcPr>
            <w:tcW w:w="2378" w:type="dxa"/>
          </w:tcPr>
          <w:p w14:paraId="3049FF2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National reports to the Berne Convention, EU Road-Map, CMS MIKT, IMPEL, National Action Plans, Nature Directives Fitness Check Guide; EU Sustainable Hunting Guide, existing tagging projects and research, reports and data from NGOs and national authorities.</w:t>
            </w:r>
          </w:p>
        </w:tc>
      </w:tr>
      <w:tr w:rsidR="00C96521" w:rsidRPr="006437E1" w14:paraId="3586FBFA" w14:textId="77777777" w:rsidTr="00C96521">
        <w:tc>
          <w:tcPr>
            <w:tcW w:w="2291" w:type="dxa"/>
            <w:vMerge w:val="restart"/>
          </w:tcPr>
          <w:p w14:paraId="1E92C905"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7.9 More robust figures for illegal killing by [</w:t>
            </w:r>
            <w:r w:rsidRPr="006437E1">
              <w:rPr>
                <w:rFonts w:ascii="Arial" w:hAnsi="Arial" w:cs="Arial"/>
                <w:i/>
                <w:sz w:val="18"/>
                <w:szCs w:val="18"/>
                <w:lang w:val="en-GB"/>
              </w:rPr>
              <w:t>2020</w:t>
            </w:r>
            <w:r w:rsidRPr="006437E1">
              <w:rPr>
                <w:rFonts w:ascii="Arial" w:hAnsi="Arial" w:cs="Arial"/>
                <w:sz w:val="18"/>
                <w:szCs w:val="18"/>
                <w:lang w:val="en-GB"/>
              </w:rPr>
              <w:t>].</w:t>
            </w:r>
          </w:p>
        </w:tc>
        <w:tc>
          <w:tcPr>
            <w:tcW w:w="4404" w:type="dxa"/>
          </w:tcPr>
          <w:p w14:paraId="00367F0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7.9.1</w:t>
            </w:r>
          </w:p>
          <w:p w14:paraId="45B45B47" w14:textId="2B3A9878"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Collect and analyse data on illegal killing of </w:t>
            </w:r>
            <w:r w:rsidR="005028F9" w:rsidRPr="006437E1">
              <w:rPr>
                <w:rFonts w:ascii="Arial" w:hAnsi="Arial" w:cs="Arial"/>
                <w:sz w:val="18"/>
                <w:szCs w:val="18"/>
                <w:lang w:val="en-GB"/>
              </w:rPr>
              <w:t>Turtle Dove</w:t>
            </w:r>
            <w:r w:rsidRPr="006437E1">
              <w:rPr>
                <w:rFonts w:ascii="Arial" w:hAnsi="Arial" w:cs="Arial"/>
                <w:sz w:val="18"/>
                <w:szCs w:val="18"/>
                <w:lang w:val="en-GB"/>
              </w:rPr>
              <w:t xml:space="preserve"> to develop more accurate estimates of yearly take.</w:t>
            </w:r>
          </w:p>
          <w:p w14:paraId="331E98EC" w14:textId="77777777" w:rsidR="00C96521" w:rsidRPr="006437E1" w:rsidRDefault="00C96521" w:rsidP="00C96521">
            <w:pPr>
              <w:widowControl/>
              <w:autoSpaceDE/>
              <w:autoSpaceDN/>
              <w:adjustRightInd/>
              <w:rPr>
                <w:rFonts w:ascii="Arial" w:hAnsi="Arial" w:cs="Arial"/>
                <w:sz w:val="18"/>
                <w:szCs w:val="18"/>
                <w:lang w:val="en-GB"/>
              </w:rPr>
            </w:pPr>
          </w:p>
          <w:p w14:paraId="37DD6DB3" w14:textId="77777777" w:rsidR="00C96521" w:rsidRPr="006437E1" w:rsidRDefault="00C96521" w:rsidP="00C96521">
            <w:pPr>
              <w:widowControl/>
              <w:autoSpaceDE/>
              <w:autoSpaceDN/>
              <w:adjustRightInd/>
              <w:rPr>
                <w:rFonts w:ascii="Arial" w:hAnsi="Arial" w:cs="Arial"/>
                <w:sz w:val="18"/>
                <w:szCs w:val="18"/>
                <w:lang w:val="en-GB"/>
              </w:rPr>
            </w:pPr>
          </w:p>
          <w:p w14:paraId="44C64F4F" w14:textId="77777777" w:rsidR="00C96521" w:rsidRPr="006437E1" w:rsidRDefault="00C96521" w:rsidP="00C96521">
            <w:pPr>
              <w:widowControl/>
              <w:autoSpaceDE/>
              <w:autoSpaceDN/>
              <w:adjustRightInd/>
              <w:rPr>
                <w:rFonts w:ascii="Arial" w:hAnsi="Arial" w:cs="Arial"/>
                <w:sz w:val="18"/>
                <w:szCs w:val="18"/>
                <w:lang w:val="en-GB"/>
              </w:rPr>
            </w:pPr>
          </w:p>
          <w:p w14:paraId="06DD5707" w14:textId="77777777" w:rsidR="00C96521" w:rsidRPr="006437E1" w:rsidRDefault="00C96521" w:rsidP="00C96521">
            <w:pPr>
              <w:widowControl/>
              <w:autoSpaceDE/>
              <w:autoSpaceDN/>
              <w:adjustRightInd/>
              <w:rPr>
                <w:rFonts w:ascii="Arial" w:hAnsi="Arial" w:cs="Arial"/>
                <w:sz w:val="18"/>
                <w:szCs w:val="18"/>
                <w:lang w:val="en-GB"/>
              </w:rPr>
            </w:pPr>
          </w:p>
          <w:p w14:paraId="74606C66" w14:textId="77777777" w:rsidR="00C96521" w:rsidRPr="006437E1" w:rsidRDefault="00C96521" w:rsidP="00C96521">
            <w:pPr>
              <w:widowControl/>
              <w:autoSpaceDE/>
              <w:autoSpaceDN/>
              <w:adjustRightInd/>
              <w:rPr>
                <w:rFonts w:ascii="Arial" w:hAnsi="Arial" w:cs="Arial"/>
                <w:sz w:val="18"/>
                <w:szCs w:val="18"/>
                <w:lang w:val="en-GB"/>
              </w:rPr>
            </w:pPr>
          </w:p>
          <w:p w14:paraId="322B827C" w14:textId="77777777" w:rsidR="00C96521" w:rsidRPr="006437E1" w:rsidRDefault="00C96521" w:rsidP="00C96521">
            <w:pPr>
              <w:widowControl/>
              <w:autoSpaceDE/>
              <w:autoSpaceDN/>
              <w:adjustRightInd/>
              <w:rPr>
                <w:rFonts w:ascii="Arial" w:hAnsi="Arial" w:cs="Arial"/>
                <w:sz w:val="18"/>
                <w:szCs w:val="18"/>
                <w:lang w:val="en-GB"/>
              </w:rPr>
            </w:pPr>
          </w:p>
          <w:p w14:paraId="4A39AB95" w14:textId="77777777" w:rsidR="00C96521" w:rsidRPr="006437E1" w:rsidRDefault="00C96521" w:rsidP="00C96521">
            <w:pPr>
              <w:widowControl/>
              <w:autoSpaceDE/>
              <w:autoSpaceDN/>
              <w:adjustRightInd/>
              <w:rPr>
                <w:rFonts w:ascii="Arial" w:hAnsi="Arial" w:cs="Arial"/>
                <w:sz w:val="18"/>
                <w:szCs w:val="18"/>
                <w:lang w:val="en-GB"/>
              </w:rPr>
            </w:pPr>
          </w:p>
          <w:p w14:paraId="2178597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w:t>
            </w:r>
          </w:p>
        </w:tc>
        <w:tc>
          <w:tcPr>
            <w:tcW w:w="1252" w:type="dxa"/>
          </w:tcPr>
          <w:p w14:paraId="210DA22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High</w:t>
            </w:r>
          </w:p>
        </w:tc>
        <w:tc>
          <w:tcPr>
            <w:tcW w:w="1238" w:type="dxa"/>
          </w:tcPr>
          <w:p w14:paraId="23132756"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Short</w:t>
            </w:r>
          </w:p>
        </w:tc>
        <w:tc>
          <w:tcPr>
            <w:tcW w:w="2612" w:type="dxa"/>
          </w:tcPr>
          <w:p w14:paraId="30D8CE4F"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NATIONAL GOVERNMENTS</w:t>
            </w:r>
            <w:r w:rsidRPr="006437E1">
              <w:rPr>
                <w:rFonts w:ascii="Arial" w:hAnsi="Arial" w:cs="Arial"/>
                <w:sz w:val="18"/>
                <w:szCs w:val="18"/>
                <w:lang w:val="en-GB"/>
              </w:rPr>
              <w:t xml:space="preserve">, </w:t>
            </w:r>
            <w:r w:rsidRPr="006437E1">
              <w:rPr>
                <w:rFonts w:ascii="Arial" w:hAnsi="Arial" w:cs="Arial"/>
                <w:b/>
                <w:sz w:val="18"/>
                <w:szCs w:val="18"/>
                <w:lang w:val="en-GB"/>
              </w:rPr>
              <w:t>ACADEMIC INSTITUTIONS</w:t>
            </w:r>
            <w:r w:rsidRPr="006437E1">
              <w:rPr>
                <w:rFonts w:ascii="Arial" w:hAnsi="Arial" w:cs="Arial"/>
                <w:sz w:val="18"/>
                <w:szCs w:val="18"/>
                <w:lang w:val="en-GB"/>
              </w:rPr>
              <w:t>, FACE, national hunting federations.</w:t>
            </w:r>
          </w:p>
        </w:tc>
        <w:tc>
          <w:tcPr>
            <w:tcW w:w="2378" w:type="dxa"/>
          </w:tcPr>
          <w:p w14:paraId="086F6BC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National reports to the Berne Convention, EU Road-Map, CMS MIKT, IMPEL, National Action Plans, Nature Directives Fitness Check Guide; EU Sustainable Hunting Guide, existing tagging projects and research, reports and data from NGOs and national authorities.</w:t>
            </w:r>
          </w:p>
        </w:tc>
      </w:tr>
      <w:tr w:rsidR="00C96521" w:rsidRPr="006437E1" w14:paraId="0D253D09" w14:textId="77777777" w:rsidTr="00C96521">
        <w:tc>
          <w:tcPr>
            <w:tcW w:w="2291" w:type="dxa"/>
            <w:vMerge/>
          </w:tcPr>
          <w:p w14:paraId="167D6643" w14:textId="77777777" w:rsidR="00C96521" w:rsidRPr="006437E1" w:rsidRDefault="00C96521" w:rsidP="00C96521">
            <w:pPr>
              <w:widowControl/>
              <w:autoSpaceDE/>
              <w:autoSpaceDN/>
              <w:adjustRightInd/>
              <w:rPr>
                <w:rFonts w:ascii="Arial" w:hAnsi="Arial" w:cs="Arial"/>
                <w:sz w:val="18"/>
                <w:szCs w:val="18"/>
                <w:lang w:val="en-GB"/>
              </w:rPr>
            </w:pPr>
          </w:p>
        </w:tc>
        <w:tc>
          <w:tcPr>
            <w:tcW w:w="4404" w:type="dxa"/>
          </w:tcPr>
          <w:p w14:paraId="63C8D3E8"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7.9.2</w:t>
            </w:r>
          </w:p>
          <w:p w14:paraId="2A7654A2" w14:textId="66B9EF9F"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Undertake a socio-economic study on the reasons that people illegally kill and the role of the turtle-dove in their lives (e</w:t>
            </w:r>
            <w:r w:rsidR="005028F9" w:rsidRPr="006437E1">
              <w:rPr>
                <w:rFonts w:ascii="Arial" w:hAnsi="Arial" w:cs="Arial"/>
                <w:sz w:val="18"/>
                <w:szCs w:val="18"/>
                <w:lang w:val="en-GB"/>
              </w:rPr>
              <w:t>.</w:t>
            </w:r>
            <w:r w:rsidRPr="006437E1">
              <w:rPr>
                <w:rFonts w:ascii="Arial" w:hAnsi="Arial" w:cs="Arial"/>
                <w:sz w:val="18"/>
                <w:szCs w:val="18"/>
                <w:lang w:val="en-GB"/>
              </w:rPr>
              <w:t>g</w:t>
            </w:r>
            <w:r w:rsidR="005028F9" w:rsidRPr="006437E1">
              <w:rPr>
                <w:rFonts w:ascii="Arial" w:hAnsi="Arial" w:cs="Arial"/>
                <w:sz w:val="18"/>
                <w:szCs w:val="18"/>
                <w:lang w:val="en-GB"/>
              </w:rPr>
              <w:t>.</w:t>
            </w:r>
            <w:r w:rsidRPr="006437E1">
              <w:rPr>
                <w:rFonts w:ascii="Arial" w:hAnsi="Arial" w:cs="Arial"/>
                <w:sz w:val="18"/>
                <w:szCs w:val="18"/>
                <w:lang w:val="en-GB"/>
              </w:rPr>
              <w:t xml:space="preserve"> their personal economy).</w:t>
            </w:r>
          </w:p>
          <w:p w14:paraId="18998D2A" w14:textId="77777777" w:rsidR="00C96521" w:rsidRPr="006437E1" w:rsidRDefault="00C96521" w:rsidP="00C96521">
            <w:pPr>
              <w:widowControl/>
              <w:autoSpaceDE/>
              <w:autoSpaceDN/>
              <w:adjustRightInd/>
              <w:rPr>
                <w:rFonts w:ascii="Arial" w:hAnsi="Arial" w:cs="Arial"/>
                <w:sz w:val="18"/>
                <w:szCs w:val="18"/>
                <w:lang w:val="en-GB"/>
              </w:rPr>
            </w:pPr>
          </w:p>
          <w:p w14:paraId="55C9549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w:t>
            </w:r>
          </w:p>
        </w:tc>
        <w:tc>
          <w:tcPr>
            <w:tcW w:w="1252" w:type="dxa"/>
          </w:tcPr>
          <w:p w14:paraId="27BEA72E"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High</w:t>
            </w:r>
          </w:p>
        </w:tc>
        <w:tc>
          <w:tcPr>
            <w:tcW w:w="1238" w:type="dxa"/>
          </w:tcPr>
          <w:p w14:paraId="58205B6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2612" w:type="dxa"/>
          </w:tcPr>
          <w:p w14:paraId="6C5ED056"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ACADEMIC INSTITUTIONS</w:t>
            </w:r>
            <w:r w:rsidRPr="006437E1">
              <w:rPr>
                <w:rFonts w:ascii="Arial" w:hAnsi="Arial" w:cs="Arial"/>
                <w:sz w:val="18"/>
                <w:szCs w:val="18"/>
                <w:lang w:val="en-GB"/>
              </w:rPr>
              <w:t>, FACE, national hunting federations, national wildlife agencies.</w:t>
            </w:r>
          </w:p>
        </w:tc>
        <w:tc>
          <w:tcPr>
            <w:tcW w:w="2378" w:type="dxa"/>
          </w:tcPr>
          <w:p w14:paraId="0C6B584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Existing literature on subsistence hunting, illegal killing.</w:t>
            </w:r>
          </w:p>
        </w:tc>
      </w:tr>
      <w:tr w:rsidR="00C96521" w:rsidRPr="006437E1" w14:paraId="5F72ADF8" w14:textId="77777777" w:rsidTr="00C96521">
        <w:tc>
          <w:tcPr>
            <w:tcW w:w="2291" w:type="dxa"/>
          </w:tcPr>
          <w:p w14:paraId="68A33512" w14:textId="0955BD69"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7.10 Understanding of the role of disease/parasites in </w:t>
            </w:r>
            <w:r w:rsidR="005028F9" w:rsidRPr="006437E1">
              <w:rPr>
                <w:rFonts w:ascii="Arial" w:hAnsi="Arial" w:cs="Arial"/>
                <w:sz w:val="18"/>
                <w:szCs w:val="18"/>
                <w:lang w:val="en-GB"/>
              </w:rPr>
              <w:t xml:space="preserve">Turtle Dove </w:t>
            </w:r>
            <w:r w:rsidRPr="006437E1">
              <w:rPr>
                <w:rFonts w:ascii="Arial" w:hAnsi="Arial" w:cs="Arial"/>
                <w:sz w:val="18"/>
                <w:szCs w:val="18"/>
                <w:lang w:val="en-GB"/>
              </w:rPr>
              <w:t>mortality by [</w:t>
            </w:r>
            <w:r w:rsidRPr="006437E1">
              <w:rPr>
                <w:rFonts w:ascii="Arial" w:hAnsi="Arial" w:cs="Arial"/>
                <w:i/>
                <w:sz w:val="18"/>
                <w:szCs w:val="18"/>
                <w:lang w:val="en-GB"/>
              </w:rPr>
              <w:t>2025</w:t>
            </w:r>
            <w:r w:rsidRPr="006437E1">
              <w:rPr>
                <w:rFonts w:ascii="Arial" w:hAnsi="Arial" w:cs="Arial"/>
                <w:sz w:val="18"/>
                <w:szCs w:val="18"/>
                <w:lang w:val="en-GB"/>
              </w:rPr>
              <w:t>].</w:t>
            </w:r>
          </w:p>
        </w:tc>
        <w:tc>
          <w:tcPr>
            <w:tcW w:w="4404" w:type="dxa"/>
          </w:tcPr>
          <w:p w14:paraId="5837D339"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7.10.1</w:t>
            </w:r>
          </w:p>
          <w:p w14:paraId="70AF09D2" w14:textId="740ADFE6"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Undertake research on the effects of disease (in particular </w:t>
            </w:r>
            <w:r w:rsidRPr="006437E1">
              <w:rPr>
                <w:rFonts w:ascii="Arial" w:hAnsi="Arial" w:cs="Arial"/>
                <w:i/>
                <w:sz w:val="18"/>
                <w:szCs w:val="18"/>
                <w:lang w:val="en-GB"/>
              </w:rPr>
              <w:t>Trichomonas gallinae</w:t>
            </w:r>
            <w:r w:rsidRPr="006437E1">
              <w:rPr>
                <w:rFonts w:ascii="Arial" w:hAnsi="Arial" w:cs="Arial"/>
                <w:sz w:val="18"/>
                <w:szCs w:val="18"/>
                <w:lang w:val="en-GB"/>
              </w:rPr>
              <w:t xml:space="preserve">) and parasites on the mortality and fitness of </w:t>
            </w:r>
            <w:r w:rsidR="005028F9" w:rsidRPr="006437E1">
              <w:rPr>
                <w:rFonts w:ascii="Arial" w:hAnsi="Arial" w:cs="Arial"/>
                <w:sz w:val="18"/>
                <w:szCs w:val="18"/>
                <w:lang w:val="en-GB"/>
              </w:rPr>
              <w:t>Turtle Doves</w:t>
            </w:r>
            <w:r w:rsidRPr="006437E1">
              <w:rPr>
                <w:rFonts w:ascii="Arial" w:hAnsi="Arial" w:cs="Arial"/>
                <w:sz w:val="18"/>
                <w:szCs w:val="18"/>
                <w:lang w:val="en-GB"/>
              </w:rPr>
              <w:t>, and whether or not there is a population-level effect.</w:t>
            </w:r>
          </w:p>
          <w:p w14:paraId="0618AE82" w14:textId="77777777" w:rsidR="00C96521" w:rsidRPr="006437E1" w:rsidRDefault="00C96521" w:rsidP="00C96521">
            <w:pPr>
              <w:widowControl/>
              <w:autoSpaceDE/>
              <w:autoSpaceDN/>
              <w:adjustRightInd/>
              <w:rPr>
                <w:rFonts w:ascii="Arial" w:hAnsi="Arial" w:cs="Arial"/>
                <w:sz w:val="18"/>
                <w:szCs w:val="18"/>
                <w:lang w:val="en-GB"/>
              </w:rPr>
            </w:pPr>
          </w:p>
          <w:p w14:paraId="7BEB766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w:t>
            </w:r>
          </w:p>
        </w:tc>
        <w:tc>
          <w:tcPr>
            <w:tcW w:w="1252" w:type="dxa"/>
          </w:tcPr>
          <w:p w14:paraId="1329808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238" w:type="dxa"/>
          </w:tcPr>
          <w:p w14:paraId="3A35208D"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2612" w:type="dxa"/>
          </w:tcPr>
          <w:p w14:paraId="232E82B6"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ACADEMIC INSTITUTIONS</w:t>
            </w:r>
            <w:r w:rsidRPr="006437E1">
              <w:rPr>
                <w:rFonts w:ascii="Arial" w:hAnsi="Arial" w:cs="Arial"/>
                <w:sz w:val="18"/>
                <w:szCs w:val="18"/>
                <w:lang w:val="en-GB"/>
              </w:rPr>
              <w:t xml:space="preserve">, </w:t>
            </w:r>
            <w:r w:rsidRPr="006437E1">
              <w:rPr>
                <w:rFonts w:ascii="Arial" w:hAnsi="Arial" w:cs="Arial"/>
                <w:b/>
                <w:sz w:val="18"/>
                <w:szCs w:val="18"/>
                <w:lang w:val="en-GB"/>
              </w:rPr>
              <w:t>CONSERVATION NGOs</w:t>
            </w:r>
            <w:r w:rsidRPr="006437E1">
              <w:rPr>
                <w:rFonts w:ascii="Arial" w:hAnsi="Arial" w:cs="Arial"/>
                <w:sz w:val="18"/>
                <w:szCs w:val="18"/>
                <w:lang w:val="en-GB"/>
              </w:rPr>
              <w:t>, national hunting federations, national wildlife agencies.</w:t>
            </w:r>
          </w:p>
        </w:tc>
        <w:tc>
          <w:tcPr>
            <w:tcW w:w="2378" w:type="dxa"/>
          </w:tcPr>
          <w:p w14:paraId="4A595084"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Rapid sampling by hunters; existing studies on disease and parasitology.</w:t>
            </w:r>
          </w:p>
        </w:tc>
      </w:tr>
      <w:tr w:rsidR="00C96521" w:rsidRPr="006437E1" w14:paraId="6EC247E2" w14:textId="77777777" w:rsidTr="00C96521">
        <w:tc>
          <w:tcPr>
            <w:tcW w:w="2291" w:type="dxa"/>
            <w:vMerge w:val="restart"/>
          </w:tcPr>
          <w:p w14:paraId="4D88F103" w14:textId="2D688D78"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7.11 Understanding of the role of poisoning in </w:t>
            </w:r>
            <w:r w:rsidR="005028F9" w:rsidRPr="006437E1">
              <w:rPr>
                <w:rFonts w:ascii="Arial" w:hAnsi="Arial" w:cs="Arial"/>
                <w:sz w:val="18"/>
                <w:szCs w:val="18"/>
                <w:lang w:val="en-GB"/>
              </w:rPr>
              <w:t xml:space="preserve">Turtle Dove </w:t>
            </w:r>
            <w:r w:rsidRPr="006437E1">
              <w:rPr>
                <w:rFonts w:ascii="Arial" w:hAnsi="Arial" w:cs="Arial"/>
                <w:sz w:val="18"/>
                <w:szCs w:val="18"/>
                <w:lang w:val="en-GB"/>
              </w:rPr>
              <w:t>mortality or productivity by [</w:t>
            </w:r>
            <w:r w:rsidRPr="006437E1">
              <w:rPr>
                <w:rFonts w:ascii="Arial" w:hAnsi="Arial" w:cs="Arial"/>
                <w:i/>
                <w:sz w:val="18"/>
                <w:szCs w:val="18"/>
                <w:lang w:val="en-GB"/>
              </w:rPr>
              <w:t>2025</w:t>
            </w:r>
            <w:r w:rsidRPr="006437E1">
              <w:rPr>
                <w:rFonts w:ascii="Arial" w:hAnsi="Arial" w:cs="Arial"/>
                <w:sz w:val="18"/>
                <w:szCs w:val="18"/>
                <w:lang w:val="en-GB"/>
              </w:rPr>
              <w:t>].</w:t>
            </w:r>
          </w:p>
        </w:tc>
        <w:tc>
          <w:tcPr>
            <w:tcW w:w="4404" w:type="dxa"/>
          </w:tcPr>
          <w:p w14:paraId="1992EBD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7.11.1</w:t>
            </w:r>
          </w:p>
          <w:p w14:paraId="346E523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Research the effects of pesticide/herbicide ingestion on mortality, fertility, and immune response.</w:t>
            </w:r>
          </w:p>
          <w:p w14:paraId="07553A9D" w14:textId="77777777" w:rsidR="00C96521" w:rsidRPr="006437E1" w:rsidRDefault="00C96521" w:rsidP="00C96521">
            <w:pPr>
              <w:widowControl/>
              <w:autoSpaceDE/>
              <w:autoSpaceDN/>
              <w:adjustRightInd/>
              <w:rPr>
                <w:rFonts w:ascii="Arial" w:hAnsi="Arial" w:cs="Arial"/>
                <w:sz w:val="18"/>
                <w:szCs w:val="18"/>
                <w:lang w:val="en-GB"/>
              </w:rPr>
            </w:pPr>
          </w:p>
          <w:p w14:paraId="6BB64DB5" w14:textId="77777777" w:rsidR="00C96521" w:rsidRPr="006437E1" w:rsidRDefault="00C96521" w:rsidP="00C96521">
            <w:pPr>
              <w:widowControl/>
              <w:autoSpaceDE/>
              <w:autoSpaceDN/>
              <w:adjustRightInd/>
              <w:rPr>
                <w:rFonts w:ascii="Arial" w:hAnsi="Arial" w:cs="Arial"/>
                <w:sz w:val="18"/>
                <w:szCs w:val="18"/>
                <w:lang w:val="en-GB"/>
              </w:rPr>
            </w:pPr>
          </w:p>
          <w:p w14:paraId="4BD00D31" w14:textId="77777777" w:rsidR="00C96521" w:rsidRPr="006437E1" w:rsidRDefault="00C96521" w:rsidP="00C96521">
            <w:pPr>
              <w:widowControl/>
              <w:autoSpaceDE/>
              <w:autoSpaceDN/>
              <w:adjustRightInd/>
              <w:rPr>
                <w:rFonts w:ascii="Arial" w:hAnsi="Arial" w:cs="Arial"/>
                <w:sz w:val="18"/>
                <w:szCs w:val="18"/>
                <w:lang w:val="en-GB"/>
              </w:rPr>
            </w:pPr>
          </w:p>
          <w:p w14:paraId="0796F522" w14:textId="77777777" w:rsidR="00C96521" w:rsidRPr="006437E1" w:rsidRDefault="00C96521" w:rsidP="00C96521">
            <w:pPr>
              <w:widowControl/>
              <w:autoSpaceDE/>
              <w:autoSpaceDN/>
              <w:adjustRightInd/>
              <w:rPr>
                <w:rFonts w:ascii="Arial" w:hAnsi="Arial" w:cs="Arial"/>
                <w:sz w:val="18"/>
                <w:szCs w:val="18"/>
                <w:lang w:val="en-GB"/>
              </w:rPr>
            </w:pPr>
          </w:p>
          <w:p w14:paraId="4546D525"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w:t>
            </w:r>
          </w:p>
        </w:tc>
        <w:tc>
          <w:tcPr>
            <w:tcW w:w="1252" w:type="dxa"/>
          </w:tcPr>
          <w:p w14:paraId="496BC455"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238" w:type="dxa"/>
          </w:tcPr>
          <w:p w14:paraId="4657CD3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2612" w:type="dxa"/>
          </w:tcPr>
          <w:p w14:paraId="3167A24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ACADEMIC INSTITUTIONS</w:t>
            </w:r>
            <w:r w:rsidRPr="006437E1">
              <w:rPr>
                <w:rFonts w:ascii="Arial" w:hAnsi="Arial" w:cs="Arial"/>
                <w:sz w:val="18"/>
                <w:szCs w:val="18"/>
                <w:lang w:val="en-GB"/>
              </w:rPr>
              <w:t xml:space="preserve">, </w:t>
            </w:r>
            <w:r w:rsidRPr="006437E1">
              <w:rPr>
                <w:rFonts w:ascii="Arial" w:hAnsi="Arial" w:cs="Arial"/>
                <w:b/>
                <w:sz w:val="18"/>
                <w:szCs w:val="18"/>
                <w:lang w:val="en-GB"/>
              </w:rPr>
              <w:t>CONSERVATION NGOs</w:t>
            </w:r>
            <w:r w:rsidRPr="006437E1">
              <w:rPr>
                <w:rFonts w:ascii="Arial" w:hAnsi="Arial" w:cs="Arial"/>
                <w:sz w:val="18"/>
                <w:szCs w:val="18"/>
                <w:lang w:val="en-GB"/>
              </w:rPr>
              <w:t>, national wildlife agencies.</w:t>
            </w:r>
          </w:p>
        </w:tc>
        <w:tc>
          <w:tcPr>
            <w:tcW w:w="2378" w:type="dxa"/>
          </w:tcPr>
          <w:p w14:paraId="6FC835B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Rapid sampling by hunters; existing studies on the effects of poisons, including lead; CMS Action Plan on Poisoning; ENEC (European Network against Environmental Crime)</w:t>
            </w:r>
          </w:p>
        </w:tc>
      </w:tr>
      <w:tr w:rsidR="00C96521" w:rsidRPr="006437E1" w14:paraId="39DADD87" w14:textId="77777777" w:rsidTr="00C96521">
        <w:tc>
          <w:tcPr>
            <w:tcW w:w="2291" w:type="dxa"/>
            <w:vMerge/>
          </w:tcPr>
          <w:p w14:paraId="2E4C9A2B" w14:textId="77777777" w:rsidR="00C96521" w:rsidRPr="006437E1" w:rsidRDefault="00C96521" w:rsidP="00C96521">
            <w:pPr>
              <w:widowControl/>
              <w:autoSpaceDE/>
              <w:autoSpaceDN/>
              <w:adjustRightInd/>
              <w:rPr>
                <w:rFonts w:ascii="Arial" w:hAnsi="Arial" w:cs="Arial"/>
                <w:sz w:val="18"/>
                <w:szCs w:val="18"/>
                <w:lang w:val="en-GB"/>
              </w:rPr>
            </w:pPr>
          </w:p>
        </w:tc>
        <w:tc>
          <w:tcPr>
            <w:tcW w:w="4404" w:type="dxa"/>
          </w:tcPr>
          <w:p w14:paraId="4BC34135"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7.11.2</w:t>
            </w:r>
          </w:p>
          <w:p w14:paraId="1CA96313"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Survey the use of pesticides and herbicides in key wintering and stop-over locations.</w:t>
            </w:r>
          </w:p>
          <w:p w14:paraId="294A9B0F" w14:textId="77777777" w:rsidR="00C96521" w:rsidRPr="006437E1" w:rsidRDefault="00C96521" w:rsidP="00C96521">
            <w:pPr>
              <w:widowControl/>
              <w:autoSpaceDE/>
              <w:autoSpaceDN/>
              <w:adjustRightInd/>
              <w:rPr>
                <w:rFonts w:ascii="Arial" w:hAnsi="Arial" w:cs="Arial"/>
                <w:sz w:val="18"/>
                <w:szCs w:val="18"/>
                <w:lang w:val="en-GB"/>
              </w:rPr>
            </w:pPr>
          </w:p>
          <w:p w14:paraId="2E2B490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mainly North and West Africa, and in particular quelea and locust control in the Sahel; key European stop-over areas.</w:t>
            </w:r>
          </w:p>
        </w:tc>
        <w:tc>
          <w:tcPr>
            <w:tcW w:w="1252" w:type="dxa"/>
          </w:tcPr>
          <w:p w14:paraId="4D9E067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Medium</w:t>
            </w:r>
          </w:p>
        </w:tc>
        <w:tc>
          <w:tcPr>
            <w:tcW w:w="1238" w:type="dxa"/>
          </w:tcPr>
          <w:p w14:paraId="426B949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Long</w:t>
            </w:r>
          </w:p>
        </w:tc>
        <w:tc>
          <w:tcPr>
            <w:tcW w:w="2612" w:type="dxa"/>
          </w:tcPr>
          <w:p w14:paraId="342F707E"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ACADEMIC INSTITUTIONS</w:t>
            </w:r>
            <w:r w:rsidRPr="006437E1">
              <w:rPr>
                <w:rFonts w:ascii="Arial" w:hAnsi="Arial" w:cs="Arial"/>
                <w:sz w:val="18"/>
                <w:szCs w:val="18"/>
                <w:lang w:val="en-GB"/>
              </w:rPr>
              <w:t xml:space="preserve">, </w:t>
            </w:r>
            <w:r w:rsidRPr="006437E1">
              <w:rPr>
                <w:rFonts w:ascii="Arial" w:hAnsi="Arial" w:cs="Arial"/>
                <w:b/>
                <w:sz w:val="18"/>
                <w:szCs w:val="18"/>
                <w:lang w:val="en-GB"/>
              </w:rPr>
              <w:t>CONSERVATION NGOs</w:t>
            </w:r>
            <w:r w:rsidRPr="006437E1">
              <w:rPr>
                <w:rFonts w:ascii="Arial" w:hAnsi="Arial" w:cs="Arial"/>
                <w:sz w:val="18"/>
                <w:szCs w:val="18"/>
                <w:lang w:val="en-GB"/>
              </w:rPr>
              <w:t>, national wildlife agencies.</w:t>
            </w:r>
          </w:p>
        </w:tc>
        <w:tc>
          <w:tcPr>
            <w:tcW w:w="2378" w:type="dxa"/>
          </w:tcPr>
          <w:p w14:paraId="1AFB683E"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CMS Guidelines on Poisoning; national databases; national and local government.</w:t>
            </w:r>
          </w:p>
        </w:tc>
      </w:tr>
      <w:tr w:rsidR="00C96521" w:rsidRPr="006437E1" w14:paraId="6997FCF7" w14:textId="77777777" w:rsidTr="00C96521">
        <w:tc>
          <w:tcPr>
            <w:tcW w:w="2291" w:type="dxa"/>
          </w:tcPr>
          <w:p w14:paraId="1C715711" w14:textId="2F1B5D4B"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7.12 Understanding of the role of collisions in </w:t>
            </w:r>
            <w:r w:rsidR="005028F9" w:rsidRPr="006437E1">
              <w:rPr>
                <w:rFonts w:ascii="Arial" w:hAnsi="Arial" w:cs="Arial"/>
                <w:sz w:val="18"/>
                <w:szCs w:val="18"/>
                <w:lang w:val="en-GB"/>
              </w:rPr>
              <w:t>Turtle Dove</w:t>
            </w:r>
            <w:r w:rsidRPr="006437E1">
              <w:rPr>
                <w:rFonts w:ascii="Arial" w:hAnsi="Arial" w:cs="Arial"/>
                <w:sz w:val="18"/>
                <w:szCs w:val="18"/>
                <w:lang w:val="en-GB"/>
              </w:rPr>
              <w:t xml:space="preserve"> mortality by [</w:t>
            </w:r>
            <w:r w:rsidRPr="006437E1">
              <w:rPr>
                <w:rFonts w:ascii="Arial" w:hAnsi="Arial" w:cs="Arial"/>
                <w:i/>
                <w:sz w:val="18"/>
                <w:szCs w:val="18"/>
                <w:lang w:val="en-GB"/>
              </w:rPr>
              <w:t>2025</w:t>
            </w:r>
            <w:r w:rsidRPr="006437E1">
              <w:rPr>
                <w:rFonts w:ascii="Arial" w:hAnsi="Arial" w:cs="Arial"/>
                <w:sz w:val="18"/>
                <w:szCs w:val="18"/>
                <w:lang w:val="en-GB"/>
              </w:rPr>
              <w:t>].</w:t>
            </w:r>
          </w:p>
        </w:tc>
        <w:tc>
          <w:tcPr>
            <w:tcW w:w="4404" w:type="dxa"/>
          </w:tcPr>
          <w:p w14:paraId="4325E48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7.12.1</w:t>
            </w:r>
          </w:p>
          <w:p w14:paraId="1FBD7945" w14:textId="029869DB"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Carry out a literature search to determine if there is any evidence that collisions with wind and electrical infrastructure could have a significant impact on </w:t>
            </w:r>
            <w:r w:rsidR="005028F9" w:rsidRPr="006437E1">
              <w:rPr>
                <w:rFonts w:ascii="Arial" w:hAnsi="Arial" w:cs="Arial"/>
                <w:sz w:val="18"/>
                <w:szCs w:val="18"/>
                <w:lang w:val="en-GB"/>
              </w:rPr>
              <w:t xml:space="preserve">Turtle Dove </w:t>
            </w:r>
            <w:r w:rsidRPr="006437E1">
              <w:rPr>
                <w:rFonts w:ascii="Arial" w:hAnsi="Arial" w:cs="Arial"/>
                <w:sz w:val="18"/>
                <w:szCs w:val="18"/>
                <w:lang w:val="en-GB"/>
              </w:rPr>
              <w:t>numbers.</w:t>
            </w:r>
          </w:p>
          <w:p w14:paraId="42E21E90" w14:textId="77777777" w:rsidR="00C96521" w:rsidRPr="006437E1" w:rsidRDefault="00C96521" w:rsidP="00C96521">
            <w:pPr>
              <w:widowControl/>
              <w:autoSpaceDE/>
              <w:autoSpaceDN/>
              <w:adjustRightInd/>
              <w:rPr>
                <w:rFonts w:ascii="Arial" w:hAnsi="Arial" w:cs="Arial"/>
                <w:sz w:val="18"/>
                <w:szCs w:val="18"/>
                <w:lang w:val="en-GB"/>
              </w:rPr>
            </w:pPr>
          </w:p>
          <w:p w14:paraId="77BB53A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w:t>
            </w:r>
          </w:p>
        </w:tc>
        <w:tc>
          <w:tcPr>
            <w:tcW w:w="1252" w:type="dxa"/>
          </w:tcPr>
          <w:p w14:paraId="68840EBE"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Low</w:t>
            </w:r>
          </w:p>
        </w:tc>
        <w:tc>
          <w:tcPr>
            <w:tcW w:w="1238" w:type="dxa"/>
          </w:tcPr>
          <w:p w14:paraId="2D368556"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Long</w:t>
            </w:r>
          </w:p>
        </w:tc>
        <w:tc>
          <w:tcPr>
            <w:tcW w:w="2612" w:type="dxa"/>
          </w:tcPr>
          <w:p w14:paraId="1FA606D1"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ACADEMIC INSTITUTIONS</w:t>
            </w:r>
            <w:r w:rsidRPr="006437E1">
              <w:rPr>
                <w:rFonts w:ascii="Arial" w:hAnsi="Arial" w:cs="Arial"/>
                <w:sz w:val="18"/>
                <w:szCs w:val="18"/>
                <w:lang w:val="en-GB"/>
              </w:rPr>
              <w:t xml:space="preserve">, </w:t>
            </w:r>
            <w:r w:rsidRPr="006437E1">
              <w:rPr>
                <w:rFonts w:ascii="Arial" w:hAnsi="Arial" w:cs="Arial"/>
                <w:b/>
                <w:sz w:val="18"/>
                <w:szCs w:val="18"/>
                <w:lang w:val="en-GB"/>
              </w:rPr>
              <w:t>CONSERVATION NGOs</w:t>
            </w:r>
            <w:r w:rsidRPr="006437E1">
              <w:rPr>
                <w:rFonts w:ascii="Arial" w:hAnsi="Arial" w:cs="Arial"/>
                <w:sz w:val="18"/>
                <w:szCs w:val="18"/>
                <w:lang w:val="en-GB"/>
              </w:rPr>
              <w:t>, national wildlife agencies.</w:t>
            </w:r>
          </w:p>
        </w:tc>
        <w:tc>
          <w:tcPr>
            <w:tcW w:w="2378" w:type="dxa"/>
          </w:tcPr>
          <w:p w14:paraId="3F6039D9"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Existing literature and databases on collisions.</w:t>
            </w:r>
          </w:p>
        </w:tc>
      </w:tr>
      <w:tr w:rsidR="00C96521" w:rsidRPr="006437E1" w14:paraId="43094799" w14:textId="77777777" w:rsidTr="00C96521">
        <w:tc>
          <w:tcPr>
            <w:tcW w:w="2291" w:type="dxa"/>
          </w:tcPr>
          <w:p w14:paraId="06D08659" w14:textId="0FC294AA"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7.13 Understanding of the role of predation in </w:t>
            </w:r>
            <w:r w:rsidR="005028F9" w:rsidRPr="006437E1">
              <w:rPr>
                <w:rFonts w:ascii="Arial" w:hAnsi="Arial" w:cs="Arial"/>
                <w:sz w:val="18"/>
                <w:szCs w:val="18"/>
                <w:lang w:val="en-GB"/>
              </w:rPr>
              <w:t>Turtle Dove</w:t>
            </w:r>
            <w:r w:rsidRPr="006437E1">
              <w:rPr>
                <w:rFonts w:ascii="Arial" w:hAnsi="Arial" w:cs="Arial"/>
                <w:sz w:val="18"/>
                <w:szCs w:val="18"/>
                <w:lang w:val="en-GB"/>
              </w:rPr>
              <w:t xml:space="preserve"> mortality by [</w:t>
            </w:r>
            <w:r w:rsidRPr="006437E1">
              <w:rPr>
                <w:rFonts w:ascii="Arial" w:hAnsi="Arial" w:cs="Arial"/>
                <w:i/>
                <w:sz w:val="18"/>
                <w:szCs w:val="18"/>
                <w:lang w:val="en-GB"/>
              </w:rPr>
              <w:t>2025</w:t>
            </w:r>
            <w:r w:rsidRPr="006437E1">
              <w:rPr>
                <w:rFonts w:ascii="Arial" w:hAnsi="Arial" w:cs="Arial"/>
                <w:sz w:val="18"/>
                <w:szCs w:val="18"/>
                <w:lang w:val="en-GB"/>
              </w:rPr>
              <w:t>].</w:t>
            </w:r>
          </w:p>
        </w:tc>
        <w:tc>
          <w:tcPr>
            <w:tcW w:w="4404" w:type="dxa"/>
          </w:tcPr>
          <w:p w14:paraId="08BEA60E"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7.13.1</w:t>
            </w:r>
          </w:p>
          <w:p w14:paraId="14F51086"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Research the effects of predation (eg snakes, invasive raccoons, cats, corvids) on turtle-dove mortality.</w:t>
            </w:r>
          </w:p>
          <w:p w14:paraId="1887A951" w14:textId="77777777" w:rsidR="00C96521" w:rsidRPr="006437E1" w:rsidRDefault="00C96521" w:rsidP="00C96521">
            <w:pPr>
              <w:widowControl/>
              <w:autoSpaceDE/>
              <w:autoSpaceDN/>
              <w:adjustRightInd/>
              <w:rPr>
                <w:rFonts w:ascii="Arial" w:hAnsi="Arial" w:cs="Arial"/>
                <w:sz w:val="18"/>
                <w:szCs w:val="18"/>
                <w:lang w:val="en-GB"/>
              </w:rPr>
            </w:pPr>
          </w:p>
          <w:p w14:paraId="27774A97"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w:t>
            </w:r>
          </w:p>
        </w:tc>
        <w:tc>
          <w:tcPr>
            <w:tcW w:w="1252" w:type="dxa"/>
          </w:tcPr>
          <w:p w14:paraId="2675453E"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Low</w:t>
            </w:r>
          </w:p>
        </w:tc>
        <w:tc>
          <w:tcPr>
            <w:tcW w:w="1238" w:type="dxa"/>
          </w:tcPr>
          <w:p w14:paraId="7BEE32D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Long</w:t>
            </w:r>
          </w:p>
        </w:tc>
        <w:tc>
          <w:tcPr>
            <w:tcW w:w="2612" w:type="dxa"/>
          </w:tcPr>
          <w:p w14:paraId="7C2046D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ACADEMIC INSTITUTIONS</w:t>
            </w:r>
            <w:r w:rsidRPr="006437E1">
              <w:rPr>
                <w:rFonts w:ascii="Arial" w:hAnsi="Arial" w:cs="Arial"/>
                <w:sz w:val="18"/>
                <w:szCs w:val="18"/>
                <w:lang w:val="en-GB"/>
              </w:rPr>
              <w:t xml:space="preserve">, </w:t>
            </w:r>
            <w:r w:rsidRPr="006437E1">
              <w:rPr>
                <w:rFonts w:ascii="Arial" w:hAnsi="Arial" w:cs="Arial"/>
                <w:b/>
                <w:sz w:val="18"/>
                <w:szCs w:val="18"/>
                <w:lang w:val="en-GB"/>
              </w:rPr>
              <w:t>CONSERVATION NGOs</w:t>
            </w:r>
            <w:r w:rsidRPr="006437E1">
              <w:rPr>
                <w:rFonts w:ascii="Arial" w:hAnsi="Arial" w:cs="Arial"/>
                <w:sz w:val="18"/>
                <w:szCs w:val="18"/>
                <w:lang w:val="en-GB"/>
              </w:rPr>
              <w:t>, national wildlife agencies.</w:t>
            </w:r>
          </w:p>
        </w:tc>
        <w:tc>
          <w:tcPr>
            <w:tcW w:w="2378" w:type="dxa"/>
          </w:tcPr>
          <w:p w14:paraId="7D4B0B9B"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Existing literature on predation.</w:t>
            </w:r>
          </w:p>
        </w:tc>
      </w:tr>
      <w:tr w:rsidR="00C96521" w:rsidRPr="006437E1" w14:paraId="555C6432" w14:textId="77777777" w:rsidTr="00C96521">
        <w:tc>
          <w:tcPr>
            <w:tcW w:w="2291" w:type="dxa"/>
          </w:tcPr>
          <w:p w14:paraId="560C9006" w14:textId="512B1FA8"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7.14 Understanding of the role of competition in </w:t>
            </w:r>
            <w:r w:rsidR="005028F9" w:rsidRPr="006437E1">
              <w:rPr>
                <w:rFonts w:ascii="Arial" w:hAnsi="Arial" w:cs="Arial"/>
                <w:sz w:val="18"/>
                <w:szCs w:val="18"/>
                <w:lang w:val="en-GB"/>
              </w:rPr>
              <w:t xml:space="preserve">Turtle Dove </w:t>
            </w:r>
            <w:r w:rsidRPr="006437E1">
              <w:rPr>
                <w:rFonts w:ascii="Arial" w:hAnsi="Arial" w:cs="Arial"/>
                <w:sz w:val="18"/>
                <w:szCs w:val="18"/>
                <w:lang w:val="en-GB"/>
              </w:rPr>
              <w:t>productivity by [</w:t>
            </w:r>
            <w:r w:rsidRPr="006437E1">
              <w:rPr>
                <w:rFonts w:ascii="Arial" w:hAnsi="Arial" w:cs="Arial"/>
                <w:i/>
                <w:sz w:val="18"/>
                <w:szCs w:val="18"/>
                <w:lang w:val="en-GB"/>
              </w:rPr>
              <w:t>2025</w:t>
            </w:r>
            <w:r w:rsidRPr="006437E1">
              <w:rPr>
                <w:rFonts w:ascii="Arial" w:hAnsi="Arial" w:cs="Arial"/>
                <w:sz w:val="18"/>
                <w:szCs w:val="18"/>
                <w:lang w:val="en-GB"/>
              </w:rPr>
              <w:t>].</w:t>
            </w:r>
          </w:p>
        </w:tc>
        <w:tc>
          <w:tcPr>
            <w:tcW w:w="4404" w:type="dxa"/>
          </w:tcPr>
          <w:p w14:paraId="3AFE0F0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Action 7.14.1</w:t>
            </w:r>
          </w:p>
          <w:p w14:paraId="3F94032B" w14:textId="49717C5E"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 xml:space="preserve">Conduct detailed analysis of evidence of competition with </w:t>
            </w:r>
            <w:r w:rsidR="005028F9" w:rsidRPr="006437E1">
              <w:rPr>
                <w:rFonts w:ascii="Arial" w:hAnsi="Arial" w:cs="Arial"/>
                <w:sz w:val="18"/>
                <w:szCs w:val="18"/>
                <w:lang w:val="en-GB"/>
              </w:rPr>
              <w:t>C</w:t>
            </w:r>
            <w:r w:rsidRPr="006437E1">
              <w:rPr>
                <w:rFonts w:ascii="Arial" w:hAnsi="Arial" w:cs="Arial"/>
                <w:sz w:val="18"/>
                <w:szCs w:val="18"/>
                <w:lang w:val="en-GB"/>
              </w:rPr>
              <w:t xml:space="preserve">ollared </w:t>
            </w:r>
            <w:r w:rsidR="005028F9" w:rsidRPr="006437E1">
              <w:rPr>
                <w:rFonts w:ascii="Arial" w:hAnsi="Arial" w:cs="Arial"/>
                <w:sz w:val="18"/>
                <w:szCs w:val="18"/>
                <w:lang w:val="en-GB"/>
              </w:rPr>
              <w:t>D</w:t>
            </w:r>
            <w:r w:rsidRPr="006437E1">
              <w:rPr>
                <w:rFonts w:ascii="Arial" w:hAnsi="Arial" w:cs="Arial"/>
                <w:sz w:val="18"/>
                <w:szCs w:val="18"/>
                <w:lang w:val="en-GB"/>
              </w:rPr>
              <w:t>ove and other species (e</w:t>
            </w:r>
            <w:r w:rsidR="005028F9" w:rsidRPr="006437E1">
              <w:rPr>
                <w:rFonts w:ascii="Arial" w:hAnsi="Arial" w:cs="Arial"/>
                <w:sz w:val="18"/>
                <w:szCs w:val="18"/>
                <w:lang w:val="en-GB"/>
              </w:rPr>
              <w:t>.</w:t>
            </w:r>
            <w:r w:rsidRPr="006437E1">
              <w:rPr>
                <w:rFonts w:ascii="Arial" w:hAnsi="Arial" w:cs="Arial"/>
                <w:sz w:val="18"/>
                <w:szCs w:val="18"/>
                <w:lang w:val="en-GB"/>
              </w:rPr>
              <w:t>g</w:t>
            </w:r>
            <w:r w:rsidR="005028F9" w:rsidRPr="006437E1">
              <w:rPr>
                <w:rFonts w:ascii="Arial" w:hAnsi="Arial" w:cs="Arial"/>
                <w:sz w:val="18"/>
                <w:szCs w:val="18"/>
                <w:lang w:val="en-GB"/>
              </w:rPr>
              <w:t>.</w:t>
            </w:r>
            <w:r w:rsidRPr="006437E1">
              <w:rPr>
                <w:rFonts w:ascii="Arial" w:hAnsi="Arial" w:cs="Arial"/>
                <w:sz w:val="18"/>
                <w:szCs w:val="18"/>
                <w:lang w:val="en-GB"/>
              </w:rPr>
              <w:t xml:space="preserve"> </w:t>
            </w:r>
            <w:r w:rsidR="005028F9" w:rsidRPr="006437E1">
              <w:rPr>
                <w:rFonts w:ascii="Arial" w:hAnsi="Arial" w:cs="Arial"/>
                <w:sz w:val="18"/>
                <w:szCs w:val="18"/>
                <w:lang w:val="en-GB"/>
              </w:rPr>
              <w:t>W</w:t>
            </w:r>
            <w:r w:rsidRPr="006437E1">
              <w:rPr>
                <w:rFonts w:ascii="Arial" w:hAnsi="Arial" w:cs="Arial"/>
                <w:sz w:val="18"/>
                <w:szCs w:val="18"/>
                <w:lang w:val="en-GB"/>
              </w:rPr>
              <w:t xml:space="preserve">ood </w:t>
            </w:r>
            <w:r w:rsidR="005028F9" w:rsidRPr="006437E1">
              <w:rPr>
                <w:rFonts w:ascii="Arial" w:hAnsi="Arial" w:cs="Arial"/>
                <w:sz w:val="18"/>
                <w:szCs w:val="18"/>
                <w:lang w:val="en-GB"/>
              </w:rPr>
              <w:t>P</w:t>
            </w:r>
            <w:r w:rsidRPr="006437E1">
              <w:rPr>
                <w:rFonts w:ascii="Arial" w:hAnsi="Arial" w:cs="Arial"/>
                <w:sz w:val="18"/>
                <w:szCs w:val="18"/>
                <w:lang w:val="en-GB"/>
              </w:rPr>
              <w:t xml:space="preserve">igeon, </w:t>
            </w:r>
            <w:r w:rsidR="005028F9" w:rsidRPr="006437E1">
              <w:rPr>
                <w:rFonts w:ascii="Arial" w:hAnsi="Arial" w:cs="Arial"/>
                <w:sz w:val="18"/>
                <w:szCs w:val="18"/>
                <w:lang w:val="en-GB"/>
              </w:rPr>
              <w:t>L</w:t>
            </w:r>
            <w:r w:rsidRPr="006437E1">
              <w:rPr>
                <w:rFonts w:ascii="Arial" w:hAnsi="Arial" w:cs="Arial"/>
                <w:sz w:val="18"/>
                <w:szCs w:val="18"/>
                <w:lang w:val="en-GB"/>
              </w:rPr>
              <w:t xml:space="preserve">aughing </w:t>
            </w:r>
            <w:r w:rsidR="005028F9" w:rsidRPr="006437E1">
              <w:rPr>
                <w:rFonts w:ascii="Arial" w:hAnsi="Arial" w:cs="Arial"/>
                <w:sz w:val="18"/>
                <w:szCs w:val="18"/>
                <w:lang w:val="en-GB"/>
              </w:rPr>
              <w:t>D</w:t>
            </w:r>
            <w:r w:rsidRPr="006437E1">
              <w:rPr>
                <w:rFonts w:ascii="Arial" w:hAnsi="Arial" w:cs="Arial"/>
                <w:sz w:val="18"/>
                <w:szCs w:val="18"/>
                <w:lang w:val="en-GB"/>
              </w:rPr>
              <w:t>ove).</w:t>
            </w:r>
          </w:p>
          <w:p w14:paraId="2C4A7139" w14:textId="77777777" w:rsidR="00C96521" w:rsidRPr="006437E1" w:rsidRDefault="00C96521" w:rsidP="00C96521">
            <w:pPr>
              <w:widowControl/>
              <w:autoSpaceDE/>
              <w:autoSpaceDN/>
              <w:adjustRightInd/>
              <w:rPr>
                <w:rFonts w:ascii="Arial" w:hAnsi="Arial" w:cs="Arial"/>
                <w:sz w:val="18"/>
                <w:szCs w:val="18"/>
                <w:lang w:val="en-GB"/>
              </w:rPr>
            </w:pPr>
          </w:p>
          <w:p w14:paraId="3EE66110"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Applicable to: all Range States.</w:t>
            </w:r>
          </w:p>
        </w:tc>
        <w:tc>
          <w:tcPr>
            <w:tcW w:w="1252" w:type="dxa"/>
          </w:tcPr>
          <w:p w14:paraId="272675FC"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Low</w:t>
            </w:r>
          </w:p>
        </w:tc>
        <w:tc>
          <w:tcPr>
            <w:tcW w:w="1238" w:type="dxa"/>
          </w:tcPr>
          <w:p w14:paraId="09890FDA"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Long</w:t>
            </w:r>
          </w:p>
        </w:tc>
        <w:tc>
          <w:tcPr>
            <w:tcW w:w="2612" w:type="dxa"/>
          </w:tcPr>
          <w:p w14:paraId="6A31E6B9"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b/>
                <w:sz w:val="18"/>
                <w:szCs w:val="18"/>
                <w:lang w:val="en-GB"/>
              </w:rPr>
              <w:t>ACADEMIC INSTITUTIONS</w:t>
            </w:r>
            <w:r w:rsidRPr="006437E1">
              <w:rPr>
                <w:rFonts w:ascii="Arial" w:hAnsi="Arial" w:cs="Arial"/>
                <w:sz w:val="18"/>
                <w:szCs w:val="18"/>
                <w:lang w:val="en-GB"/>
              </w:rPr>
              <w:t xml:space="preserve">, </w:t>
            </w:r>
            <w:r w:rsidRPr="006437E1">
              <w:rPr>
                <w:rFonts w:ascii="Arial" w:hAnsi="Arial" w:cs="Arial"/>
                <w:b/>
                <w:sz w:val="18"/>
                <w:szCs w:val="18"/>
                <w:lang w:val="en-GB"/>
              </w:rPr>
              <w:t>CONSERVATION NGOs</w:t>
            </w:r>
            <w:r w:rsidRPr="006437E1">
              <w:rPr>
                <w:rFonts w:ascii="Arial" w:hAnsi="Arial" w:cs="Arial"/>
                <w:sz w:val="18"/>
                <w:szCs w:val="18"/>
                <w:lang w:val="en-GB"/>
              </w:rPr>
              <w:t>, national wildlife agencies.</w:t>
            </w:r>
          </w:p>
        </w:tc>
        <w:tc>
          <w:tcPr>
            <w:tcW w:w="2378" w:type="dxa"/>
          </w:tcPr>
          <w:p w14:paraId="176D40D2" w14:textId="77777777" w:rsidR="00C96521" w:rsidRPr="006437E1" w:rsidRDefault="00C96521" w:rsidP="00C96521">
            <w:pPr>
              <w:widowControl/>
              <w:autoSpaceDE/>
              <w:autoSpaceDN/>
              <w:adjustRightInd/>
              <w:rPr>
                <w:rFonts w:ascii="Arial" w:hAnsi="Arial" w:cs="Arial"/>
                <w:sz w:val="18"/>
                <w:szCs w:val="18"/>
                <w:lang w:val="en-GB"/>
              </w:rPr>
            </w:pPr>
            <w:r w:rsidRPr="006437E1">
              <w:rPr>
                <w:rFonts w:ascii="Arial" w:hAnsi="Arial" w:cs="Arial"/>
                <w:sz w:val="18"/>
                <w:szCs w:val="18"/>
                <w:lang w:val="en-GB"/>
              </w:rPr>
              <w:t>Existing literature on competition.</w:t>
            </w:r>
          </w:p>
        </w:tc>
      </w:tr>
    </w:tbl>
    <w:p w14:paraId="547CBCF0" w14:textId="77777777" w:rsidR="00C96521" w:rsidRPr="00C96521" w:rsidRDefault="00C96521" w:rsidP="00C96521">
      <w:pPr>
        <w:widowControl/>
        <w:autoSpaceDE/>
        <w:autoSpaceDN/>
        <w:adjustRightInd/>
        <w:spacing w:before="120" w:line="276" w:lineRule="auto"/>
        <w:rPr>
          <w:rFonts w:eastAsia="MS Mincho" w:cs="Arial"/>
          <w:szCs w:val="18"/>
          <w:lang w:val="en-GB" w:eastAsia="ja-JP"/>
        </w:rPr>
      </w:pPr>
    </w:p>
    <w:p w14:paraId="506916CF" w14:textId="77777777" w:rsidR="00C96521" w:rsidRPr="00C96521" w:rsidRDefault="00C96521" w:rsidP="00C96521">
      <w:pPr>
        <w:widowControl/>
        <w:autoSpaceDE/>
        <w:autoSpaceDN/>
        <w:adjustRightInd/>
        <w:spacing w:line="276" w:lineRule="auto"/>
        <w:rPr>
          <w:rFonts w:eastAsia="MS Gothic"/>
          <w:b/>
          <w:bCs/>
          <w:color w:val="365F91"/>
          <w:sz w:val="32"/>
          <w:szCs w:val="28"/>
          <w:lang w:val="en-GB" w:eastAsia="ja-JP"/>
        </w:rPr>
      </w:pPr>
      <w:r w:rsidRPr="00C96521">
        <w:rPr>
          <w:rFonts w:eastAsia="MS Mincho"/>
          <w:sz w:val="20"/>
          <w:szCs w:val="22"/>
          <w:lang w:val="en-GB" w:eastAsia="ja-JP"/>
        </w:rPr>
        <w:br w:type="page"/>
      </w:r>
    </w:p>
    <w:p w14:paraId="6A9CD1F2" w14:textId="77777777" w:rsidR="00C96521" w:rsidRPr="00C96521" w:rsidRDefault="00C96521" w:rsidP="00C96521">
      <w:pPr>
        <w:keepNext/>
        <w:keepLines/>
        <w:widowControl/>
        <w:autoSpaceDE/>
        <w:autoSpaceDN/>
        <w:adjustRightInd/>
        <w:spacing w:before="480" w:line="276" w:lineRule="auto"/>
        <w:outlineLvl w:val="0"/>
        <w:rPr>
          <w:rFonts w:eastAsia="MS Gothic"/>
          <w:b/>
          <w:bCs/>
          <w:color w:val="365F91"/>
          <w:sz w:val="32"/>
          <w:szCs w:val="28"/>
          <w:lang w:val="en-GB" w:eastAsia="ja-JP"/>
        </w:rPr>
        <w:sectPr w:rsidR="00C96521" w:rsidRPr="00C96521" w:rsidSect="00C96521">
          <w:pgSz w:w="16840" w:h="11920" w:orient="landscape"/>
          <w:pgMar w:top="1300" w:right="920" w:bottom="1300" w:left="1276" w:header="730" w:footer="738" w:gutter="0"/>
          <w:cols w:space="720"/>
          <w:docGrid w:linePitch="299"/>
        </w:sectPr>
      </w:pPr>
    </w:p>
    <w:p w14:paraId="1D2F2D73" w14:textId="77777777" w:rsidR="00C96521" w:rsidRPr="00C96521" w:rsidRDefault="00C96521" w:rsidP="00C96521">
      <w:pPr>
        <w:keepNext/>
        <w:keepLines/>
        <w:widowControl/>
        <w:autoSpaceDE/>
        <w:autoSpaceDN/>
        <w:adjustRightInd/>
        <w:spacing w:before="480" w:line="276" w:lineRule="auto"/>
        <w:outlineLvl w:val="0"/>
        <w:rPr>
          <w:rFonts w:eastAsia="MS Gothic"/>
          <w:b/>
          <w:bCs/>
          <w:color w:val="365F91"/>
          <w:sz w:val="32"/>
          <w:szCs w:val="28"/>
          <w:lang w:val="en-GB" w:eastAsia="ja-JP"/>
        </w:rPr>
      </w:pPr>
      <w:bookmarkStart w:id="16" w:name="_Toc478646901"/>
      <w:r w:rsidRPr="00C96521">
        <w:rPr>
          <w:rFonts w:eastAsia="MS Gothic"/>
          <w:b/>
          <w:bCs/>
          <w:color w:val="365F91"/>
          <w:sz w:val="32"/>
          <w:szCs w:val="28"/>
          <w:lang w:val="en-GB" w:eastAsia="ja-JP"/>
        </w:rPr>
        <w:t>Annex 1 - BIOLOGICAL ASSESSMENT</w:t>
      </w:r>
      <w:bookmarkEnd w:id="16"/>
    </w:p>
    <w:p w14:paraId="35EF43E8" w14:textId="77777777" w:rsidR="00C96521" w:rsidRPr="00C96521" w:rsidRDefault="00C96521" w:rsidP="00C96521">
      <w:pPr>
        <w:keepNext/>
        <w:keepLines/>
        <w:widowControl/>
        <w:autoSpaceDE/>
        <w:autoSpaceDN/>
        <w:adjustRightInd/>
        <w:spacing w:before="200" w:line="276" w:lineRule="auto"/>
        <w:outlineLvl w:val="1"/>
        <w:rPr>
          <w:rFonts w:ascii="Cambria" w:eastAsia="MS Gothic" w:hAnsi="Cambria"/>
          <w:b/>
          <w:bCs/>
          <w:color w:val="4F81BD"/>
          <w:sz w:val="26"/>
          <w:szCs w:val="26"/>
          <w:lang w:val="en-GB" w:eastAsia="ja-JP"/>
        </w:rPr>
      </w:pPr>
      <w:bookmarkStart w:id="17" w:name="_Toc478646902"/>
      <w:r w:rsidRPr="00C96521">
        <w:rPr>
          <w:rFonts w:ascii="Cambria" w:eastAsia="MS Gothic" w:hAnsi="Cambria"/>
          <w:b/>
          <w:bCs/>
          <w:color w:val="4F81BD"/>
          <w:sz w:val="26"/>
          <w:szCs w:val="26"/>
          <w:lang w:val="en-GB" w:eastAsia="ja-JP"/>
        </w:rPr>
        <w:t>Distribution throughout the annual cycle</w:t>
      </w:r>
      <w:bookmarkEnd w:id="17"/>
      <w:r w:rsidRPr="00C96521">
        <w:rPr>
          <w:rFonts w:ascii="Cambria" w:eastAsia="MS Gothic" w:hAnsi="Cambria"/>
          <w:b/>
          <w:bCs/>
          <w:color w:val="4F81BD"/>
          <w:sz w:val="26"/>
          <w:szCs w:val="26"/>
          <w:lang w:val="en-GB" w:eastAsia="ja-JP"/>
        </w:rPr>
        <w:t xml:space="preserve"> </w:t>
      </w:r>
    </w:p>
    <w:p w14:paraId="370CFEC9"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8974741" w14:textId="2C83DEC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Capture-recapture data suggest that there are three main migratory flyways for </w:t>
      </w:r>
      <w:r w:rsidR="005028F9">
        <w:rPr>
          <w:rFonts w:eastAsia="MS Mincho"/>
          <w:sz w:val="20"/>
          <w:szCs w:val="22"/>
          <w:lang w:val="en-GB" w:eastAsia="ja-JP"/>
        </w:rPr>
        <w:t xml:space="preserve">the </w:t>
      </w:r>
      <w:r w:rsidR="005028F9" w:rsidRPr="005D4262">
        <w:rPr>
          <w:rFonts w:cs="Arial"/>
          <w:szCs w:val="18"/>
          <w:lang w:val="en-GB"/>
        </w:rPr>
        <w:t>Turtle</w:t>
      </w:r>
      <w:r w:rsidR="005028F9">
        <w:rPr>
          <w:rFonts w:cs="Arial"/>
          <w:szCs w:val="18"/>
          <w:lang w:val="en-GB"/>
        </w:rPr>
        <w:t xml:space="preserve"> D</w:t>
      </w:r>
      <w:r w:rsidR="005028F9" w:rsidRPr="005D4262">
        <w:rPr>
          <w:rFonts w:cs="Arial"/>
          <w:szCs w:val="18"/>
          <w:lang w:val="en-GB"/>
        </w:rPr>
        <w:t>ove</w:t>
      </w:r>
      <w:r w:rsidRPr="00C96521">
        <w:rPr>
          <w:rFonts w:eastAsia="MS Mincho"/>
          <w:sz w:val="20"/>
          <w:szCs w:val="22"/>
          <w:lang w:val="en-GB" w:eastAsia="ja-JP"/>
        </w:rPr>
        <w:t xml:space="preserve">: western, central and eastern European (Marx </w:t>
      </w:r>
      <w:r w:rsidRPr="00C96521">
        <w:rPr>
          <w:rFonts w:eastAsia="MS Mincho"/>
          <w:i/>
          <w:sz w:val="20"/>
          <w:szCs w:val="22"/>
          <w:lang w:val="en-GB" w:eastAsia="ja-JP"/>
        </w:rPr>
        <w:t>et al</w:t>
      </w:r>
      <w:r w:rsidRPr="00C96521">
        <w:rPr>
          <w:rFonts w:eastAsia="MS Mincho"/>
          <w:sz w:val="20"/>
          <w:szCs w:val="22"/>
          <w:lang w:val="en-GB" w:eastAsia="ja-JP"/>
        </w:rPr>
        <w:t xml:space="preserve"> 2016). A very large proportion (62-94</w:t>
      </w:r>
      <w:r w:rsidR="005028F9">
        <w:rPr>
          <w:rFonts w:eastAsia="MS Mincho"/>
          <w:sz w:val="20"/>
          <w:szCs w:val="22"/>
          <w:lang w:val="en-GB" w:eastAsia="ja-JP"/>
        </w:rPr>
        <w:t xml:space="preserve"> per cent</w:t>
      </w:r>
      <w:r w:rsidRPr="00C96521">
        <w:rPr>
          <w:rFonts w:eastAsia="MS Mincho"/>
          <w:sz w:val="20"/>
          <w:szCs w:val="22"/>
          <w:lang w:val="en-GB" w:eastAsia="ja-JP"/>
        </w:rPr>
        <w:t>) of birds breeding in France, Germany and the UK follow the western flyway, while 56</w:t>
      </w:r>
      <w:r w:rsidR="005028F9">
        <w:rPr>
          <w:rFonts w:eastAsia="MS Mincho"/>
          <w:sz w:val="20"/>
          <w:szCs w:val="22"/>
          <w:lang w:val="en-GB" w:eastAsia="ja-JP"/>
        </w:rPr>
        <w:t xml:space="preserve"> per cent</w:t>
      </w:r>
      <w:r w:rsidRPr="00C96521">
        <w:rPr>
          <w:rFonts w:eastAsia="MS Mincho"/>
          <w:sz w:val="20"/>
          <w:szCs w:val="22"/>
          <w:lang w:val="en-GB" w:eastAsia="ja-JP"/>
        </w:rPr>
        <w:t xml:space="preserve"> of birds breeding in the Czech Republic use the central flyway and 55</w:t>
      </w:r>
      <w:r w:rsidR="005028F9">
        <w:rPr>
          <w:rFonts w:eastAsia="MS Mincho"/>
          <w:sz w:val="20"/>
          <w:szCs w:val="22"/>
          <w:lang w:val="en-GB" w:eastAsia="ja-JP"/>
        </w:rPr>
        <w:t xml:space="preserve"> per cent</w:t>
      </w:r>
      <w:r w:rsidRPr="00C96521">
        <w:rPr>
          <w:rFonts w:eastAsia="MS Mincho"/>
          <w:sz w:val="20"/>
          <w:szCs w:val="22"/>
          <w:lang w:val="en-GB" w:eastAsia="ja-JP"/>
        </w:rPr>
        <w:t xml:space="preserve"> birds breeding in Hungary use the eastern flyway, with overlap between the central and eastern flyways. See Figure 4 for the distribution of these flyways.</w:t>
      </w:r>
    </w:p>
    <w:p w14:paraId="2E95411C"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EEFA75D" w14:textId="77777777" w:rsidR="00C96521" w:rsidRPr="00C96521" w:rsidRDefault="00C96521" w:rsidP="00C96521">
      <w:pPr>
        <w:widowControl/>
        <w:autoSpaceDE/>
        <w:autoSpaceDN/>
        <w:adjustRightInd/>
        <w:spacing w:line="276" w:lineRule="auto"/>
        <w:jc w:val="center"/>
        <w:rPr>
          <w:rFonts w:eastAsia="MS Mincho"/>
          <w:sz w:val="20"/>
          <w:szCs w:val="22"/>
          <w:lang w:val="en-GB" w:eastAsia="ja-JP"/>
        </w:rPr>
      </w:pPr>
      <w:r w:rsidRPr="00C96521">
        <w:rPr>
          <w:rFonts w:eastAsia="MS Mincho"/>
          <w:noProof/>
          <w:sz w:val="20"/>
          <w:szCs w:val="22"/>
        </w:rPr>
        <w:drawing>
          <wp:inline distT="0" distB="0" distL="0" distR="0" wp14:anchorId="4F9DA35D" wp14:editId="6D9107AA">
            <wp:extent cx="5010150" cy="3009447"/>
            <wp:effectExtent l="19050" t="0" r="0" b="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5010150" cy="3009447"/>
                    </a:xfrm>
                    <a:prstGeom prst="rect">
                      <a:avLst/>
                    </a:prstGeom>
                    <a:noFill/>
                    <a:ln w="9525">
                      <a:noFill/>
                      <a:miter lim="800000"/>
                      <a:headEnd/>
                      <a:tailEnd/>
                    </a:ln>
                  </pic:spPr>
                </pic:pic>
              </a:graphicData>
            </a:graphic>
          </wp:inline>
        </w:drawing>
      </w:r>
    </w:p>
    <w:p w14:paraId="3AF46C9C" w14:textId="77777777" w:rsidR="00C96521" w:rsidRPr="00C96521" w:rsidRDefault="00C96521" w:rsidP="00C96521">
      <w:pPr>
        <w:widowControl/>
        <w:autoSpaceDE/>
        <w:autoSpaceDN/>
        <w:adjustRightInd/>
        <w:spacing w:line="276" w:lineRule="auto"/>
        <w:jc w:val="center"/>
        <w:rPr>
          <w:rFonts w:eastAsia="MS Mincho"/>
          <w:sz w:val="20"/>
          <w:szCs w:val="22"/>
          <w:lang w:val="en-GB" w:eastAsia="ja-JP"/>
        </w:rPr>
      </w:pPr>
    </w:p>
    <w:p w14:paraId="4DF75DA2"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 xml:space="preserve">Figure 4. Patterns of use of turtle-doves from five different countries (Czech Republic, France, Germany, Hungary and the UK) (figure from Marx </w:t>
      </w:r>
      <w:r w:rsidRPr="00C96521">
        <w:rPr>
          <w:rFonts w:eastAsia="MS Mincho"/>
          <w:sz w:val="20"/>
          <w:szCs w:val="22"/>
          <w:lang w:val="en-GB" w:eastAsia="ja-JP"/>
        </w:rPr>
        <w:t>et al</w:t>
      </w:r>
      <w:r w:rsidRPr="00C96521">
        <w:rPr>
          <w:rFonts w:eastAsia="MS Mincho"/>
          <w:i/>
          <w:sz w:val="20"/>
          <w:szCs w:val="22"/>
          <w:lang w:val="en-GB" w:eastAsia="ja-JP"/>
        </w:rPr>
        <w:t xml:space="preserve"> 2016). Line density kernels for 70% (red), 80% (yellow) and 90% (blue) of birds.</w:t>
      </w:r>
    </w:p>
    <w:p w14:paraId="25CFFC33"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370AFD08" w14:textId="1E16E975"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The post-breeding migration towards Africa starts by the end of July and reaches its most intensive period at the end of August/beginning of September, the last birds being observed at the beginning of October (Snow and Perrins 1998). The western migratory route is across the Iberian Peninsula and Morocco, while other routes pass through Italy, Malta, Tunisia, and through Greece, Egypt, and the Middle</w:t>
      </w:r>
      <w:r w:rsidR="005028F9">
        <w:rPr>
          <w:rFonts w:eastAsia="MS Mincho" w:cs="Arial"/>
          <w:sz w:val="20"/>
          <w:szCs w:val="22"/>
          <w:lang w:val="en-GB" w:eastAsia="ja-JP"/>
        </w:rPr>
        <w:t xml:space="preserve"> </w:t>
      </w:r>
      <w:r w:rsidRPr="00C96521">
        <w:rPr>
          <w:rFonts w:eastAsia="MS Mincho" w:cs="Arial"/>
          <w:sz w:val="20"/>
          <w:szCs w:val="22"/>
          <w:lang w:val="en-GB" w:eastAsia="ja-JP"/>
        </w:rPr>
        <w:t>East (Cramp 1985, Rocha and Hidalgo 2002a). In the east, some birds are observed migrating west of the Caucasus during daylight hours, possibly suggesting an important migration route (Batumi Raptor Count 2015). The wintering area is entirely in Africa, and stretches from the 10</w:t>
      </w:r>
      <w:r w:rsidRPr="006437E1">
        <w:rPr>
          <w:rFonts w:eastAsia="MS Mincho" w:cs="Arial"/>
          <w:sz w:val="20"/>
          <w:szCs w:val="22"/>
          <w:vertAlign w:val="superscript"/>
          <w:lang w:val="en-GB" w:eastAsia="ja-JP"/>
        </w:rPr>
        <w:t>th</w:t>
      </w:r>
      <w:r w:rsidR="009E54BD">
        <w:rPr>
          <w:rFonts w:eastAsia="MS Mincho" w:cs="Arial"/>
          <w:sz w:val="20"/>
          <w:szCs w:val="22"/>
          <w:lang w:val="en-GB" w:eastAsia="ja-JP"/>
        </w:rPr>
        <w:t xml:space="preserve"> </w:t>
      </w:r>
      <w:r w:rsidRPr="00C96521">
        <w:rPr>
          <w:rFonts w:eastAsia="MS Mincho" w:cs="Arial"/>
          <w:sz w:val="20"/>
          <w:szCs w:val="22"/>
          <w:lang w:val="en-GB" w:eastAsia="ja-JP"/>
        </w:rPr>
        <w:t>parallel to the 20</w:t>
      </w:r>
      <w:r w:rsidRPr="006437E1">
        <w:rPr>
          <w:rFonts w:eastAsia="MS Mincho" w:cs="Arial"/>
          <w:sz w:val="20"/>
          <w:szCs w:val="22"/>
          <w:vertAlign w:val="superscript"/>
          <w:lang w:val="en-GB" w:eastAsia="ja-JP"/>
        </w:rPr>
        <w:t>th</w:t>
      </w:r>
      <w:r w:rsidR="009E54BD">
        <w:rPr>
          <w:rFonts w:eastAsia="MS Mincho" w:cs="Arial"/>
          <w:sz w:val="20"/>
          <w:szCs w:val="22"/>
          <w:lang w:val="en-GB" w:eastAsia="ja-JP"/>
        </w:rPr>
        <w:t xml:space="preserve"> </w:t>
      </w:r>
      <w:r w:rsidRPr="00C96521">
        <w:rPr>
          <w:rFonts w:eastAsia="MS Mincho" w:cs="Arial"/>
          <w:sz w:val="20"/>
          <w:szCs w:val="22"/>
          <w:lang w:val="en-GB" w:eastAsia="ja-JP"/>
        </w:rPr>
        <w:t xml:space="preserve">parallel North and corresponds to the Sahel-Sudan zone. </w:t>
      </w:r>
    </w:p>
    <w:p w14:paraId="3B99E0D7"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19537625" w14:textId="641A419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The western European populations migrate via the southwest of France and the Iberian Peninsula, where they are joined by birds breeding in Portugal and Spain, cross Morocco and Mauritania, and finally winter in the savannas of the western half of tropical Africa. Recent tagging and tracking studies have confirmed routes for western birds and shown that many use the south of Spain to make stopovers before arriving in North Africa and crossing the Sahara (SEO/BirdLife 2016b, Lormée </w:t>
      </w:r>
      <w:r w:rsidRPr="00C96521">
        <w:rPr>
          <w:rFonts w:eastAsia="MS Mincho" w:cs="Arial"/>
          <w:i/>
          <w:sz w:val="20"/>
          <w:szCs w:val="22"/>
          <w:lang w:val="en-GB" w:eastAsia="ja-JP"/>
        </w:rPr>
        <w:t>unpublished</w:t>
      </w:r>
      <w:r w:rsidRPr="00C96521">
        <w:rPr>
          <w:rFonts w:eastAsia="MS Mincho" w:cs="Arial"/>
          <w:sz w:val="20"/>
          <w:szCs w:val="22"/>
          <w:lang w:val="en-GB" w:eastAsia="ja-JP"/>
        </w:rPr>
        <w:t xml:space="preserve">, Lormée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2016, RSPB 2016). Senegal, </w:t>
      </w:r>
      <w:r w:rsidR="009E54BD">
        <w:rPr>
          <w:rFonts w:eastAsia="MS Mincho" w:cs="Arial"/>
          <w:sz w:val="20"/>
          <w:szCs w:val="22"/>
          <w:lang w:val="en-GB" w:eastAsia="ja-JP"/>
        </w:rPr>
        <w:t>t</w:t>
      </w:r>
      <w:r w:rsidR="009E54BD" w:rsidRPr="00C96521">
        <w:rPr>
          <w:rFonts w:eastAsia="MS Mincho" w:cs="Arial"/>
          <w:sz w:val="20"/>
          <w:szCs w:val="22"/>
          <w:lang w:val="en-GB" w:eastAsia="ja-JP"/>
        </w:rPr>
        <w:t xml:space="preserve">he </w:t>
      </w:r>
      <w:r w:rsidRPr="00C96521">
        <w:rPr>
          <w:rFonts w:eastAsia="MS Mincho" w:cs="Arial"/>
          <w:sz w:val="20"/>
          <w:szCs w:val="22"/>
          <w:lang w:val="en-GB" w:eastAsia="ja-JP"/>
        </w:rPr>
        <w:t xml:space="preserve">Gambia, Guinea Bissau, the north of Guinea </w:t>
      </w:r>
      <w:r w:rsidR="009E54BD">
        <w:rPr>
          <w:rFonts w:eastAsia="MS Mincho" w:cs="Arial"/>
          <w:sz w:val="20"/>
          <w:szCs w:val="22"/>
          <w:lang w:val="en-GB" w:eastAsia="ja-JP"/>
        </w:rPr>
        <w:t>(</w:t>
      </w:r>
      <w:r w:rsidR="009E54BD" w:rsidRPr="00C96521">
        <w:rPr>
          <w:rFonts w:eastAsia="MS Mincho" w:cs="Arial"/>
          <w:sz w:val="20"/>
          <w:szCs w:val="22"/>
          <w:lang w:val="en-GB" w:eastAsia="ja-JP"/>
        </w:rPr>
        <w:t>Conakry</w:t>
      </w:r>
      <w:r w:rsidR="009E54BD">
        <w:rPr>
          <w:rFonts w:eastAsia="MS Mincho" w:cs="Arial"/>
          <w:sz w:val="20"/>
          <w:szCs w:val="22"/>
          <w:lang w:val="en-GB" w:eastAsia="ja-JP"/>
        </w:rPr>
        <w:t>)</w:t>
      </w:r>
      <w:r w:rsidR="009E54BD" w:rsidRPr="00C96521">
        <w:rPr>
          <w:rFonts w:eastAsia="MS Mincho" w:cs="Arial"/>
          <w:sz w:val="20"/>
          <w:szCs w:val="22"/>
          <w:lang w:val="en-GB" w:eastAsia="ja-JP"/>
        </w:rPr>
        <w:t xml:space="preserve"> </w:t>
      </w:r>
      <w:r w:rsidRPr="00C96521">
        <w:rPr>
          <w:rFonts w:eastAsia="MS Mincho" w:cs="Arial"/>
          <w:sz w:val="20"/>
          <w:szCs w:val="22"/>
          <w:lang w:val="en-GB" w:eastAsia="ja-JP"/>
        </w:rPr>
        <w:t xml:space="preserve">and south-west Mali are considered to be the host countries for the greater part of these populations, but the species has also been recorded in many other African countries (southern Niger, Burkina Faso, northern Côte d’Ivoire, northern Ghana, northern Nigeria and northern Cameroon) (Aebischer 2002, Carvalho and Dias 2001, 2003). An analysis of migration routes of birds fitted with light-level geolocators in France found that the core wintering area covered western Mali, the Inner Niger Delta and the border of Mali and Mauritania while some birds are found in northern Guinea, north-west Burkina Faso and </w:t>
      </w:r>
      <w:r w:rsidR="009E54BD">
        <w:rPr>
          <w:rFonts w:eastAsia="MS Mincho" w:cs="Arial"/>
          <w:sz w:val="20"/>
          <w:szCs w:val="22"/>
          <w:lang w:val="en-GB" w:eastAsia="ja-JP"/>
        </w:rPr>
        <w:t>Cote d’Ivoire</w:t>
      </w:r>
      <w:r w:rsidRPr="00C96521">
        <w:rPr>
          <w:rFonts w:eastAsia="MS Mincho" w:cs="Arial"/>
          <w:sz w:val="20"/>
          <w:szCs w:val="22"/>
          <w:lang w:val="en-GB" w:eastAsia="ja-JP"/>
        </w:rPr>
        <w:t xml:space="preserve"> (Eraud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2013). In 2000, an estimated 22,000 </w:t>
      </w:r>
      <w:r w:rsidR="009E54BD">
        <w:rPr>
          <w:rFonts w:eastAsia="MS Mincho" w:cs="Arial"/>
          <w:sz w:val="20"/>
          <w:szCs w:val="22"/>
          <w:lang w:val="en-GB" w:eastAsia="ja-JP"/>
        </w:rPr>
        <w:t>T</w:t>
      </w:r>
      <w:r w:rsidRPr="00C96521">
        <w:rPr>
          <w:rFonts w:eastAsia="MS Mincho" w:cs="Arial"/>
          <w:sz w:val="20"/>
          <w:szCs w:val="22"/>
          <w:lang w:val="en-GB" w:eastAsia="ja-JP"/>
        </w:rPr>
        <w:t>urtle</w:t>
      </w:r>
      <w:r w:rsidR="009E54BD">
        <w:rPr>
          <w:rFonts w:eastAsia="MS Mincho" w:cs="Arial"/>
          <w:sz w:val="20"/>
          <w:szCs w:val="22"/>
          <w:lang w:val="en-GB" w:eastAsia="ja-JP"/>
        </w:rPr>
        <w:t xml:space="preserve"> D</w:t>
      </w:r>
      <w:r w:rsidRPr="00C96521">
        <w:rPr>
          <w:rFonts w:eastAsia="MS Mincho" w:cs="Arial"/>
          <w:sz w:val="20"/>
          <w:szCs w:val="22"/>
          <w:lang w:val="en-GB" w:eastAsia="ja-JP"/>
        </w:rPr>
        <w:t xml:space="preserve">oves were recorded at a site in south-east Mauritania, apparently roosting in an acacia-lined wadi adjacent to a lake (Joost Brouwer </w:t>
      </w:r>
      <w:r w:rsidRPr="00C96521">
        <w:rPr>
          <w:rFonts w:eastAsia="MS Mincho" w:cs="Arial"/>
          <w:i/>
          <w:sz w:val="20"/>
          <w:szCs w:val="22"/>
          <w:lang w:val="en-GB" w:eastAsia="ja-JP"/>
        </w:rPr>
        <w:t>pers comm</w:t>
      </w:r>
      <w:r w:rsidRPr="00C96521">
        <w:rPr>
          <w:rFonts w:eastAsia="MS Mincho" w:cs="Arial"/>
          <w:sz w:val="20"/>
          <w:szCs w:val="22"/>
          <w:lang w:val="en-GB" w:eastAsia="ja-JP"/>
        </w:rPr>
        <w:t xml:space="preserve">). In Senegal, </w:t>
      </w:r>
      <w:r w:rsidR="009E54BD">
        <w:rPr>
          <w:rFonts w:eastAsia="MS Mincho" w:cs="Arial"/>
          <w:sz w:val="20"/>
          <w:szCs w:val="22"/>
          <w:lang w:val="en-GB" w:eastAsia="ja-JP"/>
        </w:rPr>
        <w:t>T</w:t>
      </w:r>
      <w:r w:rsidR="009E54BD" w:rsidRPr="00C96521">
        <w:rPr>
          <w:rFonts w:eastAsia="MS Mincho" w:cs="Arial"/>
          <w:sz w:val="20"/>
          <w:szCs w:val="22"/>
          <w:lang w:val="en-GB" w:eastAsia="ja-JP"/>
        </w:rPr>
        <w:t>urtle</w:t>
      </w:r>
      <w:r w:rsidR="009E54BD">
        <w:rPr>
          <w:rFonts w:eastAsia="MS Mincho" w:cs="Arial"/>
          <w:sz w:val="20"/>
          <w:szCs w:val="22"/>
          <w:lang w:val="en-GB" w:eastAsia="ja-JP"/>
        </w:rPr>
        <w:t xml:space="preserve"> D</w:t>
      </w:r>
      <w:r w:rsidR="009E54BD" w:rsidRPr="00C96521">
        <w:rPr>
          <w:rFonts w:eastAsia="MS Mincho" w:cs="Arial"/>
          <w:sz w:val="20"/>
          <w:szCs w:val="22"/>
          <w:lang w:val="en-GB" w:eastAsia="ja-JP"/>
        </w:rPr>
        <w:t xml:space="preserve">oves </w:t>
      </w:r>
      <w:r w:rsidRPr="00C96521">
        <w:rPr>
          <w:rFonts w:eastAsia="MS Mincho" w:cs="Arial"/>
          <w:sz w:val="20"/>
          <w:szCs w:val="22"/>
          <w:lang w:val="en-GB" w:eastAsia="ja-JP"/>
        </w:rPr>
        <w:t xml:space="preserve">arrive from late July to August-September (Zwarts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2009). The first stops for the species in the Sahel region may be in the pastoral rather than the agricultural (cereal growing) zone (Joost Brouwer </w:t>
      </w:r>
      <w:r w:rsidRPr="00C96521">
        <w:rPr>
          <w:rFonts w:eastAsia="MS Mincho" w:cs="Arial"/>
          <w:i/>
          <w:sz w:val="20"/>
          <w:szCs w:val="22"/>
          <w:lang w:val="en-GB" w:eastAsia="ja-JP"/>
        </w:rPr>
        <w:t>pers comm</w:t>
      </w:r>
      <w:r w:rsidRPr="00C96521">
        <w:rPr>
          <w:rFonts w:eastAsia="MS Mincho" w:cs="Arial"/>
          <w:sz w:val="20"/>
          <w:szCs w:val="22"/>
          <w:lang w:val="en-GB" w:eastAsia="ja-JP"/>
        </w:rPr>
        <w:t xml:space="preserve">). In </w:t>
      </w:r>
      <w:r w:rsidR="009E54BD">
        <w:rPr>
          <w:rFonts w:eastAsia="MS Mincho" w:cs="Arial"/>
          <w:sz w:val="20"/>
          <w:szCs w:val="22"/>
          <w:lang w:val="en-GB" w:eastAsia="ja-JP"/>
        </w:rPr>
        <w:t>t</w:t>
      </w:r>
      <w:r w:rsidRPr="00C96521">
        <w:rPr>
          <w:rFonts w:eastAsia="MS Mincho" w:cs="Arial"/>
          <w:sz w:val="20"/>
          <w:szCs w:val="22"/>
          <w:lang w:val="en-GB" w:eastAsia="ja-JP"/>
        </w:rPr>
        <w:t xml:space="preserve">he Gambia, the species has been recorded in the dry season from September to May (Barlow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1997), while in Niger the species is scarce or absent even in suitable habitats (Zwarts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2009). There are very few records related to Niger on the West African Bird DataBase, and many of these consist of groups of dead birds (Giraudoux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1986, WABDaB 2016). In Cameroon, the species is found in October and November, and again in February and March (Zwarts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2009). Some individuals also winter in Morocco (Jarry 1994), but rarely in Europe. </w:t>
      </w:r>
    </w:p>
    <w:p w14:paraId="31E81B58"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306DD7C3" w14:textId="09F27F0E"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A more eastward migratory band of birds, probably mainly from Central Europe, stretches over Italy, Malta, Cyprus, Tunisia and Libya, and may winter in Sudan, Ethiopia and Chad, possibly reaching as far west as Mali and Burkina Faso (Zwarts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2009). The </w:t>
      </w:r>
      <w:r w:rsidR="009E54BD">
        <w:rPr>
          <w:rFonts w:eastAsia="MS Mincho" w:cs="Arial"/>
          <w:sz w:val="20"/>
          <w:szCs w:val="22"/>
          <w:lang w:val="en-GB" w:eastAsia="ja-JP"/>
        </w:rPr>
        <w:t>T</w:t>
      </w:r>
      <w:r w:rsidR="009E54BD" w:rsidRPr="00C96521">
        <w:rPr>
          <w:rFonts w:eastAsia="MS Mincho" w:cs="Arial"/>
          <w:sz w:val="20"/>
          <w:szCs w:val="22"/>
          <w:lang w:val="en-GB" w:eastAsia="ja-JP"/>
        </w:rPr>
        <w:t>urtle</w:t>
      </w:r>
      <w:r w:rsidR="009E54BD">
        <w:rPr>
          <w:rFonts w:eastAsia="MS Mincho" w:cs="Arial"/>
          <w:sz w:val="20"/>
          <w:szCs w:val="22"/>
          <w:lang w:val="en-GB" w:eastAsia="ja-JP"/>
        </w:rPr>
        <w:t xml:space="preserve"> Dove</w:t>
      </w:r>
      <w:r w:rsidRPr="00C96521">
        <w:rPr>
          <w:rFonts w:eastAsia="MS Mincho" w:cs="Arial"/>
          <w:sz w:val="20"/>
          <w:szCs w:val="22"/>
          <w:lang w:val="en-GB" w:eastAsia="ja-JP"/>
        </w:rPr>
        <w:t xml:space="preserve">is described as an abundant winter visitor to Sudan (Zwarts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2009). Bulgaria forms an important migratory crossroad with birds from a range of countries, including the Czech Republic, Hungary and Germany (Nankinov 1994, in Dubois 2002). At the Batumi Raptor Count in Georgia, migrating </w:t>
      </w:r>
      <w:r w:rsidR="009E54BD">
        <w:rPr>
          <w:rFonts w:eastAsia="MS Mincho" w:cs="Arial"/>
          <w:sz w:val="20"/>
          <w:szCs w:val="22"/>
          <w:lang w:val="en-GB" w:eastAsia="ja-JP"/>
        </w:rPr>
        <w:t>T</w:t>
      </w:r>
      <w:r w:rsidR="009E54BD" w:rsidRPr="00C96521">
        <w:rPr>
          <w:rFonts w:eastAsia="MS Mincho" w:cs="Arial"/>
          <w:sz w:val="20"/>
          <w:szCs w:val="22"/>
          <w:lang w:val="en-GB" w:eastAsia="ja-JP"/>
        </w:rPr>
        <w:t>urtle</w:t>
      </w:r>
      <w:r w:rsidR="009E54BD">
        <w:rPr>
          <w:rFonts w:eastAsia="MS Mincho" w:cs="Arial"/>
          <w:sz w:val="20"/>
          <w:szCs w:val="22"/>
          <w:lang w:val="en-GB" w:eastAsia="ja-JP"/>
        </w:rPr>
        <w:t xml:space="preserve"> D</w:t>
      </w:r>
      <w:r w:rsidR="009E54BD" w:rsidRPr="00C96521">
        <w:rPr>
          <w:rFonts w:eastAsia="MS Mincho" w:cs="Arial"/>
          <w:sz w:val="20"/>
          <w:szCs w:val="22"/>
          <w:lang w:val="en-GB" w:eastAsia="ja-JP"/>
        </w:rPr>
        <w:t xml:space="preserve">oves </w:t>
      </w:r>
      <w:r w:rsidRPr="00C96521">
        <w:rPr>
          <w:rFonts w:eastAsia="MS Mincho" w:cs="Arial"/>
          <w:sz w:val="20"/>
          <w:szCs w:val="22"/>
          <w:lang w:val="en-GB" w:eastAsia="ja-JP"/>
        </w:rPr>
        <w:t xml:space="preserve">numbering hundreds of individuals were observed passing through in September and October 2016, possibly suggesting an important migration route in the Caucasus (Batumi Raptor Count 2016, Raffael Ayé </w:t>
      </w:r>
      <w:r w:rsidRPr="00C96521">
        <w:rPr>
          <w:rFonts w:eastAsia="MS Mincho" w:cs="Arial"/>
          <w:i/>
          <w:sz w:val="20"/>
          <w:szCs w:val="22"/>
          <w:lang w:val="en-GB" w:eastAsia="ja-JP"/>
        </w:rPr>
        <w:t>pers comm</w:t>
      </w:r>
      <w:r w:rsidRPr="00C96521">
        <w:rPr>
          <w:rFonts w:eastAsia="MS Mincho" w:cs="Arial"/>
          <w:sz w:val="20"/>
          <w:szCs w:val="22"/>
          <w:lang w:val="en-GB" w:eastAsia="ja-JP"/>
        </w:rPr>
        <w:t xml:space="preserve">). An analysis of ringing recoveries found that </w:t>
      </w:r>
      <w:r w:rsidR="009E54BD">
        <w:rPr>
          <w:rFonts w:eastAsia="MS Mincho" w:cs="Arial"/>
          <w:sz w:val="20"/>
          <w:szCs w:val="22"/>
          <w:lang w:val="en-GB" w:eastAsia="ja-JP"/>
        </w:rPr>
        <w:t>T</w:t>
      </w:r>
      <w:r w:rsidR="009E54BD" w:rsidRPr="00C96521">
        <w:rPr>
          <w:rFonts w:eastAsia="MS Mincho" w:cs="Arial"/>
          <w:sz w:val="20"/>
          <w:szCs w:val="22"/>
          <w:lang w:val="en-GB" w:eastAsia="ja-JP"/>
        </w:rPr>
        <w:t>urtle</w:t>
      </w:r>
      <w:r w:rsidR="009E54BD">
        <w:rPr>
          <w:rFonts w:eastAsia="MS Mincho" w:cs="Arial"/>
          <w:sz w:val="20"/>
          <w:szCs w:val="22"/>
          <w:lang w:val="en-GB" w:eastAsia="ja-JP"/>
        </w:rPr>
        <w:t xml:space="preserve"> D</w:t>
      </w:r>
      <w:r w:rsidR="009E54BD" w:rsidRPr="00C96521">
        <w:rPr>
          <w:rFonts w:eastAsia="MS Mincho" w:cs="Arial"/>
          <w:sz w:val="20"/>
          <w:szCs w:val="22"/>
          <w:lang w:val="en-GB" w:eastAsia="ja-JP"/>
        </w:rPr>
        <w:t xml:space="preserve">oves </w:t>
      </w:r>
      <w:r w:rsidRPr="00C96521">
        <w:rPr>
          <w:rFonts w:eastAsia="MS Mincho" w:cs="Arial"/>
          <w:sz w:val="20"/>
          <w:szCs w:val="22"/>
          <w:lang w:val="en-GB" w:eastAsia="ja-JP"/>
        </w:rPr>
        <w:t>recovered in Malta had been ringed in a range of European countries. The largest percentage came from Italy (c</w:t>
      </w:r>
      <w:r w:rsidR="009E54BD">
        <w:rPr>
          <w:rFonts w:eastAsia="MS Mincho" w:cs="Arial"/>
          <w:sz w:val="20"/>
          <w:szCs w:val="22"/>
          <w:lang w:val="en-GB" w:eastAsia="ja-JP"/>
        </w:rPr>
        <w:t xml:space="preserve">. </w:t>
      </w:r>
      <w:r w:rsidRPr="00C96521">
        <w:rPr>
          <w:rFonts w:eastAsia="MS Mincho" w:cs="Arial"/>
          <w:sz w:val="20"/>
          <w:szCs w:val="22"/>
          <w:lang w:val="en-GB" w:eastAsia="ja-JP"/>
        </w:rPr>
        <w:t>50</w:t>
      </w:r>
      <w:r w:rsidR="009E54BD">
        <w:rPr>
          <w:rFonts w:eastAsia="MS Mincho" w:cs="Arial"/>
          <w:sz w:val="20"/>
          <w:szCs w:val="22"/>
          <w:lang w:val="en-GB" w:eastAsia="ja-JP"/>
        </w:rPr>
        <w:t xml:space="preserve"> per cent</w:t>
      </w:r>
      <w:r w:rsidRPr="00C96521">
        <w:rPr>
          <w:rFonts w:eastAsia="MS Mincho" w:cs="Arial"/>
          <w:sz w:val="20"/>
          <w:szCs w:val="22"/>
          <w:lang w:val="en-GB" w:eastAsia="ja-JP"/>
        </w:rPr>
        <w:t>), followed by the Czech Republic (c</w:t>
      </w:r>
      <w:r w:rsidR="009E54BD">
        <w:rPr>
          <w:rFonts w:eastAsia="MS Mincho" w:cs="Arial"/>
          <w:sz w:val="20"/>
          <w:szCs w:val="22"/>
          <w:lang w:val="en-GB" w:eastAsia="ja-JP"/>
        </w:rPr>
        <w:t xml:space="preserve">. </w:t>
      </w:r>
      <w:r w:rsidRPr="00C96521">
        <w:rPr>
          <w:rFonts w:eastAsia="MS Mincho" w:cs="Arial"/>
          <w:sz w:val="20"/>
          <w:szCs w:val="22"/>
          <w:lang w:val="en-GB" w:eastAsia="ja-JP"/>
        </w:rPr>
        <w:t>25</w:t>
      </w:r>
      <w:r w:rsidR="009E54BD">
        <w:rPr>
          <w:rFonts w:eastAsia="MS Mincho" w:cs="Arial"/>
          <w:sz w:val="20"/>
          <w:szCs w:val="22"/>
          <w:lang w:val="en-GB" w:eastAsia="ja-JP"/>
        </w:rPr>
        <w:t xml:space="preserve"> per cent</w:t>
      </w:r>
      <w:r w:rsidRPr="00C96521">
        <w:rPr>
          <w:rFonts w:eastAsia="MS Mincho" w:cs="Arial"/>
          <w:sz w:val="20"/>
          <w:szCs w:val="22"/>
          <w:lang w:val="en-GB" w:eastAsia="ja-JP"/>
        </w:rPr>
        <w:t>), Tunisia, Hungary, Germany, Poland, France, Croatia and Austria (Raine 2007).</w:t>
      </w:r>
    </w:p>
    <w:p w14:paraId="00FB10B0"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3ABBCFEF" w14:textId="4A3473EC"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During pre-breeding migration the first observations of the species in Europe occur in late March and early April (Gargallo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2011), getting fully underway in late April. Towards the north of the range, migration reaches its peak during the first half of May and finishes mid-June. Data from the </w:t>
      </w:r>
      <w:r w:rsidR="009E54BD" w:rsidRPr="00C96521">
        <w:rPr>
          <w:rFonts w:eastAsia="MS Mincho" w:cs="Arial"/>
          <w:sz w:val="20"/>
          <w:szCs w:val="22"/>
          <w:lang w:val="en-GB" w:eastAsia="ja-JP"/>
        </w:rPr>
        <w:t>Iberian Peninsula</w:t>
      </w:r>
      <w:r w:rsidRPr="00C96521">
        <w:rPr>
          <w:rFonts w:eastAsia="MS Mincho" w:cs="Arial"/>
          <w:sz w:val="20"/>
          <w:szCs w:val="22"/>
          <w:lang w:val="en-GB" w:eastAsia="ja-JP"/>
        </w:rPr>
        <w:t xml:space="preserve"> suggest a late arrival to the breeding grounds, based on 10-year trend for Portugal (Feith 2011, 2013) and earlier autumn departure date (Montoya and Meson 1994, Montoya 2009). In Italy, the highest value of relative abundance based on birds ringed during return migration across the Mediterranean is at the beginning of May (Macchio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1999). A fast and significant increase in wing length of birds staging on Italian islands during their northbound migration across the Mediterranean is reported between the middle of April and the end of May, suggesting the passage of birds belonging to different geographical populations (Licheri and Spina 2005). Birds ringed in a range of countries, including Sweden, the Czech Republic, the western and southern Mediterranean, and Tunisia, have been recovered in Italy (Spina and Volponi 2008). The central Mediterranean is crossed by birds heading towards Central and Eastern Europe, as confirmed by direct recoveries and recoveries during the breeding season of birds ringed on Italian islands. In the UK, evidence shows that the median annual spring arrival date has not altered (Newson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2016), but the median annual autumn departure date has become earlier by eight days, resulting in a shortening of the breeding season (Browne and Aebischer 2003b).</w:t>
      </w:r>
    </w:p>
    <w:p w14:paraId="5224CCCE"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68D1DCFD" w14:textId="31A96446"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Early studies with </w:t>
      </w:r>
      <w:r w:rsidR="009E54BD" w:rsidRPr="00C96521">
        <w:rPr>
          <w:rFonts w:eastAsia="MS Mincho" w:cs="Arial"/>
          <w:sz w:val="20"/>
          <w:szCs w:val="22"/>
          <w:lang w:val="en-GB" w:eastAsia="ja-JP"/>
        </w:rPr>
        <w:t>miniaturi</w:t>
      </w:r>
      <w:r w:rsidR="009E54BD">
        <w:rPr>
          <w:rFonts w:eastAsia="MS Mincho" w:cs="Arial"/>
          <w:sz w:val="20"/>
          <w:szCs w:val="22"/>
          <w:lang w:val="en-GB" w:eastAsia="ja-JP"/>
        </w:rPr>
        <w:t>z</w:t>
      </w:r>
      <w:r w:rsidR="009E54BD" w:rsidRPr="00C96521">
        <w:rPr>
          <w:rFonts w:eastAsia="MS Mincho" w:cs="Arial"/>
          <w:sz w:val="20"/>
          <w:szCs w:val="22"/>
          <w:lang w:val="en-GB" w:eastAsia="ja-JP"/>
        </w:rPr>
        <w:t xml:space="preserve">ed </w:t>
      </w:r>
      <w:r w:rsidRPr="00C96521">
        <w:rPr>
          <w:rFonts w:eastAsia="MS Mincho" w:cs="Arial"/>
          <w:sz w:val="20"/>
          <w:szCs w:val="22"/>
          <w:lang w:val="en-GB" w:eastAsia="ja-JP"/>
        </w:rPr>
        <w:t xml:space="preserve">light-level geolocators attached to birds confirmed that turtle-doves breeding in western Europe winter in West Africa, and may make movements of several hundreds of kilometres during the wintering season (Eraud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2013). This work also pointed to the possibility that the species undergoes a ‘loop migration’ whereby the post-breeding migration flyway is located further west than the northbound spring migration. Evidence of staging in North Africa for several weeks after crossing the Sahara also indicates that environmental conditions in these staging areas may play a pivotal role in population dynamics, for instance the quality and availability of staging posts in Central Sahara. Tracking data have also highlighted that birds use more limited areas for wintering than previously thought (Lormée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2016). Recent satellite tracking data from a bird tagged in the UK support the proposal that the species may be philopatric to both its breeding and wintering grounds (RSPB 2016).</w:t>
      </w:r>
    </w:p>
    <w:p w14:paraId="5617D42A"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6B332B91" w14:textId="26BB9F94" w:rsidR="00C96521" w:rsidRPr="00C96521" w:rsidRDefault="009E54BD" w:rsidP="00C96521">
      <w:pPr>
        <w:widowControl/>
        <w:autoSpaceDE/>
        <w:autoSpaceDN/>
        <w:adjustRightInd/>
        <w:spacing w:line="276" w:lineRule="auto"/>
        <w:rPr>
          <w:rFonts w:eastAsia="MS Mincho" w:cs="Arial"/>
          <w:sz w:val="20"/>
          <w:szCs w:val="22"/>
          <w:lang w:val="en-GB" w:eastAsia="ja-JP"/>
        </w:rPr>
      </w:pPr>
      <w:r>
        <w:rPr>
          <w:rFonts w:eastAsia="MS Mincho" w:cs="Arial"/>
          <w:sz w:val="20"/>
          <w:szCs w:val="22"/>
          <w:lang w:val="en-GB" w:eastAsia="ja-JP"/>
        </w:rPr>
        <w:t>T</w:t>
      </w:r>
      <w:r w:rsidRPr="00C96521">
        <w:rPr>
          <w:rFonts w:eastAsia="MS Mincho" w:cs="Arial"/>
          <w:sz w:val="20"/>
          <w:szCs w:val="22"/>
          <w:lang w:val="en-GB" w:eastAsia="ja-JP"/>
        </w:rPr>
        <w:t>urtle</w:t>
      </w:r>
      <w:r>
        <w:rPr>
          <w:rFonts w:eastAsia="MS Mincho" w:cs="Arial"/>
          <w:sz w:val="20"/>
          <w:szCs w:val="22"/>
          <w:lang w:val="en-GB" w:eastAsia="ja-JP"/>
        </w:rPr>
        <w:t xml:space="preserve"> D</w:t>
      </w:r>
      <w:r w:rsidRPr="00C96521">
        <w:rPr>
          <w:rFonts w:eastAsia="MS Mincho" w:cs="Arial"/>
          <w:sz w:val="20"/>
          <w:szCs w:val="22"/>
          <w:lang w:val="en-GB" w:eastAsia="ja-JP"/>
        </w:rPr>
        <w:t xml:space="preserve">oves </w:t>
      </w:r>
      <w:r w:rsidR="00C96521" w:rsidRPr="00C96521">
        <w:rPr>
          <w:rFonts w:eastAsia="MS Mincho" w:cs="Arial"/>
          <w:sz w:val="20"/>
          <w:szCs w:val="22"/>
          <w:lang w:val="en-GB" w:eastAsia="ja-JP"/>
        </w:rPr>
        <w:t xml:space="preserve">from central and eastern Europe seem to move south, possibly following a reverse loop migration, flying south-east in autumn, through the Balkans, Greece and European Turkey, and moving northwards in spring across the central Mediterranean (Spina and Volponi 2008, Lormée </w:t>
      </w:r>
      <w:r w:rsidR="00C96521" w:rsidRPr="00C96521">
        <w:rPr>
          <w:rFonts w:eastAsia="MS Mincho" w:cs="Arial"/>
          <w:i/>
          <w:sz w:val="20"/>
          <w:szCs w:val="22"/>
          <w:lang w:val="en-GB" w:eastAsia="ja-JP"/>
        </w:rPr>
        <w:t>et al</w:t>
      </w:r>
      <w:r w:rsidR="00C96521" w:rsidRPr="00C96521">
        <w:rPr>
          <w:rFonts w:eastAsia="MS Mincho" w:cs="Arial"/>
          <w:sz w:val="20"/>
          <w:szCs w:val="22"/>
          <w:lang w:val="en-GB" w:eastAsia="ja-JP"/>
        </w:rPr>
        <w:t xml:space="preserve"> 2016). Within the Mediterranean region, the northward migration generally takes place between early April and mid-May with a peak in late April (Zwarts </w:t>
      </w:r>
      <w:r w:rsidR="00C96521" w:rsidRPr="00C96521">
        <w:rPr>
          <w:rFonts w:eastAsia="MS Mincho" w:cs="Arial"/>
          <w:i/>
          <w:sz w:val="20"/>
          <w:szCs w:val="22"/>
          <w:lang w:val="en-GB" w:eastAsia="ja-JP"/>
        </w:rPr>
        <w:t>et al</w:t>
      </w:r>
      <w:r w:rsidR="00C96521" w:rsidRPr="00C96521">
        <w:rPr>
          <w:rFonts w:eastAsia="MS Mincho" w:cs="Arial"/>
          <w:sz w:val="20"/>
          <w:szCs w:val="22"/>
          <w:lang w:val="en-GB" w:eastAsia="ja-JP"/>
        </w:rPr>
        <w:t xml:space="preserve"> 2009). Those birds wintering south of </w:t>
      </w:r>
      <w:r>
        <w:rPr>
          <w:rFonts w:eastAsia="MS Mincho" w:cs="Arial"/>
          <w:sz w:val="20"/>
          <w:szCs w:val="22"/>
          <w:lang w:val="en-GB" w:eastAsia="ja-JP"/>
        </w:rPr>
        <w:t>t</w:t>
      </w:r>
      <w:r w:rsidR="00C96521" w:rsidRPr="00C96521">
        <w:rPr>
          <w:rFonts w:eastAsia="MS Mincho" w:cs="Arial"/>
          <w:sz w:val="20"/>
          <w:szCs w:val="22"/>
          <w:lang w:val="en-GB" w:eastAsia="ja-JP"/>
        </w:rPr>
        <w:t xml:space="preserve">he Gambia begin to move northwards from February heading towards northern Senegal (Zwarts </w:t>
      </w:r>
      <w:r w:rsidR="00C96521" w:rsidRPr="00C96521">
        <w:rPr>
          <w:rFonts w:eastAsia="MS Mincho" w:cs="Arial"/>
          <w:i/>
          <w:sz w:val="20"/>
          <w:szCs w:val="22"/>
          <w:lang w:val="en-GB" w:eastAsia="ja-JP"/>
        </w:rPr>
        <w:t>et al</w:t>
      </w:r>
      <w:r w:rsidR="00C96521" w:rsidRPr="00C96521">
        <w:rPr>
          <w:rFonts w:eastAsia="MS Mincho" w:cs="Arial"/>
          <w:sz w:val="20"/>
          <w:szCs w:val="22"/>
          <w:lang w:val="en-GB" w:eastAsia="ja-JP"/>
        </w:rPr>
        <w:t xml:space="preserve"> 2009). The species congregates in the very north of the Sahel (prior to the Sahel droughts, numbers may have reached several millions in the Senegal Delta) where it increases its body mass in order to be able to make what was originally considered to be a non-stop crossing of the Sahara, North Africa, the Mediterranean Sea and much of southern Europe (Zwarts </w:t>
      </w:r>
      <w:r w:rsidR="00C96521" w:rsidRPr="00C96521">
        <w:rPr>
          <w:rFonts w:eastAsia="MS Mincho" w:cs="Arial"/>
          <w:i/>
          <w:sz w:val="20"/>
          <w:szCs w:val="22"/>
          <w:lang w:val="en-GB" w:eastAsia="ja-JP"/>
        </w:rPr>
        <w:t>et al</w:t>
      </w:r>
      <w:r w:rsidR="00C96521" w:rsidRPr="00C96521">
        <w:rPr>
          <w:rFonts w:eastAsia="MS Mincho" w:cs="Arial"/>
          <w:sz w:val="20"/>
          <w:szCs w:val="22"/>
          <w:lang w:val="en-GB" w:eastAsia="ja-JP"/>
        </w:rPr>
        <w:t xml:space="preserve"> 2009). However, new information from birds tagged in France suggests that during the northbound Sahara crossing the birds take short breaks and then stop for several weeks north of the Sahara before crossing the Mediterranean Sea (Eraud </w:t>
      </w:r>
      <w:r w:rsidR="00C96521" w:rsidRPr="00C96521">
        <w:rPr>
          <w:rFonts w:eastAsia="MS Mincho" w:cs="Arial"/>
          <w:i/>
          <w:sz w:val="20"/>
          <w:szCs w:val="22"/>
          <w:lang w:val="en-GB" w:eastAsia="ja-JP"/>
        </w:rPr>
        <w:t>et al</w:t>
      </w:r>
      <w:r w:rsidR="00C96521" w:rsidRPr="00C96521">
        <w:rPr>
          <w:rFonts w:eastAsia="MS Mincho" w:cs="Arial"/>
          <w:sz w:val="20"/>
          <w:szCs w:val="22"/>
          <w:lang w:val="en-GB" w:eastAsia="ja-JP"/>
        </w:rPr>
        <w:t xml:space="preserve"> 2013). Sites in Morocco and western Algeria represent likely stopovers before the Mediterranean crossing, and the species is known to use cereal crops on agricultural land in this region where it can improve its body condition prior to the crossing. The birds may have differing spring and autumn </w:t>
      </w:r>
      <w:r w:rsidRPr="00C96521">
        <w:rPr>
          <w:rFonts w:eastAsia="MS Mincho" w:cs="Arial"/>
          <w:sz w:val="20"/>
          <w:szCs w:val="22"/>
          <w:lang w:val="en-GB" w:eastAsia="ja-JP"/>
        </w:rPr>
        <w:t>migrati</w:t>
      </w:r>
      <w:r>
        <w:rPr>
          <w:rFonts w:eastAsia="MS Mincho" w:cs="Arial"/>
          <w:sz w:val="20"/>
          <w:szCs w:val="22"/>
          <w:lang w:val="en-GB" w:eastAsia="ja-JP"/>
        </w:rPr>
        <w:t>on</w:t>
      </w:r>
      <w:r w:rsidRPr="00C96521">
        <w:rPr>
          <w:rFonts w:eastAsia="MS Mincho" w:cs="Arial"/>
          <w:sz w:val="20"/>
          <w:szCs w:val="22"/>
          <w:lang w:val="en-GB" w:eastAsia="ja-JP"/>
        </w:rPr>
        <w:t xml:space="preserve"> </w:t>
      </w:r>
      <w:r w:rsidR="00C96521" w:rsidRPr="00C96521">
        <w:rPr>
          <w:rFonts w:eastAsia="MS Mincho" w:cs="Arial"/>
          <w:sz w:val="20"/>
          <w:szCs w:val="22"/>
          <w:lang w:val="en-GB" w:eastAsia="ja-JP"/>
        </w:rPr>
        <w:t xml:space="preserve">strategies as typically more are recorded on the northward spring migration than in the autumn migration period, suggesting they may be flying at a lower altitude or flying during daylight hours more often in spring than in autumn (Zwarts </w:t>
      </w:r>
      <w:r w:rsidR="00C96521" w:rsidRPr="00C96521">
        <w:rPr>
          <w:rFonts w:eastAsia="MS Mincho" w:cs="Arial"/>
          <w:i/>
          <w:sz w:val="20"/>
          <w:szCs w:val="22"/>
          <w:lang w:val="en-GB" w:eastAsia="ja-JP"/>
        </w:rPr>
        <w:t>et al</w:t>
      </w:r>
      <w:r w:rsidR="00C96521" w:rsidRPr="00C96521">
        <w:rPr>
          <w:rFonts w:eastAsia="MS Mincho" w:cs="Arial"/>
          <w:sz w:val="20"/>
          <w:szCs w:val="22"/>
          <w:lang w:val="en-GB" w:eastAsia="ja-JP"/>
        </w:rPr>
        <w:t xml:space="preserve"> 2009). Tracking research shows that most of the migration occurs at night (Lormée </w:t>
      </w:r>
      <w:r w:rsidR="00C96521" w:rsidRPr="00C96521">
        <w:rPr>
          <w:rFonts w:eastAsia="MS Mincho" w:cs="Arial"/>
          <w:i/>
          <w:sz w:val="20"/>
          <w:szCs w:val="22"/>
          <w:lang w:val="en-GB" w:eastAsia="ja-JP"/>
        </w:rPr>
        <w:t>et al</w:t>
      </w:r>
      <w:r w:rsidR="00C96521" w:rsidRPr="00C96521">
        <w:rPr>
          <w:rFonts w:eastAsia="MS Mincho" w:cs="Arial"/>
          <w:sz w:val="20"/>
          <w:szCs w:val="22"/>
          <w:lang w:val="en-GB" w:eastAsia="ja-JP"/>
        </w:rPr>
        <w:t xml:space="preserve"> 2016).</w:t>
      </w:r>
    </w:p>
    <w:p w14:paraId="251B517D"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2411ECF9" w14:textId="0A27C86C"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cs="Arial"/>
          <w:sz w:val="20"/>
          <w:szCs w:val="22"/>
          <w:lang w:val="en-GB" w:eastAsia="ja-JP"/>
        </w:rPr>
        <w:t xml:space="preserve">Figure 5 shows the breeding and pre-breeding migration periods for </w:t>
      </w:r>
      <w:r w:rsidR="009E54BD">
        <w:rPr>
          <w:rFonts w:eastAsia="MS Mincho" w:cs="Arial"/>
          <w:sz w:val="20"/>
          <w:szCs w:val="22"/>
          <w:lang w:val="en-GB" w:eastAsia="ja-JP"/>
        </w:rPr>
        <w:t>T</w:t>
      </w:r>
      <w:r w:rsidR="009E54BD" w:rsidRPr="00C96521">
        <w:rPr>
          <w:rFonts w:eastAsia="MS Mincho" w:cs="Arial"/>
          <w:sz w:val="20"/>
          <w:szCs w:val="22"/>
          <w:lang w:val="en-GB" w:eastAsia="ja-JP"/>
        </w:rPr>
        <w:t>urtle</w:t>
      </w:r>
      <w:r w:rsidR="009E54BD">
        <w:rPr>
          <w:rFonts w:eastAsia="MS Mincho" w:cs="Arial"/>
          <w:sz w:val="20"/>
          <w:szCs w:val="22"/>
          <w:lang w:val="en-GB" w:eastAsia="ja-JP"/>
        </w:rPr>
        <w:t xml:space="preserve"> D</w:t>
      </w:r>
      <w:r w:rsidR="009E54BD" w:rsidRPr="00C96521">
        <w:rPr>
          <w:rFonts w:eastAsia="MS Mincho" w:cs="Arial"/>
          <w:sz w:val="20"/>
          <w:szCs w:val="22"/>
          <w:lang w:val="en-GB" w:eastAsia="ja-JP"/>
        </w:rPr>
        <w:t xml:space="preserve">oves </w:t>
      </w:r>
      <w:r w:rsidRPr="00C96521">
        <w:rPr>
          <w:rFonts w:eastAsia="MS Mincho" w:cs="Arial"/>
          <w:sz w:val="20"/>
          <w:szCs w:val="22"/>
          <w:lang w:val="en-GB" w:eastAsia="ja-JP"/>
        </w:rPr>
        <w:t xml:space="preserve">across the European Union. The beginning of pre-breeding migration is defined as running from the arrival of the first migrants, and breeding defined as lasting from the occupation of breeding sites (or in France, the occupation of territories by singing males) to the full flight of young birds. </w:t>
      </w:r>
    </w:p>
    <w:p w14:paraId="5EBCC7A6"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noProof/>
          <w:sz w:val="20"/>
          <w:szCs w:val="22"/>
        </w:rPr>
        <w:drawing>
          <wp:inline distT="0" distB="0" distL="0" distR="0" wp14:anchorId="6FDFFFA3" wp14:editId="7F5F0C38">
            <wp:extent cx="3906774" cy="4620513"/>
            <wp:effectExtent l="19050" t="0" r="0" b="0"/>
            <wp:docPr id="99" name="Picture 0" descr="BreedingSeas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edingSeasons.jpg"/>
                    <pic:cNvPicPr/>
                  </pic:nvPicPr>
                  <pic:blipFill>
                    <a:blip r:embed="rId36" cstate="print"/>
                    <a:stretch>
                      <a:fillRect/>
                    </a:stretch>
                  </pic:blipFill>
                  <pic:spPr>
                    <a:xfrm>
                      <a:off x="0" y="0"/>
                      <a:ext cx="3915140" cy="4630407"/>
                    </a:xfrm>
                    <a:prstGeom prst="rect">
                      <a:avLst/>
                    </a:prstGeom>
                  </pic:spPr>
                </pic:pic>
              </a:graphicData>
            </a:graphic>
          </wp:inline>
        </w:drawing>
      </w:r>
    </w:p>
    <w:p w14:paraId="0B44182E" w14:textId="77777777" w:rsidR="00C96521" w:rsidRPr="00C96521" w:rsidRDefault="00C96521" w:rsidP="00C96521">
      <w:pPr>
        <w:widowControl/>
        <w:autoSpaceDE/>
        <w:autoSpaceDN/>
        <w:adjustRightInd/>
        <w:spacing w:line="276" w:lineRule="auto"/>
        <w:rPr>
          <w:rFonts w:eastAsia="MS Mincho" w:cs="Arial"/>
          <w:i/>
          <w:sz w:val="20"/>
          <w:szCs w:val="22"/>
          <w:lang w:val="en-GB" w:eastAsia="ja-JP"/>
        </w:rPr>
      </w:pPr>
    </w:p>
    <w:p w14:paraId="4E604D44" w14:textId="578B6B8A" w:rsidR="00C96521" w:rsidRPr="00C96521" w:rsidRDefault="00C96521" w:rsidP="00C96521">
      <w:pPr>
        <w:widowControl/>
        <w:autoSpaceDE/>
        <w:autoSpaceDN/>
        <w:adjustRightInd/>
        <w:spacing w:line="276" w:lineRule="auto"/>
        <w:rPr>
          <w:rFonts w:eastAsia="MS Mincho" w:cs="Arial"/>
          <w:i/>
          <w:sz w:val="20"/>
          <w:szCs w:val="22"/>
          <w:lang w:val="en-GB" w:eastAsia="ja-JP"/>
        </w:rPr>
      </w:pPr>
      <w:r w:rsidRPr="00C96521">
        <w:rPr>
          <w:rFonts w:eastAsia="MS Mincho" w:cs="Arial"/>
          <w:i/>
          <w:sz w:val="20"/>
          <w:szCs w:val="22"/>
          <w:lang w:val="en-GB" w:eastAsia="ja-JP"/>
        </w:rPr>
        <w:t xml:space="preserve">Figure 5. Breeding season (blocked) and pre-breeding migration (starred) of </w:t>
      </w:r>
      <w:r w:rsidR="009E54BD" w:rsidRPr="006437E1">
        <w:rPr>
          <w:rFonts w:eastAsia="MS Mincho" w:cs="Arial"/>
          <w:i/>
          <w:sz w:val="20"/>
          <w:szCs w:val="22"/>
          <w:lang w:val="en-GB" w:eastAsia="ja-JP"/>
        </w:rPr>
        <w:t>Turtle Doves</w:t>
      </w:r>
      <w:r w:rsidR="009E54BD" w:rsidRPr="00C96521">
        <w:rPr>
          <w:rFonts w:eastAsia="MS Mincho" w:cs="Arial"/>
          <w:sz w:val="20"/>
          <w:szCs w:val="22"/>
          <w:lang w:val="en-GB" w:eastAsia="ja-JP"/>
        </w:rPr>
        <w:t xml:space="preserve"> </w:t>
      </w:r>
      <w:r w:rsidRPr="00C96521">
        <w:rPr>
          <w:rFonts w:eastAsia="MS Mincho" w:cs="Arial"/>
          <w:i/>
          <w:sz w:val="20"/>
          <w:szCs w:val="22"/>
          <w:lang w:val="en-GB" w:eastAsia="ja-JP"/>
        </w:rPr>
        <w:t>in EU Member States (Ireland and Sweden not included), north to south order (EU 2008). It is acknowledged that the breeding period data need to be updated in a systematic way to reflect changes in arrival and departure dates since 2008 (for example, the species now arrives in Hungary in mid-April).</w:t>
      </w:r>
    </w:p>
    <w:p w14:paraId="5F80F827" w14:textId="77777777" w:rsidR="00C96521" w:rsidRPr="00C96521" w:rsidRDefault="00C96521" w:rsidP="00C96521">
      <w:pPr>
        <w:widowControl/>
        <w:autoSpaceDE/>
        <w:autoSpaceDN/>
        <w:adjustRightInd/>
        <w:spacing w:line="276" w:lineRule="auto"/>
        <w:rPr>
          <w:rFonts w:eastAsia="MS Mincho" w:cs="Arial"/>
          <w:i/>
          <w:sz w:val="20"/>
          <w:szCs w:val="22"/>
          <w:lang w:val="en-GB" w:eastAsia="ja-JP"/>
        </w:rPr>
      </w:pPr>
    </w:p>
    <w:p w14:paraId="71BCD0D3" w14:textId="66339A00" w:rsidR="00C96521" w:rsidRPr="00C96521" w:rsidRDefault="009E54BD"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Migrat</w:t>
      </w:r>
      <w:r>
        <w:rPr>
          <w:rFonts w:eastAsia="MS Mincho" w:cs="Arial"/>
          <w:sz w:val="20"/>
          <w:szCs w:val="22"/>
          <w:lang w:val="en-GB" w:eastAsia="ja-JP"/>
        </w:rPr>
        <w:t>ion</w:t>
      </w:r>
      <w:r w:rsidRPr="00C96521">
        <w:rPr>
          <w:rFonts w:eastAsia="MS Mincho" w:cs="Arial"/>
          <w:sz w:val="20"/>
          <w:szCs w:val="22"/>
          <w:lang w:val="en-GB" w:eastAsia="ja-JP"/>
        </w:rPr>
        <w:t xml:space="preserve"> </w:t>
      </w:r>
      <w:r w:rsidR="00C96521" w:rsidRPr="00C96521">
        <w:rPr>
          <w:rFonts w:eastAsia="MS Mincho" w:cs="Arial"/>
          <w:sz w:val="20"/>
          <w:szCs w:val="22"/>
          <w:lang w:val="en-GB" w:eastAsia="ja-JP"/>
        </w:rPr>
        <w:t xml:space="preserve">movements of populations breeding in the eastern part of the range are poorly understood. Birds ringed on passage in Ukraine in August were found in the eastern Mediterranean by September (Dubois 2002). In autumn, several million individuals have been observed crossing a 100km wide area in the Bagdad region of Iraq (Dubois 2002). Birds that breed in Croatia or cross Croatia have been found in southern Italy and Malta (five recoveries in total). One juvenile was ringed on 30 August in Croatia and found 19 days later on Lampedusa, Italy (Sanja Barišić </w:t>
      </w:r>
      <w:r w:rsidR="00C96521" w:rsidRPr="00C96521">
        <w:rPr>
          <w:rFonts w:eastAsia="MS Mincho" w:cs="Arial"/>
          <w:i/>
          <w:sz w:val="20"/>
          <w:szCs w:val="22"/>
          <w:lang w:val="en-GB" w:eastAsia="ja-JP"/>
        </w:rPr>
        <w:t>pers comm</w:t>
      </w:r>
      <w:r w:rsidR="00C96521" w:rsidRPr="00C96521">
        <w:rPr>
          <w:rFonts w:eastAsia="MS Mincho" w:cs="Arial"/>
          <w:sz w:val="20"/>
          <w:szCs w:val="22"/>
          <w:lang w:val="en-GB" w:eastAsia="ja-JP"/>
        </w:rPr>
        <w:t xml:space="preserve">). Similarly, the migratory patterns of the breeding population of </w:t>
      </w:r>
      <w:r w:rsidR="00C96521" w:rsidRPr="00C96521">
        <w:rPr>
          <w:rFonts w:eastAsia="MS Mincho" w:cs="Arial"/>
          <w:i/>
          <w:sz w:val="20"/>
          <w:szCs w:val="22"/>
          <w:lang w:val="en-GB" w:eastAsia="ja-JP"/>
        </w:rPr>
        <w:t>S. t. arenicola</w:t>
      </w:r>
      <w:r w:rsidR="00C96521" w:rsidRPr="00C96521">
        <w:rPr>
          <w:rFonts w:eastAsia="MS Mincho" w:cs="Arial"/>
          <w:sz w:val="20"/>
          <w:szCs w:val="22"/>
          <w:lang w:val="en-GB" w:eastAsia="ja-JP"/>
        </w:rPr>
        <w:t xml:space="preserve"> are very poorly known, and it is not clear whether these individuals use the same wintering grounds as </w:t>
      </w:r>
      <w:r w:rsidR="00C96521" w:rsidRPr="00C96521">
        <w:rPr>
          <w:rFonts w:eastAsia="MS Mincho" w:cs="Arial"/>
          <w:i/>
          <w:sz w:val="20"/>
          <w:szCs w:val="22"/>
          <w:lang w:val="en-GB" w:eastAsia="ja-JP"/>
        </w:rPr>
        <w:t>S. t. turtur</w:t>
      </w:r>
      <w:r w:rsidR="00C96521" w:rsidRPr="00C96521">
        <w:rPr>
          <w:rFonts w:eastAsia="MS Mincho" w:cs="Arial"/>
          <w:sz w:val="20"/>
          <w:szCs w:val="22"/>
          <w:lang w:val="en-GB" w:eastAsia="ja-JP"/>
        </w:rPr>
        <w:t xml:space="preserve"> (Hanane 2017).</w:t>
      </w:r>
    </w:p>
    <w:p w14:paraId="73A414A0"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8B84691" w14:textId="77777777" w:rsidR="00C96521" w:rsidRPr="00C96521" w:rsidRDefault="00C96521" w:rsidP="00C96521">
      <w:pPr>
        <w:keepNext/>
        <w:keepLines/>
        <w:widowControl/>
        <w:autoSpaceDE/>
        <w:autoSpaceDN/>
        <w:adjustRightInd/>
        <w:spacing w:before="200" w:line="276" w:lineRule="auto"/>
        <w:outlineLvl w:val="1"/>
        <w:rPr>
          <w:rFonts w:ascii="Cambria" w:eastAsia="MS Gothic" w:hAnsi="Cambria"/>
          <w:b/>
          <w:bCs/>
          <w:color w:val="4F81BD"/>
          <w:sz w:val="26"/>
          <w:szCs w:val="26"/>
          <w:lang w:val="en-GB" w:eastAsia="ja-JP"/>
        </w:rPr>
      </w:pPr>
      <w:bookmarkStart w:id="18" w:name="_Toc478646903"/>
      <w:r w:rsidRPr="00C96521">
        <w:rPr>
          <w:rFonts w:ascii="Cambria" w:eastAsia="MS Gothic" w:hAnsi="Cambria"/>
          <w:b/>
          <w:bCs/>
          <w:color w:val="4F81BD"/>
          <w:sz w:val="26"/>
          <w:szCs w:val="26"/>
          <w:lang w:val="en-GB" w:eastAsia="ja-JP"/>
        </w:rPr>
        <w:t>Habitat requirements</w:t>
      </w:r>
      <w:bookmarkEnd w:id="18"/>
    </w:p>
    <w:p w14:paraId="50782009"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2B71E0BF" w14:textId="77892EFB"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Generally, the </w:t>
      </w:r>
      <w:r w:rsidR="009E54BD">
        <w:rPr>
          <w:rFonts w:eastAsia="MS Mincho" w:cs="Arial"/>
          <w:sz w:val="20"/>
          <w:szCs w:val="22"/>
          <w:lang w:val="en-GB" w:eastAsia="ja-JP"/>
        </w:rPr>
        <w:t>T</w:t>
      </w:r>
      <w:r w:rsidR="009E54BD" w:rsidRPr="00C96521">
        <w:rPr>
          <w:rFonts w:eastAsia="MS Mincho" w:cs="Arial"/>
          <w:sz w:val="20"/>
          <w:szCs w:val="22"/>
          <w:lang w:val="en-GB" w:eastAsia="ja-JP"/>
        </w:rPr>
        <w:t>urtle</w:t>
      </w:r>
      <w:r w:rsidR="009E54BD">
        <w:rPr>
          <w:rFonts w:eastAsia="MS Mincho" w:cs="Arial"/>
          <w:sz w:val="20"/>
          <w:szCs w:val="22"/>
          <w:lang w:val="en-GB" w:eastAsia="ja-JP"/>
        </w:rPr>
        <w:t xml:space="preserve"> Dove </w:t>
      </w:r>
      <w:r w:rsidRPr="00C96521">
        <w:rPr>
          <w:rFonts w:eastAsia="MS Mincho" w:cs="Arial"/>
          <w:sz w:val="20"/>
          <w:szCs w:val="22"/>
          <w:lang w:val="en-GB" w:eastAsia="ja-JP"/>
        </w:rPr>
        <w:t xml:space="preserve">nests in bushes/trees in landscapes with a rich, patchy habitat of open cultivated land for feeding, adjacent to wooded areas with trees and bushes in clumps (woods, copses, groves) or lines (riparian woodlands, hedges). </w:t>
      </w:r>
    </w:p>
    <w:p w14:paraId="4AC7D34E"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6F0241F5" w14:textId="660FA43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In the Mediterranean region, the </w:t>
      </w:r>
      <w:r w:rsidR="009E54BD">
        <w:rPr>
          <w:rFonts w:eastAsia="MS Mincho" w:cs="Arial"/>
          <w:sz w:val="20"/>
          <w:szCs w:val="22"/>
          <w:lang w:val="en-GB" w:eastAsia="ja-JP"/>
        </w:rPr>
        <w:t>T</w:t>
      </w:r>
      <w:r w:rsidR="009E54BD" w:rsidRPr="00C96521">
        <w:rPr>
          <w:rFonts w:eastAsia="MS Mincho" w:cs="Arial"/>
          <w:sz w:val="20"/>
          <w:szCs w:val="22"/>
          <w:lang w:val="en-GB" w:eastAsia="ja-JP"/>
        </w:rPr>
        <w:t>urtle</w:t>
      </w:r>
      <w:r w:rsidR="009E54BD">
        <w:rPr>
          <w:rFonts w:eastAsia="MS Mincho" w:cs="Arial"/>
          <w:sz w:val="20"/>
          <w:szCs w:val="22"/>
          <w:lang w:val="en-GB" w:eastAsia="ja-JP"/>
        </w:rPr>
        <w:t xml:space="preserve"> Dove</w:t>
      </w:r>
      <w:r w:rsidR="009E54BD" w:rsidRPr="00C96521">
        <w:rPr>
          <w:rFonts w:eastAsia="MS Mincho" w:cs="Arial"/>
          <w:sz w:val="20"/>
          <w:szCs w:val="22"/>
          <w:lang w:val="en-GB" w:eastAsia="ja-JP"/>
        </w:rPr>
        <w:t xml:space="preserve"> </w:t>
      </w:r>
      <w:r w:rsidRPr="00C96521">
        <w:rPr>
          <w:rFonts w:eastAsia="MS Mincho" w:cs="Arial"/>
          <w:sz w:val="20"/>
          <w:szCs w:val="22"/>
          <w:lang w:val="en-GB" w:eastAsia="ja-JP"/>
        </w:rPr>
        <w:t xml:space="preserve">may use a range of habitat types including woodland and orchards (Dias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2013). In the Iberian Peninsula, birds appear to prefer olive (</w:t>
      </w:r>
      <w:r w:rsidRPr="00C96521">
        <w:rPr>
          <w:rFonts w:eastAsia="MS Mincho" w:cs="Arial"/>
          <w:i/>
          <w:sz w:val="20"/>
          <w:szCs w:val="22"/>
          <w:lang w:val="en-GB" w:eastAsia="ja-JP"/>
        </w:rPr>
        <w:t>Olea europaea</w:t>
      </w:r>
      <w:r w:rsidRPr="00C96521">
        <w:rPr>
          <w:rFonts w:eastAsia="MS Mincho" w:cs="Arial"/>
          <w:sz w:val="20"/>
          <w:szCs w:val="22"/>
          <w:lang w:val="en-GB" w:eastAsia="ja-JP"/>
        </w:rPr>
        <w:t>) trees and evergreen/holm oak (</w:t>
      </w:r>
      <w:r w:rsidRPr="00C96521">
        <w:rPr>
          <w:rFonts w:eastAsia="MS Mincho" w:cs="Arial"/>
          <w:i/>
          <w:sz w:val="20"/>
          <w:szCs w:val="22"/>
          <w:lang w:val="en-GB" w:eastAsia="ja-JP"/>
        </w:rPr>
        <w:t>Quercus ilex</w:t>
      </w:r>
      <w:r w:rsidRPr="00C96521">
        <w:rPr>
          <w:rFonts w:eastAsia="MS Mincho" w:cs="Arial"/>
          <w:sz w:val="20"/>
          <w:szCs w:val="22"/>
          <w:lang w:val="en-GB" w:eastAsia="ja-JP"/>
        </w:rPr>
        <w:t xml:space="preserve">) (Icona 1989) over intensive orchards (Purroy 1997), abundance decreasing as cover increases, with abundance lower on open farmland owing to a scarcity of nesting sites (de Buruaga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2012). Abundance is also positively correlated to tree cover, particularly broadleaved forests and pine stands without woody understory, to cover by permanent crops, and to the density of woody linear habitats (Dias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2013). In Spain, a greater number of wild seed species was found in the diet in contrast to previous studies performed in farmland. </w:t>
      </w:r>
      <w:r w:rsidRPr="00C96521">
        <w:rPr>
          <w:rFonts w:eastAsia="MS Mincho" w:cs="Arial"/>
          <w:i/>
          <w:iCs/>
          <w:sz w:val="20"/>
          <w:szCs w:val="22"/>
          <w:lang w:val="en-GB" w:eastAsia="ja-JP"/>
        </w:rPr>
        <w:t>Echium plantagineum</w:t>
      </w:r>
      <w:r w:rsidRPr="00C96521">
        <w:rPr>
          <w:rFonts w:eastAsia="MS Mincho" w:cs="Arial"/>
          <w:sz w:val="20"/>
          <w:szCs w:val="22"/>
          <w:lang w:val="en-GB" w:eastAsia="ja-JP"/>
        </w:rPr>
        <w:t xml:space="preserve"> and </w:t>
      </w:r>
      <w:r w:rsidRPr="00C96521">
        <w:rPr>
          <w:rFonts w:eastAsia="MS Mincho" w:cs="Arial"/>
          <w:i/>
          <w:iCs/>
          <w:sz w:val="20"/>
          <w:szCs w:val="22"/>
          <w:lang w:val="en-GB" w:eastAsia="ja-JP"/>
        </w:rPr>
        <w:t>Amaranthus deflexus</w:t>
      </w:r>
      <w:r w:rsidRPr="00C96521">
        <w:rPr>
          <w:rFonts w:eastAsia="MS Mincho" w:cs="Arial"/>
          <w:sz w:val="20"/>
          <w:szCs w:val="22"/>
          <w:lang w:val="en-GB" w:eastAsia="ja-JP"/>
        </w:rPr>
        <w:t xml:space="preserve"> could be important seed sources for turtle-doves in Mediterranean forest. Additionally, herbaceous species whose seeds ripen earlier in the season may play an important role in turtle-dove reproductive performance, since they are frequently the only food sources available in the first half of the breeding season </w:t>
      </w:r>
      <w:r w:rsidRPr="00C96521">
        <w:rPr>
          <w:rFonts w:eastAsia="MS Mincho" w:cs="Arial"/>
          <w:sz w:val="20"/>
          <w:szCs w:val="20"/>
          <w:lang w:val="en-GB" w:eastAsia="ja-JP"/>
        </w:rPr>
        <w:t>(Gutiérrez-Galán and Alonso 2016)</w:t>
      </w:r>
      <w:r w:rsidRPr="00C96521">
        <w:rPr>
          <w:rFonts w:ascii="AdvOT46dcae81" w:eastAsia="MS Mincho" w:hAnsi="AdvOT46dcae81" w:cs="AdvOT46dcae81"/>
          <w:sz w:val="20"/>
          <w:szCs w:val="20"/>
          <w:lang w:val="en-GB" w:eastAsia="es-ES"/>
        </w:rPr>
        <w:t xml:space="preserve">. </w:t>
      </w:r>
      <w:r w:rsidRPr="00C96521">
        <w:rPr>
          <w:rFonts w:eastAsia="MS Mincho" w:cs="Arial"/>
          <w:sz w:val="20"/>
          <w:szCs w:val="22"/>
          <w:lang w:val="en-GB" w:eastAsia="ja-JP"/>
        </w:rPr>
        <w:t>In north-eastern Greece, the species prefers breeding in forest stands with a high density of medium-sized pines (</w:t>
      </w:r>
      <w:r w:rsidRPr="00C96521">
        <w:rPr>
          <w:rFonts w:eastAsia="MS Mincho" w:cs="Arial"/>
          <w:i/>
          <w:sz w:val="20"/>
          <w:szCs w:val="22"/>
          <w:lang w:val="en-GB" w:eastAsia="ja-JP"/>
        </w:rPr>
        <w:t>Pinus sp</w:t>
      </w:r>
      <w:r w:rsidRPr="00C96521">
        <w:rPr>
          <w:rFonts w:eastAsia="MS Mincho" w:cs="Arial"/>
          <w:sz w:val="20"/>
          <w:szCs w:val="22"/>
          <w:lang w:val="en-GB" w:eastAsia="ja-JP"/>
        </w:rPr>
        <w:t xml:space="preserve">) (21-30 cm in diameter at chest height) and a high percentage of canopy closure in the intermediate tree layer; it also avoids forest stands with a high percentage of canopy cover of shrubs (Bakaloudis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2009). In Cyprus, the turtle-dove mainly breeds in wooded farmland with Turkish pine (</w:t>
      </w:r>
      <w:r w:rsidRPr="00C96521">
        <w:rPr>
          <w:rFonts w:eastAsia="MS Mincho" w:cs="Arial"/>
          <w:i/>
          <w:sz w:val="20"/>
          <w:szCs w:val="22"/>
          <w:lang w:val="en-GB" w:eastAsia="ja-JP"/>
        </w:rPr>
        <w:t>Pinus brutia</w:t>
      </w:r>
      <w:r w:rsidRPr="00C96521">
        <w:rPr>
          <w:rFonts w:eastAsia="MS Mincho" w:cs="Arial"/>
          <w:sz w:val="20"/>
          <w:szCs w:val="22"/>
          <w:lang w:val="en-GB" w:eastAsia="ja-JP"/>
        </w:rPr>
        <w:t>), olives, and almonds (</w:t>
      </w:r>
      <w:r w:rsidRPr="00C96521">
        <w:rPr>
          <w:rFonts w:eastAsia="MS Mincho" w:cs="Arial"/>
          <w:i/>
          <w:sz w:val="20"/>
          <w:szCs w:val="22"/>
          <w:lang w:val="en-GB" w:eastAsia="ja-JP"/>
        </w:rPr>
        <w:t>Prunus dulcis</w:t>
      </w:r>
      <w:r w:rsidRPr="00C96521">
        <w:rPr>
          <w:rFonts w:eastAsia="MS Mincho" w:cs="Arial"/>
          <w:sz w:val="20"/>
          <w:szCs w:val="22"/>
          <w:lang w:val="en-GB" w:eastAsia="ja-JP"/>
        </w:rPr>
        <w:t xml:space="preserve">) as the main nesting trees (Nicos Kassinis </w:t>
      </w:r>
      <w:r w:rsidRPr="00C96521">
        <w:rPr>
          <w:rFonts w:eastAsia="MS Mincho" w:cs="Arial"/>
          <w:i/>
          <w:sz w:val="20"/>
          <w:szCs w:val="22"/>
          <w:lang w:val="en-GB" w:eastAsia="ja-JP"/>
        </w:rPr>
        <w:t>unpublished</w:t>
      </w:r>
      <w:r w:rsidRPr="00C96521">
        <w:rPr>
          <w:rFonts w:eastAsia="MS Mincho" w:cs="Arial"/>
          <w:sz w:val="20"/>
          <w:szCs w:val="22"/>
          <w:lang w:val="en-GB" w:eastAsia="ja-JP"/>
        </w:rPr>
        <w:t xml:space="preserve">). </w:t>
      </w:r>
    </w:p>
    <w:p w14:paraId="44A9400D"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2C0B09DE" w14:textId="1AF1384C"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Further north, hawthorn (</w:t>
      </w:r>
      <w:r w:rsidRPr="00C96521">
        <w:rPr>
          <w:rFonts w:eastAsia="MS Mincho" w:cs="Arial"/>
          <w:i/>
          <w:sz w:val="20"/>
          <w:szCs w:val="22"/>
          <w:lang w:val="en-GB" w:eastAsia="ja-JP"/>
        </w:rPr>
        <w:t>Crataegus monogyna</w:t>
      </w:r>
      <w:r w:rsidRPr="00C96521">
        <w:rPr>
          <w:rFonts w:eastAsia="MS Mincho" w:cs="Arial"/>
          <w:sz w:val="20"/>
          <w:szCs w:val="22"/>
          <w:lang w:val="en-GB" w:eastAsia="ja-JP"/>
        </w:rPr>
        <w:t>), hazel (</w:t>
      </w:r>
      <w:r w:rsidRPr="00C96521">
        <w:rPr>
          <w:rFonts w:eastAsia="MS Mincho" w:cs="Arial"/>
          <w:i/>
          <w:sz w:val="20"/>
          <w:szCs w:val="22"/>
          <w:lang w:val="en-GB" w:eastAsia="ja-JP"/>
        </w:rPr>
        <w:t>Corylus avellana</w:t>
      </w:r>
      <w:r w:rsidRPr="00C96521">
        <w:rPr>
          <w:rFonts w:eastAsia="MS Mincho" w:cs="Arial"/>
          <w:sz w:val="20"/>
          <w:szCs w:val="22"/>
          <w:lang w:val="en-GB" w:eastAsia="ja-JP"/>
        </w:rPr>
        <w:t>), blackthorn (</w:t>
      </w:r>
      <w:r w:rsidRPr="00C96521">
        <w:rPr>
          <w:rFonts w:eastAsia="MS Mincho" w:cs="Arial"/>
          <w:i/>
          <w:sz w:val="20"/>
          <w:szCs w:val="22"/>
          <w:lang w:val="en-GB" w:eastAsia="ja-JP"/>
        </w:rPr>
        <w:t>Prunus spinosa</w:t>
      </w:r>
      <w:r w:rsidRPr="00C96521">
        <w:rPr>
          <w:rFonts w:eastAsia="MS Mincho" w:cs="Arial"/>
          <w:sz w:val="20"/>
          <w:szCs w:val="22"/>
          <w:lang w:val="en-GB" w:eastAsia="ja-JP"/>
        </w:rPr>
        <w:t>) and elder (</w:t>
      </w:r>
      <w:r w:rsidRPr="00C96521">
        <w:rPr>
          <w:rFonts w:eastAsia="MS Mincho" w:cs="Arial"/>
          <w:i/>
          <w:sz w:val="20"/>
          <w:szCs w:val="22"/>
          <w:lang w:val="en-GB" w:eastAsia="ja-JP"/>
        </w:rPr>
        <w:t>Sambucus nigra</w:t>
      </w:r>
      <w:r w:rsidRPr="00C96521">
        <w:rPr>
          <w:rFonts w:eastAsia="MS Mincho" w:cs="Arial"/>
          <w:sz w:val="20"/>
          <w:szCs w:val="22"/>
          <w:lang w:val="en-GB" w:eastAsia="ja-JP"/>
        </w:rPr>
        <w:t>) provide most nesting sites, with attractiveness increasing when associated with brambles (</w:t>
      </w:r>
      <w:r w:rsidRPr="00C96521">
        <w:rPr>
          <w:rFonts w:eastAsia="MS Mincho" w:cs="Arial"/>
          <w:i/>
          <w:sz w:val="20"/>
          <w:szCs w:val="22"/>
          <w:lang w:val="en-GB" w:eastAsia="ja-JP"/>
        </w:rPr>
        <w:t>Rubus sp</w:t>
      </w:r>
      <w:r w:rsidRPr="00C96521">
        <w:rPr>
          <w:rFonts w:eastAsia="MS Mincho" w:cs="Arial"/>
          <w:sz w:val="20"/>
          <w:szCs w:val="22"/>
          <w:lang w:val="en-GB" w:eastAsia="ja-JP"/>
        </w:rPr>
        <w:t xml:space="preserve">) and other climbing plants, which can reinforce the structure of vegetation for the construction and protection of the nest (Murton 1968, Aubineau and Boutin 1998, Brown and Aebischer 2004). In north-western Europe, patchy woodland and farmland with hedges and wood plots are the main habitats, and again open farmland provides few nesting sites, although bare and fallow land have a positive influence as feeding areas (van den Brink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1996, Dunn and Morris 2012), as do dehesa (a traditional Mediterranean silvo-pastoral system) with cereals in Iberia (Rocha and Hidalgo 2002a). The small Danish population inhabits young coniferous plantations on sandy soils (J</w:t>
      </w:r>
      <w:r w:rsidR="009E54BD">
        <w:rPr>
          <w:rFonts w:eastAsia="MS Mincho" w:cs="Arial"/>
          <w:sz w:val="20"/>
          <w:szCs w:val="22"/>
          <w:lang w:val="en-GB" w:eastAsia="ja-JP"/>
        </w:rPr>
        <w:t>.</w:t>
      </w:r>
      <w:r w:rsidRPr="00C96521">
        <w:rPr>
          <w:rFonts w:eastAsia="MS Mincho" w:cs="Arial"/>
          <w:sz w:val="20"/>
          <w:szCs w:val="22"/>
          <w:lang w:val="en-GB" w:eastAsia="ja-JP"/>
        </w:rPr>
        <w:t xml:space="preserve"> Tofft </w:t>
      </w:r>
      <w:r w:rsidRPr="00C96521">
        <w:rPr>
          <w:rFonts w:eastAsia="MS Mincho" w:cs="Arial"/>
          <w:i/>
          <w:sz w:val="20"/>
          <w:szCs w:val="22"/>
          <w:lang w:val="en-GB" w:eastAsia="ja-JP"/>
        </w:rPr>
        <w:t>unpublished</w:t>
      </w:r>
      <w:r w:rsidRPr="00C96521">
        <w:rPr>
          <w:rFonts w:eastAsia="MS Mincho" w:cs="Arial"/>
          <w:sz w:val="20"/>
          <w:szCs w:val="22"/>
          <w:lang w:val="en-GB" w:eastAsia="ja-JP"/>
        </w:rPr>
        <w:t xml:space="preserve">), while in Estonia the species breeds mainly at forest edges close to farmland, and can also be found in forest clear-cuts (Jaanus Elts </w:t>
      </w:r>
      <w:r w:rsidRPr="00C96521">
        <w:rPr>
          <w:rFonts w:eastAsia="MS Mincho" w:cs="Arial"/>
          <w:i/>
          <w:sz w:val="20"/>
          <w:szCs w:val="22"/>
          <w:lang w:val="en-GB" w:eastAsia="ja-JP"/>
        </w:rPr>
        <w:t>pers comm</w:t>
      </w:r>
      <w:r w:rsidRPr="00C96521">
        <w:rPr>
          <w:rFonts w:eastAsia="MS Mincho" w:cs="Arial"/>
          <w:sz w:val="20"/>
          <w:szCs w:val="22"/>
          <w:lang w:val="en-GB" w:eastAsia="ja-JP"/>
        </w:rPr>
        <w:t xml:space="preserve">). </w:t>
      </w:r>
    </w:p>
    <w:p w14:paraId="3E8646A4"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4050D5DF" w14:textId="76841D72"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In the Baltic States, Belarus, </w:t>
      </w:r>
      <w:r w:rsidR="009E54BD">
        <w:rPr>
          <w:rFonts w:eastAsia="MS Mincho" w:cs="Arial"/>
          <w:sz w:val="20"/>
          <w:szCs w:val="22"/>
          <w:lang w:val="en-GB" w:eastAsia="ja-JP"/>
        </w:rPr>
        <w:t xml:space="preserve">the </w:t>
      </w:r>
      <w:r w:rsidRPr="00C96521">
        <w:rPr>
          <w:rFonts w:eastAsia="MS Mincho" w:cs="Arial"/>
          <w:sz w:val="20"/>
          <w:szCs w:val="22"/>
          <w:lang w:val="en-GB" w:eastAsia="ja-JP"/>
        </w:rPr>
        <w:t>Russia</w:t>
      </w:r>
      <w:r w:rsidR="009E54BD">
        <w:rPr>
          <w:rFonts w:eastAsia="MS Mincho" w:cs="Arial"/>
          <w:sz w:val="20"/>
          <w:szCs w:val="22"/>
          <w:lang w:val="en-GB" w:eastAsia="ja-JP"/>
        </w:rPr>
        <w:t>n Federation</w:t>
      </w:r>
      <w:r w:rsidRPr="00C96521">
        <w:rPr>
          <w:rFonts w:eastAsia="MS Mincho" w:cs="Arial"/>
          <w:sz w:val="20"/>
          <w:szCs w:val="22"/>
          <w:lang w:val="en-GB" w:eastAsia="ja-JP"/>
        </w:rPr>
        <w:t>, and Ukraine, the species typically uses forest habitats composed of scattered pine forests or other coniferous trees in the north of the range and more deciduous forests in the south (Rouxel 2000). However, it avoids dense coniferous forests and mature timber. In Kazakhstan it is known to nest in desert habitats provided trees or shrubs and water sources are present or nearby (Rouxel 2000).</w:t>
      </w:r>
    </w:p>
    <w:p w14:paraId="7829B31C"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72C936F9" w14:textId="3B97EC2B"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In Morocco, the </w:t>
      </w:r>
      <w:r w:rsidR="009E54BD">
        <w:rPr>
          <w:rFonts w:eastAsia="MS Mincho" w:cs="Arial"/>
          <w:sz w:val="20"/>
          <w:szCs w:val="22"/>
          <w:lang w:val="en-GB" w:eastAsia="ja-JP"/>
        </w:rPr>
        <w:t>T</w:t>
      </w:r>
      <w:r w:rsidR="009E54BD" w:rsidRPr="00C96521">
        <w:rPr>
          <w:rFonts w:eastAsia="MS Mincho" w:cs="Arial"/>
          <w:sz w:val="20"/>
          <w:szCs w:val="22"/>
          <w:lang w:val="en-GB" w:eastAsia="ja-JP"/>
        </w:rPr>
        <w:t>urtle</w:t>
      </w:r>
      <w:r w:rsidR="009E54BD">
        <w:rPr>
          <w:rFonts w:eastAsia="MS Mincho" w:cs="Arial"/>
          <w:sz w:val="20"/>
          <w:szCs w:val="22"/>
          <w:lang w:val="en-GB" w:eastAsia="ja-JP"/>
        </w:rPr>
        <w:t xml:space="preserve"> D</w:t>
      </w:r>
      <w:r w:rsidR="009E54BD" w:rsidRPr="00C96521">
        <w:rPr>
          <w:rFonts w:eastAsia="MS Mincho" w:cs="Arial"/>
          <w:sz w:val="20"/>
          <w:szCs w:val="22"/>
          <w:lang w:val="en-GB" w:eastAsia="ja-JP"/>
        </w:rPr>
        <w:t xml:space="preserve">ove </w:t>
      </w:r>
      <w:r w:rsidRPr="00C96521">
        <w:rPr>
          <w:rFonts w:eastAsia="MS Mincho" w:cs="Arial"/>
          <w:sz w:val="20"/>
          <w:szCs w:val="22"/>
          <w:lang w:val="en-GB" w:eastAsia="ja-JP"/>
        </w:rPr>
        <w:t>breeds in olive and orange (</w:t>
      </w:r>
      <w:r w:rsidRPr="00C96521">
        <w:rPr>
          <w:rFonts w:eastAsia="MS Mincho" w:cs="Arial"/>
          <w:i/>
          <w:sz w:val="20"/>
          <w:szCs w:val="22"/>
          <w:lang w:val="en-GB" w:eastAsia="ja-JP"/>
        </w:rPr>
        <w:t>Citrus</w:t>
      </w:r>
      <w:r w:rsidRPr="00C96521">
        <w:rPr>
          <w:rFonts w:eastAsia="MS Mincho" w:cs="Arial"/>
          <w:sz w:val="20"/>
          <w:szCs w:val="22"/>
          <w:lang w:val="en-GB" w:eastAsia="ja-JP"/>
        </w:rPr>
        <w:t xml:space="preserve"> </w:t>
      </w:r>
      <w:r w:rsidRPr="00C96521">
        <w:rPr>
          <w:rFonts w:eastAsia="MS Mincho" w:cs="Arial"/>
          <w:i/>
          <w:sz w:val="20"/>
          <w:szCs w:val="22"/>
          <w:lang w:val="en-GB" w:eastAsia="ja-JP"/>
        </w:rPr>
        <w:t>sp</w:t>
      </w:r>
      <w:r w:rsidRPr="00C96521">
        <w:rPr>
          <w:rFonts w:eastAsia="MS Mincho" w:cs="Arial"/>
          <w:sz w:val="20"/>
          <w:szCs w:val="22"/>
          <w:lang w:val="en-GB" w:eastAsia="ja-JP"/>
        </w:rPr>
        <w:t>) orchards. Large areas of olive groves in Morocco are found in close proximity to irrigated areas with available water and cereal crops providing suitable foraging and nesting sites for the species (Hanane 2012a). However, a recent study found the density of nests was 68</w:t>
      </w:r>
      <w:r w:rsidR="009E54BD">
        <w:rPr>
          <w:rFonts w:eastAsia="MS Mincho" w:cs="Arial"/>
          <w:sz w:val="20"/>
          <w:szCs w:val="22"/>
          <w:lang w:val="en-GB" w:eastAsia="ja-JP"/>
        </w:rPr>
        <w:t xml:space="preserve"> per cent</w:t>
      </w:r>
      <w:r w:rsidRPr="00C96521">
        <w:rPr>
          <w:rFonts w:eastAsia="MS Mincho" w:cs="Arial"/>
          <w:sz w:val="20"/>
          <w:szCs w:val="22"/>
          <w:lang w:val="en-GB" w:eastAsia="ja-JP"/>
        </w:rPr>
        <w:t xml:space="preserve"> higher in orange than olive orchards (Hanane 2016a). Landscapes of fruit orchards, cereal crops and available water sources in North Africa represent favourable breeding and foraging habitat for the species (Hanane 2012b, Kafi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2015). Irrigated orchards in Morocco support large numbers of turtle-dove (~60,000 pairs in the Tadla area alone) (Hanane 2012b), while the importance of areas outside of irrigation is unknown (Hanane 2017).</w:t>
      </w:r>
    </w:p>
    <w:p w14:paraId="2C4EEDC3"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6B041CB1"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The species also feeds on cultivated cereals, with seeds that remain on the ground post-harvest forming an important resource before migration (Dubois 2002, Dias and Fontoura 1996). A loss of agricultural weeds, bare and fallow land may have reduced food availability for the species.</w:t>
      </w:r>
    </w:p>
    <w:p w14:paraId="17CD9DC0"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46299482" w14:textId="454A1C5D"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Suitable wintering habitat appears to be defined by an abundant food supply, available drinking water and large trees or patches of woodland. Where one of these three key factors is absent, the species will typically only use the habitat temporarily (Zwarts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2009). In winter, the amount of cereal seeds produced annually in the Mali-Senegal area has been suggested to be a significant predictor of survival rate (Eraud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2009) at least in the short-term, although cereal production increased in West Africa since the 1970s and turtle-dove populations have continued to decline (Raffael Ayé </w:t>
      </w:r>
      <w:r w:rsidRPr="00C96521">
        <w:rPr>
          <w:rFonts w:eastAsia="MS Mincho" w:cs="Arial"/>
          <w:i/>
          <w:sz w:val="20"/>
          <w:szCs w:val="22"/>
          <w:lang w:val="en-GB" w:eastAsia="ja-JP"/>
        </w:rPr>
        <w:t>pers comm</w:t>
      </w:r>
      <w:r w:rsidRPr="00C96521">
        <w:rPr>
          <w:rFonts w:eastAsia="MS Mincho" w:cs="Arial"/>
          <w:sz w:val="20"/>
          <w:szCs w:val="22"/>
          <w:lang w:val="en-GB" w:eastAsia="ja-JP"/>
        </w:rPr>
        <w:t xml:space="preserve">). Birds tend to use </w:t>
      </w:r>
      <w:r w:rsidRPr="00C96521">
        <w:rPr>
          <w:rFonts w:eastAsia="MS Mincho" w:cs="Arial"/>
          <w:i/>
          <w:sz w:val="20"/>
          <w:szCs w:val="22"/>
          <w:lang w:val="en-GB" w:eastAsia="ja-JP"/>
        </w:rPr>
        <w:t>Acacia</w:t>
      </w:r>
      <w:r w:rsidRPr="00C96521">
        <w:rPr>
          <w:rFonts w:eastAsia="MS Mincho" w:cs="Arial"/>
          <w:sz w:val="20"/>
          <w:szCs w:val="22"/>
          <w:lang w:val="en-GB" w:eastAsia="ja-JP"/>
        </w:rPr>
        <w:t xml:space="preserve"> </w:t>
      </w:r>
      <w:r w:rsidRPr="00C96521">
        <w:rPr>
          <w:rFonts w:eastAsia="MS Mincho" w:cs="Arial"/>
          <w:i/>
          <w:sz w:val="20"/>
          <w:szCs w:val="22"/>
          <w:lang w:val="en-GB" w:eastAsia="ja-JP"/>
        </w:rPr>
        <w:t>sp</w:t>
      </w:r>
      <w:r w:rsidRPr="00C96521">
        <w:rPr>
          <w:rFonts w:eastAsia="MS Mincho" w:cs="Arial"/>
          <w:sz w:val="20"/>
          <w:szCs w:val="22"/>
          <w:lang w:val="en-GB" w:eastAsia="ja-JP"/>
        </w:rPr>
        <w:t xml:space="preserve"> scrub as their major roosting sites and tracking has confirmed that a readily available water source, cultivated sorghum (</w:t>
      </w:r>
      <w:r w:rsidRPr="00C96521">
        <w:rPr>
          <w:rFonts w:eastAsia="MS Mincho" w:cs="Arial"/>
          <w:i/>
          <w:sz w:val="20"/>
          <w:szCs w:val="22"/>
          <w:lang w:val="en-GB" w:eastAsia="ja-JP"/>
        </w:rPr>
        <w:t>Sorghum</w:t>
      </w:r>
      <w:r w:rsidRPr="00C96521">
        <w:rPr>
          <w:rFonts w:eastAsia="MS Mincho" w:cs="Arial"/>
          <w:sz w:val="20"/>
          <w:szCs w:val="22"/>
          <w:lang w:val="en-GB" w:eastAsia="ja-JP"/>
        </w:rPr>
        <w:t xml:space="preserve"> </w:t>
      </w:r>
      <w:r w:rsidRPr="00C96521">
        <w:rPr>
          <w:rFonts w:eastAsia="MS Mincho" w:cs="Arial"/>
          <w:i/>
          <w:sz w:val="20"/>
          <w:szCs w:val="22"/>
          <w:lang w:val="en-GB" w:eastAsia="ja-JP"/>
        </w:rPr>
        <w:t>sp</w:t>
      </w:r>
      <w:r w:rsidRPr="00C96521">
        <w:rPr>
          <w:rFonts w:eastAsia="MS Mincho" w:cs="Arial"/>
          <w:sz w:val="20"/>
          <w:szCs w:val="22"/>
          <w:lang w:val="en-GB" w:eastAsia="ja-JP"/>
        </w:rPr>
        <w:t>), millet and peanut (</w:t>
      </w:r>
      <w:r w:rsidRPr="00C96521">
        <w:rPr>
          <w:rFonts w:eastAsia="MS Mincho" w:cs="Arial"/>
          <w:i/>
          <w:sz w:val="20"/>
          <w:szCs w:val="22"/>
          <w:lang w:val="en-GB" w:eastAsia="ja-JP"/>
        </w:rPr>
        <w:t>Arachis hypogaea</w:t>
      </w:r>
      <w:r w:rsidRPr="00C96521">
        <w:rPr>
          <w:rFonts w:eastAsia="MS Mincho" w:cs="Arial"/>
          <w:sz w:val="20"/>
          <w:szCs w:val="22"/>
          <w:lang w:val="en-GB" w:eastAsia="ja-JP"/>
        </w:rPr>
        <w:t xml:space="preserve">) fields, or natural scrubby grassland may be important for the species (Eraud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2009, RSPB 2016). On the wintering grounds, the species is known to feed on a diverse range of grains including: </w:t>
      </w:r>
      <w:r w:rsidRPr="00C96521">
        <w:rPr>
          <w:rFonts w:eastAsia="MS Mincho" w:cs="Arial"/>
          <w:i/>
          <w:sz w:val="20"/>
          <w:szCs w:val="22"/>
          <w:lang w:val="en-GB" w:eastAsia="ja-JP"/>
        </w:rPr>
        <w:t>Panicum laetum, Tribulus terrestris</w:t>
      </w:r>
      <w:r w:rsidRPr="00C96521">
        <w:rPr>
          <w:rFonts w:eastAsia="MS Mincho" w:cs="Arial"/>
          <w:sz w:val="20"/>
          <w:szCs w:val="22"/>
          <w:lang w:val="en-GB" w:eastAsia="ja-JP"/>
        </w:rPr>
        <w:t xml:space="preserve"> and </w:t>
      </w:r>
      <w:r w:rsidRPr="00C96521">
        <w:rPr>
          <w:rFonts w:eastAsia="MS Mincho" w:cs="Arial"/>
          <w:i/>
          <w:sz w:val="20"/>
          <w:szCs w:val="22"/>
          <w:lang w:val="en-GB" w:eastAsia="ja-JP"/>
        </w:rPr>
        <w:t>Echinocloa colona</w:t>
      </w:r>
      <w:r w:rsidRPr="00C96521">
        <w:rPr>
          <w:rFonts w:eastAsia="MS Mincho" w:cs="Arial"/>
          <w:sz w:val="20"/>
          <w:szCs w:val="22"/>
          <w:lang w:val="en-GB" w:eastAsia="ja-JP"/>
        </w:rPr>
        <w:t xml:space="preserve"> (Dubois 2002). In years with low rainfall </w:t>
      </w:r>
      <w:r w:rsidRPr="00C96521">
        <w:rPr>
          <w:rFonts w:eastAsia="MS Mincho" w:cs="Arial"/>
          <w:i/>
          <w:sz w:val="20"/>
          <w:szCs w:val="22"/>
          <w:lang w:val="en-GB" w:eastAsia="ja-JP"/>
        </w:rPr>
        <w:t>T. terrestris</w:t>
      </w:r>
      <w:r w:rsidRPr="00C96521">
        <w:rPr>
          <w:rFonts w:eastAsia="MS Mincho" w:cs="Arial"/>
          <w:sz w:val="20"/>
          <w:szCs w:val="22"/>
          <w:lang w:val="en-GB" w:eastAsia="ja-JP"/>
        </w:rPr>
        <w:t xml:space="preserve"> becomes more prevalent in the species’ diet, but it is of low nutritional value (Dubois 2002, Zwarts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2009). Spilt rice grain (</w:t>
      </w:r>
      <w:r w:rsidRPr="00C96521">
        <w:rPr>
          <w:rFonts w:eastAsia="MS Mincho" w:cs="Arial"/>
          <w:i/>
          <w:sz w:val="20"/>
          <w:szCs w:val="22"/>
          <w:lang w:val="en-GB" w:eastAsia="ja-JP"/>
        </w:rPr>
        <w:t>Oryza</w:t>
      </w:r>
      <w:r w:rsidRPr="00C96521">
        <w:rPr>
          <w:rFonts w:eastAsia="MS Mincho" w:cs="Arial"/>
          <w:sz w:val="20"/>
          <w:szCs w:val="22"/>
          <w:lang w:val="en-GB" w:eastAsia="ja-JP"/>
        </w:rPr>
        <w:t xml:space="preserve"> </w:t>
      </w:r>
      <w:r w:rsidRPr="00C96521">
        <w:rPr>
          <w:rFonts w:eastAsia="MS Mincho" w:cs="Arial"/>
          <w:i/>
          <w:sz w:val="20"/>
          <w:szCs w:val="22"/>
          <w:lang w:val="en-GB" w:eastAsia="ja-JP"/>
        </w:rPr>
        <w:t>sp</w:t>
      </w:r>
      <w:r w:rsidRPr="00C96521">
        <w:rPr>
          <w:rFonts w:eastAsia="MS Mincho" w:cs="Arial"/>
          <w:sz w:val="20"/>
          <w:szCs w:val="22"/>
          <w:lang w:val="en-GB" w:eastAsia="ja-JP"/>
        </w:rPr>
        <w:t xml:space="preserve">) in time of drought is also of vital importance. In Senegal, the species uses rice fields where it feeds on grass seeds prior to harvest and spilt grains following harvest (Zwarts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2009). In Burkina Faso and Guinea Bissau, the species has been observed at wetland sites and rice fields and is known to roost in stands of </w:t>
      </w:r>
      <w:r w:rsidRPr="00C96521">
        <w:rPr>
          <w:rFonts w:eastAsia="MS Mincho" w:cs="Arial"/>
          <w:i/>
          <w:sz w:val="20"/>
          <w:szCs w:val="22"/>
          <w:lang w:val="en-GB" w:eastAsia="ja-JP"/>
        </w:rPr>
        <w:t>Acacia seyal</w:t>
      </w:r>
      <w:r w:rsidRPr="00C96521">
        <w:rPr>
          <w:rFonts w:eastAsia="MS Mincho" w:cs="Arial"/>
          <w:sz w:val="20"/>
          <w:szCs w:val="22"/>
          <w:lang w:val="en-GB" w:eastAsia="ja-JP"/>
        </w:rPr>
        <w:t xml:space="preserve"> (Carvalho and Dias 2003, Zwarts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2009). In both Nigeria and Mali, birds have been seen feeding on open treeless plains in the heat of the middle of the day, possibly a strategy either to avoid competition with other dove and pigeon species or to fatten up before the northward migration (Zwarts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2009), although in October-December in parts of the Sahel it is not excessively hot in the middle of the day, so turtle-dove may not be exposed to extreme temperatures (Joost Brouwer </w:t>
      </w:r>
      <w:r w:rsidRPr="00C96521">
        <w:rPr>
          <w:rFonts w:eastAsia="MS Mincho" w:cs="Arial"/>
          <w:i/>
          <w:sz w:val="20"/>
          <w:szCs w:val="22"/>
          <w:lang w:val="en-GB" w:eastAsia="ja-JP"/>
        </w:rPr>
        <w:t>pers comm</w:t>
      </w:r>
      <w:r w:rsidRPr="00C96521">
        <w:rPr>
          <w:rFonts w:eastAsia="MS Mincho" w:cs="Arial"/>
          <w:sz w:val="20"/>
          <w:szCs w:val="22"/>
          <w:lang w:val="en-GB" w:eastAsia="ja-JP"/>
        </w:rPr>
        <w:t xml:space="preserve">). In </w:t>
      </w:r>
      <w:r w:rsidR="009E54BD">
        <w:rPr>
          <w:rFonts w:eastAsia="MS Mincho" w:cs="Arial"/>
          <w:sz w:val="20"/>
          <w:szCs w:val="22"/>
          <w:lang w:val="en-GB" w:eastAsia="ja-JP"/>
        </w:rPr>
        <w:t>t</w:t>
      </w:r>
      <w:r w:rsidRPr="00C96521">
        <w:rPr>
          <w:rFonts w:eastAsia="MS Mincho" w:cs="Arial"/>
          <w:sz w:val="20"/>
          <w:szCs w:val="22"/>
          <w:lang w:val="en-GB" w:eastAsia="ja-JP"/>
        </w:rPr>
        <w:t xml:space="preserve">he Gambia, the species has been recorded resting in the shrubs </w:t>
      </w:r>
      <w:r w:rsidRPr="00C96521">
        <w:rPr>
          <w:rFonts w:eastAsia="MS Mincho" w:cs="Arial"/>
          <w:i/>
          <w:sz w:val="20"/>
          <w:szCs w:val="22"/>
          <w:lang w:val="en-GB" w:eastAsia="ja-JP"/>
        </w:rPr>
        <w:t>Tamarix senegalensis</w:t>
      </w:r>
      <w:r w:rsidRPr="00C96521">
        <w:rPr>
          <w:rFonts w:eastAsia="MS Mincho" w:cs="Arial"/>
          <w:sz w:val="20"/>
          <w:szCs w:val="22"/>
          <w:lang w:val="en-GB" w:eastAsia="ja-JP"/>
        </w:rPr>
        <w:t xml:space="preserve"> and </w:t>
      </w:r>
      <w:r w:rsidRPr="00C96521">
        <w:rPr>
          <w:rFonts w:eastAsia="MS Mincho" w:cs="Arial"/>
          <w:i/>
          <w:sz w:val="20"/>
          <w:szCs w:val="22"/>
          <w:lang w:val="en-GB" w:eastAsia="ja-JP"/>
        </w:rPr>
        <w:t xml:space="preserve">Mitragyna inermis </w:t>
      </w:r>
      <w:r w:rsidRPr="00C96521">
        <w:rPr>
          <w:rFonts w:eastAsia="MS Mincho" w:cs="Arial"/>
          <w:sz w:val="20"/>
          <w:szCs w:val="22"/>
          <w:lang w:val="en-GB" w:eastAsia="ja-JP"/>
        </w:rPr>
        <w:t xml:space="preserve">(Clive R Barlow </w:t>
      </w:r>
      <w:r w:rsidRPr="00C96521">
        <w:rPr>
          <w:rFonts w:eastAsia="MS Mincho" w:cs="Arial"/>
          <w:i/>
          <w:sz w:val="20"/>
          <w:szCs w:val="22"/>
          <w:lang w:val="en-GB" w:eastAsia="ja-JP"/>
        </w:rPr>
        <w:t>pers comm</w:t>
      </w:r>
      <w:r w:rsidRPr="00C96521">
        <w:rPr>
          <w:rFonts w:eastAsia="MS Mincho" w:cs="Arial"/>
          <w:sz w:val="20"/>
          <w:szCs w:val="22"/>
          <w:lang w:val="en-GB" w:eastAsia="ja-JP"/>
        </w:rPr>
        <w:t xml:space="preserve">), as well as in rice fields (Lamin Jobaate </w:t>
      </w:r>
      <w:r w:rsidRPr="00C96521">
        <w:rPr>
          <w:rFonts w:eastAsia="MS Mincho" w:cs="Arial"/>
          <w:i/>
          <w:sz w:val="20"/>
          <w:szCs w:val="22"/>
          <w:lang w:val="en-GB" w:eastAsia="ja-JP"/>
        </w:rPr>
        <w:t>pers comm</w:t>
      </w:r>
      <w:r w:rsidRPr="00C96521">
        <w:rPr>
          <w:rFonts w:eastAsia="MS Mincho" w:cs="Arial"/>
          <w:sz w:val="20"/>
          <w:szCs w:val="22"/>
          <w:lang w:val="en-GB" w:eastAsia="ja-JP"/>
        </w:rPr>
        <w:t>).</w:t>
      </w:r>
    </w:p>
    <w:p w14:paraId="44331D30"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77F38BBB" w14:textId="77777777" w:rsidR="00C96521" w:rsidRPr="00C96521" w:rsidRDefault="00C96521" w:rsidP="00C96521">
      <w:pPr>
        <w:keepNext/>
        <w:keepLines/>
        <w:widowControl/>
        <w:autoSpaceDE/>
        <w:autoSpaceDN/>
        <w:adjustRightInd/>
        <w:spacing w:before="200" w:line="276" w:lineRule="auto"/>
        <w:outlineLvl w:val="1"/>
        <w:rPr>
          <w:rFonts w:ascii="Cambria" w:eastAsia="MS Gothic" w:hAnsi="Cambria"/>
          <w:b/>
          <w:bCs/>
          <w:color w:val="4F81BD"/>
          <w:sz w:val="26"/>
          <w:szCs w:val="26"/>
          <w:lang w:val="en-GB" w:eastAsia="ja-JP"/>
        </w:rPr>
      </w:pPr>
      <w:bookmarkStart w:id="19" w:name="_Toc478646904"/>
      <w:r w:rsidRPr="00C96521">
        <w:rPr>
          <w:rFonts w:ascii="Cambria" w:eastAsia="MS Gothic" w:hAnsi="Cambria"/>
          <w:b/>
          <w:bCs/>
          <w:color w:val="4F81BD"/>
          <w:sz w:val="26"/>
          <w:szCs w:val="26"/>
          <w:lang w:val="en-GB" w:eastAsia="ja-JP"/>
        </w:rPr>
        <w:t>Breakdown of turtle-dove habitat use across Europe</w:t>
      </w:r>
      <w:bookmarkEnd w:id="19"/>
    </w:p>
    <w:p w14:paraId="55448835"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12A3C16"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France/Portugal/Spain</w:t>
      </w:r>
    </w:p>
    <w:p w14:paraId="0C4FE1E0"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p>
    <w:p w14:paraId="6F990598"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In France, Portugal and Spain the species uses a mixture of habitats interspersed with agricultural land.</w:t>
      </w:r>
    </w:p>
    <w:p w14:paraId="5C789366"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8BBA193"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sz w:val="20"/>
          <w:szCs w:val="22"/>
          <w:lang w:val="en-GB" w:eastAsia="ja-JP"/>
        </w:rPr>
        <w:t>In France, the species is reported to use fragmented landscapes, forest edges, woodland, copses (small groups of trees) and hedges (Bacon 2012), particularly those in close proximity to grain crops, oilseed rape (</w:t>
      </w:r>
      <w:r w:rsidRPr="00C96521">
        <w:rPr>
          <w:rFonts w:eastAsia="MS Mincho"/>
          <w:i/>
          <w:sz w:val="20"/>
          <w:szCs w:val="22"/>
          <w:lang w:val="en-GB" w:eastAsia="ja-JP"/>
        </w:rPr>
        <w:t xml:space="preserve">Brassica napus) </w:t>
      </w:r>
      <w:r w:rsidRPr="00C96521">
        <w:rPr>
          <w:rFonts w:eastAsia="MS Mincho"/>
          <w:sz w:val="20"/>
          <w:szCs w:val="22"/>
          <w:lang w:val="en-GB" w:eastAsia="ja-JP"/>
        </w:rPr>
        <w:t>and sunflower (</w:t>
      </w:r>
      <w:r w:rsidRPr="00C96521">
        <w:rPr>
          <w:rFonts w:eastAsia="MS Mincho"/>
          <w:i/>
          <w:sz w:val="20"/>
          <w:szCs w:val="22"/>
          <w:lang w:val="en-GB" w:eastAsia="ja-JP"/>
        </w:rPr>
        <w:t>Helianthus sp</w:t>
      </w:r>
      <w:r w:rsidRPr="00C96521">
        <w:rPr>
          <w:rFonts w:eastAsia="MS Mincho"/>
          <w:sz w:val="20"/>
          <w:szCs w:val="22"/>
          <w:lang w:val="en-GB" w:eastAsia="ja-JP"/>
        </w:rPr>
        <w:t xml:space="preserve">) fields (Dubois </w:t>
      </w:r>
      <w:r w:rsidRPr="00C96521">
        <w:rPr>
          <w:rFonts w:eastAsia="MS Mincho"/>
          <w:i/>
          <w:sz w:val="20"/>
          <w:szCs w:val="22"/>
          <w:lang w:val="en-GB" w:eastAsia="ja-JP"/>
        </w:rPr>
        <w:t>et al</w:t>
      </w:r>
      <w:r w:rsidRPr="00C96521">
        <w:rPr>
          <w:rFonts w:eastAsia="MS Mincho"/>
          <w:sz w:val="20"/>
          <w:szCs w:val="22"/>
          <w:lang w:val="en-GB" w:eastAsia="ja-JP"/>
        </w:rPr>
        <w:t xml:space="preserve"> 2008). It nests in shrubs, particularly thorny species such as hawthorn and blackthorn.</w:t>
      </w:r>
      <w:r w:rsidRPr="00C96521">
        <w:rPr>
          <w:rFonts w:eastAsia="MS Mincho" w:cs="Arial"/>
          <w:sz w:val="20"/>
          <w:szCs w:val="22"/>
          <w:lang w:val="en-GB" w:eastAsia="ja-JP"/>
        </w:rPr>
        <w:t xml:space="preserve"> The following plants have been identified as food sources for the species in France: </w:t>
      </w:r>
      <w:r w:rsidRPr="00C96521">
        <w:rPr>
          <w:rFonts w:eastAsia="MS Mincho" w:cs="Arial"/>
          <w:i/>
          <w:sz w:val="20"/>
          <w:szCs w:val="22"/>
          <w:lang w:val="en-GB" w:eastAsia="ja-JP"/>
        </w:rPr>
        <w:t xml:space="preserve">Vicia cracca, Galeopsis speciosa, Cirsium arvense, Ulmus laevis, Amaranthus retroflexus, Euphorbia virgata, Setaria glauca, Pinus sylvestris, Lycopsis arvensis, Fagopyrum sp, Reseda lutea, Silene vulgaris, </w:t>
      </w:r>
      <w:r w:rsidRPr="006437E1">
        <w:rPr>
          <w:rFonts w:eastAsia="MS Mincho" w:cs="Arial"/>
          <w:sz w:val="20"/>
          <w:szCs w:val="22"/>
          <w:lang w:val="en-GB" w:eastAsia="ja-JP"/>
        </w:rPr>
        <w:t>and</w:t>
      </w:r>
      <w:r w:rsidRPr="00C96521">
        <w:rPr>
          <w:rFonts w:eastAsia="MS Mincho" w:cs="Arial"/>
          <w:i/>
          <w:sz w:val="20"/>
          <w:szCs w:val="22"/>
          <w:lang w:val="en-GB" w:eastAsia="ja-JP"/>
        </w:rPr>
        <w:t xml:space="preserve"> Echinochloa crus-galli</w:t>
      </w:r>
      <w:r w:rsidRPr="00C96521">
        <w:rPr>
          <w:rFonts w:eastAsia="MS Mincho" w:cs="Arial"/>
          <w:sz w:val="20"/>
          <w:szCs w:val="22"/>
          <w:lang w:val="en-GB" w:eastAsia="ja-JP"/>
        </w:rPr>
        <w:t xml:space="preserve"> (Dubois 2002). </w:t>
      </w:r>
    </w:p>
    <w:p w14:paraId="71323EFE"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FA79820" w14:textId="43D42B44"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Portugal, </w:t>
      </w:r>
      <w:r w:rsidR="009E54BD">
        <w:rPr>
          <w:rFonts w:eastAsia="MS Mincho"/>
          <w:sz w:val="20"/>
          <w:szCs w:val="22"/>
          <w:lang w:val="en-GB" w:eastAsia="ja-JP"/>
        </w:rPr>
        <w:t xml:space="preserve">the </w:t>
      </w:r>
      <w:r w:rsidR="009E54BD">
        <w:rPr>
          <w:rFonts w:eastAsia="MS Mincho" w:cs="Arial"/>
          <w:sz w:val="20"/>
          <w:szCs w:val="22"/>
          <w:lang w:val="en-GB" w:eastAsia="ja-JP"/>
        </w:rPr>
        <w:t>T</w:t>
      </w:r>
      <w:r w:rsidR="009E54BD" w:rsidRPr="00C96521">
        <w:rPr>
          <w:rFonts w:eastAsia="MS Mincho" w:cs="Arial"/>
          <w:sz w:val="20"/>
          <w:szCs w:val="22"/>
          <w:lang w:val="en-GB" w:eastAsia="ja-JP"/>
        </w:rPr>
        <w:t>urtle</w:t>
      </w:r>
      <w:r w:rsidR="009E54BD">
        <w:rPr>
          <w:rFonts w:eastAsia="MS Mincho" w:cs="Arial"/>
          <w:sz w:val="20"/>
          <w:szCs w:val="22"/>
          <w:lang w:val="en-GB" w:eastAsia="ja-JP"/>
        </w:rPr>
        <w:t xml:space="preserve"> D</w:t>
      </w:r>
      <w:r w:rsidR="009E54BD" w:rsidRPr="00C96521">
        <w:rPr>
          <w:rFonts w:eastAsia="MS Mincho" w:cs="Arial"/>
          <w:sz w:val="20"/>
          <w:szCs w:val="22"/>
          <w:lang w:val="en-GB" w:eastAsia="ja-JP"/>
        </w:rPr>
        <w:t xml:space="preserve">ove </w:t>
      </w:r>
      <w:r w:rsidRPr="00C96521">
        <w:rPr>
          <w:rFonts w:eastAsia="MS Mincho"/>
          <w:sz w:val="20"/>
          <w:szCs w:val="22"/>
          <w:lang w:val="en-GB" w:eastAsia="ja-JP"/>
        </w:rPr>
        <w:t xml:space="preserve">shows a preference for forests and agricultural landscapes with trees (Dias </w:t>
      </w:r>
      <w:r w:rsidRPr="00C96521">
        <w:rPr>
          <w:rFonts w:eastAsia="MS Mincho"/>
          <w:i/>
          <w:sz w:val="20"/>
          <w:szCs w:val="22"/>
          <w:lang w:val="en-GB" w:eastAsia="ja-JP"/>
        </w:rPr>
        <w:t>et al</w:t>
      </w:r>
      <w:r w:rsidRPr="00C96521">
        <w:rPr>
          <w:rFonts w:eastAsia="MS Mincho"/>
          <w:sz w:val="20"/>
          <w:szCs w:val="22"/>
          <w:lang w:val="en-GB" w:eastAsia="ja-JP"/>
        </w:rPr>
        <w:t xml:space="preserve"> 2013). Forested habitats are the main breeding habitat, pine forest with no shrub understorey and small patches of forest in complex patchy landscapes being the most important habitats for the species. In agricultural landscapes, permanent crops (e</w:t>
      </w:r>
      <w:r w:rsidR="009E54BD">
        <w:rPr>
          <w:rFonts w:eastAsia="MS Mincho"/>
          <w:sz w:val="20"/>
          <w:szCs w:val="22"/>
          <w:lang w:val="en-GB" w:eastAsia="ja-JP"/>
        </w:rPr>
        <w:t>.</w:t>
      </w:r>
      <w:r w:rsidRPr="00C96521">
        <w:rPr>
          <w:rFonts w:eastAsia="MS Mincho"/>
          <w:sz w:val="20"/>
          <w:szCs w:val="22"/>
          <w:lang w:val="en-GB" w:eastAsia="ja-JP"/>
        </w:rPr>
        <w:t>g</w:t>
      </w:r>
      <w:r w:rsidR="009E54BD">
        <w:rPr>
          <w:rFonts w:eastAsia="MS Mincho"/>
          <w:sz w:val="20"/>
          <w:szCs w:val="22"/>
          <w:lang w:val="en-GB" w:eastAsia="ja-JP"/>
        </w:rPr>
        <w:t>.</w:t>
      </w:r>
      <w:r w:rsidRPr="00C96521">
        <w:rPr>
          <w:rFonts w:eastAsia="MS Mincho"/>
          <w:sz w:val="20"/>
          <w:szCs w:val="22"/>
          <w:lang w:val="en-GB" w:eastAsia="ja-JP"/>
        </w:rPr>
        <w:t xml:space="preserve"> orchards, traditional olive groves, oranges) are also used for breeding. Abundance is positively associated with forest cover, particularly broadleaved forests, and by pine stands without woody under-storeys, permanent crops and with a high density of woody linear habitats (Dias </w:t>
      </w:r>
      <w:r w:rsidRPr="00C96521">
        <w:rPr>
          <w:rFonts w:eastAsia="MS Mincho"/>
          <w:i/>
          <w:sz w:val="20"/>
          <w:szCs w:val="22"/>
          <w:lang w:val="en-GB" w:eastAsia="ja-JP"/>
        </w:rPr>
        <w:t>et al</w:t>
      </w:r>
      <w:r w:rsidRPr="00C96521">
        <w:rPr>
          <w:rFonts w:eastAsia="MS Mincho"/>
          <w:sz w:val="20"/>
          <w:szCs w:val="22"/>
          <w:lang w:val="en-GB" w:eastAsia="ja-JP"/>
        </w:rPr>
        <w:t xml:space="preserve"> 2013). The absence of a woody under-storey mostly results from management to reduce fire risk. Broadleaved forests were primarily stands dominated by oak (</w:t>
      </w:r>
      <w:r w:rsidRPr="00C96521">
        <w:rPr>
          <w:rFonts w:eastAsia="MS Mincho"/>
          <w:i/>
          <w:sz w:val="20"/>
          <w:szCs w:val="22"/>
          <w:lang w:val="en-GB" w:eastAsia="ja-JP"/>
        </w:rPr>
        <w:t>Quercus</w:t>
      </w:r>
      <w:r w:rsidRPr="00C96521">
        <w:rPr>
          <w:rFonts w:eastAsia="MS Mincho"/>
          <w:sz w:val="20"/>
          <w:szCs w:val="22"/>
          <w:lang w:val="en-GB" w:eastAsia="ja-JP"/>
        </w:rPr>
        <w:t xml:space="preserve"> </w:t>
      </w:r>
      <w:r w:rsidRPr="00C96521">
        <w:rPr>
          <w:rFonts w:eastAsia="MS Mincho"/>
          <w:i/>
          <w:sz w:val="20"/>
          <w:szCs w:val="22"/>
          <w:lang w:val="en-GB" w:eastAsia="ja-JP"/>
        </w:rPr>
        <w:t>sp</w:t>
      </w:r>
      <w:r w:rsidRPr="00C96521">
        <w:rPr>
          <w:rFonts w:eastAsia="MS Mincho"/>
          <w:sz w:val="20"/>
          <w:szCs w:val="22"/>
          <w:lang w:val="en-GB" w:eastAsia="ja-JP"/>
        </w:rPr>
        <w:t>), permanent crops were mostly olive and other orchards, woody linear habitats were mostly tree lines, hedgerows and riparian galleries, which are often associated with agricultural habitats. In the south (Algarve), the species is more abundant in typical ‘Barrocal’ vegetation (a mixture of Mediterranean shrubs and trees). It nests in trees (pines, oaks and fruit trees) but also in woody shrubs with a complex array of branches (Dias 2016).</w:t>
      </w:r>
    </w:p>
    <w:p w14:paraId="4B83D539"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B97BE21"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Spain, a recent analysis of common bird monitoring data found that regional population declines were significantly related to trends in forest and sunflower cover and pasture cover (SEO/BirdLife 2016a). Population declines were less strong in regions where the area of forests and sunflowers had increased and where pastures were more abundant. Important declines occurred in areas with a high cover of forested habitats as well as in agricultural areas. In the north of the country, forested areas were the principal breeding habitat for the turtle-dove population (Sáenz de Buruaga </w:t>
      </w:r>
      <w:r w:rsidRPr="00C96521">
        <w:rPr>
          <w:rFonts w:eastAsia="MS Mincho"/>
          <w:i/>
          <w:sz w:val="20"/>
          <w:szCs w:val="22"/>
          <w:lang w:val="en-GB" w:eastAsia="ja-JP"/>
        </w:rPr>
        <w:t>et al</w:t>
      </w:r>
      <w:r w:rsidRPr="00C96521">
        <w:rPr>
          <w:rFonts w:eastAsia="MS Mincho"/>
          <w:sz w:val="20"/>
          <w:szCs w:val="22"/>
          <w:lang w:val="en-GB" w:eastAsia="ja-JP"/>
        </w:rPr>
        <w:t xml:space="preserve"> 2012). Linear riparian forests had the highest numbers of turtle-doves followed by patches of open evergreen oak forest interspersed with crops. Farmland played a secondary role in terms of breeding habitat. The species was widely distributed in the study area in the 1980s, but 15 years later, the range had been reduced to four sectors: coastal, central plain, transitional valleys and the Ebro valley plain. Persistence in these areas may be related to turtle-doves favouring warm, temperate climates at low altitudes, as the areas from which they disappeared were mountainous and at higher altitude. Sáenz de Buruaga </w:t>
      </w:r>
      <w:r w:rsidRPr="00C96521">
        <w:rPr>
          <w:rFonts w:eastAsia="MS Mincho"/>
          <w:i/>
          <w:sz w:val="20"/>
          <w:szCs w:val="22"/>
          <w:lang w:val="en-GB" w:eastAsia="ja-JP"/>
        </w:rPr>
        <w:t>et al</w:t>
      </w:r>
      <w:r w:rsidRPr="00C96521">
        <w:rPr>
          <w:rFonts w:eastAsia="MS Mincho"/>
          <w:sz w:val="20"/>
          <w:szCs w:val="22"/>
          <w:lang w:val="en-GB" w:eastAsia="ja-JP"/>
        </w:rPr>
        <w:t xml:space="preserve"> (2012) suggest that preserving and extending open woodland patches within farmland and riparian woodlands would be a positive conservation measure for the species, potentially increasing availability of nest sites. In Catalonia, the species shows a preference for the following habitats: irrigated orchards, non-irrigated orchards, vineyards, cereal crops, cork oak (</w:t>
      </w:r>
      <w:r w:rsidRPr="00C96521">
        <w:rPr>
          <w:rFonts w:eastAsia="MS Mincho"/>
          <w:i/>
          <w:sz w:val="20"/>
          <w:szCs w:val="22"/>
          <w:lang w:val="en-GB" w:eastAsia="ja-JP"/>
        </w:rPr>
        <w:t>Quercus suber</w:t>
      </w:r>
      <w:r w:rsidRPr="00C96521">
        <w:rPr>
          <w:rFonts w:eastAsia="MS Mincho"/>
          <w:sz w:val="20"/>
          <w:szCs w:val="22"/>
          <w:lang w:val="en-GB" w:eastAsia="ja-JP"/>
        </w:rPr>
        <w:t>), forests of pine or exotics, Scots pine (</w:t>
      </w:r>
      <w:r w:rsidRPr="00C96521">
        <w:rPr>
          <w:rFonts w:eastAsia="MS Mincho"/>
          <w:i/>
          <w:sz w:val="20"/>
          <w:szCs w:val="22"/>
          <w:lang w:val="en-GB" w:eastAsia="ja-JP"/>
        </w:rPr>
        <w:t>Pinus sylvestris</w:t>
      </w:r>
      <w:r w:rsidRPr="00C96521">
        <w:rPr>
          <w:rFonts w:eastAsia="MS Mincho"/>
          <w:sz w:val="20"/>
          <w:szCs w:val="22"/>
          <w:lang w:val="en-GB" w:eastAsia="ja-JP"/>
        </w:rPr>
        <w:t>), and Aleppo pine (</w:t>
      </w:r>
      <w:r w:rsidRPr="00C96521">
        <w:rPr>
          <w:rFonts w:eastAsia="MS Mincho"/>
          <w:i/>
          <w:sz w:val="20"/>
          <w:szCs w:val="22"/>
          <w:lang w:val="en-GB" w:eastAsia="ja-JP"/>
        </w:rPr>
        <w:t>P. halepensis</w:t>
      </w:r>
      <w:r w:rsidRPr="00C96521">
        <w:rPr>
          <w:rFonts w:eastAsia="MS Mincho"/>
          <w:sz w:val="20"/>
          <w:szCs w:val="22"/>
          <w:lang w:val="en-GB" w:eastAsia="ja-JP"/>
        </w:rPr>
        <w:t>) (ICO 2016). It avoids the following habitats: beaches, wetlands, suburbs, urban areas, irrigated arable crops, rocky areas, alpine and subalpine meadows, Mediterranean scrub, Mediterranean grassland, beech (</w:t>
      </w:r>
      <w:r w:rsidRPr="00C96521">
        <w:rPr>
          <w:rFonts w:eastAsia="MS Mincho"/>
          <w:i/>
          <w:sz w:val="20"/>
          <w:szCs w:val="22"/>
          <w:lang w:val="en-GB" w:eastAsia="ja-JP"/>
        </w:rPr>
        <w:t>Fagus sp</w:t>
      </w:r>
      <w:r w:rsidRPr="00C96521">
        <w:rPr>
          <w:rFonts w:eastAsia="MS Mincho"/>
          <w:sz w:val="20"/>
          <w:szCs w:val="22"/>
          <w:lang w:val="en-GB" w:eastAsia="ja-JP"/>
        </w:rPr>
        <w:t>) forests and riparian forests, oak, evergreen oak, fir (</w:t>
      </w:r>
      <w:r w:rsidRPr="00C96521">
        <w:rPr>
          <w:rFonts w:eastAsia="MS Mincho"/>
          <w:i/>
          <w:sz w:val="20"/>
          <w:szCs w:val="22"/>
          <w:lang w:val="en-GB" w:eastAsia="ja-JP"/>
        </w:rPr>
        <w:t>Abies</w:t>
      </w:r>
      <w:r w:rsidRPr="00C96521">
        <w:rPr>
          <w:rFonts w:eastAsia="MS Mincho"/>
          <w:sz w:val="20"/>
          <w:szCs w:val="22"/>
          <w:lang w:val="en-GB" w:eastAsia="ja-JP"/>
        </w:rPr>
        <w:t xml:space="preserve"> </w:t>
      </w:r>
      <w:r w:rsidRPr="00C96521">
        <w:rPr>
          <w:rFonts w:eastAsia="MS Mincho"/>
          <w:i/>
          <w:sz w:val="20"/>
          <w:szCs w:val="22"/>
          <w:lang w:val="en-GB" w:eastAsia="ja-JP"/>
        </w:rPr>
        <w:t>sp</w:t>
      </w:r>
      <w:r w:rsidRPr="00C96521">
        <w:rPr>
          <w:rFonts w:eastAsia="MS Mincho"/>
          <w:sz w:val="20"/>
          <w:szCs w:val="22"/>
          <w:lang w:val="en-GB" w:eastAsia="ja-JP"/>
        </w:rPr>
        <w:t>), Scots pine, and black pine (</w:t>
      </w:r>
      <w:r w:rsidRPr="00C96521">
        <w:rPr>
          <w:rFonts w:eastAsia="MS Mincho"/>
          <w:i/>
          <w:sz w:val="20"/>
          <w:szCs w:val="22"/>
          <w:lang w:val="en-GB" w:eastAsia="ja-JP"/>
        </w:rPr>
        <w:t>P. nigra</w:t>
      </w:r>
      <w:r w:rsidRPr="00C96521">
        <w:rPr>
          <w:rFonts w:eastAsia="MS Mincho"/>
          <w:sz w:val="20"/>
          <w:szCs w:val="22"/>
          <w:lang w:val="en-GB" w:eastAsia="ja-JP"/>
        </w:rPr>
        <w:t>).</w:t>
      </w:r>
    </w:p>
    <w:p w14:paraId="2765CA56"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71010A0" w14:textId="77777777" w:rsidR="00C96521" w:rsidRPr="008C00B8" w:rsidRDefault="00C96521" w:rsidP="00C96521">
      <w:pPr>
        <w:widowControl/>
        <w:autoSpaceDE/>
        <w:autoSpaceDN/>
        <w:adjustRightInd/>
        <w:spacing w:line="276" w:lineRule="auto"/>
        <w:rPr>
          <w:rFonts w:eastAsia="MS Mincho"/>
          <w:b/>
          <w:sz w:val="20"/>
          <w:szCs w:val="22"/>
          <w:lang w:val="de-DE" w:eastAsia="ja-JP"/>
        </w:rPr>
      </w:pPr>
      <w:r w:rsidRPr="008C00B8">
        <w:rPr>
          <w:rFonts w:eastAsia="MS Mincho"/>
          <w:b/>
          <w:sz w:val="20"/>
          <w:szCs w:val="22"/>
          <w:lang w:val="de-DE" w:eastAsia="ja-JP"/>
        </w:rPr>
        <w:t>Belgium/Denmark/Germany/Luxembourg/Netherlands/UK</w:t>
      </w:r>
    </w:p>
    <w:p w14:paraId="0E5A7344" w14:textId="77777777" w:rsidR="00C96521" w:rsidRPr="008C00B8" w:rsidRDefault="00C96521" w:rsidP="00C96521">
      <w:pPr>
        <w:widowControl/>
        <w:autoSpaceDE/>
        <w:autoSpaceDN/>
        <w:adjustRightInd/>
        <w:spacing w:line="276" w:lineRule="auto"/>
        <w:rPr>
          <w:rFonts w:eastAsia="MS Mincho"/>
          <w:i/>
          <w:sz w:val="20"/>
          <w:szCs w:val="22"/>
          <w:lang w:val="de-DE" w:eastAsia="ja-JP"/>
        </w:rPr>
      </w:pPr>
    </w:p>
    <w:p w14:paraId="3F04A077"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The species appears to use a mixture of agricultural and wooded areas in this group of countries. In one area in Germany, the species was found to prefer forested and grassland areas, and was more persistent in woody habitats with rich, less agricultural meadows.</w:t>
      </w:r>
    </w:p>
    <w:p w14:paraId="2F8CC7E1"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6DCC3A0"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In Belgium, the species was recorded as nesting in woodland groves and edge, hedges, wet alder (</w:t>
      </w:r>
      <w:r w:rsidRPr="00C96521">
        <w:rPr>
          <w:rFonts w:eastAsia="MS Mincho"/>
          <w:i/>
          <w:sz w:val="20"/>
          <w:szCs w:val="22"/>
          <w:lang w:val="en-GB" w:eastAsia="ja-JP"/>
        </w:rPr>
        <w:t>Alnus</w:t>
      </w:r>
      <w:r w:rsidRPr="00C96521">
        <w:rPr>
          <w:rFonts w:eastAsia="MS Mincho"/>
          <w:sz w:val="20"/>
          <w:szCs w:val="22"/>
          <w:lang w:val="en-GB" w:eastAsia="ja-JP"/>
        </w:rPr>
        <w:t xml:space="preserve"> </w:t>
      </w:r>
      <w:r w:rsidRPr="00C96521">
        <w:rPr>
          <w:rFonts w:eastAsia="MS Mincho"/>
          <w:i/>
          <w:sz w:val="20"/>
          <w:szCs w:val="22"/>
          <w:lang w:val="en-GB" w:eastAsia="ja-JP"/>
        </w:rPr>
        <w:t>sp</w:t>
      </w:r>
      <w:r w:rsidRPr="00C96521">
        <w:rPr>
          <w:rFonts w:eastAsia="MS Mincho"/>
          <w:sz w:val="20"/>
          <w:szCs w:val="22"/>
          <w:lang w:val="en-GB" w:eastAsia="ja-JP"/>
        </w:rPr>
        <w:t xml:space="preserve">) groves, scrubby dunes, young pine forests and larger plantations providing there is sufficient undergrowth (Devillers </w:t>
      </w:r>
      <w:r w:rsidRPr="00C96521">
        <w:rPr>
          <w:rFonts w:eastAsia="MS Mincho"/>
          <w:i/>
          <w:sz w:val="20"/>
          <w:szCs w:val="22"/>
          <w:lang w:val="en-GB" w:eastAsia="ja-JP"/>
        </w:rPr>
        <w:t>et al</w:t>
      </w:r>
      <w:r w:rsidRPr="00C96521">
        <w:rPr>
          <w:rFonts w:eastAsia="MS Mincho"/>
          <w:sz w:val="20"/>
          <w:szCs w:val="22"/>
          <w:lang w:val="en-GB" w:eastAsia="ja-JP"/>
        </w:rPr>
        <w:t xml:space="preserve"> 1988). To a lesser extent, the species has also been recorded breeding in large gardens, parks, and orchards.</w:t>
      </w:r>
    </w:p>
    <w:p w14:paraId="1E49B681"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CEB437D" w14:textId="464994B0"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A study was recently carried out in the Wetterau district of central Hessen, Germany, which involved re-surveying sites where the species had been present 14 years before (Quillfeldt </w:t>
      </w:r>
      <w:r w:rsidRPr="00C96521">
        <w:rPr>
          <w:rFonts w:eastAsia="MS Mincho"/>
          <w:i/>
          <w:sz w:val="20"/>
          <w:szCs w:val="22"/>
          <w:lang w:val="en-GB" w:eastAsia="ja-JP"/>
        </w:rPr>
        <w:t>et al</w:t>
      </w:r>
      <w:r w:rsidRPr="00C96521">
        <w:rPr>
          <w:rFonts w:eastAsia="MS Mincho"/>
          <w:sz w:val="20"/>
          <w:szCs w:val="22"/>
          <w:lang w:val="en-GB" w:eastAsia="ja-JP"/>
        </w:rPr>
        <w:t xml:space="preserve"> 2014). The study found that 31</w:t>
      </w:r>
      <w:r w:rsidR="009E54BD">
        <w:rPr>
          <w:rFonts w:eastAsia="MS Mincho"/>
          <w:sz w:val="20"/>
          <w:szCs w:val="22"/>
          <w:lang w:val="en-GB" w:eastAsia="ja-JP"/>
        </w:rPr>
        <w:t xml:space="preserve"> per cent</w:t>
      </w:r>
      <w:r w:rsidRPr="00C96521">
        <w:rPr>
          <w:rFonts w:eastAsia="MS Mincho"/>
          <w:sz w:val="20"/>
          <w:szCs w:val="22"/>
          <w:lang w:val="en-GB" w:eastAsia="ja-JP"/>
        </w:rPr>
        <w:t xml:space="preserve"> sites retained </w:t>
      </w:r>
      <w:r w:rsidR="009E54BD">
        <w:rPr>
          <w:rFonts w:eastAsia="MS Mincho" w:cs="Arial"/>
          <w:sz w:val="20"/>
          <w:szCs w:val="22"/>
          <w:lang w:val="en-GB" w:eastAsia="ja-JP"/>
        </w:rPr>
        <w:t>T</w:t>
      </w:r>
      <w:r w:rsidR="009E54BD" w:rsidRPr="00C96521">
        <w:rPr>
          <w:rFonts w:eastAsia="MS Mincho" w:cs="Arial"/>
          <w:sz w:val="20"/>
          <w:szCs w:val="22"/>
          <w:lang w:val="en-GB" w:eastAsia="ja-JP"/>
        </w:rPr>
        <w:t>urtle</w:t>
      </w:r>
      <w:r w:rsidR="009E54BD">
        <w:rPr>
          <w:rFonts w:eastAsia="MS Mincho" w:cs="Arial"/>
          <w:sz w:val="20"/>
          <w:szCs w:val="22"/>
          <w:lang w:val="en-GB" w:eastAsia="ja-JP"/>
        </w:rPr>
        <w:t xml:space="preserve"> D</w:t>
      </w:r>
      <w:r w:rsidR="009E54BD" w:rsidRPr="00C96521">
        <w:rPr>
          <w:rFonts w:eastAsia="MS Mincho" w:cs="Arial"/>
          <w:sz w:val="20"/>
          <w:szCs w:val="22"/>
          <w:lang w:val="en-GB" w:eastAsia="ja-JP"/>
        </w:rPr>
        <w:t>oves</w:t>
      </w:r>
      <w:r w:rsidRPr="00C96521">
        <w:rPr>
          <w:rFonts w:eastAsia="MS Mincho"/>
          <w:sz w:val="20"/>
          <w:szCs w:val="22"/>
          <w:lang w:val="en-GB" w:eastAsia="ja-JP"/>
        </w:rPr>
        <w:t xml:space="preserve">. In the Taunusausläufern area, sites that retained </w:t>
      </w:r>
      <w:r w:rsidR="009E54BD">
        <w:rPr>
          <w:rFonts w:eastAsia="MS Mincho" w:cs="Arial"/>
          <w:sz w:val="20"/>
          <w:szCs w:val="22"/>
          <w:lang w:val="en-GB" w:eastAsia="ja-JP"/>
        </w:rPr>
        <w:t>T</w:t>
      </w:r>
      <w:r w:rsidR="009E54BD" w:rsidRPr="00C96521">
        <w:rPr>
          <w:rFonts w:eastAsia="MS Mincho" w:cs="Arial"/>
          <w:sz w:val="20"/>
          <w:szCs w:val="22"/>
          <w:lang w:val="en-GB" w:eastAsia="ja-JP"/>
        </w:rPr>
        <w:t>urtle</w:t>
      </w:r>
      <w:r w:rsidR="009E54BD">
        <w:rPr>
          <w:rFonts w:eastAsia="MS Mincho" w:cs="Arial"/>
          <w:sz w:val="20"/>
          <w:szCs w:val="22"/>
          <w:lang w:val="en-GB" w:eastAsia="ja-JP"/>
        </w:rPr>
        <w:t xml:space="preserve"> D</w:t>
      </w:r>
      <w:r w:rsidR="009E54BD" w:rsidRPr="00C96521">
        <w:rPr>
          <w:rFonts w:eastAsia="MS Mincho" w:cs="Arial"/>
          <w:sz w:val="20"/>
          <w:szCs w:val="22"/>
          <w:lang w:val="en-GB" w:eastAsia="ja-JP"/>
        </w:rPr>
        <w:t xml:space="preserve">oves </w:t>
      </w:r>
      <w:r w:rsidRPr="00C96521">
        <w:rPr>
          <w:rFonts w:eastAsia="MS Mincho"/>
          <w:sz w:val="20"/>
          <w:szCs w:val="22"/>
          <w:lang w:val="en-GB" w:eastAsia="ja-JP"/>
        </w:rPr>
        <w:t>had woody habitats and rich, less agricultural meadows. The species showed a preference for forested and grassland areas, and dense forested areas and mixed woodland were important for breeding. Grassland and forest meadows were important for foraging.</w:t>
      </w:r>
    </w:p>
    <w:p w14:paraId="3888D6F8"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4ABC9A6"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the Netherlands, major breeding habitats for the species are younger polder forests (usually poplar, </w:t>
      </w:r>
      <w:r w:rsidRPr="00C96521">
        <w:rPr>
          <w:rFonts w:eastAsia="MS Mincho"/>
          <w:i/>
          <w:sz w:val="20"/>
          <w:szCs w:val="22"/>
          <w:lang w:val="en-GB" w:eastAsia="ja-JP"/>
        </w:rPr>
        <w:t>Populus</w:t>
      </w:r>
      <w:r w:rsidRPr="00C96521">
        <w:rPr>
          <w:rFonts w:eastAsia="MS Mincho"/>
          <w:sz w:val="20"/>
          <w:szCs w:val="22"/>
          <w:lang w:val="en-GB" w:eastAsia="ja-JP"/>
        </w:rPr>
        <w:t xml:space="preserve"> sp), hawthorn hedges, and streamside thickets (SOVON 2002). Arable land is important, particularly the edges which offer important foraging resources in the form of weed seeds. The species shows a preference for arable land over grassland and avoids very open areas.</w:t>
      </w:r>
    </w:p>
    <w:p w14:paraId="7D63D22C"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982DF56" w14:textId="6D5D57CB"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In the UK, the species has been recorded using principally farmyards and break crops as foraging sites, and at these sites mainly fed on the weed strip around fields and on stubbles after harvest (Browne and Aebischer 2003a). In the same study, the species did not use clover (</w:t>
      </w:r>
      <w:r w:rsidRPr="00C96521">
        <w:rPr>
          <w:rFonts w:eastAsia="MS Mincho"/>
          <w:i/>
          <w:sz w:val="20"/>
          <w:szCs w:val="22"/>
          <w:lang w:val="en-GB" w:eastAsia="ja-JP"/>
        </w:rPr>
        <w:t>Trifolium</w:t>
      </w:r>
      <w:r w:rsidRPr="00C96521">
        <w:rPr>
          <w:rFonts w:eastAsia="MS Mincho"/>
          <w:sz w:val="20"/>
          <w:szCs w:val="22"/>
          <w:lang w:val="en-GB" w:eastAsia="ja-JP"/>
        </w:rPr>
        <w:t xml:space="preserve"> sp), ley or hay fields as it did in the late 1950s and early 1960s. Clover leys today are likely to contain far fewer weed species than in the 1950s/60s. Similarly, a difference in diet was identified, with diet in the 1950s/</w:t>
      </w:r>
      <w:r w:rsidR="009E54BD">
        <w:rPr>
          <w:rFonts w:eastAsia="MS Mincho"/>
          <w:sz w:val="20"/>
          <w:szCs w:val="22"/>
          <w:lang w:val="en-GB" w:eastAsia="ja-JP"/>
        </w:rPr>
        <w:t>’</w:t>
      </w:r>
      <w:r w:rsidRPr="00C96521">
        <w:rPr>
          <w:rFonts w:eastAsia="MS Mincho"/>
          <w:sz w:val="20"/>
          <w:szCs w:val="22"/>
          <w:lang w:val="en-GB" w:eastAsia="ja-JP"/>
        </w:rPr>
        <w:t>60s consisting of more than 95</w:t>
      </w:r>
      <w:r w:rsidR="009E54BD">
        <w:rPr>
          <w:rFonts w:eastAsia="MS Mincho"/>
          <w:sz w:val="20"/>
          <w:szCs w:val="22"/>
          <w:lang w:val="en-GB" w:eastAsia="ja-JP"/>
        </w:rPr>
        <w:t xml:space="preserve"> per cent</w:t>
      </w:r>
      <w:r w:rsidRPr="00C96521">
        <w:rPr>
          <w:rFonts w:eastAsia="MS Mincho"/>
          <w:sz w:val="20"/>
          <w:szCs w:val="22"/>
          <w:lang w:val="en-GB" w:eastAsia="ja-JP"/>
        </w:rPr>
        <w:t xml:space="preserve"> weed seeds, mainly fumitory (</w:t>
      </w:r>
      <w:r w:rsidRPr="00C96521">
        <w:rPr>
          <w:rFonts w:eastAsia="MS Mincho"/>
          <w:i/>
          <w:sz w:val="20"/>
          <w:szCs w:val="22"/>
          <w:lang w:val="en-GB" w:eastAsia="ja-JP"/>
        </w:rPr>
        <w:t>Fumaria officinalis</w:t>
      </w:r>
      <w:r w:rsidRPr="00C96521">
        <w:rPr>
          <w:rFonts w:eastAsia="MS Mincho"/>
          <w:sz w:val="20"/>
          <w:szCs w:val="22"/>
          <w:lang w:val="en-GB" w:eastAsia="ja-JP"/>
        </w:rPr>
        <w:t>), compared to just 40</w:t>
      </w:r>
      <w:r w:rsidR="009E54BD">
        <w:rPr>
          <w:rFonts w:eastAsia="MS Mincho"/>
          <w:sz w:val="20"/>
          <w:szCs w:val="22"/>
          <w:lang w:val="en-GB" w:eastAsia="ja-JP"/>
        </w:rPr>
        <w:t xml:space="preserve"> per cent</w:t>
      </w:r>
      <w:r w:rsidRPr="00C96521">
        <w:rPr>
          <w:rFonts w:eastAsia="MS Mincho"/>
          <w:sz w:val="20"/>
          <w:szCs w:val="22"/>
          <w:lang w:val="en-GB" w:eastAsia="ja-JP"/>
        </w:rPr>
        <w:t xml:space="preserve"> weed seeds in the late 1990s. Nestling diet in the late 1990s constituted almost 70</w:t>
      </w:r>
      <w:r w:rsidR="009E54BD">
        <w:rPr>
          <w:rFonts w:eastAsia="MS Mincho"/>
          <w:sz w:val="20"/>
          <w:szCs w:val="22"/>
          <w:lang w:val="en-GB" w:eastAsia="ja-JP"/>
        </w:rPr>
        <w:t xml:space="preserve"> per cent</w:t>
      </w:r>
      <w:r w:rsidRPr="00C96521">
        <w:rPr>
          <w:rFonts w:eastAsia="MS Mincho"/>
          <w:sz w:val="20"/>
          <w:szCs w:val="22"/>
          <w:lang w:val="en-GB" w:eastAsia="ja-JP"/>
        </w:rPr>
        <w:t xml:space="preserve"> seeds from cultivated plants (wheat </w:t>
      </w:r>
      <w:r w:rsidRPr="00C96521">
        <w:rPr>
          <w:rFonts w:eastAsia="MS Mincho"/>
          <w:i/>
          <w:sz w:val="20"/>
          <w:szCs w:val="22"/>
          <w:lang w:val="en-GB" w:eastAsia="ja-JP"/>
        </w:rPr>
        <w:t>Triticum sp</w:t>
      </w:r>
      <w:r w:rsidRPr="00C96521">
        <w:rPr>
          <w:rFonts w:eastAsia="MS Mincho"/>
          <w:sz w:val="20"/>
          <w:szCs w:val="22"/>
          <w:lang w:val="en-GB" w:eastAsia="ja-JP"/>
        </w:rPr>
        <w:t xml:space="preserve"> and rape) and adult diet 60</w:t>
      </w:r>
      <w:r w:rsidR="009E54BD">
        <w:rPr>
          <w:rFonts w:eastAsia="MS Mincho"/>
          <w:sz w:val="20"/>
          <w:szCs w:val="22"/>
          <w:lang w:val="en-GB" w:eastAsia="ja-JP"/>
        </w:rPr>
        <w:t xml:space="preserve"> per cent</w:t>
      </w:r>
      <w:r w:rsidRPr="00C96521">
        <w:rPr>
          <w:rFonts w:eastAsia="MS Mincho"/>
          <w:sz w:val="20"/>
          <w:szCs w:val="22"/>
          <w:lang w:val="en-GB" w:eastAsia="ja-JP"/>
        </w:rPr>
        <w:t xml:space="preserve"> cultivated seeds. These figures contrast strongly with diet in the 1950s/</w:t>
      </w:r>
      <w:r w:rsidR="009E54BD">
        <w:rPr>
          <w:rFonts w:eastAsia="MS Mincho"/>
          <w:sz w:val="20"/>
          <w:szCs w:val="22"/>
          <w:lang w:val="en-GB" w:eastAsia="ja-JP"/>
        </w:rPr>
        <w:t>’</w:t>
      </w:r>
      <w:r w:rsidRPr="00C96521">
        <w:rPr>
          <w:rFonts w:eastAsia="MS Mincho"/>
          <w:sz w:val="20"/>
          <w:szCs w:val="22"/>
          <w:lang w:val="en-GB" w:eastAsia="ja-JP"/>
        </w:rPr>
        <w:t>60s where seeds from cultivation made up just 23</w:t>
      </w:r>
      <w:r w:rsidR="009E54BD">
        <w:rPr>
          <w:rFonts w:eastAsia="MS Mincho"/>
          <w:sz w:val="20"/>
          <w:szCs w:val="22"/>
          <w:lang w:val="en-GB" w:eastAsia="ja-JP"/>
        </w:rPr>
        <w:t xml:space="preserve"> per cent</w:t>
      </w:r>
      <w:r w:rsidRPr="00C96521">
        <w:rPr>
          <w:rFonts w:eastAsia="MS Mincho"/>
          <w:sz w:val="20"/>
          <w:szCs w:val="22"/>
          <w:lang w:val="en-GB" w:eastAsia="ja-JP"/>
        </w:rPr>
        <w:t xml:space="preserve"> and 5</w:t>
      </w:r>
      <w:r w:rsidR="009E54BD">
        <w:rPr>
          <w:rFonts w:eastAsia="MS Mincho"/>
          <w:sz w:val="20"/>
          <w:szCs w:val="22"/>
          <w:lang w:val="en-GB" w:eastAsia="ja-JP"/>
        </w:rPr>
        <w:t xml:space="preserve"> per cent</w:t>
      </w:r>
      <w:r w:rsidRPr="00C96521">
        <w:rPr>
          <w:rFonts w:eastAsia="MS Mincho"/>
          <w:sz w:val="20"/>
          <w:szCs w:val="22"/>
          <w:lang w:val="en-GB" w:eastAsia="ja-JP"/>
        </w:rPr>
        <w:t xml:space="preserve"> respectively of nestling and adult diets. In a study in eastern England, more than 75</w:t>
      </w:r>
      <w:r w:rsidR="009E54BD">
        <w:rPr>
          <w:rFonts w:eastAsia="MS Mincho"/>
          <w:sz w:val="20"/>
          <w:szCs w:val="22"/>
          <w:lang w:val="en-GB" w:eastAsia="ja-JP"/>
        </w:rPr>
        <w:t xml:space="preserve"> pre cent</w:t>
      </w:r>
      <w:r w:rsidRPr="00C96521">
        <w:rPr>
          <w:rFonts w:eastAsia="MS Mincho"/>
          <w:sz w:val="20"/>
          <w:szCs w:val="22"/>
          <w:lang w:val="en-GB" w:eastAsia="ja-JP"/>
        </w:rPr>
        <w:t xml:space="preserve"> turtle-dove territories were associated with residential areas, scrub, and woodland, with hedges use much less often than expected, based on their occurrence (Mason and Macdonald 2000). The study also found that grass was a strongly-preferred land-use. On set-aside, pigeons (</w:t>
      </w:r>
      <w:r w:rsidRPr="00C96521">
        <w:rPr>
          <w:rFonts w:eastAsia="MS Mincho"/>
          <w:i/>
          <w:sz w:val="20"/>
          <w:szCs w:val="22"/>
          <w:lang w:val="en-GB" w:eastAsia="ja-JP"/>
        </w:rPr>
        <w:t>Streptopelia</w:t>
      </w:r>
      <w:r w:rsidRPr="00C96521">
        <w:rPr>
          <w:rFonts w:eastAsia="MS Mincho"/>
          <w:sz w:val="20"/>
          <w:szCs w:val="22"/>
          <w:lang w:val="en-GB" w:eastAsia="ja-JP"/>
        </w:rPr>
        <w:t xml:space="preserve"> </w:t>
      </w:r>
      <w:r w:rsidRPr="00C96521">
        <w:rPr>
          <w:rFonts w:eastAsia="MS Mincho"/>
          <w:i/>
          <w:sz w:val="20"/>
          <w:szCs w:val="22"/>
          <w:lang w:val="en-GB" w:eastAsia="ja-JP"/>
        </w:rPr>
        <w:t>sp</w:t>
      </w:r>
      <w:r w:rsidRPr="00C96521">
        <w:rPr>
          <w:rFonts w:eastAsia="MS Mincho"/>
          <w:sz w:val="20"/>
          <w:szCs w:val="22"/>
          <w:lang w:val="en-GB" w:eastAsia="ja-JP"/>
        </w:rPr>
        <w:t xml:space="preserve"> and </w:t>
      </w:r>
      <w:r w:rsidRPr="00C96521">
        <w:rPr>
          <w:rFonts w:eastAsia="MS Mincho"/>
          <w:i/>
          <w:sz w:val="20"/>
          <w:szCs w:val="22"/>
          <w:lang w:val="en-GB" w:eastAsia="ja-JP"/>
        </w:rPr>
        <w:t>Columba</w:t>
      </w:r>
      <w:r w:rsidRPr="00C96521">
        <w:rPr>
          <w:rFonts w:eastAsia="MS Mincho"/>
          <w:sz w:val="20"/>
          <w:szCs w:val="22"/>
          <w:lang w:val="en-GB" w:eastAsia="ja-JP"/>
        </w:rPr>
        <w:t xml:space="preserve"> </w:t>
      </w:r>
      <w:r w:rsidRPr="00C96521">
        <w:rPr>
          <w:rFonts w:eastAsia="MS Mincho"/>
          <w:i/>
          <w:sz w:val="20"/>
          <w:szCs w:val="22"/>
          <w:lang w:val="en-GB" w:eastAsia="ja-JP"/>
        </w:rPr>
        <w:t>sp</w:t>
      </w:r>
      <w:r w:rsidRPr="00C96521">
        <w:rPr>
          <w:rFonts w:eastAsia="MS Mincho"/>
          <w:sz w:val="20"/>
          <w:szCs w:val="22"/>
          <w:lang w:val="en-GB" w:eastAsia="ja-JP"/>
        </w:rPr>
        <w:t xml:space="preserve">), were positively associated with bare ground during the breeding season, but the association was not statistically significant (Henderson and Evans 2000). Younger set-asides tended to have a mosaic of bare ground, straw, litter and vegetation cover. Pigeon abundance in summer was also found to be significantly higher on set-aside than on winter cereals, with highest abundances on rotational set-aside (Henderson </w:t>
      </w:r>
      <w:r w:rsidRPr="00C96521">
        <w:rPr>
          <w:rFonts w:eastAsia="MS Mincho"/>
          <w:i/>
          <w:sz w:val="20"/>
          <w:szCs w:val="22"/>
          <w:lang w:val="en-GB" w:eastAsia="ja-JP"/>
        </w:rPr>
        <w:t>et al</w:t>
      </w:r>
      <w:r w:rsidRPr="00C96521">
        <w:rPr>
          <w:rFonts w:eastAsia="MS Mincho"/>
          <w:sz w:val="20"/>
          <w:szCs w:val="22"/>
          <w:lang w:val="en-GB" w:eastAsia="ja-JP"/>
        </w:rPr>
        <w:t xml:space="preserve"> 2000).</w:t>
      </w:r>
    </w:p>
    <w:p w14:paraId="2CBEE21A"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31F4BCAA"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 xml:space="preserve">Estonia/Finland/Latvia/Lithuania </w:t>
      </w:r>
    </w:p>
    <w:p w14:paraId="14F68899"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p>
    <w:p w14:paraId="50E309F5"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Habitat information is limited. However, in Latvia the species is known to use a mixture of agricultural and woodland habitats.</w:t>
      </w:r>
    </w:p>
    <w:p w14:paraId="3101D492"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E44B357"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In Latvia,</w:t>
      </w:r>
      <w:r w:rsidRPr="00C96521">
        <w:rPr>
          <w:rFonts w:eastAsia="MS Mincho"/>
          <w:b/>
          <w:sz w:val="20"/>
          <w:szCs w:val="22"/>
          <w:lang w:val="en-GB" w:eastAsia="ja-JP"/>
        </w:rPr>
        <w:t xml:space="preserve"> </w:t>
      </w:r>
      <w:r w:rsidRPr="00C96521">
        <w:rPr>
          <w:rFonts w:eastAsia="MS Mincho"/>
          <w:sz w:val="20"/>
          <w:szCs w:val="22"/>
          <w:lang w:val="en-GB" w:eastAsia="ja-JP"/>
        </w:rPr>
        <w:t xml:space="preserve">the species has been recorded nesting mainly near fields and meadows in small mixed and deciduous woods, at the edges and in shrubs and saplings (Priednieks </w:t>
      </w:r>
      <w:r w:rsidRPr="00C96521">
        <w:rPr>
          <w:rFonts w:eastAsia="MS Mincho"/>
          <w:i/>
          <w:sz w:val="20"/>
          <w:szCs w:val="22"/>
          <w:lang w:val="en-GB" w:eastAsia="ja-JP"/>
        </w:rPr>
        <w:t>et al</w:t>
      </w:r>
      <w:r w:rsidRPr="00C96521">
        <w:rPr>
          <w:rFonts w:eastAsia="MS Mincho"/>
          <w:sz w:val="20"/>
          <w:szCs w:val="22"/>
          <w:lang w:val="en-GB" w:eastAsia="ja-JP"/>
        </w:rPr>
        <w:t xml:space="preserve"> 1989). The species was recorded at slightly higher densities in deciduous forests compared to mixed forests dominated by pine trees (Rouxel 2000). Highest densities in Lithuania have been reported from mixed forests with fir trees, while the species was found at lower densities in small stands of urban and agricultural areas (Rouxel 2000).</w:t>
      </w:r>
    </w:p>
    <w:p w14:paraId="1CA0E354"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633DD55F"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Austria/Czech Republic/Hungary/Italy/Liechtenstein/Poland/Slovakia/Switzerland</w:t>
      </w:r>
    </w:p>
    <w:p w14:paraId="562F7EC5"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p>
    <w:p w14:paraId="771F1C90" w14:textId="77777777" w:rsidR="00C96521" w:rsidRPr="00C96521" w:rsidRDefault="00C96521" w:rsidP="00C96521">
      <w:pPr>
        <w:widowControl/>
        <w:autoSpaceDE/>
        <w:autoSpaceDN/>
        <w:adjustRightInd/>
        <w:spacing w:line="276" w:lineRule="auto"/>
        <w:rPr>
          <w:rFonts w:eastAsia="MS Mincho"/>
          <w:i/>
          <w:color w:val="000000"/>
          <w:sz w:val="20"/>
          <w:szCs w:val="22"/>
          <w:lang w:val="en-GB" w:eastAsia="ja-JP"/>
        </w:rPr>
      </w:pPr>
      <w:r w:rsidRPr="00C96521">
        <w:rPr>
          <w:rFonts w:eastAsia="MS Mincho"/>
          <w:i/>
          <w:color w:val="000000"/>
          <w:sz w:val="20"/>
          <w:szCs w:val="22"/>
          <w:lang w:val="en-GB" w:eastAsia="ja-JP"/>
        </w:rPr>
        <w:t>Wooded areas are of importance for the species in this group of countries. The density of turtle-doves in forest habitats was twice that of farmland in Hungary; however, habitat occupancy was higher on farmland than in forest. In Italy and Poland, woodland patches are important.</w:t>
      </w:r>
    </w:p>
    <w:p w14:paraId="7F97A7B6" w14:textId="77777777" w:rsidR="00C96521" w:rsidRPr="00C96521" w:rsidRDefault="00C96521" w:rsidP="00C96521">
      <w:pPr>
        <w:widowControl/>
        <w:autoSpaceDE/>
        <w:autoSpaceDN/>
        <w:adjustRightInd/>
        <w:spacing w:line="276" w:lineRule="auto"/>
        <w:rPr>
          <w:rFonts w:eastAsia="MS Mincho"/>
          <w:color w:val="000000"/>
          <w:sz w:val="20"/>
          <w:szCs w:val="22"/>
          <w:lang w:val="en-GB" w:eastAsia="ja-JP"/>
        </w:rPr>
      </w:pPr>
    </w:p>
    <w:p w14:paraId="7809E46E" w14:textId="160F7AF4" w:rsidR="00C96521" w:rsidRPr="00C96521" w:rsidRDefault="00C96521" w:rsidP="00C96521">
      <w:pPr>
        <w:widowControl/>
        <w:autoSpaceDE/>
        <w:autoSpaceDN/>
        <w:adjustRightInd/>
        <w:spacing w:line="276" w:lineRule="auto"/>
        <w:rPr>
          <w:rFonts w:eastAsia="MS Mincho"/>
          <w:color w:val="000000"/>
          <w:sz w:val="20"/>
          <w:szCs w:val="22"/>
          <w:lang w:val="en-GB" w:eastAsia="ja-JP"/>
        </w:rPr>
      </w:pPr>
      <w:r w:rsidRPr="00C96521">
        <w:rPr>
          <w:rFonts w:eastAsia="MS Mincho"/>
          <w:color w:val="000000"/>
          <w:sz w:val="20"/>
          <w:szCs w:val="22"/>
          <w:lang w:val="en-GB" w:eastAsia="ja-JP"/>
        </w:rPr>
        <w:t xml:space="preserve">In Austria and the Czech Republic, </w:t>
      </w:r>
      <w:r w:rsidR="00A12C76">
        <w:rPr>
          <w:rFonts w:eastAsia="MS Mincho"/>
          <w:color w:val="000000"/>
          <w:sz w:val="20"/>
          <w:szCs w:val="22"/>
          <w:lang w:val="en-GB" w:eastAsia="ja-JP"/>
        </w:rPr>
        <w:t xml:space="preserve">the </w:t>
      </w:r>
      <w:r w:rsidR="00A12C76">
        <w:rPr>
          <w:rFonts w:eastAsia="MS Mincho" w:cs="Arial"/>
          <w:sz w:val="20"/>
          <w:szCs w:val="22"/>
          <w:lang w:val="en-GB" w:eastAsia="ja-JP"/>
        </w:rPr>
        <w:t>T</w:t>
      </w:r>
      <w:r w:rsidR="00A12C76" w:rsidRPr="00C96521">
        <w:rPr>
          <w:rFonts w:eastAsia="MS Mincho" w:cs="Arial"/>
          <w:sz w:val="20"/>
          <w:szCs w:val="22"/>
          <w:lang w:val="en-GB" w:eastAsia="ja-JP"/>
        </w:rPr>
        <w:t>urtle</w:t>
      </w:r>
      <w:r w:rsidR="00A12C76">
        <w:rPr>
          <w:rFonts w:eastAsia="MS Mincho" w:cs="Arial"/>
          <w:sz w:val="20"/>
          <w:szCs w:val="22"/>
          <w:lang w:val="en-GB" w:eastAsia="ja-JP"/>
        </w:rPr>
        <w:t xml:space="preserve"> D</w:t>
      </w:r>
      <w:r w:rsidR="00A12C76" w:rsidRPr="00C96521">
        <w:rPr>
          <w:rFonts w:eastAsia="MS Mincho" w:cs="Arial"/>
          <w:sz w:val="20"/>
          <w:szCs w:val="22"/>
          <w:lang w:val="en-GB" w:eastAsia="ja-JP"/>
        </w:rPr>
        <w:t>ove</w:t>
      </w:r>
      <w:r w:rsidRPr="00C96521">
        <w:rPr>
          <w:rFonts w:eastAsia="MS Mincho"/>
          <w:color w:val="000000"/>
          <w:sz w:val="20"/>
          <w:szCs w:val="22"/>
          <w:lang w:val="en-GB" w:eastAsia="ja-JP"/>
        </w:rPr>
        <w:t xml:space="preserve"> is considered a species of farmland (Reif </w:t>
      </w:r>
      <w:r w:rsidRPr="00C96521">
        <w:rPr>
          <w:rFonts w:eastAsia="MS Mincho"/>
          <w:i/>
          <w:color w:val="000000"/>
          <w:sz w:val="20"/>
          <w:szCs w:val="22"/>
          <w:lang w:val="en-GB" w:eastAsia="ja-JP"/>
        </w:rPr>
        <w:t>et al</w:t>
      </w:r>
      <w:r w:rsidRPr="00C96521">
        <w:rPr>
          <w:rFonts w:eastAsia="MS Mincho"/>
          <w:color w:val="000000"/>
          <w:sz w:val="20"/>
          <w:szCs w:val="22"/>
          <w:lang w:val="en-GB" w:eastAsia="ja-JP"/>
        </w:rPr>
        <w:t xml:space="preserve"> 2006, Teufelbauer and Frühauf 2010).</w:t>
      </w:r>
    </w:p>
    <w:p w14:paraId="2E8D3EC8" w14:textId="77777777" w:rsidR="00C96521" w:rsidRPr="00C96521" w:rsidRDefault="00C96521" w:rsidP="00C96521">
      <w:pPr>
        <w:widowControl/>
        <w:autoSpaceDE/>
        <w:autoSpaceDN/>
        <w:adjustRightInd/>
        <w:spacing w:line="276" w:lineRule="auto"/>
        <w:rPr>
          <w:rFonts w:eastAsia="MS Mincho"/>
          <w:color w:val="000000"/>
          <w:sz w:val="20"/>
          <w:szCs w:val="22"/>
          <w:lang w:val="en-GB" w:eastAsia="ja-JP"/>
        </w:rPr>
      </w:pPr>
    </w:p>
    <w:p w14:paraId="7BAE4B01" w14:textId="0C581250"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color w:val="000000"/>
          <w:sz w:val="20"/>
          <w:szCs w:val="22"/>
          <w:lang w:val="en-GB" w:eastAsia="ja-JP"/>
        </w:rPr>
        <w:t>In Hungary, the relative density of birds was 2.3 individuals/km</w:t>
      </w:r>
      <w:r w:rsidRPr="00C96521">
        <w:rPr>
          <w:rFonts w:eastAsia="MS Mincho"/>
          <w:color w:val="000000"/>
          <w:sz w:val="20"/>
          <w:szCs w:val="22"/>
          <w:vertAlign w:val="superscript"/>
          <w:lang w:val="en-GB" w:eastAsia="ja-JP"/>
        </w:rPr>
        <w:t>2</w:t>
      </w:r>
      <w:r w:rsidRPr="00C96521">
        <w:rPr>
          <w:rFonts w:eastAsia="MS Mincho"/>
          <w:color w:val="000000"/>
          <w:sz w:val="20"/>
          <w:szCs w:val="22"/>
          <w:lang w:val="en-GB" w:eastAsia="ja-JP"/>
        </w:rPr>
        <w:t xml:space="preserve"> for wetlands (standard error 0.6), 8.7 individuals/km</w:t>
      </w:r>
      <w:r w:rsidRPr="00C96521">
        <w:rPr>
          <w:rFonts w:eastAsia="MS Mincho"/>
          <w:color w:val="000000"/>
          <w:sz w:val="20"/>
          <w:szCs w:val="22"/>
          <w:vertAlign w:val="superscript"/>
          <w:lang w:val="en-GB" w:eastAsia="ja-JP"/>
        </w:rPr>
        <w:t>2</w:t>
      </w:r>
      <w:r w:rsidRPr="00C96521">
        <w:rPr>
          <w:rFonts w:eastAsia="MS Mincho"/>
          <w:color w:val="000000"/>
          <w:sz w:val="20"/>
          <w:szCs w:val="22"/>
          <w:lang w:val="en-GB" w:eastAsia="ja-JP"/>
        </w:rPr>
        <w:t xml:space="preserve"> for forests (standard error 0.3), 4.1 individuals/km</w:t>
      </w:r>
      <w:r w:rsidRPr="00C96521">
        <w:rPr>
          <w:rFonts w:eastAsia="MS Mincho"/>
          <w:color w:val="000000"/>
          <w:sz w:val="20"/>
          <w:szCs w:val="22"/>
          <w:vertAlign w:val="superscript"/>
          <w:lang w:val="en-GB" w:eastAsia="ja-JP"/>
        </w:rPr>
        <w:t>2</w:t>
      </w:r>
      <w:r w:rsidRPr="00C96521">
        <w:rPr>
          <w:rFonts w:eastAsia="MS Mincho"/>
          <w:color w:val="000000"/>
          <w:sz w:val="20"/>
          <w:szCs w:val="22"/>
          <w:lang w:val="en-GB" w:eastAsia="ja-JP"/>
        </w:rPr>
        <w:t xml:space="preserve"> for farmland (standard error 0.2) and 3.4 individuals/km</w:t>
      </w:r>
      <w:r w:rsidRPr="00C96521">
        <w:rPr>
          <w:rFonts w:eastAsia="MS Mincho"/>
          <w:color w:val="000000"/>
          <w:sz w:val="20"/>
          <w:szCs w:val="22"/>
          <w:vertAlign w:val="superscript"/>
          <w:lang w:val="en-GB" w:eastAsia="ja-JP"/>
        </w:rPr>
        <w:t>2</w:t>
      </w:r>
      <w:r w:rsidRPr="00C96521">
        <w:rPr>
          <w:rFonts w:eastAsia="MS Mincho"/>
          <w:color w:val="000000"/>
          <w:sz w:val="20"/>
          <w:szCs w:val="22"/>
          <w:lang w:val="en-GB" w:eastAsia="ja-JP"/>
        </w:rPr>
        <w:t xml:space="preserve"> for urban areas (standard error 1.3). Habitat occupancy was 56.6% for farmland, 37.8</w:t>
      </w:r>
      <w:r w:rsidR="00A12C76">
        <w:rPr>
          <w:rFonts w:eastAsia="MS Mincho"/>
          <w:color w:val="000000"/>
          <w:sz w:val="20"/>
          <w:szCs w:val="22"/>
          <w:lang w:val="en-GB" w:eastAsia="ja-JP"/>
        </w:rPr>
        <w:t xml:space="preserve"> per cent</w:t>
      </w:r>
      <w:r w:rsidRPr="00C96521">
        <w:rPr>
          <w:rFonts w:eastAsia="MS Mincho"/>
          <w:color w:val="000000"/>
          <w:sz w:val="20"/>
          <w:szCs w:val="22"/>
          <w:lang w:val="en-GB" w:eastAsia="ja-JP"/>
        </w:rPr>
        <w:t xml:space="preserve"> for forest, 4.0</w:t>
      </w:r>
      <w:r w:rsidR="00A12C76">
        <w:rPr>
          <w:rFonts w:eastAsia="MS Mincho"/>
          <w:color w:val="000000"/>
          <w:sz w:val="20"/>
          <w:szCs w:val="22"/>
          <w:lang w:val="en-GB" w:eastAsia="ja-JP"/>
        </w:rPr>
        <w:t xml:space="preserve"> per cent</w:t>
      </w:r>
      <w:r w:rsidRPr="00C96521">
        <w:rPr>
          <w:rFonts w:eastAsia="MS Mincho"/>
          <w:color w:val="000000"/>
          <w:sz w:val="20"/>
          <w:szCs w:val="22"/>
          <w:lang w:val="en-GB" w:eastAsia="ja-JP"/>
        </w:rPr>
        <w:t xml:space="preserve"> for urban areas, and 1.6</w:t>
      </w:r>
      <w:r w:rsidR="00A12C76">
        <w:rPr>
          <w:rFonts w:eastAsia="MS Mincho"/>
          <w:color w:val="000000"/>
          <w:sz w:val="20"/>
          <w:szCs w:val="22"/>
          <w:lang w:val="en-GB" w:eastAsia="ja-JP"/>
        </w:rPr>
        <w:t xml:space="preserve"> per cent</w:t>
      </w:r>
      <w:r w:rsidRPr="00C96521">
        <w:rPr>
          <w:rFonts w:eastAsia="MS Mincho"/>
          <w:color w:val="000000"/>
          <w:sz w:val="20"/>
          <w:szCs w:val="22"/>
          <w:lang w:val="en-GB" w:eastAsia="ja-JP"/>
        </w:rPr>
        <w:t xml:space="preserve"> for wetlands. (Szep </w:t>
      </w:r>
      <w:r w:rsidRPr="00C96521">
        <w:rPr>
          <w:rFonts w:eastAsia="MS Mincho"/>
          <w:i/>
          <w:color w:val="000000"/>
          <w:sz w:val="20"/>
          <w:szCs w:val="22"/>
          <w:lang w:val="en-GB" w:eastAsia="ja-JP"/>
        </w:rPr>
        <w:t>et al</w:t>
      </w:r>
      <w:r w:rsidRPr="00C96521">
        <w:rPr>
          <w:rFonts w:eastAsia="MS Mincho"/>
          <w:color w:val="000000"/>
          <w:sz w:val="20"/>
          <w:szCs w:val="22"/>
          <w:lang w:val="en-GB" w:eastAsia="ja-JP"/>
        </w:rPr>
        <w:t xml:space="preserve"> 2012).</w:t>
      </w:r>
      <w:r w:rsidRPr="00C96521">
        <w:rPr>
          <w:rFonts w:eastAsia="MS Mincho"/>
          <w:sz w:val="20"/>
          <w:szCs w:val="22"/>
          <w:lang w:val="en-GB" w:eastAsia="ja-JP"/>
        </w:rPr>
        <w:t xml:space="preserve"> At least 60,000 individuals were found roosting in an oak plantation in eastern Hungary in 1987 (Attila Bankovics </w:t>
      </w:r>
      <w:r w:rsidRPr="00C96521">
        <w:rPr>
          <w:rFonts w:eastAsia="MS Mincho"/>
          <w:i/>
          <w:sz w:val="20"/>
          <w:szCs w:val="22"/>
          <w:lang w:val="en-GB" w:eastAsia="ja-JP"/>
        </w:rPr>
        <w:t>pers comm</w:t>
      </w:r>
      <w:r w:rsidRPr="00C96521">
        <w:rPr>
          <w:rFonts w:eastAsia="MS Mincho"/>
          <w:sz w:val="20"/>
          <w:szCs w:val="22"/>
          <w:lang w:val="en-GB" w:eastAsia="ja-JP"/>
        </w:rPr>
        <w:t>).</w:t>
      </w:r>
    </w:p>
    <w:p w14:paraId="68806916"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14C576C"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In Italy, the species is described as using various types of open wooded areas (IUCN Comitato Italiano 2012). Its breeding habitat is cultivated areas with hedges and trees in proximity to watercourses. The greatest densities were found in hilly areas where fields under cultivation (wheat and sunflowers) were interspersed with groves of locust (</w:t>
      </w:r>
      <w:r w:rsidRPr="00C96521">
        <w:rPr>
          <w:rFonts w:eastAsia="MS Mincho"/>
          <w:i/>
          <w:sz w:val="20"/>
          <w:szCs w:val="22"/>
          <w:lang w:val="en-GB" w:eastAsia="ja-JP"/>
        </w:rPr>
        <w:t>Parkia biglobosa</w:t>
      </w:r>
      <w:r w:rsidRPr="00C96521">
        <w:rPr>
          <w:rFonts w:eastAsia="MS Mincho"/>
          <w:sz w:val="20"/>
          <w:szCs w:val="22"/>
          <w:lang w:val="en-GB" w:eastAsia="ja-JP"/>
        </w:rPr>
        <w:t>), elm (</w:t>
      </w:r>
      <w:r w:rsidRPr="00C96521">
        <w:rPr>
          <w:rFonts w:eastAsia="MS Mincho"/>
          <w:i/>
          <w:sz w:val="20"/>
          <w:szCs w:val="22"/>
          <w:lang w:val="en-GB" w:eastAsia="ja-JP"/>
        </w:rPr>
        <w:t>Ulnus sp</w:t>
      </w:r>
      <w:r w:rsidRPr="00C96521">
        <w:rPr>
          <w:rFonts w:eastAsia="MS Mincho"/>
          <w:sz w:val="20"/>
          <w:szCs w:val="22"/>
          <w:lang w:val="en-GB" w:eastAsia="ja-JP"/>
        </w:rPr>
        <w:t>) and oak trees as well as bramble hedges or in riverside habitats with natural vegetation (Meschini and Frugis 1993). The species was considered to be a forest species in an analysis of bird communities in central Italy and was not found in habitat fragments smaller than 10ha (Frank and Battisti 2005).</w:t>
      </w:r>
    </w:p>
    <w:p w14:paraId="08C28954"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A1B0CBF" w14:textId="145E8F59"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w:t>
      </w:r>
      <w:r w:rsidR="00A12C76" w:rsidRPr="00C96521">
        <w:rPr>
          <w:rFonts w:eastAsia="MS Mincho"/>
          <w:sz w:val="20"/>
          <w:szCs w:val="22"/>
          <w:lang w:val="en-GB" w:eastAsia="ja-JP"/>
        </w:rPr>
        <w:t>Poland,</w:t>
      </w:r>
      <w:r w:rsidRPr="00C96521">
        <w:rPr>
          <w:rFonts w:eastAsia="MS Mincho"/>
          <w:sz w:val="20"/>
          <w:szCs w:val="22"/>
          <w:lang w:val="en-GB" w:eastAsia="ja-JP"/>
        </w:rPr>
        <w:t xml:space="preserve"> the species inhabits wooded areas: field copses, small woodland patches, plantations, parks, orchards, lines of trees, forest edges and suburban areas with trees (Sikora </w:t>
      </w:r>
      <w:r w:rsidRPr="00C96521">
        <w:rPr>
          <w:rFonts w:eastAsia="MS Mincho"/>
          <w:i/>
          <w:sz w:val="20"/>
          <w:szCs w:val="22"/>
          <w:lang w:val="en-GB" w:eastAsia="ja-JP"/>
        </w:rPr>
        <w:t>et al</w:t>
      </w:r>
      <w:r w:rsidRPr="00C96521">
        <w:rPr>
          <w:rFonts w:eastAsia="MS Mincho"/>
          <w:sz w:val="20"/>
          <w:szCs w:val="22"/>
          <w:lang w:val="en-GB" w:eastAsia="ja-JP"/>
        </w:rPr>
        <w:t xml:space="preserve"> 2007). It shows a preference for younger deciduous or mixed stands with rich, dense under-storey vegetation.</w:t>
      </w:r>
    </w:p>
    <w:p w14:paraId="6AC4BBD3"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8666F96"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Albania, Bosnia and Herzegovina, Croatia, Greece, Kosovo, Macedonia FYR, Montenegro, Serbia, Slovenia</w:t>
      </w:r>
    </w:p>
    <w:p w14:paraId="2CD3908E"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p>
    <w:p w14:paraId="4B5D60DE" w14:textId="6FDB3FB2"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In Croatia, the turtle-dove is most abundant in sub-</w:t>
      </w:r>
      <w:r w:rsidR="00A12C76" w:rsidRPr="00C96521">
        <w:rPr>
          <w:rFonts w:eastAsia="MS Mincho"/>
          <w:i/>
          <w:sz w:val="20"/>
          <w:szCs w:val="22"/>
          <w:lang w:val="en-GB" w:eastAsia="ja-JP"/>
        </w:rPr>
        <w:t>Mediterranean</w:t>
      </w:r>
      <w:r w:rsidRPr="00C96521">
        <w:rPr>
          <w:rFonts w:eastAsia="MS Mincho"/>
          <w:i/>
          <w:sz w:val="20"/>
          <w:szCs w:val="22"/>
          <w:lang w:val="en-GB" w:eastAsia="ja-JP"/>
        </w:rPr>
        <w:t xml:space="preserve"> degraded forests, in Greece the species breeds in a range of habitats, and in Slovenia it inhabits a mosaic of agricultural landscapes.</w:t>
      </w:r>
    </w:p>
    <w:p w14:paraId="5859F0D9"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D79AA9F" w14:textId="3AD9B7C1"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In coastal Croatia, the species is most abundant in sub-</w:t>
      </w:r>
      <w:r w:rsidR="00A12C76" w:rsidRPr="00C96521">
        <w:rPr>
          <w:rFonts w:eastAsia="MS Mincho"/>
          <w:sz w:val="20"/>
          <w:szCs w:val="22"/>
          <w:lang w:val="en-GB" w:eastAsia="ja-JP"/>
        </w:rPr>
        <w:t>Mediterranean</w:t>
      </w:r>
      <w:r w:rsidRPr="00C96521">
        <w:rPr>
          <w:rFonts w:eastAsia="MS Mincho"/>
          <w:sz w:val="20"/>
          <w:szCs w:val="22"/>
          <w:lang w:val="en-GB" w:eastAsia="ja-JP"/>
        </w:rPr>
        <w:t xml:space="preserve"> degraded forests of oriental hornbeam (</w:t>
      </w:r>
      <w:r w:rsidRPr="00C96521">
        <w:rPr>
          <w:rFonts w:eastAsia="MS Mincho"/>
          <w:i/>
          <w:sz w:val="20"/>
          <w:szCs w:val="22"/>
          <w:lang w:val="en-GB" w:eastAsia="ja-JP"/>
        </w:rPr>
        <w:t>Carpinus orientalis</w:t>
      </w:r>
      <w:r w:rsidRPr="00C96521">
        <w:rPr>
          <w:rFonts w:eastAsia="MS Mincho"/>
          <w:sz w:val="20"/>
          <w:szCs w:val="22"/>
          <w:lang w:val="en-GB" w:eastAsia="ja-JP"/>
        </w:rPr>
        <w:t>) and downy oak (</w:t>
      </w:r>
      <w:r w:rsidRPr="00C96521">
        <w:rPr>
          <w:rFonts w:eastAsia="MS Mincho"/>
          <w:i/>
          <w:sz w:val="20"/>
          <w:szCs w:val="22"/>
          <w:lang w:val="en-GB" w:eastAsia="ja-JP"/>
        </w:rPr>
        <w:t>Quercus pubescens</w:t>
      </w:r>
      <w:r w:rsidRPr="00C96521">
        <w:rPr>
          <w:rFonts w:eastAsia="MS Mincho"/>
          <w:sz w:val="20"/>
          <w:szCs w:val="22"/>
          <w:lang w:val="en-GB" w:eastAsia="ja-JP"/>
        </w:rPr>
        <w:t>) (Rucner 1998). It is less numerous in eumediterranean degraded forests of holm oak and Aleppo pine. According to Rucner (1988) and unpublished data (</w:t>
      </w:r>
      <w:r w:rsidRPr="00C96521">
        <w:rPr>
          <w:rFonts w:cs="Arial"/>
          <w:sz w:val="20"/>
          <w:szCs w:val="20"/>
          <w:lang w:val="en-GB" w:eastAsia="en-GB"/>
        </w:rPr>
        <w:t>Institute of Ornithology CASA</w:t>
      </w:r>
      <w:r w:rsidRPr="00C96521">
        <w:rPr>
          <w:rFonts w:eastAsia="MS Mincho"/>
          <w:sz w:val="20"/>
          <w:szCs w:val="22"/>
          <w:lang w:val="en-GB" w:eastAsia="ja-JP"/>
        </w:rPr>
        <w:t xml:space="preserve">) it is also numerous in riverine forests throughout the country. Fifty years ago, it was the second most numerous species in riverine forests of Eastern Croatia (Rucner and Rucner 1972). Quantitative data (based on 39 1-km-long transects conducted by the </w:t>
      </w:r>
      <w:r w:rsidRPr="00C96521">
        <w:rPr>
          <w:rFonts w:cs="Arial"/>
          <w:sz w:val="20"/>
          <w:szCs w:val="20"/>
          <w:lang w:val="en-GB" w:eastAsia="en-GB"/>
        </w:rPr>
        <w:t>Institute of Ornithology CASA</w:t>
      </w:r>
      <w:r w:rsidRPr="00C96521">
        <w:rPr>
          <w:rFonts w:eastAsia="MS Mincho"/>
          <w:sz w:val="20"/>
          <w:szCs w:val="22"/>
          <w:lang w:val="en-GB" w:eastAsia="ja-JP"/>
        </w:rPr>
        <w:t>) for agricultural habitats in Northern Dalmatia show that turtle-dove densities are highest in traditional agricultural mosaics with low or moderate degrees of succession (13.8 individuals/km</w:t>
      </w:r>
      <w:r w:rsidRPr="00C96521">
        <w:rPr>
          <w:rFonts w:eastAsia="MS Mincho"/>
          <w:sz w:val="20"/>
          <w:szCs w:val="22"/>
          <w:vertAlign w:val="superscript"/>
          <w:lang w:val="en-GB" w:eastAsia="ja-JP"/>
        </w:rPr>
        <w:t>2</w:t>
      </w:r>
      <w:r w:rsidRPr="00C96521">
        <w:rPr>
          <w:rFonts w:eastAsia="MS Mincho"/>
          <w:sz w:val="20"/>
          <w:szCs w:val="22"/>
          <w:lang w:val="en-GB" w:eastAsia="ja-JP"/>
        </w:rPr>
        <w:t>), lowest in intensive agriculture with or without linear tree groves (2.8 individuals/km</w:t>
      </w:r>
      <w:r w:rsidRPr="00C96521">
        <w:rPr>
          <w:rFonts w:eastAsia="MS Mincho"/>
          <w:sz w:val="20"/>
          <w:szCs w:val="22"/>
          <w:vertAlign w:val="superscript"/>
          <w:lang w:val="en-GB" w:eastAsia="ja-JP"/>
        </w:rPr>
        <w:t>2</w:t>
      </w:r>
      <w:r w:rsidRPr="00C96521">
        <w:rPr>
          <w:rFonts w:eastAsia="MS Mincho"/>
          <w:sz w:val="20"/>
          <w:szCs w:val="22"/>
          <w:lang w:val="en-GB" w:eastAsia="ja-JP"/>
        </w:rPr>
        <w:t>) and medium in rocky pastures of moderate or pronounced succession (5 individuals/km</w:t>
      </w:r>
      <w:r w:rsidRPr="00C96521">
        <w:rPr>
          <w:rFonts w:eastAsia="MS Mincho"/>
          <w:sz w:val="20"/>
          <w:szCs w:val="22"/>
          <w:vertAlign w:val="superscript"/>
          <w:lang w:val="en-GB" w:eastAsia="ja-JP"/>
        </w:rPr>
        <w:t>2</w:t>
      </w:r>
      <w:r w:rsidRPr="00C96521">
        <w:rPr>
          <w:rFonts w:eastAsia="MS Mincho"/>
          <w:sz w:val="20"/>
          <w:szCs w:val="22"/>
          <w:lang w:val="en-GB" w:eastAsia="ja-JP"/>
        </w:rPr>
        <w:t>).</w:t>
      </w:r>
    </w:p>
    <w:p w14:paraId="0F935DEC"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386D724" w14:textId="7216756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north-eastern Greece, the species breeds in various habitat types, such as forests, agricultural land with hedgerows, and forest-grassland edges. Optimum breeding habitats are middle-aged conifer stands with low percentage cover in understory (Bakaloudis </w:t>
      </w:r>
      <w:r w:rsidRPr="00C96521">
        <w:rPr>
          <w:rFonts w:eastAsia="MS Mincho"/>
          <w:i/>
          <w:sz w:val="20"/>
          <w:szCs w:val="22"/>
          <w:lang w:val="en-GB" w:eastAsia="ja-JP"/>
        </w:rPr>
        <w:t>et al</w:t>
      </w:r>
      <w:r w:rsidRPr="00C96521">
        <w:rPr>
          <w:rFonts w:eastAsia="MS Mincho"/>
          <w:sz w:val="20"/>
          <w:szCs w:val="22"/>
          <w:lang w:val="en-GB" w:eastAsia="ja-JP"/>
        </w:rPr>
        <w:t xml:space="preserve"> 2009). In parts of central Greece, it breeds in high densities in hilly areas covered by shrubs and garigue (a low open scrubland with many evergreen shrubs, low trees, aromatic herbs, and bunchgrasses found in poor or dry soil in the Mediterranean region) (Dimitris Bakaloudis </w:t>
      </w:r>
      <w:r w:rsidRPr="00C96521">
        <w:rPr>
          <w:rFonts w:eastAsia="MS Mincho"/>
          <w:i/>
          <w:sz w:val="20"/>
          <w:szCs w:val="22"/>
          <w:lang w:val="en-GB" w:eastAsia="ja-JP"/>
        </w:rPr>
        <w:t>pers comm</w:t>
      </w:r>
      <w:r w:rsidRPr="00C96521">
        <w:rPr>
          <w:rFonts w:eastAsia="MS Mincho"/>
          <w:sz w:val="20"/>
          <w:szCs w:val="22"/>
          <w:lang w:val="en-GB" w:eastAsia="ja-JP"/>
        </w:rPr>
        <w:t>).</w:t>
      </w:r>
    </w:p>
    <w:p w14:paraId="06F84098"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CD2C9C0" w14:textId="7AFD47C1"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Slovenia, the species inhabits a mosaic of agricultural landscapes and woodland across much of the country up to </w:t>
      </w:r>
      <w:r w:rsidR="006437E1">
        <w:rPr>
          <w:rFonts w:eastAsia="MS Mincho"/>
          <w:sz w:val="20"/>
          <w:szCs w:val="22"/>
          <w:lang w:val="en-GB" w:eastAsia="ja-JP"/>
        </w:rPr>
        <w:t xml:space="preserve">altitudes </w:t>
      </w:r>
      <w:r w:rsidRPr="00C96521">
        <w:rPr>
          <w:rFonts w:eastAsia="MS Mincho"/>
          <w:sz w:val="20"/>
          <w:szCs w:val="22"/>
          <w:lang w:val="en-GB" w:eastAsia="ja-JP"/>
        </w:rPr>
        <w:t xml:space="preserve">500m (Mihelič 2013, </w:t>
      </w:r>
      <w:r w:rsidRPr="00C96521">
        <w:rPr>
          <w:rFonts w:eastAsia="MS Mincho" w:cs="Arial"/>
          <w:sz w:val="20"/>
          <w:lang w:val="en-GB" w:eastAsia="ja-JP"/>
        </w:rPr>
        <w:t>Denac and Kmecl 2014</w:t>
      </w:r>
      <w:r w:rsidRPr="00C96521">
        <w:rPr>
          <w:rFonts w:eastAsia="MS Mincho"/>
          <w:sz w:val="20"/>
          <w:szCs w:val="22"/>
          <w:lang w:val="en-GB" w:eastAsia="ja-JP"/>
        </w:rPr>
        <w:t>).</w:t>
      </w:r>
    </w:p>
    <w:p w14:paraId="3D92D658"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535B0BB" w14:textId="76DD2AA6"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Armenia, Azerbaijan, Belarus, Bulgaria, Cyprus, Georgia, Moldova, Romania, Russia</w:t>
      </w:r>
      <w:r w:rsidR="00A12C76">
        <w:rPr>
          <w:rFonts w:eastAsia="MS Mincho"/>
          <w:b/>
          <w:sz w:val="20"/>
          <w:szCs w:val="22"/>
          <w:lang w:val="en-GB" w:eastAsia="ja-JP"/>
        </w:rPr>
        <w:t>n Federation</w:t>
      </w:r>
      <w:r w:rsidRPr="00C96521">
        <w:rPr>
          <w:rFonts w:eastAsia="MS Mincho"/>
          <w:b/>
          <w:sz w:val="20"/>
          <w:szCs w:val="22"/>
          <w:lang w:val="en-GB" w:eastAsia="ja-JP"/>
        </w:rPr>
        <w:t xml:space="preserve">, Turkey, Ukraine </w:t>
      </w:r>
    </w:p>
    <w:p w14:paraId="37C9C9B4"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p>
    <w:p w14:paraId="534BDB13"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Woodland habitats appear to be of high importance for the species.</w:t>
      </w:r>
    </w:p>
    <w:p w14:paraId="20205C31"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p>
    <w:p w14:paraId="147D9A0C" w14:textId="15D9F74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Armenia, the species uses open woodland, orchards and weedy fields (Adamian and Klem 1997). In Bulgaria, the species is found at highest densities in forested areas or areas with a mosaic of trees and bushes near to open areas (Iankov 2007). In </w:t>
      </w:r>
      <w:r w:rsidR="00A12C76" w:rsidRPr="00C96521">
        <w:rPr>
          <w:rFonts w:eastAsia="MS Mincho"/>
          <w:sz w:val="20"/>
          <w:szCs w:val="22"/>
          <w:lang w:val="en-GB" w:eastAsia="ja-JP"/>
        </w:rPr>
        <w:t>Cyprus,</w:t>
      </w:r>
      <w:r w:rsidRPr="00C96521">
        <w:rPr>
          <w:rFonts w:eastAsia="MS Mincho"/>
          <w:sz w:val="20"/>
          <w:szCs w:val="22"/>
          <w:lang w:val="en-GB" w:eastAsia="ja-JP"/>
        </w:rPr>
        <w:t xml:space="preserve"> the species nests in pine forest and lightly wooded areas at all altitudes (Flint and Stewart 1992). In Moldova, the species nests in forests, forest belts, and parks (Munteanu and Zubcov 2010). In Romania, the species nests in both the lowlands and uplands where it uses deciduous and coniferous forests respectively (Petrovici 2015). However, it shows a preference for lowland forests near farmland.</w:t>
      </w:r>
    </w:p>
    <w:p w14:paraId="318B7475"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DFF8BE3" w14:textId="68CC1300"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the countries of the former USSR, the species was reported to use deciduous and mixed forests (less common in coniferous forest), forest steppe, steppe, desert zones, urban areas, and river valleys (Flint </w:t>
      </w:r>
      <w:r w:rsidRPr="00C96521">
        <w:rPr>
          <w:rFonts w:eastAsia="MS Mincho"/>
          <w:i/>
          <w:sz w:val="20"/>
          <w:szCs w:val="22"/>
          <w:lang w:val="en-GB" w:eastAsia="ja-JP"/>
        </w:rPr>
        <w:t>et al</w:t>
      </w:r>
      <w:r w:rsidRPr="00C96521">
        <w:rPr>
          <w:rFonts w:eastAsia="MS Mincho"/>
          <w:sz w:val="20"/>
          <w:szCs w:val="22"/>
          <w:lang w:val="en-GB" w:eastAsia="ja-JP"/>
        </w:rPr>
        <w:t xml:space="preserve"> 1984). In Kaliningrad, the optimal habitat for the species is deciduous forest and mixed stands with fir trees (Rouxel 2000). In highly urbanized parts of </w:t>
      </w:r>
      <w:r w:rsidR="00A12C76">
        <w:rPr>
          <w:rFonts w:eastAsia="MS Mincho"/>
          <w:sz w:val="20"/>
          <w:szCs w:val="22"/>
          <w:lang w:val="en-GB" w:eastAsia="ja-JP"/>
        </w:rPr>
        <w:t xml:space="preserve">the </w:t>
      </w:r>
      <w:r w:rsidRPr="00C96521">
        <w:rPr>
          <w:rFonts w:eastAsia="MS Mincho"/>
          <w:sz w:val="20"/>
          <w:szCs w:val="22"/>
          <w:lang w:val="en-GB" w:eastAsia="ja-JP"/>
        </w:rPr>
        <w:t xml:space="preserve">Russia </w:t>
      </w:r>
      <w:r w:rsidR="00A12C76">
        <w:rPr>
          <w:rFonts w:eastAsia="MS Mincho"/>
          <w:sz w:val="20"/>
          <w:szCs w:val="22"/>
          <w:lang w:val="en-GB" w:eastAsia="ja-JP"/>
        </w:rPr>
        <w:t>Federation,</w:t>
      </w:r>
      <w:r w:rsidR="006437E1">
        <w:rPr>
          <w:rFonts w:eastAsia="MS Mincho"/>
          <w:sz w:val="20"/>
          <w:szCs w:val="22"/>
          <w:lang w:val="en-GB" w:eastAsia="ja-JP"/>
        </w:rPr>
        <w:t xml:space="preserve"> </w:t>
      </w:r>
      <w:r w:rsidRPr="00C96521">
        <w:rPr>
          <w:rFonts w:eastAsia="MS Mincho"/>
          <w:sz w:val="20"/>
          <w:szCs w:val="22"/>
          <w:lang w:val="en-GB" w:eastAsia="ja-JP"/>
        </w:rPr>
        <w:t>the species is found at much lower densities than in natural habitats (Rouxel 2000). In central Russia, the species uses oak woodland adjacent to regularly-flooded areas, always preferring deciduous or mixed woodland over pure coniferous stands, although it will use pine forest (Rouxel 2000). In the Ural mountains it nests in deciduous forest and shrubs. In the south of European Russia (the steppe zone), the turtle-dove inhabits shelter belts, woodland sites and gardens among the cereal crops. It does not show a preference for any type of woodland and tree species for nesting, but prefers mosaic landscapes and avoids continuous forests (Belik 2005, 2014).</w:t>
      </w:r>
    </w:p>
    <w:p w14:paraId="5FA66612"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DA69BE1"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Turkey, the species is described as a generally widespread and common summer visitor to wooded and agricultural areas (Kirwan </w:t>
      </w:r>
      <w:r w:rsidRPr="00C96521">
        <w:rPr>
          <w:rFonts w:eastAsia="MS Mincho"/>
          <w:i/>
          <w:sz w:val="20"/>
          <w:szCs w:val="22"/>
          <w:lang w:val="en-GB" w:eastAsia="ja-JP"/>
        </w:rPr>
        <w:t>et al</w:t>
      </w:r>
      <w:r w:rsidRPr="00C96521">
        <w:rPr>
          <w:rFonts w:eastAsia="MS Mincho"/>
          <w:sz w:val="20"/>
          <w:szCs w:val="22"/>
          <w:lang w:val="en-GB" w:eastAsia="ja-JP"/>
        </w:rPr>
        <w:t xml:space="preserve"> 2008). It breeds in areas with trees, hedges and taller bushes, both in agricultural areas (including orchards and olive groves) and natural areas (including woodland and woodland edges). </w:t>
      </w:r>
    </w:p>
    <w:p w14:paraId="4BB6CA53"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3E7CA5D9" w14:textId="77777777" w:rsidR="00C96521" w:rsidRPr="00C96521" w:rsidRDefault="00C96521" w:rsidP="00C96521">
      <w:pPr>
        <w:keepNext/>
        <w:keepLines/>
        <w:widowControl/>
        <w:autoSpaceDE/>
        <w:autoSpaceDN/>
        <w:adjustRightInd/>
        <w:spacing w:before="200" w:line="276" w:lineRule="auto"/>
        <w:outlineLvl w:val="1"/>
        <w:rPr>
          <w:rFonts w:ascii="Cambria" w:eastAsia="MS Gothic" w:hAnsi="Cambria"/>
          <w:b/>
          <w:bCs/>
          <w:color w:val="4F81BD"/>
          <w:sz w:val="26"/>
          <w:szCs w:val="26"/>
          <w:lang w:val="en-GB" w:eastAsia="ja-JP"/>
        </w:rPr>
      </w:pPr>
      <w:bookmarkStart w:id="20" w:name="_Toc478646905"/>
      <w:r w:rsidRPr="00C96521">
        <w:rPr>
          <w:rFonts w:ascii="Cambria" w:eastAsia="MS Gothic" w:hAnsi="Cambria"/>
          <w:b/>
          <w:bCs/>
          <w:color w:val="4F81BD"/>
          <w:sz w:val="26"/>
          <w:szCs w:val="26"/>
          <w:lang w:val="en-GB" w:eastAsia="ja-JP"/>
        </w:rPr>
        <w:t>Survival and productivity</w:t>
      </w:r>
      <w:bookmarkEnd w:id="20"/>
    </w:p>
    <w:p w14:paraId="4EF34B8D"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66A63244"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As a general rule, two to three clutches of two eggs each are laid between May and July in the north (Browne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2005). In Spain, the breeding season begins mid-April and lasts until the end of August (Rocha and Hidalgo 2002a). In Portugal, data from 1993-2004 also show that in some regions breeding lasts until the last week of August (Dias 2016). In Cyprus, active nests are found from the beginning of May until August (Nicos Kassinis </w:t>
      </w:r>
      <w:r w:rsidRPr="00C96521">
        <w:rPr>
          <w:rFonts w:eastAsia="MS Mincho" w:cs="Arial"/>
          <w:i/>
          <w:sz w:val="20"/>
          <w:szCs w:val="22"/>
          <w:lang w:val="en-GB" w:eastAsia="ja-JP"/>
        </w:rPr>
        <w:t>unpublished</w:t>
      </w:r>
      <w:r w:rsidRPr="00C96521">
        <w:rPr>
          <w:rFonts w:eastAsia="MS Mincho" w:cs="Arial"/>
          <w:sz w:val="20"/>
          <w:szCs w:val="22"/>
          <w:lang w:val="en-GB" w:eastAsia="ja-JP"/>
        </w:rPr>
        <w:t>). In the south of Russia, the species typically lays one clutch per year while in northern Russia, Ukraine and Belarus it lays two (Rouxel 2000). In Kazakhstan it can have up to three clutches. In Morocco, the first birds arrive in the Tadla area (central Morocco) in the third week of March and egg laying begins in the first two weeks of April (Hanane 2011).</w:t>
      </w:r>
    </w:p>
    <w:p w14:paraId="10E356F0"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7C8AEECE" w14:textId="7572C81C"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The </w:t>
      </w:r>
      <w:r w:rsidR="00A12C76">
        <w:rPr>
          <w:rFonts w:eastAsia="MS Mincho" w:cs="Arial"/>
          <w:sz w:val="20"/>
          <w:szCs w:val="22"/>
          <w:lang w:val="en-GB" w:eastAsia="ja-JP"/>
        </w:rPr>
        <w:t>T</w:t>
      </w:r>
      <w:r w:rsidR="00A12C76" w:rsidRPr="00C96521">
        <w:rPr>
          <w:rFonts w:eastAsia="MS Mincho" w:cs="Arial"/>
          <w:sz w:val="20"/>
          <w:szCs w:val="22"/>
          <w:lang w:val="en-GB" w:eastAsia="ja-JP"/>
        </w:rPr>
        <w:t>urtle</w:t>
      </w:r>
      <w:r w:rsidR="00A12C76">
        <w:rPr>
          <w:rFonts w:eastAsia="MS Mincho" w:cs="Arial"/>
          <w:sz w:val="20"/>
          <w:szCs w:val="22"/>
          <w:lang w:val="en-GB" w:eastAsia="ja-JP"/>
        </w:rPr>
        <w:t xml:space="preserve"> D</w:t>
      </w:r>
      <w:r w:rsidR="00A12C76" w:rsidRPr="00C96521">
        <w:rPr>
          <w:rFonts w:eastAsia="MS Mincho" w:cs="Arial"/>
          <w:sz w:val="20"/>
          <w:szCs w:val="22"/>
          <w:lang w:val="en-GB" w:eastAsia="ja-JP"/>
        </w:rPr>
        <w:t xml:space="preserve">ove </w:t>
      </w:r>
      <w:r w:rsidRPr="00C96521">
        <w:rPr>
          <w:rFonts w:eastAsia="MS Mincho" w:cs="Arial"/>
          <w:sz w:val="20"/>
          <w:szCs w:val="22"/>
          <w:lang w:val="en-GB" w:eastAsia="ja-JP"/>
        </w:rPr>
        <w:t>is able to reproduce in its second year, and the maximum lifespan for a bird in the wild is estimated as 20 years (Glutz von Blotzheim 1980). The average lifespan is two years and annual survival 50</w:t>
      </w:r>
      <w:r w:rsidR="00A12C76">
        <w:rPr>
          <w:rFonts w:eastAsia="MS Mincho" w:cs="Arial"/>
          <w:sz w:val="20"/>
          <w:szCs w:val="22"/>
          <w:lang w:val="en-GB" w:eastAsia="ja-JP"/>
        </w:rPr>
        <w:t xml:space="preserve"> per cent</w:t>
      </w:r>
      <w:r w:rsidRPr="00C96521">
        <w:rPr>
          <w:rFonts w:eastAsia="MS Mincho" w:cs="Arial"/>
          <w:sz w:val="20"/>
          <w:szCs w:val="22"/>
          <w:lang w:val="en-GB" w:eastAsia="ja-JP"/>
        </w:rPr>
        <w:t xml:space="preserve"> (Robinson 2016). The maximum age recorded from ringing is 13 years and two months for a Dutch turtle-dove that was reported shot, followed by a bird from Great Britain and Ireland, shot at age &gt;12 years and 11 months (Fransson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2010). Survival rates may show important variations from year to year (average survival probability for birds in a French population 0.51 ± 0.15 with values ranging from 0.29 ± 0.18 to 0.99 ± 0.002) (Eraud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2009). In the UK, the annual survival rate of adult turtle-doves was 0.62 during periods of stable population trends and 0.53 when trends were declining (Siriwardena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2000). For first-year birds, annual survival was 0.222 when trends were stable and 0.19 when trends were decreasing. </w:t>
      </w:r>
    </w:p>
    <w:p w14:paraId="78F848D2"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680EA762" w14:textId="71F43220"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In Spain, the percentage of nests successfully producing young reaches 53</w:t>
      </w:r>
      <w:r w:rsidR="00A12C76">
        <w:rPr>
          <w:rFonts w:eastAsia="MS Mincho" w:cs="Arial"/>
          <w:sz w:val="20"/>
          <w:szCs w:val="22"/>
          <w:lang w:val="en-GB" w:eastAsia="ja-JP"/>
        </w:rPr>
        <w:t xml:space="preserve"> per cent</w:t>
      </w:r>
      <w:r w:rsidRPr="00C96521">
        <w:rPr>
          <w:rFonts w:eastAsia="MS Mincho" w:cs="Arial"/>
          <w:sz w:val="20"/>
          <w:szCs w:val="22"/>
          <w:lang w:val="en-GB" w:eastAsia="ja-JP"/>
        </w:rPr>
        <w:t xml:space="preserve"> in Extremadura and 36-58</w:t>
      </w:r>
      <w:r w:rsidR="00A12C76">
        <w:rPr>
          <w:rFonts w:eastAsia="MS Mincho" w:cs="Arial"/>
          <w:sz w:val="20"/>
          <w:szCs w:val="22"/>
          <w:lang w:val="en-GB" w:eastAsia="ja-JP"/>
        </w:rPr>
        <w:t xml:space="preserve"> per cent</w:t>
      </w:r>
      <w:r w:rsidRPr="00C96521">
        <w:rPr>
          <w:rFonts w:eastAsia="MS Mincho" w:cs="Arial"/>
          <w:sz w:val="20"/>
          <w:szCs w:val="22"/>
          <w:lang w:val="en-GB" w:eastAsia="ja-JP"/>
        </w:rPr>
        <w:t xml:space="preserve"> in the area of Madrid (Rocha and Hidalgo 2002a). Breeding success in France is roughly estimated at an average of 53</w:t>
      </w:r>
      <w:r w:rsidR="00A12C76">
        <w:rPr>
          <w:rFonts w:eastAsia="MS Mincho" w:cs="Arial"/>
          <w:sz w:val="20"/>
          <w:szCs w:val="22"/>
          <w:lang w:val="en-GB" w:eastAsia="ja-JP"/>
        </w:rPr>
        <w:t xml:space="preserve"> per cent</w:t>
      </w:r>
      <w:r w:rsidRPr="00C96521">
        <w:rPr>
          <w:rFonts w:eastAsia="MS Mincho" w:cs="Arial"/>
          <w:sz w:val="20"/>
          <w:szCs w:val="22"/>
          <w:lang w:val="en-GB" w:eastAsia="ja-JP"/>
        </w:rPr>
        <w:t xml:space="preserve"> with a range of 37-66</w:t>
      </w:r>
      <w:r w:rsidR="00A12C76">
        <w:rPr>
          <w:rFonts w:eastAsia="MS Mincho" w:cs="Arial"/>
          <w:sz w:val="20"/>
          <w:szCs w:val="22"/>
          <w:lang w:val="en-GB" w:eastAsia="ja-JP"/>
        </w:rPr>
        <w:t xml:space="preserve"> per cent</w:t>
      </w:r>
      <w:r w:rsidRPr="00C96521">
        <w:rPr>
          <w:rFonts w:eastAsia="MS Mincho" w:cs="Arial"/>
          <w:sz w:val="20"/>
          <w:szCs w:val="22"/>
          <w:lang w:val="en-GB" w:eastAsia="ja-JP"/>
        </w:rPr>
        <w:t xml:space="preserve"> (ONCFS </w:t>
      </w:r>
      <w:r w:rsidRPr="00C96521">
        <w:rPr>
          <w:rFonts w:eastAsia="MS Mincho" w:cs="Arial"/>
          <w:i/>
          <w:sz w:val="20"/>
          <w:szCs w:val="22"/>
          <w:lang w:val="en-GB" w:eastAsia="ja-JP"/>
        </w:rPr>
        <w:t>pers comm</w:t>
      </w:r>
      <w:r w:rsidRPr="00C96521">
        <w:rPr>
          <w:rFonts w:eastAsia="MS Mincho" w:cs="Arial"/>
          <w:sz w:val="20"/>
          <w:szCs w:val="22"/>
          <w:lang w:val="en-GB" w:eastAsia="ja-JP"/>
        </w:rPr>
        <w:t>).</w:t>
      </w:r>
      <w:r w:rsidRPr="00C96521" w:rsidDel="0050394C">
        <w:rPr>
          <w:rFonts w:eastAsia="MS Mincho" w:cs="Arial"/>
          <w:sz w:val="20"/>
          <w:szCs w:val="22"/>
          <w:lang w:val="en-GB" w:eastAsia="ja-JP"/>
        </w:rPr>
        <w:t xml:space="preserve"> </w:t>
      </w:r>
      <w:r w:rsidRPr="00C96521">
        <w:rPr>
          <w:rFonts w:eastAsia="MS Mincho" w:cs="Arial"/>
          <w:sz w:val="20"/>
          <w:szCs w:val="22"/>
          <w:lang w:val="en-GB" w:eastAsia="ja-JP"/>
        </w:rPr>
        <w:t>In southern Portugal, nest success varied between 56</w:t>
      </w:r>
      <w:r w:rsidR="00A12C76">
        <w:rPr>
          <w:rFonts w:eastAsia="MS Mincho" w:cs="Arial"/>
          <w:sz w:val="20"/>
          <w:szCs w:val="22"/>
          <w:lang w:val="en-GB" w:eastAsia="ja-JP"/>
        </w:rPr>
        <w:t xml:space="preserve"> per cent</w:t>
      </w:r>
      <w:r w:rsidRPr="00C96521">
        <w:rPr>
          <w:rFonts w:eastAsia="MS Mincho" w:cs="Arial"/>
          <w:sz w:val="20"/>
          <w:szCs w:val="22"/>
          <w:lang w:val="en-GB" w:eastAsia="ja-JP"/>
        </w:rPr>
        <w:t xml:space="preserve"> and 75</w:t>
      </w:r>
      <w:r w:rsidR="00A12C76">
        <w:rPr>
          <w:rFonts w:eastAsia="MS Mincho" w:cs="Arial"/>
          <w:sz w:val="20"/>
          <w:szCs w:val="22"/>
          <w:lang w:val="en-GB" w:eastAsia="ja-JP"/>
        </w:rPr>
        <w:t xml:space="preserve"> per cent</w:t>
      </w:r>
      <w:r w:rsidRPr="00C96521">
        <w:rPr>
          <w:rFonts w:eastAsia="MS Mincho" w:cs="Arial"/>
          <w:sz w:val="20"/>
          <w:szCs w:val="22"/>
          <w:lang w:val="en-GB" w:eastAsia="ja-JP"/>
        </w:rPr>
        <w:t xml:space="preserve"> on game estates with predator control and residual human disturbance over the period 1993 to 1996 (Dias 2016). In the UK, nest success rate averages 53</w:t>
      </w:r>
      <w:r w:rsidR="00A12C76">
        <w:rPr>
          <w:rFonts w:eastAsia="MS Mincho" w:cs="Arial"/>
          <w:sz w:val="20"/>
          <w:szCs w:val="22"/>
          <w:lang w:val="en-GB" w:eastAsia="ja-JP"/>
        </w:rPr>
        <w:t xml:space="preserve"> per cent</w:t>
      </w:r>
      <w:r w:rsidRPr="00C96521">
        <w:rPr>
          <w:rFonts w:eastAsia="MS Mincho" w:cs="Arial"/>
          <w:sz w:val="20"/>
          <w:szCs w:val="22"/>
          <w:lang w:val="en-GB" w:eastAsia="ja-JP"/>
        </w:rPr>
        <w:t xml:space="preserve"> during incubation and 65</w:t>
      </w:r>
      <w:r w:rsidR="00A12C76">
        <w:rPr>
          <w:rFonts w:eastAsia="MS Mincho" w:cs="Arial"/>
          <w:sz w:val="20"/>
          <w:szCs w:val="22"/>
          <w:lang w:val="en-GB" w:eastAsia="ja-JP"/>
        </w:rPr>
        <w:t xml:space="preserve"> per cent</w:t>
      </w:r>
      <w:r w:rsidRPr="00C96521">
        <w:rPr>
          <w:rFonts w:eastAsia="MS Mincho" w:cs="Arial"/>
          <w:sz w:val="20"/>
          <w:szCs w:val="22"/>
          <w:lang w:val="en-GB" w:eastAsia="ja-JP"/>
        </w:rPr>
        <w:t xml:space="preserve"> during the nestling stage, so that only 35</w:t>
      </w:r>
      <w:r w:rsidR="00A12C76">
        <w:rPr>
          <w:rFonts w:eastAsia="MS Mincho" w:cs="Arial"/>
          <w:sz w:val="20"/>
          <w:szCs w:val="22"/>
          <w:lang w:val="en-GB" w:eastAsia="ja-JP"/>
        </w:rPr>
        <w:t xml:space="preserve"> per cent</w:t>
      </w:r>
      <w:r w:rsidRPr="00C96521">
        <w:rPr>
          <w:rFonts w:eastAsia="MS Mincho" w:cs="Arial"/>
          <w:sz w:val="20"/>
          <w:szCs w:val="22"/>
          <w:lang w:val="en-GB" w:eastAsia="ja-JP"/>
        </w:rPr>
        <w:t xml:space="preserve"> of nests successfully produce young (Browne and Aebischer 2004).</w:t>
      </w:r>
    </w:p>
    <w:p w14:paraId="153847A0"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2B20839E" w14:textId="6FDC66E8"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Rocha and Hidalgo (2002a) showed that annual productivity in Extremadura, Spain, can vary from two to three chicks per pair. Fontoura and Dias (1995) observed a rate of 2.71 young per pair in north-west Portugal. Data from Algarve, southern Portugal varied between 1.68 and 2.14 young per pair (Dias 2016). Two to three nesting attempts per pair per year were recorded for Portugal during the 1990s and early 2000s (Dias 2016). Browne and Aebischer (2004) reported that the number of nesting attempts undertaken by each pair per breeding season in the UK was significantly lower in the late 1990s compared with the early 1960s, this reduction in nesting attempts being sufficient to explain the decline in population sizes. The annual production rate per pair was between 2.0 and 2.8 (mean 2.1) fledglings in the 1960s (Murton 1968). The reduction of food availability and reduced nesting habitat availability may be the underlying causes of the decrease in productivity (Browne and Aebischer 2005). In the UK, the breeding season has shortened by 12 days (Browne and Aebischer 2003b), the production per pair being 40-45</w:t>
      </w:r>
      <w:r w:rsidR="00A12C76">
        <w:rPr>
          <w:rFonts w:eastAsia="MS Mincho" w:cs="Arial"/>
          <w:sz w:val="20"/>
          <w:szCs w:val="22"/>
          <w:lang w:val="en-GB" w:eastAsia="ja-JP"/>
        </w:rPr>
        <w:t xml:space="preserve"> per cent</w:t>
      </w:r>
      <w:r w:rsidR="00A12C76" w:rsidRPr="00C96521">
        <w:rPr>
          <w:rFonts w:eastAsia="MS Mincho" w:cs="Arial"/>
          <w:sz w:val="20"/>
          <w:szCs w:val="22"/>
          <w:lang w:val="en-GB" w:eastAsia="ja-JP"/>
        </w:rPr>
        <w:t xml:space="preserve"> </w:t>
      </w:r>
      <w:r w:rsidRPr="00C96521">
        <w:rPr>
          <w:rFonts w:eastAsia="MS Mincho" w:cs="Arial"/>
          <w:sz w:val="20"/>
          <w:szCs w:val="22"/>
          <w:lang w:val="en-GB" w:eastAsia="ja-JP"/>
        </w:rPr>
        <w:t xml:space="preserve">of the number of clutches and young compared to productivity in the 1960s (Browne and Aebischer 2004). However, a recent study suggests improvement in reproductive output, but not to the levels seen in the 1960s (RSPB </w:t>
      </w:r>
      <w:r w:rsidRPr="00C96521">
        <w:rPr>
          <w:rFonts w:eastAsia="MS Mincho" w:cs="Arial"/>
          <w:i/>
          <w:sz w:val="20"/>
          <w:szCs w:val="22"/>
          <w:lang w:val="en-GB" w:eastAsia="ja-JP"/>
        </w:rPr>
        <w:t>unpublished data</w:t>
      </w:r>
      <w:r w:rsidRPr="00C96521">
        <w:rPr>
          <w:rFonts w:eastAsia="MS Mincho" w:cs="Arial"/>
          <w:sz w:val="20"/>
          <w:szCs w:val="22"/>
          <w:lang w:val="en-GB" w:eastAsia="ja-JP"/>
        </w:rPr>
        <w:t xml:space="preserve">). </w:t>
      </w:r>
    </w:p>
    <w:p w14:paraId="19660A9C"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7AB1BDB6" w14:textId="283E5A9E"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In Morocco, </w:t>
      </w:r>
      <w:r w:rsidR="00A12C76">
        <w:rPr>
          <w:rFonts w:eastAsia="MS Mincho" w:cs="Arial"/>
          <w:sz w:val="20"/>
          <w:szCs w:val="22"/>
          <w:lang w:val="en-GB" w:eastAsia="ja-JP"/>
        </w:rPr>
        <w:t>T</w:t>
      </w:r>
      <w:r w:rsidR="00A12C76" w:rsidRPr="00C96521">
        <w:rPr>
          <w:rFonts w:eastAsia="MS Mincho" w:cs="Arial"/>
          <w:sz w:val="20"/>
          <w:szCs w:val="22"/>
          <w:lang w:val="en-GB" w:eastAsia="ja-JP"/>
        </w:rPr>
        <w:t>urtle</w:t>
      </w:r>
      <w:r w:rsidR="00A12C76">
        <w:rPr>
          <w:rFonts w:eastAsia="MS Mincho" w:cs="Arial"/>
          <w:sz w:val="20"/>
          <w:szCs w:val="22"/>
          <w:lang w:val="en-GB" w:eastAsia="ja-JP"/>
        </w:rPr>
        <w:t xml:space="preserve"> D</w:t>
      </w:r>
      <w:r w:rsidR="00A12C76" w:rsidRPr="00C96521">
        <w:rPr>
          <w:rFonts w:eastAsia="MS Mincho" w:cs="Arial"/>
          <w:sz w:val="20"/>
          <w:szCs w:val="22"/>
          <w:lang w:val="en-GB" w:eastAsia="ja-JP"/>
        </w:rPr>
        <w:t xml:space="preserve">ove </w:t>
      </w:r>
      <w:r w:rsidRPr="00C96521">
        <w:rPr>
          <w:rFonts w:eastAsia="MS Mincho" w:cs="Arial"/>
          <w:sz w:val="20"/>
          <w:szCs w:val="22"/>
          <w:lang w:val="en-GB" w:eastAsia="ja-JP"/>
        </w:rPr>
        <w:t>clutch size is not affected by location, orchard type (orange or olive), laying period or nest position (Hanane 2016b). The number of chicks hatched and fledged per nest was greater in olive orchards compared to orange orchards, although a more recent study in the Tadla region of Morocco found no difference in nest survival rates between the two orchard types despite orange orchards being harvested in March-September, coinciding with the turtle-dove’s breeding season (Hanane and Baamal 2011). Laying period in Morocco was also identified as a significant predictor of the number of chicks fledged per nest. More chicks fledged in the early period than in the late period. Possible reasons for this difference may lie in hunting activity, which takes place from early July to late August, disturbance by children during the summer holidays from June to September, and orange harvesting and tree pruning from the end of May to September (Hanane 2016b). In the Moroccan Haouz and Tadla irrigated zones, 41</w:t>
      </w:r>
      <w:r w:rsidR="00A12C76">
        <w:rPr>
          <w:rFonts w:eastAsia="MS Mincho" w:cs="Arial"/>
          <w:sz w:val="20"/>
          <w:szCs w:val="22"/>
          <w:lang w:val="en-GB" w:eastAsia="ja-JP"/>
        </w:rPr>
        <w:t xml:space="preserve"> per cent</w:t>
      </w:r>
      <w:r w:rsidR="00A12C76" w:rsidRPr="00C96521">
        <w:rPr>
          <w:rFonts w:eastAsia="MS Mincho" w:cs="Arial"/>
          <w:sz w:val="20"/>
          <w:szCs w:val="22"/>
          <w:lang w:val="en-GB" w:eastAsia="ja-JP"/>
        </w:rPr>
        <w:t xml:space="preserve"> </w:t>
      </w:r>
      <w:r w:rsidRPr="00C96521">
        <w:rPr>
          <w:rFonts w:eastAsia="MS Mincho" w:cs="Arial"/>
          <w:sz w:val="20"/>
          <w:szCs w:val="22"/>
          <w:lang w:val="en-GB" w:eastAsia="ja-JP"/>
        </w:rPr>
        <w:t>nests successfully fledged young (Hanane 2017). Over half of nest failures recorded in Morocco and Algeria have been attributed to desertion, possibly as a result of agricultural practices or human disturbance (Hanane 2017).</w:t>
      </w:r>
    </w:p>
    <w:p w14:paraId="0FC7F46B"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04F865BF"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Dunn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(2016a) used leg-ring radio-tag attachments to study post-fledging survival in the UK and its role in the dynamics of bird populations. Fledglings remained in close proximity to the nest for the first three weeks post-tagging, with over half of the time within 20m from the nest. Movements were selectively within seed-rich habitats (semi-natural grassland, low-intensity grazing, fallow and quarries). Nestlings that were heavier and in better body condition at 7 days old were more likely to survive for 30 days post-fledging, and nestling condition was strongly predicted by the proportion of available seed-rich habitat, highlighting the critical role that food availability plays in juvenile survival, both while being fed by adults and when recently fledged (Dunn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2016a). </w:t>
      </w:r>
    </w:p>
    <w:p w14:paraId="4863FEB1"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3F2EAFE1" w14:textId="451417E0"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The turtle-dove's spring/summer diet is mainly seeds, but tiny animals are also occasionally eaten (worms, molluscs, insects) (Cramp 1985). In rare cases</w:t>
      </w:r>
      <w:r w:rsidR="00A12C76">
        <w:rPr>
          <w:rFonts w:eastAsia="MS Mincho" w:cs="Arial"/>
          <w:sz w:val="20"/>
          <w:szCs w:val="22"/>
          <w:lang w:val="en-GB" w:eastAsia="ja-JP"/>
        </w:rPr>
        <w:t>,</w:t>
      </w:r>
      <w:r w:rsidRPr="00C96521">
        <w:rPr>
          <w:rFonts w:eastAsia="MS Mincho" w:cs="Arial"/>
          <w:sz w:val="20"/>
          <w:szCs w:val="22"/>
          <w:lang w:val="en-GB" w:eastAsia="ja-JP"/>
        </w:rPr>
        <w:t xml:space="preserve"> it may also feed on berries (Rouxel 2000). Birds mainly feed on the ground and need to drink daily. In less-intensively farmed landscapes the turtle-dove's breeding season diet is primarily weed seeds (Murton 1968, Calladine </w:t>
      </w:r>
      <w:r w:rsidRPr="00C96521">
        <w:rPr>
          <w:rFonts w:eastAsia="MS Mincho" w:cs="Arial"/>
          <w:i/>
          <w:sz w:val="20"/>
          <w:szCs w:val="22"/>
          <w:lang w:val="en-GB" w:eastAsia="ja-JP"/>
        </w:rPr>
        <w:t xml:space="preserve">et al </w:t>
      </w:r>
      <w:r w:rsidRPr="00C96521">
        <w:rPr>
          <w:rFonts w:eastAsia="MS Mincho" w:cs="Arial"/>
          <w:sz w:val="20"/>
          <w:szCs w:val="22"/>
          <w:lang w:val="en-GB" w:eastAsia="ja-JP"/>
        </w:rPr>
        <w:t>1997). In Mediterranean forest areas in southern Spain, wild plant seeds were found in 65.8</w:t>
      </w:r>
      <w:r w:rsidR="00A12C76">
        <w:rPr>
          <w:rFonts w:eastAsia="MS Mincho" w:cs="Arial"/>
          <w:sz w:val="20"/>
          <w:szCs w:val="22"/>
          <w:lang w:val="en-GB" w:eastAsia="ja-JP"/>
        </w:rPr>
        <w:t xml:space="preserve"> per cent</w:t>
      </w:r>
      <w:r w:rsidR="00A12C76" w:rsidRPr="00C96521">
        <w:rPr>
          <w:rFonts w:eastAsia="MS Mincho" w:cs="Arial"/>
          <w:sz w:val="20"/>
          <w:szCs w:val="22"/>
          <w:lang w:val="en-GB" w:eastAsia="ja-JP"/>
        </w:rPr>
        <w:t xml:space="preserve"> </w:t>
      </w:r>
      <w:r w:rsidRPr="00C96521">
        <w:rPr>
          <w:rFonts w:eastAsia="MS Mincho" w:cs="Arial"/>
          <w:sz w:val="20"/>
          <w:szCs w:val="22"/>
          <w:lang w:val="en-GB" w:eastAsia="ja-JP"/>
        </w:rPr>
        <w:t xml:space="preserve">of </w:t>
      </w:r>
      <w:r w:rsidR="00A12C76">
        <w:rPr>
          <w:rFonts w:eastAsia="MS Mincho" w:cs="Arial"/>
          <w:sz w:val="20"/>
          <w:szCs w:val="22"/>
          <w:lang w:val="en-GB" w:eastAsia="ja-JP"/>
        </w:rPr>
        <w:t>T</w:t>
      </w:r>
      <w:r w:rsidR="00A12C76" w:rsidRPr="00C96521">
        <w:rPr>
          <w:rFonts w:eastAsia="MS Mincho" w:cs="Arial"/>
          <w:sz w:val="20"/>
          <w:szCs w:val="22"/>
          <w:lang w:val="en-GB" w:eastAsia="ja-JP"/>
        </w:rPr>
        <w:t>urtle</w:t>
      </w:r>
      <w:r w:rsidR="00A12C76">
        <w:rPr>
          <w:rFonts w:eastAsia="MS Mincho" w:cs="Arial"/>
          <w:sz w:val="20"/>
          <w:szCs w:val="22"/>
          <w:lang w:val="en-GB" w:eastAsia="ja-JP"/>
        </w:rPr>
        <w:t xml:space="preserve"> D</w:t>
      </w:r>
      <w:r w:rsidR="00A12C76" w:rsidRPr="00C96521">
        <w:rPr>
          <w:rFonts w:eastAsia="MS Mincho" w:cs="Arial"/>
          <w:sz w:val="20"/>
          <w:szCs w:val="22"/>
          <w:lang w:val="en-GB" w:eastAsia="ja-JP"/>
        </w:rPr>
        <w:t xml:space="preserve">ove </w:t>
      </w:r>
      <w:r w:rsidRPr="00C96521">
        <w:rPr>
          <w:rFonts w:eastAsia="MS Mincho" w:cs="Arial"/>
          <w:sz w:val="20"/>
          <w:szCs w:val="22"/>
          <w:lang w:val="en-GB" w:eastAsia="ja-JP"/>
        </w:rPr>
        <w:t>digestive tracts analysed and the main wild seed species consumed each year varied annually (</w:t>
      </w:r>
      <w:r w:rsidRPr="00C96521">
        <w:rPr>
          <w:rFonts w:eastAsia="MS Mincho"/>
          <w:sz w:val="20"/>
          <w:szCs w:val="22"/>
          <w:lang w:val="en-GB" w:eastAsia="ja-JP"/>
        </w:rPr>
        <w:t>Guttiérez-Galàn and Alonso 2016</w:t>
      </w:r>
      <w:r w:rsidRPr="00C96521">
        <w:rPr>
          <w:rFonts w:eastAsia="MS Mincho" w:cs="Arial"/>
          <w:sz w:val="20"/>
          <w:szCs w:val="22"/>
          <w:lang w:val="en-GB" w:eastAsia="ja-JP"/>
        </w:rPr>
        <w:t xml:space="preserve">). Rocha and Hidalgo (2002a) demonstrated the importance of weed-seeds for birds arriving at nesting sites, as well as an increased nesting success in herbicide-free areas. </w:t>
      </w:r>
    </w:p>
    <w:p w14:paraId="7D1E33EF"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0ABB58EE" w14:textId="43C36471"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In eastern Europe, wild plant seeds form the basis of the species’ diet in spring while cereal crops become more important later in the season (Rouxel 2000). In more intensively farmed areas, modern agricultural methods have resulted in a decrease in the availability of arable plant seeds. These have largely been replaced in the diet by seeds of crops such as cereals, oilseed rape and sunflower. A study on turtle-dove summer diet in southern Portugal showed that young turtle-doves had a narrower dietary breadth than adults (Dias and Fontoura 1996). Young were strongly dependent on cultivated cereals and oilseeds that were provided as game crops. In the UK, a recent study showed that nesting turtle-doves that were in better condition had a higher proportion in their diet of plant species that occur in human-provided food sources, such as game or garden bird seed mixes, suggesting that adults feeding nestlings may be reliant on these additional food resources in order to raise young successfully (Dunn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2016c). Other studies from the UK, Portugal and Spain also showed the species feeding mainly at man-made sites, such as spilt grain, game and animal feed and grain stores (Jimenez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1992, Dias and Fontoura 1996, Browne and Aebischer 2003a, Rocha and Quillfeldt 2015), with juveniles particularly attracted to sunflower seeds (Rocha and Hidalgo 2001a). Rocha and Quillfeldt (2015) showed that </w:t>
      </w:r>
      <w:r w:rsidR="00A12C76">
        <w:rPr>
          <w:rFonts w:eastAsia="MS Mincho" w:cs="Arial"/>
          <w:sz w:val="20"/>
          <w:szCs w:val="22"/>
          <w:lang w:val="en-GB" w:eastAsia="ja-JP"/>
        </w:rPr>
        <w:t>T</w:t>
      </w:r>
      <w:r w:rsidR="00A12C76" w:rsidRPr="00C96521">
        <w:rPr>
          <w:rFonts w:eastAsia="MS Mincho" w:cs="Arial"/>
          <w:sz w:val="20"/>
          <w:szCs w:val="22"/>
          <w:lang w:val="en-GB" w:eastAsia="ja-JP"/>
        </w:rPr>
        <w:t>urtle</w:t>
      </w:r>
      <w:r w:rsidR="00A12C76">
        <w:rPr>
          <w:rFonts w:eastAsia="MS Mincho" w:cs="Arial"/>
          <w:sz w:val="20"/>
          <w:szCs w:val="22"/>
          <w:lang w:val="en-GB" w:eastAsia="ja-JP"/>
        </w:rPr>
        <w:t xml:space="preserve"> D</w:t>
      </w:r>
      <w:r w:rsidR="00A12C76" w:rsidRPr="00C96521">
        <w:rPr>
          <w:rFonts w:eastAsia="MS Mincho" w:cs="Arial"/>
          <w:sz w:val="20"/>
          <w:szCs w:val="22"/>
          <w:lang w:val="en-GB" w:eastAsia="ja-JP"/>
        </w:rPr>
        <w:t xml:space="preserve">oves </w:t>
      </w:r>
      <w:r w:rsidRPr="00C96521">
        <w:rPr>
          <w:rFonts w:eastAsia="MS Mincho" w:cs="Arial"/>
          <w:sz w:val="20"/>
          <w:szCs w:val="22"/>
          <w:lang w:val="en-GB" w:eastAsia="ja-JP"/>
        </w:rPr>
        <w:t>are readily attracted to supplemental grain provided at feeding stations in Spain, and suggest that breeding success can be increased when the amount of food provided is sufficiently large and provided early in the breeding season. However, hunting pressure was also higher at supplemental feeding sites. These recent changes in diet probably reflect opportunistic foraging behaviour in highly anthropogenically modified landscapes. Set-aside and agri-environmental schemes provide a framework for the maintenance of seed-rich areas. In the UK, higher-tier agri-environmental scheme agreements occupied by turtle-dove had a tendency to contain greater areas of seed-rich options, but in most cases the vegetation became too overgrown to provide optimal foraging conditions (Walker and Morris 2016). Cluster pine (</w:t>
      </w:r>
      <w:r w:rsidRPr="00C96521">
        <w:rPr>
          <w:rFonts w:eastAsia="MS Mincho" w:cs="Arial"/>
          <w:i/>
          <w:sz w:val="20"/>
          <w:szCs w:val="22"/>
          <w:lang w:val="en-GB" w:eastAsia="ja-JP"/>
        </w:rPr>
        <w:t>Pinus pinaster</w:t>
      </w:r>
      <w:r w:rsidRPr="00C96521">
        <w:rPr>
          <w:rFonts w:eastAsia="MS Mincho" w:cs="Arial"/>
          <w:sz w:val="20"/>
          <w:szCs w:val="22"/>
          <w:lang w:val="en-GB" w:eastAsia="ja-JP"/>
        </w:rPr>
        <w:t xml:space="preserve">) seeds are also eaten during migration (Devort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1988).</w:t>
      </w:r>
    </w:p>
    <w:p w14:paraId="504F54BD"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0E72ABEF"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603A980F" w14:textId="77777777" w:rsidR="00C96521" w:rsidRPr="00C96521" w:rsidRDefault="00C96521" w:rsidP="00C96521">
      <w:pPr>
        <w:keepNext/>
        <w:keepLines/>
        <w:widowControl/>
        <w:autoSpaceDE/>
        <w:autoSpaceDN/>
        <w:adjustRightInd/>
        <w:spacing w:before="200" w:line="276" w:lineRule="auto"/>
        <w:outlineLvl w:val="1"/>
        <w:rPr>
          <w:rFonts w:ascii="Cambria" w:eastAsia="MS Gothic" w:hAnsi="Cambria"/>
          <w:b/>
          <w:bCs/>
          <w:color w:val="4F81BD"/>
          <w:sz w:val="26"/>
          <w:szCs w:val="26"/>
          <w:lang w:val="en-GB" w:eastAsia="ja-JP"/>
        </w:rPr>
      </w:pPr>
      <w:bookmarkStart w:id="21" w:name="_Toc478646906"/>
      <w:r w:rsidRPr="00C96521">
        <w:rPr>
          <w:rFonts w:ascii="Cambria" w:eastAsia="MS Gothic" w:hAnsi="Cambria"/>
          <w:b/>
          <w:bCs/>
          <w:color w:val="4F81BD"/>
          <w:sz w:val="26"/>
          <w:szCs w:val="26"/>
          <w:lang w:val="en-GB" w:eastAsia="ja-JP"/>
        </w:rPr>
        <w:t>Population size and trend</w:t>
      </w:r>
      <w:bookmarkEnd w:id="21"/>
    </w:p>
    <w:p w14:paraId="42E8660B"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689F91BB"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sz w:val="20"/>
          <w:szCs w:val="22"/>
          <w:lang w:val="en-GB" w:eastAsia="ja-JP"/>
        </w:rPr>
        <w:t>Estimates of population size are available for most countries in Europe and for some in Central Asia and Africa, with varying degrees of confidence, depending on the availability of censuses from sampling</w:t>
      </w:r>
      <w:r w:rsidRPr="00C96521">
        <w:rPr>
          <w:rFonts w:eastAsia="MS Mincho" w:cs="Arial"/>
          <w:sz w:val="20"/>
          <w:szCs w:val="22"/>
          <w:lang w:val="en-GB" w:eastAsia="ja-JP"/>
        </w:rPr>
        <w:t>. See Table 2 for breeding population data by country and Table 3 for passage/wintering data.</w:t>
      </w:r>
    </w:p>
    <w:p w14:paraId="4CA695B0"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2DC96A37" w14:textId="42AE140C"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BirdLife International (2015) quote 2.3 to 4.1 million pairs within the EU, comprising roughly 70</w:t>
      </w:r>
      <w:r w:rsidR="00A12C76">
        <w:rPr>
          <w:rFonts w:eastAsia="MS Mincho" w:cs="Arial"/>
          <w:sz w:val="20"/>
          <w:szCs w:val="22"/>
          <w:lang w:val="en-GB" w:eastAsia="ja-JP"/>
        </w:rPr>
        <w:t xml:space="preserve"> per cent</w:t>
      </w:r>
      <w:r w:rsidRPr="00C96521">
        <w:rPr>
          <w:rFonts w:eastAsia="MS Mincho" w:cs="Arial"/>
          <w:sz w:val="20"/>
          <w:szCs w:val="22"/>
          <w:lang w:val="en-GB" w:eastAsia="ja-JP"/>
        </w:rPr>
        <w:t xml:space="preserve"> of the overall European population of 3.2 to 5.9 million pairs. Figures collected in Table 2 estimate 2.4 to 4.2 million birds within the EU, around 75</w:t>
      </w:r>
      <w:r w:rsidR="00A12C76">
        <w:rPr>
          <w:rFonts w:eastAsia="MS Mincho" w:cs="Arial"/>
          <w:sz w:val="20"/>
          <w:szCs w:val="22"/>
          <w:lang w:val="en-GB" w:eastAsia="ja-JP"/>
        </w:rPr>
        <w:t xml:space="preserve"> per cent</w:t>
      </w:r>
      <w:r w:rsidRPr="00C96521">
        <w:rPr>
          <w:rFonts w:eastAsia="MS Mincho" w:cs="Arial"/>
          <w:sz w:val="20"/>
          <w:szCs w:val="22"/>
          <w:lang w:val="en-GB" w:eastAsia="ja-JP"/>
        </w:rPr>
        <w:t xml:space="preserve"> of Europe's 2.9 to 5.6 million pairs. Globally, according to the data compiled by BirdLife International (2016) the population can be estimated at 13 to 48 million pairs, the large spread in figures being due to a significant lack of reliable data in Central Asia, Russia and countries in the east of the range.</w:t>
      </w:r>
    </w:p>
    <w:p w14:paraId="22FC7B53"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4B13F399" w14:textId="38A35F5E"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In Europe, the population is estimated to be decreasing by 30-49</w:t>
      </w:r>
      <w:r w:rsidR="00A12C76">
        <w:rPr>
          <w:rFonts w:eastAsia="MS Mincho" w:cs="Arial"/>
          <w:sz w:val="20"/>
          <w:szCs w:val="22"/>
          <w:lang w:val="en-GB" w:eastAsia="ja-JP"/>
        </w:rPr>
        <w:t xml:space="preserve"> per cent</w:t>
      </w:r>
      <w:r w:rsidR="00A12C76" w:rsidRPr="00C96521">
        <w:rPr>
          <w:rFonts w:eastAsia="MS Mincho" w:cs="Arial"/>
          <w:sz w:val="20"/>
          <w:szCs w:val="22"/>
          <w:lang w:val="en-GB" w:eastAsia="ja-JP"/>
        </w:rPr>
        <w:t xml:space="preserve"> </w:t>
      </w:r>
      <w:r w:rsidRPr="00C96521">
        <w:rPr>
          <w:rFonts w:eastAsia="MS Mincho" w:cs="Arial"/>
          <w:sz w:val="20"/>
          <w:szCs w:val="22"/>
          <w:lang w:val="en-GB" w:eastAsia="ja-JP"/>
        </w:rPr>
        <w:t>in 15.9 years (three generations) (BirdLife International 2015). Based on data from the Pan-European Common Bird Monitoring Scheme, the population has undergone a decline of 79</w:t>
      </w:r>
      <w:r w:rsidR="00A12C76">
        <w:rPr>
          <w:rFonts w:eastAsia="MS Mincho" w:cs="Arial"/>
          <w:sz w:val="20"/>
          <w:szCs w:val="22"/>
          <w:lang w:val="en-GB" w:eastAsia="ja-JP"/>
        </w:rPr>
        <w:t xml:space="preserve"> per cent</w:t>
      </w:r>
      <w:r w:rsidRPr="00C96521">
        <w:rPr>
          <w:rFonts w:eastAsia="MS Mincho" w:cs="Arial"/>
          <w:sz w:val="20"/>
          <w:szCs w:val="22"/>
          <w:lang w:val="en-GB" w:eastAsia="ja-JP"/>
        </w:rPr>
        <w:t xml:space="preserve"> between 1980 and 2014, and the trend is classified as moderate (significant decline, but not more than 5</w:t>
      </w:r>
      <w:r w:rsidR="00A12C76">
        <w:rPr>
          <w:rFonts w:eastAsia="MS Mincho" w:cs="Arial"/>
          <w:sz w:val="20"/>
          <w:szCs w:val="22"/>
          <w:lang w:val="en-GB" w:eastAsia="ja-JP"/>
        </w:rPr>
        <w:t xml:space="preserve"> per cent</w:t>
      </w:r>
      <w:r w:rsidRPr="00C96521">
        <w:rPr>
          <w:rFonts w:eastAsia="MS Mincho" w:cs="Arial"/>
          <w:sz w:val="20"/>
          <w:szCs w:val="22"/>
          <w:lang w:val="en-GB" w:eastAsia="ja-JP"/>
        </w:rPr>
        <w:t xml:space="preserve"> decline per year) (</w:t>
      </w:r>
      <w:r w:rsidRPr="00C96521">
        <w:rPr>
          <w:rFonts w:eastAsia="MS Mincho"/>
          <w:sz w:val="20"/>
          <w:szCs w:val="22"/>
          <w:lang w:val="en-GB" w:eastAsia="ja-JP"/>
        </w:rPr>
        <w:t>EBCC/RSPB/BirdLife/Statistics Netherlands</w:t>
      </w:r>
      <w:r w:rsidRPr="00C96521">
        <w:rPr>
          <w:rFonts w:eastAsia="MS Mincho" w:cs="Arial"/>
          <w:sz w:val="20"/>
          <w:szCs w:val="22"/>
          <w:lang w:val="en-GB" w:eastAsia="ja-JP"/>
        </w:rPr>
        <w:t xml:space="preserve"> 2016). Large populations in Azerbaijan, France, Spain and Ukraine have undergone long-term population declines, as have smaller populations in Albania, Belgium, Cyprus, </w:t>
      </w:r>
      <w:r w:rsidR="00A12C76">
        <w:rPr>
          <w:rFonts w:eastAsia="MS Mincho" w:cs="Arial"/>
          <w:sz w:val="20"/>
          <w:szCs w:val="22"/>
          <w:lang w:val="en-GB" w:eastAsia="ja-JP"/>
        </w:rPr>
        <w:t xml:space="preserve">the </w:t>
      </w:r>
      <w:r w:rsidRPr="00C96521">
        <w:rPr>
          <w:rFonts w:eastAsia="MS Mincho" w:cs="Arial"/>
          <w:sz w:val="20"/>
          <w:szCs w:val="22"/>
          <w:lang w:val="en-GB" w:eastAsia="ja-JP"/>
        </w:rPr>
        <w:t xml:space="preserve">Czech Republic, Estonia, Finland, Germany, Greece, Lithuania, Luxembourg, </w:t>
      </w:r>
      <w:r w:rsidR="00A12C76">
        <w:rPr>
          <w:rFonts w:eastAsia="MS Mincho" w:cs="Arial"/>
          <w:sz w:val="20"/>
          <w:szCs w:val="22"/>
          <w:lang w:val="en-GB" w:eastAsia="ja-JP"/>
        </w:rPr>
        <w:t xml:space="preserve">the </w:t>
      </w:r>
      <w:r w:rsidRPr="00C96521">
        <w:rPr>
          <w:rFonts w:eastAsia="MS Mincho" w:cs="Arial"/>
          <w:sz w:val="20"/>
          <w:szCs w:val="22"/>
          <w:lang w:val="en-GB" w:eastAsia="ja-JP"/>
        </w:rPr>
        <w:t>Netherlands, Portugal,</w:t>
      </w:r>
      <w:r w:rsidR="00A12C76">
        <w:rPr>
          <w:rFonts w:eastAsia="MS Mincho" w:cs="Arial"/>
          <w:sz w:val="20"/>
          <w:szCs w:val="22"/>
          <w:lang w:val="en-GB" w:eastAsia="ja-JP"/>
        </w:rPr>
        <w:t xml:space="preserve"> the</w:t>
      </w:r>
      <w:r w:rsidRPr="00C96521">
        <w:rPr>
          <w:rFonts w:eastAsia="MS Mincho" w:cs="Arial"/>
          <w:sz w:val="20"/>
          <w:szCs w:val="22"/>
          <w:lang w:val="en-GB" w:eastAsia="ja-JP"/>
        </w:rPr>
        <w:t xml:space="preserve"> Russia</w:t>
      </w:r>
      <w:r w:rsidR="00A12C76">
        <w:rPr>
          <w:rFonts w:eastAsia="MS Mincho" w:cs="Arial"/>
          <w:sz w:val="20"/>
          <w:szCs w:val="22"/>
          <w:lang w:val="en-GB" w:eastAsia="ja-JP"/>
        </w:rPr>
        <w:t>n federation</w:t>
      </w:r>
      <w:r w:rsidRPr="00C96521">
        <w:rPr>
          <w:rFonts w:eastAsia="MS Mincho" w:cs="Arial"/>
          <w:sz w:val="20"/>
          <w:szCs w:val="22"/>
          <w:lang w:val="en-GB" w:eastAsia="ja-JP"/>
        </w:rPr>
        <w:t>, Serbia, Slovenia, Switzerland and the United Kingdom (BirdLife International 2015). Denmark assessed its trend as increasing in the short</w:t>
      </w:r>
      <w:r w:rsidR="00A12C76">
        <w:rPr>
          <w:rFonts w:eastAsia="MS Mincho" w:cs="Arial"/>
          <w:sz w:val="20"/>
          <w:szCs w:val="22"/>
          <w:lang w:val="en-GB" w:eastAsia="ja-JP"/>
        </w:rPr>
        <w:t xml:space="preserve"> </w:t>
      </w:r>
      <w:r w:rsidRPr="00C96521">
        <w:rPr>
          <w:rFonts w:eastAsia="MS Mincho" w:cs="Arial"/>
          <w:sz w:val="20"/>
          <w:szCs w:val="22"/>
          <w:lang w:val="en-GB" w:eastAsia="ja-JP"/>
        </w:rPr>
        <w:t>term but stable in the long</w:t>
      </w:r>
      <w:r w:rsidR="00A12C76">
        <w:rPr>
          <w:rFonts w:eastAsia="MS Mincho" w:cs="Arial"/>
          <w:sz w:val="20"/>
          <w:szCs w:val="22"/>
          <w:lang w:val="en-GB" w:eastAsia="ja-JP"/>
        </w:rPr>
        <w:t xml:space="preserve"> </w:t>
      </w:r>
      <w:r w:rsidRPr="00C96521">
        <w:rPr>
          <w:rFonts w:eastAsia="MS Mincho" w:cs="Arial"/>
          <w:sz w:val="20"/>
          <w:szCs w:val="22"/>
          <w:lang w:val="en-GB" w:eastAsia="ja-JP"/>
        </w:rPr>
        <w:t xml:space="preserve">term. Belarus, Latvia, </w:t>
      </w:r>
      <w:r w:rsidR="00A12C76">
        <w:rPr>
          <w:rFonts w:eastAsia="MS Mincho" w:cs="Arial"/>
          <w:sz w:val="20"/>
          <w:szCs w:val="22"/>
          <w:lang w:val="en-GB" w:eastAsia="ja-JP"/>
        </w:rPr>
        <w:t xml:space="preserve">the Republic of </w:t>
      </w:r>
      <w:r w:rsidRPr="00C96521">
        <w:rPr>
          <w:rFonts w:eastAsia="MS Mincho" w:cs="Arial"/>
          <w:sz w:val="20"/>
          <w:szCs w:val="22"/>
          <w:lang w:val="en-GB" w:eastAsia="ja-JP"/>
        </w:rPr>
        <w:t>Moldova, Slovakia, and Turkey all assessed their populations as stable in the long</w:t>
      </w:r>
      <w:r w:rsidR="00A12C76">
        <w:rPr>
          <w:rFonts w:eastAsia="MS Mincho" w:cs="Arial"/>
          <w:sz w:val="20"/>
          <w:szCs w:val="22"/>
          <w:lang w:val="en-GB" w:eastAsia="ja-JP"/>
        </w:rPr>
        <w:t xml:space="preserve"> </w:t>
      </w:r>
      <w:r w:rsidRPr="00C96521">
        <w:rPr>
          <w:rFonts w:eastAsia="MS Mincho" w:cs="Arial"/>
          <w:sz w:val="20"/>
          <w:szCs w:val="22"/>
          <w:lang w:val="en-GB" w:eastAsia="ja-JP"/>
        </w:rPr>
        <w:t xml:space="preserve">term (BirdLife International 2015). </w:t>
      </w:r>
    </w:p>
    <w:p w14:paraId="57750341"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3F0ACA2D"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sectPr w:rsidR="00C96521" w:rsidRPr="00C96521" w:rsidSect="00C96521">
          <w:pgSz w:w="11920" w:h="16840"/>
          <w:pgMar w:top="1276" w:right="1300" w:bottom="920" w:left="1300" w:header="730" w:footer="738" w:gutter="0"/>
          <w:cols w:space="720"/>
          <w:docGrid w:linePitch="299"/>
        </w:sectPr>
      </w:pPr>
    </w:p>
    <w:p w14:paraId="1BFAF9F7"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Table 2. Breeding population size and trend by country/territory</w:t>
      </w:r>
    </w:p>
    <w:p w14:paraId="06543580"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35"/>
        <w:gridCol w:w="1551"/>
        <w:gridCol w:w="1899"/>
        <w:gridCol w:w="1171"/>
        <w:gridCol w:w="1610"/>
        <w:gridCol w:w="1460"/>
        <w:gridCol w:w="1899"/>
        <w:gridCol w:w="3509"/>
      </w:tblGrid>
      <w:tr w:rsidR="00C96521" w:rsidRPr="00C96521" w14:paraId="7F93CDA6" w14:textId="77777777" w:rsidTr="00235FA0">
        <w:trPr>
          <w:trHeight w:val="240"/>
          <w:tblHeader/>
        </w:trPr>
        <w:tc>
          <w:tcPr>
            <w:tcW w:w="524" w:type="pct"/>
            <w:shd w:val="clear" w:color="auto" w:fill="B6DDE8"/>
            <w:hideMark/>
          </w:tcPr>
          <w:p w14:paraId="67952EE3"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Country/territory</w:t>
            </w:r>
          </w:p>
        </w:tc>
        <w:tc>
          <w:tcPr>
            <w:tcW w:w="530" w:type="pct"/>
            <w:shd w:val="clear" w:color="auto" w:fill="B6DDE8"/>
            <w:hideMark/>
          </w:tcPr>
          <w:p w14:paraId="6134ADE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Population (pairs)</w:t>
            </w:r>
          </w:p>
        </w:tc>
        <w:tc>
          <w:tcPr>
            <w:tcW w:w="649" w:type="pct"/>
            <w:shd w:val="clear" w:color="auto" w:fill="B6DDE8"/>
            <w:hideMark/>
          </w:tcPr>
          <w:p w14:paraId="3D0159C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Quality</w:t>
            </w:r>
          </w:p>
        </w:tc>
        <w:tc>
          <w:tcPr>
            <w:tcW w:w="400" w:type="pct"/>
            <w:shd w:val="clear" w:color="auto" w:fill="B6DDE8"/>
            <w:hideMark/>
          </w:tcPr>
          <w:p w14:paraId="77DE0AB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Year(s) of population estimate</w:t>
            </w:r>
          </w:p>
        </w:tc>
        <w:tc>
          <w:tcPr>
            <w:tcW w:w="550" w:type="pct"/>
            <w:shd w:val="clear" w:color="auto" w:fill="B6DDE8"/>
            <w:hideMark/>
          </w:tcPr>
          <w:p w14:paraId="1C4E367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Short-term trend (%)</w:t>
            </w:r>
          </w:p>
        </w:tc>
        <w:tc>
          <w:tcPr>
            <w:tcW w:w="499" w:type="pct"/>
            <w:shd w:val="clear" w:color="auto" w:fill="B6DDE8"/>
            <w:hideMark/>
          </w:tcPr>
          <w:p w14:paraId="7F8C7CB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Direction</w:t>
            </w:r>
          </w:p>
        </w:tc>
        <w:tc>
          <w:tcPr>
            <w:tcW w:w="649" w:type="pct"/>
            <w:shd w:val="clear" w:color="auto" w:fill="B6DDE8"/>
            <w:hideMark/>
          </w:tcPr>
          <w:p w14:paraId="4B99AAF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Quality</w:t>
            </w:r>
          </w:p>
        </w:tc>
        <w:tc>
          <w:tcPr>
            <w:tcW w:w="1199" w:type="pct"/>
            <w:shd w:val="clear" w:color="auto" w:fill="B6DDE8"/>
          </w:tcPr>
          <w:p w14:paraId="61406C9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Reference</w:t>
            </w:r>
          </w:p>
        </w:tc>
      </w:tr>
      <w:tr w:rsidR="00C96521" w:rsidRPr="00C96521" w14:paraId="2399B185" w14:textId="77777777" w:rsidTr="00235FA0">
        <w:trPr>
          <w:trHeight w:val="48"/>
        </w:trPr>
        <w:tc>
          <w:tcPr>
            <w:tcW w:w="524" w:type="pct"/>
            <w:shd w:val="clear" w:color="auto" w:fill="auto"/>
            <w:hideMark/>
          </w:tcPr>
          <w:p w14:paraId="64455ADB"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Albania</w:t>
            </w:r>
          </w:p>
        </w:tc>
        <w:tc>
          <w:tcPr>
            <w:tcW w:w="530" w:type="pct"/>
            <w:shd w:val="clear" w:color="auto" w:fill="auto"/>
            <w:hideMark/>
          </w:tcPr>
          <w:p w14:paraId="53BB5FA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800-6,000</w:t>
            </w:r>
          </w:p>
        </w:tc>
        <w:tc>
          <w:tcPr>
            <w:tcW w:w="649" w:type="pct"/>
            <w:shd w:val="clear" w:color="auto" w:fill="auto"/>
            <w:hideMark/>
          </w:tcPr>
          <w:p w14:paraId="56511FD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400" w:type="pct"/>
            <w:shd w:val="clear" w:color="auto" w:fill="auto"/>
            <w:hideMark/>
          </w:tcPr>
          <w:p w14:paraId="013F98A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2002-2012</w:t>
            </w:r>
          </w:p>
        </w:tc>
        <w:tc>
          <w:tcPr>
            <w:tcW w:w="550" w:type="pct"/>
            <w:shd w:val="clear" w:color="auto" w:fill="auto"/>
            <w:hideMark/>
          </w:tcPr>
          <w:p w14:paraId="7FD124AC"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10-30</w:t>
            </w:r>
          </w:p>
        </w:tc>
        <w:tc>
          <w:tcPr>
            <w:tcW w:w="499" w:type="pct"/>
            <w:shd w:val="clear" w:color="auto" w:fill="auto"/>
            <w:hideMark/>
          </w:tcPr>
          <w:p w14:paraId="1578D60C"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57B8373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1199" w:type="pct"/>
          </w:tcPr>
          <w:p w14:paraId="512C17CB"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BirdLife International (2015)</w:t>
            </w:r>
          </w:p>
        </w:tc>
      </w:tr>
      <w:tr w:rsidR="00C96521" w:rsidRPr="00C96521" w14:paraId="2C77515D" w14:textId="77777777" w:rsidTr="00235FA0">
        <w:trPr>
          <w:trHeight w:val="335"/>
        </w:trPr>
        <w:tc>
          <w:tcPr>
            <w:tcW w:w="524" w:type="pct"/>
            <w:shd w:val="clear" w:color="auto" w:fill="auto"/>
            <w:hideMark/>
          </w:tcPr>
          <w:p w14:paraId="5A3C0EE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Algeria</w:t>
            </w:r>
          </w:p>
        </w:tc>
        <w:tc>
          <w:tcPr>
            <w:tcW w:w="530" w:type="pct"/>
            <w:shd w:val="clear" w:color="auto" w:fill="auto"/>
            <w:hideMark/>
          </w:tcPr>
          <w:p w14:paraId="4D15DBF0"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10,000-30,000</w:t>
            </w:r>
          </w:p>
        </w:tc>
        <w:tc>
          <w:tcPr>
            <w:tcW w:w="649" w:type="pct"/>
            <w:shd w:val="clear" w:color="auto" w:fill="auto"/>
            <w:hideMark/>
          </w:tcPr>
          <w:p w14:paraId="5AA35C5B"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00" w:type="pct"/>
            <w:shd w:val="clear" w:color="auto" w:fill="auto"/>
            <w:hideMark/>
          </w:tcPr>
          <w:p w14:paraId="481AE48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2013</w:t>
            </w:r>
          </w:p>
        </w:tc>
        <w:tc>
          <w:tcPr>
            <w:tcW w:w="550" w:type="pct"/>
            <w:shd w:val="clear" w:color="auto" w:fill="auto"/>
            <w:hideMark/>
          </w:tcPr>
          <w:p w14:paraId="4ABED8B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40-55</w:t>
            </w:r>
          </w:p>
        </w:tc>
        <w:tc>
          <w:tcPr>
            <w:tcW w:w="499" w:type="pct"/>
            <w:shd w:val="clear" w:color="auto" w:fill="auto"/>
            <w:hideMark/>
          </w:tcPr>
          <w:p w14:paraId="168D39C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42EF4C5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1199" w:type="pct"/>
          </w:tcPr>
          <w:p w14:paraId="7150311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Fadhila Kafi (PhD Thesis), Ettayib Bensaci (</w:t>
            </w:r>
            <w:r w:rsidRPr="00C96521">
              <w:rPr>
                <w:rFonts w:cs="Arial"/>
                <w:i/>
                <w:sz w:val="16"/>
                <w:szCs w:val="16"/>
                <w:lang w:val="en-GB" w:eastAsia="ja-JP"/>
              </w:rPr>
              <w:t>pers comm</w:t>
            </w:r>
            <w:r w:rsidRPr="00C96521">
              <w:rPr>
                <w:rFonts w:cs="Arial"/>
                <w:sz w:val="16"/>
                <w:szCs w:val="16"/>
                <w:lang w:val="en-GB" w:eastAsia="ja-JP"/>
              </w:rPr>
              <w:t>)</w:t>
            </w:r>
          </w:p>
        </w:tc>
      </w:tr>
      <w:tr w:rsidR="00C96521" w:rsidRPr="00C96521" w14:paraId="33AC9A7B" w14:textId="77777777" w:rsidTr="00235FA0">
        <w:trPr>
          <w:trHeight w:val="156"/>
        </w:trPr>
        <w:tc>
          <w:tcPr>
            <w:tcW w:w="524" w:type="pct"/>
            <w:shd w:val="clear" w:color="auto" w:fill="auto"/>
            <w:hideMark/>
          </w:tcPr>
          <w:p w14:paraId="78791DB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Andorra</w:t>
            </w:r>
          </w:p>
        </w:tc>
        <w:tc>
          <w:tcPr>
            <w:tcW w:w="530" w:type="pct"/>
            <w:shd w:val="clear" w:color="auto" w:fill="auto"/>
            <w:hideMark/>
          </w:tcPr>
          <w:p w14:paraId="597714BB"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649" w:type="pct"/>
            <w:shd w:val="clear" w:color="auto" w:fill="auto"/>
            <w:hideMark/>
          </w:tcPr>
          <w:p w14:paraId="48633CF3"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400" w:type="pct"/>
            <w:shd w:val="clear" w:color="auto" w:fill="auto"/>
            <w:hideMark/>
          </w:tcPr>
          <w:p w14:paraId="2226092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550" w:type="pct"/>
            <w:shd w:val="clear" w:color="auto" w:fill="auto"/>
            <w:hideMark/>
          </w:tcPr>
          <w:p w14:paraId="2839CC9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499" w:type="pct"/>
            <w:shd w:val="clear" w:color="auto" w:fill="auto"/>
            <w:hideMark/>
          </w:tcPr>
          <w:p w14:paraId="4C6AE29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649" w:type="pct"/>
            <w:shd w:val="clear" w:color="auto" w:fill="auto"/>
            <w:hideMark/>
          </w:tcPr>
          <w:p w14:paraId="3B83D954"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1199" w:type="pct"/>
          </w:tcPr>
          <w:p w14:paraId="4C354BD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r>
      <w:tr w:rsidR="00C96521" w:rsidRPr="00C96521" w14:paraId="004860C3" w14:textId="77777777" w:rsidTr="00235FA0">
        <w:trPr>
          <w:trHeight w:val="146"/>
        </w:trPr>
        <w:tc>
          <w:tcPr>
            <w:tcW w:w="524" w:type="pct"/>
            <w:shd w:val="clear" w:color="auto" w:fill="auto"/>
            <w:hideMark/>
          </w:tcPr>
          <w:p w14:paraId="7FAF2CC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Armenia</w:t>
            </w:r>
          </w:p>
        </w:tc>
        <w:tc>
          <w:tcPr>
            <w:tcW w:w="530" w:type="pct"/>
            <w:shd w:val="clear" w:color="auto" w:fill="auto"/>
            <w:hideMark/>
          </w:tcPr>
          <w:p w14:paraId="7E56F004"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600-1,200</w:t>
            </w:r>
          </w:p>
        </w:tc>
        <w:tc>
          <w:tcPr>
            <w:tcW w:w="649" w:type="pct"/>
            <w:shd w:val="clear" w:color="auto" w:fill="auto"/>
            <w:hideMark/>
          </w:tcPr>
          <w:p w14:paraId="6842BC2B"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00" w:type="pct"/>
            <w:shd w:val="clear" w:color="auto" w:fill="auto"/>
            <w:hideMark/>
          </w:tcPr>
          <w:p w14:paraId="63399B0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2002-2012</w:t>
            </w:r>
          </w:p>
        </w:tc>
        <w:tc>
          <w:tcPr>
            <w:tcW w:w="550" w:type="pct"/>
            <w:shd w:val="clear" w:color="auto" w:fill="auto"/>
            <w:hideMark/>
          </w:tcPr>
          <w:p w14:paraId="33FE555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499" w:type="pct"/>
            <w:shd w:val="clear" w:color="auto" w:fill="auto"/>
            <w:hideMark/>
          </w:tcPr>
          <w:p w14:paraId="3F1C714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649" w:type="pct"/>
            <w:shd w:val="clear" w:color="auto" w:fill="auto"/>
            <w:hideMark/>
          </w:tcPr>
          <w:p w14:paraId="41326AA3"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1199" w:type="pct"/>
          </w:tcPr>
          <w:p w14:paraId="4631D1B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BirdLife International (2015)</w:t>
            </w:r>
          </w:p>
        </w:tc>
      </w:tr>
      <w:tr w:rsidR="00C96521" w:rsidRPr="00C96521" w14:paraId="305EE86D" w14:textId="77777777" w:rsidTr="00235FA0">
        <w:trPr>
          <w:trHeight w:val="48"/>
        </w:trPr>
        <w:tc>
          <w:tcPr>
            <w:tcW w:w="524" w:type="pct"/>
            <w:shd w:val="clear" w:color="auto" w:fill="auto"/>
            <w:hideMark/>
          </w:tcPr>
          <w:p w14:paraId="73B4BA2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Austria</w:t>
            </w:r>
          </w:p>
        </w:tc>
        <w:tc>
          <w:tcPr>
            <w:tcW w:w="530" w:type="pct"/>
            <w:shd w:val="clear" w:color="auto" w:fill="auto"/>
            <w:hideMark/>
          </w:tcPr>
          <w:p w14:paraId="7757706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7,500-11,000</w:t>
            </w:r>
          </w:p>
        </w:tc>
        <w:tc>
          <w:tcPr>
            <w:tcW w:w="649" w:type="pct"/>
            <w:shd w:val="clear" w:color="auto" w:fill="auto"/>
            <w:hideMark/>
          </w:tcPr>
          <w:p w14:paraId="707FBA5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Good (Estimated)</w:t>
            </w:r>
          </w:p>
        </w:tc>
        <w:tc>
          <w:tcPr>
            <w:tcW w:w="400" w:type="pct"/>
            <w:shd w:val="clear" w:color="auto" w:fill="auto"/>
            <w:hideMark/>
          </w:tcPr>
          <w:p w14:paraId="6F1B975B"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2015</w:t>
            </w:r>
          </w:p>
        </w:tc>
        <w:tc>
          <w:tcPr>
            <w:tcW w:w="550" w:type="pct"/>
            <w:shd w:val="clear" w:color="auto" w:fill="auto"/>
            <w:hideMark/>
          </w:tcPr>
          <w:p w14:paraId="108A677C"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45-55</w:t>
            </w:r>
          </w:p>
        </w:tc>
        <w:tc>
          <w:tcPr>
            <w:tcW w:w="499" w:type="pct"/>
            <w:shd w:val="clear" w:color="auto" w:fill="auto"/>
            <w:hideMark/>
          </w:tcPr>
          <w:p w14:paraId="28B0C96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212B479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Good (Estimated)</w:t>
            </w:r>
          </w:p>
        </w:tc>
        <w:tc>
          <w:tcPr>
            <w:tcW w:w="1199" w:type="pct"/>
          </w:tcPr>
          <w:p w14:paraId="1466372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 xml:space="preserve">Dvorak (2017 </w:t>
            </w:r>
            <w:r w:rsidRPr="00C96521">
              <w:rPr>
                <w:rFonts w:cs="Arial"/>
                <w:i/>
                <w:sz w:val="16"/>
                <w:szCs w:val="16"/>
                <w:lang w:val="en-GB" w:eastAsia="ja-JP"/>
              </w:rPr>
              <w:t>in prep</w:t>
            </w:r>
            <w:r w:rsidRPr="00C96521">
              <w:rPr>
                <w:rFonts w:cs="Arial"/>
                <w:sz w:val="16"/>
                <w:szCs w:val="16"/>
                <w:lang w:val="en-GB" w:eastAsia="ja-JP"/>
              </w:rPr>
              <w:t>)</w:t>
            </w:r>
          </w:p>
        </w:tc>
      </w:tr>
      <w:tr w:rsidR="00C96521" w:rsidRPr="00C96521" w14:paraId="01F0664E" w14:textId="77777777" w:rsidTr="00235FA0">
        <w:trPr>
          <w:trHeight w:val="136"/>
        </w:trPr>
        <w:tc>
          <w:tcPr>
            <w:tcW w:w="524" w:type="pct"/>
            <w:shd w:val="clear" w:color="auto" w:fill="auto"/>
            <w:hideMark/>
          </w:tcPr>
          <w:p w14:paraId="440770D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Azerbaijan</w:t>
            </w:r>
          </w:p>
        </w:tc>
        <w:tc>
          <w:tcPr>
            <w:tcW w:w="530" w:type="pct"/>
            <w:shd w:val="clear" w:color="auto" w:fill="auto"/>
            <w:hideMark/>
          </w:tcPr>
          <w:p w14:paraId="6C80E0B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100,000-200,000</w:t>
            </w:r>
          </w:p>
        </w:tc>
        <w:tc>
          <w:tcPr>
            <w:tcW w:w="649" w:type="pct"/>
            <w:shd w:val="clear" w:color="auto" w:fill="auto"/>
            <w:hideMark/>
          </w:tcPr>
          <w:p w14:paraId="273A9D6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400" w:type="pct"/>
            <w:shd w:val="clear" w:color="auto" w:fill="auto"/>
            <w:hideMark/>
          </w:tcPr>
          <w:p w14:paraId="0EB67F0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2000-2015</w:t>
            </w:r>
          </w:p>
        </w:tc>
        <w:tc>
          <w:tcPr>
            <w:tcW w:w="550" w:type="pct"/>
            <w:shd w:val="clear" w:color="auto" w:fill="auto"/>
            <w:hideMark/>
          </w:tcPr>
          <w:p w14:paraId="0A33B88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40-80</w:t>
            </w:r>
          </w:p>
        </w:tc>
        <w:tc>
          <w:tcPr>
            <w:tcW w:w="499" w:type="pct"/>
            <w:shd w:val="clear" w:color="auto" w:fill="auto"/>
            <w:hideMark/>
          </w:tcPr>
          <w:p w14:paraId="7D3B31D0"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62F2F4CB"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1199" w:type="pct"/>
          </w:tcPr>
          <w:p w14:paraId="1DA5EFE2"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Elchin Sultanov (</w:t>
            </w:r>
            <w:r w:rsidRPr="00C96521">
              <w:rPr>
                <w:rFonts w:cs="Arial"/>
                <w:i/>
                <w:sz w:val="16"/>
                <w:szCs w:val="16"/>
                <w:lang w:val="en-GB" w:eastAsia="ja-JP"/>
              </w:rPr>
              <w:t>pers comm</w:t>
            </w:r>
            <w:r w:rsidRPr="00C96521">
              <w:rPr>
                <w:rFonts w:cs="Arial"/>
                <w:sz w:val="16"/>
                <w:szCs w:val="16"/>
                <w:lang w:val="en-GB" w:eastAsia="ja-JP"/>
              </w:rPr>
              <w:t>)</w:t>
            </w:r>
          </w:p>
        </w:tc>
      </w:tr>
      <w:tr w:rsidR="00C96521" w:rsidRPr="00C96521" w14:paraId="5F49DF72" w14:textId="77777777" w:rsidTr="00235FA0">
        <w:trPr>
          <w:trHeight w:val="127"/>
        </w:trPr>
        <w:tc>
          <w:tcPr>
            <w:tcW w:w="524" w:type="pct"/>
            <w:shd w:val="clear" w:color="auto" w:fill="auto"/>
            <w:hideMark/>
          </w:tcPr>
          <w:p w14:paraId="7E91707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Belarus</w:t>
            </w:r>
          </w:p>
        </w:tc>
        <w:tc>
          <w:tcPr>
            <w:tcW w:w="530" w:type="pct"/>
            <w:shd w:val="clear" w:color="auto" w:fill="auto"/>
            <w:hideMark/>
          </w:tcPr>
          <w:p w14:paraId="2C944C9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10,000-15,000</w:t>
            </w:r>
          </w:p>
        </w:tc>
        <w:tc>
          <w:tcPr>
            <w:tcW w:w="649" w:type="pct"/>
            <w:shd w:val="clear" w:color="auto" w:fill="auto"/>
            <w:hideMark/>
          </w:tcPr>
          <w:p w14:paraId="504A1E3B"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00" w:type="pct"/>
            <w:shd w:val="clear" w:color="auto" w:fill="auto"/>
            <w:hideMark/>
          </w:tcPr>
          <w:p w14:paraId="4676A92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2013-2016</w:t>
            </w:r>
          </w:p>
        </w:tc>
        <w:tc>
          <w:tcPr>
            <w:tcW w:w="550" w:type="pct"/>
            <w:shd w:val="clear" w:color="auto" w:fill="auto"/>
            <w:hideMark/>
          </w:tcPr>
          <w:p w14:paraId="51452B3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66-75</w:t>
            </w:r>
          </w:p>
        </w:tc>
        <w:tc>
          <w:tcPr>
            <w:tcW w:w="499" w:type="pct"/>
            <w:shd w:val="clear" w:color="auto" w:fill="auto"/>
            <w:hideMark/>
          </w:tcPr>
          <w:p w14:paraId="6596DCB4"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679DC06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1199" w:type="pct"/>
          </w:tcPr>
          <w:p w14:paraId="29EC0A0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Levy S, Gritchik V, Vorobei N, Kozulin A, Dombrovski V, Vintchevski A, Sakhvon V, Kuzmitski A and Yakubovich (</w:t>
            </w:r>
            <w:r w:rsidRPr="00C96521">
              <w:rPr>
                <w:rFonts w:cs="Arial"/>
                <w:i/>
                <w:sz w:val="16"/>
                <w:szCs w:val="16"/>
                <w:lang w:val="en-GB" w:eastAsia="ja-JP"/>
              </w:rPr>
              <w:t>pers comm</w:t>
            </w:r>
            <w:r w:rsidRPr="00C96521">
              <w:rPr>
                <w:rFonts w:cs="Arial"/>
                <w:sz w:val="16"/>
                <w:szCs w:val="16"/>
                <w:lang w:val="en-GB" w:eastAsia="ja-JP"/>
              </w:rPr>
              <w:t>)</w:t>
            </w:r>
          </w:p>
        </w:tc>
      </w:tr>
      <w:tr w:rsidR="00C96521" w:rsidRPr="00C96521" w14:paraId="19643D08" w14:textId="77777777" w:rsidTr="00235FA0">
        <w:trPr>
          <w:trHeight w:val="48"/>
        </w:trPr>
        <w:tc>
          <w:tcPr>
            <w:tcW w:w="524" w:type="pct"/>
            <w:shd w:val="clear" w:color="auto" w:fill="auto"/>
            <w:hideMark/>
          </w:tcPr>
          <w:p w14:paraId="300E12F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Belgium</w:t>
            </w:r>
          </w:p>
        </w:tc>
        <w:tc>
          <w:tcPr>
            <w:tcW w:w="530" w:type="pct"/>
            <w:shd w:val="clear" w:color="auto" w:fill="auto"/>
            <w:hideMark/>
          </w:tcPr>
          <w:p w14:paraId="26FBA0C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3,000-4,500</w:t>
            </w:r>
          </w:p>
        </w:tc>
        <w:tc>
          <w:tcPr>
            <w:tcW w:w="649" w:type="pct"/>
            <w:shd w:val="clear" w:color="auto" w:fill="auto"/>
            <w:hideMark/>
          </w:tcPr>
          <w:p w14:paraId="1E538122"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Good (Estimated)</w:t>
            </w:r>
          </w:p>
        </w:tc>
        <w:tc>
          <w:tcPr>
            <w:tcW w:w="400" w:type="pct"/>
            <w:shd w:val="clear" w:color="auto" w:fill="auto"/>
            <w:hideMark/>
          </w:tcPr>
          <w:p w14:paraId="048DA77C"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2000-2002</w:t>
            </w:r>
          </w:p>
        </w:tc>
        <w:tc>
          <w:tcPr>
            <w:tcW w:w="550" w:type="pct"/>
            <w:shd w:val="clear" w:color="auto" w:fill="auto"/>
            <w:hideMark/>
          </w:tcPr>
          <w:p w14:paraId="495EE104"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53</w:t>
            </w:r>
          </w:p>
        </w:tc>
        <w:tc>
          <w:tcPr>
            <w:tcW w:w="499" w:type="pct"/>
            <w:shd w:val="clear" w:color="auto" w:fill="auto"/>
            <w:hideMark/>
          </w:tcPr>
          <w:p w14:paraId="57EB2D4B"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7435841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Good (Estimated)</w:t>
            </w:r>
          </w:p>
        </w:tc>
        <w:tc>
          <w:tcPr>
            <w:tcW w:w="1199" w:type="pct"/>
          </w:tcPr>
          <w:p w14:paraId="44194B22"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 xml:space="preserve">Vermeersch </w:t>
            </w:r>
            <w:r w:rsidRPr="00C96521">
              <w:rPr>
                <w:rFonts w:cs="Arial"/>
                <w:i/>
                <w:iCs/>
                <w:sz w:val="16"/>
                <w:szCs w:val="16"/>
                <w:lang w:val="en-GB" w:eastAsia="ja-JP"/>
              </w:rPr>
              <w:t>et al</w:t>
            </w:r>
            <w:r w:rsidRPr="00C96521">
              <w:rPr>
                <w:rFonts w:cs="Arial"/>
                <w:sz w:val="16"/>
                <w:szCs w:val="16"/>
                <w:lang w:val="en-GB" w:eastAsia="ja-JP"/>
              </w:rPr>
              <w:t xml:space="preserve"> (2004)</w:t>
            </w:r>
          </w:p>
        </w:tc>
      </w:tr>
      <w:tr w:rsidR="00C96521" w:rsidRPr="00C96521" w14:paraId="38A27A32" w14:textId="77777777" w:rsidTr="00235FA0">
        <w:trPr>
          <w:trHeight w:val="240"/>
        </w:trPr>
        <w:tc>
          <w:tcPr>
            <w:tcW w:w="524" w:type="pct"/>
            <w:shd w:val="clear" w:color="auto" w:fill="auto"/>
            <w:hideMark/>
          </w:tcPr>
          <w:p w14:paraId="3586220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Bosnia and Herzegovina</w:t>
            </w:r>
          </w:p>
        </w:tc>
        <w:tc>
          <w:tcPr>
            <w:tcW w:w="530" w:type="pct"/>
            <w:shd w:val="clear" w:color="auto" w:fill="auto"/>
            <w:hideMark/>
          </w:tcPr>
          <w:p w14:paraId="75D4B41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5,000-15,000</w:t>
            </w:r>
          </w:p>
        </w:tc>
        <w:tc>
          <w:tcPr>
            <w:tcW w:w="649" w:type="pct"/>
            <w:shd w:val="clear" w:color="auto" w:fill="auto"/>
            <w:hideMark/>
          </w:tcPr>
          <w:p w14:paraId="7C0CF99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400" w:type="pct"/>
            <w:shd w:val="clear" w:color="auto" w:fill="auto"/>
            <w:hideMark/>
          </w:tcPr>
          <w:p w14:paraId="18D01B2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2010-2014</w:t>
            </w:r>
          </w:p>
        </w:tc>
        <w:tc>
          <w:tcPr>
            <w:tcW w:w="550" w:type="pct"/>
            <w:shd w:val="clear" w:color="auto" w:fill="auto"/>
            <w:hideMark/>
          </w:tcPr>
          <w:p w14:paraId="02AE866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499" w:type="pct"/>
            <w:shd w:val="clear" w:color="auto" w:fill="auto"/>
            <w:hideMark/>
          </w:tcPr>
          <w:p w14:paraId="7C66F21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649" w:type="pct"/>
            <w:shd w:val="clear" w:color="auto" w:fill="auto"/>
            <w:hideMark/>
          </w:tcPr>
          <w:p w14:paraId="14621994"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1199" w:type="pct"/>
          </w:tcPr>
          <w:p w14:paraId="127BF63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BirdLife International (2015)</w:t>
            </w:r>
          </w:p>
        </w:tc>
      </w:tr>
      <w:tr w:rsidR="00C96521" w:rsidRPr="00C96521" w14:paraId="23082445" w14:textId="77777777" w:rsidTr="00235FA0">
        <w:trPr>
          <w:trHeight w:val="184"/>
        </w:trPr>
        <w:tc>
          <w:tcPr>
            <w:tcW w:w="524" w:type="pct"/>
            <w:shd w:val="clear" w:color="auto" w:fill="auto"/>
            <w:hideMark/>
          </w:tcPr>
          <w:p w14:paraId="4C36A98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Bulgaria</w:t>
            </w:r>
          </w:p>
        </w:tc>
        <w:tc>
          <w:tcPr>
            <w:tcW w:w="530" w:type="pct"/>
            <w:shd w:val="clear" w:color="auto" w:fill="auto"/>
            <w:hideMark/>
          </w:tcPr>
          <w:p w14:paraId="68137AC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35,000-100,000</w:t>
            </w:r>
          </w:p>
        </w:tc>
        <w:tc>
          <w:tcPr>
            <w:tcW w:w="649" w:type="pct"/>
            <w:shd w:val="clear" w:color="auto" w:fill="auto"/>
            <w:hideMark/>
          </w:tcPr>
          <w:p w14:paraId="4E5B495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00" w:type="pct"/>
            <w:shd w:val="clear" w:color="auto" w:fill="auto"/>
            <w:hideMark/>
          </w:tcPr>
          <w:p w14:paraId="1F18746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2010-2015</w:t>
            </w:r>
          </w:p>
        </w:tc>
        <w:tc>
          <w:tcPr>
            <w:tcW w:w="550" w:type="pct"/>
            <w:shd w:val="clear" w:color="auto" w:fill="auto"/>
            <w:hideMark/>
          </w:tcPr>
          <w:p w14:paraId="0836744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uncertain</w:t>
            </w:r>
          </w:p>
        </w:tc>
        <w:tc>
          <w:tcPr>
            <w:tcW w:w="499" w:type="pct"/>
            <w:shd w:val="clear" w:color="auto" w:fill="auto"/>
            <w:hideMark/>
          </w:tcPr>
          <w:p w14:paraId="2C18827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uncertain</w:t>
            </w:r>
          </w:p>
        </w:tc>
        <w:tc>
          <w:tcPr>
            <w:tcW w:w="649" w:type="pct"/>
            <w:shd w:val="clear" w:color="auto" w:fill="auto"/>
            <w:hideMark/>
          </w:tcPr>
          <w:p w14:paraId="4352F16B"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Good (Observed)</w:t>
            </w:r>
          </w:p>
        </w:tc>
        <w:tc>
          <w:tcPr>
            <w:tcW w:w="1199" w:type="pct"/>
          </w:tcPr>
          <w:p w14:paraId="600460F3"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Hristov 2015</w:t>
            </w:r>
          </w:p>
        </w:tc>
      </w:tr>
      <w:tr w:rsidR="00C96521" w:rsidRPr="00C96521" w14:paraId="39C32C7D" w14:textId="77777777" w:rsidTr="00235FA0">
        <w:trPr>
          <w:trHeight w:val="124"/>
        </w:trPr>
        <w:tc>
          <w:tcPr>
            <w:tcW w:w="524" w:type="pct"/>
            <w:shd w:val="clear" w:color="auto" w:fill="auto"/>
            <w:hideMark/>
          </w:tcPr>
          <w:p w14:paraId="0A64245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Croatia</w:t>
            </w:r>
          </w:p>
        </w:tc>
        <w:tc>
          <w:tcPr>
            <w:tcW w:w="530" w:type="pct"/>
            <w:shd w:val="clear" w:color="auto" w:fill="auto"/>
            <w:hideMark/>
          </w:tcPr>
          <w:p w14:paraId="3ED1E23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50,000-100,000</w:t>
            </w:r>
          </w:p>
        </w:tc>
        <w:tc>
          <w:tcPr>
            <w:tcW w:w="649" w:type="pct"/>
            <w:shd w:val="clear" w:color="auto" w:fill="auto"/>
            <w:hideMark/>
          </w:tcPr>
          <w:p w14:paraId="14E0009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400" w:type="pct"/>
            <w:shd w:val="clear" w:color="auto" w:fill="auto"/>
            <w:hideMark/>
          </w:tcPr>
          <w:p w14:paraId="70838BE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2000</w:t>
            </w:r>
          </w:p>
        </w:tc>
        <w:tc>
          <w:tcPr>
            <w:tcW w:w="550" w:type="pct"/>
            <w:shd w:val="clear" w:color="auto" w:fill="auto"/>
            <w:hideMark/>
          </w:tcPr>
          <w:p w14:paraId="019BF29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499" w:type="pct"/>
            <w:shd w:val="clear" w:color="auto" w:fill="auto"/>
            <w:hideMark/>
          </w:tcPr>
          <w:p w14:paraId="56B66F7C"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649" w:type="pct"/>
            <w:shd w:val="clear" w:color="auto" w:fill="auto"/>
            <w:hideMark/>
          </w:tcPr>
          <w:p w14:paraId="2FDFBFB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1199" w:type="pct"/>
          </w:tcPr>
          <w:p w14:paraId="35CAA25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BirdLife International (2015)</w:t>
            </w:r>
          </w:p>
        </w:tc>
      </w:tr>
      <w:tr w:rsidR="00C96521" w:rsidRPr="00C96521" w14:paraId="4550C3B6" w14:textId="77777777" w:rsidTr="00235FA0">
        <w:trPr>
          <w:trHeight w:val="202"/>
        </w:trPr>
        <w:tc>
          <w:tcPr>
            <w:tcW w:w="524" w:type="pct"/>
            <w:shd w:val="clear" w:color="auto" w:fill="auto"/>
            <w:hideMark/>
          </w:tcPr>
          <w:p w14:paraId="0F8E906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Cyprus</w:t>
            </w:r>
          </w:p>
        </w:tc>
        <w:tc>
          <w:tcPr>
            <w:tcW w:w="530" w:type="pct"/>
            <w:shd w:val="clear" w:color="auto" w:fill="auto"/>
            <w:hideMark/>
          </w:tcPr>
          <w:p w14:paraId="6B47775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3,000-10,000</w:t>
            </w:r>
          </w:p>
        </w:tc>
        <w:tc>
          <w:tcPr>
            <w:tcW w:w="649" w:type="pct"/>
            <w:shd w:val="clear" w:color="auto" w:fill="auto"/>
            <w:hideMark/>
          </w:tcPr>
          <w:p w14:paraId="2FBA4B54"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00" w:type="pct"/>
            <w:shd w:val="clear" w:color="auto" w:fill="auto"/>
            <w:hideMark/>
          </w:tcPr>
          <w:p w14:paraId="18E89FC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2006-2012</w:t>
            </w:r>
          </w:p>
        </w:tc>
        <w:tc>
          <w:tcPr>
            <w:tcW w:w="550" w:type="pct"/>
            <w:shd w:val="clear" w:color="auto" w:fill="auto"/>
            <w:hideMark/>
          </w:tcPr>
          <w:p w14:paraId="2F4622A2"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0</w:t>
            </w:r>
          </w:p>
        </w:tc>
        <w:tc>
          <w:tcPr>
            <w:tcW w:w="499" w:type="pct"/>
            <w:shd w:val="clear" w:color="auto" w:fill="auto"/>
            <w:hideMark/>
          </w:tcPr>
          <w:p w14:paraId="30AB611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stable</w:t>
            </w:r>
          </w:p>
        </w:tc>
        <w:tc>
          <w:tcPr>
            <w:tcW w:w="649" w:type="pct"/>
            <w:shd w:val="clear" w:color="auto" w:fill="auto"/>
            <w:hideMark/>
          </w:tcPr>
          <w:p w14:paraId="39B79634"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1199" w:type="pct"/>
          </w:tcPr>
          <w:p w14:paraId="530A183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BirdLife International (2015)</w:t>
            </w:r>
          </w:p>
        </w:tc>
      </w:tr>
      <w:tr w:rsidR="00C96521" w:rsidRPr="00C96521" w14:paraId="2F1CA095" w14:textId="77777777" w:rsidTr="00235FA0">
        <w:trPr>
          <w:trHeight w:val="121"/>
        </w:trPr>
        <w:tc>
          <w:tcPr>
            <w:tcW w:w="524" w:type="pct"/>
            <w:shd w:val="clear" w:color="auto" w:fill="auto"/>
            <w:hideMark/>
          </w:tcPr>
          <w:p w14:paraId="4670F80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Czech Republic</w:t>
            </w:r>
          </w:p>
        </w:tc>
        <w:tc>
          <w:tcPr>
            <w:tcW w:w="530" w:type="pct"/>
            <w:shd w:val="clear" w:color="auto" w:fill="auto"/>
            <w:hideMark/>
          </w:tcPr>
          <w:p w14:paraId="76E724D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50,000-100,000</w:t>
            </w:r>
          </w:p>
        </w:tc>
        <w:tc>
          <w:tcPr>
            <w:tcW w:w="649" w:type="pct"/>
            <w:shd w:val="clear" w:color="auto" w:fill="auto"/>
            <w:hideMark/>
          </w:tcPr>
          <w:p w14:paraId="1C7E1EB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00" w:type="pct"/>
            <w:shd w:val="clear" w:color="auto" w:fill="auto"/>
            <w:hideMark/>
          </w:tcPr>
          <w:p w14:paraId="2D6CD94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1982-2014 (short-term trend not available)</w:t>
            </w:r>
          </w:p>
        </w:tc>
        <w:tc>
          <w:tcPr>
            <w:tcW w:w="550" w:type="pct"/>
            <w:shd w:val="clear" w:color="auto" w:fill="auto"/>
            <w:hideMark/>
          </w:tcPr>
          <w:p w14:paraId="43D926C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499" w:type="pct"/>
            <w:shd w:val="clear" w:color="auto" w:fill="auto"/>
            <w:hideMark/>
          </w:tcPr>
          <w:p w14:paraId="7CB0946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moderate decrease</w:t>
            </w:r>
          </w:p>
        </w:tc>
        <w:tc>
          <w:tcPr>
            <w:tcW w:w="649" w:type="pct"/>
            <w:shd w:val="clear" w:color="auto" w:fill="auto"/>
            <w:hideMark/>
          </w:tcPr>
          <w:p w14:paraId="1D3A088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Good (Observed)</w:t>
            </w:r>
          </w:p>
        </w:tc>
        <w:tc>
          <w:tcPr>
            <w:tcW w:w="1199" w:type="pct"/>
          </w:tcPr>
          <w:p w14:paraId="566656CB"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CSO/JPSP 2015</w:t>
            </w:r>
          </w:p>
        </w:tc>
      </w:tr>
      <w:tr w:rsidR="00C96521" w:rsidRPr="00C96521" w14:paraId="08FFAFEE" w14:textId="77777777" w:rsidTr="00235FA0">
        <w:trPr>
          <w:trHeight w:val="130"/>
        </w:trPr>
        <w:tc>
          <w:tcPr>
            <w:tcW w:w="524" w:type="pct"/>
            <w:shd w:val="clear" w:color="auto" w:fill="auto"/>
            <w:hideMark/>
          </w:tcPr>
          <w:p w14:paraId="7849511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Denmark</w:t>
            </w:r>
          </w:p>
        </w:tc>
        <w:tc>
          <w:tcPr>
            <w:tcW w:w="530" w:type="pct"/>
            <w:shd w:val="clear" w:color="auto" w:fill="auto"/>
            <w:hideMark/>
          </w:tcPr>
          <w:p w14:paraId="2FB9AF5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100-150</w:t>
            </w:r>
          </w:p>
        </w:tc>
        <w:tc>
          <w:tcPr>
            <w:tcW w:w="649" w:type="pct"/>
            <w:shd w:val="clear" w:color="auto" w:fill="auto"/>
            <w:hideMark/>
          </w:tcPr>
          <w:p w14:paraId="01883C0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00" w:type="pct"/>
            <w:shd w:val="clear" w:color="auto" w:fill="auto"/>
            <w:hideMark/>
          </w:tcPr>
          <w:p w14:paraId="6272A9F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2010-2011</w:t>
            </w:r>
          </w:p>
        </w:tc>
        <w:tc>
          <w:tcPr>
            <w:tcW w:w="550" w:type="pct"/>
            <w:shd w:val="clear" w:color="auto" w:fill="auto"/>
            <w:hideMark/>
          </w:tcPr>
          <w:p w14:paraId="63EF13A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0</w:t>
            </w:r>
          </w:p>
        </w:tc>
        <w:tc>
          <w:tcPr>
            <w:tcW w:w="499" w:type="pct"/>
            <w:shd w:val="clear" w:color="auto" w:fill="auto"/>
            <w:hideMark/>
          </w:tcPr>
          <w:p w14:paraId="65D24922"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stable</w:t>
            </w:r>
          </w:p>
        </w:tc>
        <w:tc>
          <w:tcPr>
            <w:tcW w:w="649" w:type="pct"/>
            <w:shd w:val="clear" w:color="auto" w:fill="auto"/>
            <w:hideMark/>
          </w:tcPr>
          <w:p w14:paraId="4F4C782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1199" w:type="pct"/>
          </w:tcPr>
          <w:p w14:paraId="43AAC2CB"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 xml:space="preserve">Nyegaard </w:t>
            </w:r>
            <w:r w:rsidRPr="00C96521">
              <w:rPr>
                <w:rFonts w:cs="Arial"/>
                <w:i/>
                <w:iCs/>
                <w:sz w:val="16"/>
                <w:szCs w:val="16"/>
                <w:lang w:val="en-GB" w:eastAsia="ja-JP"/>
              </w:rPr>
              <w:t>et al</w:t>
            </w:r>
            <w:r w:rsidRPr="00C96521">
              <w:rPr>
                <w:rFonts w:cs="Arial"/>
                <w:sz w:val="16"/>
                <w:szCs w:val="16"/>
                <w:lang w:val="en-GB" w:eastAsia="ja-JP"/>
              </w:rPr>
              <w:t xml:space="preserve"> (2014)</w:t>
            </w:r>
          </w:p>
        </w:tc>
      </w:tr>
      <w:tr w:rsidR="00C96521" w:rsidRPr="00C96521" w14:paraId="7842E16D" w14:textId="77777777" w:rsidTr="00235FA0">
        <w:trPr>
          <w:trHeight w:val="48"/>
        </w:trPr>
        <w:tc>
          <w:tcPr>
            <w:tcW w:w="524" w:type="pct"/>
            <w:shd w:val="clear" w:color="auto" w:fill="auto"/>
            <w:hideMark/>
          </w:tcPr>
          <w:p w14:paraId="540CEA3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Egypt</w:t>
            </w:r>
          </w:p>
        </w:tc>
        <w:tc>
          <w:tcPr>
            <w:tcW w:w="530" w:type="pct"/>
            <w:shd w:val="clear" w:color="auto" w:fill="auto"/>
            <w:hideMark/>
          </w:tcPr>
          <w:p w14:paraId="0E81448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649" w:type="pct"/>
            <w:shd w:val="clear" w:color="auto" w:fill="auto"/>
            <w:hideMark/>
          </w:tcPr>
          <w:p w14:paraId="102DAF2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400" w:type="pct"/>
            <w:shd w:val="clear" w:color="auto" w:fill="auto"/>
            <w:hideMark/>
          </w:tcPr>
          <w:p w14:paraId="43A53E0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550" w:type="pct"/>
            <w:shd w:val="clear" w:color="auto" w:fill="auto"/>
            <w:hideMark/>
          </w:tcPr>
          <w:p w14:paraId="3549DB6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499" w:type="pct"/>
            <w:shd w:val="clear" w:color="auto" w:fill="auto"/>
            <w:hideMark/>
          </w:tcPr>
          <w:p w14:paraId="6D73BD9C"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649" w:type="pct"/>
            <w:shd w:val="clear" w:color="auto" w:fill="auto"/>
            <w:hideMark/>
          </w:tcPr>
          <w:p w14:paraId="0C3E01C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1199" w:type="pct"/>
          </w:tcPr>
          <w:p w14:paraId="41D7361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r>
      <w:tr w:rsidR="00C96521" w:rsidRPr="00C96521" w14:paraId="61199877" w14:textId="77777777" w:rsidTr="00235FA0">
        <w:trPr>
          <w:trHeight w:val="124"/>
        </w:trPr>
        <w:tc>
          <w:tcPr>
            <w:tcW w:w="524" w:type="pct"/>
            <w:shd w:val="clear" w:color="auto" w:fill="auto"/>
            <w:hideMark/>
          </w:tcPr>
          <w:p w14:paraId="38CF00F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Estonia</w:t>
            </w:r>
          </w:p>
        </w:tc>
        <w:tc>
          <w:tcPr>
            <w:tcW w:w="530" w:type="pct"/>
            <w:shd w:val="clear" w:color="auto" w:fill="auto"/>
            <w:hideMark/>
          </w:tcPr>
          <w:p w14:paraId="7864F2F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1,000-3,000</w:t>
            </w:r>
          </w:p>
        </w:tc>
        <w:tc>
          <w:tcPr>
            <w:tcW w:w="649" w:type="pct"/>
            <w:shd w:val="clear" w:color="auto" w:fill="auto"/>
            <w:hideMark/>
          </w:tcPr>
          <w:p w14:paraId="53CB16B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400" w:type="pct"/>
            <w:shd w:val="clear" w:color="auto" w:fill="auto"/>
            <w:hideMark/>
          </w:tcPr>
          <w:p w14:paraId="31339B3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2012</w:t>
            </w:r>
          </w:p>
        </w:tc>
        <w:tc>
          <w:tcPr>
            <w:tcW w:w="550" w:type="pct"/>
            <w:shd w:val="clear" w:color="auto" w:fill="auto"/>
            <w:hideMark/>
          </w:tcPr>
          <w:p w14:paraId="23D73972"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30-40</w:t>
            </w:r>
          </w:p>
        </w:tc>
        <w:tc>
          <w:tcPr>
            <w:tcW w:w="499" w:type="pct"/>
            <w:shd w:val="clear" w:color="auto" w:fill="auto"/>
            <w:hideMark/>
          </w:tcPr>
          <w:p w14:paraId="12C38C6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72EF0C6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Good (Observed)</w:t>
            </w:r>
          </w:p>
        </w:tc>
        <w:tc>
          <w:tcPr>
            <w:tcW w:w="1199" w:type="pct"/>
          </w:tcPr>
          <w:p w14:paraId="57BBF7A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 xml:space="preserve">Elts </w:t>
            </w:r>
            <w:r w:rsidRPr="00C96521">
              <w:rPr>
                <w:rFonts w:cs="Arial"/>
                <w:i/>
                <w:iCs/>
                <w:sz w:val="16"/>
                <w:szCs w:val="16"/>
                <w:lang w:val="en-GB" w:eastAsia="ja-JP"/>
              </w:rPr>
              <w:t>et al</w:t>
            </w:r>
            <w:r w:rsidRPr="00C96521">
              <w:rPr>
                <w:rFonts w:cs="Arial"/>
                <w:sz w:val="16"/>
                <w:szCs w:val="16"/>
                <w:lang w:val="en-GB" w:eastAsia="ja-JP"/>
              </w:rPr>
              <w:t xml:space="preserve"> (2013)</w:t>
            </w:r>
          </w:p>
        </w:tc>
      </w:tr>
      <w:tr w:rsidR="00C96521" w:rsidRPr="00C96521" w14:paraId="5825F823" w14:textId="77777777" w:rsidTr="00235FA0">
        <w:trPr>
          <w:trHeight w:val="83"/>
        </w:trPr>
        <w:tc>
          <w:tcPr>
            <w:tcW w:w="524" w:type="pct"/>
            <w:shd w:val="clear" w:color="auto" w:fill="auto"/>
            <w:hideMark/>
          </w:tcPr>
          <w:p w14:paraId="2DFAE74C"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Finland</w:t>
            </w:r>
          </w:p>
        </w:tc>
        <w:tc>
          <w:tcPr>
            <w:tcW w:w="530" w:type="pct"/>
            <w:shd w:val="clear" w:color="auto" w:fill="auto"/>
            <w:hideMark/>
          </w:tcPr>
          <w:p w14:paraId="0D880ED4"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0-10</w:t>
            </w:r>
          </w:p>
        </w:tc>
        <w:tc>
          <w:tcPr>
            <w:tcW w:w="649" w:type="pct"/>
            <w:shd w:val="clear" w:color="auto" w:fill="auto"/>
            <w:hideMark/>
          </w:tcPr>
          <w:p w14:paraId="37AD81A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00" w:type="pct"/>
            <w:shd w:val="clear" w:color="auto" w:fill="auto"/>
            <w:hideMark/>
          </w:tcPr>
          <w:p w14:paraId="1654BF90"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2014-2015</w:t>
            </w:r>
          </w:p>
        </w:tc>
        <w:tc>
          <w:tcPr>
            <w:tcW w:w="550" w:type="pct"/>
            <w:shd w:val="clear" w:color="auto" w:fill="auto"/>
            <w:hideMark/>
          </w:tcPr>
          <w:p w14:paraId="4C45B880"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27-61</w:t>
            </w:r>
          </w:p>
        </w:tc>
        <w:tc>
          <w:tcPr>
            <w:tcW w:w="499" w:type="pct"/>
            <w:shd w:val="clear" w:color="auto" w:fill="auto"/>
            <w:hideMark/>
          </w:tcPr>
          <w:p w14:paraId="29C3E164"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5AAA797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1199" w:type="pct"/>
          </w:tcPr>
          <w:p w14:paraId="5902B6A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BirdLife Finland (</w:t>
            </w:r>
            <w:r w:rsidRPr="00C96521">
              <w:rPr>
                <w:rFonts w:cs="Arial"/>
                <w:i/>
                <w:sz w:val="16"/>
                <w:szCs w:val="16"/>
                <w:lang w:val="en-GB" w:eastAsia="ja-JP"/>
              </w:rPr>
              <w:t>unpublished data</w:t>
            </w:r>
            <w:r w:rsidRPr="00C96521">
              <w:rPr>
                <w:rFonts w:cs="Arial"/>
                <w:sz w:val="16"/>
                <w:szCs w:val="16"/>
                <w:lang w:val="en-GB" w:eastAsia="ja-JP"/>
              </w:rPr>
              <w:t>)</w:t>
            </w:r>
          </w:p>
        </w:tc>
      </w:tr>
      <w:tr w:rsidR="00C96521" w:rsidRPr="00C96521" w14:paraId="0ED6ACCA" w14:textId="77777777" w:rsidTr="00235FA0">
        <w:trPr>
          <w:trHeight w:val="171"/>
        </w:trPr>
        <w:tc>
          <w:tcPr>
            <w:tcW w:w="524" w:type="pct"/>
            <w:shd w:val="clear" w:color="auto" w:fill="auto"/>
            <w:hideMark/>
          </w:tcPr>
          <w:p w14:paraId="43AD3DE4"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France</w:t>
            </w:r>
          </w:p>
        </w:tc>
        <w:tc>
          <w:tcPr>
            <w:tcW w:w="530" w:type="pct"/>
            <w:shd w:val="clear" w:color="auto" w:fill="auto"/>
            <w:hideMark/>
          </w:tcPr>
          <w:p w14:paraId="682C323C"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300,000-500,000</w:t>
            </w:r>
          </w:p>
        </w:tc>
        <w:tc>
          <w:tcPr>
            <w:tcW w:w="649" w:type="pct"/>
            <w:shd w:val="clear" w:color="auto" w:fill="auto"/>
            <w:hideMark/>
          </w:tcPr>
          <w:p w14:paraId="029022E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00" w:type="pct"/>
            <w:shd w:val="clear" w:color="auto" w:fill="auto"/>
            <w:hideMark/>
          </w:tcPr>
          <w:p w14:paraId="6E97E27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2015</w:t>
            </w:r>
          </w:p>
        </w:tc>
        <w:tc>
          <w:tcPr>
            <w:tcW w:w="550" w:type="pct"/>
            <w:shd w:val="clear" w:color="auto" w:fill="auto"/>
            <w:hideMark/>
          </w:tcPr>
          <w:p w14:paraId="53D7D44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44%</w:t>
            </w:r>
          </w:p>
        </w:tc>
        <w:tc>
          <w:tcPr>
            <w:tcW w:w="499" w:type="pct"/>
            <w:shd w:val="clear" w:color="auto" w:fill="auto"/>
            <w:hideMark/>
          </w:tcPr>
          <w:p w14:paraId="19F8CCD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78D639E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Good (Observed)</w:t>
            </w:r>
          </w:p>
        </w:tc>
        <w:tc>
          <w:tcPr>
            <w:tcW w:w="1199" w:type="pct"/>
          </w:tcPr>
          <w:p w14:paraId="4D7833C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 xml:space="preserve">Issa and Muller (2015), Jiguet (2016) </w:t>
            </w:r>
          </w:p>
          <w:p w14:paraId="17681412" w14:textId="77777777" w:rsidR="00C96521" w:rsidRPr="00C96521" w:rsidRDefault="00C96521" w:rsidP="00C96521">
            <w:pPr>
              <w:widowControl/>
              <w:autoSpaceDE/>
              <w:autoSpaceDN/>
              <w:adjustRightInd/>
              <w:rPr>
                <w:rFonts w:cs="Arial"/>
                <w:sz w:val="16"/>
                <w:szCs w:val="16"/>
                <w:lang w:val="en-GB" w:eastAsia="ja-JP"/>
              </w:rPr>
            </w:pPr>
          </w:p>
        </w:tc>
      </w:tr>
      <w:tr w:rsidR="00C96521" w:rsidRPr="00C96521" w14:paraId="45D24638" w14:textId="77777777" w:rsidTr="00235FA0">
        <w:trPr>
          <w:trHeight w:val="104"/>
        </w:trPr>
        <w:tc>
          <w:tcPr>
            <w:tcW w:w="524" w:type="pct"/>
            <w:shd w:val="clear" w:color="auto" w:fill="auto"/>
            <w:hideMark/>
          </w:tcPr>
          <w:p w14:paraId="5CAF885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Georgia</w:t>
            </w:r>
          </w:p>
        </w:tc>
        <w:tc>
          <w:tcPr>
            <w:tcW w:w="530" w:type="pct"/>
            <w:shd w:val="clear" w:color="auto" w:fill="auto"/>
            <w:hideMark/>
          </w:tcPr>
          <w:p w14:paraId="550E4BF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present</w:t>
            </w:r>
          </w:p>
        </w:tc>
        <w:tc>
          <w:tcPr>
            <w:tcW w:w="649" w:type="pct"/>
            <w:shd w:val="clear" w:color="auto" w:fill="auto"/>
            <w:hideMark/>
          </w:tcPr>
          <w:p w14:paraId="2085452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400" w:type="pct"/>
            <w:shd w:val="clear" w:color="auto" w:fill="auto"/>
            <w:hideMark/>
          </w:tcPr>
          <w:p w14:paraId="33BBD89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550" w:type="pct"/>
            <w:shd w:val="clear" w:color="auto" w:fill="auto"/>
            <w:hideMark/>
          </w:tcPr>
          <w:p w14:paraId="4871F63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499" w:type="pct"/>
            <w:shd w:val="clear" w:color="auto" w:fill="auto"/>
            <w:hideMark/>
          </w:tcPr>
          <w:p w14:paraId="5700A85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649" w:type="pct"/>
            <w:shd w:val="clear" w:color="auto" w:fill="auto"/>
            <w:hideMark/>
          </w:tcPr>
          <w:p w14:paraId="4F4759E3"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1199" w:type="pct"/>
          </w:tcPr>
          <w:p w14:paraId="7F50477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BirdLife International (2015)</w:t>
            </w:r>
          </w:p>
        </w:tc>
      </w:tr>
      <w:tr w:rsidR="00C96521" w:rsidRPr="00C96521" w14:paraId="1369A010" w14:textId="77777777" w:rsidTr="00235FA0">
        <w:trPr>
          <w:trHeight w:val="48"/>
        </w:trPr>
        <w:tc>
          <w:tcPr>
            <w:tcW w:w="524" w:type="pct"/>
            <w:shd w:val="clear" w:color="auto" w:fill="auto"/>
            <w:hideMark/>
          </w:tcPr>
          <w:p w14:paraId="2EDCAFC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Germany</w:t>
            </w:r>
          </w:p>
        </w:tc>
        <w:tc>
          <w:tcPr>
            <w:tcW w:w="530" w:type="pct"/>
            <w:shd w:val="clear" w:color="auto" w:fill="auto"/>
            <w:hideMark/>
          </w:tcPr>
          <w:p w14:paraId="6350528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25,000-45,000</w:t>
            </w:r>
          </w:p>
        </w:tc>
        <w:tc>
          <w:tcPr>
            <w:tcW w:w="649" w:type="pct"/>
            <w:shd w:val="clear" w:color="auto" w:fill="auto"/>
            <w:hideMark/>
          </w:tcPr>
          <w:p w14:paraId="1B7B4B8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Good (Observed)</w:t>
            </w:r>
          </w:p>
        </w:tc>
        <w:tc>
          <w:tcPr>
            <w:tcW w:w="400" w:type="pct"/>
            <w:shd w:val="clear" w:color="auto" w:fill="auto"/>
            <w:hideMark/>
          </w:tcPr>
          <w:p w14:paraId="640D5A40"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2005-2009</w:t>
            </w:r>
          </w:p>
        </w:tc>
        <w:tc>
          <w:tcPr>
            <w:tcW w:w="550" w:type="pct"/>
            <w:shd w:val="clear" w:color="auto" w:fill="auto"/>
            <w:hideMark/>
          </w:tcPr>
          <w:p w14:paraId="6F4C2BC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38-58</w:t>
            </w:r>
          </w:p>
        </w:tc>
        <w:tc>
          <w:tcPr>
            <w:tcW w:w="499" w:type="pct"/>
            <w:shd w:val="clear" w:color="auto" w:fill="auto"/>
            <w:hideMark/>
          </w:tcPr>
          <w:p w14:paraId="58386C0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0795106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Good (Observed)</w:t>
            </w:r>
          </w:p>
        </w:tc>
        <w:tc>
          <w:tcPr>
            <w:tcW w:w="1199" w:type="pct"/>
          </w:tcPr>
          <w:p w14:paraId="7CA2FA4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 xml:space="preserve">EU (2013); Gedeon </w:t>
            </w:r>
            <w:r w:rsidRPr="00C96521">
              <w:rPr>
                <w:rFonts w:cs="Arial"/>
                <w:i/>
                <w:sz w:val="16"/>
                <w:szCs w:val="16"/>
                <w:lang w:val="en-GB" w:eastAsia="ja-JP"/>
              </w:rPr>
              <w:t xml:space="preserve">et al </w:t>
            </w:r>
            <w:r w:rsidRPr="00C96521">
              <w:rPr>
                <w:rFonts w:cs="Arial"/>
                <w:sz w:val="16"/>
                <w:szCs w:val="16"/>
                <w:lang w:val="en-GB" w:eastAsia="ja-JP"/>
              </w:rPr>
              <w:t>(2014)</w:t>
            </w:r>
          </w:p>
        </w:tc>
      </w:tr>
      <w:tr w:rsidR="00C96521" w:rsidRPr="00C96521" w14:paraId="54389B2B" w14:textId="77777777" w:rsidTr="00235FA0">
        <w:trPr>
          <w:trHeight w:val="151"/>
        </w:trPr>
        <w:tc>
          <w:tcPr>
            <w:tcW w:w="524" w:type="pct"/>
            <w:shd w:val="clear" w:color="auto" w:fill="auto"/>
            <w:hideMark/>
          </w:tcPr>
          <w:p w14:paraId="562E46E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Greece</w:t>
            </w:r>
          </w:p>
        </w:tc>
        <w:tc>
          <w:tcPr>
            <w:tcW w:w="530" w:type="pct"/>
            <w:shd w:val="clear" w:color="auto" w:fill="auto"/>
            <w:hideMark/>
          </w:tcPr>
          <w:p w14:paraId="4863C604"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30,000-80,000</w:t>
            </w:r>
          </w:p>
        </w:tc>
        <w:tc>
          <w:tcPr>
            <w:tcW w:w="649" w:type="pct"/>
            <w:shd w:val="clear" w:color="auto" w:fill="auto"/>
            <w:hideMark/>
          </w:tcPr>
          <w:p w14:paraId="36B07214"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400" w:type="pct"/>
            <w:shd w:val="clear" w:color="auto" w:fill="auto"/>
            <w:hideMark/>
          </w:tcPr>
          <w:p w14:paraId="2A152EF3"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2007-2013</w:t>
            </w:r>
          </w:p>
        </w:tc>
        <w:tc>
          <w:tcPr>
            <w:tcW w:w="550" w:type="pct"/>
            <w:shd w:val="clear" w:color="auto" w:fill="auto"/>
            <w:hideMark/>
          </w:tcPr>
          <w:p w14:paraId="09B6F74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-5 / +5</w:t>
            </w:r>
          </w:p>
        </w:tc>
        <w:tc>
          <w:tcPr>
            <w:tcW w:w="499" w:type="pct"/>
            <w:shd w:val="clear" w:color="auto" w:fill="auto"/>
            <w:hideMark/>
          </w:tcPr>
          <w:p w14:paraId="4B38E77C"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stable</w:t>
            </w:r>
          </w:p>
        </w:tc>
        <w:tc>
          <w:tcPr>
            <w:tcW w:w="649" w:type="pct"/>
            <w:shd w:val="clear" w:color="auto" w:fill="auto"/>
            <w:hideMark/>
          </w:tcPr>
          <w:p w14:paraId="61155C9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1199" w:type="pct"/>
          </w:tcPr>
          <w:p w14:paraId="0B8DA67C"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BirdLife International (2015)</w:t>
            </w:r>
          </w:p>
        </w:tc>
      </w:tr>
      <w:tr w:rsidR="00C96521" w:rsidRPr="00C96521" w14:paraId="489CE995" w14:textId="77777777" w:rsidTr="00235FA0">
        <w:trPr>
          <w:trHeight w:val="207"/>
        </w:trPr>
        <w:tc>
          <w:tcPr>
            <w:tcW w:w="524" w:type="pct"/>
            <w:shd w:val="clear" w:color="auto" w:fill="auto"/>
            <w:hideMark/>
          </w:tcPr>
          <w:p w14:paraId="1AA59C5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Hungary</w:t>
            </w:r>
          </w:p>
        </w:tc>
        <w:tc>
          <w:tcPr>
            <w:tcW w:w="530" w:type="pct"/>
            <w:shd w:val="clear" w:color="auto" w:fill="auto"/>
            <w:hideMark/>
          </w:tcPr>
          <w:p w14:paraId="5E6B4F4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64,000-150,000</w:t>
            </w:r>
          </w:p>
        </w:tc>
        <w:tc>
          <w:tcPr>
            <w:tcW w:w="649" w:type="pct"/>
            <w:shd w:val="clear" w:color="auto" w:fill="auto"/>
            <w:hideMark/>
          </w:tcPr>
          <w:p w14:paraId="55CE48C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00" w:type="pct"/>
            <w:shd w:val="clear" w:color="auto" w:fill="auto"/>
            <w:hideMark/>
          </w:tcPr>
          <w:p w14:paraId="65CB44F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2000-2012</w:t>
            </w:r>
          </w:p>
        </w:tc>
        <w:tc>
          <w:tcPr>
            <w:tcW w:w="550" w:type="pct"/>
            <w:shd w:val="clear" w:color="auto" w:fill="auto"/>
            <w:hideMark/>
          </w:tcPr>
          <w:p w14:paraId="4221EB42"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-18 / +13</w:t>
            </w:r>
          </w:p>
        </w:tc>
        <w:tc>
          <w:tcPr>
            <w:tcW w:w="499" w:type="pct"/>
            <w:shd w:val="clear" w:color="auto" w:fill="auto"/>
            <w:hideMark/>
          </w:tcPr>
          <w:p w14:paraId="2A4B24E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stable</w:t>
            </w:r>
          </w:p>
        </w:tc>
        <w:tc>
          <w:tcPr>
            <w:tcW w:w="649" w:type="pct"/>
            <w:shd w:val="clear" w:color="auto" w:fill="auto"/>
            <w:hideMark/>
          </w:tcPr>
          <w:p w14:paraId="1FD3C1A2"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Good (Estimated)</w:t>
            </w:r>
          </w:p>
        </w:tc>
        <w:tc>
          <w:tcPr>
            <w:tcW w:w="1199" w:type="pct"/>
          </w:tcPr>
          <w:p w14:paraId="19B8262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 xml:space="preserve">Szép </w:t>
            </w:r>
            <w:r w:rsidRPr="00C96521">
              <w:rPr>
                <w:rFonts w:cs="Arial"/>
                <w:i/>
                <w:iCs/>
                <w:sz w:val="16"/>
                <w:szCs w:val="16"/>
                <w:lang w:val="en-GB" w:eastAsia="ja-JP"/>
              </w:rPr>
              <w:t>et al</w:t>
            </w:r>
            <w:r w:rsidRPr="00C96521">
              <w:rPr>
                <w:rFonts w:cs="Arial"/>
                <w:sz w:val="16"/>
                <w:szCs w:val="16"/>
                <w:lang w:val="en-GB" w:eastAsia="ja-JP"/>
              </w:rPr>
              <w:t xml:space="preserve"> (2012)</w:t>
            </w:r>
          </w:p>
        </w:tc>
      </w:tr>
      <w:tr w:rsidR="00C96521" w:rsidRPr="00C96521" w14:paraId="6252E7CD" w14:textId="77777777" w:rsidTr="00235FA0">
        <w:trPr>
          <w:trHeight w:val="157"/>
        </w:trPr>
        <w:tc>
          <w:tcPr>
            <w:tcW w:w="524" w:type="pct"/>
            <w:shd w:val="clear" w:color="auto" w:fill="auto"/>
            <w:hideMark/>
          </w:tcPr>
          <w:p w14:paraId="46B9C82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Israel</w:t>
            </w:r>
          </w:p>
        </w:tc>
        <w:tc>
          <w:tcPr>
            <w:tcW w:w="530" w:type="pct"/>
            <w:shd w:val="clear" w:color="auto" w:fill="auto"/>
            <w:hideMark/>
          </w:tcPr>
          <w:p w14:paraId="60415863"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100,000s</w:t>
            </w:r>
          </w:p>
        </w:tc>
        <w:tc>
          <w:tcPr>
            <w:tcW w:w="649" w:type="pct"/>
            <w:shd w:val="clear" w:color="auto" w:fill="auto"/>
            <w:hideMark/>
          </w:tcPr>
          <w:p w14:paraId="45E8B95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400" w:type="pct"/>
            <w:shd w:val="clear" w:color="auto" w:fill="auto"/>
            <w:hideMark/>
          </w:tcPr>
          <w:p w14:paraId="0C1AFD40"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1980-2015</w:t>
            </w:r>
          </w:p>
        </w:tc>
        <w:tc>
          <w:tcPr>
            <w:tcW w:w="550" w:type="pct"/>
            <w:shd w:val="clear" w:color="auto" w:fill="auto"/>
            <w:hideMark/>
          </w:tcPr>
          <w:p w14:paraId="02722E0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0-22</w:t>
            </w:r>
          </w:p>
        </w:tc>
        <w:tc>
          <w:tcPr>
            <w:tcW w:w="499" w:type="pct"/>
            <w:shd w:val="clear" w:color="auto" w:fill="auto"/>
            <w:hideMark/>
          </w:tcPr>
          <w:p w14:paraId="715CC21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0E8E0C3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1199" w:type="pct"/>
          </w:tcPr>
          <w:p w14:paraId="7A77D5D3"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 xml:space="preserve">Shirihai (1996), Perlman </w:t>
            </w:r>
            <w:r w:rsidRPr="00C96521">
              <w:rPr>
                <w:rFonts w:cs="Arial"/>
                <w:i/>
                <w:sz w:val="16"/>
                <w:szCs w:val="16"/>
                <w:lang w:val="en-GB" w:eastAsia="ja-JP"/>
              </w:rPr>
              <w:t>et al</w:t>
            </w:r>
            <w:r w:rsidRPr="00C96521">
              <w:rPr>
                <w:rFonts w:cs="Arial"/>
                <w:sz w:val="16"/>
                <w:szCs w:val="16"/>
                <w:lang w:val="en-GB" w:eastAsia="ja-JP"/>
              </w:rPr>
              <w:t xml:space="preserve"> (2016)</w:t>
            </w:r>
          </w:p>
        </w:tc>
      </w:tr>
      <w:tr w:rsidR="00C96521" w:rsidRPr="008C00B8" w14:paraId="5BA301CD" w14:textId="77777777" w:rsidTr="00235FA0">
        <w:trPr>
          <w:trHeight w:val="117"/>
        </w:trPr>
        <w:tc>
          <w:tcPr>
            <w:tcW w:w="524" w:type="pct"/>
            <w:shd w:val="clear" w:color="auto" w:fill="auto"/>
            <w:hideMark/>
          </w:tcPr>
          <w:p w14:paraId="21938FE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Italy</w:t>
            </w:r>
          </w:p>
        </w:tc>
        <w:tc>
          <w:tcPr>
            <w:tcW w:w="530" w:type="pct"/>
            <w:shd w:val="clear" w:color="auto" w:fill="auto"/>
            <w:hideMark/>
          </w:tcPr>
          <w:p w14:paraId="350417A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150,000-300,000</w:t>
            </w:r>
          </w:p>
        </w:tc>
        <w:tc>
          <w:tcPr>
            <w:tcW w:w="649" w:type="pct"/>
            <w:shd w:val="clear" w:color="auto" w:fill="auto"/>
            <w:hideMark/>
          </w:tcPr>
          <w:p w14:paraId="790C959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400" w:type="pct"/>
            <w:shd w:val="clear" w:color="auto" w:fill="auto"/>
            <w:hideMark/>
          </w:tcPr>
          <w:p w14:paraId="72D2E072"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2015</w:t>
            </w:r>
          </w:p>
        </w:tc>
        <w:tc>
          <w:tcPr>
            <w:tcW w:w="550" w:type="pct"/>
            <w:shd w:val="clear" w:color="auto" w:fill="auto"/>
            <w:hideMark/>
          </w:tcPr>
          <w:p w14:paraId="1EF9708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499" w:type="pct"/>
            <w:shd w:val="clear" w:color="auto" w:fill="auto"/>
            <w:hideMark/>
          </w:tcPr>
          <w:p w14:paraId="625E88F0"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stable</w:t>
            </w:r>
          </w:p>
        </w:tc>
        <w:tc>
          <w:tcPr>
            <w:tcW w:w="649" w:type="pct"/>
            <w:shd w:val="clear" w:color="auto" w:fill="auto"/>
            <w:hideMark/>
          </w:tcPr>
          <w:p w14:paraId="5FB84B3C"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1199" w:type="pct"/>
          </w:tcPr>
          <w:p w14:paraId="3C2B13CA" w14:textId="77777777" w:rsidR="00C96521" w:rsidRPr="00890F11" w:rsidRDefault="00C96521" w:rsidP="00C96521">
            <w:pPr>
              <w:widowControl/>
              <w:autoSpaceDE/>
              <w:autoSpaceDN/>
              <w:adjustRightInd/>
              <w:rPr>
                <w:rFonts w:cs="Arial"/>
                <w:sz w:val="16"/>
                <w:szCs w:val="16"/>
                <w:lang w:val="fr-FR" w:eastAsia="ja-JP"/>
              </w:rPr>
            </w:pPr>
            <w:r w:rsidRPr="00890F11">
              <w:rPr>
                <w:rFonts w:cs="Arial"/>
                <w:sz w:val="16"/>
                <w:szCs w:val="16"/>
                <w:lang w:val="fr-FR" w:eastAsia="ja-JP"/>
              </w:rPr>
              <w:t xml:space="preserve">Nardelli </w:t>
            </w:r>
            <w:r w:rsidRPr="00890F11">
              <w:rPr>
                <w:rFonts w:cs="Arial"/>
                <w:i/>
                <w:iCs/>
                <w:sz w:val="16"/>
                <w:szCs w:val="16"/>
                <w:lang w:val="fr-FR" w:eastAsia="ja-JP"/>
              </w:rPr>
              <w:t>et al</w:t>
            </w:r>
            <w:r w:rsidRPr="00890F11">
              <w:rPr>
                <w:rFonts w:cs="Arial"/>
                <w:sz w:val="16"/>
                <w:szCs w:val="16"/>
                <w:lang w:val="fr-FR" w:eastAsia="ja-JP"/>
              </w:rPr>
              <w:t xml:space="preserve"> (2015), RETE and LIPU (2015), MITO2000 (2016)</w:t>
            </w:r>
          </w:p>
        </w:tc>
      </w:tr>
      <w:tr w:rsidR="00C96521" w:rsidRPr="00C96521" w14:paraId="4BA1C341" w14:textId="77777777" w:rsidTr="00235FA0">
        <w:trPr>
          <w:trHeight w:val="64"/>
        </w:trPr>
        <w:tc>
          <w:tcPr>
            <w:tcW w:w="524" w:type="pct"/>
            <w:shd w:val="clear" w:color="auto" w:fill="auto"/>
            <w:hideMark/>
          </w:tcPr>
          <w:p w14:paraId="1788F203"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Jordan</w:t>
            </w:r>
          </w:p>
        </w:tc>
        <w:tc>
          <w:tcPr>
            <w:tcW w:w="530" w:type="pct"/>
            <w:shd w:val="clear" w:color="auto" w:fill="auto"/>
            <w:hideMark/>
          </w:tcPr>
          <w:p w14:paraId="7BB91D13"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649" w:type="pct"/>
            <w:shd w:val="clear" w:color="auto" w:fill="auto"/>
            <w:hideMark/>
          </w:tcPr>
          <w:p w14:paraId="079D66C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400" w:type="pct"/>
            <w:shd w:val="clear" w:color="auto" w:fill="auto"/>
            <w:hideMark/>
          </w:tcPr>
          <w:p w14:paraId="3C7BAF8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550" w:type="pct"/>
            <w:shd w:val="clear" w:color="auto" w:fill="auto"/>
            <w:hideMark/>
          </w:tcPr>
          <w:p w14:paraId="700A082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499" w:type="pct"/>
            <w:shd w:val="clear" w:color="auto" w:fill="auto"/>
            <w:hideMark/>
          </w:tcPr>
          <w:p w14:paraId="4BE8149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649" w:type="pct"/>
            <w:shd w:val="clear" w:color="auto" w:fill="auto"/>
            <w:hideMark/>
          </w:tcPr>
          <w:p w14:paraId="216ABCE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1199" w:type="pct"/>
          </w:tcPr>
          <w:p w14:paraId="16DD877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r>
      <w:tr w:rsidR="00C96521" w:rsidRPr="00C96521" w14:paraId="6322D976" w14:textId="77777777" w:rsidTr="00235FA0">
        <w:trPr>
          <w:trHeight w:val="167"/>
        </w:trPr>
        <w:tc>
          <w:tcPr>
            <w:tcW w:w="524" w:type="pct"/>
            <w:shd w:val="clear" w:color="auto" w:fill="auto"/>
            <w:hideMark/>
          </w:tcPr>
          <w:p w14:paraId="17CC8037" w14:textId="63D6E6D7" w:rsidR="00C96521" w:rsidRPr="00EF7FD7" w:rsidRDefault="00C96521" w:rsidP="00C96521">
            <w:pPr>
              <w:widowControl/>
              <w:autoSpaceDE/>
              <w:autoSpaceDN/>
              <w:adjustRightInd/>
              <w:rPr>
                <w:rFonts w:cs="Arial"/>
                <w:sz w:val="16"/>
                <w:szCs w:val="16"/>
                <w:lang w:val="en-GB" w:eastAsia="ja-JP"/>
              </w:rPr>
            </w:pPr>
            <w:r w:rsidRPr="006437E1">
              <w:rPr>
                <w:rFonts w:cs="Arial"/>
                <w:sz w:val="16"/>
                <w:szCs w:val="16"/>
                <w:lang w:val="en-GB" w:eastAsia="ja-JP"/>
              </w:rPr>
              <w:t>Kosovo</w:t>
            </w:r>
            <w:r w:rsidR="006437E1" w:rsidRPr="006437E1">
              <w:rPr>
                <w:rFonts w:cs="Arial"/>
                <w:sz w:val="16"/>
                <w:szCs w:val="16"/>
                <w:lang w:val="en-GB" w:eastAsia="ja-JP"/>
              </w:rPr>
              <w:t xml:space="preserve"> (UN Res 1244)</w:t>
            </w:r>
          </w:p>
        </w:tc>
        <w:tc>
          <w:tcPr>
            <w:tcW w:w="530" w:type="pct"/>
            <w:shd w:val="clear" w:color="auto" w:fill="auto"/>
            <w:hideMark/>
          </w:tcPr>
          <w:p w14:paraId="1B5F6B2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7,000-11,000</w:t>
            </w:r>
          </w:p>
        </w:tc>
        <w:tc>
          <w:tcPr>
            <w:tcW w:w="649" w:type="pct"/>
            <w:shd w:val="clear" w:color="auto" w:fill="auto"/>
            <w:hideMark/>
          </w:tcPr>
          <w:p w14:paraId="369EF20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00" w:type="pct"/>
            <w:shd w:val="clear" w:color="auto" w:fill="auto"/>
            <w:hideMark/>
          </w:tcPr>
          <w:p w14:paraId="0AB843E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2009-2014</w:t>
            </w:r>
          </w:p>
        </w:tc>
        <w:tc>
          <w:tcPr>
            <w:tcW w:w="550" w:type="pct"/>
            <w:shd w:val="clear" w:color="auto" w:fill="auto"/>
            <w:hideMark/>
          </w:tcPr>
          <w:p w14:paraId="5A1289D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499" w:type="pct"/>
            <w:shd w:val="clear" w:color="auto" w:fill="auto"/>
            <w:hideMark/>
          </w:tcPr>
          <w:p w14:paraId="143F573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649" w:type="pct"/>
            <w:shd w:val="clear" w:color="auto" w:fill="auto"/>
            <w:hideMark/>
          </w:tcPr>
          <w:p w14:paraId="5D01F62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1199" w:type="pct"/>
          </w:tcPr>
          <w:p w14:paraId="2F4E1FB3"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BirdLife International (2015)</w:t>
            </w:r>
          </w:p>
        </w:tc>
      </w:tr>
      <w:tr w:rsidR="00C96521" w:rsidRPr="00C96521" w14:paraId="5E577493" w14:textId="77777777" w:rsidTr="00235FA0">
        <w:trPr>
          <w:trHeight w:val="98"/>
        </w:trPr>
        <w:tc>
          <w:tcPr>
            <w:tcW w:w="524" w:type="pct"/>
            <w:shd w:val="clear" w:color="auto" w:fill="auto"/>
            <w:hideMark/>
          </w:tcPr>
          <w:p w14:paraId="4AFD6FF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Latvia</w:t>
            </w:r>
          </w:p>
        </w:tc>
        <w:tc>
          <w:tcPr>
            <w:tcW w:w="530" w:type="pct"/>
            <w:shd w:val="clear" w:color="auto" w:fill="auto"/>
            <w:hideMark/>
          </w:tcPr>
          <w:p w14:paraId="77BE1AD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10,341-30,431</w:t>
            </w:r>
          </w:p>
        </w:tc>
        <w:tc>
          <w:tcPr>
            <w:tcW w:w="649" w:type="pct"/>
            <w:shd w:val="clear" w:color="auto" w:fill="auto"/>
            <w:hideMark/>
          </w:tcPr>
          <w:p w14:paraId="5319AE4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00" w:type="pct"/>
            <w:shd w:val="clear" w:color="auto" w:fill="auto"/>
            <w:hideMark/>
          </w:tcPr>
          <w:p w14:paraId="1B40E9B0"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2008</w:t>
            </w:r>
          </w:p>
        </w:tc>
        <w:tc>
          <w:tcPr>
            <w:tcW w:w="550" w:type="pct"/>
            <w:shd w:val="clear" w:color="auto" w:fill="auto"/>
            <w:hideMark/>
          </w:tcPr>
          <w:p w14:paraId="2451C860"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-87.93 (period 2005-2014)</w:t>
            </w:r>
          </w:p>
        </w:tc>
        <w:tc>
          <w:tcPr>
            <w:tcW w:w="499" w:type="pct"/>
            <w:shd w:val="clear" w:color="auto" w:fill="auto"/>
            <w:hideMark/>
          </w:tcPr>
          <w:p w14:paraId="7080D0A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18D0B4D0"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1199" w:type="pct"/>
          </w:tcPr>
          <w:p w14:paraId="19B56103"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Auniņš (2015)</w:t>
            </w:r>
          </w:p>
        </w:tc>
      </w:tr>
      <w:tr w:rsidR="00C96521" w:rsidRPr="00B44B0D" w14:paraId="693A56D3" w14:textId="77777777" w:rsidTr="00235FA0">
        <w:trPr>
          <w:trHeight w:val="186"/>
        </w:trPr>
        <w:tc>
          <w:tcPr>
            <w:tcW w:w="524" w:type="pct"/>
            <w:shd w:val="clear" w:color="auto" w:fill="auto"/>
            <w:hideMark/>
          </w:tcPr>
          <w:p w14:paraId="5C2005F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Lebanon</w:t>
            </w:r>
          </w:p>
        </w:tc>
        <w:tc>
          <w:tcPr>
            <w:tcW w:w="530" w:type="pct"/>
            <w:shd w:val="clear" w:color="auto" w:fill="auto"/>
            <w:hideMark/>
          </w:tcPr>
          <w:p w14:paraId="5392ABE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650-900</w:t>
            </w:r>
          </w:p>
        </w:tc>
        <w:tc>
          <w:tcPr>
            <w:tcW w:w="649" w:type="pct"/>
            <w:shd w:val="clear" w:color="auto" w:fill="auto"/>
            <w:hideMark/>
          </w:tcPr>
          <w:p w14:paraId="3CD9937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Good (Estimated)</w:t>
            </w:r>
          </w:p>
        </w:tc>
        <w:tc>
          <w:tcPr>
            <w:tcW w:w="400" w:type="pct"/>
            <w:shd w:val="clear" w:color="auto" w:fill="auto"/>
            <w:hideMark/>
          </w:tcPr>
          <w:p w14:paraId="01FAE7D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2000-2015</w:t>
            </w:r>
          </w:p>
        </w:tc>
        <w:tc>
          <w:tcPr>
            <w:tcW w:w="550" w:type="pct"/>
            <w:shd w:val="clear" w:color="auto" w:fill="auto"/>
            <w:hideMark/>
          </w:tcPr>
          <w:p w14:paraId="119CF202"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3.6-5</w:t>
            </w:r>
          </w:p>
        </w:tc>
        <w:tc>
          <w:tcPr>
            <w:tcW w:w="499" w:type="pct"/>
            <w:shd w:val="clear" w:color="auto" w:fill="auto"/>
            <w:hideMark/>
          </w:tcPr>
          <w:p w14:paraId="4CFCF47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1F3B83D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1199" w:type="pct"/>
          </w:tcPr>
          <w:p w14:paraId="493DF705" w14:textId="77777777" w:rsidR="00C96521" w:rsidRPr="006437E1" w:rsidRDefault="00C96521" w:rsidP="00C96521">
            <w:pPr>
              <w:widowControl/>
              <w:autoSpaceDE/>
              <w:autoSpaceDN/>
              <w:adjustRightInd/>
              <w:rPr>
                <w:rFonts w:cs="Arial"/>
                <w:sz w:val="16"/>
                <w:szCs w:val="16"/>
                <w:lang w:val="fr-FR" w:eastAsia="ja-JP"/>
              </w:rPr>
            </w:pPr>
            <w:r w:rsidRPr="006437E1">
              <w:rPr>
                <w:rFonts w:cs="Arial"/>
                <w:sz w:val="16"/>
                <w:szCs w:val="16"/>
                <w:lang w:val="fr-FR" w:eastAsia="ja-JP"/>
              </w:rPr>
              <w:t>Ghassan Ramadan Jaradi (</w:t>
            </w:r>
            <w:r w:rsidRPr="006437E1">
              <w:rPr>
                <w:rFonts w:cs="Arial"/>
                <w:i/>
                <w:sz w:val="16"/>
                <w:szCs w:val="16"/>
                <w:lang w:val="fr-FR" w:eastAsia="ja-JP"/>
              </w:rPr>
              <w:t>pers comm</w:t>
            </w:r>
            <w:r w:rsidRPr="006437E1">
              <w:rPr>
                <w:rFonts w:cs="Arial"/>
                <w:sz w:val="16"/>
                <w:szCs w:val="16"/>
                <w:lang w:val="fr-FR" w:eastAsia="ja-JP"/>
              </w:rPr>
              <w:t>)</w:t>
            </w:r>
          </w:p>
        </w:tc>
      </w:tr>
      <w:tr w:rsidR="00C96521" w:rsidRPr="00C96521" w14:paraId="102C2F15" w14:textId="77777777" w:rsidTr="00235FA0">
        <w:trPr>
          <w:trHeight w:val="131"/>
        </w:trPr>
        <w:tc>
          <w:tcPr>
            <w:tcW w:w="524" w:type="pct"/>
            <w:shd w:val="clear" w:color="auto" w:fill="auto"/>
            <w:hideMark/>
          </w:tcPr>
          <w:p w14:paraId="7E21DEF3"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Libya</w:t>
            </w:r>
          </w:p>
        </w:tc>
        <w:tc>
          <w:tcPr>
            <w:tcW w:w="530" w:type="pct"/>
            <w:shd w:val="clear" w:color="auto" w:fill="auto"/>
            <w:hideMark/>
          </w:tcPr>
          <w:p w14:paraId="74730B9B"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649" w:type="pct"/>
            <w:shd w:val="clear" w:color="auto" w:fill="auto"/>
            <w:hideMark/>
          </w:tcPr>
          <w:p w14:paraId="7C9138E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400" w:type="pct"/>
            <w:shd w:val="clear" w:color="auto" w:fill="auto"/>
            <w:hideMark/>
          </w:tcPr>
          <w:p w14:paraId="6A41295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550" w:type="pct"/>
            <w:shd w:val="clear" w:color="auto" w:fill="auto"/>
            <w:hideMark/>
          </w:tcPr>
          <w:p w14:paraId="60DCFC8C"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499" w:type="pct"/>
            <w:shd w:val="clear" w:color="auto" w:fill="auto"/>
            <w:hideMark/>
          </w:tcPr>
          <w:p w14:paraId="18D17B4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649" w:type="pct"/>
            <w:shd w:val="clear" w:color="auto" w:fill="auto"/>
            <w:hideMark/>
          </w:tcPr>
          <w:p w14:paraId="3773F6C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1199" w:type="pct"/>
          </w:tcPr>
          <w:p w14:paraId="76CF779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r>
      <w:tr w:rsidR="00C96521" w:rsidRPr="00C96521" w14:paraId="40C4948E" w14:textId="77777777" w:rsidTr="00235FA0">
        <w:trPr>
          <w:trHeight w:val="78"/>
        </w:trPr>
        <w:tc>
          <w:tcPr>
            <w:tcW w:w="524" w:type="pct"/>
            <w:shd w:val="clear" w:color="auto" w:fill="auto"/>
            <w:hideMark/>
          </w:tcPr>
          <w:p w14:paraId="0A16EDE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Liechtenstein</w:t>
            </w:r>
          </w:p>
        </w:tc>
        <w:tc>
          <w:tcPr>
            <w:tcW w:w="530" w:type="pct"/>
            <w:shd w:val="clear" w:color="auto" w:fill="auto"/>
            <w:hideMark/>
          </w:tcPr>
          <w:p w14:paraId="2CB1966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0-2</w:t>
            </w:r>
          </w:p>
        </w:tc>
        <w:tc>
          <w:tcPr>
            <w:tcW w:w="649" w:type="pct"/>
            <w:shd w:val="clear" w:color="auto" w:fill="auto"/>
            <w:hideMark/>
          </w:tcPr>
          <w:p w14:paraId="33E2CA73"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400" w:type="pct"/>
            <w:shd w:val="clear" w:color="auto" w:fill="auto"/>
            <w:hideMark/>
          </w:tcPr>
          <w:p w14:paraId="1E7D74F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2009-2014</w:t>
            </w:r>
          </w:p>
        </w:tc>
        <w:tc>
          <w:tcPr>
            <w:tcW w:w="550" w:type="pct"/>
            <w:shd w:val="clear" w:color="auto" w:fill="auto"/>
            <w:hideMark/>
          </w:tcPr>
          <w:p w14:paraId="4DFE1E9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499" w:type="pct"/>
            <w:shd w:val="clear" w:color="auto" w:fill="auto"/>
            <w:hideMark/>
          </w:tcPr>
          <w:p w14:paraId="28E8A3C2"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649" w:type="pct"/>
            <w:shd w:val="clear" w:color="auto" w:fill="auto"/>
            <w:hideMark/>
          </w:tcPr>
          <w:p w14:paraId="7FDF0A9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1199" w:type="pct"/>
          </w:tcPr>
          <w:p w14:paraId="2AA616C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BirdLife International (2015)</w:t>
            </w:r>
          </w:p>
        </w:tc>
      </w:tr>
      <w:tr w:rsidR="00C96521" w:rsidRPr="00C96521" w14:paraId="36D98E6F" w14:textId="77777777" w:rsidTr="00235FA0">
        <w:trPr>
          <w:trHeight w:val="68"/>
        </w:trPr>
        <w:tc>
          <w:tcPr>
            <w:tcW w:w="524" w:type="pct"/>
            <w:shd w:val="clear" w:color="auto" w:fill="auto"/>
            <w:hideMark/>
          </w:tcPr>
          <w:p w14:paraId="5083D14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Lithuania</w:t>
            </w:r>
          </w:p>
        </w:tc>
        <w:tc>
          <w:tcPr>
            <w:tcW w:w="530" w:type="pct"/>
            <w:shd w:val="clear" w:color="auto" w:fill="auto"/>
            <w:hideMark/>
          </w:tcPr>
          <w:p w14:paraId="6C001B0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4,000-7,000</w:t>
            </w:r>
          </w:p>
        </w:tc>
        <w:tc>
          <w:tcPr>
            <w:tcW w:w="649" w:type="pct"/>
            <w:shd w:val="clear" w:color="auto" w:fill="auto"/>
            <w:hideMark/>
          </w:tcPr>
          <w:p w14:paraId="5B1AE3D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Good (Estimated)</w:t>
            </w:r>
          </w:p>
        </w:tc>
        <w:tc>
          <w:tcPr>
            <w:tcW w:w="400" w:type="pct"/>
            <w:shd w:val="clear" w:color="auto" w:fill="auto"/>
            <w:hideMark/>
          </w:tcPr>
          <w:p w14:paraId="31A49830"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2012</w:t>
            </w:r>
          </w:p>
        </w:tc>
        <w:tc>
          <w:tcPr>
            <w:tcW w:w="550" w:type="pct"/>
            <w:shd w:val="clear" w:color="auto" w:fill="auto"/>
            <w:hideMark/>
          </w:tcPr>
          <w:p w14:paraId="126F296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5-10</w:t>
            </w:r>
          </w:p>
        </w:tc>
        <w:tc>
          <w:tcPr>
            <w:tcW w:w="499" w:type="pct"/>
            <w:shd w:val="clear" w:color="auto" w:fill="auto"/>
            <w:hideMark/>
          </w:tcPr>
          <w:p w14:paraId="4D95191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6BF0165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1199" w:type="pct"/>
          </w:tcPr>
          <w:p w14:paraId="7495EE0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EU (2013)</w:t>
            </w:r>
          </w:p>
        </w:tc>
      </w:tr>
      <w:tr w:rsidR="00C96521" w:rsidRPr="00C96521" w14:paraId="11BE2E2E" w14:textId="77777777" w:rsidTr="00235FA0">
        <w:trPr>
          <w:trHeight w:val="111"/>
        </w:trPr>
        <w:tc>
          <w:tcPr>
            <w:tcW w:w="524" w:type="pct"/>
            <w:shd w:val="clear" w:color="auto" w:fill="auto"/>
            <w:hideMark/>
          </w:tcPr>
          <w:p w14:paraId="533A16F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Luxembourg</w:t>
            </w:r>
          </w:p>
        </w:tc>
        <w:tc>
          <w:tcPr>
            <w:tcW w:w="530" w:type="pct"/>
            <w:shd w:val="clear" w:color="auto" w:fill="auto"/>
            <w:hideMark/>
          </w:tcPr>
          <w:p w14:paraId="768F9EA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150-200</w:t>
            </w:r>
          </w:p>
        </w:tc>
        <w:tc>
          <w:tcPr>
            <w:tcW w:w="649" w:type="pct"/>
            <w:shd w:val="clear" w:color="auto" w:fill="auto"/>
            <w:hideMark/>
          </w:tcPr>
          <w:p w14:paraId="7EC64AD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400" w:type="pct"/>
            <w:shd w:val="clear" w:color="auto" w:fill="auto"/>
            <w:hideMark/>
          </w:tcPr>
          <w:p w14:paraId="1832737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2000-2012</w:t>
            </w:r>
          </w:p>
        </w:tc>
        <w:tc>
          <w:tcPr>
            <w:tcW w:w="550" w:type="pct"/>
            <w:shd w:val="clear" w:color="auto" w:fill="auto"/>
            <w:hideMark/>
          </w:tcPr>
          <w:p w14:paraId="6284C08C"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0-20</w:t>
            </w:r>
          </w:p>
        </w:tc>
        <w:tc>
          <w:tcPr>
            <w:tcW w:w="499" w:type="pct"/>
            <w:shd w:val="clear" w:color="auto" w:fill="auto"/>
            <w:hideMark/>
          </w:tcPr>
          <w:p w14:paraId="19DBA1A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19D5B254"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1199" w:type="pct"/>
          </w:tcPr>
          <w:p w14:paraId="3627038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BirdLife International (2015)</w:t>
            </w:r>
          </w:p>
        </w:tc>
      </w:tr>
      <w:tr w:rsidR="00C96521" w:rsidRPr="00C96521" w14:paraId="1F91D3F4" w14:textId="77777777" w:rsidTr="00235FA0">
        <w:trPr>
          <w:trHeight w:val="274"/>
        </w:trPr>
        <w:tc>
          <w:tcPr>
            <w:tcW w:w="524" w:type="pct"/>
            <w:shd w:val="clear" w:color="auto" w:fill="auto"/>
            <w:hideMark/>
          </w:tcPr>
          <w:p w14:paraId="265E1B90"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Malta</w:t>
            </w:r>
          </w:p>
        </w:tc>
        <w:tc>
          <w:tcPr>
            <w:tcW w:w="530" w:type="pct"/>
            <w:shd w:val="clear" w:color="auto" w:fill="auto"/>
            <w:hideMark/>
          </w:tcPr>
          <w:p w14:paraId="03541DE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 xml:space="preserve">0-14 (not confirmed [Raine </w:t>
            </w:r>
            <w:r w:rsidRPr="00C96521">
              <w:rPr>
                <w:rFonts w:cs="Arial"/>
                <w:i/>
                <w:sz w:val="16"/>
                <w:szCs w:val="16"/>
                <w:lang w:val="en-GB" w:eastAsia="ja-JP"/>
              </w:rPr>
              <w:t xml:space="preserve">et al </w:t>
            </w:r>
            <w:r w:rsidRPr="00C96521">
              <w:rPr>
                <w:rFonts w:cs="Arial"/>
                <w:sz w:val="16"/>
                <w:szCs w:val="16"/>
                <w:lang w:val="en-GB" w:eastAsia="ja-JP"/>
              </w:rPr>
              <w:t>2009])</w:t>
            </w:r>
          </w:p>
        </w:tc>
        <w:tc>
          <w:tcPr>
            <w:tcW w:w="649" w:type="pct"/>
            <w:shd w:val="clear" w:color="auto" w:fill="auto"/>
            <w:hideMark/>
          </w:tcPr>
          <w:p w14:paraId="4D0C28C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00" w:type="pct"/>
            <w:shd w:val="clear" w:color="auto" w:fill="auto"/>
            <w:hideMark/>
          </w:tcPr>
          <w:p w14:paraId="6684DF1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2008</w:t>
            </w:r>
          </w:p>
        </w:tc>
        <w:tc>
          <w:tcPr>
            <w:tcW w:w="550" w:type="pct"/>
            <w:shd w:val="clear" w:color="auto" w:fill="auto"/>
            <w:hideMark/>
          </w:tcPr>
          <w:p w14:paraId="126F57D0"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499" w:type="pct"/>
            <w:shd w:val="clear" w:color="auto" w:fill="auto"/>
            <w:hideMark/>
          </w:tcPr>
          <w:p w14:paraId="548893F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16A13690"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1199" w:type="pct"/>
          </w:tcPr>
          <w:p w14:paraId="41B6DEE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 xml:space="preserve">Raine </w:t>
            </w:r>
            <w:r w:rsidRPr="00C96521">
              <w:rPr>
                <w:rFonts w:cs="Arial"/>
                <w:i/>
                <w:iCs/>
                <w:sz w:val="16"/>
                <w:szCs w:val="16"/>
                <w:lang w:val="en-GB" w:eastAsia="ja-JP"/>
              </w:rPr>
              <w:t>et al</w:t>
            </w:r>
            <w:r w:rsidRPr="00C96521">
              <w:rPr>
                <w:rFonts w:cs="Arial"/>
                <w:sz w:val="16"/>
                <w:szCs w:val="16"/>
                <w:lang w:val="en-GB" w:eastAsia="ja-JP"/>
              </w:rPr>
              <w:t xml:space="preserve"> (2009), Sultana </w:t>
            </w:r>
            <w:r w:rsidRPr="00C96521">
              <w:rPr>
                <w:rFonts w:cs="Arial"/>
                <w:i/>
                <w:sz w:val="16"/>
                <w:szCs w:val="16"/>
                <w:lang w:val="en-GB" w:eastAsia="ja-JP"/>
              </w:rPr>
              <w:t>et al</w:t>
            </w:r>
            <w:r w:rsidRPr="00C96521">
              <w:rPr>
                <w:rFonts w:cs="Arial"/>
                <w:sz w:val="16"/>
                <w:szCs w:val="16"/>
                <w:lang w:val="en-GB" w:eastAsia="ja-JP"/>
              </w:rPr>
              <w:t xml:space="preserve"> (2011), Wild Birds Regulation Unit (</w:t>
            </w:r>
            <w:r w:rsidRPr="00C96521">
              <w:rPr>
                <w:rFonts w:cs="Arial"/>
                <w:i/>
                <w:sz w:val="16"/>
                <w:szCs w:val="16"/>
                <w:lang w:val="en-GB" w:eastAsia="ja-JP"/>
              </w:rPr>
              <w:t>pers comm</w:t>
            </w:r>
            <w:r w:rsidRPr="00C96521">
              <w:rPr>
                <w:rFonts w:cs="Arial"/>
                <w:sz w:val="16"/>
                <w:szCs w:val="16"/>
                <w:lang w:val="en-GB" w:eastAsia="ja-JP"/>
              </w:rPr>
              <w:t>)</w:t>
            </w:r>
          </w:p>
        </w:tc>
      </w:tr>
      <w:tr w:rsidR="00C96521" w:rsidRPr="00C96521" w14:paraId="63719AE9" w14:textId="77777777" w:rsidTr="00235FA0">
        <w:trPr>
          <w:trHeight w:val="126"/>
        </w:trPr>
        <w:tc>
          <w:tcPr>
            <w:tcW w:w="524" w:type="pct"/>
            <w:shd w:val="clear" w:color="auto" w:fill="auto"/>
            <w:hideMark/>
          </w:tcPr>
          <w:p w14:paraId="0D1005BB"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Montenegro</w:t>
            </w:r>
          </w:p>
        </w:tc>
        <w:tc>
          <w:tcPr>
            <w:tcW w:w="530" w:type="pct"/>
            <w:shd w:val="clear" w:color="auto" w:fill="auto"/>
            <w:hideMark/>
          </w:tcPr>
          <w:p w14:paraId="3AB887C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10,000-15,000</w:t>
            </w:r>
          </w:p>
        </w:tc>
        <w:tc>
          <w:tcPr>
            <w:tcW w:w="649" w:type="pct"/>
            <w:shd w:val="clear" w:color="auto" w:fill="auto"/>
            <w:hideMark/>
          </w:tcPr>
          <w:p w14:paraId="543E145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400" w:type="pct"/>
            <w:shd w:val="clear" w:color="auto" w:fill="auto"/>
            <w:hideMark/>
          </w:tcPr>
          <w:p w14:paraId="6C9F4424"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2010-2015</w:t>
            </w:r>
          </w:p>
        </w:tc>
        <w:tc>
          <w:tcPr>
            <w:tcW w:w="550" w:type="pct"/>
            <w:shd w:val="clear" w:color="auto" w:fill="auto"/>
            <w:hideMark/>
          </w:tcPr>
          <w:p w14:paraId="3506008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499" w:type="pct"/>
            <w:shd w:val="clear" w:color="auto" w:fill="auto"/>
            <w:hideMark/>
          </w:tcPr>
          <w:p w14:paraId="42501B9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163EEE5C"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1199" w:type="pct"/>
          </w:tcPr>
          <w:p w14:paraId="074B00F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Montenegro EPA (2009)</w:t>
            </w:r>
          </w:p>
        </w:tc>
      </w:tr>
      <w:tr w:rsidR="00C96521" w:rsidRPr="00C96521" w14:paraId="3A409479" w14:textId="77777777" w:rsidTr="00235FA0">
        <w:trPr>
          <w:trHeight w:val="73"/>
        </w:trPr>
        <w:tc>
          <w:tcPr>
            <w:tcW w:w="524" w:type="pct"/>
            <w:shd w:val="clear" w:color="auto" w:fill="auto"/>
            <w:hideMark/>
          </w:tcPr>
          <w:p w14:paraId="1850D4E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Morocco</w:t>
            </w:r>
          </w:p>
        </w:tc>
        <w:tc>
          <w:tcPr>
            <w:tcW w:w="530" w:type="pct"/>
            <w:shd w:val="clear" w:color="auto" w:fill="auto"/>
            <w:hideMark/>
          </w:tcPr>
          <w:p w14:paraId="7004903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 (60,000 pairs for Tadla Region alone)</w:t>
            </w:r>
          </w:p>
        </w:tc>
        <w:tc>
          <w:tcPr>
            <w:tcW w:w="649" w:type="pct"/>
            <w:shd w:val="clear" w:color="auto" w:fill="auto"/>
            <w:hideMark/>
          </w:tcPr>
          <w:p w14:paraId="7A1D4FD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400" w:type="pct"/>
            <w:shd w:val="clear" w:color="auto" w:fill="auto"/>
            <w:hideMark/>
          </w:tcPr>
          <w:p w14:paraId="518CDE6B"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2014</w:t>
            </w:r>
          </w:p>
        </w:tc>
        <w:tc>
          <w:tcPr>
            <w:tcW w:w="550" w:type="pct"/>
            <w:shd w:val="clear" w:color="auto" w:fill="auto"/>
            <w:hideMark/>
          </w:tcPr>
          <w:p w14:paraId="243D9DB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499" w:type="pct"/>
            <w:shd w:val="clear" w:color="auto" w:fill="auto"/>
            <w:hideMark/>
          </w:tcPr>
          <w:p w14:paraId="6AD75B93"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649" w:type="pct"/>
            <w:shd w:val="clear" w:color="auto" w:fill="auto"/>
            <w:hideMark/>
          </w:tcPr>
          <w:p w14:paraId="62E1132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1199" w:type="pct"/>
          </w:tcPr>
          <w:p w14:paraId="6FA8D000"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Hanane and Besnard (2014)</w:t>
            </w:r>
          </w:p>
        </w:tc>
      </w:tr>
      <w:tr w:rsidR="00C96521" w:rsidRPr="00C96521" w14:paraId="5E70252A" w14:textId="77777777" w:rsidTr="00235FA0">
        <w:trPr>
          <w:trHeight w:val="175"/>
        </w:trPr>
        <w:tc>
          <w:tcPr>
            <w:tcW w:w="524" w:type="pct"/>
            <w:shd w:val="clear" w:color="auto" w:fill="auto"/>
            <w:hideMark/>
          </w:tcPr>
          <w:p w14:paraId="5A8CC53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Netherlands</w:t>
            </w:r>
          </w:p>
        </w:tc>
        <w:tc>
          <w:tcPr>
            <w:tcW w:w="530" w:type="pct"/>
            <w:shd w:val="clear" w:color="auto" w:fill="auto"/>
            <w:hideMark/>
          </w:tcPr>
          <w:p w14:paraId="6575BD7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4,763-5,715</w:t>
            </w:r>
          </w:p>
        </w:tc>
        <w:tc>
          <w:tcPr>
            <w:tcW w:w="649" w:type="pct"/>
            <w:shd w:val="clear" w:color="auto" w:fill="auto"/>
            <w:hideMark/>
          </w:tcPr>
          <w:p w14:paraId="70F2882C"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00" w:type="pct"/>
            <w:shd w:val="clear" w:color="auto" w:fill="auto"/>
            <w:hideMark/>
          </w:tcPr>
          <w:p w14:paraId="235EE930"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2008-2011</w:t>
            </w:r>
          </w:p>
        </w:tc>
        <w:tc>
          <w:tcPr>
            <w:tcW w:w="550" w:type="pct"/>
            <w:shd w:val="clear" w:color="auto" w:fill="auto"/>
            <w:hideMark/>
          </w:tcPr>
          <w:p w14:paraId="0B248AD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27-55</w:t>
            </w:r>
          </w:p>
        </w:tc>
        <w:tc>
          <w:tcPr>
            <w:tcW w:w="499" w:type="pct"/>
            <w:shd w:val="clear" w:color="auto" w:fill="auto"/>
            <w:hideMark/>
          </w:tcPr>
          <w:p w14:paraId="13EE262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32398E4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Good (Estimated)</w:t>
            </w:r>
          </w:p>
        </w:tc>
        <w:tc>
          <w:tcPr>
            <w:tcW w:w="1199" w:type="pct"/>
          </w:tcPr>
          <w:p w14:paraId="65147F9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BirdLife International (2015)</w:t>
            </w:r>
          </w:p>
        </w:tc>
      </w:tr>
      <w:tr w:rsidR="00C96521" w:rsidRPr="00C96521" w14:paraId="61E7CB6E" w14:textId="77777777" w:rsidTr="00235FA0">
        <w:trPr>
          <w:trHeight w:val="240"/>
        </w:trPr>
        <w:tc>
          <w:tcPr>
            <w:tcW w:w="524" w:type="pct"/>
            <w:shd w:val="clear" w:color="auto" w:fill="auto"/>
            <w:hideMark/>
          </w:tcPr>
          <w:p w14:paraId="0F4E9D8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Palestinian Territory</w:t>
            </w:r>
          </w:p>
        </w:tc>
        <w:tc>
          <w:tcPr>
            <w:tcW w:w="530" w:type="pct"/>
            <w:shd w:val="clear" w:color="auto" w:fill="auto"/>
            <w:hideMark/>
          </w:tcPr>
          <w:p w14:paraId="55FDA1F3"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649" w:type="pct"/>
            <w:shd w:val="clear" w:color="auto" w:fill="auto"/>
            <w:hideMark/>
          </w:tcPr>
          <w:p w14:paraId="7E3ACEA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400" w:type="pct"/>
            <w:shd w:val="clear" w:color="auto" w:fill="auto"/>
            <w:hideMark/>
          </w:tcPr>
          <w:p w14:paraId="3117B62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550" w:type="pct"/>
            <w:shd w:val="clear" w:color="auto" w:fill="auto"/>
            <w:hideMark/>
          </w:tcPr>
          <w:p w14:paraId="75B431B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499" w:type="pct"/>
            <w:shd w:val="clear" w:color="auto" w:fill="auto"/>
            <w:hideMark/>
          </w:tcPr>
          <w:p w14:paraId="1CE405C3"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649" w:type="pct"/>
            <w:shd w:val="clear" w:color="auto" w:fill="auto"/>
            <w:hideMark/>
          </w:tcPr>
          <w:p w14:paraId="72BDBA04"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1199" w:type="pct"/>
          </w:tcPr>
          <w:p w14:paraId="739623C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r>
      <w:tr w:rsidR="00C96521" w:rsidRPr="00C96521" w14:paraId="2070A7D9" w14:textId="77777777" w:rsidTr="00235FA0">
        <w:trPr>
          <w:trHeight w:val="154"/>
        </w:trPr>
        <w:tc>
          <w:tcPr>
            <w:tcW w:w="524" w:type="pct"/>
            <w:shd w:val="clear" w:color="auto" w:fill="auto"/>
            <w:hideMark/>
          </w:tcPr>
          <w:p w14:paraId="14742D14"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Poland</w:t>
            </w:r>
          </w:p>
        </w:tc>
        <w:tc>
          <w:tcPr>
            <w:tcW w:w="530" w:type="pct"/>
            <w:shd w:val="clear" w:color="auto" w:fill="auto"/>
            <w:hideMark/>
          </w:tcPr>
          <w:p w14:paraId="47F2243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25,000-49,000</w:t>
            </w:r>
          </w:p>
        </w:tc>
        <w:tc>
          <w:tcPr>
            <w:tcW w:w="649" w:type="pct"/>
            <w:shd w:val="clear" w:color="auto" w:fill="auto"/>
            <w:hideMark/>
          </w:tcPr>
          <w:p w14:paraId="2F653F6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Good (Estimated)</w:t>
            </w:r>
          </w:p>
        </w:tc>
        <w:tc>
          <w:tcPr>
            <w:tcW w:w="400" w:type="pct"/>
            <w:shd w:val="clear" w:color="auto" w:fill="auto"/>
            <w:hideMark/>
          </w:tcPr>
          <w:p w14:paraId="5A3E4D4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2008-2012</w:t>
            </w:r>
          </w:p>
        </w:tc>
        <w:tc>
          <w:tcPr>
            <w:tcW w:w="550" w:type="pct"/>
            <w:shd w:val="clear" w:color="auto" w:fill="auto"/>
            <w:hideMark/>
          </w:tcPr>
          <w:p w14:paraId="2328589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25-55</w:t>
            </w:r>
          </w:p>
        </w:tc>
        <w:tc>
          <w:tcPr>
            <w:tcW w:w="499" w:type="pct"/>
            <w:shd w:val="clear" w:color="auto" w:fill="auto"/>
            <w:hideMark/>
          </w:tcPr>
          <w:p w14:paraId="5DDC707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6CD3D24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Good (Estimated)</w:t>
            </w:r>
          </w:p>
        </w:tc>
        <w:tc>
          <w:tcPr>
            <w:tcW w:w="1199" w:type="pct"/>
          </w:tcPr>
          <w:p w14:paraId="15380050"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BirdLife International (2015)</w:t>
            </w:r>
          </w:p>
        </w:tc>
      </w:tr>
      <w:tr w:rsidR="00C96521" w:rsidRPr="00C96521" w14:paraId="6C6CA847" w14:textId="77777777" w:rsidTr="00235FA0">
        <w:trPr>
          <w:trHeight w:val="113"/>
        </w:trPr>
        <w:tc>
          <w:tcPr>
            <w:tcW w:w="524" w:type="pct"/>
            <w:shd w:val="clear" w:color="auto" w:fill="auto"/>
            <w:hideMark/>
          </w:tcPr>
          <w:p w14:paraId="1CE3FEC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Portugal</w:t>
            </w:r>
          </w:p>
        </w:tc>
        <w:tc>
          <w:tcPr>
            <w:tcW w:w="530" w:type="pct"/>
            <w:shd w:val="clear" w:color="auto" w:fill="auto"/>
            <w:hideMark/>
          </w:tcPr>
          <w:p w14:paraId="71B30FE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10,000-50,000</w:t>
            </w:r>
          </w:p>
        </w:tc>
        <w:tc>
          <w:tcPr>
            <w:tcW w:w="649" w:type="pct"/>
            <w:shd w:val="clear" w:color="auto" w:fill="auto"/>
            <w:hideMark/>
          </w:tcPr>
          <w:p w14:paraId="7D7626C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00" w:type="pct"/>
            <w:shd w:val="clear" w:color="auto" w:fill="auto"/>
            <w:hideMark/>
          </w:tcPr>
          <w:p w14:paraId="38BA5E8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2008-2012</w:t>
            </w:r>
          </w:p>
        </w:tc>
        <w:tc>
          <w:tcPr>
            <w:tcW w:w="550" w:type="pct"/>
            <w:shd w:val="clear" w:color="auto" w:fill="auto"/>
            <w:hideMark/>
          </w:tcPr>
          <w:p w14:paraId="60CA6BB0"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39-59</w:t>
            </w:r>
          </w:p>
        </w:tc>
        <w:tc>
          <w:tcPr>
            <w:tcW w:w="499" w:type="pct"/>
            <w:shd w:val="clear" w:color="auto" w:fill="auto"/>
            <w:hideMark/>
          </w:tcPr>
          <w:p w14:paraId="509233A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13D54D8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1199" w:type="pct"/>
          </w:tcPr>
          <w:p w14:paraId="790C6AD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BirdLife International (2015), Susana Dias (</w:t>
            </w:r>
            <w:r w:rsidRPr="00C96521">
              <w:rPr>
                <w:rFonts w:cs="Arial"/>
                <w:i/>
                <w:sz w:val="16"/>
                <w:szCs w:val="16"/>
                <w:lang w:val="en-GB" w:eastAsia="ja-JP"/>
              </w:rPr>
              <w:t>pers comm</w:t>
            </w:r>
            <w:r w:rsidRPr="00C96521">
              <w:rPr>
                <w:rFonts w:cs="Arial"/>
                <w:sz w:val="16"/>
                <w:szCs w:val="16"/>
                <w:lang w:val="en-GB" w:eastAsia="ja-JP"/>
              </w:rPr>
              <w:t>)</w:t>
            </w:r>
          </w:p>
        </w:tc>
      </w:tr>
      <w:tr w:rsidR="00EF7FD7" w:rsidRPr="00C96521" w14:paraId="68104480" w14:textId="77777777" w:rsidTr="00235FA0">
        <w:trPr>
          <w:trHeight w:val="136"/>
        </w:trPr>
        <w:tc>
          <w:tcPr>
            <w:tcW w:w="524" w:type="pct"/>
            <w:shd w:val="clear" w:color="auto" w:fill="auto"/>
          </w:tcPr>
          <w:p w14:paraId="14B6FD02" w14:textId="6A25B247" w:rsidR="00EF7FD7" w:rsidRPr="00C96521" w:rsidRDefault="00EF7FD7" w:rsidP="00EF7FD7">
            <w:pPr>
              <w:widowControl/>
              <w:autoSpaceDE/>
              <w:autoSpaceDN/>
              <w:adjustRightInd/>
              <w:rPr>
                <w:rFonts w:cs="Arial"/>
                <w:sz w:val="16"/>
                <w:szCs w:val="16"/>
                <w:lang w:val="en-GB" w:eastAsia="ja-JP"/>
              </w:rPr>
            </w:pPr>
            <w:r>
              <w:rPr>
                <w:rFonts w:cs="Arial"/>
                <w:sz w:val="16"/>
                <w:szCs w:val="16"/>
                <w:lang w:val="en-GB" w:eastAsia="ja-JP"/>
              </w:rPr>
              <w:t>Republic of Moldova</w:t>
            </w:r>
          </w:p>
        </w:tc>
        <w:tc>
          <w:tcPr>
            <w:tcW w:w="530" w:type="pct"/>
            <w:shd w:val="clear" w:color="auto" w:fill="auto"/>
          </w:tcPr>
          <w:p w14:paraId="4B14ECA6" w14:textId="441A0D1A"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3,000-3,500</w:t>
            </w:r>
          </w:p>
        </w:tc>
        <w:tc>
          <w:tcPr>
            <w:tcW w:w="649" w:type="pct"/>
            <w:shd w:val="clear" w:color="auto" w:fill="auto"/>
          </w:tcPr>
          <w:p w14:paraId="7CC77B9C" w14:textId="36756E3F"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00" w:type="pct"/>
            <w:shd w:val="clear" w:color="auto" w:fill="auto"/>
          </w:tcPr>
          <w:p w14:paraId="0BDE11AD" w14:textId="52132B85"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2000-2010</w:t>
            </w:r>
          </w:p>
        </w:tc>
        <w:tc>
          <w:tcPr>
            <w:tcW w:w="550" w:type="pct"/>
            <w:shd w:val="clear" w:color="auto" w:fill="auto"/>
          </w:tcPr>
          <w:p w14:paraId="6158D304" w14:textId="447975D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0</w:t>
            </w:r>
          </w:p>
        </w:tc>
        <w:tc>
          <w:tcPr>
            <w:tcW w:w="499" w:type="pct"/>
            <w:shd w:val="clear" w:color="auto" w:fill="auto"/>
          </w:tcPr>
          <w:p w14:paraId="27A430FF" w14:textId="02AAA1DC"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stable</w:t>
            </w:r>
          </w:p>
        </w:tc>
        <w:tc>
          <w:tcPr>
            <w:tcW w:w="649" w:type="pct"/>
            <w:shd w:val="clear" w:color="auto" w:fill="auto"/>
          </w:tcPr>
          <w:p w14:paraId="60F879BB" w14:textId="671025D9"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1199" w:type="pct"/>
          </w:tcPr>
          <w:p w14:paraId="3762E5A2" w14:textId="7188E720"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BirdLife International (2015)</w:t>
            </w:r>
          </w:p>
        </w:tc>
      </w:tr>
      <w:tr w:rsidR="00EF7FD7" w:rsidRPr="00C96521" w14:paraId="69BA8A4E" w14:textId="77777777" w:rsidTr="00235FA0">
        <w:trPr>
          <w:trHeight w:val="136"/>
        </w:trPr>
        <w:tc>
          <w:tcPr>
            <w:tcW w:w="524" w:type="pct"/>
            <w:shd w:val="clear" w:color="auto" w:fill="auto"/>
            <w:hideMark/>
          </w:tcPr>
          <w:p w14:paraId="1F809FB6"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Romania</w:t>
            </w:r>
          </w:p>
        </w:tc>
        <w:tc>
          <w:tcPr>
            <w:tcW w:w="530" w:type="pct"/>
            <w:shd w:val="clear" w:color="auto" w:fill="auto"/>
            <w:hideMark/>
          </w:tcPr>
          <w:p w14:paraId="247BBC98"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120,000-300,000</w:t>
            </w:r>
          </w:p>
        </w:tc>
        <w:tc>
          <w:tcPr>
            <w:tcW w:w="649" w:type="pct"/>
            <w:shd w:val="clear" w:color="auto" w:fill="auto"/>
            <w:hideMark/>
          </w:tcPr>
          <w:p w14:paraId="39FEE4E4"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Good (Estimated)</w:t>
            </w:r>
          </w:p>
        </w:tc>
        <w:tc>
          <w:tcPr>
            <w:tcW w:w="400" w:type="pct"/>
            <w:shd w:val="clear" w:color="auto" w:fill="auto"/>
            <w:hideMark/>
          </w:tcPr>
          <w:p w14:paraId="029FD839"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2010-2013</w:t>
            </w:r>
          </w:p>
        </w:tc>
        <w:tc>
          <w:tcPr>
            <w:tcW w:w="550" w:type="pct"/>
            <w:shd w:val="clear" w:color="auto" w:fill="auto"/>
            <w:hideMark/>
          </w:tcPr>
          <w:p w14:paraId="4936AA92"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0-20</w:t>
            </w:r>
          </w:p>
        </w:tc>
        <w:tc>
          <w:tcPr>
            <w:tcW w:w="499" w:type="pct"/>
            <w:shd w:val="clear" w:color="auto" w:fill="auto"/>
            <w:hideMark/>
          </w:tcPr>
          <w:p w14:paraId="513A6ECB"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fluctuating</w:t>
            </w:r>
          </w:p>
        </w:tc>
        <w:tc>
          <w:tcPr>
            <w:tcW w:w="649" w:type="pct"/>
            <w:shd w:val="clear" w:color="auto" w:fill="auto"/>
            <w:hideMark/>
          </w:tcPr>
          <w:p w14:paraId="49B944BA"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Good (Estimated)</w:t>
            </w:r>
          </w:p>
        </w:tc>
        <w:tc>
          <w:tcPr>
            <w:tcW w:w="1199" w:type="pct"/>
          </w:tcPr>
          <w:p w14:paraId="638E6B62"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EU (2013)</w:t>
            </w:r>
          </w:p>
        </w:tc>
      </w:tr>
      <w:tr w:rsidR="00EF7FD7" w:rsidRPr="00C96521" w14:paraId="46D672BD" w14:textId="77777777" w:rsidTr="00235FA0">
        <w:trPr>
          <w:trHeight w:val="133"/>
        </w:trPr>
        <w:tc>
          <w:tcPr>
            <w:tcW w:w="524" w:type="pct"/>
            <w:shd w:val="clear" w:color="auto" w:fill="auto"/>
            <w:hideMark/>
          </w:tcPr>
          <w:p w14:paraId="3458CE45" w14:textId="7FB0BA29"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Russia</w:t>
            </w:r>
            <w:r>
              <w:rPr>
                <w:rFonts w:cs="Arial"/>
                <w:sz w:val="16"/>
                <w:szCs w:val="16"/>
                <w:lang w:val="en-GB" w:eastAsia="ja-JP"/>
              </w:rPr>
              <w:t>n Federation</w:t>
            </w:r>
            <w:r w:rsidRPr="00C96521">
              <w:rPr>
                <w:rFonts w:cs="Arial"/>
                <w:sz w:val="16"/>
                <w:szCs w:val="16"/>
                <w:lang w:val="en-GB" w:eastAsia="ja-JP"/>
              </w:rPr>
              <w:t xml:space="preserve"> (Europe)</w:t>
            </w:r>
          </w:p>
        </w:tc>
        <w:tc>
          <w:tcPr>
            <w:tcW w:w="530" w:type="pct"/>
            <w:shd w:val="clear" w:color="auto" w:fill="auto"/>
            <w:hideMark/>
          </w:tcPr>
          <w:p w14:paraId="4DEDF12D"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30,000-80,000</w:t>
            </w:r>
          </w:p>
        </w:tc>
        <w:tc>
          <w:tcPr>
            <w:tcW w:w="649" w:type="pct"/>
            <w:shd w:val="clear" w:color="auto" w:fill="auto"/>
            <w:hideMark/>
          </w:tcPr>
          <w:p w14:paraId="3C4A2975"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400" w:type="pct"/>
            <w:shd w:val="clear" w:color="auto" w:fill="auto"/>
            <w:hideMark/>
          </w:tcPr>
          <w:p w14:paraId="04254CBE"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2001-2012</w:t>
            </w:r>
          </w:p>
        </w:tc>
        <w:tc>
          <w:tcPr>
            <w:tcW w:w="550" w:type="pct"/>
            <w:shd w:val="clear" w:color="auto" w:fill="auto"/>
            <w:hideMark/>
          </w:tcPr>
          <w:p w14:paraId="25FDC355"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80-90</w:t>
            </w:r>
          </w:p>
        </w:tc>
        <w:tc>
          <w:tcPr>
            <w:tcW w:w="499" w:type="pct"/>
            <w:shd w:val="clear" w:color="auto" w:fill="auto"/>
            <w:hideMark/>
          </w:tcPr>
          <w:p w14:paraId="133B5119"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65A2EEEB"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1199" w:type="pct"/>
          </w:tcPr>
          <w:p w14:paraId="36B4881C"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Mischenko (</w:t>
            </w:r>
            <w:r w:rsidRPr="00C96521">
              <w:rPr>
                <w:rFonts w:cs="Arial"/>
                <w:i/>
                <w:sz w:val="16"/>
                <w:szCs w:val="16"/>
                <w:lang w:val="en-GB" w:eastAsia="ja-JP"/>
              </w:rPr>
              <w:t>in press</w:t>
            </w:r>
            <w:r w:rsidRPr="00C96521">
              <w:rPr>
                <w:rFonts w:cs="Arial"/>
                <w:sz w:val="16"/>
                <w:szCs w:val="16"/>
                <w:lang w:val="en-GB" w:eastAsia="ja-JP"/>
              </w:rPr>
              <w:t>)</w:t>
            </w:r>
          </w:p>
        </w:tc>
      </w:tr>
      <w:tr w:rsidR="00EF7FD7" w:rsidRPr="00C96521" w14:paraId="617F2E0F" w14:textId="77777777" w:rsidTr="00235FA0">
        <w:trPr>
          <w:trHeight w:val="235"/>
        </w:trPr>
        <w:tc>
          <w:tcPr>
            <w:tcW w:w="524" w:type="pct"/>
            <w:shd w:val="clear" w:color="auto" w:fill="auto"/>
            <w:hideMark/>
          </w:tcPr>
          <w:p w14:paraId="2BFC8AF6"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Serbia</w:t>
            </w:r>
          </w:p>
        </w:tc>
        <w:tc>
          <w:tcPr>
            <w:tcW w:w="530" w:type="pct"/>
            <w:shd w:val="clear" w:color="auto" w:fill="auto"/>
            <w:hideMark/>
          </w:tcPr>
          <w:p w14:paraId="126BD217"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39,000-53,000</w:t>
            </w:r>
          </w:p>
        </w:tc>
        <w:tc>
          <w:tcPr>
            <w:tcW w:w="649" w:type="pct"/>
            <w:shd w:val="clear" w:color="auto" w:fill="auto"/>
            <w:hideMark/>
          </w:tcPr>
          <w:p w14:paraId="4D678436"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00" w:type="pct"/>
            <w:shd w:val="clear" w:color="auto" w:fill="auto"/>
            <w:hideMark/>
          </w:tcPr>
          <w:p w14:paraId="1747ECE0"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2008-2012</w:t>
            </w:r>
          </w:p>
        </w:tc>
        <w:tc>
          <w:tcPr>
            <w:tcW w:w="550" w:type="pct"/>
            <w:shd w:val="clear" w:color="auto" w:fill="auto"/>
            <w:hideMark/>
          </w:tcPr>
          <w:p w14:paraId="3D571E5F"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1-9</w:t>
            </w:r>
          </w:p>
        </w:tc>
        <w:tc>
          <w:tcPr>
            <w:tcW w:w="499" w:type="pct"/>
            <w:shd w:val="clear" w:color="auto" w:fill="auto"/>
            <w:hideMark/>
          </w:tcPr>
          <w:p w14:paraId="523509E9"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57CA22F5"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Good (Estimated)</w:t>
            </w:r>
          </w:p>
        </w:tc>
        <w:tc>
          <w:tcPr>
            <w:tcW w:w="1199" w:type="pct"/>
          </w:tcPr>
          <w:p w14:paraId="00ABFFC1"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 xml:space="preserve">Puzović </w:t>
            </w:r>
            <w:r w:rsidRPr="00C96521">
              <w:rPr>
                <w:rFonts w:cs="Arial"/>
                <w:i/>
                <w:iCs/>
                <w:sz w:val="16"/>
                <w:szCs w:val="16"/>
                <w:lang w:val="en-GB" w:eastAsia="ja-JP"/>
              </w:rPr>
              <w:t xml:space="preserve">et al </w:t>
            </w:r>
            <w:r w:rsidRPr="00C96521">
              <w:rPr>
                <w:rFonts w:cs="Arial"/>
                <w:sz w:val="16"/>
                <w:szCs w:val="16"/>
                <w:lang w:val="en-GB" w:eastAsia="ja-JP"/>
              </w:rPr>
              <w:t>(2003); BirdLife International (2015)</w:t>
            </w:r>
          </w:p>
        </w:tc>
      </w:tr>
      <w:tr w:rsidR="00EF7FD7" w:rsidRPr="00C96521" w14:paraId="477D3EB8" w14:textId="77777777" w:rsidTr="00235FA0">
        <w:trPr>
          <w:trHeight w:val="119"/>
        </w:trPr>
        <w:tc>
          <w:tcPr>
            <w:tcW w:w="524" w:type="pct"/>
            <w:shd w:val="clear" w:color="auto" w:fill="auto"/>
            <w:hideMark/>
          </w:tcPr>
          <w:p w14:paraId="6716CFF6"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Slovakia</w:t>
            </w:r>
          </w:p>
        </w:tc>
        <w:tc>
          <w:tcPr>
            <w:tcW w:w="530" w:type="pct"/>
            <w:shd w:val="clear" w:color="auto" w:fill="auto"/>
            <w:hideMark/>
          </w:tcPr>
          <w:p w14:paraId="713505DA"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15,000-30,000</w:t>
            </w:r>
          </w:p>
        </w:tc>
        <w:tc>
          <w:tcPr>
            <w:tcW w:w="649" w:type="pct"/>
            <w:shd w:val="clear" w:color="auto" w:fill="auto"/>
            <w:hideMark/>
          </w:tcPr>
          <w:p w14:paraId="1A2E7535"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00" w:type="pct"/>
            <w:shd w:val="clear" w:color="auto" w:fill="auto"/>
            <w:hideMark/>
          </w:tcPr>
          <w:p w14:paraId="03533339"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2002</w:t>
            </w:r>
          </w:p>
        </w:tc>
        <w:tc>
          <w:tcPr>
            <w:tcW w:w="550" w:type="pct"/>
            <w:shd w:val="clear" w:color="auto" w:fill="auto"/>
            <w:hideMark/>
          </w:tcPr>
          <w:p w14:paraId="29E0B154"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0</w:t>
            </w:r>
          </w:p>
        </w:tc>
        <w:tc>
          <w:tcPr>
            <w:tcW w:w="499" w:type="pct"/>
            <w:shd w:val="clear" w:color="auto" w:fill="auto"/>
            <w:hideMark/>
          </w:tcPr>
          <w:p w14:paraId="2BFFB005"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stable</w:t>
            </w:r>
          </w:p>
        </w:tc>
        <w:tc>
          <w:tcPr>
            <w:tcW w:w="649" w:type="pct"/>
            <w:shd w:val="clear" w:color="auto" w:fill="auto"/>
            <w:hideMark/>
          </w:tcPr>
          <w:p w14:paraId="0B108BC2"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1199" w:type="pct"/>
          </w:tcPr>
          <w:p w14:paraId="14CE4016"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BirdLife International (2015)</w:t>
            </w:r>
          </w:p>
        </w:tc>
      </w:tr>
      <w:tr w:rsidR="00EF7FD7" w:rsidRPr="00C96521" w14:paraId="19879585" w14:textId="77777777" w:rsidTr="00235FA0">
        <w:trPr>
          <w:trHeight w:val="87"/>
        </w:trPr>
        <w:tc>
          <w:tcPr>
            <w:tcW w:w="524" w:type="pct"/>
            <w:shd w:val="clear" w:color="auto" w:fill="auto"/>
            <w:hideMark/>
          </w:tcPr>
          <w:p w14:paraId="2ADBF18F"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Slovenia</w:t>
            </w:r>
          </w:p>
        </w:tc>
        <w:tc>
          <w:tcPr>
            <w:tcW w:w="530" w:type="pct"/>
            <w:shd w:val="clear" w:color="auto" w:fill="auto"/>
            <w:hideMark/>
          </w:tcPr>
          <w:p w14:paraId="52CED72F"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3,500-5,000</w:t>
            </w:r>
          </w:p>
        </w:tc>
        <w:tc>
          <w:tcPr>
            <w:tcW w:w="649" w:type="pct"/>
            <w:shd w:val="clear" w:color="auto" w:fill="auto"/>
            <w:hideMark/>
          </w:tcPr>
          <w:p w14:paraId="642216EA"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Good (Observed)</w:t>
            </w:r>
          </w:p>
        </w:tc>
        <w:tc>
          <w:tcPr>
            <w:tcW w:w="400" w:type="pct"/>
            <w:shd w:val="clear" w:color="auto" w:fill="auto"/>
            <w:hideMark/>
          </w:tcPr>
          <w:p w14:paraId="0AD5FDFB"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2002-2012</w:t>
            </w:r>
          </w:p>
        </w:tc>
        <w:tc>
          <w:tcPr>
            <w:tcW w:w="550" w:type="pct"/>
            <w:shd w:val="clear" w:color="auto" w:fill="auto"/>
            <w:hideMark/>
          </w:tcPr>
          <w:p w14:paraId="4E7D3A09"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25-47</w:t>
            </w:r>
          </w:p>
        </w:tc>
        <w:tc>
          <w:tcPr>
            <w:tcW w:w="499" w:type="pct"/>
            <w:shd w:val="clear" w:color="auto" w:fill="auto"/>
            <w:hideMark/>
          </w:tcPr>
          <w:p w14:paraId="3528396C"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632FA904"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Good (Observed)</w:t>
            </w:r>
          </w:p>
        </w:tc>
        <w:tc>
          <w:tcPr>
            <w:tcW w:w="1199" w:type="pct"/>
          </w:tcPr>
          <w:p w14:paraId="3673F4EA"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Mihelič (2013), Kmecl and Figelj (2015)</w:t>
            </w:r>
          </w:p>
        </w:tc>
      </w:tr>
      <w:tr w:rsidR="00EF7FD7" w:rsidRPr="00C96521" w14:paraId="1D3655CE" w14:textId="77777777" w:rsidTr="00235FA0">
        <w:trPr>
          <w:trHeight w:val="240"/>
        </w:trPr>
        <w:tc>
          <w:tcPr>
            <w:tcW w:w="524" w:type="pct"/>
            <w:shd w:val="clear" w:color="auto" w:fill="auto"/>
            <w:hideMark/>
          </w:tcPr>
          <w:p w14:paraId="017FC0FF"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Spain</w:t>
            </w:r>
          </w:p>
        </w:tc>
        <w:tc>
          <w:tcPr>
            <w:tcW w:w="530" w:type="pct"/>
            <w:shd w:val="clear" w:color="auto" w:fill="auto"/>
            <w:hideMark/>
          </w:tcPr>
          <w:p w14:paraId="1D1BBA86"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1,370,000-2,285,000</w:t>
            </w:r>
          </w:p>
        </w:tc>
        <w:tc>
          <w:tcPr>
            <w:tcW w:w="649" w:type="pct"/>
            <w:shd w:val="clear" w:color="auto" w:fill="auto"/>
            <w:hideMark/>
          </w:tcPr>
          <w:p w14:paraId="4BCF6FE3"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Good (Estimated)</w:t>
            </w:r>
          </w:p>
        </w:tc>
        <w:tc>
          <w:tcPr>
            <w:tcW w:w="400" w:type="pct"/>
            <w:shd w:val="clear" w:color="auto" w:fill="auto"/>
            <w:hideMark/>
          </w:tcPr>
          <w:p w14:paraId="70042833"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2004-2006</w:t>
            </w:r>
          </w:p>
        </w:tc>
        <w:tc>
          <w:tcPr>
            <w:tcW w:w="550" w:type="pct"/>
            <w:shd w:val="clear" w:color="auto" w:fill="auto"/>
            <w:hideMark/>
          </w:tcPr>
          <w:p w14:paraId="6A870EAE"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22.96 (over the period 1998-2015)</w:t>
            </w:r>
          </w:p>
        </w:tc>
        <w:tc>
          <w:tcPr>
            <w:tcW w:w="499" w:type="pct"/>
            <w:shd w:val="clear" w:color="auto" w:fill="auto"/>
            <w:hideMark/>
          </w:tcPr>
          <w:p w14:paraId="5A4B279D"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103B9C49"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Good (Estimated)</w:t>
            </w:r>
          </w:p>
        </w:tc>
        <w:tc>
          <w:tcPr>
            <w:tcW w:w="1199" w:type="pct"/>
          </w:tcPr>
          <w:p w14:paraId="59E765B9"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SEO/BirdLife (2016b)</w:t>
            </w:r>
          </w:p>
        </w:tc>
      </w:tr>
      <w:tr w:rsidR="00EF7FD7" w:rsidRPr="00C96521" w14:paraId="00ABE575" w14:textId="77777777" w:rsidTr="00235FA0">
        <w:trPr>
          <w:trHeight w:val="81"/>
        </w:trPr>
        <w:tc>
          <w:tcPr>
            <w:tcW w:w="524" w:type="pct"/>
            <w:shd w:val="clear" w:color="auto" w:fill="auto"/>
            <w:hideMark/>
          </w:tcPr>
          <w:p w14:paraId="48869361"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Switzerland</w:t>
            </w:r>
          </w:p>
        </w:tc>
        <w:tc>
          <w:tcPr>
            <w:tcW w:w="530" w:type="pct"/>
            <w:shd w:val="clear" w:color="auto" w:fill="auto"/>
            <w:hideMark/>
          </w:tcPr>
          <w:p w14:paraId="6DD0DE61"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1,000-2,500</w:t>
            </w:r>
          </w:p>
        </w:tc>
        <w:tc>
          <w:tcPr>
            <w:tcW w:w="649" w:type="pct"/>
            <w:shd w:val="clear" w:color="auto" w:fill="auto"/>
            <w:hideMark/>
          </w:tcPr>
          <w:p w14:paraId="00F02FE5"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Good (Observed)</w:t>
            </w:r>
          </w:p>
        </w:tc>
        <w:tc>
          <w:tcPr>
            <w:tcW w:w="400" w:type="pct"/>
            <w:shd w:val="clear" w:color="auto" w:fill="auto"/>
            <w:hideMark/>
          </w:tcPr>
          <w:p w14:paraId="196A1306"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1993-1996</w:t>
            </w:r>
          </w:p>
        </w:tc>
        <w:tc>
          <w:tcPr>
            <w:tcW w:w="550" w:type="pct"/>
            <w:shd w:val="clear" w:color="auto" w:fill="auto"/>
            <w:hideMark/>
          </w:tcPr>
          <w:p w14:paraId="156894D1"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20-40</w:t>
            </w:r>
          </w:p>
        </w:tc>
        <w:tc>
          <w:tcPr>
            <w:tcW w:w="499" w:type="pct"/>
            <w:shd w:val="clear" w:color="auto" w:fill="auto"/>
            <w:hideMark/>
          </w:tcPr>
          <w:p w14:paraId="6821C76A"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72EC1984"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Good (Estimated)</w:t>
            </w:r>
          </w:p>
        </w:tc>
        <w:tc>
          <w:tcPr>
            <w:tcW w:w="1199" w:type="pct"/>
          </w:tcPr>
          <w:p w14:paraId="669BC39A"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 xml:space="preserve">Schmid </w:t>
            </w:r>
            <w:r w:rsidRPr="00C96521">
              <w:rPr>
                <w:rFonts w:cs="Arial"/>
                <w:i/>
                <w:iCs/>
                <w:sz w:val="16"/>
                <w:szCs w:val="16"/>
                <w:lang w:val="en-GB" w:eastAsia="ja-JP"/>
              </w:rPr>
              <w:t>et al</w:t>
            </w:r>
            <w:r w:rsidRPr="00C96521">
              <w:rPr>
                <w:rFonts w:cs="Arial"/>
                <w:sz w:val="16"/>
                <w:szCs w:val="16"/>
                <w:lang w:val="en-GB" w:eastAsia="ja-JP"/>
              </w:rPr>
              <w:t xml:space="preserve"> (1998)</w:t>
            </w:r>
          </w:p>
        </w:tc>
      </w:tr>
      <w:tr w:rsidR="00EF7FD7" w:rsidRPr="00C96521" w14:paraId="6CF6D9BB" w14:textId="77777777" w:rsidTr="00235FA0">
        <w:trPr>
          <w:trHeight w:val="48"/>
        </w:trPr>
        <w:tc>
          <w:tcPr>
            <w:tcW w:w="524" w:type="pct"/>
            <w:shd w:val="clear" w:color="auto" w:fill="auto"/>
            <w:hideMark/>
          </w:tcPr>
          <w:p w14:paraId="5D8E6C4E" w14:textId="2DC1BC01"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Syria</w:t>
            </w:r>
            <w:r>
              <w:rPr>
                <w:rFonts w:cs="Arial"/>
                <w:sz w:val="16"/>
                <w:szCs w:val="16"/>
                <w:lang w:val="en-GB" w:eastAsia="ja-JP"/>
              </w:rPr>
              <w:t>n Arab Republic</w:t>
            </w:r>
          </w:p>
        </w:tc>
        <w:tc>
          <w:tcPr>
            <w:tcW w:w="530" w:type="pct"/>
            <w:shd w:val="clear" w:color="auto" w:fill="auto"/>
            <w:hideMark/>
          </w:tcPr>
          <w:p w14:paraId="3BDDCC05"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10,000-100,000</w:t>
            </w:r>
          </w:p>
        </w:tc>
        <w:tc>
          <w:tcPr>
            <w:tcW w:w="649" w:type="pct"/>
            <w:shd w:val="clear" w:color="auto" w:fill="auto"/>
            <w:hideMark/>
          </w:tcPr>
          <w:p w14:paraId="46E8BF65"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400" w:type="pct"/>
            <w:shd w:val="clear" w:color="auto" w:fill="auto"/>
            <w:hideMark/>
          </w:tcPr>
          <w:p w14:paraId="6A036EE3"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2010</w:t>
            </w:r>
          </w:p>
        </w:tc>
        <w:tc>
          <w:tcPr>
            <w:tcW w:w="550" w:type="pct"/>
            <w:shd w:val="clear" w:color="auto" w:fill="auto"/>
            <w:hideMark/>
          </w:tcPr>
          <w:p w14:paraId="20C1FB92"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50-75</w:t>
            </w:r>
          </w:p>
        </w:tc>
        <w:tc>
          <w:tcPr>
            <w:tcW w:w="499" w:type="pct"/>
            <w:shd w:val="clear" w:color="auto" w:fill="auto"/>
            <w:hideMark/>
          </w:tcPr>
          <w:p w14:paraId="4CDCC23E"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4C1492D3"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1199" w:type="pct"/>
          </w:tcPr>
          <w:p w14:paraId="4C517B5F"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Nabegh Ghazal Asswad (</w:t>
            </w:r>
            <w:r w:rsidRPr="00C96521">
              <w:rPr>
                <w:rFonts w:cs="Arial"/>
                <w:i/>
                <w:sz w:val="16"/>
                <w:szCs w:val="16"/>
                <w:lang w:val="en-GB" w:eastAsia="ja-JP"/>
              </w:rPr>
              <w:t>pers comm</w:t>
            </w:r>
            <w:r w:rsidRPr="00C96521">
              <w:rPr>
                <w:rFonts w:cs="Arial"/>
                <w:sz w:val="16"/>
                <w:szCs w:val="16"/>
                <w:lang w:val="en-GB" w:eastAsia="ja-JP"/>
              </w:rPr>
              <w:t>)</w:t>
            </w:r>
          </w:p>
        </w:tc>
      </w:tr>
      <w:tr w:rsidR="00EF7FD7" w:rsidRPr="00C96521" w14:paraId="36FEE495" w14:textId="77777777" w:rsidTr="00235FA0">
        <w:trPr>
          <w:trHeight w:val="130"/>
        </w:trPr>
        <w:tc>
          <w:tcPr>
            <w:tcW w:w="524" w:type="pct"/>
            <w:shd w:val="clear" w:color="auto" w:fill="auto"/>
          </w:tcPr>
          <w:p w14:paraId="33E006F5" w14:textId="355ADEA3" w:rsidR="00EF7FD7" w:rsidRPr="00C96521" w:rsidRDefault="00EF7FD7" w:rsidP="00EF7FD7">
            <w:pPr>
              <w:widowControl/>
              <w:autoSpaceDE/>
              <w:autoSpaceDN/>
              <w:adjustRightInd/>
              <w:rPr>
                <w:rFonts w:cs="Arial"/>
                <w:sz w:val="16"/>
                <w:szCs w:val="16"/>
                <w:lang w:val="en-GB" w:eastAsia="ja-JP"/>
              </w:rPr>
            </w:pPr>
            <w:r>
              <w:rPr>
                <w:rFonts w:cs="Arial"/>
                <w:sz w:val="16"/>
                <w:szCs w:val="16"/>
                <w:lang w:val="en-GB" w:eastAsia="ja-JP"/>
              </w:rPr>
              <w:t>The Former Yugoslav Republic of Macedonia</w:t>
            </w:r>
          </w:p>
        </w:tc>
        <w:tc>
          <w:tcPr>
            <w:tcW w:w="530" w:type="pct"/>
            <w:shd w:val="clear" w:color="auto" w:fill="auto"/>
          </w:tcPr>
          <w:p w14:paraId="3477BC99" w14:textId="52005D82"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20,000-60,000</w:t>
            </w:r>
          </w:p>
        </w:tc>
        <w:tc>
          <w:tcPr>
            <w:tcW w:w="649" w:type="pct"/>
            <w:shd w:val="clear" w:color="auto" w:fill="auto"/>
          </w:tcPr>
          <w:p w14:paraId="708AFA05" w14:textId="73102A80"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400" w:type="pct"/>
            <w:shd w:val="clear" w:color="auto" w:fill="auto"/>
          </w:tcPr>
          <w:p w14:paraId="1EA673C0" w14:textId="4E3B6E61"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2001-2012</w:t>
            </w:r>
          </w:p>
        </w:tc>
        <w:tc>
          <w:tcPr>
            <w:tcW w:w="550" w:type="pct"/>
            <w:shd w:val="clear" w:color="auto" w:fill="auto"/>
          </w:tcPr>
          <w:p w14:paraId="72B34FCF" w14:textId="59065F12"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0</w:t>
            </w:r>
          </w:p>
        </w:tc>
        <w:tc>
          <w:tcPr>
            <w:tcW w:w="499" w:type="pct"/>
            <w:shd w:val="clear" w:color="auto" w:fill="auto"/>
          </w:tcPr>
          <w:p w14:paraId="6409A7D7" w14:textId="647A1B9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stable</w:t>
            </w:r>
          </w:p>
        </w:tc>
        <w:tc>
          <w:tcPr>
            <w:tcW w:w="649" w:type="pct"/>
            <w:shd w:val="clear" w:color="auto" w:fill="auto"/>
          </w:tcPr>
          <w:p w14:paraId="6178D5D2" w14:textId="3B8158D5"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1199" w:type="pct"/>
          </w:tcPr>
          <w:p w14:paraId="73AFB6A6" w14:textId="6C39A936"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BirdLife International (2015)</w:t>
            </w:r>
          </w:p>
        </w:tc>
      </w:tr>
      <w:tr w:rsidR="00EF7FD7" w:rsidRPr="00C96521" w14:paraId="1FD0BCC8" w14:textId="77777777" w:rsidTr="00235FA0">
        <w:trPr>
          <w:trHeight w:val="130"/>
        </w:trPr>
        <w:tc>
          <w:tcPr>
            <w:tcW w:w="524" w:type="pct"/>
            <w:shd w:val="clear" w:color="auto" w:fill="auto"/>
            <w:hideMark/>
          </w:tcPr>
          <w:p w14:paraId="550BBC31"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Tunisia</w:t>
            </w:r>
          </w:p>
        </w:tc>
        <w:tc>
          <w:tcPr>
            <w:tcW w:w="530" w:type="pct"/>
            <w:shd w:val="clear" w:color="auto" w:fill="auto"/>
            <w:hideMark/>
          </w:tcPr>
          <w:p w14:paraId="3E3F74F3"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649" w:type="pct"/>
            <w:shd w:val="clear" w:color="auto" w:fill="auto"/>
            <w:hideMark/>
          </w:tcPr>
          <w:p w14:paraId="23765D41"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w:t>
            </w:r>
          </w:p>
        </w:tc>
        <w:tc>
          <w:tcPr>
            <w:tcW w:w="400" w:type="pct"/>
            <w:shd w:val="clear" w:color="auto" w:fill="auto"/>
            <w:hideMark/>
          </w:tcPr>
          <w:p w14:paraId="0EE44B53"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w:t>
            </w:r>
          </w:p>
        </w:tc>
        <w:tc>
          <w:tcPr>
            <w:tcW w:w="550" w:type="pct"/>
            <w:shd w:val="clear" w:color="auto" w:fill="auto"/>
            <w:hideMark/>
          </w:tcPr>
          <w:p w14:paraId="672A7848"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499" w:type="pct"/>
            <w:shd w:val="clear" w:color="auto" w:fill="auto"/>
            <w:hideMark/>
          </w:tcPr>
          <w:p w14:paraId="635546C8"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649" w:type="pct"/>
            <w:shd w:val="clear" w:color="auto" w:fill="auto"/>
            <w:hideMark/>
          </w:tcPr>
          <w:p w14:paraId="598964AF"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w:t>
            </w:r>
          </w:p>
        </w:tc>
        <w:tc>
          <w:tcPr>
            <w:tcW w:w="1199" w:type="pct"/>
          </w:tcPr>
          <w:p w14:paraId="06E87B59"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w:t>
            </w:r>
          </w:p>
        </w:tc>
      </w:tr>
      <w:tr w:rsidR="00EF7FD7" w:rsidRPr="00C96521" w14:paraId="3469CEF3" w14:textId="77777777" w:rsidTr="00235FA0">
        <w:trPr>
          <w:trHeight w:val="203"/>
        </w:trPr>
        <w:tc>
          <w:tcPr>
            <w:tcW w:w="524" w:type="pct"/>
            <w:shd w:val="clear" w:color="auto" w:fill="auto"/>
            <w:hideMark/>
          </w:tcPr>
          <w:p w14:paraId="25E70805"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Turkey</w:t>
            </w:r>
          </w:p>
        </w:tc>
        <w:tc>
          <w:tcPr>
            <w:tcW w:w="530" w:type="pct"/>
            <w:shd w:val="clear" w:color="auto" w:fill="auto"/>
            <w:hideMark/>
          </w:tcPr>
          <w:p w14:paraId="2B2B669C"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300,000-900,000</w:t>
            </w:r>
          </w:p>
        </w:tc>
        <w:tc>
          <w:tcPr>
            <w:tcW w:w="649" w:type="pct"/>
            <w:shd w:val="clear" w:color="auto" w:fill="auto"/>
            <w:hideMark/>
          </w:tcPr>
          <w:p w14:paraId="3B0C2A64"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400" w:type="pct"/>
            <w:shd w:val="clear" w:color="auto" w:fill="auto"/>
            <w:hideMark/>
          </w:tcPr>
          <w:p w14:paraId="5CC30F40"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2016</w:t>
            </w:r>
          </w:p>
        </w:tc>
        <w:tc>
          <w:tcPr>
            <w:tcW w:w="550" w:type="pct"/>
            <w:shd w:val="clear" w:color="auto" w:fill="auto"/>
            <w:hideMark/>
          </w:tcPr>
          <w:p w14:paraId="422CEAAF"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10-30</w:t>
            </w:r>
          </w:p>
        </w:tc>
        <w:tc>
          <w:tcPr>
            <w:tcW w:w="499" w:type="pct"/>
            <w:shd w:val="clear" w:color="auto" w:fill="auto"/>
            <w:hideMark/>
          </w:tcPr>
          <w:p w14:paraId="50340CA5"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77D6044F"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1199" w:type="pct"/>
          </w:tcPr>
          <w:p w14:paraId="687039E4"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Zeynel Arslangündogdu (</w:t>
            </w:r>
            <w:r w:rsidRPr="00C96521">
              <w:rPr>
                <w:rFonts w:cs="Arial"/>
                <w:i/>
                <w:sz w:val="16"/>
                <w:szCs w:val="16"/>
                <w:lang w:val="en-GB" w:eastAsia="ja-JP"/>
              </w:rPr>
              <w:t>pers comm</w:t>
            </w:r>
            <w:r w:rsidRPr="00C96521">
              <w:rPr>
                <w:rFonts w:cs="Arial"/>
                <w:sz w:val="16"/>
                <w:szCs w:val="16"/>
                <w:lang w:val="en-GB" w:eastAsia="ja-JP"/>
              </w:rPr>
              <w:t>), BirdLife International (2004), www.kusbank.org</w:t>
            </w:r>
          </w:p>
        </w:tc>
      </w:tr>
      <w:tr w:rsidR="00EF7FD7" w:rsidRPr="00C96521" w14:paraId="0FB4A5F4" w14:textId="77777777" w:rsidTr="00235FA0">
        <w:trPr>
          <w:trHeight w:val="60"/>
        </w:trPr>
        <w:tc>
          <w:tcPr>
            <w:tcW w:w="524" w:type="pct"/>
            <w:shd w:val="clear" w:color="auto" w:fill="auto"/>
            <w:hideMark/>
          </w:tcPr>
          <w:p w14:paraId="5A350210"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Ukraine</w:t>
            </w:r>
          </w:p>
        </w:tc>
        <w:tc>
          <w:tcPr>
            <w:tcW w:w="530" w:type="pct"/>
            <w:shd w:val="clear" w:color="auto" w:fill="auto"/>
            <w:hideMark/>
          </w:tcPr>
          <w:p w14:paraId="3E9D0C16"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60,000-80,000</w:t>
            </w:r>
          </w:p>
        </w:tc>
        <w:tc>
          <w:tcPr>
            <w:tcW w:w="649" w:type="pct"/>
            <w:shd w:val="clear" w:color="auto" w:fill="auto"/>
            <w:hideMark/>
          </w:tcPr>
          <w:p w14:paraId="29E56D87"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00" w:type="pct"/>
            <w:shd w:val="clear" w:color="auto" w:fill="auto"/>
            <w:hideMark/>
          </w:tcPr>
          <w:p w14:paraId="61A79D19"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2000-2010</w:t>
            </w:r>
          </w:p>
        </w:tc>
        <w:tc>
          <w:tcPr>
            <w:tcW w:w="550" w:type="pct"/>
            <w:shd w:val="clear" w:color="auto" w:fill="auto"/>
            <w:hideMark/>
          </w:tcPr>
          <w:p w14:paraId="7642A5BD"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25-40</w:t>
            </w:r>
          </w:p>
        </w:tc>
        <w:tc>
          <w:tcPr>
            <w:tcW w:w="499" w:type="pct"/>
            <w:shd w:val="clear" w:color="auto" w:fill="auto"/>
            <w:hideMark/>
          </w:tcPr>
          <w:p w14:paraId="75DD45CF"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44CC03AB"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1199" w:type="pct"/>
          </w:tcPr>
          <w:p w14:paraId="61B59F7F"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Igor Gorban (</w:t>
            </w:r>
            <w:r w:rsidRPr="00C96521">
              <w:rPr>
                <w:rFonts w:cs="Arial"/>
                <w:i/>
                <w:sz w:val="16"/>
                <w:szCs w:val="16"/>
                <w:lang w:val="en-GB" w:eastAsia="ja-JP"/>
              </w:rPr>
              <w:t>pers comm</w:t>
            </w:r>
            <w:r w:rsidRPr="00C96521">
              <w:rPr>
                <w:rFonts w:cs="Arial"/>
                <w:sz w:val="16"/>
                <w:szCs w:val="16"/>
                <w:lang w:val="en-GB" w:eastAsia="ja-JP"/>
              </w:rPr>
              <w:t>)</w:t>
            </w:r>
          </w:p>
        </w:tc>
      </w:tr>
      <w:tr w:rsidR="00EF7FD7" w:rsidRPr="00C96521" w14:paraId="69AEB4ED" w14:textId="77777777" w:rsidTr="00235FA0">
        <w:trPr>
          <w:trHeight w:val="96"/>
        </w:trPr>
        <w:tc>
          <w:tcPr>
            <w:tcW w:w="524" w:type="pct"/>
            <w:shd w:val="clear" w:color="auto" w:fill="auto"/>
            <w:hideMark/>
          </w:tcPr>
          <w:p w14:paraId="204F3AD0"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United Kingdom</w:t>
            </w:r>
          </w:p>
        </w:tc>
        <w:tc>
          <w:tcPr>
            <w:tcW w:w="530" w:type="pct"/>
            <w:shd w:val="clear" w:color="auto" w:fill="auto"/>
            <w:hideMark/>
          </w:tcPr>
          <w:p w14:paraId="1A9007BE"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5,300</w:t>
            </w:r>
          </w:p>
        </w:tc>
        <w:tc>
          <w:tcPr>
            <w:tcW w:w="649" w:type="pct"/>
            <w:shd w:val="clear" w:color="auto" w:fill="auto"/>
            <w:hideMark/>
          </w:tcPr>
          <w:p w14:paraId="2285D71F"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00" w:type="pct"/>
            <w:shd w:val="clear" w:color="auto" w:fill="auto"/>
            <w:hideMark/>
          </w:tcPr>
          <w:p w14:paraId="039A849A"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1999-2016</w:t>
            </w:r>
          </w:p>
        </w:tc>
        <w:tc>
          <w:tcPr>
            <w:tcW w:w="550" w:type="pct"/>
            <w:shd w:val="clear" w:color="auto" w:fill="auto"/>
            <w:hideMark/>
          </w:tcPr>
          <w:p w14:paraId="59DDAE3C"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88-93</w:t>
            </w:r>
          </w:p>
        </w:tc>
        <w:tc>
          <w:tcPr>
            <w:tcW w:w="499" w:type="pct"/>
            <w:shd w:val="clear" w:color="auto" w:fill="auto"/>
            <w:hideMark/>
          </w:tcPr>
          <w:p w14:paraId="287206AB"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49" w:type="pct"/>
            <w:shd w:val="clear" w:color="auto" w:fill="auto"/>
            <w:hideMark/>
          </w:tcPr>
          <w:p w14:paraId="3976A3EA"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Good (Estimated)</w:t>
            </w:r>
          </w:p>
        </w:tc>
        <w:tc>
          <w:tcPr>
            <w:tcW w:w="1199" w:type="pct"/>
          </w:tcPr>
          <w:p w14:paraId="177B2107" w14:textId="77777777" w:rsidR="00EF7FD7" w:rsidRPr="00C96521" w:rsidRDefault="00EF7FD7" w:rsidP="00EF7FD7">
            <w:pPr>
              <w:widowControl/>
              <w:autoSpaceDE/>
              <w:autoSpaceDN/>
              <w:adjustRightInd/>
              <w:rPr>
                <w:rFonts w:cs="Arial"/>
                <w:sz w:val="16"/>
                <w:szCs w:val="16"/>
                <w:lang w:val="en-GB" w:eastAsia="ja-JP"/>
              </w:rPr>
            </w:pPr>
            <w:r w:rsidRPr="00C96521">
              <w:rPr>
                <w:rFonts w:cs="Arial"/>
                <w:sz w:val="16"/>
                <w:szCs w:val="16"/>
                <w:lang w:val="en-GB" w:eastAsia="ja-JP"/>
              </w:rPr>
              <w:t>EU (2013), Walker and Morris (2016)</w:t>
            </w:r>
          </w:p>
        </w:tc>
      </w:tr>
    </w:tbl>
    <w:p w14:paraId="6E5FC874" w14:textId="77777777" w:rsidR="00C96521" w:rsidRPr="00235FA0" w:rsidRDefault="00C96521" w:rsidP="00C96521">
      <w:pPr>
        <w:widowControl/>
        <w:autoSpaceDE/>
        <w:autoSpaceDN/>
        <w:adjustRightInd/>
        <w:spacing w:line="276" w:lineRule="auto"/>
        <w:rPr>
          <w:rFonts w:eastAsia="MS Mincho"/>
          <w:sz w:val="16"/>
          <w:szCs w:val="16"/>
          <w:lang w:val="en-GB" w:eastAsia="ja-JP"/>
        </w:rPr>
      </w:pPr>
    </w:p>
    <w:p w14:paraId="6B99FA9B" w14:textId="77777777" w:rsidR="00C96521" w:rsidRPr="00C96521" w:rsidRDefault="00C96521" w:rsidP="00C96521">
      <w:pPr>
        <w:widowControl/>
        <w:autoSpaceDE/>
        <w:autoSpaceDN/>
        <w:adjustRightInd/>
        <w:spacing w:line="276" w:lineRule="auto"/>
        <w:rPr>
          <w:rFonts w:eastAsia="MS Mincho"/>
          <w:sz w:val="16"/>
          <w:szCs w:val="16"/>
          <w:lang w:val="en-GB" w:eastAsia="ja-JP"/>
        </w:rPr>
      </w:pPr>
      <w:r w:rsidRPr="00C96521">
        <w:rPr>
          <w:rFonts w:eastAsia="MS Mincho"/>
          <w:sz w:val="16"/>
          <w:szCs w:val="16"/>
          <w:lang w:val="en-GB" w:eastAsia="ja-JP"/>
        </w:rPr>
        <w:t>The short-term trend is over the last 10 years (or 3 generations) but the period is not necessarily the same for all countries.</w:t>
      </w:r>
    </w:p>
    <w:p w14:paraId="0551A6E1" w14:textId="77777777" w:rsidR="00C96521" w:rsidRPr="00C96521" w:rsidRDefault="00C96521" w:rsidP="00C96521">
      <w:pPr>
        <w:widowControl/>
        <w:autoSpaceDE/>
        <w:autoSpaceDN/>
        <w:adjustRightInd/>
        <w:spacing w:line="276" w:lineRule="auto"/>
        <w:rPr>
          <w:rFonts w:eastAsia="MS Mincho"/>
          <w:sz w:val="16"/>
          <w:szCs w:val="16"/>
          <w:lang w:val="en-GB" w:eastAsia="ja-JP"/>
        </w:rPr>
      </w:pPr>
      <w:r w:rsidRPr="00C96521">
        <w:rPr>
          <w:rFonts w:eastAsia="MS Mincho"/>
          <w:sz w:val="16"/>
          <w:szCs w:val="16"/>
          <w:lang w:val="en-GB" w:eastAsia="ja-JP"/>
        </w:rPr>
        <w:t>Good (Observed) - based on reliable or representative quantitative data derived from complete counts or comprehensive measurements.</w:t>
      </w:r>
    </w:p>
    <w:p w14:paraId="287BAE80" w14:textId="77777777" w:rsidR="00C96521" w:rsidRPr="00C96521" w:rsidRDefault="00C96521" w:rsidP="00C96521">
      <w:pPr>
        <w:widowControl/>
        <w:autoSpaceDE/>
        <w:autoSpaceDN/>
        <w:adjustRightInd/>
        <w:spacing w:line="276" w:lineRule="auto"/>
        <w:rPr>
          <w:rFonts w:eastAsia="MS Mincho"/>
          <w:sz w:val="16"/>
          <w:szCs w:val="16"/>
          <w:lang w:val="en-GB" w:eastAsia="ja-JP"/>
        </w:rPr>
      </w:pPr>
      <w:r w:rsidRPr="00C96521">
        <w:rPr>
          <w:rFonts w:eastAsia="MS Mincho"/>
          <w:sz w:val="16"/>
          <w:szCs w:val="16"/>
          <w:lang w:val="en-GB" w:eastAsia="ja-JP"/>
        </w:rPr>
        <w:t>Good (Estimated) - based on reliable or representative quantitative data derived from sampling or interpolation.</w:t>
      </w:r>
    </w:p>
    <w:p w14:paraId="2BE23726" w14:textId="77777777" w:rsidR="00C96521" w:rsidRPr="00C96521" w:rsidRDefault="00C96521" w:rsidP="00C96521">
      <w:pPr>
        <w:widowControl/>
        <w:autoSpaceDE/>
        <w:autoSpaceDN/>
        <w:adjustRightInd/>
        <w:spacing w:line="276" w:lineRule="auto"/>
        <w:rPr>
          <w:rFonts w:eastAsia="MS Mincho"/>
          <w:sz w:val="16"/>
          <w:szCs w:val="16"/>
          <w:lang w:val="en-GB" w:eastAsia="ja-JP"/>
        </w:rPr>
      </w:pPr>
      <w:r w:rsidRPr="00C96521">
        <w:rPr>
          <w:rFonts w:eastAsia="MS Mincho"/>
          <w:sz w:val="16"/>
          <w:szCs w:val="16"/>
          <w:lang w:val="en-GB" w:eastAsia="ja-JP"/>
        </w:rPr>
        <w:t>Medium (Estimated) - based on incomplete quantitative data derived from sampling or interpolation.</w:t>
      </w:r>
    </w:p>
    <w:p w14:paraId="206A6DB2" w14:textId="77777777" w:rsidR="00C96521" w:rsidRPr="00C96521" w:rsidRDefault="00C96521" w:rsidP="00C96521">
      <w:pPr>
        <w:widowControl/>
        <w:autoSpaceDE/>
        <w:autoSpaceDN/>
        <w:adjustRightInd/>
        <w:spacing w:line="276" w:lineRule="auto"/>
        <w:rPr>
          <w:rFonts w:eastAsia="MS Mincho"/>
          <w:sz w:val="16"/>
          <w:szCs w:val="16"/>
          <w:lang w:val="en-GB" w:eastAsia="ja-JP"/>
        </w:rPr>
      </w:pPr>
      <w:r w:rsidRPr="00C96521">
        <w:rPr>
          <w:rFonts w:eastAsia="MS Mincho"/>
          <w:sz w:val="16"/>
          <w:szCs w:val="16"/>
          <w:lang w:val="en-GB" w:eastAsia="ja-JP"/>
        </w:rPr>
        <w:t>Medium (Inferred) - based on incomplete or poor quantitative data derived from indirect evidence.</w:t>
      </w:r>
    </w:p>
    <w:p w14:paraId="2DFF04AE" w14:textId="77777777" w:rsidR="00C96521" w:rsidRPr="00C96521" w:rsidRDefault="00C96521" w:rsidP="00C96521">
      <w:pPr>
        <w:widowControl/>
        <w:autoSpaceDE/>
        <w:autoSpaceDN/>
        <w:adjustRightInd/>
        <w:spacing w:line="276" w:lineRule="auto"/>
        <w:rPr>
          <w:rFonts w:eastAsia="MS Mincho"/>
          <w:sz w:val="16"/>
          <w:szCs w:val="16"/>
          <w:lang w:val="en-GB" w:eastAsia="ja-JP"/>
        </w:rPr>
      </w:pPr>
      <w:r w:rsidRPr="00C96521">
        <w:rPr>
          <w:rFonts w:eastAsia="MS Mincho"/>
          <w:sz w:val="16"/>
          <w:szCs w:val="16"/>
          <w:lang w:val="en-GB" w:eastAsia="ja-JP"/>
        </w:rPr>
        <w:t>Poor (Suspected) - based on no quantitative data, but estimates derived from circumstantial evidence</w:t>
      </w:r>
    </w:p>
    <w:p w14:paraId="1D2D714E"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Table 3. Migrating and non-breeding populations by country/territory</w:t>
      </w:r>
    </w:p>
    <w:p w14:paraId="73607887"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56FCBFEA" w14:textId="77777777" w:rsidR="00C96521" w:rsidRPr="00C96521" w:rsidRDefault="00C96521" w:rsidP="00C96521">
      <w:pPr>
        <w:widowControl/>
        <w:autoSpaceDE/>
        <w:autoSpaceDN/>
        <w:adjustRightInd/>
        <w:spacing w:line="276" w:lineRule="auto"/>
        <w:rPr>
          <w:rFonts w:eastAsia="MS Mincho"/>
          <w:sz w:val="16"/>
          <w:szCs w:val="16"/>
          <w:lang w:val="en-GB" w:eastAsia="ja-JP"/>
        </w:rPr>
      </w:pPr>
      <w:r w:rsidRPr="00C96521">
        <w:rPr>
          <w:rFonts w:eastAsia="MS Mincho"/>
          <w:sz w:val="16"/>
          <w:szCs w:val="16"/>
          <w:lang w:val="en-GB" w:eastAsia="ja-JP"/>
        </w:rPr>
        <w:t>Good data on migrating and wintering numbers and trends for turtle-dove are generally lacking. This table collates known figures, but only represents a small part of the range (see Table 1).</w:t>
      </w:r>
    </w:p>
    <w:p w14:paraId="395B4B00"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218"/>
        <w:gridCol w:w="12"/>
        <w:gridCol w:w="1361"/>
        <w:gridCol w:w="23"/>
        <w:gridCol w:w="1639"/>
        <w:gridCol w:w="12"/>
        <w:gridCol w:w="1961"/>
        <w:gridCol w:w="1212"/>
        <w:gridCol w:w="758"/>
        <w:gridCol w:w="1364"/>
        <w:gridCol w:w="9"/>
        <w:gridCol w:w="140"/>
        <w:gridCol w:w="1820"/>
        <w:gridCol w:w="3105"/>
      </w:tblGrid>
      <w:tr w:rsidR="00C96521" w:rsidRPr="00C96521" w14:paraId="5F43AA87" w14:textId="77777777" w:rsidTr="00235FA0">
        <w:trPr>
          <w:trHeight w:val="480"/>
        </w:trPr>
        <w:tc>
          <w:tcPr>
            <w:tcW w:w="420" w:type="pct"/>
            <w:gridSpan w:val="2"/>
            <w:shd w:val="clear" w:color="auto" w:fill="B6DDE8"/>
            <w:hideMark/>
          </w:tcPr>
          <w:p w14:paraId="7E59146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Country/ territory</w:t>
            </w:r>
          </w:p>
        </w:tc>
        <w:tc>
          <w:tcPr>
            <w:tcW w:w="473" w:type="pct"/>
            <w:gridSpan w:val="2"/>
            <w:shd w:val="clear" w:color="auto" w:fill="B6DDE8"/>
            <w:hideMark/>
          </w:tcPr>
          <w:p w14:paraId="3A71296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Season</w:t>
            </w:r>
          </w:p>
        </w:tc>
        <w:tc>
          <w:tcPr>
            <w:tcW w:w="564" w:type="pct"/>
            <w:gridSpan w:val="2"/>
            <w:shd w:val="clear" w:color="auto" w:fill="B6DDE8"/>
            <w:hideMark/>
          </w:tcPr>
          <w:p w14:paraId="224E613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Numbers (birds)</w:t>
            </w:r>
          </w:p>
        </w:tc>
        <w:tc>
          <w:tcPr>
            <w:tcW w:w="670" w:type="pct"/>
            <w:shd w:val="clear" w:color="auto" w:fill="B6DDE8"/>
            <w:hideMark/>
          </w:tcPr>
          <w:p w14:paraId="33F413B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Quality</w:t>
            </w:r>
          </w:p>
        </w:tc>
        <w:tc>
          <w:tcPr>
            <w:tcW w:w="414" w:type="pct"/>
            <w:shd w:val="clear" w:color="auto" w:fill="B6DDE8"/>
            <w:hideMark/>
          </w:tcPr>
          <w:p w14:paraId="35A4DE5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Years</w:t>
            </w:r>
          </w:p>
        </w:tc>
        <w:tc>
          <w:tcPr>
            <w:tcW w:w="259" w:type="pct"/>
            <w:shd w:val="clear" w:color="auto" w:fill="B6DDE8"/>
            <w:hideMark/>
          </w:tcPr>
          <w:p w14:paraId="10F2BCC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Short-term trend (%)</w:t>
            </w:r>
          </w:p>
        </w:tc>
        <w:tc>
          <w:tcPr>
            <w:tcW w:w="517" w:type="pct"/>
            <w:gridSpan w:val="3"/>
            <w:shd w:val="clear" w:color="auto" w:fill="B6DDE8"/>
            <w:hideMark/>
          </w:tcPr>
          <w:p w14:paraId="4B40B37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Direction</w:t>
            </w:r>
          </w:p>
        </w:tc>
        <w:tc>
          <w:tcPr>
            <w:tcW w:w="622" w:type="pct"/>
            <w:shd w:val="clear" w:color="auto" w:fill="B6DDE8"/>
            <w:hideMark/>
          </w:tcPr>
          <w:p w14:paraId="0C32F87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Quality</w:t>
            </w:r>
          </w:p>
        </w:tc>
        <w:tc>
          <w:tcPr>
            <w:tcW w:w="1061" w:type="pct"/>
            <w:shd w:val="clear" w:color="auto" w:fill="B6DDE8"/>
            <w:hideMark/>
          </w:tcPr>
          <w:p w14:paraId="1A7395B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Reference</w:t>
            </w:r>
          </w:p>
        </w:tc>
      </w:tr>
      <w:tr w:rsidR="00C96521" w:rsidRPr="00C96521" w14:paraId="19D5B847" w14:textId="77777777" w:rsidTr="00235FA0">
        <w:tc>
          <w:tcPr>
            <w:tcW w:w="420" w:type="pct"/>
            <w:gridSpan w:val="2"/>
            <w:shd w:val="clear" w:color="auto" w:fill="auto"/>
            <w:hideMark/>
          </w:tcPr>
          <w:p w14:paraId="41F1F27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Belarus</w:t>
            </w:r>
          </w:p>
        </w:tc>
        <w:tc>
          <w:tcPr>
            <w:tcW w:w="473" w:type="pct"/>
            <w:gridSpan w:val="2"/>
            <w:shd w:val="clear" w:color="auto" w:fill="auto"/>
            <w:hideMark/>
          </w:tcPr>
          <w:p w14:paraId="79EF3E2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passage</w:t>
            </w:r>
          </w:p>
        </w:tc>
        <w:tc>
          <w:tcPr>
            <w:tcW w:w="564" w:type="pct"/>
            <w:gridSpan w:val="2"/>
            <w:shd w:val="clear" w:color="auto" w:fill="auto"/>
            <w:hideMark/>
          </w:tcPr>
          <w:p w14:paraId="6A31561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670" w:type="pct"/>
            <w:shd w:val="clear" w:color="auto" w:fill="auto"/>
            <w:hideMark/>
          </w:tcPr>
          <w:p w14:paraId="01C048B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414" w:type="pct"/>
            <w:shd w:val="clear" w:color="auto" w:fill="auto"/>
            <w:hideMark/>
          </w:tcPr>
          <w:p w14:paraId="48B222DE"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259" w:type="pct"/>
            <w:shd w:val="clear" w:color="auto" w:fill="auto"/>
            <w:hideMark/>
          </w:tcPr>
          <w:p w14:paraId="74F073B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517" w:type="pct"/>
            <w:gridSpan w:val="3"/>
            <w:shd w:val="clear" w:color="auto" w:fill="auto"/>
            <w:hideMark/>
          </w:tcPr>
          <w:p w14:paraId="4793445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22" w:type="pct"/>
            <w:shd w:val="clear" w:color="auto" w:fill="auto"/>
            <w:hideMark/>
          </w:tcPr>
          <w:p w14:paraId="77B26F62"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Good (Observed)</w:t>
            </w:r>
          </w:p>
        </w:tc>
        <w:tc>
          <w:tcPr>
            <w:tcW w:w="1061" w:type="pct"/>
            <w:shd w:val="clear" w:color="auto" w:fill="auto"/>
            <w:hideMark/>
          </w:tcPr>
          <w:p w14:paraId="13680D5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Levy S, Gritchik V, Vorobei N, Kozulin A, Dombrovski V, Vintchevski A, Sakhvon V, Kuzmitski A and Yakubovich (</w:t>
            </w:r>
            <w:r w:rsidRPr="00C96521">
              <w:rPr>
                <w:rFonts w:cs="Arial"/>
                <w:i/>
                <w:sz w:val="16"/>
                <w:szCs w:val="16"/>
                <w:lang w:val="en-GB" w:eastAsia="ja-JP"/>
              </w:rPr>
              <w:t>pers comm</w:t>
            </w:r>
            <w:r w:rsidRPr="00C96521">
              <w:rPr>
                <w:rFonts w:cs="Arial"/>
                <w:sz w:val="16"/>
                <w:szCs w:val="16"/>
                <w:lang w:val="en-GB" w:eastAsia="ja-JP"/>
              </w:rPr>
              <w:t>)</w:t>
            </w:r>
          </w:p>
        </w:tc>
      </w:tr>
      <w:tr w:rsidR="00C96521" w:rsidRPr="00C96521" w14:paraId="361CFF10" w14:textId="77777777" w:rsidTr="00235FA0">
        <w:tc>
          <w:tcPr>
            <w:tcW w:w="420" w:type="pct"/>
            <w:gridSpan w:val="2"/>
            <w:shd w:val="clear" w:color="auto" w:fill="auto"/>
            <w:hideMark/>
          </w:tcPr>
          <w:p w14:paraId="370B2933"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Bulgaria</w:t>
            </w:r>
          </w:p>
        </w:tc>
        <w:tc>
          <w:tcPr>
            <w:tcW w:w="473" w:type="pct"/>
            <w:gridSpan w:val="2"/>
            <w:shd w:val="clear" w:color="auto" w:fill="auto"/>
            <w:hideMark/>
          </w:tcPr>
          <w:p w14:paraId="4238663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passage</w:t>
            </w:r>
          </w:p>
        </w:tc>
        <w:tc>
          <w:tcPr>
            <w:tcW w:w="564" w:type="pct"/>
            <w:gridSpan w:val="2"/>
            <w:shd w:val="clear" w:color="auto" w:fill="auto"/>
            <w:hideMark/>
          </w:tcPr>
          <w:p w14:paraId="08B619E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670" w:type="pct"/>
            <w:shd w:val="clear" w:color="auto" w:fill="auto"/>
            <w:hideMark/>
          </w:tcPr>
          <w:p w14:paraId="4D0CAF8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414" w:type="pct"/>
            <w:shd w:val="clear" w:color="auto" w:fill="auto"/>
            <w:hideMark/>
          </w:tcPr>
          <w:p w14:paraId="7AB68423"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259" w:type="pct"/>
            <w:shd w:val="clear" w:color="auto" w:fill="auto"/>
            <w:hideMark/>
          </w:tcPr>
          <w:p w14:paraId="46F8387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517" w:type="pct"/>
            <w:gridSpan w:val="3"/>
            <w:shd w:val="clear" w:color="auto" w:fill="auto"/>
            <w:hideMark/>
          </w:tcPr>
          <w:p w14:paraId="3B9AE98C"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22" w:type="pct"/>
            <w:shd w:val="clear" w:color="auto" w:fill="auto"/>
            <w:hideMark/>
          </w:tcPr>
          <w:p w14:paraId="40FE822A"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1061" w:type="pct"/>
            <w:shd w:val="clear" w:color="auto" w:fill="auto"/>
            <w:hideMark/>
          </w:tcPr>
          <w:p w14:paraId="7ED46B1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BSPB (</w:t>
            </w:r>
            <w:r w:rsidRPr="00C96521">
              <w:rPr>
                <w:rFonts w:cs="Arial"/>
                <w:i/>
                <w:sz w:val="16"/>
                <w:szCs w:val="16"/>
                <w:lang w:val="en-GB" w:eastAsia="ja-JP"/>
              </w:rPr>
              <w:t>pers comm</w:t>
            </w:r>
            <w:r w:rsidRPr="00C96521">
              <w:rPr>
                <w:rFonts w:cs="Arial"/>
                <w:sz w:val="16"/>
                <w:szCs w:val="16"/>
                <w:lang w:val="en-GB" w:eastAsia="ja-JP"/>
              </w:rPr>
              <w:t>)</w:t>
            </w:r>
          </w:p>
        </w:tc>
      </w:tr>
      <w:tr w:rsidR="00C96521" w:rsidRPr="00C96521" w14:paraId="321A6F9C" w14:textId="77777777" w:rsidTr="00235FA0">
        <w:tc>
          <w:tcPr>
            <w:tcW w:w="420" w:type="pct"/>
            <w:gridSpan w:val="2"/>
            <w:shd w:val="clear" w:color="auto" w:fill="auto"/>
            <w:hideMark/>
          </w:tcPr>
          <w:p w14:paraId="1171DB2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Chad</w:t>
            </w:r>
          </w:p>
        </w:tc>
        <w:tc>
          <w:tcPr>
            <w:tcW w:w="473" w:type="pct"/>
            <w:gridSpan w:val="2"/>
            <w:shd w:val="clear" w:color="auto" w:fill="auto"/>
            <w:hideMark/>
          </w:tcPr>
          <w:p w14:paraId="57F17F45"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non-breeding</w:t>
            </w:r>
          </w:p>
        </w:tc>
        <w:tc>
          <w:tcPr>
            <w:tcW w:w="564" w:type="pct"/>
            <w:gridSpan w:val="2"/>
            <w:shd w:val="clear" w:color="auto" w:fill="auto"/>
            <w:hideMark/>
          </w:tcPr>
          <w:p w14:paraId="66AC6FE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&gt;1,000</w:t>
            </w:r>
          </w:p>
        </w:tc>
        <w:tc>
          <w:tcPr>
            <w:tcW w:w="670" w:type="pct"/>
            <w:shd w:val="clear" w:color="auto" w:fill="auto"/>
            <w:hideMark/>
          </w:tcPr>
          <w:p w14:paraId="004ECC9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414" w:type="pct"/>
            <w:shd w:val="clear" w:color="auto" w:fill="auto"/>
            <w:hideMark/>
          </w:tcPr>
          <w:p w14:paraId="6A0B6923"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2015</w:t>
            </w:r>
          </w:p>
        </w:tc>
        <w:tc>
          <w:tcPr>
            <w:tcW w:w="259" w:type="pct"/>
            <w:shd w:val="clear" w:color="auto" w:fill="auto"/>
            <w:hideMark/>
          </w:tcPr>
          <w:p w14:paraId="52CD4AF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517" w:type="pct"/>
            <w:gridSpan w:val="3"/>
            <w:shd w:val="clear" w:color="auto" w:fill="auto"/>
            <w:hideMark/>
          </w:tcPr>
          <w:p w14:paraId="28C1D97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622" w:type="pct"/>
            <w:shd w:val="clear" w:color="auto" w:fill="auto"/>
            <w:hideMark/>
          </w:tcPr>
          <w:p w14:paraId="2FC1A8F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1061" w:type="pct"/>
            <w:shd w:val="clear" w:color="auto" w:fill="auto"/>
            <w:hideMark/>
          </w:tcPr>
          <w:p w14:paraId="337BDEA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WABDaB (2016)</w:t>
            </w:r>
          </w:p>
        </w:tc>
      </w:tr>
      <w:tr w:rsidR="00C96521" w:rsidRPr="00C96521" w14:paraId="2299BA8B" w14:textId="77777777" w:rsidTr="00235FA0">
        <w:tc>
          <w:tcPr>
            <w:tcW w:w="420" w:type="pct"/>
            <w:gridSpan w:val="2"/>
            <w:shd w:val="clear" w:color="auto" w:fill="auto"/>
            <w:hideMark/>
          </w:tcPr>
          <w:p w14:paraId="3B388891"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Finland</w:t>
            </w:r>
          </w:p>
        </w:tc>
        <w:tc>
          <w:tcPr>
            <w:tcW w:w="473" w:type="pct"/>
            <w:gridSpan w:val="2"/>
            <w:shd w:val="clear" w:color="auto" w:fill="auto"/>
            <w:hideMark/>
          </w:tcPr>
          <w:p w14:paraId="02DBF4CD"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non-breeding</w:t>
            </w:r>
          </w:p>
        </w:tc>
        <w:tc>
          <w:tcPr>
            <w:tcW w:w="564" w:type="pct"/>
            <w:gridSpan w:val="2"/>
            <w:shd w:val="clear" w:color="auto" w:fill="auto"/>
            <w:hideMark/>
          </w:tcPr>
          <w:p w14:paraId="4B4B12F2"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50-100</w:t>
            </w:r>
          </w:p>
        </w:tc>
        <w:tc>
          <w:tcPr>
            <w:tcW w:w="670" w:type="pct"/>
            <w:shd w:val="clear" w:color="auto" w:fill="auto"/>
            <w:hideMark/>
          </w:tcPr>
          <w:p w14:paraId="1A22A9C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414" w:type="pct"/>
            <w:shd w:val="clear" w:color="auto" w:fill="auto"/>
            <w:hideMark/>
          </w:tcPr>
          <w:p w14:paraId="3ED81C4C"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2010-2014</w:t>
            </w:r>
          </w:p>
        </w:tc>
        <w:tc>
          <w:tcPr>
            <w:tcW w:w="259" w:type="pct"/>
            <w:shd w:val="clear" w:color="auto" w:fill="auto"/>
            <w:hideMark/>
          </w:tcPr>
          <w:p w14:paraId="03C263C2"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30-50</w:t>
            </w:r>
          </w:p>
        </w:tc>
        <w:tc>
          <w:tcPr>
            <w:tcW w:w="517" w:type="pct"/>
            <w:gridSpan w:val="3"/>
            <w:shd w:val="clear" w:color="auto" w:fill="auto"/>
            <w:hideMark/>
          </w:tcPr>
          <w:p w14:paraId="5379BC47"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22" w:type="pct"/>
            <w:shd w:val="clear" w:color="auto" w:fill="auto"/>
            <w:hideMark/>
          </w:tcPr>
          <w:p w14:paraId="0038CF7B"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1061" w:type="pct"/>
            <w:shd w:val="clear" w:color="auto" w:fill="auto"/>
            <w:hideMark/>
          </w:tcPr>
          <w:p w14:paraId="1E7C5370"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BirdLife Finland (</w:t>
            </w:r>
            <w:r w:rsidRPr="00C96521">
              <w:rPr>
                <w:rFonts w:cs="Arial"/>
                <w:i/>
                <w:sz w:val="16"/>
                <w:szCs w:val="16"/>
                <w:lang w:val="en-GB" w:eastAsia="ja-JP"/>
              </w:rPr>
              <w:t>unpublished data</w:t>
            </w:r>
            <w:r w:rsidRPr="00C96521">
              <w:rPr>
                <w:rFonts w:cs="Arial"/>
                <w:sz w:val="16"/>
                <w:szCs w:val="16"/>
                <w:lang w:val="en-GB" w:eastAsia="ja-JP"/>
              </w:rPr>
              <w:t>)</w:t>
            </w:r>
          </w:p>
        </w:tc>
      </w:tr>
      <w:tr w:rsidR="00C96521" w:rsidRPr="00C96521" w14:paraId="35D4A17A" w14:textId="77777777" w:rsidTr="00235FA0">
        <w:tc>
          <w:tcPr>
            <w:tcW w:w="420" w:type="pct"/>
            <w:gridSpan w:val="2"/>
            <w:shd w:val="clear" w:color="auto" w:fill="auto"/>
            <w:hideMark/>
          </w:tcPr>
          <w:p w14:paraId="7E9639F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France</w:t>
            </w:r>
          </w:p>
        </w:tc>
        <w:tc>
          <w:tcPr>
            <w:tcW w:w="473" w:type="pct"/>
            <w:gridSpan w:val="2"/>
            <w:shd w:val="clear" w:color="auto" w:fill="auto"/>
            <w:hideMark/>
          </w:tcPr>
          <w:p w14:paraId="643A9FE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564" w:type="pct"/>
            <w:gridSpan w:val="2"/>
            <w:shd w:val="clear" w:color="auto" w:fill="auto"/>
            <w:hideMark/>
          </w:tcPr>
          <w:p w14:paraId="381565C4"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670" w:type="pct"/>
            <w:shd w:val="clear" w:color="auto" w:fill="auto"/>
            <w:hideMark/>
          </w:tcPr>
          <w:p w14:paraId="27EDEBEB"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414" w:type="pct"/>
            <w:shd w:val="clear" w:color="auto" w:fill="auto"/>
            <w:hideMark/>
          </w:tcPr>
          <w:p w14:paraId="6D80566F"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259" w:type="pct"/>
            <w:shd w:val="clear" w:color="auto" w:fill="auto"/>
            <w:hideMark/>
          </w:tcPr>
          <w:p w14:paraId="6F80C5C6"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w:t>
            </w:r>
          </w:p>
        </w:tc>
        <w:tc>
          <w:tcPr>
            <w:tcW w:w="517" w:type="pct"/>
            <w:gridSpan w:val="3"/>
            <w:shd w:val="clear" w:color="auto" w:fill="auto"/>
            <w:hideMark/>
          </w:tcPr>
          <w:p w14:paraId="3A303B09"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decreasing (this refers to birds passing through France during spring and autumn migration)</w:t>
            </w:r>
          </w:p>
        </w:tc>
        <w:tc>
          <w:tcPr>
            <w:tcW w:w="622" w:type="pct"/>
            <w:shd w:val="clear" w:color="auto" w:fill="auto"/>
            <w:hideMark/>
          </w:tcPr>
          <w:p w14:paraId="675596B8"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1061" w:type="pct"/>
            <w:shd w:val="clear" w:color="auto" w:fill="auto"/>
            <w:hideMark/>
          </w:tcPr>
          <w:p w14:paraId="5983F180" w14:textId="77777777"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Hervé Lormée (</w:t>
            </w:r>
            <w:r w:rsidRPr="00C96521">
              <w:rPr>
                <w:rFonts w:cs="Arial"/>
                <w:i/>
                <w:sz w:val="16"/>
                <w:szCs w:val="16"/>
                <w:lang w:val="en-GB" w:eastAsia="ja-JP"/>
              </w:rPr>
              <w:t>pers comm</w:t>
            </w:r>
            <w:r w:rsidRPr="00C96521">
              <w:rPr>
                <w:rFonts w:cs="Arial"/>
                <w:sz w:val="16"/>
                <w:szCs w:val="16"/>
                <w:lang w:val="en-GB" w:eastAsia="ja-JP"/>
              </w:rPr>
              <w:t>)</w:t>
            </w:r>
          </w:p>
        </w:tc>
      </w:tr>
      <w:tr w:rsidR="00235FA0" w:rsidRPr="00C96521" w14:paraId="4A717077" w14:textId="77777777" w:rsidTr="00235FA0">
        <w:tc>
          <w:tcPr>
            <w:tcW w:w="420" w:type="pct"/>
            <w:gridSpan w:val="2"/>
            <w:shd w:val="clear" w:color="auto" w:fill="auto"/>
          </w:tcPr>
          <w:p w14:paraId="16AA7D21" w14:textId="7EB82F78"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The Gambia</w:t>
            </w:r>
          </w:p>
        </w:tc>
        <w:tc>
          <w:tcPr>
            <w:tcW w:w="473" w:type="pct"/>
            <w:gridSpan w:val="2"/>
            <w:shd w:val="clear" w:color="auto" w:fill="auto"/>
          </w:tcPr>
          <w:p w14:paraId="258F25C5" w14:textId="19BF1145"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wintering</w:t>
            </w:r>
          </w:p>
        </w:tc>
        <w:tc>
          <w:tcPr>
            <w:tcW w:w="564" w:type="pct"/>
            <w:gridSpan w:val="2"/>
            <w:shd w:val="clear" w:color="auto" w:fill="auto"/>
          </w:tcPr>
          <w:p w14:paraId="7FA8B4AE" w14:textId="52063D89"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max &gt; 1,000,000 in 1970s</w:t>
            </w:r>
          </w:p>
        </w:tc>
        <w:tc>
          <w:tcPr>
            <w:tcW w:w="670" w:type="pct"/>
            <w:shd w:val="clear" w:color="auto" w:fill="auto"/>
          </w:tcPr>
          <w:p w14:paraId="0628674F" w14:textId="547396D2"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14" w:type="pct"/>
            <w:shd w:val="clear" w:color="auto" w:fill="auto"/>
          </w:tcPr>
          <w:p w14:paraId="570FEAFC" w14:textId="716DDF43"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1970-2016</w:t>
            </w:r>
          </w:p>
        </w:tc>
        <w:tc>
          <w:tcPr>
            <w:tcW w:w="259" w:type="pct"/>
            <w:shd w:val="clear" w:color="auto" w:fill="auto"/>
          </w:tcPr>
          <w:p w14:paraId="18B6A29C" w14:textId="1F1AF98A"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65-75</w:t>
            </w:r>
          </w:p>
        </w:tc>
        <w:tc>
          <w:tcPr>
            <w:tcW w:w="517" w:type="pct"/>
            <w:gridSpan w:val="3"/>
            <w:shd w:val="clear" w:color="auto" w:fill="auto"/>
          </w:tcPr>
          <w:p w14:paraId="31890514" w14:textId="68E3E1B2"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 xml:space="preserve">fluctuating or decreasing </w:t>
            </w:r>
          </w:p>
        </w:tc>
        <w:tc>
          <w:tcPr>
            <w:tcW w:w="622" w:type="pct"/>
            <w:shd w:val="clear" w:color="auto" w:fill="auto"/>
          </w:tcPr>
          <w:p w14:paraId="709491E6" w14:textId="09565D35"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1061" w:type="pct"/>
            <w:shd w:val="clear" w:color="auto" w:fill="auto"/>
          </w:tcPr>
          <w:p w14:paraId="0EAE2942" w14:textId="5142712D" w:rsidR="00235FA0" w:rsidRPr="00C96521" w:rsidRDefault="00235FA0" w:rsidP="00235FA0">
            <w:pPr>
              <w:widowControl/>
              <w:autoSpaceDE/>
              <w:autoSpaceDN/>
              <w:adjustRightInd/>
              <w:rPr>
                <w:rFonts w:cs="Arial"/>
                <w:sz w:val="16"/>
                <w:szCs w:val="16"/>
                <w:lang w:val="en-GB" w:eastAsia="ja-JP"/>
              </w:rPr>
            </w:pPr>
            <w:r w:rsidRPr="00890F11">
              <w:rPr>
                <w:rFonts w:cs="Arial"/>
                <w:sz w:val="16"/>
                <w:szCs w:val="16"/>
                <w:lang w:val="fr-FR" w:eastAsia="ja-JP"/>
              </w:rPr>
              <w:t>Gore (1980), WABSA (</w:t>
            </w:r>
            <w:r w:rsidRPr="00890F11">
              <w:rPr>
                <w:rFonts w:cs="Arial"/>
                <w:i/>
                <w:sz w:val="16"/>
                <w:szCs w:val="16"/>
                <w:lang w:val="fr-FR" w:eastAsia="ja-JP"/>
              </w:rPr>
              <w:t>pers comm</w:t>
            </w:r>
            <w:r w:rsidRPr="00890F11">
              <w:rPr>
                <w:rFonts w:cs="Arial"/>
                <w:sz w:val="16"/>
                <w:szCs w:val="16"/>
                <w:lang w:val="fr-FR" w:eastAsia="ja-JP"/>
              </w:rPr>
              <w:t>), Habitat Africa (</w:t>
            </w:r>
            <w:r w:rsidRPr="00890F11">
              <w:rPr>
                <w:rFonts w:cs="Arial"/>
                <w:i/>
                <w:sz w:val="16"/>
                <w:szCs w:val="16"/>
                <w:lang w:val="fr-FR" w:eastAsia="ja-JP"/>
              </w:rPr>
              <w:t>pers comm</w:t>
            </w:r>
            <w:r w:rsidRPr="00890F11">
              <w:rPr>
                <w:rFonts w:cs="Arial"/>
                <w:sz w:val="16"/>
                <w:szCs w:val="16"/>
                <w:lang w:val="fr-FR" w:eastAsia="ja-JP"/>
              </w:rPr>
              <w:t>), DPWM (</w:t>
            </w:r>
            <w:r w:rsidRPr="00890F11">
              <w:rPr>
                <w:rFonts w:cs="Arial"/>
                <w:i/>
                <w:sz w:val="16"/>
                <w:szCs w:val="16"/>
                <w:lang w:val="fr-FR" w:eastAsia="ja-JP"/>
              </w:rPr>
              <w:t>pers comm</w:t>
            </w:r>
            <w:r w:rsidRPr="00890F11">
              <w:rPr>
                <w:rFonts w:cs="Arial"/>
                <w:sz w:val="16"/>
                <w:szCs w:val="16"/>
                <w:lang w:val="fr-FR" w:eastAsia="ja-JP"/>
              </w:rPr>
              <w:t xml:space="preserve">), Barlow </w:t>
            </w:r>
            <w:r w:rsidRPr="00890F11">
              <w:rPr>
                <w:rFonts w:cs="Arial"/>
                <w:i/>
                <w:iCs/>
                <w:sz w:val="16"/>
                <w:szCs w:val="16"/>
                <w:lang w:val="fr-FR" w:eastAsia="ja-JP"/>
              </w:rPr>
              <w:t>et al (</w:t>
            </w:r>
            <w:r w:rsidRPr="00890F11">
              <w:rPr>
                <w:rFonts w:cs="Arial"/>
                <w:sz w:val="16"/>
                <w:szCs w:val="16"/>
                <w:lang w:val="fr-FR" w:eastAsia="ja-JP"/>
              </w:rPr>
              <w:t>1997)</w:t>
            </w:r>
          </w:p>
        </w:tc>
      </w:tr>
      <w:tr w:rsidR="00235FA0" w:rsidRPr="00C96521" w14:paraId="5BE8D3B1" w14:textId="77777777" w:rsidTr="00235FA0">
        <w:tc>
          <w:tcPr>
            <w:tcW w:w="420" w:type="pct"/>
            <w:gridSpan w:val="2"/>
            <w:shd w:val="clear" w:color="auto" w:fill="auto"/>
            <w:hideMark/>
          </w:tcPr>
          <w:p w14:paraId="3943A754"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Greece</w:t>
            </w:r>
          </w:p>
        </w:tc>
        <w:tc>
          <w:tcPr>
            <w:tcW w:w="473" w:type="pct"/>
            <w:gridSpan w:val="2"/>
            <w:shd w:val="clear" w:color="auto" w:fill="auto"/>
            <w:hideMark/>
          </w:tcPr>
          <w:p w14:paraId="73770B78"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passage</w:t>
            </w:r>
          </w:p>
        </w:tc>
        <w:tc>
          <w:tcPr>
            <w:tcW w:w="564" w:type="pct"/>
            <w:gridSpan w:val="2"/>
            <w:shd w:val="clear" w:color="auto" w:fill="auto"/>
            <w:hideMark/>
          </w:tcPr>
          <w:p w14:paraId="38FFDF26"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120,000-320,000</w:t>
            </w:r>
          </w:p>
        </w:tc>
        <w:tc>
          <w:tcPr>
            <w:tcW w:w="670" w:type="pct"/>
            <w:shd w:val="clear" w:color="auto" w:fill="auto"/>
            <w:hideMark/>
          </w:tcPr>
          <w:p w14:paraId="4B2085A7"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414" w:type="pct"/>
            <w:shd w:val="clear" w:color="auto" w:fill="auto"/>
            <w:hideMark/>
          </w:tcPr>
          <w:p w14:paraId="39B43122"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2010</w:t>
            </w:r>
          </w:p>
        </w:tc>
        <w:tc>
          <w:tcPr>
            <w:tcW w:w="259" w:type="pct"/>
            <w:shd w:val="clear" w:color="auto" w:fill="auto"/>
            <w:hideMark/>
          </w:tcPr>
          <w:p w14:paraId="50CDBA8B"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10-25</w:t>
            </w:r>
          </w:p>
        </w:tc>
        <w:tc>
          <w:tcPr>
            <w:tcW w:w="517" w:type="pct"/>
            <w:gridSpan w:val="3"/>
            <w:shd w:val="clear" w:color="auto" w:fill="auto"/>
            <w:hideMark/>
          </w:tcPr>
          <w:p w14:paraId="7F7A547D"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22" w:type="pct"/>
            <w:shd w:val="clear" w:color="auto" w:fill="auto"/>
            <w:hideMark/>
          </w:tcPr>
          <w:p w14:paraId="13083221"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1061" w:type="pct"/>
            <w:shd w:val="clear" w:color="auto" w:fill="auto"/>
            <w:hideMark/>
          </w:tcPr>
          <w:p w14:paraId="3C77D310"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HOS (</w:t>
            </w:r>
            <w:r w:rsidRPr="00C96521">
              <w:rPr>
                <w:rFonts w:cs="Arial"/>
                <w:i/>
                <w:sz w:val="16"/>
                <w:szCs w:val="16"/>
                <w:lang w:val="en-GB" w:eastAsia="ja-JP"/>
              </w:rPr>
              <w:t>pers comm</w:t>
            </w:r>
            <w:r w:rsidRPr="00C96521">
              <w:rPr>
                <w:rFonts w:cs="Arial"/>
                <w:sz w:val="16"/>
                <w:szCs w:val="16"/>
                <w:lang w:val="en-GB" w:eastAsia="ja-JP"/>
              </w:rPr>
              <w:t>)</w:t>
            </w:r>
          </w:p>
        </w:tc>
      </w:tr>
      <w:tr w:rsidR="00235FA0" w:rsidRPr="00B44B0D" w14:paraId="7E977937" w14:textId="77777777" w:rsidTr="00235FA0">
        <w:tc>
          <w:tcPr>
            <w:tcW w:w="420" w:type="pct"/>
            <w:gridSpan w:val="2"/>
            <w:shd w:val="clear" w:color="auto" w:fill="auto"/>
            <w:hideMark/>
          </w:tcPr>
          <w:p w14:paraId="422C69D8"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Lebanon</w:t>
            </w:r>
          </w:p>
        </w:tc>
        <w:tc>
          <w:tcPr>
            <w:tcW w:w="473" w:type="pct"/>
            <w:gridSpan w:val="2"/>
            <w:shd w:val="clear" w:color="auto" w:fill="auto"/>
            <w:hideMark/>
          </w:tcPr>
          <w:p w14:paraId="3CE55537"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passage</w:t>
            </w:r>
          </w:p>
        </w:tc>
        <w:tc>
          <w:tcPr>
            <w:tcW w:w="564" w:type="pct"/>
            <w:gridSpan w:val="2"/>
            <w:shd w:val="clear" w:color="auto" w:fill="auto"/>
            <w:hideMark/>
          </w:tcPr>
          <w:p w14:paraId="4502FF57"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15,000-18,000</w:t>
            </w:r>
          </w:p>
        </w:tc>
        <w:tc>
          <w:tcPr>
            <w:tcW w:w="670" w:type="pct"/>
            <w:shd w:val="clear" w:color="auto" w:fill="auto"/>
            <w:hideMark/>
          </w:tcPr>
          <w:p w14:paraId="1F0A76B6"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14" w:type="pct"/>
            <w:shd w:val="clear" w:color="auto" w:fill="auto"/>
            <w:hideMark/>
          </w:tcPr>
          <w:p w14:paraId="6F78F03E"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2000-2015</w:t>
            </w:r>
          </w:p>
        </w:tc>
        <w:tc>
          <w:tcPr>
            <w:tcW w:w="259" w:type="pct"/>
            <w:shd w:val="clear" w:color="auto" w:fill="auto"/>
            <w:hideMark/>
          </w:tcPr>
          <w:p w14:paraId="0DA56959"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95</w:t>
            </w:r>
          </w:p>
        </w:tc>
        <w:tc>
          <w:tcPr>
            <w:tcW w:w="517" w:type="pct"/>
            <w:gridSpan w:val="3"/>
            <w:shd w:val="clear" w:color="auto" w:fill="auto"/>
            <w:hideMark/>
          </w:tcPr>
          <w:p w14:paraId="1DC72153"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22" w:type="pct"/>
            <w:shd w:val="clear" w:color="auto" w:fill="auto"/>
            <w:hideMark/>
          </w:tcPr>
          <w:p w14:paraId="7B562425"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1061" w:type="pct"/>
            <w:shd w:val="clear" w:color="auto" w:fill="auto"/>
            <w:hideMark/>
          </w:tcPr>
          <w:p w14:paraId="32B5AC15" w14:textId="77777777" w:rsidR="00235FA0" w:rsidRPr="00235FA0" w:rsidRDefault="00235FA0" w:rsidP="00235FA0">
            <w:pPr>
              <w:widowControl/>
              <w:autoSpaceDE/>
              <w:autoSpaceDN/>
              <w:adjustRightInd/>
              <w:rPr>
                <w:rFonts w:cs="Arial"/>
                <w:sz w:val="16"/>
                <w:szCs w:val="16"/>
                <w:lang w:val="fr-FR" w:eastAsia="ja-JP"/>
              </w:rPr>
            </w:pPr>
            <w:r w:rsidRPr="00235FA0">
              <w:rPr>
                <w:rFonts w:cs="Arial"/>
                <w:sz w:val="16"/>
                <w:szCs w:val="16"/>
                <w:lang w:val="fr-FR" w:eastAsia="ja-JP"/>
              </w:rPr>
              <w:t>Ghassan Ramadan Jaradi (</w:t>
            </w:r>
            <w:r w:rsidRPr="00235FA0">
              <w:rPr>
                <w:rFonts w:cs="Arial"/>
                <w:i/>
                <w:sz w:val="16"/>
                <w:szCs w:val="16"/>
                <w:lang w:val="fr-FR" w:eastAsia="ja-JP"/>
              </w:rPr>
              <w:t>pers comm</w:t>
            </w:r>
            <w:r w:rsidRPr="00235FA0">
              <w:rPr>
                <w:rFonts w:cs="Arial"/>
                <w:sz w:val="16"/>
                <w:szCs w:val="16"/>
                <w:lang w:val="fr-FR" w:eastAsia="ja-JP"/>
              </w:rPr>
              <w:t>)</w:t>
            </w:r>
          </w:p>
        </w:tc>
      </w:tr>
      <w:tr w:rsidR="00235FA0" w:rsidRPr="00C96521" w14:paraId="6EC03CCD" w14:textId="77777777" w:rsidTr="00235FA0">
        <w:tc>
          <w:tcPr>
            <w:tcW w:w="420" w:type="pct"/>
            <w:gridSpan w:val="2"/>
            <w:shd w:val="clear" w:color="auto" w:fill="auto"/>
            <w:hideMark/>
          </w:tcPr>
          <w:p w14:paraId="14124026"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Mali</w:t>
            </w:r>
          </w:p>
        </w:tc>
        <w:tc>
          <w:tcPr>
            <w:tcW w:w="473" w:type="pct"/>
            <w:gridSpan w:val="2"/>
            <w:shd w:val="clear" w:color="auto" w:fill="auto"/>
            <w:hideMark/>
          </w:tcPr>
          <w:p w14:paraId="1B33AD60"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wintering</w:t>
            </w:r>
          </w:p>
        </w:tc>
        <w:tc>
          <w:tcPr>
            <w:tcW w:w="564" w:type="pct"/>
            <w:gridSpan w:val="2"/>
            <w:shd w:val="clear" w:color="auto" w:fill="auto"/>
            <w:hideMark/>
          </w:tcPr>
          <w:p w14:paraId="288EFEDD"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100,000-150,000</w:t>
            </w:r>
          </w:p>
        </w:tc>
        <w:tc>
          <w:tcPr>
            <w:tcW w:w="670" w:type="pct"/>
            <w:shd w:val="clear" w:color="auto" w:fill="auto"/>
            <w:hideMark/>
          </w:tcPr>
          <w:p w14:paraId="10D4269A"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Good (Observed)</w:t>
            </w:r>
          </w:p>
        </w:tc>
        <w:tc>
          <w:tcPr>
            <w:tcW w:w="414" w:type="pct"/>
            <w:shd w:val="clear" w:color="auto" w:fill="auto"/>
            <w:hideMark/>
          </w:tcPr>
          <w:p w14:paraId="35D98BE8"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2008</w:t>
            </w:r>
          </w:p>
        </w:tc>
        <w:tc>
          <w:tcPr>
            <w:tcW w:w="259" w:type="pct"/>
            <w:shd w:val="clear" w:color="auto" w:fill="auto"/>
            <w:hideMark/>
          </w:tcPr>
          <w:p w14:paraId="75D91254"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w:t>
            </w:r>
          </w:p>
        </w:tc>
        <w:tc>
          <w:tcPr>
            <w:tcW w:w="517" w:type="pct"/>
            <w:gridSpan w:val="3"/>
            <w:shd w:val="clear" w:color="auto" w:fill="auto"/>
            <w:hideMark/>
          </w:tcPr>
          <w:p w14:paraId="23A1128F"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increasing</w:t>
            </w:r>
          </w:p>
        </w:tc>
        <w:tc>
          <w:tcPr>
            <w:tcW w:w="622" w:type="pct"/>
            <w:shd w:val="clear" w:color="auto" w:fill="auto"/>
            <w:hideMark/>
          </w:tcPr>
          <w:p w14:paraId="7551BD1B"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Good (Observed)</w:t>
            </w:r>
          </w:p>
        </w:tc>
        <w:tc>
          <w:tcPr>
            <w:tcW w:w="1061" w:type="pct"/>
            <w:shd w:val="clear" w:color="auto" w:fill="auto"/>
            <w:hideMark/>
          </w:tcPr>
          <w:p w14:paraId="5BD0A7BF"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Bouba Fofana (</w:t>
            </w:r>
            <w:r w:rsidRPr="00C96521">
              <w:rPr>
                <w:rFonts w:cs="Arial"/>
                <w:i/>
                <w:sz w:val="16"/>
                <w:szCs w:val="16"/>
                <w:lang w:val="en-GB" w:eastAsia="ja-JP"/>
              </w:rPr>
              <w:t>unpublished</w:t>
            </w:r>
            <w:r w:rsidRPr="00C96521">
              <w:rPr>
                <w:rFonts w:cs="Arial"/>
                <w:sz w:val="16"/>
                <w:szCs w:val="16"/>
                <w:lang w:val="en-GB" w:eastAsia="ja-JP"/>
              </w:rPr>
              <w:t>)</w:t>
            </w:r>
          </w:p>
        </w:tc>
      </w:tr>
      <w:tr w:rsidR="00235FA0" w:rsidRPr="00C96521" w14:paraId="1AB0AAAA" w14:textId="77777777" w:rsidTr="00235FA0">
        <w:trPr>
          <w:trHeight w:val="144"/>
        </w:trPr>
        <w:tc>
          <w:tcPr>
            <w:tcW w:w="416" w:type="pct"/>
            <w:shd w:val="clear" w:color="auto" w:fill="auto"/>
          </w:tcPr>
          <w:p w14:paraId="0D71545F" w14:textId="6B33091C"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Malta</w:t>
            </w:r>
          </w:p>
        </w:tc>
        <w:tc>
          <w:tcPr>
            <w:tcW w:w="469" w:type="pct"/>
            <w:gridSpan w:val="2"/>
            <w:shd w:val="clear" w:color="auto" w:fill="auto"/>
          </w:tcPr>
          <w:p w14:paraId="4FBE6D8B" w14:textId="0A9AB0F0"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passage</w:t>
            </w:r>
          </w:p>
        </w:tc>
        <w:tc>
          <w:tcPr>
            <w:tcW w:w="568" w:type="pct"/>
            <w:gridSpan w:val="2"/>
            <w:shd w:val="clear" w:color="auto" w:fill="auto"/>
          </w:tcPr>
          <w:p w14:paraId="577D4DB4" w14:textId="6B829916"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18,054-57,161</w:t>
            </w:r>
          </w:p>
        </w:tc>
        <w:tc>
          <w:tcPr>
            <w:tcW w:w="674" w:type="pct"/>
            <w:gridSpan w:val="2"/>
            <w:shd w:val="clear" w:color="auto" w:fill="auto"/>
          </w:tcPr>
          <w:p w14:paraId="7D1AD4EB" w14:textId="0C37E026"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Good (Estimate)</w:t>
            </w:r>
          </w:p>
        </w:tc>
        <w:tc>
          <w:tcPr>
            <w:tcW w:w="414" w:type="pct"/>
            <w:shd w:val="clear" w:color="auto" w:fill="auto"/>
          </w:tcPr>
          <w:p w14:paraId="0967361B" w14:textId="569ECEB8"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2011-2016</w:t>
            </w:r>
          </w:p>
        </w:tc>
        <w:tc>
          <w:tcPr>
            <w:tcW w:w="259" w:type="pct"/>
            <w:shd w:val="clear" w:color="auto" w:fill="auto"/>
          </w:tcPr>
          <w:p w14:paraId="579371AA" w14:textId="256D5C89"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6.5</w:t>
            </w:r>
          </w:p>
        </w:tc>
        <w:tc>
          <w:tcPr>
            <w:tcW w:w="469" w:type="pct"/>
            <w:gridSpan w:val="2"/>
            <w:shd w:val="clear" w:color="auto" w:fill="auto"/>
          </w:tcPr>
          <w:p w14:paraId="4E7C6804" w14:textId="6F83B8A0"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70" w:type="pct"/>
            <w:gridSpan w:val="2"/>
            <w:shd w:val="clear" w:color="auto" w:fill="auto"/>
          </w:tcPr>
          <w:p w14:paraId="15AF3274" w14:textId="2B4ECF8E"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Good (Estimated)</w:t>
            </w:r>
          </w:p>
        </w:tc>
        <w:tc>
          <w:tcPr>
            <w:tcW w:w="1061" w:type="pct"/>
            <w:shd w:val="clear" w:color="auto" w:fill="auto"/>
          </w:tcPr>
          <w:p w14:paraId="7D2F4D2D" w14:textId="097D5720"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Wild Birds Regulation Unit (</w:t>
            </w:r>
            <w:r w:rsidRPr="00C96521">
              <w:rPr>
                <w:rFonts w:cs="Arial"/>
                <w:i/>
                <w:sz w:val="16"/>
                <w:szCs w:val="16"/>
                <w:lang w:val="en-GB" w:eastAsia="ja-JP"/>
              </w:rPr>
              <w:t>pers comm</w:t>
            </w:r>
            <w:r w:rsidRPr="00C96521">
              <w:rPr>
                <w:rFonts w:cs="Arial"/>
                <w:sz w:val="16"/>
                <w:szCs w:val="16"/>
                <w:lang w:val="en-GB" w:eastAsia="ja-JP"/>
              </w:rPr>
              <w:t>)</w:t>
            </w:r>
          </w:p>
        </w:tc>
      </w:tr>
      <w:tr w:rsidR="00235FA0" w:rsidRPr="00C96521" w14:paraId="0EC90A3D" w14:textId="77777777" w:rsidTr="00235FA0">
        <w:trPr>
          <w:trHeight w:val="144"/>
        </w:trPr>
        <w:tc>
          <w:tcPr>
            <w:tcW w:w="416" w:type="pct"/>
            <w:shd w:val="clear" w:color="auto" w:fill="auto"/>
            <w:hideMark/>
          </w:tcPr>
          <w:p w14:paraId="5FE96C52"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Mauritania</w:t>
            </w:r>
          </w:p>
        </w:tc>
        <w:tc>
          <w:tcPr>
            <w:tcW w:w="469" w:type="pct"/>
            <w:gridSpan w:val="2"/>
            <w:shd w:val="clear" w:color="auto" w:fill="auto"/>
            <w:hideMark/>
          </w:tcPr>
          <w:p w14:paraId="18ED7CB4"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wintering</w:t>
            </w:r>
          </w:p>
        </w:tc>
        <w:tc>
          <w:tcPr>
            <w:tcW w:w="568" w:type="pct"/>
            <w:gridSpan w:val="2"/>
            <w:shd w:val="clear" w:color="auto" w:fill="auto"/>
            <w:hideMark/>
          </w:tcPr>
          <w:p w14:paraId="69D5C2FB"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500-2,500</w:t>
            </w:r>
          </w:p>
        </w:tc>
        <w:tc>
          <w:tcPr>
            <w:tcW w:w="674" w:type="pct"/>
            <w:gridSpan w:val="2"/>
            <w:shd w:val="clear" w:color="auto" w:fill="auto"/>
            <w:hideMark/>
          </w:tcPr>
          <w:p w14:paraId="48A5FCDC"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414" w:type="pct"/>
            <w:shd w:val="clear" w:color="auto" w:fill="auto"/>
            <w:hideMark/>
          </w:tcPr>
          <w:p w14:paraId="22E2706C"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2015</w:t>
            </w:r>
          </w:p>
        </w:tc>
        <w:tc>
          <w:tcPr>
            <w:tcW w:w="259" w:type="pct"/>
            <w:shd w:val="clear" w:color="auto" w:fill="auto"/>
            <w:hideMark/>
          </w:tcPr>
          <w:p w14:paraId="63FF934F"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w:t>
            </w:r>
          </w:p>
        </w:tc>
        <w:tc>
          <w:tcPr>
            <w:tcW w:w="469" w:type="pct"/>
            <w:gridSpan w:val="2"/>
            <w:shd w:val="clear" w:color="auto" w:fill="auto"/>
            <w:hideMark/>
          </w:tcPr>
          <w:p w14:paraId="5EC320C1"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70" w:type="pct"/>
            <w:gridSpan w:val="2"/>
            <w:shd w:val="clear" w:color="auto" w:fill="auto"/>
            <w:hideMark/>
          </w:tcPr>
          <w:p w14:paraId="7ECC6AE5"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1061" w:type="pct"/>
            <w:shd w:val="clear" w:color="auto" w:fill="auto"/>
            <w:hideMark/>
          </w:tcPr>
          <w:p w14:paraId="032DCAC8"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Djibril Diallo (</w:t>
            </w:r>
            <w:r w:rsidRPr="00C96521">
              <w:rPr>
                <w:rFonts w:cs="Arial"/>
                <w:i/>
                <w:sz w:val="16"/>
                <w:szCs w:val="16"/>
                <w:lang w:val="en-GB" w:eastAsia="ja-JP"/>
              </w:rPr>
              <w:t>pers comm</w:t>
            </w:r>
            <w:r w:rsidRPr="00C96521">
              <w:rPr>
                <w:rFonts w:cs="Arial"/>
                <w:sz w:val="16"/>
                <w:szCs w:val="16"/>
                <w:lang w:val="en-GB" w:eastAsia="ja-JP"/>
              </w:rPr>
              <w:t>)</w:t>
            </w:r>
          </w:p>
        </w:tc>
      </w:tr>
      <w:tr w:rsidR="00235FA0" w:rsidRPr="00C96521" w14:paraId="2D320AA6" w14:textId="77777777" w:rsidTr="00235FA0">
        <w:trPr>
          <w:trHeight w:val="144"/>
        </w:trPr>
        <w:tc>
          <w:tcPr>
            <w:tcW w:w="416" w:type="pct"/>
            <w:shd w:val="clear" w:color="auto" w:fill="auto"/>
            <w:hideMark/>
          </w:tcPr>
          <w:p w14:paraId="519A86C0"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Niger</w:t>
            </w:r>
          </w:p>
        </w:tc>
        <w:tc>
          <w:tcPr>
            <w:tcW w:w="469" w:type="pct"/>
            <w:gridSpan w:val="2"/>
            <w:shd w:val="clear" w:color="auto" w:fill="auto"/>
            <w:hideMark/>
          </w:tcPr>
          <w:p w14:paraId="30305442"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wintering</w:t>
            </w:r>
          </w:p>
        </w:tc>
        <w:tc>
          <w:tcPr>
            <w:tcW w:w="568" w:type="pct"/>
            <w:gridSpan w:val="2"/>
            <w:shd w:val="clear" w:color="auto" w:fill="auto"/>
            <w:hideMark/>
          </w:tcPr>
          <w:p w14:paraId="491D4004"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&gt;500</w:t>
            </w:r>
          </w:p>
        </w:tc>
        <w:tc>
          <w:tcPr>
            <w:tcW w:w="674" w:type="pct"/>
            <w:gridSpan w:val="2"/>
            <w:shd w:val="clear" w:color="auto" w:fill="auto"/>
            <w:hideMark/>
          </w:tcPr>
          <w:p w14:paraId="022DC3B5"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414" w:type="pct"/>
            <w:shd w:val="clear" w:color="auto" w:fill="auto"/>
            <w:hideMark/>
          </w:tcPr>
          <w:p w14:paraId="30B99999"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2006</w:t>
            </w:r>
          </w:p>
        </w:tc>
        <w:tc>
          <w:tcPr>
            <w:tcW w:w="259" w:type="pct"/>
            <w:shd w:val="clear" w:color="auto" w:fill="auto"/>
            <w:hideMark/>
          </w:tcPr>
          <w:p w14:paraId="5B4647D1"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w:t>
            </w:r>
          </w:p>
        </w:tc>
        <w:tc>
          <w:tcPr>
            <w:tcW w:w="469" w:type="pct"/>
            <w:gridSpan w:val="2"/>
            <w:shd w:val="clear" w:color="auto" w:fill="auto"/>
            <w:hideMark/>
          </w:tcPr>
          <w:p w14:paraId="323E077A"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w:t>
            </w:r>
          </w:p>
        </w:tc>
        <w:tc>
          <w:tcPr>
            <w:tcW w:w="670" w:type="pct"/>
            <w:gridSpan w:val="2"/>
            <w:shd w:val="clear" w:color="auto" w:fill="auto"/>
            <w:hideMark/>
          </w:tcPr>
          <w:p w14:paraId="10B1920A"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w:t>
            </w:r>
          </w:p>
        </w:tc>
        <w:tc>
          <w:tcPr>
            <w:tcW w:w="1061" w:type="pct"/>
            <w:shd w:val="clear" w:color="auto" w:fill="auto"/>
            <w:hideMark/>
          </w:tcPr>
          <w:p w14:paraId="073C3E63"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WABDaB (2016)</w:t>
            </w:r>
          </w:p>
        </w:tc>
      </w:tr>
      <w:tr w:rsidR="00235FA0" w:rsidRPr="00C96521" w14:paraId="5BAD8F4A" w14:textId="77777777" w:rsidTr="00235FA0">
        <w:tc>
          <w:tcPr>
            <w:tcW w:w="416" w:type="pct"/>
            <w:shd w:val="clear" w:color="auto" w:fill="auto"/>
            <w:hideMark/>
          </w:tcPr>
          <w:p w14:paraId="73CF3BFF"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Nigeria</w:t>
            </w:r>
          </w:p>
        </w:tc>
        <w:tc>
          <w:tcPr>
            <w:tcW w:w="469" w:type="pct"/>
            <w:gridSpan w:val="2"/>
            <w:shd w:val="clear" w:color="auto" w:fill="auto"/>
            <w:hideMark/>
          </w:tcPr>
          <w:p w14:paraId="703DA097"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wintering</w:t>
            </w:r>
          </w:p>
        </w:tc>
        <w:tc>
          <w:tcPr>
            <w:tcW w:w="568" w:type="pct"/>
            <w:gridSpan w:val="2"/>
            <w:shd w:val="clear" w:color="auto" w:fill="auto"/>
            <w:hideMark/>
          </w:tcPr>
          <w:p w14:paraId="0746C3E9"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tens of thousands (see note)</w:t>
            </w:r>
          </w:p>
        </w:tc>
        <w:tc>
          <w:tcPr>
            <w:tcW w:w="674" w:type="pct"/>
            <w:gridSpan w:val="2"/>
            <w:shd w:val="clear" w:color="auto" w:fill="auto"/>
            <w:hideMark/>
          </w:tcPr>
          <w:p w14:paraId="40D66948"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414" w:type="pct"/>
            <w:shd w:val="clear" w:color="auto" w:fill="auto"/>
            <w:hideMark/>
          </w:tcPr>
          <w:p w14:paraId="7C91CC5D"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1980s</w:t>
            </w:r>
          </w:p>
        </w:tc>
        <w:tc>
          <w:tcPr>
            <w:tcW w:w="259" w:type="pct"/>
            <w:shd w:val="clear" w:color="auto" w:fill="auto"/>
            <w:hideMark/>
          </w:tcPr>
          <w:p w14:paraId="005A0A7E"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w:t>
            </w:r>
          </w:p>
        </w:tc>
        <w:tc>
          <w:tcPr>
            <w:tcW w:w="469" w:type="pct"/>
            <w:gridSpan w:val="2"/>
            <w:shd w:val="clear" w:color="auto" w:fill="auto"/>
            <w:hideMark/>
          </w:tcPr>
          <w:p w14:paraId="19513D3F"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unknown</w:t>
            </w:r>
          </w:p>
        </w:tc>
        <w:tc>
          <w:tcPr>
            <w:tcW w:w="670" w:type="pct"/>
            <w:gridSpan w:val="2"/>
            <w:shd w:val="clear" w:color="auto" w:fill="auto"/>
            <w:hideMark/>
          </w:tcPr>
          <w:p w14:paraId="5CA75993"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Poor (Suspected)</w:t>
            </w:r>
          </w:p>
        </w:tc>
        <w:tc>
          <w:tcPr>
            <w:tcW w:w="1061" w:type="pct"/>
            <w:shd w:val="clear" w:color="auto" w:fill="auto"/>
            <w:hideMark/>
          </w:tcPr>
          <w:p w14:paraId="1B2453BF"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Phillip Hall (</w:t>
            </w:r>
            <w:r w:rsidRPr="00C96521">
              <w:rPr>
                <w:rFonts w:cs="Arial"/>
                <w:i/>
                <w:sz w:val="16"/>
                <w:szCs w:val="16"/>
                <w:lang w:val="en-GB" w:eastAsia="ja-JP"/>
              </w:rPr>
              <w:t>pers comm</w:t>
            </w:r>
            <w:r w:rsidRPr="00C96521">
              <w:rPr>
                <w:rFonts w:cs="Arial"/>
                <w:sz w:val="16"/>
                <w:szCs w:val="16"/>
                <w:lang w:val="en-GB" w:eastAsia="ja-JP"/>
              </w:rPr>
              <w:t>)</w:t>
            </w:r>
          </w:p>
        </w:tc>
      </w:tr>
      <w:tr w:rsidR="00235FA0" w:rsidRPr="00C96521" w14:paraId="349F3755" w14:textId="77777777" w:rsidTr="00235FA0">
        <w:tc>
          <w:tcPr>
            <w:tcW w:w="420" w:type="pct"/>
            <w:gridSpan w:val="2"/>
            <w:shd w:val="clear" w:color="auto" w:fill="auto"/>
            <w:hideMark/>
          </w:tcPr>
          <w:p w14:paraId="2C5EFFF9"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Senegal</w:t>
            </w:r>
          </w:p>
        </w:tc>
        <w:tc>
          <w:tcPr>
            <w:tcW w:w="473" w:type="pct"/>
            <w:gridSpan w:val="2"/>
            <w:shd w:val="clear" w:color="auto" w:fill="auto"/>
            <w:hideMark/>
          </w:tcPr>
          <w:p w14:paraId="538EB11F"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wintering</w:t>
            </w:r>
          </w:p>
        </w:tc>
        <w:tc>
          <w:tcPr>
            <w:tcW w:w="564" w:type="pct"/>
            <w:gridSpan w:val="2"/>
            <w:shd w:val="clear" w:color="auto" w:fill="auto"/>
            <w:hideMark/>
          </w:tcPr>
          <w:p w14:paraId="242DDEE9"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7,500-50,000</w:t>
            </w:r>
          </w:p>
        </w:tc>
        <w:tc>
          <w:tcPr>
            <w:tcW w:w="670" w:type="pct"/>
            <w:shd w:val="clear" w:color="auto" w:fill="auto"/>
            <w:hideMark/>
          </w:tcPr>
          <w:p w14:paraId="0ECD52A9"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414" w:type="pct"/>
            <w:shd w:val="clear" w:color="auto" w:fill="auto"/>
            <w:hideMark/>
          </w:tcPr>
          <w:p w14:paraId="75E8D1D7"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2015-2016</w:t>
            </w:r>
          </w:p>
        </w:tc>
        <w:tc>
          <w:tcPr>
            <w:tcW w:w="259" w:type="pct"/>
            <w:shd w:val="clear" w:color="auto" w:fill="auto"/>
            <w:hideMark/>
          </w:tcPr>
          <w:p w14:paraId="7FC72B00"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w:t>
            </w:r>
          </w:p>
        </w:tc>
        <w:tc>
          <w:tcPr>
            <w:tcW w:w="466" w:type="pct"/>
            <w:shd w:val="clear" w:color="auto" w:fill="auto"/>
            <w:hideMark/>
          </w:tcPr>
          <w:p w14:paraId="16C98F9F"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fluctuating</w:t>
            </w:r>
          </w:p>
        </w:tc>
        <w:tc>
          <w:tcPr>
            <w:tcW w:w="673" w:type="pct"/>
            <w:gridSpan w:val="3"/>
            <w:shd w:val="clear" w:color="auto" w:fill="auto"/>
            <w:hideMark/>
          </w:tcPr>
          <w:p w14:paraId="4D977A89"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1061" w:type="pct"/>
            <w:shd w:val="clear" w:color="auto" w:fill="auto"/>
            <w:hideMark/>
          </w:tcPr>
          <w:p w14:paraId="4744C751"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Malang Sarr (</w:t>
            </w:r>
            <w:r w:rsidRPr="00C96521">
              <w:rPr>
                <w:rFonts w:cs="Arial"/>
                <w:i/>
                <w:sz w:val="16"/>
                <w:szCs w:val="16"/>
                <w:lang w:val="en-GB" w:eastAsia="ja-JP"/>
              </w:rPr>
              <w:t>pers comm</w:t>
            </w:r>
            <w:r w:rsidRPr="00C96521">
              <w:rPr>
                <w:rFonts w:cs="Arial"/>
                <w:sz w:val="16"/>
                <w:szCs w:val="16"/>
                <w:lang w:val="en-GB" w:eastAsia="ja-JP"/>
              </w:rPr>
              <w:t>)</w:t>
            </w:r>
          </w:p>
        </w:tc>
      </w:tr>
      <w:tr w:rsidR="00235FA0" w:rsidRPr="00C96521" w14:paraId="0C9BE758" w14:textId="77777777" w:rsidTr="00235FA0">
        <w:tc>
          <w:tcPr>
            <w:tcW w:w="420" w:type="pct"/>
            <w:gridSpan w:val="2"/>
            <w:shd w:val="clear" w:color="auto" w:fill="auto"/>
            <w:hideMark/>
          </w:tcPr>
          <w:p w14:paraId="5B1A879A"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Serbia</w:t>
            </w:r>
          </w:p>
        </w:tc>
        <w:tc>
          <w:tcPr>
            <w:tcW w:w="473" w:type="pct"/>
            <w:gridSpan w:val="2"/>
            <w:shd w:val="clear" w:color="auto" w:fill="auto"/>
            <w:hideMark/>
          </w:tcPr>
          <w:p w14:paraId="23D102FA"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passage</w:t>
            </w:r>
          </w:p>
        </w:tc>
        <w:tc>
          <w:tcPr>
            <w:tcW w:w="564" w:type="pct"/>
            <w:gridSpan w:val="2"/>
            <w:shd w:val="clear" w:color="auto" w:fill="auto"/>
            <w:hideMark/>
          </w:tcPr>
          <w:p w14:paraId="246BF71B"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w:t>
            </w:r>
          </w:p>
        </w:tc>
        <w:tc>
          <w:tcPr>
            <w:tcW w:w="670" w:type="pct"/>
            <w:shd w:val="clear" w:color="auto" w:fill="auto"/>
            <w:hideMark/>
          </w:tcPr>
          <w:p w14:paraId="5CF388D2"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w:t>
            </w:r>
          </w:p>
        </w:tc>
        <w:tc>
          <w:tcPr>
            <w:tcW w:w="414" w:type="pct"/>
            <w:shd w:val="clear" w:color="auto" w:fill="auto"/>
            <w:hideMark/>
          </w:tcPr>
          <w:p w14:paraId="05D4BB1B"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2008-2013</w:t>
            </w:r>
          </w:p>
        </w:tc>
        <w:tc>
          <w:tcPr>
            <w:tcW w:w="259" w:type="pct"/>
            <w:shd w:val="clear" w:color="auto" w:fill="auto"/>
            <w:hideMark/>
          </w:tcPr>
          <w:p w14:paraId="4D1AB3FA"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w:t>
            </w:r>
          </w:p>
        </w:tc>
        <w:tc>
          <w:tcPr>
            <w:tcW w:w="466" w:type="pct"/>
            <w:shd w:val="clear" w:color="auto" w:fill="auto"/>
            <w:hideMark/>
          </w:tcPr>
          <w:p w14:paraId="14776E5E"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73" w:type="pct"/>
            <w:gridSpan w:val="3"/>
            <w:shd w:val="clear" w:color="auto" w:fill="auto"/>
            <w:hideMark/>
          </w:tcPr>
          <w:p w14:paraId="44D1B8E1"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Medium (Estimated)</w:t>
            </w:r>
          </w:p>
        </w:tc>
        <w:tc>
          <w:tcPr>
            <w:tcW w:w="1061" w:type="pct"/>
            <w:shd w:val="clear" w:color="auto" w:fill="auto"/>
            <w:hideMark/>
          </w:tcPr>
          <w:p w14:paraId="3CAE7A70"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 xml:space="preserve">Puzović </w:t>
            </w:r>
            <w:r w:rsidRPr="00C96521">
              <w:rPr>
                <w:rFonts w:cs="Arial"/>
                <w:i/>
                <w:iCs/>
                <w:sz w:val="16"/>
                <w:szCs w:val="16"/>
                <w:lang w:val="en-GB" w:eastAsia="ja-JP"/>
              </w:rPr>
              <w:t>et al</w:t>
            </w:r>
            <w:r w:rsidRPr="00C96521">
              <w:rPr>
                <w:rFonts w:cs="Arial"/>
                <w:sz w:val="16"/>
                <w:szCs w:val="16"/>
                <w:lang w:val="en-GB" w:eastAsia="ja-JP"/>
              </w:rPr>
              <w:t xml:space="preserve"> (2003)</w:t>
            </w:r>
          </w:p>
        </w:tc>
      </w:tr>
      <w:tr w:rsidR="00235FA0" w:rsidRPr="00C96521" w14:paraId="4F918A20" w14:textId="77777777" w:rsidTr="00235FA0">
        <w:tc>
          <w:tcPr>
            <w:tcW w:w="420" w:type="pct"/>
            <w:gridSpan w:val="2"/>
            <w:shd w:val="clear" w:color="auto" w:fill="auto"/>
            <w:hideMark/>
          </w:tcPr>
          <w:p w14:paraId="5406C77A" w14:textId="5B126653"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Syria</w:t>
            </w:r>
            <w:r>
              <w:rPr>
                <w:rFonts w:cs="Arial"/>
                <w:sz w:val="16"/>
                <w:szCs w:val="16"/>
                <w:lang w:val="en-GB" w:eastAsia="ja-JP"/>
              </w:rPr>
              <w:t>n Arab Republic</w:t>
            </w:r>
          </w:p>
        </w:tc>
        <w:tc>
          <w:tcPr>
            <w:tcW w:w="473" w:type="pct"/>
            <w:gridSpan w:val="2"/>
            <w:shd w:val="clear" w:color="auto" w:fill="auto"/>
            <w:hideMark/>
          </w:tcPr>
          <w:p w14:paraId="231F691E"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passage</w:t>
            </w:r>
          </w:p>
        </w:tc>
        <w:tc>
          <w:tcPr>
            <w:tcW w:w="564" w:type="pct"/>
            <w:gridSpan w:val="2"/>
            <w:shd w:val="clear" w:color="auto" w:fill="auto"/>
            <w:hideMark/>
          </w:tcPr>
          <w:p w14:paraId="0710568E"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100,000-250,000</w:t>
            </w:r>
          </w:p>
        </w:tc>
        <w:tc>
          <w:tcPr>
            <w:tcW w:w="670" w:type="pct"/>
            <w:shd w:val="clear" w:color="auto" w:fill="auto"/>
            <w:hideMark/>
          </w:tcPr>
          <w:p w14:paraId="18D530F9"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414" w:type="pct"/>
            <w:shd w:val="clear" w:color="auto" w:fill="auto"/>
            <w:hideMark/>
          </w:tcPr>
          <w:p w14:paraId="45C47A74"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2010</w:t>
            </w:r>
          </w:p>
        </w:tc>
        <w:tc>
          <w:tcPr>
            <w:tcW w:w="259" w:type="pct"/>
            <w:shd w:val="clear" w:color="auto" w:fill="auto"/>
            <w:hideMark/>
          </w:tcPr>
          <w:p w14:paraId="1D9A7E3F"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60-90</w:t>
            </w:r>
          </w:p>
        </w:tc>
        <w:tc>
          <w:tcPr>
            <w:tcW w:w="466" w:type="pct"/>
            <w:shd w:val="clear" w:color="auto" w:fill="auto"/>
            <w:hideMark/>
          </w:tcPr>
          <w:p w14:paraId="4AEA0303"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fluctuating</w:t>
            </w:r>
          </w:p>
        </w:tc>
        <w:tc>
          <w:tcPr>
            <w:tcW w:w="673" w:type="pct"/>
            <w:gridSpan w:val="3"/>
            <w:shd w:val="clear" w:color="auto" w:fill="auto"/>
            <w:hideMark/>
          </w:tcPr>
          <w:p w14:paraId="0E8278EA"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1061" w:type="pct"/>
            <w:shd w:val="clear" w:color="auto" w:fill="auto"/>
            <w:hideMark/>
          </w:tcPr>
          <w:p w14:paraId="3E654EEC"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Nabegh Ghazal Asswad (</w:t>
            </w:r>
            <w:r w:rsidRPr="00C96521">
              <w:rPr>
                <w:rFonts w:cs="Arial"/>
                <w:i/>
                <w:sz w:val="16"/>
                <w:szCs w:val="16"/>
                <w:lang w:val="en-GB" w:eastAsia="ja-JP"/>
              </w:rPr>
              <w:t>pers comm</w:t>
            </w:r>
            <w:r w:rsidRPr="00C96521">
              <w:rPr>
                <w:rFonts w:cs="Arial"/>
                <w:sz w:val="16"/>
                <w:szCs w:val="16"/>
                <w:lang w:val="en-GB" w:eastAsia="ja-JP"/>
              </w:rPr>
              <w:t>)</w:t>
            </w:r>
          </w:p>
        </w:tc>
      </w:tr>
      <w:tr w:rsidR="00235FA0" w:rsidRPr="00C96521" w14:paraId="3B3CB76F" w14:textId="77777777" w:rsidTr="00235FA0">
        <w:tc>
          <w:tcPr>
            <w:tcW w:w="420" w:type="pct"/>
            <w:gridSpan w:val="2"/>
            <w:shd w:val="clear" w:color="auto" w:fill="auto"/>
            <w:hideMark/>
          </w:tcPr>
          <w:p w14:paraId="1D6CD807"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Ukraine</w:t>
            </w:r>
          </w:p>
        </w:tc>
        <w:tc>
          <w:tcPr>
            <w:tcW w:w="473" w:type="pct"/>
            <w:gridSpan w:val="2"/>
            <w:shd w:val="clear" w:color="auto" w:fill="auto"/>
            <w:hideMark/>
          </w:tcPr>
          <w:p w14:paraId="73A83552"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passage</w:t>
            </w:r>
          </w:p>
        </w:tc>
        <w:tc>
          <w:tcPr>
            <w:tcW w:w="564" w:type="pct"/>
            <w:gridSpan w:val="2"/>
            <w:shd w:val="clear" w:color="auto" w:fill="auto"/>
            <w:hideMark/>
          </w:tcPr>
          <w:p w14:paraId="17126E26"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300,000-500,000</w:t>
            </w:r>
          </w:p>
        </w:tc>
        <w:tc>
          <w:tcPr>
            <w:tcW w:w="670" w:type="pct"/>
            <w:shd w:val="clear" w:color="auto" w:fill="auto"/>
            <w:hideMark/>
          </w:tcPr>
          <w:p w14:paraId="391855E3"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414" w:type="pct"/>
            <w:shd w:val="clear" w:color="auto" w:fill="auto"/>
            <w:hideMark/>
          </w:tcPr>
          <w:p w14:paraId="75A3B423"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2000-2010</w:t>
            </w:r>
          </w:p>
        </w:tc>
        <w:tc>
          <w:tcPr>
            <w:tcW w:w="259" w:type="pct"/>
            <w:shd w:val="clear" w:color="auto" w:fill="auto"/>
            <w:hideMark/>
          </w:tcPr>
          <w:p w14:paraId="24429848"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25-30</w:t>
            </w:r>
          </w:p>
        </w:tc>
        <w:tc>
          <w:tcPr>
            <w:tcW w:w="466" w:type="pct"/>
            <w:shd w:val="clear" w:color="auto" w:fill="auto"/>
            <w:hideMark/>
          </w:tcPr>
          <w:p w14:paraId="29D8B57C"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decreasing</w:t>
            </w:r>
          </w:p>
        </w:tc>
        <w:tc>
          <w:tcPr>
            <w:tcW w:w="673" w:type="pct"/>
            <w:gridSpan w:val="3"/>
            <w:shd w:val="clear" w:color="auto" w:fill="auto"/>
            <w:hideMark/>
          </w:tcPr>
          <w:p w14:paraId="79B719C7"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Medium (Inferred)</w:t>
            </w:r>
          </w:p>
        </w:tc>
        <w:tc>
          <w:tcPr>
            <w:tcW w:w="1061" w:type="pct"/>
            <w:shd w:val="clear" w:color="auto" w:fill="auto"/>
            <w:hideMark/>
          </w:tcPr>
          <w:p w14:paraId="0064EF4B" w14:textId="77777777" w:rsidR="00235FA0" w:rsidRPr="00C96521" w:rsidRDefault="00235FA0" w:rsidP="00235FA0">
            <w:pPr>
              <w:widowControl/>
              <w:autoSpaceDE/>
              <w:autoSpaceDN/>
              <w:adjustRightInd/>
              <w:rPr>
                <w:rFonts w:cs="Arial"/>
                <w:sz w:val="16"/>
                <w:szCs w:val="16"/>
                <w:lang w:val="en-GB" w:eastAsia="ja-JP"/>
              </w:rPr>
            </w:pPr>
            <w:r w:rsidRPr="00C96521">
              <w:rPr>
                <w:rFonts w:cs="Arial"/>
                <w:sz w:val="16"/>
                <w:szCs w:val="16"/>
                <w:lang w:val="en-GB" w:eastAsia="ja-JP"/>
              </w:rPr>
              <w:t>Igor Gorban (</w:t>
            </w:r>
            <w:r w:rsidRPr="00C96521">
              <w:rPr>
                <w:rFonts w:cs="Arial"/>
                <w:i/>
                <w:sz w:val="16"/>
                <w:szCs w:val="16"/>
                <w:lang w:val="en-GB" w:eastAsia="ja-JP"/>
              </w:rPr>
              <w:t>pers comm</w:t>
            </w:r>
            <w:r w:rsidRPr="00C96521">
              <w:rPr>
                <w:rFonts w:cs="Arial"/>
                <w:sz w:val="16"/>
                <w:szCs w:val="16"/>
                <w:lang w:val="en-GB" w:eastAsia="ja-JP"/>
              </w:rPr>
              <w:t>)</w:t>
            </w:r>
          </w:p>
        </w:tc>
      </w:tr>
    </w:tbl>
    <w:p w14:paraId="2355F718" w14:textId="77777777" w:rsidR="00C96521" w:rsidRPr="00C96521" w:rsidRDefault="00C96521" w:rsidP="00C96521">
      <w:pPr>
        <w:widowControl/>
        <w:autoSpaceDE/>
        <w:autoSpaceDN/>
        <w:adjustRightInd/>
        <w:rPr>
          <w:rFonts w:cs="Arial"/>
          <w:sz w:val="16"/>
          <w:szCs w:val="16"/>
          <w:lang w:val="en-GB" w:eastAsia="ja-JP"/>
        </w:rPr>
      </w:pPr>
    </w:p>
    <w:p w14:paraId="33F50672" w14:textId="6DCEBC39" w:rsidR="00C96521" w:rsidRPr="00C96521" w:rsidRDefault="00C96521" w:rsidP="00C96521">
      <w:pPr>
        <w:widowControl/>
        <w:autoSpaceDE/>
        <w:autoSpaceDN/>
        <w:adjustRightInd/>
        <w:rPr>
          <w:rFonts w:cs="Arial"/>
          <w:sz w:val="16"/>
          <w:szCs w:val="16"/>
          <w:lang w:val="en-GB" w:eastAsia="ja-JP"/>
        </w:rPr>
      </w:pPr>
      <w:r w:rsidRPr="00C96521">
        <w:rPr>
          <w:rFonts w:cs="Arial"/>
          <w:sz w:val="16"/>
          <w:szCs w:val="16"/>
          <w:lang w:val="en-GB" w:eastAsia="ja-JP"/>
        </w:rPr>
        <w:t xml:space="preserve">Note on Nigeria: in the 1980s there were thousands of wintering </w:t>
      </w:r>
      <w:r w:rsidR="00230104">
        <w:rPr>
          <w:rFonts w:cs="Arial"/>
          <w:sz w:val="16"/>
          <w:szCs w:val="16"/>
          <w:lang w:val="en-GB" w:eastAsia="ja-JP"/>
        </w:rPr>
        <w:t>T</w:t>
      </w:r>
      <w:r w:rsidRPr="00C96521">
        <w:rPr>
          <w:rFonts w:cs="Arial"/>
          <w:sz w:val="16"/>
          <w:szCs w:val="16"/>
          <w:lang w:val="en-GB" w:eastAsia="ja-JP"/>
        </w:rPr>
        <w:t>urtle</w:t>
      </w:r>
      <w:r w:rsidR="00230104">
        <w:rPr>
          <w:rFonts w:cs="Arial"/>
          <w:sz w:val="16"/>
          <w:szCs w:val="16"/>
          <w:lang w:val="en-GB" w:eastAsia="ja-JP"/>
        </w:rPr>
        <w:t xml:space="preserve"> D</w:t>
      </w:r>
      <w:r w:rsidRPr="00C96521">
        <w:rPr>
          <w:rFonts w:cs="Arial"/>
          <w:sz w:val="16"/>
          <w:szCs w:val="16"/>
          <w:lang w:val="en-GB" w:eastAsia="ja-JP"/>
        </w:rPr>
        <w:t xml:space="preserve">oves in the Jeribowl area to the east of Maiduguri, and there were tens of thousands wintering across to the north of Cameroon, especially around the Lake Chad shore areas. Local unrest makes it impossible currently to visit the area. Turtle-doves have been reported from the ouadis of Kharma and Achim in Chad, in small flocks on the move (20-100 birds in multiple groups) (Tim Wacher </w:t>
      </w:r>
      <w:r w:rsidRPr="00C96521">
        <w:rPr>
          <w:rFonts w:cs="Arial"/>
          <w:i/>
          <w:sz w:val="16"/>
          <w:szCs w:val="16"/>
          <w:lang w:val="en-GB" w:eastAsia="ja-JP"/>
        </w:rPr>
        <w:t>pers comm</w:t>
      </w:r>
      <w:r w:rsidRPr="00C96521">
        <w:rPr>
          <w:rFonts w:cs="Arial"/>
          <w:sz w:val="16"/>
          <w:szCs w:val="16"/>
          <w:lang w:val="en-GB" w:eastAsia="ja-JP"/>
        </w:rPr>
        <w:t>).</w:t>
      </w:r>
    </w:p>
    <w:p w14:paraId="5A051C21" w14:textId="77777777" w:rsidR="00C96521" w:rsidRPr="00C96521" w:rsidRDefault="00C96521" w:rsidP="00C96521">
      <w:pPr>
        <w:widowControl/>
        <w:autoSpaceDE/>
        <w:autoSpaceDN/>
        <w:adjustRightInd/>
        <w:spacing w:line="276" w:lineRule="auto"/>
        <w:rPr>
          <w:rFonts w:eastAsia="MS Mincho"/>
          <w:sz w:val="16"/>
          <w:szCs w:val="16"/>
          <w:lang w:val="en-GB" w:eastAsia="ja-JP"/>
        </w:rPr>
      </w:pPr>
    </w:p>
    <w:p w14:paraId="1114FA3A" w14:textId="77777777" w:rsidR="00C96521" w:rsidRPr="00C96521" w:rsidRDefault="00C96521" w:rsidP="00C96521">
      <w:pPr>
        <w:widowControl/>
        <w:autoSpaceDE/>
        <w:autoSpaceDN/>
        <w:adjustRightInd/>
        <w:spacing w:line="276" w:lineRule="auto"/>
        <w:rPr>
          <w:rFonts w:eastAsia="MS Mincho"/>
          <w:sz w:val="16"/>
          <w:szCs w:val="16"/>
          <w:lang w:val="en-GB" w:eastAsia="ja-JP"/>
        </w:rPr>
        <w:sectPr w:rsidR="00C96521" w:rsidRPr="00C96521" w:rsidSect="00C96521">
          <w:pgSz w:w="16840" w:h="11920" w:orient="landscape"/>
          <w:pgMar w:top="1300" w:right="920" w:bottom="1300" w:left="1276" w:header="730" w:footer="738" w:gutter="0"/>
          <w:cols w:space="720"/>
          <w:docGrid w:linePitch="299"/>
        </w:sectPr>
      </w:pPr>
      <w:r w:rsidRPr="00C96521">
        <w:rPr>
          <w:rFonts w:eastAsia="MS Mincho"/>
          <w:sz w:val="16"/>
          <w:szCs w:val="16"/>
          <w:lang w:val="en-GB" w:eastAsia="ja-JP"/>
        </w:rPr>
        <w:t>See Table2 for trend and quality categories.</w:t>
      </w:r>
    </w:p>
    <w:p w14:paraId="6CD04D8C"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0E3BE2D5"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2A79B94E" w14:textId="4FD378D5" w:rsidR="00C96521" w:rsidRPr="00C96521" w:rsidRDefault="00C96521" w:rsidP="00C96521">
      <w:pPr>
        <w:widowControl/>
        <w:autoSpaceDE/>
        <w:autoSpaceDN/>
        <w:adjustRightInd/>
        <w:spacing w:line="276" w:lineRule="auto"/>
        <w:rPr>
          <w:rFonts w:eastAsia="MS Mincho" w:cs="Arial"/>
          <w:color w:val="FF0000"/>
          <w:sz w:val="20"/>
          <w:szCs w:val="22"/>
          <w:lang w:val="en-GB" w:eastAsia="ja-JP"/>
        </w:rPr>
      </w:pPr>
      <w:r w:rsidRPr="00C96521">
        <w:rPr>
          <w:rFonts w:eastAsia="MS Mincho" w:cs="Arial"/>
          <w:sz w:val="20"/>
          <w:szCs w:val="22"/>
          <w:lang w:val="en-GB" w:eastAsia="ja-JP"/>
        </w:rPr>
        <w:t>Figures 6</w:t>
      </w:r>
      <w:r w:rsidRPr="00C96521">
        <w:rPr>
          <w:rFonts w:eastAsia="MS Mincho" w:cs="Arial"/>
          <w:color w:val="FF0000"/>
          <w:sz w:val="20"/>
          <w:szCs w:val="22"/>
          <w:lang w:val="en-GB" w:eastAsia="ja-JP"/>
        </w:rPr>
        <w:t xml:space="preserve"> </w:t>
      </w:r>
      <w:r w:rsidRPr="00C96521">
        <w:rPr>
          <w:rFonts w:eastAsia="MS Mincho" w:cs="Arial"/>
          <w:sz w:val="20"/>
          <w:szCs w:val="22"/>
          <w:lang w:val="en-GB" w:eastAsia="ja-JP"/>
        </w:rPr>
        <w:t>to 11</w:t>
      </w:r>
      <w:r w:rsidRPr="00C96521">
        <w:rPr>
          <w:rFonts w:eastAsia="MS Mincho" w:cs="Arial"/>
          <w:color w:val="FF0000"/>
          <w:sz w:val="20"/>
          <w:szCs w:val="22"/>
          <w:lang w:val="en-GB" w:eastAsia="ja-JP"/>
        </w:rPr>
        <w:t xml:space="preserve"> </w:t>
      </w:r>
      <w:r w:rsidRPr="00C96521">
        <w:rPr>
          <w:rFonts w:eastAsia="MS Mincho" w:cs="Arial"/>
          <w:sz w:val="20"/>
          <w:szCs w:val="22"/>
          <w:lang w:val="en-GB" w:eastAsia="ja-JP"/>
        </w:rPr>
        <w:t xml:space="preserve">show the population trend of </w:t>
      </w:r>
      <w:r w:rsidR="00230104">
        <w:rPr>
          <w:rFonts w:eastAsia="MS Mincho" w:cs="Arial"/>
          <w:sz w:val="20"/>
          <w:szCs w:val="22"/>
          <w:lang w:val="en-GB" w:eastAsia="ja-JP"/>
        </w:rPr>
        <w:t>T</w:t>
      </w:r>
      <w:r w:rsidR="00230104" w:rsidRPr="00C96521">
        <w:rPr>
          <w:rFonts w:eastAsia="MS Mincho" w:cs="Arial"/>
          <w:sz w:val="20"/>
          <w:szCs w:val="22"/>
          <w:lang w:val="en-GB" w:eastAsia="ja-JP"/>
        </w:rPr>
        <w:t>urtle</w:t>
      </w:r>
      <w:r w:rsidR="00230104">
        <w:rPr>
          <w:rFonts w:eastAsia="MS Mincho" w:cs="Arial"/>
          <w:sz w:val="20"/>
          <w:szCs w:val="22"/>
          <w:lang w:val="en-GB" w:eastAsia="ja-JP"/>
        </w:rPr>
        <w:t xml:space="preserve"> D</w:t>
      </w:r>
      <w:r w:rsidR="00230104" w:rsidRPr="00C96521">
        <w:rPr>
          <w:rFonts w:eastAsia="MS Mincho" w:cs="Arial"/>
          <w:sz w:val="20"/>
          <w:szCs w:val="22"/>
          <w:lang w:val="en-GB" w:eastAsia="ja-JP"/>
        </w:rPr>
        <w:t xml:space="preserve">oves </w:t>
      </w:r>
      <w:r w:rsidRPr="00C96521">
        <w:rPr>
          <w:rFonts w:eastAsia="MS Mincho" w:cs="Arial"/>
          <w:sz w:val="20"/>
          <w:szCs w:val="22"/>
          <w:lang w:val="en-GB" w:eastAsia="ja-JP"/>
        </w:rPr>
        <w:t>in 22 European countries collected by the Pan-European Common Bird Monitoring Scheme (</w:t>
      </w:r>
      <w:r w:rsidRPr="00C96521">
        <w:rPr>
          <w:rFonts w:eastAsia="MS Mincho"/>
          <w:sz w:val="20"/>
          <w:szCs w:val="22"/>
          <w:lang w:val="en-GB" w:eastAsia="ja-JP"/>
        </w:rPr>
        <w:t>EBCC/RSPB/BirdLife/Statistics Netherlands</w:t>
      </w:r>
      <w:r w:rsidRPr="00C96521">
        <w:rPr>
          <w:rFonts w:eastAsia="MS Mincho" w:cs="Arial"/>
          <w:sz w:val="20"/>
          <w:szCs w:val="22"/>
          <w:lang w:val="en-GB" w:eastAsia="ja-JP"/>
        </w:rPr>
        <w:t xml:space="preserve"> 2016). Figures 12 and 13 show the population trend over time experienced by turtle-dove in the western and central-eastern </w:t>
      </w:r>
      <w:r w:rsidRPr="00C96521">
        <w:rPr>
          <w:rFonts w:eastAsia="MS Mincho" w:cs="Arial"/>
          <w:color w:val="000000"/>
          <w:sz w:val="20"/>
          <w:szCs w:val="22"/>
          <w:lang w:val="en-GB" w:eastAsia="ja-JP"/>
        </w:rPr>
        <w:t>populations respectively, while Figure 14 shows all trends. Data for these figures were provided by national breeding bird surveys contributing to the Pan-European Common Bird Monitoring Scheme. In some cases, national coordinators may have chosen to present indices with a different base year; however, the trend of the index remains the same.</w:t>
      </w:r>
    </w:p>
    <w:p w14:paraId="1AC6BA75"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54EBDB2B"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noProof/>
          <w:sz w:val="20"/>
          <w:szCs w:val="22"/>
        </w:rPr>
        <w:drawing>
          <wp:inline distT="0" distB="0" distL="0" distR="0" wp14:anchorId="7C64B1DB" wp14:editId="3E0825F4">
            <wp:extent cx="5349922" cy="4326340"/>
            <wp:effectExtent l="0" t="0" r="0"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743D117" w14:textId="77777777" w:rsidR="00C96521" w:rsidRPr="00C96521" w:rsidRDefault="00C96521" w:rsidP="00C96521">
      <w:pPr>
        <w:widowControl/>
        <w:autoSpaceDE/>
        <w:autoSpaceDN/>
        <w:adjustRightInd/>
        <w:spacing w:line="276" w:lineRule="auto"/>
        <w:rPr>
          <w:rFonts w:eastAsia="MS Mincho" w:cs="Arial"/>
          <w:i/>
          <w:sz w:val="20"/>
          <w:szCs w:val="22"/>
          <w:lang w:val="en-GB" w:eastAsia="ja-JP"/>
        </w:rPr>
      </w:pPr>
      <w:r w:rsidRPr="00C96521">
        <w:rPr>
          <w:rFonts w:eastAsia="MS Mincho" w:cs="Arial"/>
          <w:i/>
          <w:sz w:val="20"/>
          <w:szCs w:val="22"/>
          <w:lang w:val="en-GB" w:eastAsia="ja-JP"/>
        </w:rPr>
        <w:t>Figure 6. Population trend index for countries in the western European population.</w:t>
      </w:r>
    </w:p>
    <w:p w14:paraId="7FB962B4"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060C7D45"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noProof/>
          <w:sz w:val="20"/>
          <w:szCs w:val="22"/>
        </w:rPr>
        <w:drawing>
          <wp:inline distT="0" distB="0" distL="0" distR="0" wp14:anchorId="59A4E42C" wp14:editId="25D2405B">
            <wp:extent cx="5922334" cy="3338623"/>
            <wp:effectExtent l="0" t="0" r="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82E6682" w14:textId="77777777" w:rsidR="00C96521" w:rsidRPr="00C96521" w:rsidRDefault="00C96521" w:rsidP="00C96521">
      <w:pPr>
        <w:widowControl/>
        <w:autoSpaceDE/>
        <w:autoSpaceDN/>
        <w:adjustRightInd/>
        <w:spacing w:line="276" w:lineRule="auto"/>
        <w:rPr>
          <w:rFonts w:eastAsia="MS Mincho" w:cs="Arial"/>
          <w:i/>
          <w:sz w:val="20"/>
          <w:szCs w:val="22"/>
          <w:lang w:val="en-GB" w:eastAsia="ja-JP"/>
        </w:rPr>
      </w:pPr>
      <w:r w:rsidRPr="00C96521">
        <w:rPr>
          <w:rFonts w:eastAsia="MS Mincho" w:cs="Arial"/>
          <w:i/>
          <w:sz w:val="20"/>
          <w:szCs w:val="22"/>
          <w:lang w:val="en-GB" w:eastAsia="ja-JP"/>
        </w:rPr>
        <w:t>Figure 7. Population trend index for Estonia, Latvia, Lithuania and Poland.</w:t>
      </w:r>
    </w:p>
    <w:p w14:paraId="171F43AC" w14:textId="77777777" w:rsidR="00C96521" w:rsidRPr="00C96521" w:rsidRDefault="00C96521" w:rsidP="00C96521">
      <w:pPr>
        <w:widowControl/>
        <w:autoSpaceDE/>
        <w:autoSpaceDN/>
        <w:adjustRightInd/>
        <w:spacing w:line="276" w:lineRule="auto"/>
        <w:rPr>
          <w:rFonts w:eastAsia="MS Mincho" w:cs="Arial"/>
          <w:i/>
          <w:sz w:val="20"/>
          <w:szCs w:val="22"/>
          <w:lang w:val="en-GB" w:eastAsia="ja-JP"/>
        </w:rPr>
      </w:pPr>
    </w:p>
    <w:p w14:paraId="2573EB09" w14:textId="77777777" w:rsidR="00C96521" w:rsidRPr="00C96521" w:rsidRDefault="00C96521" w:rsidP="00C96521">
      <w:pPr>
        <w:widowControl/>
        <w:autoSpaceDE/>
        <w:autoSpaceDN/>
        <w:adjustRightInd/>
        <w:spacing w:line="276" w:lineRule="auto"/>
        <w:jc w:val="both"/>
        <w:rPr>
          <w:rFonts w:eastAsia="MS Mincho" w:cs="Arial"/>
          <w:sz w:val="20"/>
          <w:szCs w:val="22"/>
          <w:lang w:val="en-GB" w:eastAsia="ja-JP"/>
        </w:rPr>
      </w:pPr>
      <w:r w:rsidRPr="00C96521">
        <w:rPr>
          <w:rFonts w:eastAsia="MS Mincho" w:cs="Arial"/>
          <w:noProof/>
          <w:sz w:val="20"/>
          <w:szCs w:val="22"/>
        </w:rPr>
        <w:drawing>
          <wp:inline distT="0" distB="0" distL="0" distR="0" wp14:anchorId="0DFBAAC5" wp14:editId="0AD2F487">
            <wp:extent cx="5922334" cy="3455582"/>
            <wp:effectExtent l="0" t="0" r="0" b="0"/>
            <wp:docPr id="1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B0C9208"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i/>
          <w:sz w:val="20"/>
          <w:szCs w:val="22"/>
          <w:lang w:val="en-GB" w:eastAsia="ja-JP"/>
        </w:rPr>
        <w:t>Figure 8. Population trend index for Austria, Czech Republic, Hungary, Italy, Slovakia, Slovenia and Switzerland.</w:t>
      </w:r>
    </w:p>
    <w:p w14:paraId="5C4B2DF9"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noProof/>
          <w:sz w:val="20"/>
          <w:szCs w:val="22"/>
        </w:rPr>
        <w:drawing>
          <wp:inline distT="0" distB="0" distL="0" distR="0" wp14:anchorId="59FB91EB" wp14:editId="2319CB06">
            <wp:extent cx="5922335" cy="3179134"/>
            <wp:effectExtent l="0" t="0" r="0" b="0"/>
            <wp:docPr id="1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B2F870B" w14:textId="35182606" w:rsidR="00C96521" w:rsidRPr="00C96521" w:rsidRDefault="00C96521" w:rsidP="00C96521">
      <w:pPr>
        <w:widowControl/>
        <w:autoSpaceDE/>
        <w:autoSpaceDN/>
        <w:adjustRightInd/>
        <w:spacing w:line="276" w:lineRule="auto"/>
        <w:rPr>
          <w:rFonts w:eastAsia="MS Mincho" w:cs="Arial"/>
          <w:i/>
          <w:sz w:val="20"/>
          <w:szCs w:val="22"/>
          <w:lang w:val="en-GB" w:eastAsia="ja-JP"/>
        </w:rPr>
      </w:pPr>
      <w:r w:rsidRPr="00C96521">
        <w:rPr>
          <w:rFonts w:eastAsia="MS Mincho" w:cs="Arial"/>
          <w:i/>
          <w:sz w:val="20"/>
          <w:szCs w:val="22"/>
          <w:lang w:val="en-GB" w:eastAsia="ja-JP"/>
        </w:rPr>
        <w:t xml:space="preserve">Figure 9. Population trend index for Bulgaria, Cyprus, Greece and Romania. </w:t>
      </w:r>
    </w:p>
    <w:p w14:paraId="795C85D0" w14:textId="77777777" w:rsidR="00C96521" w:rsidRPr="00C96521" w:rsidRDefault="00C96521" w:rsidP="00C96521">
      <w:pPr>
        <w:widowControl/>
        <w:autoSpaceDE/>
        <w:autoSpaceDN/>
        <w:adjustRightInd/>
        <w:spacing w:line="276" w:lineRule="auto"/>
        <w:rPr>
          <w:rFonts w:eastAsia="MS Mincho" w:cs="Arial"/>
          <w:i/>
          <w:sz w:val="20"/>
          <w:szCs w:val="22"/>
          <w:lang w:val="en-GB" w:eastAsia="ja-JP"/>
        </w:rPr>
      </w:pPr>
    </w:p>
    <w:p w14:paraId="6D866E14" w14:textId="77777777" w:rsidR="00C96521" w:rsidRPr="00C96521" w:rsidRDefault="00C96521" w:rsidP="00C96521">
      <w:pPr>
        <w:widowControl/>
        <w:autoSpaceDE/>
        <w:autoSpaceDN/>
        <w:adjustRightInd/>
        <w:spacing w:line="276" w:lineRule="auto"/>
        <w:rPr>
          <w:rFonts w:eastAsia="MS Mincho" w:cs="Arial"/>
          <w:i/>
          <w:sz w:val="20"/>
          <w:szCs w:val="22"/>
          <w:lang w:val="en-GB" w:eastAsia="ja-JP"/>
        </w:rPr>
      </w:pPr>
      <w:r w:rsidRPr="00C96521">
        <w:rPr>
          <w:rFonts w:eastAsia="MS Mincho" w:cs="Arial"/>
          <w:i/>
          <w:noProof/>
          <w:sz w:val="20"/>
          <w:szCs w:val="22"/>
        </w:rPr>
        <w:drawing>
          <wp:inline distT="0" distB="0" distL="0" distR="0" wp14:anchorId="2F8E792D" wp14:editId="07CB7E94">
            <wp:extent cx="4838700" cy="3571875"/>
            <wp:effectExtent l="0" t="0" r="0" b="0"/>
            <wp:docPr id="1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939D64C" w14:textId="77777777" w:rsidR="00C96521" w:rsidRPr="00C96521" w:rsidRDefault="00C96521" w:rsidP="00C96521">
      <w:pPr>
        <w:widowControl/>
        <w:autoSpaceDE/>
        <w:autoSpaceDN/>
        <w:adjustRightInd/>
        <w:spacing w:line="276" w:lineRule="auto"/>
        <w:rPr>
          <w:rFonts w:eastAsia="MS Mincho" w:cs="Arial"/>
          <w:i/>
          <w:sz w:val="20"/>
          <w:szCs w:val="22"/>
          <w:lang w:val="en-GB" w:eastAsia="ja-JP"/>
        </w:rPr>
      </w:pPr>
      <w:r w:rsidRPr="00C96521">
        <w:rPr>
          <w:rFonts w:eastAsia="MS Mincho" w:cs="Arial"/>
          <w:i/>
          <w:sz w:val="20"/>
          <w:szCs w:val="22"/>
          <w:lang w:val="en-GB" w:eastAsia="ja-JP"/>
        </w:rPr>
        <w:t xml:space="preserve">Figure 10. Population trend index for the five largest populations of turtle-dove contributing to the Pan-European Common Bird Monitoring Scheme. </w:t>
      </w:r>
    </w:p>
    <w:p w14:paraId="1ADF0425" w14:textId="77777777" w:rsidR="00C96521" w:rsidRPr="00C96521" w:rsidRDefault="00C96521" w:rsidP="00C96521">
      <w:pPr>
        <w:widowControl/>
        <w:autoSpaceDE/>
        <w:autoSpaceDN/>
        <w:adjustRightInd/>
        <w:spacing w:line="276" w:lineRule="auto"/>
        <w:rPr>
          <w:rFonts w:eastAsia="MS Mincho" w:cs="Arial"/>
          <w:i/>
          <w:sz w:val="20"/>
          <w:szCs w:val="22"/>
          <w:lang w:val="en-GB" w:eastAsia="ja-JP"/>
        </w:rPr>
      </w:pPr>
      <w:r w:rsidRPr="00C96521">
        <w:rPr>
          <w:rFonts w:eastAsia="MS Mincho" w:cs="Arial"/>
          <w:i/>
          <w:noProof/>
          <w:sz w:val="20"/>
          <w:szCs w:val="22"/>
        </w:rPr>
        <w:drawing>
          <wp:inline distT="0" distB="0" distL="0" distR="0" wp14:anchorId="24C3B554" wp14:editId="03102EE3">
            <wp:extent cx="5886450" cy="3371850"/>
            <wp:effectExtent l="0" t="0" r="0" b="0"/>
            <wp:docPr id="1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8AEAD72" w14:textId="6AE8BFE8" w:rsidR="00C96521" w:rsidRPr="00C96521" w:rsidRDefault="00C96521" w:rsidP="00C96521">
      <w:pPr>
        <w:widowControl/>
        <w:autoSpaceDE/>
        <w:autoSpaceDN/>
        <w:adjustRightInd/>
        <w:spacing w:line="276" w:lineRule="auto"/>
        <w:rPr>
          <w:rFonts w:eastAsia="MS Mincho" w:cs="Arial"/>
          <w:i/>
          <w:sz w:val="20"/>
          <w:szCs w:val="22"/>
          <w:lang w:val="en-GB" w:eastAsia="ja-JP"/>
        </w:rPr>
      </w:pPr>
      <w:r w:rsidRPr="00C96521">
        <w:rPr>
          <w:rFonts w:eastAsia="MS Mincho" w:cs="Arial"/>
          <w:i/>
          <w:sz w:val="20"/>
          <w:szCs w:val="22"/>
          <w:lang w:val="en-GB" w:eastAsia="ja-JP"/>
        </w:rPr>
        <w:t xml:space="preserve">Figure 11. Population trend index for the five populations of </w:t>
      </w:r>
      <w:r w:rsidR="00230104">
        <w:rPr>
          <w:rFonts w:eastAsia="MS Mincho" w:cs="Arial"/>
          <w:i/>
          <w:sz w:val="20"/>
          <w:szCs w:val="22"/>
          <w:lang w:val="en-GB" w:eastAsia="ja-JP"/>
        </w:rPr>
        <w:t>T</w:t>
      </w:r>
      <w:r w:rsidRPr="00C96521">
        <w:rPr>
          <w:rFonts w:eastAsia="MS Mincho" w:cs="Arial"/>
          <w:i/>
          <w:sz w:val="20"/>
          <w:szCs w:val="22"/>
          <w:lang w:val="en-GB" w:eastAsia="ja-JP"/>
        </w:rPr>
        <w:t>urtle</w:t>
      </w:r>
      <w:r w:rsidR="00230104">
        <w:rPr>
          <w:rFonts w:eastAsia="MS Mincho" w:cs="Arial"/>
          <w:i/>
          <w:sz w:val="20"/>
          <w:szCs w:val="22"/>
          <w:lang w:val="en-GB" w:eastAsia="ja-JP"/>
        </w:rPr>
        <w:t xml:space="preserve"> D</w:t>
      </w:r>
      <w:r w:rsidRPr="00C96521">
        <w:rPr>
          <w:rFonts w:eastAsia="MS Mincho" w:cs="Arial"/>
          <w:i/>
          <w:sz w:val="20"/>
          <w:szCs w:val="22"/>
          <w:lang w:val="en-GB" w:eastAsia="ja-JP"/>
        </w:rPr>
        <w:t xml:space="preserve">ove showing the strongest declines based on the multiplicative trend index contributing to the Pan-European Common Bird Monitoring Scheme. </w:t>
      </w:r>
    </w:p>
    <w:p w14:paraId="6040DC7B"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33575471"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384F5342" w14:textId="77777777" w:rsidR="00C96521" w:rsidRPr="00C96521" w:rsidRDefault="00C96521" w:rsidP="00C96521">
      <w:pPr>
        <w:widowControl/>
        <w:autoSpaceDE/>
        <w:autoSpaceDN/>
        <w:adjustRightInd/>
        <w:spacing w:line="276" w:lineRule="auto"/>
        <w:jc w:val="center"/>
        <w:rPr>
          <w:rFonts w:eastAsia="MS Mincho" w:cs="Arial"/>
          <w:sz w:val="20"/>
          <w:szCs w:val="22"/>
          <w:lang w:val="en-GB" w:eastAsia="ja-JP"/>
        </w:rPr>
      </w:pPr>
      <w:r w:rsidRPr="00C96521">
        <w:rPr>
          <w:rFonts w:eastAsia="MS Mincho" w:cs="Arial"/>
          <w:noProof/>
          <w:sz w:val="20"/>
          <w:szCs w:val="22"/>
        </w:rPr>
        <w:drawing>
          <wp:inline distT="0" distB="0" distL="0" distR="0" wp14:anchorId="1EE36600" wp14:editId="14CCD5F0">
            <wp:extent cx="4572000" cy="2362200"/>
            <wp:effectExtent l="0" t="0" r="0" b="0"/>
            <wp:docPr id="2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639ED82" w14:textId="77777777" w:rsidR="00C96521" w:rsidRPr="00C96521" w:rsidRDefault="00C96521" w:rsidP="00C96521">
      <w:pPr>
        <w:widowControl/>
        <w:autoSpaceDE/>
        <w:autoSpaceDN/>
        <w:adjustRightInd/>
        <w:spacing w:line="276" w:lineRule="auto"/>
        <w:rPr>
          <w:rFonts w:eastAsia="MS Mincho" w:cs="Arial"/>
          <w:i/>
          <w:sz w:val="20"/>
          <w:szCs w:val="22"/>
          <w:lang w:val="en-GB" w:eastAsia="ja-JP"/>
        </w:rPr>
      </w:pPr>
    </w:p>
    <w:p w14:paraId="07596899" w14:textId="731B4A9E" w:rsidR="00C96521" w:rsidRPr="00C96521" w:rsidRDefault="00C96521" w:rsidP="00C96521">
      <w:pPr>
        <w:widowControl/>
        <w:autoSpaceDE/>
        <w:autoSpaceDN/>
        <w:adjustRightInd/>
        <w:spacing w:line="276" w:lineRule="auto"/>
        <w:rPr>
          <w:rFonts w:eastAsia="MS Mincho" w:cs="Arial"/>
          <w:i/>
          <w:sz w:val="20"/>
          <w:szCs w:val="22"/>
          <w:lang w:val="en-GB" w:eastAsia="ja-JP"/>
        </w:rPr>
      </w:pPr>
      <w:r w:rsidRPr="00C96521">
        <w:rPr>
          <w:rFonts w:eastAsia="MS Mincho" w:cs="Arial"/>
          <w:i/>
          <w:sz w:val="20"/>
          <w:szCs w:val="22"/>
          <w:lang w:val="en-GB" w:eastAsia="ja-JP"/>
        </w:rPr>
        <w:t xml:space="preserve">Figure 12. Population trend slope for </w:t>
      </w:r>
      <w:r w:rsidR="00230104" w:rsidRPr="00235FA0">
        <w:rPr>
          <w:rFonts w:eastAsia="MS Mincho" w:cs="Arial"/>
          <w:i/>
          <w:sz w:val="20"/>
          <w:szCs w:val="22"/>
          <w:lang w:val="en-GB" w:eastAsia="ja-JP"/>
        </w:rPr>
        <w:t>Turtle Doves</w:t>
      </w:r>
      <w:r w:rsidR="00230104" w:rsidRPr="00C96521">
        <w:rPr>
          <w:rFonts w:eastAsia="MS Mincho" w:cs="Arial"/>
          <w:sz w:val="20"/>
          <w:szCs w:val="22"/>
          <w:lang w:val="en-GB" w:eastAsia="ja-JP"/>
        </w:rPr>
        <w:t xml:space="preserve"> </w:t>
      </w:r>
      <w:r w:rsidRPr="00C96521">
        <w:rPr>
          <w:rFonts w:eastAsia="MS Mincho" w:cs="Arial"/>
          <w:i/>
          <w:sz w:val="20"/>
          <w:szCs w:val="22"/>
          <w:lang w:val="en-GB" w:eastAsia="ja-JP"/>
        </w:rPr>
        <w:t>in countries in the western population contributing to the Pan-European Common Bird Monitoring Scheme. The countries are ordered from north (top) to south. Multiplicative trend over a period considered (Belgium-Wallonia 1990-2014; France 1989-2014; Germany 1989-2014; Netherlands 1984-2014; Portugal 2004-2014; Spain 1998-2014; UK 1966-2014) reflects average percentage change per year. &gt; 1 positive trend, &lt; 1 negative trend.</w:t>
      </w:r>
    </w:p>
    <w:p w14:paraId="0C0E7D4B"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22E95335" w14:textId="77777777" w:rsidR="00C96521" w:rsidRPr="00C96521" w:rsidRDefault="00C96521" w:rsidP="00C96521">
      <w:pPr>
        <w:widowControl/>
        <w:autoSpaceDE/>
        <w:autoSpaceDN/>
        <w:adjustRightInd/>
        <w:spacing w:line="276" w:lineRule="auto"/>
        <w:jc w:val="center"/>
        <w:rPr>
          <w:rFonts w:eastAsia="MS Mincho" w:cs="Arial"/>
          <w:sz w:val="20"/>
          <w:szCs w:val="22"/>
          <w:lang w:val="en-GB" w:eastAsia="ja-JP"/>
        </w:rPr>
      </w:pPr>
      <w:r w:rsidRPr="00C96521">
        <w:rPr>
          <w:rFonts w:eastAsia="MS Mincho" w:cs="Arial"/>
          <w:noProof/>
          <w:sz w:val="20"/>
          <w:szCs w:val="22"/>
        </w:rPr>
        <w:drawing>
          <wp:inline distT="0" distB="0" distL="0" distR="0" wp14:anchorId="11380AB1" wp14:editId="2DFEEC1D">
            <wp:extent cx="4914900" cy="4972050"/>
            <wp:effectExtent l="0" t="0" r="0" b="0"/>
            <wp:docPr id="2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C29CB21" w14:textId="77777777" w:rsidR="00C96521" w:rsidRPr="00C96521" w:rsidRDefault="00C96521" w:rsidP="00C96521">
      <w:pPr>
        <w:widowControl/>
        <w:autoSpaceDE/>
        <w:autoSpaceDN/>
        <w:adjustRightInd/>
        <w:spacing w:line="276" w:lineRule="auto"/>
        <w:rPr>
          <w:rFonts w:eastAsia="MS Mincho" w:cs="Arial"/>
          <w:i/>
          <w:sz w:val="20"/>
          <w:szCs w:val="22"/>
          <w:lang w:val="en-GB" w:eastAsia="ja-JP"/>
        </w:rPr>
      </w:pPr>
    </w:p>
    <w:p w14:paraId="1A6297A5" w14:textId="3599F0C3" w:rsidR="00C96521" w:rsidRPr="00C96521" w:rsidRDefault="00C96521" w:rsidP="00C96521">
      <w:pPr>
        <w:widowControl/>
        <w:autoSpaceDE/>
        <w:autoSpaceDN/>
        <w:adjustRightInd/>
        <w:spacing w:line="276" w:lineRule="auto"/>
        <w:rPr>
          <w:rFonts w:eastAsia="MS Mincho" w:cs="Arial"/>
          <w:i/>
          <w:sz w:val="20"/>
          <w:szCs w:val="22"/>
          <w:lang w:val="en-GB" w:eastAsia="ja-JP"/>
        </w:rPr>
      </w:pPr>
      <w:r w:rsidRPr="00C96521">
        <w:rPr>
          <w:rFonts w:eastAsia="MS Mincho" w:cs="Arial"/>
          <w:i/>
          <w:sz w:val="20"/>
          <w:szCs w:val="22"/>
          <w:lang w:val="en-GB" w:eastAsia="ja-JP"/>
        </w:rPr>
        <w:t xml:space="preserve">Figure 13. Population trend slope for </w:t>
      </w:r>
      <w:r w:rsidR="00230104" w:rsidRPr="00235FA0">
        <w:rPr>
          <w:rFonts w:eastAsia="MS Mincho" w:cs="Arial"/>
          <w:i/>
          <w:sz w:val="20"/>
          <w:szCs w:val="22"/>
          <w:lang w:val="en-GB" w:eastAsia="ja-JP"/>
        </w:rPr>
        <w:t>Turtle Doves</w:t>
      </w:r>
      <w:r w:rsidR="00230104" w:rsidRPr="00C96521">
        <w:rPr>
          <w:rFonts w:eastAsia="MS Mincho" w:cs="Arial"/>
          <w:sz w:val="20"/>
          <w:szCs w:val="22"/>
          <w:lang w:val="en-GB" w:eastAsia="ja-JP"/>
        </w:rPr>
        <w:t xml:space="preserve"> </w:t>
      </w:r>
      <w:r w:rsidRPr="00C96521">
        <w:rPr>
          <w:rFonts w:eastAsia="MS Mincho" w:cs="Arial"/>
          <w:i/>
          <w:sz w:val="20"/>
          <w:szCs w:val="22"/>
          <w:lang w:val="en-GB" w:eastAsia="ja-JP"/>
        </w:rPr>
        <w:t>in countries in the central-eastern population contributing to the Pan-European Common Bird Monitoring Scheme. The countries are ordered east (top) to west. Multiplicative trend over a period considered (Austria 1998-2014; Bulgaria 2005-2014; Cyprus 2006-2014; Czech Republic 1982-2014; Estonia 1983-2014; Greece 2007-2014; Hungary 1999-2014; Italy 2000-2014; Latvia 1995-2014; Lithuania 2011-2014; Poland 2000-2014; Romania 2007-2014; Slovakia 2005-2014; Slovenia 2007-2014; Switzerland 1999-2014) reflects average percentage change per year. &gt; 1 positive trend, &lt; 1 negative trend.</w:t>
      </w:r>
    </w:p>
    <w:p w14:paraId="536042B9"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2EEC8C60"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noProof/>
          <w:sz w:val="20"/>
          <w:szCs w:val="22"/>
        </w:rPr>
        <w:drawing>
          <wp:inline distT="0" distB="0" distL="0" distR="0" wp14:anchorId="27B4D6C6" wp14:editId="5FA03348">
            <wp:extent cx="5962650" cy="5086350"/>
            <wp:effectExtent l="0" t="0" r="0" b="0"/>
            <wp:docPr id="1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3D1F832" w14:textId="7A37C6CF" w:rsidR="00C96521" w:rsidRPr="00C96521" w:rsidRDefault="00C96521" w:rsidP="00C96521">
      <w:pPr>
        <w:widowControl/>
        <w:autoSpaceDE/>
        <w:autoSpaceDN/>
        <w:adjustRightInd/>
        <w:spacing w:line="276" w:lineRule="auto"/>
        <w:rPr>
          <w:rFonts w:eastAsia="MS Mincho" w:cs="Arial"/>
          <w:i/>
          <w:sz w:val="20"/>
          <w:szCs w:val="22"/>
          <w:lang w:val="en-GB" w:eastAsia="ja-JP"/>
        </w:rPr>
      </w:pPr>
      <w:r w:rsidRPr="00C96521">
        <w:rPr>
          <w:rFonts w:eastAsia="MS Mincho" w:cs="Arial"/>
          <w:i/>
          <w:sz w:val="20"/>
          <w:szCs w:val="22"/>
          <w:lang w:val="en-GB" w:eastAsia="ja-JP"/>
        </w:rPr>
        <w:t xml:space="preserve">Figure 14. Population trend slope for </w:t>
      </w:r>
      <w:r w:rsidR="00230104" w:rsidRPr="00235FA0">
        <w:rPr>
          <w:rFonts w:eastAsia="MS Mincho" w:cs="Arial"/>
          <w:i/>
          <w:sz w:val="20"/>
          <w:szCs w:val="22"/>
          <w:lang w:val="en-GB" w:eastAsia="ja-JP"/>
        </w:rPr>
        <w:t>Turtle Doves</w:t>
      </w:r>
      <w:r w:rsidR="00230104" w:rsidRPr="00C96521">
        <w:rPr>
          <w:rFonts w:eastAsia="MS Mincho" w:cs="Arial"/>
          <w:sz w:val="20"/>
          <w:szCs w:val="22"/>
          <w:lang w:val="en-GB" w:eastAsia="ja-JP"/>
        </w:rPr>
        <w:t xml:space="preserve"> </w:t>
      </w:r>
      <w:r w:rsidRPr="00C96521">
        <w:rPr>
          <w:rFonts w:eastAsia="MS Mincho" w:cs="Arial"/>
          <w:i/>
          <w:sz w:val="20"/>
          <w:szCs w:val="22"/>
          <w:lang w:val="en-GB" w:eastAsia="ja-JP"/>
        </w:rPr>
        <w:t>in all countries submitting national data to the Pan-European Common Bird Monitoring Scheme. The countries are ordered by population size (largest population at the top). Countries from the western population are shaded in dark grey, countries from the central-eastern populations are shaded in light grey. Multiplicative trend over a time period considered, reflects average percentage change per year. &gt; 1 positive trend, &lt; 1 negative trend.</w:t>
      </w:r>
    </w:p>
    <w:p w14:paraId="692B6E47"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42328B03" w14:textId="3F1633AC" w:rsidR="00C96521" w:rsidRPr="00C96521" w:rsidRDefault="00C96521" w:rsidP="00C96521">
      <w:pPr>
        <w:widowControl/>
        <w:autoSpaceDE/>
        <w:autoSpaceDN/>
        <w:adjustRightInd/>
        <w:spacing w:line="276" w:lineRule="auto"/>
        <w:rPr>
          <w:rFonts w:eastAsia="MS Mincho" w:cs="Arial"/>
          <w:sz w:val="20"/>
          <w:szCs w:val="22"/>
          <w:vertAlign w:val="superscript"/>
          <w:lang w:val="en-GB" w:eastAsia="ja-JP"/>
        </w:rPr>
      </w:pPr>
      <w:r w:rsidRPr="00C96521">
        <w:rPr>
          <w:rFonts w:eastAsia="MS Mincho" w:cs="Arial"/>
          <w:sz w:val="20"/>
          <w:szCs w:val="22"/>
          <w:lang w:val="en-GB" w:eastAsia="ja-JP"/>
        </w:rPr>
        <w:t>Outside of the European Union area, the formerly large population in European Russia has fallen by more than 80</w:t>
      </w:r>
      <w:r w:rsidR="00230104">
        <w:rPr>
          <w:rFonts w:eastAsia="MS Mincho" w:cs="Arial"/>
          <w:sz w:val="20"/>
          <w:szCs w:val="22"/>
          <w:lang w:val="en-GB" w:eastAsia="ja-JP"/>
        </w:rPr>
        <w:t xml:space="preserve"> per cent</w:t>
      </w:r>
      <w:r w:rsidRPr="00C96521">
        <w:rPr>
          <w:rFonts w:eastAsia="MS Mincho" w:cs="Arial"/>
          <w:sz w:val="20"/>
          <w:szCs w:val="22"/>
          <w:lang w:val="en-GB" w:eastAsia="ja-JP"/>
        </w:rPr>
        <w:t xml:space="preserve"> since 2000 and by more than 90</w:t>
      </w:r>
      <w:r w:rsidR="00230104">
        <w:rPr>
          <w:rFonts w:eastAsia="MS Mincho" w:cs="Arial"/>
          <w:sz w:val="20"/>
          <w:szCs w:val="22"/>
          <w:lang w:val="en-GB" w:eastAsia="ja-JP"/>
        </w:rPr>
        <w:t xml:space="preserve"> per cent</w:t>
      </w:r>
      <w:r w:rsidRPr="00C96521">
        <w:rPr>
          <w:rFonts w:eastAsia="MS Mincho" w:cs="Arial"/>
          <w:sz w:val="20"/>
          <w:szCs w:val="22"/>
          <w:lang w:val="en-GB" w:eastAsia="ja-JP"/>
        </w:rPr>
        <w:t xml:space="preserve"> since 1980 according to reports from the region (BirdLife International 2015). Declines have been reported for the species in both the forest and steppe zones of European Russia (Alexander Mischenko </w:t>
      </w:r>
      <w:r w:rsidRPr="00C96521">
        <w:rPr>
          <w:rFonts w:eastAsia="MS Mincho" w:cs="Arial"/>
          <w:i/>
          <w:sz w:val="20"/>
          <w:szCs w:val="22"/>
          <w:lang w:val="en-GB" w:eastAsia="ja-JP"/>
        </w:rPr>
        <w:t>pers comm</w:t>
      </w:r>
      <w:r w:rsidRPr="00C96521">
        <w:rPr>
          <w:rFonts w:eastAsia="MS Mincho" w:cs="Arial"/>
          <w:sz w:val="20"/>
          <w:szCs w:val="22"/>
          <w:lang w:val="en-GB" w:eastAsia="ja-JP"/>
        </w:rPr>
        <w:t xml:space="preserve">). The species underwent a strong decline in the 1990s and 2000s in the forest zone, in Leningrad, Kirov, Kostroma and Novgorod regions (Golovan 2002, Sotnikov 2002, Ivanchev and Denis 2011, Mischenko 2015). At a monitoring plot in the Kostroma Region, </w:t>
      </w:r>
      <w:r w:rsidR="00230104">
        <w:rPr>
          <w:rFonts w:eastAsia="MS Mincho" w:cs="Arial"/>
          <w:sz w:val="20"/>
          <w:szCs w:val="22"/>
          <w:lang w:val="en-GB" w:eastAsia="ja-JP"/>
        </w:rPr>
        <w:t>the T</w:t>
      </w:r>
      <w:r w:rsidR="00230104" w:rsidRPr="00C96521">
        <w:rPr>
          <w:rFonts w:eastAsia="MS Mincho" w:cs="Arial"/>
          <w:sz w:val="20"/>
          <w:szCs w:val="22"/>
          <w:lang w:val="en-GB" w:eastAsia="ja-JP"/>
        </w:rPr>
        <w:t>urtle</w:t>
      </w:r>
      <w:r w:rsidR="00230104">
        <w:rPr>
          <w:rFonts w:eastAsia="MS Mincho" w:cs="Arial"/>
          <w:sz w:val="20"/>
          <w:szCs w:val="22"/>
          <w:lang w:val="en-GB" w:eastAsia="ja-JP"/>
        </w:rPr>
        <w:t xml:space="preserve"> D</w:t>
      </w:r>
      <w:r w:rsidR="00230104" w:rsidRPr="00C96521">
        <w:rPr>
          <w:rFonts w:eastAsia="MS Mincho" w:cs="Arial"/>
          <w:sz w:val="20"/>
          <w:szCs w:val="22"/>
          <w:lang w:val="en-GB" w:eastAsia="ja-JP"/>
        </w:rPr>
        <w:t xml:space="preserve">oves </w:t>
      </w:r>
      <w:r w:rsidRPr="00C96521">
        <w:rPr>
          <w:rFonts w:eastAsia="MS Mincho" w:cs="Arial"/>
          <w:sz w:val="20"/>
          <w:szCs w:val="22"/>
          <w:lang w:val="en-GB" w:eastAsia="ja-JP"/>
        </w:rPr>
        <w:t>was common in 1978-1980, with an average abundance in woodlands of two individuals per km</w:t>
      </w:r>
      <w:r w:rsidRPr="00C96521">
        <w:rPr>
          <w:rFonts w:eastAsia="MS Mincho" w:cs="Arial"/>
          <w:sz w:val="20"/>
          <w:szCs w:val="22"/>
          <w:vertAlign w:val="superscript"/>
          <w:lang w:val="en-GB" w:eastAsia="ja-JP"/>
        </w:rPr>
        <w:t>2</w:t>
      </w:r>
      <w:r w:rsidRPr="00C96521">
        <w:rPr>
          <w:rFonts w:eastAsia="MS Mincho" w:cs="Arial"/>
          <w:sz w:val="20"/>
          <w:szCs w:val="22"/>
          <w:lang w:val="en-GB" w:eastAsia="ja-JP"/>
        </w:rPr>
        <w:t>. However, in 2008-2009 the species was completely absent (Preobrazhenskaya 2009). In many regions of the steppe zone of southern Russia there was a 20-40% decrease in the 1990s. In the Rostov and Volgograd regions and in the Dagestan Republic, populations decreased by approximately 50</w:t>
      </w:r>
      <w:r w:rsidR="00230104">
        <w:rPr>
          <w:rFonts w:eastAsia="MS Mincho" w:cs="Arial"/>
          <w:sz w:val="20"/>
          <w:szCs w:val="22"/>
          <w:lang w:val="en-GB" w:eastAsia="ja-JP"/>
        </w:rPr>
        <w:t xml:space="preserve"> per cent</w:t>
      </w:r>
      <w:r w:rsidRPr="00C96521">
        <w:rPr>
          <w:rFonts w:eastAsia="MS Mincho" w:cs="Arial"/>
          <w:sz w:val="20"/>
          <w:szCs w:val="22"/>
          <w:lang w:val="en-GB" w:eastAsia="ja-JP"/>
        </w:rPr>
        <w:t xml:space="preserve"> or more over 10 years (Belik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2003). The total population of </w:t>
      </w:r>
      <w:r w:rsidR="00230104">
        <w:rPr>
          <w:rFonts w:eastAsia="MS Mincho" w:cs="Arial"/>
          <w:sz w:val="20"/>
          <w:szCs w:val="22"/>
          <w:lang w:val="en-GB" w:eastAsia="ja-JP"/>
        </w:rPr>
        <w:t>T</w:t>
      </w:r>
      <w:r w:rsidR="00230104" w:rsidRPr="00C96521">
        <w:rPr>
          <w:rFonts w:eastAsia="MS Mincho" w:cs="Arial"/>
          <w:sz w:val="20"/>
          <w:szCs w:val="22"/>
          <w:lang w:val="en-GB" w:eastAsia="ja-JP"/>
        </w:rPr>
        <w:t>urtle</w:t>
      </w:r>
      <w:r w:rsidR="00230104">
        <w:rPr>
          <w:rFonts w:eastAsia="MS Mincho" w:cs="Arial"/>
          <w:sz w:val="20"/>
          <w:szCs w:val="22"/>
          <w:lang w:val="en-GB" w:eastAsia="ja-JP"/>
        </w:rPr>
        <w:t xml:space="preserve"> D</w:t>
      </w:r>
      <w:r w:rsidR="00230104" w:rsidRPr="00C96521">
        <w:rPr>
          <w:rFonts w:eastAsia="MS Mincho" w:cs="Arial"/>
          <w:sz w:val="20"/>
          <w:szCs w:val="22"/>
          <w:lang w:val="en-GB" w:eastAsia="ja-JP"/>
        </w:rPr>
        <w:t xml:space="preserve">oves </w:t>
      </w:r>
      <w:r w:rsidRPr="00C96521">
        <w:rPr>
          <w:rFonts w:eastAsia="MS Mincho" w:cs="Arial"/>
          <w:sz w:val="20"/>
          <w:szCs w:val="22"/>
          <w:lang w:val="en-GB" w:eastAsia="ja-JP"/>
        </w:rPr>
        <w:t>in southern Russia at the beginning of the 21</w:t>
      </w:r>
      <w:r w:rsidRPr="00235FA0">
        <w:rPr>
          <w:rFonts w:eastAsia="MS Mincho" w:cs="Arial"/>
          <w:sz w:val="20"/>
          <w:szCs w:val="22"/>
          <w:vertAlign w:val="superscript"/>
          <w:lang w:val="en-GB" w:eastAsia="ja-JP"/>
        </w:rPr>
        <w:t>st</w:t>
      </w:r>
      <w:r w:rsidR="00230104">
        <w:rPr>
          <w:rFonts w:eastAsia="MS Mincho" w:cs="Arial"/>
          <w:sz w:val="20"/>
          <w:szCs w:val="22"/>
          <w:lang w:val="en-GB" w:eastAsia="ja-JP"/>
        </w:rPr>
        <w:t xml:space="preserve"> </w:t>
      </w:r>
      <w:r w:rsidRPr="00C96521">
        <w:rPr>
          <w:rFonts w:eastAsia="MS Mincho" w:cs="Arial"/>
          <w:sz w:val="20"/>
          <w:szCs w:val="22"/>
          <w:lang w:val="en-GB" w:eastAsia="ja-JP"/>
        </w:rPr>
        <w:t>century was estimated to be 100</w:t>
      </w:r>
      <w:r w:rsidR="00230104">
        <w:rPr>
          <w:rFonts w:eastAsia="MS Mincho" w:cs="Arial"/>
          <w:sz w:val="20"/>
          <w:szCs w:val="22"/>
          <w:lang w:val="en-GB" w:eastAsia="ja-JP"/>
        </w:rPr>
        <w:t>,000</w:t>
      </w:r>
      <w:r w:rsidRPr="00C96521">
        <w:rPr>
          <w:rFonts w:eastAsia="MS Mincho" w:cs="Arial"/>
          <w:sz w:val="20"/>
          <w:szCs w:val="22"/>
          <w:lang w:val="en-GB" w:eastAsia="ja-JP"/>
        </w:rPr>
        <w:t xml:space="preserve">-300,000 pairs, while in the 2010s the population was estimated at just 1-2,000 pairs (Belik 2005, 2014). The overall population estimate for </w:t>
      </w:r>
      <w:r w:rsidR="00230104">
        <w:rPr>
          <w:rFonts w:eastAsia="MS Mincho" w:cs="Arial"/>
          <w:sz w:val="20"/>
          <w:szCs w:val="22"/>
          <w:lang w:val="en-GB" w:eastAsia="ja-JP"/>
        </w:rPr>
        <w:t>T</w:t>
      </w:r>
      <w:r w:rsidR="00230104" w:rsidRPr="00C96521">
        <w:rPr>
          <w:rFonts w:eastAsia="MS Mincho" w:cs="Arial"/>
          <w:sz w:val="20"/>
          <w:szCs w:val="22"/>
          <w:lang w:val="en-GB" w:eastAsia="ja-JP"/>
        </w:rPr>
        <w:t>urtle</w:t>
      </w:r>
      <w:r w:rsidR="00230104">
        <w:rPr>
          <w:rFonts w:eastAsia="MS Mincho" w:cs="Arial"/>
          <w:sz w:val="20"/>
          <w:szCs w:val="22"/>
          <w:lang w:val="en-GB" w:eastAsia="ja-JP"/>
        </w:rPr>
        <w:t xml:space="preserve"> D</w:t>
      </w:r>
      <w:r w:rsidR="00230104" w:rsidRPr="00C96521">
        <w:rPr>
          <w:rFonts w:eastAsia="MS Mincho" w:cs="Arial"/>
          <w:sz w:val="20"/>
          <w:szCs w:val="22"/>
          <w:lang w:val="en-GB" w:eastAsia="ja-JP"/>
        </w:rPr>
        <w:t xml:space="preserve">oves </w:t>
      </w:r>
      <w:r w:rsidRPr="00C96521">
        <w:rPr>
          <w:rFonts w:eastAsia="MS Mincho" w:cs="Arial"/>
          <w:sz w:val="20"/>
          <w:szCs w:val="22"/>
          <w:lang w:val="en-GB" w:eastAsia="ja-JP"/>
        </w:rPr>
        <w:t>in European Russia decreased from 1</w:t>
      </w:r>
      <w:r w:rsidR="00230104">
        <w:rPr>
          <w:rFonts w:eastAsia="MS Mincho" w:cs="Arial"/>
          <w:sz w:val="20"/>
          <w:szCs w:val="22"/>
          <w:lang w:val="en-GB" w:eastAsia="ja-JP"/>
        </w:rPr>
        <w:t xml:space="preserve"> million </w:t>
      </w:r>
      <w:r w:rsidRPr="00C96521">
        <w:rPr>
          <w:rFonts w:eastAsia="MS Mincho" w:cs="Arial"/>
          <w:sz w:val="20"/>
          <w:szCs w:val="22"/>
          <w:lang w:val="en-GB" w:eastAsia="ja-JP"/>
        </w:rPr>
        <w:t xml:space="preserve">-2.5 million pairs in 2000 (Mischenko 2004) to 30-80,000 pairs in 2012 (Mischenko </w:t>
      </w:r>
      <w:r w:rsidRPr="00C96521">
        <w:rPr>
          <w:rFonts w:eastAsia="MS Mincho" w:cs="Arial"/>
          <w:i/>
          <w:sz w:val="20"/>
          <w:szCs w:val="22"/>
          <w:lang w:val="en-GB" w:eastAsia="ja-JP"/>
        </w:rPr>
        <w:t>in press</w:t>
      </w:r>
      <w:r w:rsidRPr="00C96521">
        <w:rPr>
          <w:rFonts w:eastAsia="MS Mincho" w:cs="Arial"/>
          <w:sz w:val="20"/>
          <w:szCs w:val="22"/>
          <w:lang w:val="en-GB" w:eastAsia="ja-JP"/>
        </w:rPr>
        <w:t xml:space="preserve">). The scale of the declines in the 1990s-2000s in both the steppe zone with strong farming and the forest zone with much lower intensity farming, points to factors outside the breeding range having a strong negative influence on the Russian population (Alexander Mischenko </w:t>
      </w:r>
      <w:r w:rsidRPr="00C96521">
        <w:rPr>
          <w:rFonts w:eastAsia="MS Mincho" w:cs="Arial"/>
          <w:i/>
          <w:sz w:val="20"/>
          <w:szCs w:val="22"/>
          <w:lang w:val="en-GB" w:eastAsia="ja-JP"/>
        </w:rPr>
        <w:t>pers comm</w:t>
      </w:r>
      <w:r w:rsidRPr="00C96521">
        <w:rPr>
          <w:rFonts w:eastAsia="MS Mincho" w:cs="Arial"/>
          <w:sz w:val="20"/>
          <w:szCs w:val="22"/>
          <w:lang w:val="en-GB" w:eastAsia="ja-JP"/>
        </w:rPr>
        <w:t>).</w:t>
      </w:r>
    </w:p>
    <w:p w14:paraId="280BB72D"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647EFEF4"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In Central Asia (Afghanistan, Kazakhstan, Kyrgyzstan, Tajikistan, Turkmenistan and Uzbekistan) a very simple analysis of opportunistic observations of the species suggests that it has experienced a moderate or possibly strong decline over the past two to four decades (Raffael Ayé </w:t>
      </w:r>
      <w:r w:rsidRPr="00C96521">
        <w:rPr>
          <w:rFonts w:eastAsia="MS Mincho" w:cs="Arial"/>
          <w:i/>
          <w:iCs/>
          <w:sz w:val="20"/>
          <w:szCs w:val="22"/>
          <w:lang w:val="en-GB" w:eastAsia="ja-JP"/>
        </w:rPr>
        <w:t>unpublished</w:t>
      </w:r>
      <w:r w:rsidRPr="00C96521">
        <w:rPr>
          <w:rFonts w:eastAsia="MS Mincho" w:cs="Arial"/>
          <w:sz w:val="20"/>
          <w:szCs w:val="22"/>
          <w:lang w:val="en-GB" w:eastAsia="ja-JP"/>
        </w:rPr>
        <w:t>). In Uzbekistan the species has declined severely over the past 30 years (Roman Kashkarov </w:t>
      </w:r>
      <w:r w:rsidRPr="00C96521">
        <w:rPr>
          <w:rFonts w:eastAsia="MS Mincho" w:cs="Arial"/>
          <w:i/>
          <w:iCs/>
          <w:sz w:val="20"/>
          <w:szCs w:val="22"/>
          <w:lang w:val="en-GB" w:eastAsia="ja-JP"/>
        </w:rPr>
        <w:t>unpublished</w:t>
      </w:r>
      <w:r w:rsidRPr="00C96521">
        <w:rPr>
          <w:rFonts w:eastAsia="MS Mincho" w:cs="Arial"/>
          <w:sz w:val="20"/>
          <w:szCs w:val="22"/>
          <w:lang w:val="en-GB" w:eastAsia="ja-JP"/>
        </w:rPr>
        <w:t xml:space="preserve">). Declines have also been reported from parts of east and south-east Kazakhstan, for example the species is now rare, or even absent in the Manrak Mountains, where it was once common (Wassink and Oreel 2008). </w:t>
      </w:r>
    </w:p>
    <w:p w14:paraId="7707CD06"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01515F16" w14:textId="0348DCBA"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A reduction in turtle-dove numbers on the wintering grounds has also been observed. Despite an increase in rice cultivation in northern Senegal, meaning an increase in an important food resource for the species, declines have still been reported since the 1970s (Zwarts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2009). On the Inner Niger Delta in Mali, numbers of </w:t>
      </w:r>
      <w:r w:rsidR="00230104">
        <w:rPr>
          <w:rFonts w:eastAsia="MS Mincho" w:cs="Arial"/>
          <w:sz w:val="20"/>
          <w:szCs w:val="22"/>
          <w:lang w:val="en-GB" w:eastAsia="ja-JP"/>
        </w:rPr>
        <w:t>T</w:t>
      </w:r>
      <w:r w:rsidR="00230104" w:rsidRPr="00C96521">
        <w:rPr>
          <w:rFonts w:eastAsia="MS Mincho" w:cs="Arial"/>
          <w:sz w:val="20"/>
          <w:szCs w:val="22"/>
          <w:lang w:val="en-GB" w:eastAsia="ja-JP"/>
        </w:rPr>
        <w:t>urtle</w:t>
      </w:r>
      <w:r w:rsidR="00230104">
        <w:rPr>
          <w:rFonts w:eastAsia="MS Mincho" w:cs="Arial"/>
          <w:sz w:val="20"/>
          <w:szCs w:val="22"/>
          <w:lang w:val="en-GB" w:eastAsia="ja-JP"/>
        </w:rPr>
        <w:t xml:space="preserve"> D</w:t>
      </w:r>
      <w:r w:rsidR="00230104" w:rsidRPr="00C96521">
        <w:rPr>
          <w:rFonts w:eastAsia="MS Mincho" w:cs="Arial"/>
          <w:sz w:val="20"/>
          <w:szCs w:val="22"/>
          <w:lang w:val="en-GB" w:eastAsia="ja-JP"/>
        </w:rPr>
        <w:t xml:space="preserve">oves </w:t>
      </w:r>
      <w:r w:rsidRPr="00C96521">
        <w:rPr>
          <w:rFonts w:eastAsia="MS Mincho" w:cs="Arial"/>
          <w:sz w:val="20"/>
          <w:szCs w:val="22"/>
          <w:lang w:val="en-GB" w:eastAsia="ja-JP"/>
        </w:rPr>
        <w:t xml:space="preserve">have dropped dramatically since the droughts of the 1980s from hundreds of thousands pre-drought conditions to just small flocks of at most several dozen over the period 1992-2007 (Zwarts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2009). </w:t>
      </w:r>
    </w:p>
    <w:p w14:paraId="29B984DE"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D2B0321" w14:textId="77777777" w:rsidR="00C96521" w:rsidRPr="00C96521" w:rsidRDefault="00C96521" w:rsidP="00C96521">
      <w:pPr>
        <w:keepNext/>
        <w:keepLines/>
        <w:widowControl/>
        <w:autoSpaceDE/>
        <w:autoSpaceDN/>
        <w:adjustRightInd/>
        <w:spacing w:before="200" w:line="276" w:lineRule="auto"/>
        <w:outlineLvl w:val="1"/>
        <w:rPr>
          <w:rFonts w:ascii="Cambria" w:eastAsia="MS Gothic" w:hAnsi="Cambria"/>
          <w:bCs/>
          <w:color w:val="4F81BD"/>
          <w:sz w:val="26"/>
          <w:szCs w:val="26"/>
          <w:lang w:val="en-GB" w:eastAsia="ja-JP"/>
        </w:rPr>
      </w:pPr>
      <w:bookmarkStart w:id="22" w:name="_Toc478646907"/>
      <w:r w:rsidRPr="00C96521">
        <w:rPr>
          <w:rFonts w:ascii="Cambria" w:eastAsia="MS Gothic" w:hAnsi="Cambria"/>
          <w:b/>
          <w:bCs/>
          <w:color w:val="4F81BD"/>
          <w:sz w:val="26"/>
          <w:szCs w:val="26"/>
          <w:lang w:val="en-GB" w:eastAsia="ja-JP"/>
        </w:rPr>
        <w:t>Breakdown of turtle-dove population trends across Europe</w:t>
      </w:r>
      <w:bookmarkEnd w:id="22"/>
    </w:p>
    <w:p w14:paraId="0623DD19" w14:textId="77777777" w:rsidR="00C96521" w:rsidRPr="00C96521" w:rsidRDefault="00C96521" w:rsidP="00C96521">
      <w:pPr>
        <w:widowControl/>
        <w:autoSpaceDE/>
        <w:autoSpaceDN/>
        <w:adjustRightInd/>
        <w:spacing w:line="276" w:lineRule="auto"/>
        <w:rPr>
          <w:rFonts w:eastAsia="MS Mincho" w:cs="Arial"/>
          <w:b/>
          <w:sz w:val="20"/>
          <w:szCs w:val="22"/>
          <w:lang w:val="en-GB" w:eastAsia="ja-JP"/>
        </w:rPr>
      </w:pPr>
    </w:p>
    <w:p w14:paraId="28E5CA9F"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France/Portugal/Spain</w:t>
      </w:r>
    </w:p>
    <w:p w14:paraId="129AF4A1"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5DA7872C" w14:textId="25D941F8"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All three countries have reported long-term declines in turtle-dove, France and Portugal approaching 50</w:t>
      </w:r>
      <w:r w:rsidR="00230104">
        <w:rPr>
          <w:rFonts w:eastAsia="MS Mincho"/>
          <w:i/>
          <w:sz w:val="20"/>
          <w:szCs w:val="22"/>
          <w:lang w:val="en-GB" w:eastAsia="ja-JP"/>
        </w:rPr>
        <w:t xml:space="preserve"> per cent</w:t>
      </w:r>
      <w:r w:rsidRPr="00C96521">
        <w:rPr>
          <w:rFonts w:eastAsia="MS Mincho"/>
          <w:i/>
          <w:sz w:val="20"/>
          <w:szCs w:val="22"/>
          <w:lang w:val="en-GB" w:eastAsia="ja-JP"/>
        </w:rPr>
        <w:t>, albeit over different time periods (1989-2015 for France and 2004-2011 for Portugal). The Spanish population decreased at a rate approaching 30</w:t>
      </w:r>
      <w:r w:rsidR="00230104">
        <w:rPr>
          <w:rFonts w:eastAsia="MS Mincho"/>
          <w:i/>
          <w:sz w:val="20"/>
          <w:szCs w:val="22"/>
          <w:lang w:val="en-GB" w:eastAsia="ja-JP"/>
        </w:rPr>
        <w:t xml:space="preserve"> per cent</w:t>
      </w:r>
      <w:r w:rsidRPr="00C96521">
        <w:rPr>
          <w:rFonts w:eastAsia="MS Mincho"/>
          <w:i/>
          <w:sz w:val="20"/>
          <w:szCs w:val="22"/>
          <w:lang w:val="en-GB" w:eastAsia="ja-JP"/>
        </w:rPr>
        <w:t xml:space="preserve"> between 1998 and 2013. In the European Red List of Birds, the long-term population trends for these countries were assessed as 20-30</w:t>
      </w:r>
      <w:r w:rsidR="00230104">
        <w:rPr>
          <w:rFonts w:eastAsia="MS Mincho"/>
          <w:i/>
          <w:sz w:val="20"/>
          <w:szCs w:val="22"/>
          <w:lang w:val="en-GB" w:eastAsia="ja-JP"/>
        </w:rPr>
        <w:t xml:space="preserve"> per cent</w:t>
      </w:r>
      <w:r w:rsidRPr="00C96521">
        <w:rPr>
          <w:rFonts w:eastAsia="MS Mincho"/>
          <w:i/>
          <w:sz w:val="20"/>
          <w:szCs w:val="22"/>
          <w:lang w:val="en-GB" w:eastAsia="ja-JP"/>
        </w:rPr>
        <w:t xml:space="preserve"> decline for France and 20-40</w:t>
      </w:r>
      <w:r w:rsidR="00230104">
        <w:rPr>
          <w:rFonts w:eastAsia="MS Mincho"/>
          <w:i/>
          <w:sz w:val="20"/>
          <w:szCs w:val="22"/>
          <w:lang w:val="en-GB" w:eastAsia="ja-JP"/>
        </w:rPr>
        <w:t xml:space="preserve"> per cent</w:t>
      </w:r>
      <w:r w:rsidRPr="00C96521">
        <w:rPr>
          <w:rFonts w:eastAsia="MS Mincho"/>
          <w:i/>
          <w:sz w:val="20"/>
          <w:szCs w:val="22"/>
          <w:lang w:val="en-GB" w:eastAsia="ja-JP"/>
        </w:rPr>
        <w:t xml:space="preserve"> decline for Portugal (BirdLife International 2015). In both France and Spain, some areas have experienced increasing or stable populations.</w:t>
      </w:r>
    </w:p>
    <w:p w14:paraId="7EF99625"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p>
    <w:p w14:paraId="4802109D" w14:textId="08B6FD39"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The turtle-dove in France underwent a decrease of 48</w:t>
      </w:r>
      <w:r w:rsidR="00230104">
        <w:rPr>
          <w:rFonts w:eastAsia="MS Mincho"/>
          <w:sz w:val="20"/>
          <w:szCs w:val="22"/>
          <w:lang w:val="en-GB" w:eastAsia="ja-JP"/>
        </w:rPr>
        <w:t xml:space="preserve"> per cent</w:t>
      </w:r>
      <w:r w:rsidRPr="00C96521">
        <w:rPr>
          <w:rFonts w:eastAsia="MS Mincho"/>
          <w:sz w:val="20"/>
          <w:szCs w:val="22"/>
          <w:lang w:val="en-GB" w:eastAsia="ja-JP"/>
        </w:rPr>
        <w:t xml:space="preserve"> between 1989 and 2015, while in the last 10 years it decreased by 44</w:t>
      </w:r>
      <w:r w:rsidR="00230104">
        <w:rPr>
          <w:rFonts w:eastAsia="MS Mincho"/>
          <w:sz w:val="20"/>
          <w:szCs w:val="22"/>
          <w:lang w:val="en-GB" w:eastAsia="ja-JP"/>
        </w:rPr>
        <w:t xml:space="preserve"> per cent</w:t>
      </w:r>
      <w:r w:rsidRPr="00C96521">
        <w:rPr>
          <w:rFonts w:eastAsia="MS Mincho"/>
          <w:sz w:val="20"/>
          <w:szCs w:val="22"/>
          <w:lang w:val="en-GB" w:eastAsia="ja-JP"/>
        </w:rPr>
        <w:t xml:space="preserve"> (Jiguet 2016). A strong population decrease was observed in 2008, probably explained by low temperatures and heavy rains (Roux </w:t>
      </w:r>
      <w:r w:rsidRPr="00C96521">
        <w:rPr>
          <w:rFonts w:eastAsia="MS Mincho"/>
          <w:i/>
          <w:sz w:val="20"/>
          <w:szCs w:val="22"/>
          <w:lang w:val="en-GB" w:eastAsia="ja-JP"/>
        </w:rPr>
        <w:t>et al</w:t>
      </w:r>
      <w:r w:rsidRPr="00C96521">
        <w:rPr>
          <w:rFonts w:eastAsia="MS Mincho"/>
          <w:sz w:val="20"/>
          <w:szCs w:val="22"/>
          <w:lang w:val="en-GB" w:eastAsia="ja-JP"/>
        </w:rPr>
        <w:t xml:space="preserve"> 2011). A strong decline was detected in the 1970s-</w:t>
      </w:r>
      <w:r w:rsidR="00230104">
        <w:rPr>
          <w:rFonts w:eastAsia="MS Mincho"/>
          <w:sz w:val="20"/>
          <w:szCs w:val="22"/>
          <w:lang w:val="en-GB" w:eastAsia="ja-JP"/>
        </w:rPr>
        <w:t>‘</w:t>
      </w:r>
      <w:r w:rsidRPr="00C96521">
        <w:rPr>
          <w:rFonts w:eastAsia="MS Mincho"/>
          <w:sz w:val="20"/>
          <w:szCs w:val="22"/>
          <w:lang w:val="en-GB" w:eastAsia="ja-JP"/>
        </w:rPr>
        <w:t>80s with an effective reduction of at least 50</w:t>
      </w:r>
      <w:r w:rsidR="00230104">
        <w:rPr>
          <w:rFonts w:eastAsia="MS Mincho"/>
          <w:sz w:val="20"/>
          <w:szCs w:val="22"/>
          <w:lang w:val="en-GB" w:eastAsia="ja-JP"/>
        </w:rPr>
        <w:t xml:space="preserve"> per cent</w:t>
      </w:r>
      <w:r w:rsidRPr="00C96521">
        <w:rPr>
          <w:rFonts w:eastAsia="MS Mincho"/>
          <w:sz w:val="20"/>
          <w:szCs w:val="22"/>
          <w:lang w:val="en-GB" w:eastAsia="ja-JP"/>
        </w:rPr>
        <w:t xml:space="preserve"> in the following </w:t>
      </w:r>
      <w:r w:rsidR="001523DA">
        <w:rPr>
          <w:rFonts w:eastAsia="MS Mincho"/>
          <w:sz w:val="20"/>
          <w:szCs w:val="22"/>
          <w:lang w:val="en-GB" w:eastAsia="ja-JP"/>
        </w:rPr>
        <w:t>regions/</w:t>
      </w:r>
      <w:r w:rsidRPr="00C96521">
        <w:rPr>
          <w:rFonts w:eastAsia="MS Mincho"/>
          <w:sz w:val="20"/>
          <w:szCs w:val="22"/>
          <w:lang w:val="en-GB" w:eastAsia="ja-JP"/>
        </w:rPr>
        <w:t xml:space="preserve">departments: Bretagne, Charente, Vendée, Centre, Île-de-France, Champagne, Rhône-Alpes, Midi-Pyrénées (Dubois </w:t>
      </w:r>
      <w:r w:rsidRPr="00C96521">
        <w:rPr>
          <w:rFonts w:eastAsia="MS Mincho"/>
          <w:i/>
          <w:sz w:val="20"/>
          <w:szCs w:val="22"/>
          <w:lang w:val="en-GB" w:eastAsia="ja-JP"/>
        </w:rPr>
        <w:t>et al</w:t>
      </w:r>
      <w:r w:rsidRPr="00C96521">
        <w:rPr>
          <w:rFonts w:eastAsia="MS Mincho"/>
          <w:sz w:val="20"/>
          <w:szCs w:val="22"/>
          <w:lang w:val="en-GB" w:eastAsia="ja-JP"/>
        </w:rPr>
        <w:t xml:space="preserve"> 2008). Populations were stable or declines weaker in: Normandie, Loir-et-Cher, Franche-Comté and Haute-Provence. Overall stability (or even a slight increase) followed in the 1990s, but with different trends across the regions. At a sub-national scale, three French regions experienced increases in the </w:t>
      </w:r>
      <w:r w:rsidR="00691BFF">
        <w:rPr>
          <w:rFonts w:eastAsia="MS Mincho" w:cs="Arial"/>
          <w:sz w:val="20"/>
          <w:szCs w:val="22"/>
          <w:lang w:val="en-GB" w:eastAsia="ja-JP"/>
        </w:rPr>
        <w:t>T</w:t>
      </w:r>
      <w:r w:rsidR="00691BFF" w:rsidRPr="00C96521">
        <w:rPr>
          <w:rFonts w:eastAsia="MS Mincho" w:cs="Arial"/>
          <w:sz w:val="20"/>
          <w:szCs w:val="22"/>
          <w:lang w:val="en-GB" w:eastAsia="ja-JP"/>
        </w:rPr>
        <w:t>urtle</w:t>
      </w:r>
      <w:r w:rsidR="00691BFF">
        <w:rPr>
          <w:rFonts w:eastAsia="MS Mincho" w:cs="Arial"/>
          <w:sz w:val="20"/>
          <w:szCs w:val="22"/>
          <w:lang w:val="en-GB" w:eastAsia="ja-JP"/>
        </w:rPr>
        <w:t xml:space="preserve"> Dove </w:t>
      </w:r>
      <w:r w:rsidRPr="00C96521">
        <w:rPr>
          <w:rFonts w:eastAsia="MS Mincho"/>
          <w:sz w:val="20"/>
          <w:szCs w:val="22"/>
          <w:lang w:val="en-GB" w:eastAsia="ja-JP"/>
        </w:rPr>
        <w:t>population index, namely Languedoc-Rou</w:t>
      </w:r>
      <w:r w:rsidR="00691BFF">
        <w:rPr>
          <w:rFonts w:eastAsia="MS Mincho"/>
          <w:sz w:val="20"/>
          <w:szCs w:val="22"/>
          <w:lang w:val="en-GB" w:eastAsia="ja-JP"/>
        </w:rPr>
        <w:t>s</w:t>
      </w:r>
      <w:r w:rsidRPr="00C96521">
        <w:rPr>
          <w:rFonts w:eastAsia="MS Mincho"/>
          <w:sz w:val="20"/>
          <w:szCs w:val="22"/>
          <w:lang w:val="en-GB" w:eastAsia="ja-JP"/>
        </w:rPr>
        <w:t xml:space="preserve">sillon, Aquitaine and Poitou-Charentes (Roux </w:t>
      </w:r>
      <w:r w:rsidRPr="00C96521">
        <w:rPr>
          <w:rFonts w:eastAsia="MS Mincho"/>
          <w:i/>
          <w:sz w:val="20"/>
          <w:szCs w:val="22"/>
          <w:lang w:val="en-GB" w:eastAsia="ja-JP"/>
        </w:rPr>
        <w:t>et al</w:t>
      </w:r>
      <w:r w:rsidRPr="00C96521">
        <w:rPr>
          <w:rFonts w:eastAsia="MS Mincho"/>
          <w:sz w:val="20"/>
          <w:szCs w:val="22"/>
          <w:lang w:val="en-GB" w:eastAsia="ja-JP"/>
        </w:rPr>
        <w:t xml:space="preserve"> 2011). All other regions experienced stable or downward trends. Declines appear strongest in those regions where the species was least abundant and the increases were in regions known to be strongholds for the species (Roux </w:t>
      </w:r>
      <w:r w:rsidRPr="00C96521">
        <w:rPr>
          <w:rFonts w:eastAsia="MS Mincho"/>
          <w:i/>
          <w:sz w:val="20"/>
          <w:szCs w:val="22"/>
          <w:lang w:val="en-GB" w:eastAsia="ja-JP"/>
        </w:rPr>
        <w:t>et al</w:t>
      </w:r>
      <w:r w:rsidRPr="00C96521">
        <w:rPr>
          <w:rFonts w:eastAsia="MS Mincho"/>
          <w:sz w:val="20"/>
          <w:szCs w:val="22"/>
          <w:lang w:val="en-GB" w:eastAsia="ja-JP"/>
        </w:rPr>
        <w:t xml:space="preserve"> 2011). Overall it appears that the end of the breeding season in France is getting earlier, this shortening of the breeding season being similar to trends observed in the UK (Lormée 2013). Woodland groves/thickets were identified as the most important nesting habitat for the species (supporting 46.2</w:t>
      </w:r>
      <w:r w:rsidR="00691BFF">
        <w:rPr>
          <w:rFonts w:eastAsia="MS Mincho"/>
          <w:sz w:val="20"/>
          <w:szCs w:val="22"/>
          <w:lang w:val="en-GB" w:eastAsia="ja-JP"/>
        </w:rPr>
        <w:t xml:space="preserve"> per cent</w:t>
      </w:r>
      <w:r w:rsidRPr="00C96521">
        <w:rPr>
          <w:rFonts w:eastAsia="MS Mincho"/>
          <w:sz w:val="20"/>
          <w:szCs w:val="22"/>
          <w:lang w:val="en-GB" w:eastAsia="ja-JP"/>
        </w:rPr>
        <w:t xml:space="preserve"> nests studied), followed by agricultural land (33</w:t>
      </w:r>
      <w:r w:rsidR="00691BFF">
        <w:rPr>
          <w:rFonts w:eastAsia="MS Mincho"/>
          <w:sz w:val="20"/>
          <w:szCs w:val="22"/>
          <w:lang w:val="en-GB" w:eastAsia="ja-JP"/>
        </w:rPr>
        <w:t xml:space="preserve"> per cent</w:t>
      </w:r>
      <w:r w:rsidR="00691BFF" w:rsidRPr="00C96521">
        <w:rPr>
          <w:rFonts w:eastAsia="MS Mincho"/>
          <w:sz w:val="20"/>
          <w:szCs w:val="22"/>
          <w:lang w:val="en-GB" w:eastAsia="ja-JP"/>
        </w:rPr>
        <w:t xml:space="preserve"> </w:t>
      </w:r>
      <w:r w:rsidRPr="00C96521">
        <w:rPr>
          <w:rFonts w:eastAsia="MS Mincho"/>
          <w:sz w:val="20"/>
          <w:szCs w:val="22"/>
          <w:lang w:val="en-GB" w:eastAsia="ja-JP"/>
        </w:rPr>
        <w:t>nests).</w:t>
      </w:r>
    </w:p>
    <w:p w14:paraId="12442497"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5B3C6841" w14:textId="402BDF5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Portugal, the species is distributed across the country with highest relative abundance in the far north, centre and far south (Equipa Atlas 2008).The core areas for the breeding population are mainly north of the Tagus river. Areas along the Guadiana valley and the lowlands of central/coastal areas near Lisbon are considered important for breeding and post-breeding populations (Dias </w:t>
      </w:r>
      <w:r w:rsidRPr="00C96521">
        <w:rPr>
          <w:rFonts w:eastAsia="MS Mincho"/>
          <w:i/>
          <w:sz w:val="20"/>
          <w:szCs w:val="22"/>
          <w:lang w:val="en-GB" w:eastAsia="ja-JP"/>
        </w:rPr>
        <w:t>et al</w:t>
      </w:r>
      <w:r w:rsidRPr="00C96521">
        <w:rPr>
          <w:rFonts w:eastAsia="MS Mincho"/>
          <w:sz w:val="20"/>
          <w:szCs w:val="22"/>
          <w:lang w:val="en-GB" w:eastAsia="ja-JP"/>
        </w:rPr>
        <w:t xml:space="preserve"> 2013, Dias 2016). The species underwent a decline of 49</w:t>
      </w:r>
      <w:r w:rsidR="00691BFF">
        <w:rPr>
          <w:rFonts w:eastAsia="MS Mincho"/>
          <w:sz w:val="20"/>
          <w:szCs w:val="22"/>
          <w:lang w:val="en-GB" w:eastAsia="ja-JP"/>
        </w:rPr>
        <w:t xml:space="preserve"> per cent</w:t>
      </w:r>
      <w:r w:rsidR="00691BFF" w:rsidRPr="00C96521">
        <w:rPr>
          <w:rFonts w:eastAsia="MS Mincho"/>
          <w:sz w:val="20"/>
          <w:szCs w:val="22"/>
          <w:lang w:val="en-GB" w:eastAsia="ja-JP"/>
        </w:rPr>
        <w:t xml:space="preserve"> </w:t>
      </w:r>
      <w:r w:rsidRPr="00C96521">
        <w:rPr>
          <w:rFonts w:eastAsia="MS Mincho"/>
          <w:sz w:val="20"/>
          <w:szCs w:val="22"/>
          <w:lang w:val="en-GB" w:eastAsia="ja-JP"/>
        </w:rPr>
        <w:t xml:space="preserve">between 2004 and 2011 (Meirinho </w:t>
      </w:r>
      <w:r w:rsidRPr="00C96521">
        <w:rPr>
          <w:rFonts w:eastAsia="MS Mincho"/>
          <w:i/>
          <w:sz w:val="20"/>
          <w:szCs w:val="22"/>
          <w:lang w:val="en-GB" w:eastAsia="ja-JP"/>
        </w:rPr>
        <w:t>et al</w:t>
      </w:r>
      <w:r w:rsidRPr="00C96521">
        <w:rPr>
          <w:rFonts w:eastAsia="MS Mincho"/>
          <w:sz w:val="20"/>
          <w:szCs w:val="22"/>
          <w:lang w:val="en-GB" w:eastAsia="ja-JP"/>
        </w:rPr>
        <w:t xml:space="preserve"> 2013). From 1994 to 2004 the decline was evaluated as moderate (annual rate -6.9 </w:t>
      </w:r>
      <w:r w:rsidR="00691BFF">
        <w:rPr>
          <w:rFonts w:eastAsia="MS Mincho"/>
          <w:sz w:val="20"/>
          <w:szCs w:val="22"/>
          <w:lang w:val="en-GB" w:eastAsia="ja-JP"/>
        </w:rPr>
        <w:t>per cent</w:t>
      </w:r>
      <w:r w:rsidR="00691BFF" w:rsidRPr="00C96521">
        <w:rPr>
          <w:rFonts w:eastAsia="MS Mincho"/>
          <w:sz w:val="20"/>
          <w:szCs w:val="22"/>
          <w:lang w:val="en-GB" w:eastAsia="ja-JP"/>
        </w:rPr>
        <w:t xml:space="preserve">). </w:t>
      </w:r>
      <w:r w:rsidRPr="00C96521">
        <w:rPr>
          <w:rFonts w:eastAsia="MS Mincho"/>
          <w:sz w:val="20"/>
          <w:szCs w:val="22"/>
          <w:lang w:val="en-GB" w:eastAsia="ja-JP"/>
        </w:rPr>
        <w:t>During this period, the highest declines were observed in those regions where the breeding population was concentrated. The long-term decline (1994-2011) was evaluated as moderate using the Pan-European Common Bird Monitoring Scheme as a common approach to analyse the data from two different monitoring schemes (Dias 2016).</w:t>
      </w:r>
    </w:p>
    <w:p w14:paraId="377876AE"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36DCEB9" w14:textId="5C803FDB"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In Spain, the species underwent a population decline of 22.96</w:t>
      </w:r>
      <w:r w:rsidR="00691BFF">
        <w:rPr>
          <w:rFonts w:eastAsia="MS Mincho" w:cs="Arial"/>
          <w:sz w:val="20"/>
          <w:szCs w:val="22"/>
          <w:lang w:val="en-GB" w:eastAsia="ja-JP"/>
        </w:rPr>
        <w:t xml:space="preserve"> per cent</w:t>
      </w:r>
      <w:r w:rsidRPr="00C96521">
        <w:rPr>
          <w:rFonts w:eastAsia="MS Mincho" w:cs="Arial"/>
          <w:sz w:val="20"/>
          <w:szCs w:val="22"/>
          <w:lang w:val="en-GB" w:eastAsia="ja-JP"/>
        </w:rPr>
        <w:t xml:space="preserve"> between 1998 and 2015 (SEO/BirdLife 2016b). Following a slight increase in 2007, the population has since undergone a strong decline with the population index in 2015 the lowest recorded over the 1998-2015 period. At a sub-national scale the decline has been strongest in the Eurosiberiana biogeographic region (northern Spain) where the population trend over the period 1998-2015 was -69.80</w:t>
      </w:r>
      <w:r w:rsidR="00691BFF">
        <w:rPr>
          <w:rFonts w:eastAsia="MS Mincho" w:cs="Arial"/>
          <w:sz w:val="20"/>
          <w:szCs w:val="22"/>
          <w:lang w:val="en-GB" w:eastAsia="ja-JP"/>
        </w:rPr>
        <w:t xml:space="preserve"> per cent</w:t>
      </w:r>
      <w:r w:rsidR="00691BFF" w:rsidRPr="00C96521">
        <w:rPr>
          <w:rFonts w:eastAsia="MS Mincho" w:cs="Arial"/>
          <w:sz w:val="20"/>
          <w:szCs w:val="22"/>
          <w:lang w:val="en-GB" w:eastAsia="ja-JP"/>
        </w:rPr>
        <w:t xml:space="preserve"> </w:t>
      </w:r>
      <w:r w:rsidRPr="00C96521">
        <w:rPr>
          <w:rFonts w:eastAsia="MS Mincho" w:cs="Arial"/>
          <w:sz w:val="20"/>
          <w:szCs w:val="22"/>
          <w:lang w:val="en-GB" w:eastAsia="ja-JP"/>
        </w:rPr>
        <w:t xml:space="preserve">(SEO/BirdLife 2016b). This was followed by the </w:t>
      </w:r>
      <w:r w:rsidR="00691BFF">
        <w:rPr>
          <w:rFonts w:eastAsia="MS Mincho" w:cs="Arial"/>
          <w:sz w:val="20"/>
          <w:szCs w:val="22"/>
          <w:lang w:val="en-GB" w:eastAsia="ja-JP"/>
        </w:rPr>
        <w:t>M</w:t>
      </w:r>
      <w:r w:rsidRPr="00C96521">
        <w:rPr>
          <w:rFonts w:eastAsia="MS Mincho" w:cs="Arial"/>
          <w:sz w:val="20"/>
          <w:szCs w:val="22"/>
          <w:lang w:val="en-GB" w:eastAsia="ja-JP"/>
        </w:rPr>
        <w:t xml:space="preserve">editerránea </w:t>
      </w:r>
      <w:r w:rsidR="00691BFF">
        <w:rPr>
          <w:rFonts w:eastAsia="MS Mincho" w:cs="Arial"/>
          <w:sz w:val="20"/>
          <w:szCs w:val="22"/>
          <w:lang w:val="en-GB" w:eastAsia="ja-JP"/>
        </w:rPr>
        <w:t>S</w:t>
      </w:r>
      <w:r w:rsidRPr="00C96521">
        <w:rPr>
          <w:rFonts w:eastAsia="MS Mincho" w:cs="Arial"/>
          <w:sz w:val="20"/>
          <w:szCs w:val="22"/>
          <w:lang w:val="en-GB" w:eastAsia="ja-JP"/>
        </w:rPr>
        <w:t>ur area (central, southern and eastern Spain) where the population decreased 28.59</w:t>
      </w:r>
      <w:r w:rsidR="00691BFF">
        <w:rPr>
          <w:rFonts w:eastAsia="MS Mincho" w:cs="Arial"/>
          <w:sz w:val="20"/>
          <w:szCs w:val="22"/>
          <w:lang w:val="en-GB" w:eastAsia="ja-JP"/>
        </w:rPr>
        <w:t xml:space="preserve"> per cent</w:t>
      </w:r>
      <w:r w:rsidRPr="00C96521">
        <w:rPr>
          <w:rFonts w:eastAsia="MS Mincho" w:cs="Arial"/>
          <w:sz w:val="20"/>
          <w:szCs w:val="22"/>
          <w:lang w:val="en-GB" w:eastAsia="ja-JP"/>
        </w:rPr>
        <w:t xml:space="preserve"> between 1998 and 2015 and the </w:t>
      </w:r>
      <w:r w:rsidR="00691BFF">
        <w:rPr>
          <w:rFonts w:eastAsia="MS Mincho" w:cs="Arial"/>
          <w:sz w:val="20"/>
          <w:szCs w:val="22"/>
          <w:lang w:val="en-GB" w:eastAsia="ja-JP"/>
        </w:rPr>
        <w:t>M</w:t>
      </w:r>
      <w:r w:rsidRPr="00C96521">
        <w:rPr>
          <w:rFonts w:eastAsia="MS Mincho" w:cs="Arial"/>
          <w:sz w:val="20"/>
          <w:szCs w:val="22"/>
          <w:lang w:val="en-GB" w:eastAsia="ja-JP"/>
        </w:rPr>
        <w:t xml:space="preserve">editerránea </w:t>
      </w:r>
      <w:r w:rsidR="00691BFF">
        <w:rPr>
          <w:rFonts w:eastAsia="MS Mincho" w:cs="Arial"/>
          <w:sz w:val="20"/>
          <w:szCs w:val="22"/>
          <w:lang w:val="en-GB" w:eastAsia="ja-JP"/>
        </w:rPr>
        <w:t>N</w:t>
      </w:r>
      <w:r w:rsidRPr="00C96521">
        <w:rPr>
          <w:rFonts w:eastAsia="MS Mincho" w:cs="Arial"/>
          <w:sz w:val="20"/>
          <w:szCs w:val="22"/>
          <w:lang w:val="en-GB" w:eastAsia="ja-JP"/>
        </w:rPr>
        <w:t>orte area (to the south of the Eurosiberiana area in the north of Spain) where the decrease was 7</w:t>
      </w:r>
      <w:r w:rsidR="00691BFF">
        <w:rPr>
          <w:rFonts w:eastAsia="MS Mincho" w:cs="Arial"/>
          <w:sz w:val="20"/>
          <w:szCs w:val="22"/>
          <w:lang w:val="en-GB" w:eastAsia="ja-JP"/>
        </w:rPr>
        <w:t xml:space="preserve"> per cent</w:t>
      </w:r>
      <w:r w:rsidRPr="00C96521">
        <w:rPr>
          <w:rFonts w:eastAsia="MS Mincho" w:cs="Arial"/>
          <w:sz w:val="20"/>
          <w:szCs w:val="22"/>
          <w:lang w:val="en-GB" w:eastAsia="ja-JP"/>
        </w:rPr>
        <w:t xml:space="preserve"> over the same period. In contrast to these declines, the population in Catalonia remained stable between 2002 and 2015 (ICO 2016). A new analysis shows an even stronger national decline of 40</w:t>
      </w:r>
      <w:r w:rsidR="00691BFF">
        <w:rPr>
          <w:rFonts w:eastAsia="MS Mincho" w:cs="Arial"/>
          <w:sz w:val="20"/>
          <w:szCs w:val="22"/>
          <w:lang w:val="en-GB" w:eastAsia="ja-JP"/>
        </w:rPr>
        <w:t xml:space="preserve"> per cent</w:t>
      </w:r>
      <w:r w:rsidRPr="00C96521">
        <w:rPr>
          <w:rFonts w:eastAsia="MS Mincho" w:cs="Arial"/>
          <w:sz w:val="20"/>
          <w:szCs w:val="22"/>
          <w:lang w:val="en-GB" w:eastAsia="ja-JP"/>
        </w:rPr>
        <w:t xml:space="preserve"> between 1996 and 2016, including significant declines in ten regions: </w:t>
      </w:r>
      <w:r w:rsidR="001523DA">
        <w:rPr>
          <w:rFonts w:eastAsia="MS Mincho" w:cs="Arial"/>
          <w:sz w:val="20"/>
          <w:szCs w:val="22"/>
          <w:lang w:val="en-GB" w:eastAsia="ja-JP"/>
        </w:rPr>
        <w:t>Basque Country</w:t>
      </w:r>
      <w:r w:rsidRPr="00C96521">
        <w:rPr>
          <w:rFonts w:eastAsia="MS Mincho" w:cs="Arial"/>
          <w:sz w:val="20"/>
          <w:szCs w:val="22"/>
          <w:lang w:val="en-GB" w:eastAsia="ja-JP"/>
        </w:rPr>
        <w:t>, Galicia, Andalucia, Catal</w:t>
      </w:r>
      <w:r w:rsidR="001523DA">
        <w:rPr>
          <w:rFonts w:eastAsia="MS Mincho" w:cs="Arial"/>
          <w:sz w:val="20"/>
          <w:szCs w:val="22"/>
          <w:lang w:val="en-GB" w:eastAsia="ja-JP"/>
        </w:rPr>
        <w:t>o</w:t>
      </w:r>
      <w:r w:rsidRPr="00C96521">
        <w:rPr>
          <w:rFonts w:eastAsia="MS Mincho" w:cs="Arial"/>
          <w:sz w:val="20"/>
          <w:szCs w:val="22"/>
          <w:lang w:val="en-GB" w:eastAsia="ja-JP"/>
        </w:rPr>
        <w:t>n</w:t>
      </w:r>
      <w:r w:rsidR="001523DA">
        <w:rPr>
          <w:rFonts w:eastAsia="MS Mincho" w:cs="Arial"/>
          <w:sz w:val="20"/>
          <w:szCs w:val="22"/>
          <w:lang w:val="en-GB" w:eastAsia="ja-JP"/>
        </w:rPr>
        <w:t>i</w:t>
      </w:r>
      <w:r w:rsidRPr="00C96521">
        <w:rPr>
          <w:rFonts w:eastAsia="MS Mincho" w:cs="Arial"/>
          <w:sz w:val="20"/>
          <w:szCs w:val="22"/>
          <w:lang w:val="en-GB" w:eastAsia="ja-JP"/>
        </w:rPr>
        <w:t>a, Castill</w:t>
      </w:r>
      <w:r w:rsidR="001523DA">
        <w:rPr>
          <w:rFonts w:eastAsia="MS Mincho" w:cs="Arial"/>
          <w:sz w:val="20"/>
          <w:szCs w:val="22"/>
          <w:lang w:val="en-GB" w:eastAsia="ja-JP"/>
        </w:rPr>
        <w:t>e</w:t>
      </w:r>
      <w:r w:rsidRPr="00C96521">
        <w:rPr>
          <w:rFonts w:eastAsia="MS Mincho" w:cs="Arial"/>
          <w:sz w:val="20"/>
          <w:szCs w:val="22"/>
          <w:lang w:val="en-GB" w:eastAsia="ja-JP"/>
        </w:rPr>
        <w:t xml:space="preserve"> la Mancha, Castill</w:t>
      </w:r>
      <w:r w:rsidR="00AC5AD4">
        <w:rPr>
          <w:rFonts w:eastAsia="MS Mincho" w:cs="Arial"/>
          <w:sz w:val="20"/>
          <w:szCs w:val="22"/>
          <w:lang w:val="en-GB" w:eastAsia="ja-JP"/>
        </w:rPr>
        <w:t>e</w:t>
      </w:r>
      <w:r w:rsidRPr="00C96521">
        <w:rPr>
          <w:rFonts w:eastAsia="MS Mincho" w:cs="Arial"/>
          <w:sz w:val="20"/>
          <w:szCs w:val="22"/>
          <w:lang w:val="en-GB" w:eastAsia="ja-JP"/>
        </w:rPr>
        <w:t xml:space="preserve"> </w:t>
      </w:r>
      <w:r w:rsidR="00AC5AD4">
        <w:rPr>
          <w:rFonts w:eastAsia="MS Mincho" w:cs="Arial"/>
          <w:sz w:val="20"/>
          <w:szCs w:val="22"/>
          <w:lang w:val="en-GB" w:eastAsia="ja-JP"/>
        </w:rPr>
        <w:t>and</w:t>
      </w:r>
      <w:r w:rsidRPr="00C96521">
        <w:rPr>
          <w:rFonts w:eastAsia="MS Mincho" w:cs="Arial"/>
          <w:sz w:val="20"/>
          <w:szCs w:val="22"/>
          <w:lang w:val="en-GB" w:eastAsia="ja-JP"/>
        </w:rPr>
        <w:t xml:space="preserve"> León, Valencia</w:t>
      </w:r>
      <w:r w:rsidR="001523DA">
        <w:rPr>
          <w:rFonts w:eastAsia="MS Mincho" w:cs="Arial"/>
          <w:sz w:val="20"/>
          <w:szCs w:val="22"/>
          <w:lang w:val="en-GB" w:eastAsia="ja-JP"/>
        </w:rPr>
        <w:t>n Community</w:t>
      </w:r>
      <w:r w:rsidRPr="00C96521">
        <w:rPr>
          <w:rFonts w:eastAsia="MS Mincho" w:cs="Arial"/>
          <w:sz w:val="20"/>
          <w:szCs w:val="22"/>
          <w:lang w:val="en-GB" w:eastAsia="ja-JP"/>
        </w:rPr>
        <w:t>, Madrid, Aragón and Extremadura (SEO/BirdLife 2016a). One region showed a significant increase (Navarr</w:t>
      </w:r>
      <w:r w:rsidR="001523DA">
        <w:rPr>
          <w:rFonts w:eastAsia="MS Mincho" w:cs="Arial"/>
          <w:sz w:val="20"/>
          <w:szCs w:val="22"/>
          <w:lang w:val="en-GB" w:eastAsia="ja-JP"/>
        </w:rPr>
        <w:t>e</w:t>
      </w:r>
      <w:r w:rsidRPr="00C96521">
        <w:rPr>
          <w:rFonts w:eastAsia="MS Mincho" w:cs="Arial"/>
          <w:sz w:val="20"/>
          <w:szCs w:val="22"/>
          <w:lang w:val="en-GB" w:eastAsia="ja-JP"/>
        </w:rPr>
        <w:t xml:space="preserve"> and two regions showed no significant trends (Rioja and Murcia). In Navarr</w:t>
      </w:r>
      <w:r w:rsidR="001523DA">
        <w:rPr>
          <w:rFonts w:eastAsia="MS Mincho" w:cs="Arial"/>
          <w:sz w:val="20"/>
          <w:szCs w:val="22"/>
          <w:lang w:val="en-GB" w:eastAsia="ja-JP"/>
        </w:rPr>
        <w:t>e</w:t>
      </w:r>
      <w:r w:rsidRPr="00C96521">
        <w:rPr>
          <w:rFonts w:eastAsia="MS Mincho" w:cs="Arial"/>
          <w:sz w:val="20"/>
          <w:szCs w:val="22"/>
          <w:lang w:val="en-GB" w:eastAsia="ja-JP"/>
        </w:rPr>
        <w:t xml:space="preserve"> where the population increased, the increase was due to a high number of observations in 2016 compared to previous years when the population was somewhat stable. Declines were most marked in Galicia and Pais Vasco.</w:t>
      </w:r>
    </w:p>
    <w:p w14:paraId="46A05D0F"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111ED7BA"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Belgium/Denmark/Germany/Luxembourg/Netherlands/UK</w:t>
      </w:r>
    </w:p>
    <w:p w14:paraId="6746B4CA"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1E928865"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In the northern part of the western flyway, populations are generally declining and in some areas the species has been lost from certain areas. For example, it no longer uses urban parks for nesting in Belgium. Declines in Flanders have been most dramatic in agricultural regions, while in the Netherlands declines were strongest in woodland followed by agricultural areas, while the species remained generally stable in marsh habitats. In the UK, the species underwent a strong retraction from Wales, the south-west, Midlands and northern England, and is now absent from these regions.</w:t>
      </w:r>
    </w:p>
    <w:p w14:paraId="76874A74"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p>
    <w:p w14:paraId="3F403415" w14:textId="34935496"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The species was considered very common in the north and less common in the central and southern regions of Belgium according to the 1972 Atlas (Lippens and Wille 1972). In 1988, a decline was inferred due to an increase in changes to habitat: changes in grassland crops, and agricultural intensification, with associated loss of hedges, groves, country lanes, vegetated stream banks and other linear features in the farmed environment (Devillers </w:t>
      </w:r>
      <w:r w:rsidRPr="00C96521">
        <w:rPr>
          <w:rFonts w:eastAsia="MS Mincho"/>
          <w:i/>
          <w:sz w:val="20"/>
          <w:szCs w:val="22"/>
          <w:lang w:val="en-GB" w:eastAsia="ja-JP"/>
        </w:rPr>
        <w:t>et al</w:t>
      </w:r>
      <w:r w:rsidRPr="00C96521">
        <w:rPr>
          <w:rFonts w:eastAsia="MS Mincho"/>
          <w:sz w:val="20"/>
          <w:szCs w:val="22"/>
          <w:lang w:val="en-GB" w:eastAsia="ja-JP"/>
        </w:rPr>
        <w:t xml:space="preserve"> 1988). While urban parks were previously used for nesting, in the 1988 atlas these were no longer considered a breeding habitat. The population of </w:t>
      </w:r>
      <w:r w:rsidR="00691BFF">
        <w:rPr>
          <w:rFonts w:eastAsia="MS Mincho" w:cs="Arial"/>
          <w:sz w:val="20"/>
          <w:szCs w:val="22"/>
          <w:lang w:val="en-GB" w:eastAsia="ja-JP"/>
        </w:rPr>
        <w:t>T</w:t>
      </w:r>
      <w:r w:rsidR="00691BFF" w:rsidRPr="00C96521">
        <w:rPr>
          <w:rFonts w:eastAsia="MS Mincho" w:cs="Arial"/>
          <w:sz w:val="20"/>
          <w:szCs w:val="22"/>
          <w:lang w:val="en-GB" w:eastAsia="ja-JP"/>
        </w:rPr>
        <w:t>urtle</w:t>
      </w:r>
      <w:r w:rsidR="00691BFF">
        <w:rPr>
          <w:rFonts w:eastAsia="MS Mincho" w:cs="Arial"/>
          <w:sz w:val="20"/>
          <w:szCs w:val="22"/>
          <w:lang w:val="en-GB" w:eastAsia="ja-JP"/>
        </w:rPr>
        <w:t xml:space="preserve"> D</w:t>
      </w:r>
      <w:r w:rsidR="00691BFF" w:rsidRPr="00C96521">
        <w:rPr>
          <w:rFonts w:eastAsia="MS Mincho" w:cs="Arial"/>
          <w:sz w:val="20"/>
          <w:szCs w:val="22"/>
          <w:lang w:val="en-GB" w:eastAsia="ja-JP"/>
        </w:rPr>
        <w:t xml:space="preserve">oves </w:t>
      </w:r>
      <w:r w:rsidRPr="00C96521">
        <w:rPr>
          <w:rFonts w:eastAsia="MS Mincho"/>
          <w:sz w:val="20"/>
          <w:szCs w:val="22"/>
          <w:lang w:val="en-GB" w:eastAsia="ja-JP"/>
        </w:rPr>
        <w:t>in Flanders dropped by more than 70</w:t>
      </w:r>
      <w:r w:rsidR="00691BFF">
        <w:rPr>
          <w:rFonts w:eastAsia="MS Mincho"/>
          <w:sz w:val="20"/>
          <w:szCs w:val="22"/>
          <w:lang w:val="en-GB" w:eastAsia="ja-JP"/>
        </w:rPr>
        <w:t xml:space="preserve"> per cent</w:t>
      </w:r>
      <w:r w:rsidR="00691BFF" w:rsidRPr="00C96521">
        <w:rPr>
          <w:rFonts w:eastAsia="MS Mincho"/>
          <w:sz w:val="20"/>
          <w:szCs w:val="22"/>
          <w:lang w:val="en-GB" w:eastAsia="ja-JP"/>
        </w:rPr>
        <w:t xml:space="preserve"> </w:t>
      </w:r>
      <w:r w:rsidRPr="00C96521">
        <w:rPr>
          <w:rFonts w:eastAsia="MS Mincho"/>
          <w:sz w:val="20"/>
          <w:szCs w:val="22"/>
          <w:lang w:val="en-GB" w:eastAsia="ja-JP"/>
        </w:rPr>
        <w:t xml:space="preserve">in thirty years, with the species being lost from built-up areas as well as whole regions (Vermeersch </w:t>
      </w:r>
      <w:r w:rsidRPr="00C96521">
        <w:rPr>
          <w:rFonts w:eastAsia="MS Mincho"/>
          <w:i/>
          <w:sz w:val="20"/>
          <w:szCs w:val="22"/>
          <w:lang w:val="en-GB" w:eastAsia="ja-JP"/>
        </w:rPr>
        <w:t>et al</w:t>
      </w:r>
      <w:r w:rsidRPr="00C96521">
        <w:rPr>
          <w:rFonts w:eastAsia="MS Mincho"/>
          <w:sz w:val="20"/>
          <w:szCs w:val="22"/>
          <w:lang w:val="en-GB" w:eastAsia="ja-JP"/>
        </w:rPr>
        <w:t xml:space="preserve"> 2004). The population declines have been most dramatic in important agricultural regions (Moyenne-Belgique and Condroz) but equally in Fagne and Lesse-et-Lomme. In Wallonie the species is currently in severe decline having undergone a loss of 70</w:t>
      </w:r>
      <w:r w:rsidR="00691BFF">
        <w:rPr>
          <w:rFonts w:eastAsia="MS Mincho"/>
          <w:sz w:val="20"/>
          <w:szCs w:val="22"/>
          <w:lang w:val="en-GB" w:eastAsia="ja-JP"/>
        </w:rPr>
        <w:t xml:space="preserve"> per cent</w:t>
      </w:r>
      <w:r w:rsidR="00691BFF" w:rsidRPr="00C96521">
        <w:rPr>
          <w:rFonts w:eastAsia="MS Mincho"/>
          <w:sz w:val="20"/>
          <w:szCs w:val="22"/>
          <w:lang w:val="en-GB" w:eastAsia="ja-JP"/>
        </w:rPr>
        <w:t xml:space="preserve"> </w:t>
      </w:r>
      <w:r w:rsidRPr="00C96521">
        <w:rPr>
          <w:rFonts w:eastAsia="MS Mincho"/>
          <w:sz w:val="20"/>
          <w:szCs w:val="22"/>
          <w:lang w:val="en-GB" w:eastAsia="ja-JP"/>
        </w:rPr>
        <w:t xml:space="preserve">in 30 years and is considered Vulnerable (Jacob </w:t>
      </w:r>
      <w:r w:rsidRPr="00C96521">
        <w:rPr>
          <w:rFonts w:eastAsia="MS Mincho"/>
          <w:i/>
          <w:sz w:val="20"/>
          <w:szCs w:val="22"/>
          <w:lang w:val="en-GB" w:eastAsia="ja-JP"/>
        </w:rPr>
        <w:t>et al</w:t>
      </w:r>
      <w:r w:rsidRPr="00C96521">
        <w:rPr>
          <w:rFonts w:eastAsia="MS Mincho"/>
          <w:sz w:val="20"/>
          <w:szCs w:val="22"/>
          <w:lang w:val="en-GB" w:eastAsia="ja-JP"/>
        </w:rPr>
        <w:t xml:space="preserve"> 2010, Biodiversité Wallonie 2016).</w:t>
      </w:r>
    </w:p>
    <w:p w14:paraId="1D1AF1DB"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DBD2B70" w14:textId="05F69A89"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The population trend for the Netherlands shows a marked decrease since 1990, with slight increases in 1996 and again in 2007 (Compendium voor de Leefomgeving 2016). The 1998-2000 breeding bird atlas highlights that the population declined between the 1973-1985 period and 1998-2000 (retraction of breeding range in the lowlands and a 70-90</w:t>
      </w:r>
      <w:r w:rsidR="00691BFF">
        <w:rPr>
          <w:rFonts w:eastAsia="MS Mincho"/>
          <w:sz w:val="20"/>
          <w:szCs w:val="22"/>
          <w:lang w:val="en-GB" w:eastAsia="ja-JP"/>
        </w:rPr>
        <w:t xml:space="preserve"> per cent</w:t>
      </w:r>
      <w:r w:rsidR="00691BFF" w:rsidRPr="00C96521">
        <w:rPr>
          <w:rFonts w:eastAsia="MS Mincho"/>
          <w:sz w:val="20"/>
          <w:szCs w:val="22"/>
          <w:lang w:val="en-GB" w:eastAsia="ja-JP"/>
        </w:rPr>
        <w:t xml:space="preserve"> </w:t>
      </w:r>
      <w:r w:rsidRPr="00C96521">
        <w:rPr>
          <w:rFonts w:eastAsia="MS Mincho"/>
          <w:sz w:val="20"/>
          <w:szCs w:val="22"/>
          <w:lang w:val="en-GB" w:eastAsia="ja-JP"/>
        </w:rPr>
        <w:t xml:space="preserve">reduction in numbers in some populations) (SOVON 2002). Highest densities in the 1998-2000 period were found in the south-west of the country in polders (low-lying land reclaimed from the sea or a river and protected by dykes) in Lake Ijsselmeer, with the species generally absent from the north of the country. Declines were most prominent in Friesland, </w:t>
      </w:r>
      <w:r w:rsidR="001523DA">
        <w:rPr>
          <w:rFonts w:eastAsia="MS Mincho"/>
          <w:sz w:val="20"/>
          <w:szCs w:val="22"/>
          <w:lang w:val="en-GB" w:eastAsia="ja-JP"/>
        </w:rPr>
        <w:t xml:space="preserve">South-east </w:t>
      </w:r>
      <w:r w:rsidRPr="00C96521">
        <w:rPr>
          <w:rFonts w:eastAsia="MS Mincho"/>
          <w:sz w:val="20"/>
          <w:szCs w:val="22"/>
          <w:lang w:val="en-GB" w:eastAsia="ja-JP"/>
        </w:rPr>
        <w:t>Drenthe and West</w:t>
      </w:r>
      <w:r w:rsidR="001523DA">
        <w:rPr>
          <w:rFonts w:eastAsia="MS Mincho"/>
          <w:sz w:val="20"/>
          <w:szCs w:val="22"/>
          <w:lang w:val="en-GB" w:eastAsia="ja-JP"/>
        </w:rPr>
        <w:t>ern</w:t>
      </w:r>
      <w:r w:rsidRPr="00C96521">
        <w:rPr>
          <w:rFonts w:eastAsia="MS Mincho"/>
          <w:sz w:val="20"/>
          <w:szCs w:val="22"/>
          <w:lang w:val="en-GB" w:eastAsia="ja-JP"/>
        </w:rPr>
        <w:t xml:space="preserve"> Ne</w:t>
      </w:r>
      <w:r w:rsidR="001523DA">
        <w:rPr>
          <w:rFonts w:eastAsia="MS Mincho"/>
          <w:sz w:val="20"/>
          <w:szCs w:val="22"/>
          <w:lang w:val="en-GB" w:eastAsia="ja-JP"/>
        </w:rPr>
        <w:t>th</w:t>
      </w:r>
      <w:r w:rsidRPr="00C96521">
        <w:rPr>
          <w:rFonts w:eastAsia="MS Mincho"/>
          <w:sz w:val="20"/>
          <w:szCs w:val="22"/>
          <w:lang w:val="en-GB" w:eastAsia="ja-JP"/>
        </w:rPr>
        <w:t>erland</w:t>
      </w:r>
      <w:r w:rsidR="001523DA">
        <w:rPr>
          <w:rFonts w:eastAsia="MS Mincho"/>
          <w:sz w:val="20"/>
          <w:szCs w:val="22"/>
          <w:lang w:val="en-GB" w:eastAsia="ja-JP"/>
        </w:rPr>
        <w:t>s</w:t>
      </w:r>
      <w:r w:rsidRPr="00C96521">
        <w:rPr>
          <w:rFonts w:eastAsia="MS Mincho"/>
          <w:sz w:val="20"/>
          <w:szCs w:val="22"/>
          <w:lang w:val="en-GB" w:eastAsia="ja-JP"/>
        </w:rPr>
        <w:t>. The decline was strongest in deciduous woodland followed by farmland. The trend in marsh habitats remained relatively stable over the 1970-2000 period.</w:t>
      </w:r>
    </w:p>
    <w:p w14:paraId="4D382919"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E8D93DF" w14:textId="43829C62"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The species is a relatively new addition to the avifauna of Denmark, first appearing as a breeding species in 1918 (Fenger </w:t>
      </w:r>
      <w:r w:rsidRPr="00C96521">
        <w:rPr>
          <w:rFonts w:eastAsia="MS Mincho"/>
          <w:i/>
          <w:sz w:val="20"/>
          <w:szCs w:val="22"/>
          <w:lang w:val="en-GB" w:eastAsia="ja-JP"/>
        </w:rPr>
        <w:t>et al</w:t>
      </w:r>
      <w:r w:rsidRPr="00C96521">
        <w:rPr>
          <w:rFonts w:eastAsia="MS Mincho"/>
          <w:sz w:val="20"/>
          <w:szCs w:val="22"/>
          <w:lang w:val="en-GB" w:eastAsia="ja-JP"/>
        </w:rPr>
        <w:t xml:space="preserve"> 2016). In the 1971-1974 atlas the species was recorded as possibly or probably breeding. In the 1993-1996 atlas the species was recorded breeding in Jutland. In Germany, the population generally increased between 1990 and 1995, and since then the overall trend has been declining (Dachverband Deutscher Avifaunisten 2016). Comparison of the distribution of the species in 1985 and 2005-2009 shows that it is generally similar between the two periods. It is mainly found in the lowlands of northern Germany and the northern and western uplands (Gedeon </w:t>
      </w:r>
      <w:r w:rsidRPr="00C96521">
        <w:rPr>
          <w:rFonts w:eastAsia="MS Mincho"/>
          <w:i/>
          <w:sz w:val="20"/>
          <w:szCs w:val="22"/>
          <w:lang w:val="en-GB" w:eastAsia="ja-JP"/>
        </w:rPr>
        <w:t>et al</w:t>
      </w:r>
      <w:r w:rsidRPr="00C96521">
        <w:rPr>
          <w:rFonts w:eastAsia="MS Mincho"/>
          <w:sz w:val="20"/>
          <w:szCs w:val="22"/>
          <w:lang w:val="en-GB" w:eastAsia="ja-JP"/>
        </w:rPr>
        <w:t xml:space="preserve"> 2014). While there has been limited ringing of turtle-doves in Germany, it is thought that birds breeding in the west of the country migrate down through France and the </w:t>
      </w:r>
      <w:r w:rsidR="00691BFF" w:rsidRPr="00C96521">
        <w:rPr>
          <w:rFonts w:eastAsia="MS Mincho"/>
          <w:sz w:val="20"/>
          <w:szCs w:val="22"/>
          <w:lang w:val="en-GB" w:eastAsia="ja-JP"/>
        </w:rPr>
        <w:t>Iberian Peninsula</w:t>
      </w:r>
      <w:r w:rsidRPr="00C96521">
        <w:rPr>
          <w:rFonts w:eastAsia="MS Mincho"/>
          <w:sz w:val="20"/>
          <w:szCs w:val="22"/>
          <w:lang w:val="en-GB" w:eastAsia="ja-JP"/>
        </w:rPr>
        <w:t xml:space="preserve">, and birds breeding in the east of the country and Austria move down through Italy and Malta (Quillfeldt </w:t>
      </w:r>
      <w:r w:rsidRPr="00C96521">
        <w:rPr>
          <w:rFonts w:eastAsia="MS Mincho"/>
          <w:i/>
          <w:sz w:val="20"/>
          <w:szCs w:val="22"/>
          <w:lang w:val="en-GB" w:eastAsia="ja-JP"/>
        </w:rPr>
        <w:t>et al</w:t>
      </w:r>
      <w:r w:rsidRPr="00C96521">
        <w:rPr>
          <w:rFonts w:eastAsia="MS Mincho"/>
          <w:sz w:val="20"/>
          <w:szCs w:val="22"/>
          <w:lang w:val="en-GB" w:eastAsia="ja-JP"/>
        </w:rPr>
        <w:t xml:space="preserve"> 2014).</w:t>
      </w:r>
    </w:p>
    <w:p w14:paraId="186ED284"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6E8ED935"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The breeding population in Luxembourg is very small at just 150-200 pairs (Lorgé </w:t>
      </w:r>
      <w:r w:rsidRPr="00C96521">
        <w:rPr>
          <w:rFonts w:eastAsia="MS Mincho"/>
          <w:i/>
          <w:sz w:val="20"/>
          <w:szCs w:val="22"/>
          <w:lang w:val="en-GB" w:eastAsia="ja-JP"/>
        </w:rPr>
        <w:t>et al</w:t>
      </w:r>
      <w:r w:rsidRPr="00C96521">
        <w:rPr>
          <w:rFonts w:eastAsia="MS Mincho"/>
          <w:sz w:val="20"/>
          <w:szCs w:val="22"/>
          <w:lang w:val="en-GB" w:eastAsia="ja-JP"/>
        </w:rPr>
        <w:t xml:space="preserve"> 2014). No population trend estimates are available, but the species was uplisted from Vulnerable in 2010 (Lorgé and Biver 2010) to Endangered in 2014 (Lorgé </w:t>
      </w:r>
      <w:r w:rsidRPr="00C96521">
        <w:rPr>
          <w:rFonts w:eastAsia="MS Mincho"/>
          <w:i/>
          <w:sz w:val="20"/>
          <w:szCs w:val="22"/>
          <w:lang w:val="en-GB" w:eastAsia="ja-JP"/>
        </w:rPr>
        <w:t>et al</w:t>
      </w:r>
      <w:r w:rsidRPr="00C96521">
        <w:rPr>
          <w:rFonts w:eastAsia="MS Mincho"/>
          <w:sz w:val="20"/>
          <w:szCs w:val="22"/>
          <w:lang w:val="en-GB" w:eastAsia="ja-JP"/>
        </w:rPr>
        <w:t xml:space="preserve"> 2014).</w:t>
      </w:r>
    </w:p>
    <w:p w14:paraId="792FBC7D"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375EF987" w14:textId="025F41A2"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In the UK, the population underwent a decline of 93</w:t>
      </w:r>
      <w:r w:rsidR="00691BFF">
        <w:rPr>
          <w:rFonts w:eastAsia="MS Mincho"/>
          <w:sz w:val="20"/>
          <w:szCs w:val="22"/>
          <w:lang w:val="en-GB" w:eastAsia="ja-JP"/>
        </w:rPr>
        <w:t xml:space="preserve"> per cent</w:t>
      </w:r>
      <w:r w:rsidR="00691BFF" w:rsidRPr="00C96521">
        <w:rPr>
          <w:rFonts w:eastAsia="MS Mincho"/>
          <w:sz w:val="20"/>
          <w:szCs w:val="22"/>
          <w:lang w:val="en-GB" w:eastAsia="ja-JP"/>
        </w:rPr>
        <w:t xml:space="preserve"> </w:t>
      </w:r>
      <w:r w:rsidRPr="00C96521">
        <w:rPr>
          <w:rFonts w:eastAsia="MS Mincho"/>
          <w:sz w:val="20"/>
          <w:szCs w:val="22"/>
          <w:lang w:val="en-GB" w:eastAsia="ja-JP"/>
        </w:rPr>
        <w:t xml:space="preserve">between 1995 and 2014 (Harris </w:t>
      </w:r>
      <w:r w:rsidRPr="00C96521">
        <w:rPr>
          <w:rFonts w:eastAsia="MS Mincho"/>
          <w:i/>
          <w:sz w:val="20"/>
          <w:szCs w:val="22"/>
          <w:lang w:val="en-GB" w:eastAsia="ja-JP"/>
        </w:rPr>
        <w:t>et al</w:t>
      </w:r>
      <w:r w:rsidRPr="00C96521">
        <w:rPr>
          <w:rFonts w:eastAsia="MS Mincho"/>
          <w:sz w:val="20"/>
          <w:szCs w:val="22"/>
          <w:lang w:val="en-GB" w:eastAsia="ja-JP"/>
        </w:rPr>
        <w:t xml:space="preserve"> 2016). Regionally the species declined by 92</w:t>
      </w:r>
      <w:r w:rsidR="00691BFF">
        <w:rPr>
          <w:rFonts w:eastAsia="MS Mincho"/>
          <w:sz w:val="20"/>
          <w:szCs w:val="22"/>
          <w:lang w:val="en-GB" w:eastAsia="ja-JP"/>
        </w:rPr>
        <w:t xml:space="preserve"> per cent</w:t>
      </w:r>
      <w:r w:rsidRPr="00C96521">
        <w:rPr>
          <w:rFonts w:eastAsia="MS Mincho"/>
          <w:sz w:val="20"/>
          <w:szCs w:val="22"/>
          <w:lang w:val="en-GB" w:eastAsia="ja-JP"/>
        </w:rPr>
        <w:t xml:space="preserve"> in the east of England (Bedfordshire, Cambridgeshire, Essex, Hertfordshire, Norfolk, Suffolk) and 94</w:t>
      </w:r>
      <w:r w:rsidR="00691BFF">
        <w:rPr>
          <w:rFonts w:eastAsia="MS Mincho"/>
          <w:sz w:val="20"/>
          <w:szCs w:val="22"/>
          <w:lang w:val="en-GB" w:eastAsia="ja-JP"/>
        </w:rPr>
        <w:t xml:space="preserve"> per cent</w:t>
      </w:r>
      <w:r w:rsidRPr="00C96521">
        <w:rPr>
          <w:rFonts w:eastAsia="MS Mincho"/>
          <w:sz w:val="20"/>
          <w:szCs w:val="22"/>
          <w:lang w:val="en-GB" w:eastAsia="ja-JP"/>
        </w:rPr>
        <w:t xml:space="preserve"> in the south</w:t>
      </w:r>
      <w:r w:rsidR="00691BFF">
        <w:rPr>
          <w:rFonts w:eastAsia="MS Mincho"/>
          <w:sz w:val="20"/>
          <w:szCs w:val="22"/>
          <w:lang w:val="en-GB" w:eastAsia="ja-JP"/>
        </w:rPr>
        <w:t>-</w:t>
      </w:r>
      <w:r w:rsidRPr="00C96521">
        <w:rPr>
          <w:rFonts w:eastAsia="MS Mincho"/>
          <w:sz w:val="20"/>
          <w:szCs w:val="22"/>
          <w:lang w:val="en-GB" w:eastAsia="ja-JP"/>
        </w:rPr>
        <w:t>east of England (Berkshire, Buckinghamshire, Hampshire, Isle of Wight, Kent, Oxfordshire, Surrey, Sussex). The range of the species in the UK retracted between the 1968-1972 and 2008-2011 atlases (BTO 2016). The species remains in the east and south-east of England, but has generally been lost from the south-west, Wales,</w:t>
      </w:r>
      <w:r w:rsidR="00691BFF">
        <w:rPr>
          <w:rFonts w:eastAsia="MS Mincho"/>
          <w:sz w:val="20"/>
          <w:szCs w:val="22"/>
          <w:lang w:val="en-GB" w:eastAsia="ja-JP"/>
        </w:rPr>
        <w:t xml:space="preserve"> the</w:t>
      </w:r>
      <w:r w:rsidRPr="00C96521">
        <w:rPr>
          <w:rFonts w:eastAsia="MS Mincho"/>
          <w:sz w:val="20"/>
          <w:szCs w:val="22"/>
          <w:lang w:val="en-GB" w:eastAsia="ja-JP"/>
        </w:rPr>
        <w:t xml:space="preserve"> Midlands and northern England. Based on the current rate of decline </w:t>
      </w:r>
      <w:r w:rsidR="00691BFF">
        <w:rPr>
          <w:rFonts w:eastAsia="MS Mincho"/>
          <w:sz w:val="20"/>
          <w:szCs w:val="22"/>
          <w:lang w:val="en-GB" w:eastAsia="ja-JP"/>
        </w:rPr>
        <w:t xml:space="preserve">the </w:t>
      </w:r>
      <w:r w:rsidR="00691BFF">
        <w:rPr>
          <w:rFonts w:eastAsia="MS Mincho" w:cs="Arial"/>
          <w:sz w:val="20"/>
          <w:szCs w:val="22"/>
          <w:lang w:val="en-GB" w:eastAsia="ja-JP"/>
        </w:rPr>
        <w:t>T</w:t>
      </w:r>
      <w:r w:rsidR="00691BFF" w:rsidRPr="00C96521">
        <w:rPr>
          <w:rFonts w:eastAsia="MS Mincho" w:cs="Arial"/>
          <w:sz w:val="20"/>
          <w:szCs w:val="22"/>
          <w:lang w:val="en-GB" w:eastAsia="ja-JP"/>
        </w:rPr>
        <w:t>urtle</w:t>
      </w:r>
      <w:r w:rsidR="00691BFF">
        <w:rPr>
          <w:rFonts w:eastAsia="MS Mincho" w:cs="Arial"/>
          <w:sz w:val="20"/>
          <w:szCs w:val="22"/>
          <w:lang w:val="en-GB" w:eastAsia="ja-JP"/>
        </w:rPr>
        <w:t xml:space="preserve"> D</w:t>
      </w:r>
      <w:r w:rsidR="00691BFF" w:rsidRPr="00C96521">
        <w:rPr>
          <w:rFonts w:eastAsia="MS Mincho" w:cs="Arial"/>
          <w:sz w:val="20"/>
          <w:szCs w:val="22"/>
          <w:lang w:val="en-GB" w:eastAsia="ja-JP"/>
        </w:rPr>
        <w:t xml:space="preserve">ove </w:t>
      </w:r>
      <w:r w:rsidRPr="00C96521">
        <w:rPr>
          <w:rFonts w:eastAsia="MS Mincho"/>
          <w:sz w:val="20"/>
          <w:szCs w:val="22"/>
          <w:lang w:val="en-GB" w:eastAsia="ja-JP"/>
        </w:rPr>
        <w:t>may be lost as a breeding bird in the UK by 2021 (Dunn and Morris 2012).</w:t>
      </w:r>
    </w:p>
    <w:p w14:paraId="51977C18"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3B808C92"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Estonia/Finland/Latvia/Lithuania</w:t>
      </w:r>
    </w:p>
    <w:p w14:paraId="4D9D8D70"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3047D7B5" w14:textId="317F7F69"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 xml:space="preserve">Countries around the Baltic Sea have generally experienced a decline in </w:t>
      </w:r>
      <w:r w:rsidR="00691BFF" w:rsidRPr="005D6A2A">
        <w:rPr>
          <w:rFonts w:eastAsia="MS Mincho" w:cs="Arial"/>
          <w:i/>
          <w:sz w:val="20"/>
          <w:szCs w:val="22"/>
          <w:lang w:val="en-GB" w:eastAsia="ja-JP"/>
        </w:rPr>
        <w:t>Turtle Dove</w:t>
      </w:r>
      <w:r w:rsidR="00691BFF">
        <w:rPr>
          <w:rFonts w:eastAsia="MS Mincho" w:cs="Arial"/>
          <w:sz w:val="20"/>
          <w:szCs w:val="22"/>
          <w:lang w:val="en-GB" w:eastAsia="ja-JP"/>
        </w:rPr>
        <w:t xml:space="preserve"> </w:t>
      </w:r>
      <w:r w:rsidRPr="00C96521">
        <w:rPr>
          <w:rFonts w:eastAsia="MS Mincho"/>
          <w:i/>
          <w:sz w:val="20"/>
          <w:szCs w:val="22"/>
          <w:lang w:val="en-GB" w:eastAsia="ja-JP"/>
        </w:rPr>
        <w:t>numbers or range. The decline in Latvia between 1995 and 2014 was very strong, and the Lithuanian population declined at an average rate of about</w:t>
      </w:r>
      <w:r w:rsidR="00691BFF">
        <w:rPr>
          <w:rFonts w:eastAsia="MS Mincho"/>
          <w:i/>
          <w:sz w:val="20"/>
          <w:szCs w:val="22"/>
          <w:lang w:val="en-GB" w:eastAsia="ja-JP"/>
        </w:rPr>
        <w:t xml:space="preserve"> </w:t>
      </w:r>
      <w:r w:rsidRPr="00C96521">
        <w:rPr>
          <w:rFonts w:eastAsia="MS Mincho"/>
          <w:i/>
          <w:sz w:val="20"/>
          <w:szCs w:val="22"/>
          <w:lang w:val="en-GB" w:eastAsia="ja-JP"/>
        </w:rPr>
        <w:t>13</w:t>
      </w:r>
      <w:r w:rsidR="00691BFF">
        <w:rPr>
          <w:rFonts w:eastAsia="MS Mincho"/>
          <w:i/>
          <w:sz w:val="20"/>
          <w:szCs w:val="22"/>
          <w:lang w:val="en-GB" w:eastAsia="ja-JP"/>
        </w:rPr>
        <w:t xml:space="preserve"> per cent</w:t>
      </w:r>
      <w:r w:rsidRPr="00C96521">
        <w:rPr>
          <w:rFonts w:eastAsia="MS Mincho"/>
          <w:i/>
          <w:sz w:val="20"/>
          <w:szCs w:val="22"/>
          <w:lang w:val="en-GB" w:eastAsia="ja-JP"/>
        </w:rPr>
        <w:t xml:space="preserve"> per year between 1994 and 2013.</w:t>
      </w:r>
    </w:p>
    <w:p w14:paraId="4F2B024F"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p>
    <w:p w14:paraId="40047C72" w14:textId="26F2DC45"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Finland, comparison of the 1974-1979, 1986-1989 and 2006-2010 breeding atlases shows that there are fewer records of the species in the most recent atlas than in previous versions (Lehikoinen 2016). The species is found mainly in the south-east of the country where it breeds in agricultural areas. It was first recorded breeding in Finland in 1979, and the population size was estimated at 70 pairs in 1980-1990 but is now estimated to be 5 pairs. The number of atlas squares in which the species was recorded dropped from 130 in the 1970s, 90 in the 1980s, to 30 in the 2000s. If the decline continues, the </w:t>
      </w:r>
      <w:r w:rsidR="00691BFF">
        <w:rPr>
          <w:rFonts w:eastAsia="MS Mincho" w:cs="Arial"/>
          <w:sz w:val="20"/>
          <w:szCs w:val="22"/>
          <w:lang w:val="en-GB" w:eastAsia="ja-JP"/>
        </w:rPr>
        <w:t>T</w:t>
      </w:r>
      <w:r w:rsidR="00691BFF" w:rsidRPr="00C96521">
        <w:rPr>
          <w:rFonts w:eastAsia="MS Mincho" w:cs="Arial"/>
          <w:sz w:val="20"/>
          <w:szCs w:val="22"/>
          <w:lang w:val="en-GB" w:eastAsia="ja-JP"/>
        </w:rPr>
        <w:t>urtle</w:t>
      </w:r>
      <w:r w:rsidR="00691BFF">
        <w:rPr>
          <w:rFonts w:eastAsia="MS Mincho" w:cs="Arial"/>
          <w:sz w:val="20"/>
          <w:szCs w:val="22"/>
          <w:lang w:val="en-GB" w:eastAsia="ja-JP"/>
        </w:rPr>
        <w:t xml:space="preserve"> Dove </w:t>
      </w:r>
      <w:r w:rsidRPr="00C96521">
        <w:rPr>
          <w:rFonts w:eastAsia="MS Mincho"/>
          <w:sz w:val="20"/>
          <w:szCs w:val="22"/>
          <w:lang w:val="en-GB" w:eastAsia="ja-JP"/>
        </w:rPr>
        <w:t>will be lost as a breeding species. The population decline in Finland is thought to be related to broader declines across Europe.</w:t>
      </w:r>
    </w:p>
    <w:p w14:paraId="072702E6"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EA6F117" w14:textId="25C2BB1F"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The </w:t>
      </w:r>
      <w:r w:rsidR="00691BFF">
        <w:rPr>
          <w:rFonts w:eastAsia="MS Mincho" w:cs="Arial"/>
          <w:sz w:val="20"/>
          <w:szCs w:val="22"/>
          <w:lang w:val="en-GB" w:eastAsia="ja-JP"/>
        </w:rPr>
        <w:t>T</w:t>
      </w:r>
      <w:r w:rsidR="00691BFF" w:rsidRPr="00C96521">
        <w:rPr>
          <w:rFonts w:eastAsia="MS Mincho" w:cs="Arial"/>
          <w:sz w:val="20"/>
          <w:szCs w:val="22"/>
          <w:lang w:val="en-GB" w:eastAsia="ja-JP"/>
        </w:rPr>
        <w:t>urtle</w:t>
      </w:r>
      <w:r w:rsidR="00691BFF">
        <w:rPr>
          <w:rFonts w:eastAsia="MS Mincho" w:cs="Arial"/>
          <w:sz w:val="20"/>
          <w:szCs w:val="22"/>
          <w:lang w:val="en-GB" w:eastAsia="ja-JP"/>
        </w:rPr>
        <w:t xml:space="preserve"> D</w:t>
      </w:r>
      <w:r w:rsidR="00691BFF" w:rsidRPr="00C96521">
        <w:rPr>
          <w:rFonts w:eastAsia="MS Mincho" w:cs="Arial"/>
          <w:sz w:val="20"/>
          <w:szCs w:val="22"/>
          <w:lang w:val="en-GB" w:eastAsia="ja-JP"/>
        </w:rPr>
        <w:t xml:space="preserve">ove </w:t>
      </w:r>
      <w:r w:rsidRPr="00C96521">
        <w:rPr>
          <w:rFonts w:eastAsia="MS Mincho"/>
          <w:sz w:val="20"/>
          <w:szCs w:val="22"/>
          <w:lang w:val="en-GB" w:eastAsia="ja-JP"/>
        </w:rPr>
        <w:t xml:space="preserve">population in Estonia fluctuated greatly over the period 1983-2010 (Kuresoo </w:t>
      </w:r>
      <w:r w:rsidRPr="00C96521">
        <w:rPr>
          <w:rFonts w:eastAsia="MS Mincho"/>
          <w:i/>
          <w:sz w:val="20"/>
          <w:szCs w:val="22"/>
          <w:lang w:val="en-GB" w:eastAsia="ja-JP"/>
        </w:rPr>
        <w:t>et al</w:t>
      </w:r>
      <w:r w:rsidRPr="00C96521">
        <w:rPr>
          <w:rFonts w:eastAsia="MS Mincho"/>
          <w:sz w:val="20"/>
          <w:szCs w:val="22"/>
          <w:lang w:val="en-GB" w:eastAsia="ja-JP"/>
        </w:rPr>
        <w:t xml:space="preserve"> 2011). The species increased between the 1970s and 1990s (Rouxel 2000) but exhibited a sharp decline in 1996-1998. In the early 2000s, the species dropped to 1983 levels or below (Kuresoo </w:t>
      </w:r>
      <w:r w:rsidRPr="00C96521">
        <w:rPr>
          <w:rFonts w:eastAsia="MS Mincho"/>
          <w:i/>
          <w:sz w:val="20"/>
          <w:szCs w:val="22"/>
          <w:lang w:val="en-GB" w:eastAsia="ja-JP"/>
        </w:rPr>
        <w:t>et al</w:t>
      </w:r>
      <w:r w:rsidRPr="00C96521">
        <w:rPr>
          <w:rFonts w:eastAsia="MS Mincho"/>
          <w:sz w:val="20"/>
          <w:szCs w:val="22"/>
          <w:lang w:val="en-GB" w:eastAsia="ja-JP"/>
        </w:rPr>
        <w:t xml:space="preserve"> 2011).</w:t>
      </w:r>
    </w:p>
    <w:p w14:paraId="657C00C1"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6135E0A0" w14:textId="345449D2"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According to the first 10 years of data collected as part of the Latvian Common Bird Monitoring Scheme, the population of turtle-dove decreased 87.9</w:t>
      </w:r>
      <w:r w:rsidR="00691BFF">
        <w:rPr>
          <w:rFonts w:eastAsia="MS Mincho"/>
          <w:sz w:val="20"/>
          <w:szCs w:val="22"/>
          <w:lang w:val="en-GB" w:eastAsia="ja-JP"/>
        </w:rPr>
        <w:t xml:space="preserve"> per cent</w:t>
      </w:r>
      <w:r w:rsidR="00691BFF" w:rsidRPr="00C96521">
        <w:rPr>
          <w:rFonts w:eastAsia="MS Mincho"/>
          <w:sz w:val="20"/>
          <w:szCs w:val="22"/>
          <w:lang w:val="en-GB" w:eastAsia="ja-JP"/>
        </w:rPr>
        <w:t xml:space="preserve"> </w:t>
      </w:r>
      <w:r w:rsidRPr="00C96521">
        <w:rPr>
          <w:rFonts w:eastAsia="MS Mincho"/>
          <w:sz w:val="20"/>
          <w:szCs w:val="22"/>
          <w:lang w:val="en-GB" w:eastAsia="ja-JP"/>
        </w:rPr>
        <w:t>between 2005 and 2014 (Auniņš 2015). The trend between 1995 and 2014 was -82.0</w:t>
      </w:r>
      <w:r w:rsidR="00691BFF">
        <w:rPr>
          <w:rFonts w:eastAsia="MS Mincho"/>
          <w:sz w:val="20"/>
          <w:szCs w:val="22"/>
          <w:lang w:val="en-GB" w:eastAsia="ja-JP"/>
        </w:rPr>
        <w:t xml:space="preserve"> per cent</w:t>
      </w:r>
      <w:r w:rsidRPr="00C96521">
        <w:rPr>
          <w:rFonts w:eastAsia="MS Mincho"/>
          <w:sz w:val="20"/>
          <w:szCs w:val="22"/>
          <w:lang w:val="en-GB" w:eastAsia="ja-JP"/>
        </w:rPr>
        <w:t>. The average annual trend was estimated at -9.7 to -2.5</w:t>
      </w:r>
      <w:r w:rsidR="00691BFF">
        <w:rPr>
          <w:rFonts w:eastAsia="MS Mincho"/>
          <w:sz w:val="20"/>
          <w:szCs w:val="22"/>
          <w:lang w:val="en-GB" w:eastAsia="ja-JP"/>
        </w:rPr>
        <w:t xml:space="preserve"> per cent</w:t>
      </w:r>
      <w:r w:rsidRPr="00C96521">
        <w:rPr>
          <w:rFonts w:eastAsia="MS Mincho"/>
          <w:sz w:val="20"/>
          <w:szCs w:val="22"/>
          <w:lang w:val="en-GB" w:eastAsia="ja-JP"/>
        </w:rPr>
        <w:t xml:space="preserve">. The species is distributed across Latvia with slightly more records in the south than north of the country (Kerus 2005). In the past, the species was described as most common in the east of the country, but always at low densities (Rouxel 2000). The range of </w:t>
      </w:r>
      <w:r w:rsidR="00691BFF">
        <w:rPr>
          <w:rFonts w:eastAsia="MS Mincho" w:cs="Arial"/>
          <w:sz w:val="20"/>
          <w:szCs w:val="22"/>
          <w:lang w:val="en-GB" w:eastAsia="ja-JP"/>
        </w:rPr>
        <w:t>T</w:t>
      </w:r>
      <w:r w:rsidR="00691BFF" w:rsidRPr="00C96521">
        <w:rPr>
          <w:rFonts w:eastAsia="MS Mincho" w:cs="Arial"/>
          <w:sz w:val="20"/>
          <w:szCs w:val="22"/>
          <w:lang w:val="en-GB" w:eastAsia="ja-JP"/>
        </w:rPr>
        <w:t>urtle</w:t>
      </w:r>
      <w:r w:rsidR="00691BFF">
        <w:rPr>
          <w:rFonts w:eastAsia="MS Mincho" w:cs="Arial"/>
          <w:sz w:val="20"/>
          <w:szCs w:val="22"/>
          <w:lang w:val="en-GB" w:eastAsia="ja-JP"/>
        </w:rPr>
        <w:t xml:space="preserve"> Dove </w:t>
      </w:r>
      <w:r w:rsidRPr="00C96521">
        <w:rPr>
          <w:rFonts w:eastAsia="MS Mincho"/>
          <w:sz w:val="20"/>
          <w:szCs w:val="22"/>
          <w:lang w:val="en-GB" w:eastAsia="ja-JP"/>
        </w:rPr>
        <w:t>expanded northwards from the 1930s until at least the 1960s.</w:t>
      </w:r>
    </w:p>
    <w:p w14:paraId="6AF74545"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2B295E88" w14:textId="1E3BD419"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In Lithuania</w:t>
      </w:r>
      <w:r w:rsidR="00691BFF">
        <w:rPr>
          <w:rFonts w:eastAsia="MS Mincho"/>
          <w:sz w:val="20"/>
          <w:szCs w:val="22"/>
          <w:lang w:val="en-GB" w:eastAsia="ja-JP"/>
        </w:rPr>
        <w:t>,</w:t>
      </w:r>
      <w:r w:rsidRPr="00C96521">
        <w:rPr>
          <w:rFonts w:eastAsia="MS Mincho"/>
          <w:sz w:val="20"/>
          <w:szCs w:val="22"/>
          <w:lang w:val="en-GB" w:eastAsia="ja-JP"/>
        </w:rPr>
        <w:t xml:space="preserve"> the </w:t>
      </w:r>
      <w:r w:rsidR="00691BFF">
        <w:rPr>
          <w:rFonts w:eastAsia="MS Mincho" w:cs="Arial"/>
          <w:sz w:val="20"/>
          <w:szCs w:val="22"/>
          <w:lang w:val="en-GB" w:eastAsia="ja-JP"/>
        </w:rPr>
        <w:t>T</w:t>
      </w:r>
      <w:r w:rsidR="00691BFF" w:rsidRPr="00C96521">
        <w:rPr>
          <w:rFonts w:eastAsia="MS Mincho" w:cs="Arial"/>
          <w:sz w:val="20"/>
          <w:szCs w:val="22"/>
          <w:lang w:val="en-GB" w:eastAsia="ja-JP"/>
        </w:rPr>
        <w:t>urtle</w:t>
      </w:r>
      <w:r w:rsidR="00691BFF">
        <w:rPr>
          <w:rFonts w:eastAsia="MS Mincho" w:cs="Arial"/>
          <w:sz w:val="20"/>
          <w:szCs w:val="22"/>
          <w:lang w:val="en-GB" w:eastAsia="ja-JP"/>
        </w:rPr>
        <w:t xml:space="preserve"> Dove</w:t>
      </w:r>
      <w:r w:rsidR="00691BFF" w:rsidRPr="00C96521">
        <w:rPr>
          <w:rFonts w:eastAsia="MS Mincho" w:cs="Arial"/>
          <w:sz w:val="20"/>
          <w:szCs w:val="22"/>
          <w:lang w:val="en-GB" w:eastAsia="ja-JP"/>
        </w:rPr>
        <w:t xml:space="preserve"> </w:t>
      </w:r>
      <w:r w:rsidRPr="00C96521">
        <w:rPr>
          <w:rFonts w:eastAsia="MS Mincho"/>
          <w:sz w:val="20"/>
          <w:szCs w:val="22"/>
          <w:lang w:val="en-GB" w:eastAsia="ja-JP"/>
        </w:rPr>
        <w:t xml:space="preserve">is a widespread species, but the population abundance index for </w:t>
      </w:r>
      <w:r w:rsidR="00691BFF">
        <w:rPr>
          <w:rFonts w:eastAsia="MS Mincho" w:cs="Arial"/>
          <w:sz w:val="20"/>
          <w:szCs w:val="22"/>
          <w:lang w:val="en-GB" w:eastAsia="ja-JP"/>
        </w:rPr>
        <w:t>T</w:t>
      </w:r>
      <w:r w:rsidR="00691BFF" w:rsidRPr="00C96521">
        <w:rPr>
          <w:rFonts w:eastAsia="MS Mincho" w:cs="Arial"/>
          <w:sz w:val="20"/>
          <w:szCs w:val="22"/>
          <w:lang w:val="en-GB" w:eastAsia="ja-JP"/>
        </w:rPr>
        <w:t>urtle</w:t>
      </w:r>
      <w:r w:rsidR="00691BFF">
        <w:rPr>
          <w:rFonts w:eastAsia="MS Mincho" w:cs="Arial"/>
          <w:sz w:val="20"/>
          <w:szCs w:val="22"/>
          <w:lang w:val="en-GB" w:eastAsia="ja-JP"/>
        </w:rPr>
        <w:t xml:space="preserve"> D</w:t>
      </w:r>
      <w:r w:rsidR="00691BFF" w:rsidRPr="00C96521">
        <w:rPr>
          <w:rFonts w:eastAsia="MS Mincho" w:cs="Arial"/>
          <w:sz w:val="20"/>
          <w:szCs w:val="22"/>
          <w:lang w:val="en-GB" w:eastAsia="ja-JP"/>
        </w:rPr>
        <w:t xml:space="preserve">ove </w:t>
      </w:r>
      <w:r w:rsidRPr="00C96521">
        <w:rPr>
          <w:rFonts w:eastAsia="MS Mincho"/>
          <w:sz w:val="20"/>
          <w:szCs w:val="22"/>
          <w:lang w:val="en-GB" w:eastAsia="ja-JP"/>
        </w:rPr>
        <w:t>between 1994 and 2013 was 0.87 (standard error 0.03) signalling a statistically significant average rate of decline of roughly 13</w:t>
      </w:r>
      <w:r w:rsidR="00691BFF">
        <w:rPr>
          <w:rFonts w:eastAsia="MS Mincho"/>
          <w:sz w:val="20"/>
          <w:szCs w:val="22"/>
          <w:lang w:val="en-GB" w:eastAsia="ja-JP"/>
        </w:rPr>
        <w:t xml:space="preserve"> per cent</w:t>
      </w:r>
      <w:r w:rsidRPr="00C96521">
        <w:rPr>
          <w:rFonts w:eastAsia="MS Mincho"/>
          <w:sz w:val="20"/>
          <w:szCs w:val="22"/>
          <w:lang w:val="en-GB" w:eastAsia="ja-JP"/>
        </w:rPr>
        <w:t xml:space="preserve"> per year (</w:t>
      </w:r>
      <w:hyperlink r:id="rId46" w:history="1">
        <w:r w:rsidRPr="00C96521">
          <w:rPr>
            <w:rFonts w:eastAsia="MS Mincho"/>
            <w:sz w:val="20"/>
            <w:szCs w:val="22"/>
            <w:lang w:val="en-GB" w:eastAsia="ja-JP"/>
          </w:rPr>
          <w:t>Lietuvos Ornitologų Draugija</w:t>
        </w:r>
      </w:hyperlink>
      <w:r w:rsidRPr="00C96521">
        <w:rPr>
          <w:rFonts w:eastAsia="MS Mincho"/>
          <w:sz w:val="20"/>
          <w:szCs w:val="22"/>
          <w:lang w:val="en-GB" w:eastAsia="ja-JP"/>
        </w:rPr>
        <w:t xml:space="preserve"> 2013). The species also declined between 1970 and 1990 (Kurlavičius 2006). </w:t>
      </w:r>
    </w:p>
    <w:p w14:paraId="6D1C41A0"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00E7622"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Austria/Czech Republic/Hungary/Italy/Poland/Slovakia/Switzerland</w:t>
      </w:r>
    </w:p>
    <w:p w14:paraId="75D6DC7A"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4ED52456"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An overall population trend for this region is unclear. Several countries have reported stable populations (Italy and Hungary) while other national trends are decreasing (Austria, Czech Republic and Poland).</w:t>
      </w:r>
    </w:p>
    <w:p w14:paraId="61DFE65C"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p>
    <w:p w14:paraId="65953F92" w14:textId="171A43D8"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Austria over the period 2010-2015, the </w:t>
      </w:r>
      <w:r w:rsidR="00691BFF">
        <w:rPr>
          <w:rFonts w:eastAsia="MS Mincho" w:cs="Arial"/>
          <w:sz w:val="20"/>
          <w:szCs w:val="22"/>
          <w:lang w:val="en-GB" w:eastAsia="ja-JP"/>
        </w:rPr>
        <w:t>T</w:t>
      </w:r>
      <w:r w:rsidR="00691BFF" w:rsidRPr="00C96521">
        <w:rPr>
          <w:rFonts w:eastAsia="MS Mincho" w:cs="Arial"/>
          <w:sz w:val="20"/>
          <w:szCs w:val="22"/>
          <w:lang w:val="en-GB" w:eastAsia="ja-JP"/>
        </w:rPr>
        <w:t>urtle</w:t>
      </w:r>
      <w:r w:rsidR="00691BFF">
        <w:rPr>
          <w:rFonts w:eastAsia="MS Mincho" w:cs="Arial"/>
          <w:sz w:val="20"/>
          <w:szCs w:val="22"/>
          <w:lang w:val="en-GB" w:eastAsia="ja-JP"/>
        </w:rPr>
        <w:t xml:space="preserve"> Dove </w:t>
      </w:r>
      <w:r w:rsidRPr="00C96521">
        <w:rPr>
          <w:rFonts w:eastAsia="MS Mincho"/>
          <w:sz w:val="20"/>
          <w:szCs w:val="22"/>
          <w:lang w:val="en-GB" w:eastAsia="ja-JP"/>
        </w:rPr>
        <w:t>underwent a strong decline of 40</w:t>
      </w:r>
      <w:r w:rsidR="00691BFF">
        <w:rPr>
          <w:rFonts w:eastAsia="MS Mincho"/>
          <w:sz w:val="20"/>
          <w:szCs w:val="22"/>
          <w:lang w:val="en-GB" w:eastAsia="ja-JP"/>
        </w:rPr>
        <w:t xml:space="preserve"> per cent</w:t>
      </w:r>
      <w:r w:rsidR="00691BFF" w:rsidRPr="00C96521">
        <w:rPr>
          <w:rFonts w:eastAsia="MS Mincho"/>
          <w:sz w:val="20"/>
          <w:szCs w:val="22"/>
          <w:lang w:val="en-GB" w:eastAsia="ja-JP"/>
        </w:rPr>
        <w:t xml:space="preserve"> </w:t>
      </w:r>
      <w:r w:rsidRPr="00C96521">
        <w:rPr>
          <w:rFonts w:eastAsia="MS Mincho"/>
          <w:sz w:val="20"/>
          <w:szCs w:val="22"/>
          <w:lang w:val="en-GB" w:eastAsia="ja-JP"/>
        </w:rPr>
        <w:t>(annual decline of 9.8</w:t>
      </w:r>
      <w:r w:rsidR="00691BFF">
        <w:rPr>
          <w:rFonts w:eastAsia="MS Mincho"/>
          <w:sz w:val="20"/>
          <w:szCs w:val="22"/>
          <w:lang w:val="en-GB" w:eastAsia="ja-JP"/>
        </w:rPr>
        <w:t xml:space="preserve"> per cent</w:t>
      </w:r>
      <w:r w:rsidRPr="00C96521">
        <w:rPr>
          <w:rFonts w:eastAsia="MS Mincho"/>
          <w:sz w:val="20"/>
          <w:szCs w:val="22"/>
          <w:lang w:val="en-GB" w:eastAsia="ja-JP"/>
        </w:rPr>
        <w:t>) (Teufelbauer and Seaman 2016). Between 1998 and 2015, the species declined 54</w:t>
      </w:r>
      <w:r w:rsidR="00691BFF">
        <w:rPr>
          <w:rFonts w:eastAsia="MS Mincho"/>
          <w:sz w:val="20"/>
          <w:szCs w:val="22"/>
          <w:lang w:val="en-GB" w:eastAsia="ja-JP"/>
        </w:rPr>
        <w:t xml:space="preserve"> per cent</w:t>
      </w:r>
      <w:r w:rsidRPr="00C96521">
        <w:rPr>
          <w:rFonts w:eastAsia="MS Mincho"/>
          <w:sz w:val="20"/>
          <w:szCs w:val="22"/>
          <w:lang w:val="en-GB" w:eastAsia="ja-JP"/>
        </w:rPr>
        <w:t xml:space="preserve"> overall, with an annual decline of 4.7</w:t>
      </w:r>
      <w:r w:rsidR="00691BFF">
        <w:rPr>
          <w:rFonts w:eastAsia="MS Mincho"/>
          <w:sz w:val="20"/>
          <w:szCs w:val="22"/>
          <w:lang w:val="en-GB" w:eastAsia="ja-JP"/>
        </w:rPr>
        <w:t xml:space="preserve"> per cent</w:t>
      </w:r>
      <w:r w:rsidRPr="00C96521">
        <w:rPr>
          <w:rFonts w:eastAsia="MS Mincho"/>
          <w:sz w:val="20"/>
          <w:szCs w:val="22"/>
          <w:lang w:val="en-GB" w:eastAsia="ja-JP"/>
        </w:rPr>
        <w:t xml:space="preserve">. The species is mainly found in the east of the country (Dvorak </w:t>
      </w:r>
      <w:r w:rsidRPr="00C96521">
        <w:rPr>
          <w:rFonts w:eastAsia="MS Mincho"/>
          <w:i/>
          <w:sz w:val="20"/>
          <w:szCs w:val="22"/>
          <w:lang w:val="en-GB" w:eastAsia="ja-JP"/>
        </w:rPr>
        <w:t>et al</w:t>
      </w:r>
      <w:r w:rsidRPr="00C96521">
        <w:rPr>
          <w:rFonts w:eastAsia="MS Mincho"/>
          <w:sz w:val="20"/>
          <w:szCs w:val="22"/>
          <w:lang w:val="en-GB" w:eastAsia="ja-JP"/>
        </w:rPr>
        <w:t xml:space="preserve"> 1993).</w:t>
      </w:r>
    </w:p>
    <w:p w14:paraId="29B4B050"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13DCB299" w14:textId="71BD5525"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Considered a species of farmland in the Czech Republic, the population is undergoing a slight decrease (CSO/JPSP 2015). Over the period 1982-2005, the species had an average annual population change of -2.81</w:t>
      </w:r>
      <w:r w:rsidR="00FB0078">
        <w:rPr>
          <w:rFonts w:eastAsia="MS Mincho"/>
          <w:sz w:val="20"/>
          <w:szCs w:val="22"/>
          <w:lang w:val="en-GB" w:eastAsia="ja-JP"/>
        </w:rPr>
        <w:t xml:space="preserve"> per cent</w:t>
      </w:r>
      <w:r w:rsidR="00FB0078" w:rsidRPr="00C96521">
        <w:rPr>
          <w:rFonts w:eastAsia="MS Mincho"/>
          <w:sz w:val="20"/>
          <w:szCs w:val="22"/>
          <w:lang w:val="en-GB" w:eastAsia="ja-JP"/>
        </w:rPr>
        <w:t xml:space="preserve"> </w:t>
      </w:r>
      <w:r w:rsidRPr="00C96521">
        <w:rPr>
          <w:rFonts w:eastAsia="MS Mincho"/>
          <w:sz w:val="20"/>
          <w:szCs w:val="22"/>
          <w:lang w:val="en-GB" w:eastAsia="ja-JP"/>
        </w:rPr>
        <w:t xml:space="preserve">(lower limit of confidence interval 0.96, upper limit 0.98) which was considered a moderate decline (Reif </w:t>
      </w:r>
      <w:r w:rsidRPr="00C96521">
        <w:rPr>
          <w:rFonts w:eastAsia="MS Mincho"/>
          <w:i/>
          <w:sz w:val="20"/>
          <w:szCs w:val="22"/>
          <w:lang w:val="en-GB" w:eastAsia="ja-JP"/>
        </w:rPr>
        <w:t>et al</w:t>
      </w:r>
      <w:r w:rsidRPr="00C96521">
        <w:rPr>
          <w:rFonts w:eastAsia="MS Mincho"/>
          <w:sz w:val="20"/>
          <w:szCs w:val="22"/>
          <w:lang w:val="en-GB" w:eastAsia="ja-JP"/>
        </w:rPr>
        <w:t xml:space="preserve"> 2006). Comparison between the 1973-1977 and 1985-1989 breeding atlas shows that the number of squares occupied by the species remained similar in both periods (Štastný </w:t>
      </w:r>
      <w:r w:rsidRPr="00C96521">
        <w:rPr>
          <w:rFonts w:eastAsia="MS Mincho"/>
          <w:i/>
          <w:sz w:val="20"/>
          <w:szCs w:val="22"/>
          <w:lang w:val="en-GB" w:eastAsia="ja-JP"/>
        </w:rPr>
        <w:t>et al</w:t>
      </w:r>
      <w:r w:rsidRPr="00C96521">
        <w:rPr>
          <w:rFonts w:eastAsia="MS Mincho"/>
          <w:sz w:val="20"/>
          <w:szCs w:val="22"/>
          <w:lang w:val="en-GB" w:eastAsia="ja-JP"/>
        </w:rPr>
        <w:t xml:space="preserve"> 1997). The 2001-2003 breeding bird atlas data show that quadrat occupancy did not dropped below 90% on any mapping occasion (Štastný </w:t>
      </w:r>
      <w:r w:rsidRPr="00C96521">
        <w:rPr>
          <w:rFonts w:eastAsia="MS Mincho"/>
          <w:i/>
          <w:sz w:val="20"/>
          <w:szCs w:val="22"/>
          <w:lang w:val="en-GB" w:eastAsia="ja-JP"/>
        </w:rPr>
        <w:t>et al</w:t>
      </w:r>
      <w:r w:rsidRPr="00C96521">
        <w:rPr>
          <w:rFonts w:eastAsia="MS Mincho"/>
          <w:sz w:val="20"/>
          <w:szCs w:val="22"/>
          <w:lang w:val="en-GB" w:eastAsia="ja-JP"/>
        </w:rPr>
        <w:t xml:space="preserve"> 2006).</w:t>
      </w:r>
    </w:p>
    <w:p w14:paraId="14BC60A4"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9D42AE1" w14:textId="682EC210"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Slovakia, the population trend for </w:t>
      </w:r>
      <w:r w:rsidR="00FB0078">
        <w:rPr>
          <w:rFonts w:eastAsia="MS Mincho"/>
          <w:sz w:val="20"/>
          <w:szCs w:val="22"/>
          <w:lang w:val="en-GB" w:eastAsia="ja-JP"/>
        </w:rPr>
        <w:t xml:space="preserve">the </w:t>
      </w:r>
      <w:r w:rsidR="00FB0078">
        <w:rPr>
          <w:rFonts w:eastAsia="MS Mincho" w:cs="Arial"/>
          <w:sz w:val="20"/>
          <w:szCs w:val="22"/>
          <w:lang w:val="en-GB" w:eastAsia="ja-JP"/>
        </w:rPr>
        <w:t>T</w:t>
      </w:r>
      <w:r w:rsidR="00FB0078" w:rsidRPr="00C96521">
        <w:rPr>
          <w:rFonts w:eastAsia="MS Mincho" w:cs="Arial"/>
          <w:sz w:val="20"/>
          <w:szCs w:val="22"/>
          <w:lang w:val="en-GB" w:eastAsia="ja-JP"/>
        </w:rPr>
        <w:t>urtle</w:t>
      </w:r>
      <w:r w:rsidR="00FB0078">
        <w:rPr>
          <w:rFonts w:eastAsia="MS Mincho" w:cs="Arial"/>
          <w:sz w:val="20"/>
          <w:szCs w:val="22"/>
          <w:lang w:val="en-GB" w:eastAsia="ja-JP"/>
        </w:rPr>
        <w:t xml:space="preserve"> D</w:t>
      </w:r>
      <w:r w:rsidR="00FB0078" w:rsidRPr="00C96521">
        <w:rPr>
          <w:rFonts w:eastAsia="MS Mincho" w:cs="Arial"/>
          <w:sz w:val="20"/>
          <w:szCs w:val="22"/>
          <w:lang w:val="en-GB" w:eastAsia="ja-JP"/>
        </w:rPr>
        <w:t xml:space="preserve">ove </w:t>
      </w:r>
      <w:r w:rsidRPr="00C96521">
        <w:rPr>
          <w:rFonts w:eastAsia="MS Mincho"/>
          <w:sz w:val="20"/>
          <w:szCs w:val="22"/>
          <w:lang w:val="en-GB" w:eastAsia="ja-JP"/>
        </w:rPr>
        <w:t xml:space="preserve">is unclear. Although the trends for 2000-2012 and 1980-2012 were reported to be stable in the European Red List of Birds (BirdLife International 2015), analysis of Common Bird Monitoring data for the period 2005-2009 shows that the trend classification was uncertain with a negative tendency (Slabeyová </w:t>
      </w:r>
      <w:r w:rsidRPr="00C96521">
        <w:rPr>
          <w:rFonts w:eastAsia="MS Mincho"/>
          <w:i/>
          <w:sz w:val="20"/>
          <w:szCs w:val="22"/>
          <w:lang w:val="en-GB" w:eastAsia="ja-JP"/>
        </w:rPr>
        <w:t>et al</w:t>
      </w:r>
      <w:r w:rsidRPr="00C96521">
        <w:rPr>
          <w:rFonts w:eastAsia="MS Mincho"/>
          <w:sz w:val="20"/>
          <w:szCs w:val="22"/>
          <w:lang w:val="en-GB" w:eastAsia="ja-JP"/>
        </w:rPr>
        <w:t xml:space="preserve"> 2009). The average annual population change during 2005-2009 was -3.22</w:t>
      </w:r>
      <w:r w:rsidR="00FB0078">
        <w:rPr>
          <w:rFonts w:eastAsia="MS Mincho"/>
          <w:sz w:val="20"/>
          <w:szCs w:val="22"/>
          <w:lang w:val="en-GB" w:eastAsia="ja-JP"/>
        </w:rPr>
        <w:t xml:space="preserve"> per cent</w:t>
      </w:r>
      <w:r w:rsidRPr="00C96521">
        <w:rPr>
          <w:rFonts w:eastAsia="MS Mincho"/>
          <w:sz w:val="20"/>
          <w:szCs w:val="22"/>
          <w:lang w:val="en-GB" w:eastAsia="ja-JP"/>
        </w:rPr>
        <w:t xml:space="preserve"> (confidence intervals of 0.86-1.07). The species breeds mainly in the lowlands and is found in high numbers in the south of the country (e</w:t>
      </w:r>
      <w:r w:rsidR="00FB0078">
        <w:rPr>
          <w:rFonts w:eastAsia="MS Mincho"/>
          <w:sz w:val="20"/>
          <w:szCs w:val="22"/>
          <w:lang w:val="en-GB" w:eastAsia="ja-JP"/>
        </w:rPr>
        <w:t>.</w:t>
      </w:r>
      <w:r w:rsidRPr="00C96521">
        <w:rPr>
          <w:rFonts w:eastAsia="MS Mincho"/>
          <w:sz w:val="20"/>
          <w:szCs w:val="22"/>
          <w:lang w:val="en-GB" w:eastAsia="ja-JP"/>
        </w:rPr>
        <w:t>g</w:t>
      </w:r>
      <w:r w:rsidR="00FB0078">
        <w:rPr>
          <w:rFonts w:eastAsia="MS Mincho"/>
          <w:sz w:val="20"/>
          <w:szCs w:val="22"/>
          <w:lang w:val="en-GB" w:eastAsia="ja-JP"/>
        </w:rPr>
        <w:t>.</w:t>
      </w:r>
      <w:r w:rsidRPr="00C96521">
        <w:rPr>
          <w:rFonts w:eastAsia="MS Mincho"/>
          <w:sz w:val="20"/>
          <w:szCs w:val="22"/>
          <w:lang w:val="en-GB" w:eastAsia="ja-JP"/>
        </w:rPr>
        <w:t xml:space="preserve"> in the Podunajsko region with records of 1.3-3.2 breeding pairs/10 ha in windbreaks) (Danko </w:t>
      </w:r>
      <w:r w:rsidRPr="00C96521">
        <w:rPr>
          <w:rFonts w:eastAsia="MS Mincho"/>
          <w:i/>
          <w:sz w:val="20"/>
          <w:szCs w:val="22"/>
          <w:lang w:val="en-GB" w:eastAsia="ja-JP"/>
        </w:rPr>
        <w:t>et al</w:t>
      </w:r>
      <w:r w:rsidRPr="00C96521">
        <w:rPr>
          <w:rFonts w:eastAsia="MS Mincho"/>
          <w:sz w:val="20"/>
          <w:szCs w:val="22"/>
          <w:lang w:val="en-GB" w:eastAsia="ja-JP"/>
        </w:rPr>
        <w:t xml:space="preserve"> 2002).</w:t>
      </w:r>
    </w:p>
    <w:p w14:paraId="7B7DAF29"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FB5A54B" w14:textId="57743534"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In Hungary, the population is estimated to be stable, with an annual trend of -0.26</w:t>
      </w:r>
      <w:r w:rsidR="00FB0078">
        <w:rPr>
          <w:rFonts w:eastAsia="MS Mincho"/>
          <w:sz w:val="20"/>
          <w:szCs w:val="22"/>
          <w:lang w:val="en-GB" w:eastAsia="ja-JP"/>
        </w:rPr>
        <w:t xml:space="preserve"> per cent</w:t>
      </w:r>
      <w:r w:rsidRPr="00C96521">
        <w:rPr>
          <w:rFonts w:eastAsia="MS Mincho"/>
          <w:sz w:val="20"/>
          <w:szCs w:val="22"/>
          <w:lang w:val="en-GB" w:eastAsia="ja-JP"/>
        </w:rPr>
        <w:t xml:space="preserve"> (Mindennapi Madaraink Monitoringja 2016).</w:t>
      </w:r>
    </w:p>
    <w:p w14:paraId="1692E938"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D09BAF3" w14:textId="5C5F0C39"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Although the population for breeding </w:t>
      </w:r>
      <w:r w:rsidR="00FB0078">
        <w:rPr>
          <w:rFonts w:eastAsia="MS Mincho" w:cs="Arial"/>
          <w:sz w:val="20"/>
          <w:szCs w:val="22"/>
          <w:lang w:val="en-GB" w:eastAsia="ja-JP"/>
        </w:rPr>
        <w:t>T</w:t>
      </w:r>
      <w:r w:rsidR="00FB0078" w:rsidRPr="00C96521">
        <w:rPr>
          <w:rFonts w:eastAsia="MS Mincho" w:cs="Arial"/>
          <w:sz w:val="20"/>
          <w:szCs w:val="22"/>
          <w:lang w:val="en-GB" w:eastAsia="ja-JP"/>
        </w:rPr>
        <w:t>urtle</w:t>
      </w:r>
      <w:r w:rsidR="00FB0078">
        <w:rPr>
          <w:rFonts w:eastAsia="MS Mincho" w:cs="Arial"/>
          <w:sz w:val="20"/>
          <w:szCs w:val="22"/>
          <w:lang w:val="en-GB" w:eastAsia="ja-JP"/>
        </w:rPr>
        <w:t xml:space="preserve"> D</w:t>
      </w:r>
      <w:r w:rsidR="00FB0078" w:rsidRPr="00C96521">
        <w:rPr>
          <w:rFonts w:eastAsia="MS Mincho" w:cs="Arial"/>
          <w:sz w:val="20"/>
          <w:szCs w:val="22"/>
          <w:lang w:val="en-GB" w:eastAsia="ja-JP"/>
        </w:rPr>
        <w:t xml:space="preserve">oves </w:t>
      </w:r>
      <w:r w:rsidRPr="00C96521">
        <w:rPr>
          <w:rFonts w:eastAsia="MS Mincho"/>
          <w:sz w:val="20"/>
          <w:szCs w:val="22"/>
          <w:lang w:val="en-GB" w:eastAsia="ja-JP"/>
        </w:rPr>
        <w:t xml:space="preserve">in Italy is estimated to be stable by the MITO2000 project (Rete Rurale Nazionale and LIPU 2015, MITO2000 2016), when this information was considered for the Reporting of the Birds Directive (Nardelli </w:t>
      </w:r>
      <w:r w:rsidRPr="00C96521">
        <w:rPr>
          <w:rFonts w:eastAsia="MS Mincho"/>
          <w:i/>
          <w:sz w:val="20"/>
          <w:szCs w:val="22"/>
          <w:lang w:val="en-GB" w:eastAsia="ja-JP"/>
        </w:rPr>
        <w:t>et al</w:t>
      </w:r>
      <w:r w:rsidRPr="00C96521">
        <w:rPr>
          <w:rFonts w:eastAsia="MS Mincho"/>
          <w:sz w:val="20"/>
          <w:szCs w:val="22"/>
          <w:lang w:val="en-GB" w:eastAsia="ja-JP"/>
        </w:rPr>
        <w:t xml:space="preserve"> 2015), the Lega Italiana Protezione Uccelli and the Istituto Superiore per la Protezione e la Ricerca Ambientale decided to describe both the short- and long-term trends as unknown, due to insufficient data. According to the 1983-1987 Breeding Bird Atlas (Meschini and Frugis 1993) and Brichetti and Fracasso (2006) the species was distributed along the entire Italian peninsula with small exceptions in the far north (Alps) and south, where the species was either not present or present in small numbers.</w:t>
      </w:r>
    </w:p>
    <w:p w14:paraId="1955B932"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8AE807E"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Poland, the species underwent a moderate decline between 2000 and 2014 (Monitoring Ptaków Polski 2015). The population index in 2014 was 0.63 compared to 1 in 2000. The 1985-2004 Breeding Bird Atlas describes the species as very widespread (Sikora </w:t>
      </w:r>
      <w:r w:rsidRPr="00C96521">
        <w:rPr>
          <w:rFonts w:eastAsia="MS Mincho"/>
          <w:i/>
          <w:sz w:val="20"/>
          <w:szCs w:val="22"/>
          <w:lang w:val="en-GB" w:eastAsia="ja-JP"/>
        </w:rPr>
        <w:t>et al</w:t>
      </w:r>
      <w:r w:rsidRPr="00C96521">
        <w:rPr>
          <w:rFonts w:eastAsia="MS Mincho"/>
          <w:sz w:val="20"/>
          <w:szCs w:val="22"/>
          <w:lang w:val="en-GB" w:eastAsia="ja-JP"/>
        </w:rPr>
        <w:t xml:space="preserve"> 2007). In the 19</w:t>
      </w:r>
      <w:r w:rsidRPr="00C96521">
        <w:rPr>
          <w:rFonts w:eastAsia="MS Mincho"/>
          <w:sz w:val="20"/>
          <w:szCs w:val="22"/>
          <w:vertAlign w:val="superscript"/>
          <w:lang w:val="en-GB" w:eastAsia="ja-JP"/>
        </w:rPr>
        <w:t>th</w:t>
      </w:r>
      <w:r w:rsidRPr="00C96521">
        <w:rPr>
          <w:rFonts w:eastAsia="MS Mincho"/>
          <w:sz w:val="20"/>
          <w:szCs w:val="22"/>
          <w:lang w:val="en-GB" w:eastAsia="ja-JP"/>
        </w:rPr>
        <w:t xml:space="preserve"> century it was the most common dove species in Poland, but numbers have declined since then.</w:t>
      </w:r>
    </w:p>
    <w:p w14:paraId="298426A2"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DCAEBEB" w14:textId="53692ABB"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The population in Switzerland fluctuated over the period 1990-2015, with the species generally in decline since about 1996, with a sharp decline exhibited in 2008 (Vogelwarte 2016a). However, from 1985 to the late 1990s the population increased (Schmid </w:t>
      </w:r>
      <w:r w:rsidRPr="00C96521">
        <w:rPr>
          <w:rFonts w:eastAsia="MS Mincho"/>
          <w:i/>
          <w:sz w:val="20"/>
          <w:szCs w:val="22"/>
          <w:lang w:val="en-GB" w:eastAsia="ja-JP"/>
        </w:rPr>
        <w:t>et al</w:t>
      </w:r>
      <w:r w:rsidRPr="00C96521">
        <w:rPr>
          <w:rFonts w:eastAsia="MS Mincho"/>
          <w:sz w:val="20"/>
          <w:szCs w:val="22"/>
          <w:lang w:val="en-GB" w:eastAsia="ja-JP"/>
        </w:rPr>
        <w:t xml:space="preserve"> 2001). Analysis of three atlas publications in Switzerland (1950-1959, 1972-1976 and 1993-1996) shows that the distribution of </w:t>
      </w:r>
      <w:r w:rsidR="00FB0078">
        <w:rPr>
          <w:rFonts w:eastAsia="MS Mincho"/>
          <w:sz w:val="20"/>
          <w:szCs w:val="22"/>
          <w:lang w:val="en-GB" w:eastAsia="ja-JP"/>
        </w:rPr>
        <w:t>T</w:t>
      </w:r>
      <w:r w:rsidRPr="00C96521">
        <w:rPr>
          <w:rFonts w:eastAsia="MS Mincho"/>
          <w:sz w:val="20"/>
          <w:szCs w:val="22"/>
          <w:lang w:val="en-GB" w:eastAsia="ja-JP"/>
        </w:rPr>
        <w:t>urtle</w:t>
      </w:r>
      <w:r w:rsidR="00FB0078">
        <w:rPr>
          <w:rFonts w:eastAsia="MS Mincho"/>
          <w:sz w:val="20"/>
          <w:szCs w:val="22"/>
          <w:lang w:val="en-GB" w:eastAsia="ja-JP"/>
        </w:rPr>
        <w:t xml:space="preserve"> D</w:t>
      </w:r>
      <w:r w:rsidRPr="00C96521">
        <w:rPr>
          <w:rFonts w:eastAsia="MS Mincho"/>
          <w:sz w:val="20"/>
          <w:szCs w:val="22"/>
          <w:lang w:val="en-GB" w:eastAsia="ja-JP"/>
        </w:rPr>
        <w:t>ove</w:t>
      </w:r>
      <w:r w:rsidR="00FB0078">
        <w:rPr>
          <w:rFonts w:eastAsia="MS Mincho"/>
          <w:sz w:val="20"/>
          <w:szCs w:val="22"/>
          <w:lang w:val="en-GB" w:eastAsia="ja-JP"/>
        </w:rPr>
        <w:t>s</w:t>
      </w:r>
      <w:r w:rsidRPr="00C96521">
        <w:rPr>
          <w:rFonts w:eastAsia="MS Mincho"/>
          <w:sz w:val="20"/>
          <w:szCs w:val="22"/>
          <w:lang w:val="en-GB" w:eastAsia="ja-JP"/>
        </w:rPr>
        <w:t xml:space="preserve"> remained generally similar over the whole period,</w:t>
      </w:r>
      <w:r w:rsidR="00FB0078">
        <w:rPr>
          <w:rFonts w:eastAsia="MS Mincho"/>
          <w:sz w:val="20"/>
          <w:szCs w:val="22"/>
          <w:lang w:val="en-GB" w:eastAsia="ja-JP"/>
        </w:rPr>
        <w:t xml:space="preserve"> </w:t>
      </w:r>
      <w:r w:rsidRPr="00C96521">
        <w:rPr>
          <w:rFonts w:eastAsia="MS Mincho"/>
          <w:sz w:val="20"/>
          <w:szCs w:val="22"/>
          <w:lang w:val="en-GB" w:eastAsia="ja-JP"/>
        </w:rPr>
        <w:t xml:space="preserve">with some losses in central Switzerland between the 1972-1976 atlas and the 1993-1996 atlas. In the 1950s, the </w:t>
      </w:r>
      <w:r w:rsidR="00FB0078">
        <w:rPr>
          <w:rFonts w:eastAsia="MS Mincho"/>
          <w:sz w:val="20"/>
          <w:szCs w:val="22"/>
          <w:lang w:val="en-GB" w:eastAsia="ja-JP"/>
        </w:rPr>
        <w:t>T</w:t>
      </w:r>
      <w:r w:rsidR="00FB0078" w:rsidRPr="00C96521">
        <w:rPr>
          <w:rFonts w:eastAsia="MS Mincho"/>
          <w:sz w:val="20"/>
          <w:szCs w:val="22"/>
          <w:lang w:val="en-GB" w:eastAsia="ja-JP"/>
        </w:rPr>
        <w:t>urtle</w:t>
      </w:r>
      <w:r w:rsidR="00FB0078">
        <w:rPr>
          <w:rFonts w:eastAsia="MS Mincho"/>
          <w:sz w:val="20"/>
          <w:szCs w:val="22"/>
          <w:lang w:val="en-GB" w:eastAsia="ja-JP"/>
        </w:rPr>
        <w:t xml:space="preserve"> D</w:t>
      </w:r>
      <w:r w:rsidR="00FB0078" w:rsidRPr="00C96521">
        <w:rPr>
          <w:rFonts w:eastAsia="MS Mincho"/>
          <w:sz w:val="20"/>
          <w:szCs w:val="22"/>
          <w:lang w:val="en-GB" w:eastAsia="ja-JP"/>
        </w:rPr>
        <w:t>ove</w:t>
      </w:r>
      <w:r w:rsidR="00FB0078">
        <w:rPr>
          <w:rFonts w:eastAsia="MS Mincho"/>
          <w:sz w:val="20"/>
          <w:szCs w:val="22"/>
          <w:lang w:val="en-GB" w:eastAsia="ja-JP"/>
        </w:rPr>
        <w:t>’s</w:t>
      </w:r>
      <w:r w:rsidR="00FB0078" w:rsidRPr="00C96521">
        <w:rPr>
          <w:rFonts w:eastAsia="MS Mincho"/>
          <w:sz w:val="20"/>
          <w:szCs w:val="22"/>
          <w:lang w:val="en-GB" w:eastAsia="ja-JP"/>
        </w:rPr>
        <w:t xml:space="preserve"> </w:t>
      </w:r>
      <w:r w:rsidRPr="00C96521">
        <w:rPr>
          <w:rFonts w:eastAsia="MS Mincho"/>
          <w:sz w:val="20"/>
          <w:szCs w:val="22"/>
          <w:lang w:val="en-GB" w:eastAsia="ja-JP"/>
        </w:rPr>
        <w:t xml:space="preserve">range was patchy, being found in areas with a mild climate in the west and south of the country. Numbers increased after the mid-1950s, particularly in the Plaine de l’Orbe in the Vaud canton as well as on the Rhône plain. In the 1993-1996 atlas, breeding was more irregular in eastern Switzerland with a slight negative trend (Schmid </w:t>
      </w:r>
      <w:r w:rsidRPr="00C96521">
        <w:rPr>
          <w:rFonts w:eastAsia="MS Mincho"/>
          <w:i/>
          <w:sz w:val="20"/>
          <w:szCs w:val="22"/>
          <w:lang w:val="en-GB" w:eastAsia="ja-JP"/>
        </w:rPr>
        <w:t>et al</w:t>
      </w:r>
      <w:r w:rsidRPr="00C96521">
        <w:rPr>
          <w:rFonts w:eastAsia="MS Mincho"/>
          <w:sz w:val="20"/>
          <w:szCs w:val="22"/>
          <w:lang w:val="en-GB" w:eastAsia="ja-JP"/>
        </w:rPr>
        <w:t xml:space="preserve"> 2001).</w:t>
      </w:r>
    </w:p>
    <w:p w14:paraId="7CC972C1"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574454E4" w14:textId="068D220E"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Albania, Bosnia and Herzegovina, Croatia, Greece, Kosovo</w:t>
      </w:r>
      <w:r w:rsidR="005D6A2A">
        <w:rPr>
          <w:rFonts w:eastAsia="MS Mincho"/>
          <w:b/>
          <w:sz w:val="20"/>
          <w:szCs w:val="22"/>
          <w:lang w:val="en-GB" w:eastAsia="ja-JP"/>
        </w:rPr>
        <w:t xml:space="preserve"> (UN Res 1244)</w:t>
      </w:r>
      <w:r w:rsidRPr="00C96521">
        <w:rPr>
          <w:rFonts w:eastAsia="MS Mincho"/>
          <w:b/>
          <w:sz w:val="20"/>
          <w:szCs w:val="22"/>
          <w:lang w:val="en-GB" w:eastAsia="ja-JP"/>
        </w:rPr>
        <w:t>, Montenegro, Serbia, Slovenia</w:t>
      </w:r>
      <w:r w:rsidR="00FB0078">
        <w:rPr>
          <w:rFonts w:eastAsia="MS Mincho"/>
          <w:b/>
          <w:sz w:val="20"/>
          <w:szCs w:val="22"/>
          <w:lang w:val="en-GB" w:eastAsia="ja-JP"/>
        </w:rPr>
        <w:t>, the FYR</w:t>
      </w:r>
      <w:r w:rsidR="00FB0078" w:rsidRPr="00FB0078">
        <w:rPr>
          <w:rFonts w:eastAsia="MS Mincho"/>
          <w:b/>
          <w:sz w:val="20"/>
          <w:szCs w:val="22"/>
          <w:lang w:val="en-GB" w:eastAsia="ja-JP"/>
        </w:rPr>
        <w:t xml:space="preserve"> </w:t>
      </w:r>
      <w:r w:rsidR="00FB0078" w:rsidRPr="00C96521">
        <w:rPr>
          <w:rFonts w:eastAsia="MS Mincho"/>
          <w:b/>
          <w:sz w:val="20"/>
          <w:szCs w:val="22"/>
          <w:lang w:val="en-GB" w:eastAsia="ja-JP"/>
        </w:rPr>
        <w:t>Macedonia</w:t>
      </w:r>
    </w:p>
    <w:p w14:paraId="7379958D"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1A6B438D"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Information on the population trend or distribution of the species in this group of countries is limited. The species has undergone a steep decline in Slovenia, but is considered Least Concern in Romania. In Greece it is a widespread breeding bird, but much commoner on passage, particularly during the spring when large numbers of birds stage on the Greek islands.</w:t>
      </w:r>
    </w:p>
    <w:p w14:paraId="200B3F7B"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p>
    <w:p w14:paraId="6A8F218E" w14:textId="12592FAC"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The </w:t>
      </w:r>
      <w:r w:rsidR="00FB0078">
        <w:rPr>
          <w:rFonts w:eastAsia="MS Mincho"/>
          <w:sz w:val="20"/>
          <w:szCs w:val="22"/>
          <w:lang w:val="en-GB" w:eastAsia="ja-JP"/>
        </w:rPr>
        <w:t>T</w:t>
      </w:r>
      <w:r w:rsidR="00FB0078" w:rsidRPr="00C96521">
        <w:rPr>
          <w:rFonts w:eastAsia="MS Mincho"/>
          <w:sz w:val="20"/>
          <w:szCs w:val="22"/>
          <w:lang w:val="en-GB" w:eastAsia="ja-JP"/>
        </w:rPr>
        <w:t>urtle</w:t>
      </w:r>
      <w:r w:rsidR="00FB0078">
        <w:rPr>
          <w:rFonts w:eastAsia="MS Mincho"/>
          <w:sz w:val="20"/>
          <w:szCs w:val="22"/>
          <w:lang w:val="en-GB" w:eastAsia="ja-JP"/>
        </w:rPr>
        <w:t xml:space="preserve"> D</w:t>
      </w:r>
      <w:r w:rsidR="00FB0078" w:rsidRPr="00C96521">
        <w:rPr>
          <w:rFonts w:eastAsia="MS Mincho"/>
          <w:sz w:val="20"/>
          <w:szCs w:val="22"/>
          <w:lang w:val="en-GB" w:eastAsia="ja-JP"/>
        </w:rPr>
        <w:t>ove</w:t>
      </w:r>
      <w:r w:rsidR="00FB0078">
        <w:rPr>
          <w:rFonts w:eastAsia="MS Mincho"/>
          <w:sz w:val="20"/>
          <w:szCs w:val="22"/>
          <w:lang w:val="en-GB" w:eastAsia="ja-JP"/>
        </w:rPr>
        <w:t xml:space="preserve"> </w:t>
      </w:r>
      <w:r w:rsidRPr="00C96521">
        <w:rPr>
          <w:rFonts w:eastAsia="MS Mincho"/>
          <w:sz w:val="20"/>
          <w:szCs w:val="22"/>
          <w:lang w:val="en-GB" w:eastAsia="ja-JP"/>
        </w:rPr>
        <w:t>maintains high breeding densities in central Greece (Thessaly), and most of its breeding population in north-eastern Greece (Evros region) shows a stable and/or low (</w:t>
      </w:r>
      <w:r w:rsidRPr="00C96521">
        <w:rPr>
          <w:rFonts w:eastAsia="MS Mincho" w:cs="Arial"/>
          <w:sz w:val="20"/>
          <w:szCs w:val="22"/>
          <w:lang w:val="en-GB" w:eastAsia="ja-JP"/>
        </w:rPr>
        <w:t xml:space="preserve">±5) </w:t>
      </w:r>
      <w:r w:rsidRPr="00C96521">
        <w:rPr>
          <w:rFonts w:eastAsia="MS Mincho"/>
          <w:sz w:val="20"/>
          <w:szCs w:val="22"/>
          <w:lang w:val="en-GB" w:eastAsia="ja-JP"/>
        </w:rPr>
        <w:t xml:space="preserve">declining trend during the last 15 years (Dimitris Bakaloudis </w:t>
      </w:r>
      <w:r w:rsidRPr="00C96521">
        <w:rPr>
          <w:rFonts w:eastAsia="MS Mincho"/>
          <w:i/>
          <w:sz w:val="20"/>
          <w:szCs w:val="22"/>
          <w:lang w:val="en-GB" w:eastAsia="ja-JP"/>
        </w:rPr>
        <w:t>pers comm</w:t>
      </w:r>
      <w:r w:rsidRPr="00C96521">
        <w:rPr>
          <w:rFonts w:eastAsia="MS Mincho"/>
          <w:sz w:val="20"/>
          <w:szCs w:val="22"/>
          <w:lang w:val="en-GB" w:eastAsia="ja-JP"/>
        </w:rPr>
        <w:t>). It is reported to breed over much of the Greek mainland, being widespread and common in Macedonia and Thrace but more thinly distributed farther south and rather uncommon across much of the Peloponnese (Handrinos and Akriotis 1997). The species is much commoner on passage in Greece, particularly during spring migration. It moves on a broad front, but large numbers can be found along the coast, particularly in western Greece. In spring, birds pass through Zakynthos, Kefallinia and the Strofades islets, the first landing site after crossing the Mediterranean from more southerly wintering areas. Large numbers of birds have been recorded stopping on or passing over the Strofades in spring: an estimated 5,000 birds recorded on the main island in 1995 and a further 5,000 passing over the islands (Schogolev and Dimaki, in Handrinos and Akriotis 1997).</w:t>
      </w:r>
    </w:p>
    <w:p w14:paraId="1007368E"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FC4A39F"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Slovenia, the population underwent a steep decline with a multiplicative annual slope of 0.87 over the period 2008-2015 (Kmecl and Figelj 2015). However, in the 1995 Breeding Bird Atlas the species was described as common with a stable trend (Geister 1995). It is most common in the east of the country, especially Dolenjska, Bela Krajina, Kozjansko, and Prekmurje. It is also common in the south-western part of the county, especially in the Slovene part of Istria (Mihelič 2013). </w:t>
      </w:r>
    </w:p>
    <w:p w14:paraId="35C61A40"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BE9DD19" w14:textId="3AD6F370"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No population trend is available for Albania, Bosnia and Herzegovina, Croatia, Kosovo, Montenegro, Serbia</w:t>
      </w:r>
      <w:r w:rsidR="00FB0078">
        <w:rPr>
          <w:rFonts w:eastAsia="MS Mincho"/>
          <w:sz w:val="20"/>
          <w:szCs w:val="22"/>
          <w:lang w:val="en-GB" w:eastAsia="ja-JP"/>
        </w:rPr>
        <w:t xml:space="preserve"> or the FYR </w:t>
      </w:r>
      <w:r w:rsidR="00FB0078" w:rsidRPr="00C96521">
        <w:rPr>
          <w:rFonts w:eastAsia="MS Mincho"/>
          <w:sz w:val="20"/>
          <w:szCs w:val="22"/>
          <w:lang w:val="en-GB" w:eastAsia="ja-JP"/>
        </w:rPr>
        <w:t>Macedonia</w:t>
      </w:r>
      <w:r w:rsidRPr="00C96521">
        <w:rPr>
          <w:rFonts w:eastAsia="MS Mincho"/>
          <w:sz w:val="20"/>
          <w:szCs w:val="22"/>
          <w:lang w:val="en-GB" w:eastAsia="ja-JP"/>
        </w:rPr>
        <w:t xml:space="preserve">. However, it is considered Least Concern on the national Red List for Croatia (Tutiš </w:t>
      </w:r>
      <w:r w:rsidRPr="00C96521">
        <w:rPr>
          <w:rFonts w:eastAsia="MS Mincho"/>
          <w:i/>
          <w:sz w:val="20"/>
          <w:szCs w:val="22"/>
          <w:lang w:val="en-GB" w:eastAsia="ja-JP"/>
        </w:rPr>
        <w:t>et al</w:t>
      </w:r>
      <w:r w:rsidRPr="00C96521">
        <w:rPr>
          <w:rFonts w:eastAsia="MS Mincho"/>
          <w:sz w:val="20"/>
          <w:szCs w:val="22"/>
          <w:lang w:val="en-GB" w:eastAsia="ja-JP"/>
        </w:rPr>
        <w:t xml:space="preserve"> 2013). </w:t>
      </w:r>
    </w:p>
    <w:p w14:paraId="25D3C560"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847BDAE" w14:textId="631CA7BE"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 xml:space="preserve">Armenia, Azerbaijan, Belarus, Bulgaria, Cyprus, Georgia, </w:t>
      </w:r>
      <w:r w:rsidR="00FB0078">
        <w:rPr>
          <w:rFonts w:eastAsia="MS Mincho"/>
          <w:b/>
          <w:sz w:val="20"/>
          <w:szCs w:val="22"/>
          <w:lang w:val="en-GB" w:eastAsia="ja-JP"/>
        </w:rPr>
        <w:t xml:space="preserve">Republic of </w:t>
      </w:r>
      <w:r w:rsidRPr="00C96521">
        <w:rPr>
          <w:rFonts w:eastAsia="MS Mincho"/>
          <w:b/>
          <w:sz w:val="20"/>
          <w:szCs w:val="22"/>
          <w:lang w:val="en-GB" w:eastAsia="ja-JP"/>
        </w:rPr>
        <w:t>Moldova, Romania, Russia</w:t>
      </w:r>
      <w:r w:rsidR="00FB0078">
        <w:rPr>
          <w:rFonts w:eastAsia="MS Mincho"/>
          <w:b/>
          <w:sz w:val="20"/>
          <w:szCs w:val="22"/>
          <w:lang w:val="en-GB" w:eastAsia="ja-JP"/>
        </w:rPr>
        <w:t>n Federation</w:t>
      </w:r>
      <w:r w:rsidRPr="00C96521">
        <w:rPr>
          <w:rFonts w:eastAsia="MS Mincho"/>
          <w:b/>
          <w:sz w:val="20"/>
          <w:szCs w:val="22"/>
          <w:lang w:val="en-GB" w:eastAsia="ja-JP"/>
        </w:rPr>
        <w:t xml:space="preserve">, Turkey, Ukraine </w:t>
      </w:r>
    </w:p>
    <w:p w14:paraId="034492D5"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78C1A7F4"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The overall picture for this region is unclear. The population in Bulgaria was stable from 2005 to 2015. Good information is lacking for a number of countries (Armenia, Azerbaijan, Belarus, Georgia, Russia and Ukraine) while the trend is uncertain for Cyprus. The Turkish population is apparently in decline while numbers in Moldova and Romania have increased.</w:t>
      </w:r>
    </w:p>
    <w:p w14:paraId="38552CC9"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p>
    <w:p w14:paraId="36A3F037"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The population trend for the species in Bulgaria over the period 2005-2015 was stable (Hristov 2015), and the species has a broad distribution across the country (Iankov 2007). Historically, the species was described as widely distributed at the end of the 19</w:t>
      </w:r>
      <w:r w:rsidRPr="00C96521">
        <w:rPr>
          <w:rFonts w:eastAsia="MS Mincho"/>
          <w:sz w:val="20"/>
          <w:szCs w:val="22"/>
          <w:vertAlign w:val="superscript"/>
          <w:lang w:val="en-GB" w:eastAsia="ja-JP"/>
        </w:rPr>
        <w:t xml:space="preserve">th </w:t>
      </w:r>
      <w:r w:rsidRPr="00C96521">
        <w:rPr>
          <w:rFonts w:eastAsia="MS Mincho"/>
          <w:sz w:val="20"/>
          <w:szCs w:val="22"/>
          <w:lang w:val="en-GB" w:eastAsia="ja-JP"/>
        </w:rPr>
        <w:t>century, in the first half of the 20</w:t>
      </w:r>
      <w:r w:rsidRPr="00C96521">
        <w:rPr>
          <w:rFonts w:eastAsia="MS Mincho"/>
          <w:sz w:val="20"/>
          <w:szCs w:val="22"/>
          <w:vertAlign w:val="superscript"/>
          <w:lang w:val="en-GB" w:eastAsia="ja-JP"/>
        </w:rPr>
        <w:t>th</w:t>
      </w:r>
      <w:r w:rsidRPr="00C96521">
        <w:rPr>
          <w:rFonts w:eastAsia="MS Mincho"/>
          <w:sz w:val="20"/>
          <w:szCs w:val="22"/>
          <w:lang w:val="en-GB" w:eastAsia="ja-JP"/>
        </w:rPr>
        <w:t xml:space="preserve"> and at the middle of the 20</w:t>
      </w:r>
      <w:r w:rsidRPr="00C96521">
        <w:rPr>
          <w:rFonts w:eastAsia="MS Mincho"/>
          <w:sz w:val="20"/>
          <w:szCs w:val="22"/>
          <w:vertAlign w:val="superscript"/>
          <w:lang w:val="en-GB" w:eastAsia="ja-JP"/>
        </w:rPr>
        <w:t>th</w:t>
      </w:r>
      <w:r w:rsidRPr="00C96521">
        <w:rPr>
          <w:rFonts w:eastAsia="MS Mincho"/>
          <w:sz w:val="20"/>
          <w:szCs w:val="22"/>
          <w:lang w:val="en-GB" w:eastAsia="ja-JP"/>
        </w:rPr>
        <w:t xml:space="preserve"> century. During the second half of the 20</w:t>
      </w:r>
      <w:r w:rsidRPr="00C96521">
        <w:rPr>
          <w:rFonts w:eastAsia="MS Mincho"/>
          <w:sz w:val="20"/>
          <w:szCs w:val="22"/>
          <w:vertAlign w:val="superscript"/>
          <w:lang w:val="en-GB" w:eastAsia="ja-JP"/>
        </w:rPr>
        <w:t>th</w:t>
      </w:r>
      <w:r w:rsidRPr="00C96521">
        <w:rPr>
          <w:rFonts w:eastAsia="MS Mincho"/>
          <w:sz w:val="20"/>
          <w:szCs w:val="22"/>
          <w:lang w:val="en-GB" w:eastAsia="ja-JP"/>
        </w:rPr>
        <w:t xml:space="preserve"> century, the distribution was similar to that of the first half, but it is likely that there were some reductions in occupied territories in higher mountain areas. In terms of the national population trend, there is some evidence (based on the frequency of sightings) that the species may have decreased slightly over the period 1970-1990. However, the lack of data collected through coordinated national census work means that it is not possible to confirm this (Iankov 2007).</w:t>
      </w:r>
    </w:p>
    <w:p w14:paraId="4A43359D"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F6C9464" w14:textId="619FFBA2"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In Cyprus, the overall trend for the species over the period 2006-2015 was uncertain with the population exhibiting increases, decreases, and periods of stability over the 10</w:t>
      </w:r>
      <w:r w:rsidR="00FB0078">
        <w:rPr>
          <w:rFonts w:eastAsia="MS Mincho"/>
          <w:sz w:val="20"/>
          <w:szCs w:val="22"/>
          <w:lang w:val="en-GB" w:eastAsia="ja-JP"/>
        </w:rPr>
        <w:t>-</w:t>
      </w:r>
      <w:r w:rsidRPr="00C96521">
        <w:rPr>
          <w:rFonts w:eastAsia="MS Mincho"/>
          <w:sz w:val="20"/>
          <w:szCs w:val="22"/>
          <w:lang w:val="en-GB" w:eastAsia="ja-JP"/>
        </w:rPr>
        <w:t>year period (Hellicar 2016). The trend for the species in farmland and forest habitats was equally uncertain.</w:t>
      </w:r>
    </w:p>
    <w:p w14:paraId="53857753"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23F916E"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The species is considered common in Moldova and in recent years the population has increased (Munteanu and Zubcov 2010). An ongoing monitoring programme is underway and will be completed in 2018, which will allow the population trend to be updated (Vitalie Grimalschi </w:t>
      </w:r>
      <w:r w:rsidRPr="00C96521">
        <w:rPr>
          <w:rFonts w:eastAsia="MS Mincho"/>
          <w:i/>
          <w:sz w:val="20"/>
          <w:szCs w:val="22"/>
          <w:lang w:val="en-GB" w:eastAsia="ja-JP"/>
        </w:rPr>
        <w:t>pers comm</w:t>
      </w:r>
      <w:r w:rsidRPr="00C96521">
        <w:rPr>
          <w:rFonts w:eastAsia="MS Mincho"/>
          <w:sz w:val="20"/>
          <w:szCs w:val="22"/>
          <w:lang w:val="en-GB" w:eastAsia="ja-JP"/>
        </w:rPr>
        <w:t>).</w:t>
      </w:r>
    </w:p>
    <w:p w14:paraId="1BBB007B"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00E2827" w14:textId="10306B40"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Romania, the </w:t>
      </w:r>
      <w:r w:rsidR="00FB0078">
        <w:rPr>
          <w:rFonts w:eastAsia="MS Mincho"/>
          <w:sz w:val="20"/>
          <w:szCs w:val="22"/>
          <w:lang w:val="en-GB" w:eastAsia="ja-JP"/>
        </w:rPr>
        <w:t>T</w:t>
      </w:r>
      <w:r w:rsidR="00FB0078" w:rsidRPr="00C96521">
        <w:rPr>
          <w:rFonts w:eastAsia="MS Mincho"/>
          <w:sz w:val="20"/>
          <w:szCs w:val="22"/>
          <w:lang w:val="en-GB" w:eastAsia="ja-JP"/>
        </w:rPr>
        <w:t>urtle</w:t>
      </w:r>
      <w:r w:rsidR="00FB0078">
        <w:rPr>
          <w:rFonts w:eastAsia="MS Mincho"/>
          <w:sz w:val="20"/>
          <w:szCs w:val="22"/>
          <w:lang w:val="en-GB" w:eastAsia="ja-JP"/>
        </w:rPr>
        <w:t xml:space="preserve"> D</w:t>
      </w:r>
      <w:r w:rsidR="00FB0078" w:rsidRPr="00C96521">
        <w:rPr>
          <w:rFonts w:eastAsia="MS Mincho"/>
          <w:sz w:val="20"/>
          <w:szCs w:val="22"/>
          <w:lang w:val="en-GB" w:eastAsia="ja-JP"/>
        </w:rPr>
        <w:t>ove</w:t>
      </w:r>
      <w:r w:rsidR="00FB0078">
        <w:rPr>
          <w:rFonts w:eastAsia="MS Mincho"/>
          <w:sz w:val="20"/>
          <w:szCs w:val="22"/>
          <w:lang w:val="en-GB" w:eastAsia="ja-JP"/>
        </w:rPr>
        <w:t xml:space="preserve"> </w:t>
      </w:r>
      <w:r w:rsidRPr="00C96521">
        <w:rPr>
          <w:rFonts w:eastAsia="MS Mincho"/>
          <w:sz w:val="20"/>
          <w:szCs w:val="22"/>
          <w:lang w:val="en-GB" w:eastAsia="ja-JP"/>
        </w:rPr>
        <w:t>is described as present throughout the country, and the 2002 Breeding Bird Atlas states that the species underwent sharp declines in recent decades (Munteanu 2002). Post-1950, the species underwent continuous declines and is now less numerous in large wooded areas than in the first half of the 20</w:t>
      </w:r>
      <w:r w:rsidRPr="00C96521">
        <w:rPr>
          <w:rFonts w:eastAsia="MS Mincho"/>
          <w:sz w:val="20"/>
          <w:szCs w:val="22"/>
          <w:vertAlign w:val="superscript"/>
          <w:lang w:val="en-GB" w:eastAsia="ja-JP"/>
        </w:rPr>
        <w:t>th</w:t>
      </w:r>
      <w:r w:rsidRPr="00C96521">
        <w:rPr>
          <w:rFonts w:eastAsia="MS Mincho"/>
          <w:sz w:val="20"/>
          <w:szCs w:val="22"/>
          <w:lang w:val="en-GB" w:eastAsia="ja-JP"/>
        </w:rPr>
        <w:t xml:space="preserve"> century (Munteanu 2009). Nesting birds in parks and cities were lost in the 1940s-</w:t>
      </w:r>
      <w:r w:rsidR="00FB0078">
        <w:rPr>
          <w:rFonts w:eastAsia="MS Mincho"/>
          <w:sz w:val="20"/>
          <w:szCs w:val="22"/>
          <w:lang w:val="en-GB" w:eastAsia="ja-JP"/>
        </w:rPr>
        <w:t>‘</w:t>
      </w:r>
      <w:r w:rsidRPr="00C96521">
        <w:rPr>
          <w:rFonts w:eastAsia="MS Mincho"/>
          <w:sz w:val="20"/>
          <w:szCs w:val="22"/>
          <w:lang w:val="en-GB" w:eastAsia="ja-JP"/>
        </w:rPr>
        <w:t xml:space="preserve">50s due to the species being outcompeted by the </w:t>
      </w:r>
      <w:r w:rsidR="00FB0078">
        <w:rPr>
          <w:rFonts w:eastAsia="MS Mincho"/>
          <w:sz w:val="20"/>
          <w:szCs w:val="22"/>
          <w:lang w:val="en-GB" w:eastAsia="ja-JP"/>
        </w:rPr>
        <w:t>C</w:t>
      </w:r>
      <w:r w:rsidR="00FB0078" w:rsidRPr="00C96521">
        <w:rPr>
          <w:rFonts w:eastAsia="MS Mincho"/>
          <w:sz w:val="20"/>
          <w:szCs w:val="22"/>
          <w:lang w:val="en-GB" w:eastAsia="ja-JP"/>
        </w:rPr>
        <w:t xml:space="preserve">ollared </w:t>
      </w:r>
      <w:r w:rsidR="00FB0078">
        <w:rPr>
          <w:rFonts w:eastAsia="MS Mincho"/>
          <w:sz w:val="20"/>
          <w:szCs w:val="22"/>
          <w:lang w:val="en-GB" w:eastAsia="ja-JP"/>
        </w:rPr>
        <w:t>D</w:t>
      </w:r>
      <w:r w:rsidR="00FB0078" w:rsidRPr="00C96521">
        <w:rPr>
          <w:rFonts w:eastAsia="MS Mincho"/>
          <w:sz w:val="20"/>
          <w:szCs w:val="22"/>
          <w:lang w:val="en-GB" w:eastAsia="ja-JP"/>
        </w:rPr>
        <w:t xml:space="preserve">ove </w:t>
      </w:r>
      <w:r w:rsidRPr="00C96521">
        <w:rPr>
          <w:rFonts w:eastAsia="MS Mincho"/>
          <w:sz w:val="20"/>
          <w:szCs w:val="22"/>
          <w:lang w:val="en-GB" w:eastAsia="ja-JP"/>
        </w:rPr>
        <w:t>(</w:t>
      </w:r>
      <w:r w:rsidRPr="00C96521">
        <w:rPr>
          <w:rFonts w:eastAsia="MS Mincho"/>
          <w:i/>
          <w:sz w:val="20"/>
          <w:szCs w:val="22"/>
          <w:lang w:val="en-GB" w:eastAsia="ja-JP"/>
        </w:rPr>
        <w:t>Streptopelia decaocto</w:t>
      </w:r>
      <w:r w:rsidRPr="00C96521">
        <w:rPr>
          <w:rFonts w:eastAsia="MS Mincho"/>
          <w:sz w:val="20"/>
          <w:szCs w:val="22"/>
          <w:lang w:val="en-GB" w:eastAsia="ja-JP"/>
        </w:rPr>
        <w:t xml:space="preserve">) at least in Transylvania and Banat (Munteanu 2009). However, the population for </w:t>
      </w:r>
      <w:r w:rsidR="00FB0078">
        <w:rPr>
          <w:rFonts w:eastAsia="MS Mincho"/>
          <w:sz w:val="20"/>
          <w:szCs w:val="22"/>
          <w:lang w:val="en-GB" w:eastAsia="ja-JP"/>
        </w:rPr>
        <w:t>the T</w:t>
      </w:r>
      <w:r w:rsidR="00FB0078" w:rsidRPr="00C96521">
        <w:rPr>
          <w:rFonts w:eastAsia="MS Mincho"/>
          <w:sz w:val="20"/>
          <w:szCs w:val="22"/>
          <w:lang w:val="en-GB" w:eastAsia="ja-JP"/>
        </w:rPr>
        <w:t>urtle</w:t>
      </w:r>
      <w:r w:rsidR="00FB0078">
        <w:rPr>
          <w:rFonts w:eastAsia="MS Mincho"/>
          <w:sz w:val="20"/>
          <w:szCs w:val="22"/>
          <w:lang w:val="en-GB" w:eastAsia="ja-JP"/>
        </w:rPr>
        <w:t xml:space="preserve"> D</w:t>
      </w:r>
      <w:r w:rsidR="00FB0078" w:rsidRPr="00C96521">
        <w:rPr>
          <w:rFonts w:eastAsia="MS Mincho"/>
          <w:sz w:val="20"/>
          <w:szCs w:val="22"/>
          <w:lang w:val="en-GB" w:eastAsia="ja-JP"/>
        </w:rPr>
        <w:t xml:space="preserve">ove </w:t>
      </w:r>
      <w:r w:rsidRPr="00C96521">
        <w:rPr>
          <w:rFonts w:eastAsia="MS Mincho"/>
          <w:sz w:val="20"/>
          <w:szCs w:val="22"/>
          <w:lang w:val="en-GB" w:eastAsia="ja-JP"/>
        </w:rPr>
        <w:t>is currently increasing (Petrovici 2015).</w:t>
      </w:r>
    </w:p>
    <w:p w14:paraId="6A274638"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FBDBB77" w14:textId="748D1F39"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Turkey, the population is apparently in decline (Kirwan </w:t>
      </w:r>
      <w:r w:rsidRPr="00C96521">
        <w:rPr>
          <w:rFonts w:eastAsia="MS Mincho"/>
          <w:i/>
          <w:sz w:val="20"/>
          <w:szCs w:val="22"/>
          <w:lang w:val="en-GB" w:eastAsia="ja-JP"/>
        </w:rPr>
        <w:t>et al</w:t>
      </w:r>
      <w:r w:rsidRPr="00C96521">
        <w:rPr>
          <w:rFonts w:eastAsia="MS Mincho"/>
          <w:sz w:val="20"/>
          <w:szCs w:val="22"/>
          <w:lang w:val="en-GB" w:eastAsia="ja-JP"/>
        </w:rPr>
        <w:t xml:space="preserve"> 2008). It is more common in the west of Turkey and locali</w:t>
      </w:r>
      <w:r w:rsidR="00FB0078">
        <w:rPr>
          <w:rFonts w:eastAsia="MS Mincho"/>
          <w:sz w:val="20"/>
          <w:szCs w:val="22"/>
          <w:lang w:val="en-GB" w:eastAsia="ja-JP"/>
        </w:rPr>
        <w:t>z</w:t>
      </w:r>
      <w:r w:rsidRPr="00C96521">
        <w:rPr>
          <w:rFonts w:eastAsia="MS Mincho"/>
          <w:sz w:val="20"/>
          <w:szCs w:val="22"/>
          <w:lang w:val="en-GB" w:eastAsia="ja-JP"/>
        </w:rPr>
        <w:t>ed in East Anatolia. The species is widespread on passage and can be found in large numbers. It is reported to be abundant on passage through the eastern third of the country, particularly the extreme north-east. There is no evidence of large-scale passage movements at the Bosphorus.</w:t>
      </w:r>
    </w:p>
    <w:p w14:paraId="2CCDBE5D"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6C0CD29E"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In the north of the Caucasus, the species is described as common. However, it does not breed in large numbers (Rouxel 2000).</w:t>
      </w:r>
    </w:p>
    <w:p w14:paraId="42F8F9A0"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648D3D46" w14:textId="06D88255"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The overall population estimate for </w:t>
      </w:r>
      <w:r w:rsidR="00FB0078">
        <w:rPr>
          <w:rFonts w:eastAsia="MS Mincho"/>
          <w:sz w:val="20"/>
          <w:szCs w:val="22"/>
          <w:lang w:val="en-GB" w:eastAsia="ja-JP"/>
        </w:rPr>
        <w:t>the T</w:t>
      </w:r>
      <w:r w:rsidR="00FB0078" w:rsidRPr="00C96521">
        <w:rPr>
          <w:rFonts w:eastAsia="MS Mincho"/>
          <w:sz w:val="20"/>
          <w:szCs w:val="22"/>
          <w:lang w:val="en-GB" w:eastAsia="ja-JP"/>
        </w:rPr>
        <w:t>urtle</w:t>
      </w:r>
      <w:r w:rsidR="00FB0078">
        <w:rPr>
          <w:rFonts w:eastAsia="MS Mincho"/>
          <w:sz w:val="20"/>
          <w:szCs w:val="22"/>
          <w:lang w:val="en-GB" w:eastAsia="ja-JP"/>
        </w:rPr>
        <w:t xml:space="preserve"> D</w:t>
      </w:r>
      <w:r w:rsidR="00FB0078" w:rsidRPr="00C96521">
        <w:rPr>
          <w:rFonts w:eastAsia="MS Mincho"/>
          <w:sz w:val="20"/>
          <w:szCs w:val="22"/>
          <w:lang w:val="en-GB" w:eastAsia="ja-JP"/>
        </w:rPr>
        <w:t xml:space="preserve">ove </w:t>
      </w:r>
      <w:r w:rsidRPr="00C96521">
        <w:rPr>
          <w:rFonts w:eastAsia="MS Mincho"/>
          <w:sz w:val="20"/>
          <w:szCs w:val="22"/>
          <w:lang w:val="en-GB" w:eastAsia="ja-JP"/>
        </w:rPr>
        <w:t>in European Russia decreased from 1</w:t>
      </w:r>
      <w:r w:rsidR="00FB0078">
        <w:rPr>
          <w:rFonts w:eastAsia="MS Mincho"/>
          <w:sz w:val="20"/>
          <w:szCs w:val="22"/>
          <w:lang w:val="en-GB" w:eastAsia="ja-JP"/>
        </w:rPr>
        <w:t xml:space="preserve"> million</w:t>
      </w:r>
      <w:r w:rsidRPr="00C96521">
        <w:rPr>
          <w:rFonts w:eastAsia="MS Mincho"/>
          <w:sz w:val="20"/>
          <w:szCs w:val="22"/>
          <w:lang w:val="en-GB" w:eastAsia="ja-JP"/>
        </w:rPr>
        <w:t>-2.5 million pairs in 2000 (Mischenko 2004) to 30</w:t>
      </w:r>
      <w:r w:rsidR="00FB0078">
        <w:rPr>
          <w:rFonts w:eastAsia="MS Mincho"/>
          <w:sz w:val="20"/>
          <w:szCs w:val="22"/>
          <w:lang w:val="en-GB" w:eastAsia="ja-JP"/>
        </w:rPr>
        <w:t>,000</w:t>
      </w:r>
      <w:r w:rsidRPr="00C96521">
        <w:rPr>
          <w:rFonts w:eastAsia="MS Mincho"/>
          <w:sz w:val="20"/>
          <w:szCs w:val="22"/>
          <w:lang w:val="en-GB" w:eastAsia="ja-JP"/>
        </w:rPr>
        <w:t xml:space="preserve">-80,000 pairs in 2012 (Mischenko </w:t>
      </w:r>
      <w:r w:rsidRPr="00C96521">
        <w:rPr>
          <w:rFonts w:eastAsia="MS Mincho"/>
          <w:i/>
          <w:sz w:val="20"/>
          <w:szCs w:val="22"/>
          <w:lang w:val="en-GB" w:eastAsia="ja-JP"/>
        </w:rPr>
        <w:t>in press</w:t>
      </w:r>
      <w:r w:rsidRPr="00C96521">
        <w:rPr>
          <w:rFonts w:eastAsia="MS Mincho"/>
          <w:sz w:val="20"/>
          <w:szCs w:val="22"/>
          <w:lang w:val="en-GB" w:eastAsia="ja-JP"/>
        </w:rPr>
        <w:t xml:space="preserve">). Fluctuations were recorded in the Kaliningrad population and a decline was detected in the 1930s. However, by the late 1990s it was thought to have stabilised (Rouxel 2000). Karelia represents the northern limit of the species’ distribution in north-west Russia (Rouxel 2000). Production of a European Russian Breeding Atlas is currently underway (Luomus 2016) using data collected from 2005 to 2017 (Zoological Museum of Moscow University 2016), and so more information on the species in </w:t>
      </w:r>
      <w:r w:rsidR="00FB0078">
        <w:rPr>
          <w:rFonts w:eastAsia="MS Mincho"/>
          <w:sz w:val="20"/>
          <w:szCs w:val="22"/>
          <w:lang w:val="en-GB" w:eastAsia="ja-JP"/>
        </w:rPr>
        <w:t xml:space="preserve">the </w:t>
      </w:r>
      <w:r w:rsidRPr="00C96521">
        <w:rPr>
          <w:rFonts w:eastAsia="MS Mincho"/>
          <w:sz w:val="20"/>
          <w:szCs w:val="22"/>
          <w:lang w:val="en-GB" w:eastAsia="ja-JP"/>
        </w:rPr>
        <w:t>Russia</w:t>
      </w:r>
      <w:r w:rsidR="00FB0078">
        <w:rPr>
          <w:rFonts w:eastAsia="MS Mincho"/>
          <w:sz w:val="20"/>
          <w:szCs w:val="22"/>
          <w:lang w:val="en-GB" w:eastAsia="ja-JP"/>
        </w:rPr>
        <w:t>n Federation</w:t>
      </w:r>
      <w:r w:rsidRPr="00C96521">
        <w:rPr>
          <w:rFonts w:eastAsia="MS Mincho"/>
          <w:sz w:val="20"/>
          <w:szCs w:val="22"/>
          <w:lang w:val="en-GB" w:eastAsia="ja-JP"/>
        </w:rPr>
        <w:t xml:space="preserve"> will become available.</w:t>
      </w:r>
    </w:p>
    <w:p w14:paraId="19749194"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801AADE" w14:textId="5610FFE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In the west of Ukraine, declines of around 20-50</w:t>
      </w:r>
      <w:r w:rsidR="00FB0078">
        <w:rPr>
          <w:rFonts w:eastAsia="MS Mincho"/>
          <w:sz w:val="20"/>
          <w:szCs w:val="22"/>
          <w:lang w:val="en-GB" w:eastAsia="ja-JP"/>
        </w:rPr>
        <w:t xml:space="preserve"> per cent</w:t>
      </w:r>
      <w:r w:rsidR="00FB0078" w:rsidRPr="00C96521">
        <w:rPr>
          <w:rFonts w:eastAsia="MS Mincho"/>
          <w:sz w:val="20"/>
          <w:szCs w:val="22"/>
          <w:lang w:val="en-GB" w:eastAsia="ja-JP"/>
        </w:rPr>
        <w:t xml:space="preserve"> </w:t>
      </w:r>
      <w:r w:rsidRPr="00C96521">
        <w:rPr>
          <w:rFonts w:eastAsia="MS Mincho"/>
          <w:sz w:val="20"/>
          <w:szCs w:val="22"/>
          <w:lang w:val="en-GB" w:eastAsia="ja-JP"/>
        </w:rPr>
        <w:t>were recorded in the late 1990s (Rouxel 2000). However, no more recent population information is available.</w:t>
      </w:r>
    </w:p>
    <w:p w14:paraId="6304C0CA"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86503C9" w14:textId="1171BB43"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No population trend information is available for Armenia, Azerbaijan, Belarus or Georgia. However, the species is described as uncommon in Armenia (Adamian and Klem 1997). It is not present in all habitats in Crimea and is rare in the west of Ukraine, but is noted as a common breeder in the north of the Azov Sea (Rouxel 2000). It is a common in Belarus (Rouxel 2000). Azerbaijan holds about 7</w:t>
      </w:r>
      <w:r w:rsidR="00FB0078">
        <w:rPr>
          <w:rFonts w:eastAsia="MS Mincho"/>
          <w:sz w:val="20"/>
          <w:szCs w:val="22"/>
          <w:lang w:val="en-GB" w:eastAsia="ja-JP"/>
        </w:rPr>
        <w:t xml:space="preserve"> per cent</w:t>
      </w:r>
      <w:r w:rsidR="00FB0078" w:rsidRPr="00C96521">
        <w:rPr>
          <w:rFonts w:eastAsia="MS Mincho"/>
          <w:sz w:val="20"/>
          <w:szCs w:val="22"/>
          <w:lang w:val="en-GB" w:eastAsia="ja-JP"/>
        </w:rPr>
        <w:t xml:space="preserve"> </w:t>
      </w:r>
      <w:r w:rsidRPr="00C96521">
        <w:rPr>
          <w:rFonts w:eastAsia="MS Mincho"/>
          <w:sz w:val="20"/>
          <w:szCs w:val="22"/>
          <w:lang w:val="en-GB" w:eastAsia="ja-JP"/>
        </w:rPr>
        <w:t>of the European breeding population (BirdLife International 2015) and it is a very common nesting species and migrant (Patrikeev 2004), although quantitative trend information is unavailable. Work is underway to collect data on bird distribution and abundance for the second European Breeding Bird Atlas (Gorban 2016) and more information on the species in Ukraine will be available.</w:t>
      </w:r>
    </w:p>
    <w:p w14:paraId="664F2044"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495C046"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FFE02A9"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br w:type="page"/>
      </w:r>
    </w:p>
    <w:p w14:paraId="4EB9074D" w14:textId="77777777" w:rsidR="00C96521" w:rsidRPr="00C96521" w:rsidRDefault="00C96521" w:rsidP="00C96521">
      <w:pPr>
        <w:keepNext/>
        <w:keepLines/>
        <w:widowControl/>
        <w:autoSpaceDE/>
        <w:autoSpaceDN/>
        <w:adjustRightInd/>
        <w:spacing w:before="480" w:line="276" w:lineRule="auto"/>
        <w:outlineLvl w:val="0"/>
        <w:rPr>
          <w:rFonts w:eastAsia="MS Gothic"/>
          <w:b/>
          <w:bCs/>
          <w:color w:val="365F91"/>
          <w:sz w:val="32"/>
          <w:szCs w:val="28"/>
          <w:lang w:val="en-GB" w:eastAsia="ja-JP"/>
        </w:rPr>
      </w:pPr>
      <w:bookmarkStart w:id="23" w:name="_Toc478646908"/>
      <w:r w:rsidRPr="00C96521">
        <w:rPr>
          <w:rFonts w:eastAsia="MS Gothic"/>
          <w:b/>
          <w:bCs/>
          <w:color w:val="365F91"/>
          <w:sz w:val="32"/>
          <w:szCs w:val="28"/>
          <w:lang w:val="en-GB" w:eastAsia="ja-JP"/>
        </w:rPr>
        <w:t>Annex 2: PROBLEM ANALYSIS</w:t>
      </w:r>
      <w:bookmarkEnd w:id="23"/>
    </w:p>
    <w:p w14:paraId="2B5A0332"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3739500F" w14:textId="77777777" w:rsidR="00C96521" w:rsidRPr="00C96521" w:rsidRDefault="00C96521" w:rsidP="00C96521">
      <w:pPr>
        <w:keepNext/>
        <w:keepLines/>
        <w:widowControl/>
        <w:autoSpaceDE/>
        <w:autoSpaceDN/>
        <w:adjustRightInd/>
        <w:spacing w:before="200" w:line="276" w:lineRule="auto"/>
        <w:outlineLvl w:val="1"/>
        <w:rPr>
          <w:rFonts w:ascii="Cambria" w:eastAsia="MS Gothic" w:hAnsi="Cambria"/>
          <w:b/>
          <w:bCs/>
          <w:color w:val="4F81BD"/>
          <w:sz w:val="26"/>
          <w:szCs w:val="26"/>
          <w:lang w:val="en-GB" w:eastAsia="ja-JP"/>
        </w:rPr>
      </w:pPr>
      <w:bookmarkStart w:id="24" w:name="_Toc478646909"/>
      <w:r w:rsidRPr="00C96521">
        <w:rPr>
          <w:rFonts w:ascii="Cambria" w:eastAsia="MS Gothic" w:hAnsi="Cambria"/>
          <w:b/>
          <w:bCs/>
          <w:color w:val="4F81BD"/>
          <w:sz w:val="26"/>
          <w:szCs w:val="26"/>
          <w:lang w:val="en-GB" w:eastAsia="ja-JP"/>
        </w:rPr>
        <w:t>General overview</w:t>
      </w:r>
      <w:bookmarkEnd w:id="24"/>
    </w:p>
    <w:p w14:paraId="2CC12073"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8069CD2" w14:textId="0FA8D964"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Relative importance of threats is hard to determine as empirical data on the likely drivers of decline is limited for a large number of Range States. However, questionnaires for the development of the Species Status Report (Fisher </w:t>
      </w:r>
      <w:r w:rsidRPr="00C96521">
        <w:rPr>
          <w:rFonts w:eastAsia="MS Mincho"/>
          <w:i/>
          <w:sz w:val="20"/>
          <w:szCs w:val="22"/>
          <w:lang w:val="en-GB" w:eastAsia="ja-JP"/>
        </w:rPr>
        <w:t>et al</w:t>
      </w:r>
      <w:r w:rsidRPr="00C96521">
        <w:rPr>
          <w:rFonts w:eastAsia="MS Mincho"/>
          <w:sz w:val="20"/>
          <w:szCs w:val="22"/>
          <w:lang w:val="en-GB" w:eastAsia="ja-JP"/>
        </w:rPr>
        <w:t xml:space="preserve"> 2016a), expert opinion at the two workshops, and comments on draft documents have indicated that the main threat for the turtle-dove is loss of one or more of food, water and habitat (nesting or roosting during winter), brought about through habitat loss or modification. This is assessed as a Critical threat (</w:t>
      </w:r>
      <w:r w:rsidRPr="00C96521">
        <w:rPr>
          <w:rFonts w:eastAsia="MS Mincho" w:cs="Arial"/>
          <w:sz w:val="20"/>
          <w:szCs w:val="22"/>
          <w:lang w:val="en-GB" w:eastAsia="ja-JP"/>
        </w:rPr>
        <w:t>causing or likely to cause very rapid declines, &gt;30</w:t>
      </w:r>
      <w:r w:rsidR="00FB0078">
        <w:rPr>
          <w:rFonts w:eastAsia="MS Mincho" w:cs="Arial"/>
          <w:sz w:val="20"/>
          <w:szCs w:val="22"/>
          <w:lang w:val="en-GB" w:eastAsia="ja-JP"/>
        </w:rPr>
        <w:t xml:space="preserve"> per cent</w:t>
      </w:r>
      <w:r w:rsidR="00FB0078" w:rsidRPr="00C96521">
        <w:rPr>
          <w:rFonts w:eastAsia="MS Mincho" w:cs="Arial"/>
          <w:sz w:val="20"/>
          <w:szCs w:val="22"/>
          <w:lang w:val="en-GB" w:eastAsia="ja-JP"/>
        </w:rPr>
        <w:t xml:space="preserve"> </w:t>
      </w:r>
      <w:r w:rsidRPr="00C96521">
        <w:rPr>
          <w:rFonts w:eastAsia="MS Mincho" w:cs="Arial"/>
          <w:sz w:val="20"/>
          <w:szCs w:val="22"/>
          <w:lang w:val="en-GB" w:eastAsia="ja-JP"/>
        </w:rPr>
        <w:t>over 10 years</w:t>
      </w:r>
      <w:r w:rsidRPr="00C96521">
        <w:rPr>
          <w:rFonts w:eastAsia="MS Mincho"/>
          <w:sz w:val="20"/>
          <w:szCs w:val="22"/>
          <w:lang w:val="en-GB" w:eastAsia="ja-JP"/>
        </w:rPr>
        <w:t>) on the breeding grounds, and High (</w:t>
      </w:r>
      <w:r w:rsidRPr="00C96521">
        <w:rPr>
          <w:rFonts w:eastAsia="MS Mincho" w:cs="Arial"/>
          <w:sz w:val="20"/>
          <w:szCs w:val="22"/>
          <w:lang w:val="en-GB" w:eastAsia="ja-JP"/>
        </w:rPr>
        <w:t>causing or likely to cause rapid declines, 20-30</w:t>
      </w:r>
      <w:r w:rsidR="00FB0078">
        <w:rPr>
          <w:rFonts w:eastAsia="MS Mincho" w:cs="Arial"/>
          <w:sz w:val="20"/>
          <w:szCs w:val="22"/>
          <w:lang w:val="en-GB" w:eastAsia="ja-JP"/>
        </w:rPr>
        <w:t xml:space="preserve"> per cent</w:t>
      </w:r>
      <w:r w:rsidRPr="00C96521">
        <w:rPr>
          <w:rFonts w:eastAsia="MS Mincho" w:cs="Arial"/>
          <w:sz w:val="20"/>
          <w:szCs w:val="22"/>
          <w:lang w:val="en-GB" w:eastAsia="ja-JP"/>
        </w:rPr>
        <w:t xml:space="preserve"> over 10 years) </w:t>
      </w:r>
      <w:r w:rsidRPr="00C96521">
        <w:rPr>
          <w:rFonts w:eastAsia="MS Mincho"/>
          <w:sz w:val="20"/>
          <w:szCs w:val="22"/>
          <w:lang w:val="en-GB" w:eastAsia="ja-JP"/>
        </w:rPr>
        <w:t>for passage/wintering.</w:t>
      </w:r>
    </w:p>
    <w:p w14:paraId="00BACAE2"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905E21F"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Illegal killing is also assessed as Critical, with large numbers of birds being killed or taken each year, and little information available for many Range States.</w:t>
      </w:r>
    </w:p>
    <w:p w14:paraId="11C08493"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21AABB0E"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Unsustainable hunting pressure on turtle-doves, especially with falling populations across much of its range, is ranked as High. Additional threats have been identified, such as disease, pesticide use, and competition, but either knowledge is limited, or the degree of impact is small compared to habitat change, illegal killing, and hunting.</w:t>
      </w:r>
    </w:p>
    <w:p w14:paraId="2DD6DA65"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26852FC5" w14:textId="77777777" w:rsidR="00C96521" w:rsidRPr="00C96521" w:rsidRDefault="00C96521" w:rsidP="00C96521">
      <w:pPr>
        <w:keepNext/>
        <w:keepLines/>
        <w:widowControl/>
        <w:autoSpaceDE/>
        <w:autoSpaceDN/>
        <w:adjustRightInd/>
        <w:spacing w:before="200" w:line="276" w:lineRule="auto"/>
        <w:outlineLvl w:val="1"/>
        <w:rPr>
          <w:rFonts w:ascii="Cambria" w:eastAsia="MS Gothic" w:hAnsi="Cambria"/>
          <w:b/>
          <w:bCs/>
          <w:color w:val="4F81BD"/>
          <w:sz w:val="26"/>
          <w:szCs w:val="26"/>
          <w:lang w:val="en-GB" w:eastAsia="ja-JP"/>
        </w:rPr>
      </w:pPr>
      <w:bookmarkStart w:id="25" w:name="_Toc478646910"/>
      <w:r w:rsidRPr="00C96521">
        <w:rPr>
          <w:rFonts w:ascii="Cambria" w:eastAsia="MS Gothic" w:hAnsi="Cambria"/>
          <w:b/>
          <w:bCs/>
          <w:color w:val="4F81BD"/>
          <w:sz w:val="26"/>
          <w:szCs w:val="26"/>
          <w:lang w:val="en-GB" w:eastAsia="ja-JP"/>
        </w:rPr>
        <w:t>Habitat loss/modification</w:t>
      </w:r>
      <w:bookmarkEnd w:id="25"/>
    </w:p>
    <w:p w14:paraId="5E8656F1"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62C250D9" w14:textId="183AE648"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In Europe, changes in habitat have been linked to the falling breeding numbers in most countries. Turtle-doves nest in bushes/trees in mosaic habitats, where undergrowth is not too thick and food is plentiful. Since the 1960s, </w:t>
      </w:r>
      <w:r w:rsidR="00FB0078" w:rsidRPr="00C96521">
        <w:rPr>
          <w:rFonts w:eastAsia="MS Mincho" w:cs="Arial"/>
          <w:sz w:val="20"/>
          <w:szCs w:val="22"/>
          <w:lang w:val="en-GB" w:eastAsia="ja-JP"/>
        </w:rPr>
        <w:t>mechani</w:t>
      </w:r>
      <w:r w:rsidR="00FB0078">
        <w:rPr>
          <w:rFonts w:eastAsia="MS Mincho" w:cs="Arial"/>
          <w:sz w:val="20"/>
          <w:szCs w:val="22"/>
          <w:lang w:val="en-GB" w:eastAsia="ja-JP"/>
        </w:rPr>
        <w:t>z</w:t>
      </w:r>
      <w:r w:rsidR="00FB0078" w:rsidRPr="00C96521">
        <w:rPr>
          <w:rFonts w:eastAsia="MS Mincho" w:cs="Arial"/>
          <w:sz w:val="20"/>
          <w:szCs w:val="22"/>
          <w:lang w:val="en-GB" w:eastAsia="ja-JP"/>
        </w:rPr>
        <w:t>ation</w:t>
      </w:r>
      <w:r w:rsidRPr="00C96521">
        <w:rPr>
          <w:rFonts w:eastAsia="MS Mincho" w:cs="Arial"/>
          <w:sz w:val="20"/>
          <w:szCs w:val="22"/>
          <w:lang w:val="en-GB" w:eastAsia="ja-JP"/>
        </w:rPr>
        <w:t>, land reform, and intensification have led to a reduction in hedgerows and margins across Europe (e</w:t>
      </w:r>
      <w:r w:rsidR="00FB0078">
        <w:rPr>
          <w:rFonts w:eastAsia="MS Mincho" w:cs="Arial"/>
          <w:sz w:val="20"/>
          <w:szCs w:val="22"/>
          <w:lang w:val="en-GB" w:eastAsia="ja-JP"/>
        </w:rPr>
        <w:t>.</w:t>
      </w:r>
      <w:r w:rsidRPr="00C96521">
        <w:rPr>
          <w:rFonts w:eastAsia="MS Mincho" w:cs="Arial"/>
          <w:sz w:val="20"/>
          <w:szCs w:val="22"/>
          <w:lang w:val="en-GB" w:eastAsia="ja-JP"/>
        </w:rPr>
        <w:t>g</w:t>
      </w:r>
      <w:r w:rsidR="00FB0078">
        <w:rPr>
          <w:rFonts w:eastAsia="MS Mincho" w:cs="Arial"/>
          <w:sz w:val="20"/>
          <w:szCs w:val="22"/>
          <w:lang w:val="en-GB" w:eastAsia="ja-JP"/>
        </w:rPr>
        <w:t>.</w:t>
      </w:r>
      <w:r w:rsidRPr="00C96521">
        <w:rPr>
          <w:rFonts w:eastAsia="MS Mincho" w:cs="Arial"/>
          <w:sz w:val="20"/>
          <w:szCs w:val="22"/>
          <w:lang w:val="en-GB" w:eastAsia="ja-JP"/>
        </w:rPr>
        <w:t xml:space="preserve"> Barr and Gillespie 2000), although the transformation in central and eastern States has been less, perhaps accounting for stable populations or slower declines. </w:t>
      </w:r>
    </w:p>
    <w:p w14:paraId="53A48F90"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6B247561" w14:textId="269EC92B"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Rocha and Hidalgo (2002a) showed that the decline of </w:t>
      </w:r>
      <w:r w:rsidR="00FB0078">
        <w:rPr>
          <w:rFonts w:eastAsia="MS Mincho"/>
          <w:sz w:val="20"/>
          <w:szCs w:val="22"/>
          <w:lang w:val="en-GB" w:eastAsia="ja-JP"/>
        </w:rPr>
        <w:t>T</w:t>
      </w:r>
      <w:r w:rsidR="00FB0078" w:rsidRPr="00C96521">
        <w:rPr>
          <w:rFonts w:eastAsia="MS Mincho"/>
          <w:sz w:val="20"/>
          <w:szCs w:val="22"/>
          <w:lang w:val="en-GB" w:eastAsia="ja-JP"/>
        </w:rPr>
        <w:t>urtle</w:t>
      </w:r>
      <w:r w:rsidR="00FB0078">
        <w:rPr>
          <w:rFonts w:eastAsia="MS Mincho"/>
          <w:sz w:val="20"/>
          <w:szCs w:val="22"/>
          <w:lang w:val="en-GB" w:eastAsia="ja-JP"/>
        </w:rPr>
        <w:t xml:space="preserve"> D</w:t>
      </w:r>
      <w:r w:rsidR="00FB0078" w:rsidRPr="00C96521">
        <w:rPr>
          <w:rFonts w:eastAsia="MS Mincho"/>
          <w:sz w:val="20"/>
          <w:szCs w:val="22"/>
          <w:lang w:val="en-GB" w:eastAsia="ja-JP"/>
        </w:rPr>
        <w:t xml:space="preserve">ove </w:t>
      </w:r>
      <w:r w:rsidRPr="00C96521">
        <w:rPr>
          <w:rFonts w:eastAsia="MS Mincho" w:cs="Arial"/>
          <w:sz w:val="20"/>
          <w:szCs w:val="22"/>
          <w:lang w:val="en-GB" w:eastAsia="ja-JP"/>
        </w:rPr>
        <w:t xml:space="preserve">populations in Extremadura, Spain could be directly linked to the decrease in the agricultural area of cereals over the last decades (many of the Iberian cereals lost would have been low input), and that the density of nests is 3.5 times less in areas where herbicides are used than in areas without herbicides. In Spain, </w:t>
      </w:r>
      <w:r w:rsidRPr="00C96521">
        <w:rPr>
          <w:rFonts w:eastAsia="MS Mincho"/>
          <w:sz w:val="20"/>
          <w:szCs w:val="22"/>
          <w:lang w:val="en-GB" w:eastAsia="ja-JP"/>
        </w:rPr>
        <w:t xml:space="preserve">habitat degradation owing to loss of hedgerows, riparian forests and the landscape mosaic, increasing use of herbicides leading to loss of weeds, intensification of olive groves, reduction in the area of sunflower crops (leading to loss of food), loss of poplars to cropland, and increasing area of conifer plantations were all listed as threats in the 2004 Red List of Birds of Spain (Madroño </w:t>
      </w:r>
      <w:r w:rsidRPr="00C96521">
        <w:rPr>
          <w:rFonts w:eastAsia="MS Mincho"/>
          <w:i/>
          <w:sz w:val="20"/>
          <w:szCs w:val="22"/>
          <w:lang w:val="en-GB" w:eastAsia="ja-JP"/>
        </w:rPr>
        <w:t>et al</w:t>
      </w:r>
      <w:r w:rsidRPr="00C96521">
        <w:rPr>
          <w:rFonts w:eastAsia="MS Mincho"/>
          <w:sz w:val="20"/>
          <w:szCs w:val="22"/>
          <w:lang w:val="en-GB" w:eastAsia="ja-JP"/>
        </w:rPr>
        <w:t xml:space="preserve"> 2004).</w:t>
      </w:r>
      <w:r w:rsidRPr="00C96521">
        <w:rPr>
          <w:rFonts w:eastAsia="MS Mincho" w:cs="Arial"/>
          <w:sz w:val="20"/>
          <w:szCs w:val="22"/>
          <w:lang w:val="en-GB" w:eastAsia="ja-JP"/>
        </w:rPr>
        <w:t xml:space="preserve"> In addition, in Portugal, habitat loss and degradation due to replacement of traditional orchards by intensive irrigated orchards, large wildfires, reduction in the number of conifer patches, and forest management neglect, particularly in the interior of the country, can also be considered relevant threats (Dias 2016). </w:t>
      </w:r>
    </w:p>
    <w:p w14:paraId="70B803EB"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5E7B4DF9" w14:textId="78911DF5"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In Cyprus, abandonment of small-scale agriculture in mountainous and rural areas </w:t>
      </w:r>
      <w:r w:rsidRPr="00C96521">
        <w:rPr>
          <w:rFonts w:eastAsia="MS Mincho"/>
          <w:sz w:val="20"/>
          <w:szCs w:val="22"/>
          <w:lang w:val="en-GB" w:eastAsia="ja-JP"/>
        </w:rPr>
        <w:t xml:space="preserve">and changes in cultivated crops are believed to threaten the turtle-dove population (Nicos Kassinis </w:t>
      </w:r>
      <w:r w:rsidRPr="00C96521">
        <w:rPr>
          <w:rFonts w:eastAsia="MS Mincho"/>
          <w:i/>
          <w:sz w:val="20"/>
          <w:szCs w:val="22"/>
          <w:lang w:val="en-GB" w:eastAsia="ja-JP"/>
        </w:rPr>
        <w:t>unpublished</w:t>
      </w:r>
      <w:r w:rsidRPr="00C96521">
        <w:rPr>
          <w:rFonts w:eastAsia="MS Mincho"/>
          <w:sz w:val="20"/>
          <w:szCs w:val="22"/>
          <w:lang w:val="en-GB" w:eastAsia="ja-JP"/>
        </w:rPr>
        <w:t>). Of key concern is suitable crop availability, particularly the traditional crop varieties that are important food sources for turtle-doves, such as legumes (</w:t>
      </w:r>
      <w:r w:rsidRPr="00C96521">
        <w:rPr>
          <w:rFonts w:eastAsia="MS Mincho"/>
          <w:i/>
          <w:sz w:val="20"/>
          <w:szCs w:val="22"/>
          <w:lang w:val="en-GB" w:eastAsia="ja-JP"/>
        </w:rPr>
        <w:t>Fabaceae</w:t>
      </w:r>
      <w:r w:rsidRPr="00C96521">
        <w:rPr>
          <w:rFonts w:eastAsia="MS Mincho"/>
          <w:sz w:val="20"/>
          <w:szCs w:val="22"/>
          <w:lang w:val="en-GB" w:eastAsia="ja-JP"/>
        </w:rPr>
        <w:t>), vetches (</w:t>
      </w:r>
      <w:r w:rsidRPr="00C96521">
        <w:rPr>
          <w:rFonts w:eastAsia="MS Mincho"/>
          <w:i/>
          <w:sz w:val="20"/>
          <w:szCs w:val="22"/>
          <w:lang w:val="en-GB" w:eastAsia="ja-JP"/>
        </w:rPr>
        <w:t>Vicia</w:t>
      </w:r>
      <w:r w:rsidRPr="00C96521">
        <w:rPr>
          <w:rFonts w:eastAsia="MS Mincho"/>
          <w:sz w:val="20"/>
          <w:szCs w:val="22"/>
          <w:lang w:val="en-GB" w:eastAsia="ja-JP"/>
        </w:rPr>
        <w:t xml:space="preserve"> </w:t>
      </w:r>
      <w:r w:rsidRPr="00C96521">
        <w:rPr>
          <w:rFonts w:eastAsia="MS Mincho"/>
          <w:i/>
          <w:sz w:val="20"/>
          <w:szCs w:val="22"/>
          <w:lang w:val="en-GB" w:eastAsia="ja-JP"/>
        </w:rPr>
        <w:t>sp</w:t>
      </w:r>
      <w:r w:rsidRPr="00C96521">
        <w:rPr>
          <w:rFonts w:eastAsia="MS Mincho"/>
          <w:sz w:val="20"/>
          <w:szCs w:val="22"/>
          <w:lang w:val="en-GB" w:eastAsia="ja-JP"/>
        </w:rPr>
        <w:t>) and sesame (</w:t>
      </w:r>
      <w:r w:rsidRPr="00C96521">
        <w:rPr>
          <w:rFonts w:eastAsia="MS Mincho"/>
          <w:i/>
          <w:sz w:val="20"/>
          <w:szCs w:val="22"/>
          <w:lang w:val="en-GB" w:eastAsia="ja-JP"/>
        </w:rPr>
        <w:t>Sesamum indicum</w:t>
      </w:r>
      <w:r w:rsidRPr="00C96521">
        <w:rPr>
          <w:rFonts w:eastAsia="MS Mincho"/>
          <w:sz w:val="20"/>
          <w:szCs w:val="22"/>
          <w:lang w:val="en-GB" w:eastAsia="ja-JP"/>
        </w:rPr>
        <w:t xml:space="preserve">) (Panicos Panayides </w:t>
      </w:r>
      <w:r w:rsidRPr="00C96521">
        <w:rPr>
          <w:rFonts w:eastAsia="MS Mincho"/>
          <w:i/>
          <w:sz w:val="20"/>
          <w:szCs w:val="22"/>
          <w:lang w:val="en-GB" w:eastAsia="ja-JP"/>
        </w:rPr>
        <w:t>pers comm</w:t>
      </w:r>
      <w:r w:rsidRPr="00C96521">
        <w:rPr>
          <w:rFonts w:eastAsia="MS Mincho"/>
          <w:sz w:val="20"/>
          <w:szCs w:val="22"/>
          <w:lang w:val="en-GB" w:eastAsia="ja-JP"/>
        </w:rPr>
        <w:t xml:space="preserve">). Many of these crop varieties have largely decreased over the years throughout Europe. </w:t>
      </w:r>
      <w:r w:rsidRPr="00C96521">
        <w:rPr>
          <w:rFonts w:eastAsia="MS Mincho" w:cs="Arial"/>
          <w:sz w:val="20"/>
          <w:szCs w:val="22"/>
          <w:lang w:val="en-GB" w:eastAsia="ja-JP"/>
        </w:rPr>
        <w:t>In Cyprus, cultivated legumes decreased by 50.3</w:t>
      </w:r>
      <w:r w:rsidR="00FB0078">
        <w:rPr>
          <w:rFonts w:eastAsia="MS Mincho" w:cs="Arial"/>
          <w:sz w:val="20"/>
          <w:szCs w:val="22"/>
          <w:lang w:val="en-GB" w:eastAsia="ja-JP"/>
        </w:rPr>
        <w:t xml:space="preserve"> per cent</w:t>
      </w:r>
      <w:r w:rsidR="00FB0078" w:rsidRPr="00C96521">
        <w:rPr>
          <w:rFonts w:eastAsia="MS Mincho" w:cs="Arial"/>
          <w:sz w:val="20"/>
          <w:szCs w:val="22"/>
          <w:lang w:val="en-GB" w:eastAsia="ja-JP"/>
        </w:rPr>
        <w:t xml:space="preserve"> </w:t>
      </w:r>
      <w:r w:rsidRPr="00C96521">
        <w:rPr>
          <w:rFonts w:eastAsia="MS Mincho" w:cs="Arial"/>
          <w:sz w:val="20"/>
          <w:szCs w:val="22"/>
          <w:lang w:val="en-GB" w:eastAsia="ja-JP"/>
        </w:rPr>
        <w:t>between 1960 and 1994, and more specialised nutritious crops like vetches, chickling vetches (</w:t>
      </w:r>
      <w:r w:rsidRPr="00C96521">
        <w:rPr>
          <w:rFonts w:eastAsia="MS Mincho" w:cs="Arial"/>
          <w:i/>
          <w:sz w:val="20"/>
          <w:szCs w:val="22"/>
          <w:lang w:val="en-GB" w:eastAsia="ja-JP"/>
        </w:rPr>
        <w:t>Lathyrus sp</w:t>
      </w:r>
      <w:r w:rsidRPr="00C96521">
        <w:rPr>
          <w:rFonts w:eastAsia="MS Mincho" w:cs="Arial"/>
          <w:sz w:val="20"/>
          <w:szCs w:val="22"/>
          <w:lang w:val="en-GB" w:eastAsia="ja-JP"/>
        </w:rPr>
        <w:t>), and sesame decreased by 84-94</w:t>
      </w:r>
      <w:r w:rsidR="00FB0078">
        <w:rPr>
          <w:rFonts w:eastAsia="MS Mincho" w:cs="Arial"/>
          <w:sz w:val="20"/>
          <w:szCs w:val="22"/>
          <w:lang w:val="en-GB" w:eastAsia="ja-JP"/>
        </w:rPr>
        <w:t xml:space="preserve"> per cent</w:t>
      </w:r>
      <w:r w:rsidRPr="00C96521">
        <w:rPr>
          <w:rFonts w:eastAsia="MS Mincho" w:cs="Arial"/>
          <w:sz w:val="20"/>
          <w:szCs w:val="22"/>
          <w:lang w:val="en-GB" w:eastAsia="ja-JP"/>
        </w:rPr>
        <w:t xml:space="preserve"> over the same period (Panayides 2005). </w:t>
      </w:r>
      <w:r w:rsidRPr="00C96521">
        <w:rPr>
          <w:rFonts w:eastAsia="MS Mincho"/>
          <w:sz w:val="20"/>
          <w:szCs w:val="22"/>
          <w:lang w:val="en-GB" w:eastAsia="ja-JP"/>
        </w:rPr>
        <w:t>Habitat loss owing to urban expansion is also a problem. T</w:t>
      </w:r>
      <w:r w:rsidRPr="00C96521">
        <w:rPr>
          <w:rFonts w:eastAsia="MS Mincho" w:cs="Arial"/>
          <w:sz w:val="20"/>
          <w:szCs w:val="22"/>
          <w:lang w:val="en-GB" w:eastAsia="ja-JP"/>
        </w:rPr>
        <w:t>he land taken up by urban centres increased fourfold between 1963 and 1993, while suburbani</w:t>
      </w:r>
      <w:r w:rsidR="00FB0078">
        <w:rPr>
          <w:rFonts w:eastAsia="MS Mincho" w:cs="Arial"/>
          <w:sz w:val="20"/>
          <w:szCs w:val="22"/>
          <w:lang w:val="en-GB" w:eastAsia="ja-JP"/>
        </w:rPr>
        <w:t>z</w:t>
      </w:r>
      <w:r w:rsidRPr="00C96521">
        <w:rPr>
          <w:rFonts w:eastAsia="MS Mincho" w:cs="Arial"/>
          <w:sz w:val="20"/>
          <w:szCs w:val="22"/>
          <w:lang w:val="en-GB" w:eastAsia="ja-JP"/>
        </w:rPr>
        <w:t>ation with scattered housing affects even more land (Panayides 2005). Habitat fragmentation by road construction increased from an average of 0.64km length of road / km</w:t>
      </w:r>
      <w:r w:rsidRPr="00C96521">
        <w:rPr>
          <w:rFonts w:eastAsia="MS Mincho" w:cs="Arial"/>
          <w:sz w:val="20"/>
          <w:szCs w:val="22"/>
          <w:vertAlign w:val="superscript"/>
          <w:lang w:val="en-GB" w:eastAsia="ja-JP"/>
        </w:rPr>
        <w:t>2</w:t>
      </w:r>
      <w:r w:rsidRPr="00C96521">
        <w:rPr>
          <w:rFonts w:eastAsia="MS Mincho" w:cs="Arial"/>
          <w:sz w:val="20"/>
          <w:szCs w:val="22"/>
          <w:lang w:val="en-GB" w:eastAsia="ja-JP"/>
        </w:rPr>
        <w:t xml:space="preserve"> in 1960 to 1.9km of road length / km</w:t>
      </w:r>
      <w:r w:rsidRPr="00C96521">
        <w:rPr>
          <w:rFonts w:eastAsia="MS Mincho" w:cs="Arial"/>
          <w:sz w:val="20"/>
          <w:szCs w:val="22"/>
          <w:vertAlign w:val="superscript"/>
          <w:lang w:val="en-GB" w:eastAsia="ja-JP"/>
        </w:rPr>
        <w:t>2</w:t>
      </w:r>
      <w:r w:rsidRPr="00C96521">
        <w:rPr>
          <w:rFonts w:eastAsia="MS Mincho" w:cs="Arial"/>
          <w:sz w:val="20"/>
          <w:szCs w:val="22"/>
          <w:lang w:val="en-GB" w:eastAsia="ja-JP"/>
        </w:rPr>
        <w:t xml:space="preserve"> in 1999 (Panayides 2005). </w:t>
      </w:r>
    </w:p>
    <w:p w14:paraId="3B6B302F"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1A24560A" w14:textId="69BC3FCF"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the wider Mediterranean region, lack of management in conifer plantations results in the rapid development of dense under-storey vegetation, rendering these habitats unsuitable for </w:t>
      </w:r>
      <w:r w:rsidR="00FB0078">
        <w:rPr>
          <w:rFonts w:eastAsia="MS Mincho"/>
          <w:sz w:val="20"/>
          <w:szCs w:val="22"/>
          <w:lang w:val="en-GB" w:eastAsia="ja-JP"/>
        </w:rPr>
        <w:t>T</w:t>
      </w:r>
      <w:r w:rsidR="00FB0078" w:rsidRPr="00C96521">
        <w:rPr>
          <w:rFonts w:eastAsia="MS Mincho"/>
          <w:sz w:val="20"/>
          <w:szCs w:val="22"/>
          <w:lang w:val="en-GB" w:eastAsia="ja-JP"/>
        </w:rPr>
        <w:t>urtle</w:t>
      </w:r>
      <w:r w:rsidR="00FB0078">
        <w:rPr>
          <w:rFonts w:eastAsia="MS Mincho"/>
          <w:sz w:val="20"/>
          <w:szCs w:val="22"/>
          <w:lang w:val="en-GB" w:eastAsia="ja-JP"/>
        </w:rPr>
        <w:t xml:space="preserve"> D</w:t>
      </w:r>
      <w:r w:rsidR="00FB0078" w:rsidRPr="00C96521">
        <w:rPr>
          <w:rFonts w:eastAsia="MS Mincho"/>
          <w:sz w:val="20"/>
          <w:szCs w:val="22"/>
          <w:lang w:val="en-GB" w:eastAsia="ja-JP"/>
        </w:rPr>
        <w:t>ove</w:t>
      </w:r>
      <w:r w:rsidR="00FB0078">
        <w:rPr>
          <w:rFonts w:eastAsia="MS Mincho"/>
          <w:sz w:val="20"/>
          <w:szCs w:val="22"/>
          <w:lang w:val="en-GB" w:eastAsia="ja-JP"/>
        </w:rPr>
        <w:t>s</w:t>
      </w:r>
      <w:r w:rsidR="00FB0078" w:rsidRPr="00C96521">
        <w:rPr>
          <w:rFonts w:eastAsia="MS Mincho"/>
          <w:sz w:val="20"/>
          <w:szCs w:val="22"/>
          <w:lang w:val="en-GB" w:eastAsia="ja-JP"/>
        </w:rPr>
        <w:t xml:space="preserve"> </w:t>
      </w:r>
      <w:r w:rsidRPr="00C96521">
        <w:rPr>
          <w:rFonts w:eastAsia="MS Mincho"/>
          <w:sz w:val="20"/>
          <w:szCs w:val="22"/>
          <w:lang w:val="en-GB" w:eastAsia="ja-JP"/>
        </w:rPr>
        <w:t xml:space="preserve">(Dias </w:t>
      </w:r>
      <w:r w:rsidRPr="00C96521">
        <w:rPr>
          <w:rFonts w:eastAsia="MS Mincho"/>
          <w:i/>
          <w:sz w:val="20"/>
          <w:szCs w:val="22"/>
          <w:lang w:val="en-GB" w:eastAsia="ja-JP"/>
        </w:rPr>
        <w:t>et al</w:t>
      </w:r>
      <w:r w:rsidRPr="00C96521">
        <w:rPr>
          <w:rFonts w:eastAsia="MS Mincho"/>
          <w:sz w:val="20"/>
          <w:szCs w:val="22"/>
          <w:lang w:val="en-GB" w:eastAsia="ja-JP"/>
        </w:rPr>
        <w:t xml:space="preserve"> 2013). In Bulgaria, the intensification of agriculture, particularly the large-scale removal of mature scrub and field margins driven by Rural Development Programme subsidies, may have had a strong negative impact on turtle-dove. Conversion of large areas of abandoned, low productivity farmland to more intensive production also poses a threat. However, the species remains quite abundant in these areas and specific surveys would be needed to estimate the real impact on the population. The Bulgarian Common Bird Monitoring scheme would not be able to detect the impacts until it is possibly too late to counteract declines.</w:t>
      </w:r>
    </w:p>
    <w:p w14:paraId="7F0584BC"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1C22EF7" w14:textId="77777777" w:rsidR="00C96521" w:rsidRPr="00C96521" w:rsidRDefault="00C96521" w:rsidP="00C96521">
      <w:pPr>
        <w:widowControl/>
        <w:autoSpaceDE/>
        <w:autoSpaceDN/>
        <w:adjustRightInd/>
        <w:spacing w:line="276" w:lineRule="auto"/>
        <w:rPr>
          <w:rFonts w:eastAsia="MS Mincho"/>
          <w:b/>
          <w:bCs/>
          <w:sz w:val="20"/>
          <w:szCs w:val="22"/>
          <w:lang w:val="en-GB" w:eastAsia="ja-JP"/>
        </w:rPr>
      </w:pPr>
      <w:r w:rsidRPr="00C96521">
        <w:rPr>
          <w:rFonts w:eastAsia="MS Mincho"/>
          <w:sz w:val="20"/>
          <w:szCs w:val="22"/>
          <w:lang w:val="en-GB" w:eastAsia="ja-JP"/>
        </w:rPr>
        <w:t xml:space="preserve">In Central Europe, land abandonment and agricultural intensification are both issues. Lack of early-season wild seeds is of concern for some countries, and intensification may mean that the seeds are not available as they are buried in the soil. Abandonment prevents the birds from accessing seeds on the ground, a large issue in Croatia, but probably not such a priority for Hungary where changes are occurring in the early (Sanja Barišić </w:t>
      </w:r>
      <w:r w:rsidRPr="00C96521">
        <w:rPr>
          <w:rFonts w:eastAsia="MS Mincho"/>
          <w:i/>
          <w:sz w:val="20"/>
          <w:szCs w:val="22"/>
          <w:lang w:val="en-GB" w:eastAsia="ja-JP"/>
        </w:rPr>
        <w:t>pers comm</w:t>
      </w:r>
      <w:r w:rsidRPr="00C96521">
        <w:rPr>
          <w:rFonts w:eastAsia="MS Mincho"/>
          <w:sz w:val="20"/>
          <w:szCs w:val="22"/>
          <w:lang w:val="en-GB" w:eastAsia="ja-JP"/>
        </w:rPr>
        <w:t xml:space="preserve">, Béla Tokody </w:t>
      </w:r>
      <w:r w:rsidRPr="00C96521">
        <w:rPr>
          <w:rFonts w:eastAsia="MS Mincho"/>
          <w:i/>
          <w:sz w:val="20"/>
          <w:szCs w:val="22"/>
          <w:lang w:val="en-GB" w:eastAsia="ja-JP"/>
        </w:rPr>
        <w:t>pers comm</w:t>
      </w:r>
      <w:r w:rsidRPr="00C96521">
        <w:rPr>
          <w:rFonts w:eastAsia="MS Mincho"/>
          <w:sz w:val="20"/>
          <w:szCs w:val="22"/>
          <w:lang w:val="en-GB" w:eastAsia="ja-JP"/>
        </w:rPr>
        <w:t>, Vesna Tuti</w:t>
      </w:r>
      <w:r w:rsidRPr="00C96521">
        <w:rPr>
          <w:rFonts w:eastAsia="MS Mincho" w:cs="Arial"/>
          <w:sz w:val="20"/>
          <w:szCs w:val="22"/>
          <w:lang w:val="en-GB" w:eastAsia="ja-JP"/>
        </w:rPr>
        <w:t>š</w:t>
      </w:r>
      <w:r w:rsidRPr="00C96521">
        <w:rPr>
          <w:rFonts w:eastAsia="MS Mincho"/>
          <w:sz w:val="20"/>
          <w:szCs w:val="22"/>
          <w:lang w:val="en-GB" w:eastAsia="ja-JP"/>
        </w:rPr>
        <w:t xml:space="preserve"> </w:t>
      </w:r>
      <w:r w:rsidRPr="00C96521">
        <w:rPr>
          <w:rFonts w:eastAsia="MS Mincho"/>
          <w:i/>
          <w:sz w:val="20"/>
          <w:szCs w:val="22"/>
          <w:lang w:val="en-GB" w:eastAsia="ja-JP"/>
        </w:rPr>
        <w:t>pers comm</w:t>
      </w:r>
      <w:r w:rsidRPr="00C96521">
        <w:rPr>
          <w:rFonts w:eastAsia="MS Mincho"/>
          <w:sz w:val="20"/>
          <w:szCs w:val="22"/>
          <w:lang w:val="en-GB" w:eastAsia="ja-JP"/>
        </w:rPr>
        <w:t>). Food availability is likely to reduce in the future, and is extremely variable across the region.</w:t>
      </w:r>
    </w:p>
    <w:p w14:paraId="61906736"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BD46645" w14:textId="4C2AE7C3"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In Flanders, Belgium where the population decreased by at least 70</w:t>
      </w:r>
      <w:r w:rsidR="00FB0078">
        <w:rPr>
          <w:rFonts w:eastAsia="MS Mincho" w:cs="Arial"/>
          <w:sz w:val="20"/>
          <w:szCs w:val="22"/>
          <w:lang w:val="en-GB" w:eastAsia="ja-JP"/>
        </w:rPr>
        <w:t xml:space="preserve"> per cent</w:t>
      </w:r>
      <w:r w:rsidR="00FB0078" w:rsidRPr="00C96521">
        <w:rPr>
          <w:rFonts w:eastAsia="MS Mincho" w:cs="Arial"/>
          <w:sz w:val="20"/>
          <w:szCs w:val="22"/>
          <w:lang w:val="en-GB" w:eastAsia="ja-JP"/>
        </w:rPr>
        <w:t xml:space="preserve"> </w:t>
      </w:r>
      <w:r w:rsidRPr="00C96521">
        <w:rPr>
          <w:rFonts w:eastAsia="MS Mincho" w:cs="Arial"/>
          <w:sz w:val="20"/>
          <w:szCs w:val="22"/>
          <w:lang w:val="en-GB" w:eastAsia="ja-JP"/>
        </w:rPr>
        <w:t xml:space="preserve">between the 1970s and 2000-2002, factors on the breeding grounds contributing to the decline were identified as agricultural intensification, a loss of copses, hedgerows and mature woodlands as well as declines in the number of seed-producing herbs (Vermeersch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2004). In Wallonia, the drivers behind the declines lie in agricultural intensification (Jacob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2010). Factors include changes that have reduced available food sources: increasing pesticide applications, concreting of rural tracks, and loss of weed-rich field margins. In the Netherlands, activities contributing to population declines include the degradation of breeding habitat, such as replacement of cereals by green maize and the use of herbicides (SOVON 2002). Similarly</w:t>
      </w:r>
      <w:r w:rsidR="00FB0078">
        <w:rPr>
          <w:rFonts w:eastAsia="MS Mincho" w:cs="Arial"/>
          <w:sz w:val="20"/>
          <w:szCs w:val="22"/>
          <w:lang w:val="en-GB" w:eastAsia="ja-JP"/>
        </w:rPr>
        <w:t>,</w:t>
      </w:r>
      <w:r w:rsidRPr="00C96521">
        <w:rPr>
          <w:rFonts w:eastAsia="MS Mincho" w:cs="Arial"/>
          <w:sz w:val="20"/>
          <w:szCs w:val="22"/>
          <w:lang w:val="en-GB" w:eastAsia="ja-JP"/>
        </w:rPr>
        <w:t xml:space="preserve"> in Switzerland and France, habitat loss, pesticide use, and agricultural intensification have been identified as threats (Schmid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2001, Issa and Boutin 2015 in Issa and Muller 2015), leading also to hedgerow and woodlot destruction. It is unknown whether the introduction of ecological compensation measures have benefited the species (Schmid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2001). In Slovenia, the main threat is the agricultural intensification that has caused the loss of mosaic fields, fallow land and hedges (Kmecl and Figelj 2015). In Romania, deforestation and removal of tall shrubs (nesting habitat), modification, fragmentation and loss of habitat, increased herbicide use (loss of weeds), and possible ingestion of grain treated with rodenticide have all been identified as threats on the breeding grounds (Munteanu 2009, Petrovici 2015). Important conservation actions identified for the species in Romania include a number related to habitat/loss modification: preventing urban developments in important forest habitats and preventing deforestation; ensuring forestry operations are carried out at times that minimise disturbance to the species; maintaining and increasing the area of native forest; maintaining and increasing a mosaic of habitats at the landscape scale; and connecting existing habitats (Petrovici 2015). Removal of alluvial forests and margins is considered a localised problem in Central Europe, for example in Slovakia and Croatia (Sanja Barišić </w:t>
      </w:r>
      <w:r w:rsidRPr="00C96521">
        <w:rPr>
          <w:rFonts w:eastAsia="MS Mincho" w:cs="Arial"/>
          <w:i/>
          <w:sz w:val="20"/>
          <w:szCs w:val="22"/>
          <w:lang w:val="en-GB" w:eastAsia="ja-JP"/>
        </w:rPr>
        <w:t>pers comm</w:t>
      </w:r>
      <w:r w:rsidRPr="00C96521">
        <w:rPr>
          <w:rFonts w:eastAsia="MS Mincho" w:cs="Arial"/>
          <w:sz w:val="20"/>
          <w:szCs w:val="22"/>
          <w:lang w:val="en-GB" w:eastAsia="ja-JP"/>
        </w:rPr>
        <w:t xml:space="preserve">, Ivana Czocherova </w:t>
      </w:r>
      <w:r w:rsidRPr="00C96521">
        <w:rPr>
          <w:rFonts w:eastAsia="MS Mincho" w:cs="Arial"/>
          <w:i/>
          <w:sz w:val="20"/>
          <w:szCs w:val="22"/>
          <w:lang w:val="en-GB" w:eastAsia="ja-JP"/>
        </w:rPr>
        <w:t>pers comm</w:t>
      </w:r>
      <w:r w:rsidRPr="00C96521">
        <w:rPr>
          <w:rFonts w:eastAsia="MS Mincho" w:cs="Arial"/>
          <w:sz w:val="20"/>
          <w:szCs w:val="22"/>
          <w:lang w:val="en-GB" w:eastAsia="ja-JP"/>
        </w:rPr>
        <w:t xml:space="preserve">, </w:t>
      </w:r>
      <w:r w:rsidRPr="00C96521">
        <w:rPr>
          <w:rFonts w:eastAsia="MS Mincho"/>
          <w:sz w:val="20"/>
          <w:szCs w:val="22"/>
          <w:lang w:val="en-GB" w:eastAsia="ja-JP"/>
        </w:rPr>
        <w:t>Vesna Tuti</w:t>
      </w:r>
      <w:r w:rsidRPr="00C96521">
        <w:rPr>
          <w:rFonts w:eastAsia="MS Mincho" w:cs="Arial"/>
          <w:sz w:val="20"/>
          <w:szCs w:val="22"/>
          <w:lang w:val="en-GB" w:eastAsia="ja-JP"/>
        </w:rPr>
        <w:t>š</w:t>
      </w:r>
      <w:r w:rsidRPr="00C96521">
        <w:rPr>
          <w:rFonts w:eastAsia="MS Mincho"/>
          <w:sz w:val="20"/>
          <w:szCs w:val="22"/>
          <w:lang w:val="en-GB" w:eastAsia="ja-JP"/>
        </w:rPr>
        <w:t xml:space="preserve"> </w:t>
      </w:r>
      <w:r w:rsidRPr="00C96521">
        <w:rPr>
          <w:rFonts w:eastAsia="MS Mincho"/>
          <w:i/>
          <w:sz w:val="20"/>
          <w:szCs w:val="22"/>
          <w:lang w:val="en-GB" w:eastAsia="ja-JP"/>
        </w:rPr>
        <w:t>pers comm)</w:t>
      </w:r>
      <w:r w:rsidRPr="00C96521">
        <w:rPr>
          <w:rFonts w:eastAsia="MS Mincho" w:cs="Arial"/>
          <w:sz w:val="20"/>
          <w:szCs w:val="22"/>
          <w:lang w:val="en-GB" w:eastAsia="ja-JP"/>
        </w:rPr>
        <w:t>.</w:t>
      </w:r>
    </w:p>
    <w:p w14:paraId="1E64553D"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0A26B57E" w14:textId="05E17484"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In the UK, declines in habitat area and food supply have been suggested as causes for population declines (Hodge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2006). Changes to the farmed environment appear to have had a strong impact on the turtle-dove. Woodland habitats were found to support 6.5 times more </w:t>
      </w:r>
      <w:r w:rsidR="000C4731">
        <w:rPr>
          <w:rFonts w:eastAsia="MS Mincho"/>
          <w:sz w:val="20"/>
          <w:szCs w:val="22"/>
          <w:lang w:val="en-GB" w:eastAsia="ja-JP"/>
        </w:rPr>
        <w:t>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ove</w:t>
      </w:r>
      <w:r w:rsidR="000C4731">
        <w:rPr>
          <w:rFonts w:eastAsia="MS Mincho"/>
          <w:sz w:val="20"/>
          <w:szCs w:val="22"/>
          <w:lang w:val="en-GB" w:eastAsia="ja-JP"/>
        </w:rPr>
        <w:t xml:space="preserve"> </w:t>
      </w:r>
      <w:r w:rsidRPr="00C96521">
        <w:rPr>
          <w:rFonts w:eastAsia="MS Mincho" w:cs="Arial"/>
          <w:sz w:val="20"/>
          <w:szCs w:val="22"/>
          <w:lang w:val="en-GB" w:eastAsia="ja-JP"/>
        </w:rPr>
        <w:t xml:space="preserve">territories than on farmland in the UK (Browne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2004). Farmland habitat diversity decreased due to simplifications in crop rotations and loss of non-arable habitats. Between the 1960s and 1980s, farmland plots lost hedgerows, scrub and woodland, but after the mid-1980s the measure of ‘hedginess’ increased. Habitat diversity increased in woodland plots as vegetation clearance increased the number of habitats found within the woodland group, causing a small decrease in the amount of available nesting habitat. In the UK, turtle-dove territories were more likely to be retained and were more abundant in areas with a greater area of established scrub and more hedgerows (Dunn and Morris 2012). Turtle</w:t>
      </w:r>
      <w:r w:rsidR="000C4731">
        <w:rPr>
          <w:rFonts w:eastAsia="MS Mincho" w:cs="Arial"/>
          <w:sz w:val="20"/>
          <w:szCs w:val="22"/>
          <w:lang w:val="en-GB" w:eastAsia="ja-JP"/>
        </w:rPr>
        <w:t xml:space="preserve"> D</w:t>
      </w:r>
      <w:r w:rsidRPr="00C96521">
        <w:rPr>
          <w:rFonts w:eastAsia="MS Mincho" w:cs="Arial"/>
          <w:sz w:val="20"/>
          <w:szCs w:val="22"/>
          <w:lang w:val="en-GB" w:eastAsia="ja-JP"/>
        </w:rPr>
        <w:t>ove diet changed between the 1950s/</w:t>
      </w:r>
      <w:r w:rsidR="000C4731">
        <w:rPr>
          <w:rFonts w:eastAsia="MS Mincho" w:cs="Arial"/>
          <w:sz w:val="20"/>
          <w:szCs w:val="22"/>
          <w:lang w:val="en-GB" w:eastAsia="ja-JP"/>
        </w:rPr>
        <w:t>’</w:t>
      </w:r>
      <w:r w:rsidRPr="00C96521">
        <w:rPr>
          <w:rFonts w:eastAsia="MS Mincho" w:cs="Arial"/>
          <w:sz w:val="20"/>
          <w:szCs w:val="22"/>
          <w:lang w:val="en-GB" w:eastAsia="ja-JP"/>
        </w:rPr>
        <w:t>60s and late 1990s, with far fewer weed seeds now present in the species’ diet both as nestlings and as adults. The species’ favoured feeding sites in the 1950s/</w:t>
      </w:r>
      <w:r w:rsidR="000C4731">
        <w:rPr>
          <w:rFonts w:eastAsia="MS Mincho" w:cs="Arial"/>
          <w:sz w:val="20"/>
          <w:szCs w:val="22"/>
          <w:lang w:val="en-GB" w:eastAsia="ja-JP"/>
        </w:rPr>
        <w:t>’</w:t>
      </w:r>
      <w:r w:rsidRPr="00C96521">
        <w:rPr>
          <w:rFonts w:eastAsia="MS Mincho" w:cs="Arial"/>
          <w:sz w:val="20"/>
          <w:szCs w:val="22"/>
          <w:lang w:val="en-GB" w:eastAsia="ja-JP"/>
        </w:rPr>
        <w:t xml:space="preserve">60s consisted of hayfields, clover leys and haystooks, whereas in the late 1990s the species was not recorded on these habitats at all, mostly because these habitats have almost entirely disappeared (Browne and Aebischer 2003a). Naturally regenerated fallow rotational set-aside in the summer was found to have a small benefit to </w:t>
      </w:r>
      <w:r w:rsidR="000C4731">
        <w:rPr>
          <w:rFonts w:eastAsia="MS Mincho"/>
          <w:sz w:val="20"/>
          <w:szCs w:val="22"/>
          <w:lang w:val="en-GB" w:eastAsia="ja-JP"/>
        </w:rPr>
        <w:t>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ove</w:t>
      </w:r>
      <w:r w:rsidR="000C4731">
        <w:rPr>
          <w:rFonts w:eastAsia="MS Mincho"/>
          <w:sz w:val="20"/>
          <w:szCs w:val="22"/>
          <w:lang w:val="en-GB" w:eastAsia="ja-JP"/>
        </w:rPr>
        <w:t>s</w:t>
      </w:r>
      <w:r w:rsidRPr="00C96521">
        <w:rPr>
          <w:rFonts w:eastAsia="MS Mincho" w:cs="Arial"/>
          <w:sz w:val="20"/>
          <w:szCs w:val="22"/>
          <w:lang w:val="en-GB" w:eastAsia="ja-JP"/>
        </w:rPr>
        <w:t xml:space="preserve">, compared to conventional farmed arable land, whereas set-aside sown with crops for wild birds and long-term set-aside more than two years old or younger set-aside sown with a grass mix did not benefit the species (Hodge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2006). A widespread loss of weeds across France and Spain has been well-documented, and could have contributed to reduced food availability for </w:t>
      </w:r>
      <w:r w:rsidR="000C4731">
        <w:rPr>
          <w:rFonts w:eastAsia="MS Mincho"/>
          <w:sz w:val="20"/>
          <w:szCs w:val="22"/>
          <w:lang w:val="en-GB" w:eastAsia="ja-JP"/>
        </w:rPr>
        <w:t>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ove</w:t>
      </w:r>
      <w:r w:rsidR="000C4731">
        <w:rPr>
          <w:rFonts w:eastAsia="MS Mincho"/>
          <w:sz w:val="20"/>
          <w:szCs w:val="22"/>
          <w:lang w:val="en-GB" w:eastAsia="ja-JP"/>
        </w:rPr>
        <w:t>s</w:t>
      </w:r>
      <w:r w:rsidRPr="00C96521">
        <w:rPr>
          <w:rFonts w:eastAsia="MS Mincho" w:cs="Arial"/>
          <w:sz w:val="20"/>
          <w:szCs w:val="22"/>
          <w:lang w:val="en-GB" w:eastAsia="ja-JP"/>
        </w:rPr>
        <w:t>.</w:t>
      </w:r>
      <w:r w:rsidR="000C4731">
        <w:rPr>
          <w:rFonts w:eastAsia="MS Mincho" w:cs="Arial"/>
          <w:sz w:val="20"/>
          <w:szCs w:val="22"/>
          <w:lang w:val="en-GB" w:eastAsia="ja-JP"/>
        </w:rPr>
        <w:t xml:space="preserve"> </w:t>
      </w:r>
    </w:p>
    <w:p w14:paraId="0A0D5C52"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3D9B7C72" w14:textId="3F619F41"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Set-aside created under the Single Payment Scheme (introduced in 2005) was predicted to have no difference in terms of biodiversity benefit to </w:t>
      </w:r>
      <w:r w:rsidR="000C4731">
        <w:rPr>
          <w:rFonts w:eastAsia="MS Mincho"/>
          <w:sz w:val="20"/>
          <w:szCs w:val="22"/>
          <w:lang w:val="en-GB" w:eastAsia="ja-JP"/>
        </w:rPr>
        <w:t>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ove</w:t>
      </w:r>
      <w:r w:rsidR="000C4731">
        <w:rPr>
          <w:rFonts w:eastAsia="MS Mincho"/>
          <w:sz w:val="20"/>
          <w:szCs w:val="22"/>
          <w:lang w:val="en-GB" w:eastAsia="ja-JP"/>
        </w:rPr>
        <w:t>s</w:t>
      </w:r>
      <w:r w:rsidR="000C4731" w:rsidRPr="00C96521">
        <w:rPr>
          <w:rFonts w:eastAsia="MS Mincho"/>
          <w:sz w:val="20"/>
          <w:szCs w:val="22"/>
          <w:lang w:val="en-GB" w:eastAsia="ja-JP"/>
        </w:rPr>
        <w:t xml:space="preserve"> </w:t>
      </w:r>
      <w:r w:rsidRPr="00C96521">
        <w:rPr>
          <w:rFonts w:eastAsia="MS Mincho" w:cs="Arial"/>
          <w:sz w:val="20"/>
          <w:szCs w:val="22"/>
          <w:lang w:val="en-GB" w:eastAsia="ja-JP"/>
        </w:rPr>
        <w:t xml:space="preserve">compared to set-aside under the Arable Area Payment Scheme. However, reversion of set-aside land under the Single Payment Scheme to arable was predicted to have a small negative impact on turtle-dove (Hodge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2006). In 2008, around eight million hectares of former set-aside land re-entered mainstream agricultural production when set-aside policy in the EU was abolished (Allen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2014). Agri-environment measures have been introduced in the UK with the aim of improving foraging and nesting habitat for </w:t>
      </w:r>
      <w:r w:rsidR="000C4731">
        <w:rPr>
          <w:rFonts w:eastAsia="MS Mincho"/>
          <w:sz w:val="20"/>
          <w:szCs w:val="22"/>
          <w:lang w:val="en-GB" w:eastAsia="ja-JP"/>
        </w:rPr>
        <w:t>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ove</w:t>
      </w:r>
      <w:r w:rsidR="000C4731">
        <w:rPr>
          <w:rFonts w:eastAsia="MS Mincho"/>
          <w:sz w:val="20"/>
          <w:szCs w:val="22"/>
          <w:lang w:val="en-GB" w:eastAsia="ja-JP"/>
        </w:rPr>
        <w:t>s</w:t>
      </w:r>
      <w:r w:rsidRPr="00C96521">
        <w:rPr>
          <w:rFonts w:eastAsia="MS Mincho" w:cs="Arial"/>
          <w:sz w:val="20"/>
          <w:szCs w:val="22"/>
          <w:lang w:val="en-GB" w:eastAsia="ja-JP"/>
        </w:rPr>
        <w:t xml:space="preserve">. One option under Environmental Stewardship, arable margin management (creating grass margins), was shown to be positively associated with turtle-dove population growth rates (Baker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2012). However, options under Higher Level Stewardship failed to impact abundance of turtle-doves on surveyed farms (Bright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2015). The Operation Turtle</w:t>
      </w:r>
      <w:r w:rsidR="00D95FF4">
        <w:rPr>
          <w:rFonts w:eastAsia="MS Mincho" w:cs="Arial"/>
          <w:sz w:val="20"/>
          <w:szCs w:val="22"/>
          <w:lang w:val="en-GB" w:eastAsia="ja-JP"/>
        </w:rPr>
        <w:t xml:space="preserve"> D</w:t>
      </w:r>
      <w:r w:rsidRPr="00C96521">
        <w:rPr>
          <w:rFonts w:eastAsia="MS Mincho" w:cs="Arial"/>
          <w:sz w:val="20"/>
          <w:szCs w:val="22"/>
          <w:lang w:val="en-GB" w:eastAsia="ja-JP"/>
        </w:rPr>
        <w:t>ove partnership in the UK has developed a Turtle</w:t>
      </w:r>
      <w:r w:rsidR="00D95FF4">
        <w:rPr>
          <w:rFonts w:eastAsia="MS Mincho" w:cs="Arial"/>
          <w:sz w:val="20"/>
          <w:szCs w:val="22"/>
          <w:lang w:val="en-GB" w:eastAsia="ja-JP"/>
        </w:rPr>
        <w:t xml:space="preserve"> D</w:t>
      </w:r>
      <w:r w:rsidRPr="00C96521">
        <w:rPr>
          <w:rFonts w:eastAsia="MS Mincho" w:cs="Arial"/>
          <w:sz w:val="20"/>
          <w:szCs w:val="22"/>
          <w:lang w:val="en-GB" w:eastAsia="ja-JP"/>
        </w:rPr>
        <w:t xml:space="preserve">ove Package (Annex 3), which consists of a suite of options designed to support the needs of breeding </w:t>
      </w:r>
      <w:r w:rsidR="000C4731">
        <w:rPr>
          <w:rFonts w:eastAsia="MS Mincho"/>
          <w:sz w:val="20"/>
          <w:szCs w:val="22"/>
          <w:lang w:val="en-GB" w:eastAsia="ja-JP"/>
        </w:rPr>
        <w:t>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ove</w:t>
      </w:r>
      <w:r w:rsidR="000C4731">
        <w:rPr>
          <w:rFonts w:eastAsia="MS Mincho"/>
          <w:sz w:val="20"/>
          <w:szCs w:val="22"/>
          <w:lang w:val="en-GB" w:eastAsia="ja-JP"/>
        </w:rPr>
        <w:t>s</w:t>
      </w:r>
      <w:r w:rsidRPr="00C96521">
        <w:rPr>
          <w:rFonts w:eastAsia="MS Mincho" w:cs="Arial"/>
          <w:sz w:val="20"/>
          <w:szCs w:val="22"/>
          <w:lang w:val="en-GB" w:eastAsia="ja-JP"/>
        </w:rPr>
        <w:t xml:space="preserve">. The measures include accessible seed-rich foraging habitat close to suitably managed scrub and hedgerows providing safe nesting habitat. Initial survey work suggests that one to two years after implementation there was some evidence that </w:t>
      </w:r>
      <w:r w:rsidR="000C4731">
        <w:rPr>
          <w:rFonts w:eastAsia="MS Mincho"/>
          <w:sz w:val="20"/>
          <w:szCs w:val="22"/>
          <w:lang w:val="en-GB" w:eastAsia="ja-JP"/>
        </w:rPr>
        <w:t>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ove</w:t>
      </w:r>
      <w:r w:rsidR="000C4731">
        <w:rPr>
          <w:rFonts w:eastAsia="MS Mincho"/>
          <w:sz w:val="20"/>
          <w:szCs w:val="22"/>
          <w:lang w:val="en-GB" w:eastAsia="ja-JP"/>
        </w:rPr>
        <w:t xml:space="preserve"> </w:t>
      </w:r>
      <w:r w:rsidRPr="00C96521">
        <w:rPr>
          <w:rFonts w:eastAsia="MS Mincho" w:cs="Arial"/>
          <w:sz w:val="20"/>
          <w:szCs w:val="22"/>
          <w:lang w:val="en-GB" w:eastAsia="ja-JP"/>
        </w:rPr>
        <w:t>occupancy and abundance were positively associated with agreements containing some foraging habitat (Walker and Morris 2016). However, in most cases the conditions for foraging were not optimal.</w:t>
      </w:r>
    </w:p>
    <w:p w14:paraId="11020645"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15B74B47" w14:textId="00ABBBC9"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Reduced water availability has been suggested as a problem for the species both on the breeding and passage/wintering grounds, although the scientific evidence for this is limited. It is not clear whether there has been a significant reduction in water supply on the breeding grounds, particularly with the expansion of irrigated agriculture, but water does appear to play a role in site selection for </w:t>
      </w:r>
      <w:r w:rsidR="000C4731">
        <w:rPr>
          <w:rFonts w:eastAsia="MS Mincho"/>
          <w:sz w:val="20"/>
          <w:szCs w:val="22"/>
          <w:lang w:val="en-GB" w:eastAsia="ja-JP"/>
        </w:rPr>
        <w:t>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ove</w:t>
      </w:r>
      <w:r w:rsidR="000C4731">
        <w:rPr>
          <w:rFonts w:eastAsia="MS Mincho"/>
          <w:sz w:val="20"/>
          <w:szCs w:val="22"/>
          <w:lang w:val="en-GB" w:eastAsia="ja-JP"/>
        </w:rPr>
        <w:t>s</w:t>
      </w:r>
      <w:r w:rsidRPr="00C96521">
        <w:rPr>
          <w:rFonts w:eastAsia="MS Mincho" w:cs="Arial"/>
          <w:sz w:val="20"/>
          <w:szCs w:val="22"/>
          <w:lang w:val="en-GB" w:eastAsia="ja-JP"/>
        </w:rPr>
        <w:t xml:space="preserve">. In the UK, areas that retain </w:t>
      </w:r>
      <w:r w:rsidR="000C4731">
        <w:rPr>
          <w:rFonts w:eastAsia="MS Mincho"/>
          <w:sz w:val="20"/>
          <w:szCs w:val="22"/>
          <w:lang w:val="en-GB" w:eastAsia="ja-JP"/>
        </w:rPr>
        <w:t>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ove</w:t>
      </w:r>
      <w:r w:rsidR="000C4731">
        <w:rPr>
          <w:rFonts w:eastAsia="MS Mincho"/>
          <w:sz w:val="20"/>
          <w:szCs w:val="22"/>
          <w:lang w:val="en-GB" w:eastAsia="ja-JP"/>
        </w:rPr>
        <w:t>s</w:t>
      </w:r>
      <w:r w:rsidR="000C4731" w:rsidRPr="00C96521">
        <w:rPr>
          <w:rFonts w:eastAsia="MS Mincho"/>
          <w:sz w:val="20"/>
          <w:szCs w:val="22"/>
          <w:lang w:val="en-GB" w:eastAsia="ja-JP"/>
        </w:rPr>
        <w:t xml:space="preserve"> </w:t>
      </w:r>
      <w:r w:rsidRPr="00C96521">
        <w:rPr>
          <w:rFonts w:eastAsia="MS Mincho" w:cs="Arial"/>
          <w:sz w:val="20"/>
          <w:szCs w:val="22"/>
          <w:lang w:val="en-GB" w:eastAsia="ja-JP"/>
        </w:rPr>
        <w:t xml:space="preserve">have water supplies (Tony Morris </w:t>
      </w:r>
      <w:r w:rsidRPr="00C96521">
        <w:rPr>
          <w:rFonts w:eastAsia="MS Mincho" w:cs="Arial"/>
          <w:i/>
          <w:sz w:val="20"/>
          <w:szCs w:val="22"/>
          <w:lang w:val="en-GB" w:eastAsia="ja-JP"/>
        </w:rPr>
        <w:t>pers comm</w:t>
      </w:r>
      <w:r w:rsidRPr="00C96521">
        <w:rPr>
          <w:rFonts w:eastAsia="MS Mincho" w:cs="Arial"/>
          <w:sz w:val="20"/>
          <w:szCs w:val="22"/>
          <w:lang w:val="en-GB" w:eastAsia="ja-JP"/>
        </w:rPr>
        <w:t xml:space="preserve">). In Spain, there is a correlation between turtle-dove productivity and presence of water supply, and </w:t>
      </w:r>
      <w:r w:rsidR="000C4731">
        <w:rPr>
          <w:rFonts w:eastAsia="MS Mincho"/>
          <w:sz w:val="20"/>
          <w:szCs w:val="22"/>
          <w:lang w:val="en-GB" w:eastAsia="ja-JP"/>
        </w:rPr>
        <w:t>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ove</w:t>
      </w:r>
      <w:r w:rsidR="000C4731">
        <w:rPr>
          <w:rFonts w:eastAsia="MS Mincho"/>
          <w:sz w:val="20"/>
          <w:szCs w:val="22"/>
          <w:lang w:val="en-GB" w:eastAsia="ja-JP"/>
        </w:rPr>
        <w:t>s</w:t>
      </w:r>
      <w:r w:rsidRPr="00C96521">
        <w:rPr>
          <w:rFonts w:eastAsia="MS Mincho" w:cs="Arial"/>
          <w:sz w:val="20"/>
          <w:szCs w:val="22"/>
          <w:lang w:val="en-GB" w:eastAsia="ja-JP"/>
        </w:rPr>
        <w:t xml:space="preserve"> avoid breeding in areas without water supplies (Rocha and Hidalgo de Trucios 2002a). Intensive dam construction in Cyprus is affecting ecosystems by altering water flow and exacerbating drying of natural springs during hot weather (Panayides 2005).</w:t>
      </w:r>
    </w:p>
    <w:p w14:paraId="33CF9DD6"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3EE6F9AD" w14:textId="64D8E0D0"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A reduction in the number of nesting locations may also be impacting the species. Although the area of forest habitats may be increasing across Europe, quality of nesting habitat may be decreasing. A study in the west of France found that in areas where hedgerows had been cut on both sides, the number of singing male </w:t>
      </w:r>
      <w:r w:rsidR="000C4731">
        <w:rPr>
          <w:rFonts w:eastAsia="MS Mincho"/>
          <w:sz w:val="20"/>
          <w:szCs w:val="22"/>
          <w:lang w:val="en-GB" w:eastAsia="ja-JP"/>
        </w:rPr>
        <w:t>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ove</w:t>
      </w:r>
      <w:r w:rsidR="000C4731">
        <w:rPr>
          <w:rFonts w:eastAsia="MS Mincho"/>
          <w:sz w:val="20"/>
          <w:szCs w:val="22"/>
          <w:lang w:val="en-GB" w:eastAsia="ja-JP"/>
        </w:rPr>
        <w:t>s</w:t>
      </w:r>
      <w:r w:rsidR="000C4731" w:rsidRPr="00C96521">
        <w:rPr>
          <w:rFonts w:eastAsia="MS Mincho"/>
          <w:sz w:val="20"/>
          <w:szCs w:val="22"/>
          <w:lang w:val="en-GB" w:eastAsia="ja-JP"/>
        </w:rPr>
        <w:t xml:space="preserve"> </w:t>
      </w:r>
      <w:r w:rsidRPr="00C96521">
        <w:rPr>
          <w:rFonts w:eastAsia="MS Mincho" w:cs="Arial"/>
          <w:sz w:val="20"/>
          <w:szCs w:val="22"/>
          <w:lang w:val="en-GB" w:eastAsia="ja-JP"/>
        </w:rPr>
        <w:t xml:space="preserve">has reduced (Hervé Lormée </w:t>
      </w:r>
      <w:r w:rsidRPr="00C96521">
        <w:rPr>
          <w:rFonts w:eastAsia="MS Mincho" w:cs="Arial"/>
          <w:i/>
          <w:sz w:val="20"/>
          <w:szCs w:val="22"/>
          <w:lang w:val="en-GB" w:eastAsia="ja-JP"/>
        </w:rPr>
        <w:t>pers comm</w:t>
      </w:r>
      <w:r w:rsidRPr="00C96521">
        <w:rPr>
          <w:rFonts w:eastAsia="MS Mincho" w:cs="Arial"/>
          <w:sz w:val="20"/>
          <w:szCs w:val="22"/>
          <w:lang w:val="en-GB" w:eastAsia="ja-JP"/>
        </w:rPr>
        <w:t xml:space="preserve">). </w:t>
      </w:r>
    </w:p>
    <w:p w14:paraId="3E054102"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6A9BB76D" w14:textId="47DFF9BE"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In European Russia, the turtle-dove breeds in the forest and steppe zones. The main threat in the former is likely to be pesticides. In the forest zone, particularly in the northern part of the turtle-dove’s range in European Russia, most of the farmland consists of grasslands and meadows used for haymaking and grazing, while the area of arable land for cereals is small. Abandonment of farmland began in the early 1990s and continues today. Large-scale abandonment of farmlands, primarily cereals and grasslands, and their overgrowth by tall dense weeds, bushes and young forest is an important negative factor in available </w:t>
      </w:r>
      <w:r w:rsidR="000C4731">
        <w:rPr>
          <w:rFonts w:eastAsia="MS Mincho"/>
          <w:sz w:val="20"/>
          <w:szCs w:val="22"/>
          <w:lang w:val="en-GB" w:eastAsia="ja-JP"/>
        </w:rPr>
        <w:t>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 xml:space="preserve">ove </w:t>
      </w:r>
      <w:r w:rsidRPr="00C96521">
        <w:rPr>
          <w:rFonts w:eastAsia="MS Mincho" w:cs="Arial"/>
          <w:sz w:val="20"/>
          <w:szCs w:val="22"/>
          <w:lang w:val="en-GB" w:eastAsia="ja-JP"/>
        </w:rPr>
        <w:t xml:space="preserve">breeding areas within the forest zone, leading to a loss of feeding habitat (Alexander Mischenko </w:t>
      </w:r>
      <w:r w:rsidRPr="00C96521">
        <w:rPr>
          <w:rFonts w:eastAsia="MS Mincho" w:cs="Arial"/>
          <w:i/>
          <w:sz w:val="20"/>
          <w:szCs w:val="22"/>
          <w:lang w:val="en-GB" w:eastAsia="ja-JP"/>
        </w:rPr>
        <w:t>pers comm</w:t>
      </w:r>
      <w:r w:rsidRPr="00C96521">
        <w:rPr>
          <w:rFonts w:eastAsia="MS Mincho" w:cs="Arial"/>
          <w:sz w:val="20"/>
          <w:szCs w:val="22"/>
          <w:lang w:val="en-GB" w:eastAsia="ja-JP"/>
        </w:rPr>
        <w:t>). Huge areas of farmland have been abandoned, up to 80</w:t>
      </w:r>
      <w:r w:rsidR="000C4731">
        <w:rPr>
          <w:rFonts w:eastAsia="MS Mincho" w:cs="Arial"/>
          <w:sz w:val="20"/>
          <w:szCs w:val="22"/>
          <w:lang w:val="en-GB" w:eastAsia="ja-JP"/>
        </w:rPr>
        <w:t xml:space="preserve"> per cent</w:t>
      </w:r>
      <w:r w:rsidR="000C4731" w:rsidRPr="00C96521">
        <w:rPr>
          <w:rFonts w:eastAsia="MS Mincho" w:cs="Arial"/>
          <w:sz w:val="20"/>
          <w:szCs w:val="22"/>
          <w:lang w:val="en-GB" w:eastAsia="ja-JP"/>
        </w:rPr>
        <w:t xml:space="preserve"> </w:t>
      </w:r>
      <w:r w:rsidRPr="00C96521">
        <w:rPr>
          <w:rFonts w:eastAsia="MS Mincho" w:cs="Arial"/>
          <w:sz w:val="20"/>
          <w:szCs w:val="22"/>
          <w:lang w:val="en-GB" w:eastAsia="ja-JP"/>
        </w:rPr>
        <w:t xml:space="preserve">of the total farmland area in some regions (Ljuri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2010). This loss of feeding habitat is aggravated by spring fires over large areas. </w:t>
      </w:r>
    </w:p>
    <w:p w14:paraId="72D8B84C"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7F23246E" w14:textId="58745D05"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In West Africa, the increasing human population has caused significant changes to the natural environment with increased cultivation of the Sahel and Sudan zone, overgrazing and cutting of trees, notably in Senegal and </w:t>
      </w:r>
      <w:r w:rsidR="000C4731">
        <w:rPr>
          <w:rFonts w:eastAsia="MS Mincho" w:cs="Arial"/>
          <w:sz w:val="20"/>
          <w:szCs w:val="22"/>
          <w:lang w:val="en-GB" w:eastAsia="ja-JP"/>
        </w:rPr>
        <w:t>t</w:t>
      </w:r>
      <w:r w:rsidRPr="00C96521">
        <w:rPr>
          <w:rFonts w:eastAsia="MS Mincho" w:cs="Arial"/>
          <w:sz w:val="20"/>
          <w:szCs w:val="22"/>
          <w:lang w:val="en-GB" w:eastAsia="ja-JP"/>
        </w:rPr>
        <w:t xml:space="preserve">he Gambia (Jarry 1994). Wood cutting at </w:t>
      </w:r>
      <w:r w:rsidR="000C4731">
        <w:rPr>
          <w:rFonts w:eastAsia="MS Mincho"/>
          <w:sz w:val="20"/>
          <w:szCs w:val="22"/>
          <w:lang w:val="en-GB" w:eastAsia="ja-JP"/>
        </w:rPr>
        <w:t>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ove</w:t>
      </w:r>
      <w:r w:rsidR="000C4731">
        <w:rPr>
          <w:rFonts w:eastAsia="MS Mincho"/>
          <w:sz w:val="20"/>
          <w:szCs w:val="22"/>
          <w:lang w:val="en-GB" w:eastAsia="ja-JP"/>
        </w:rPr>
        <w:t xml:space="preserve"> </w:t>
      </w:r>
      <w:r w:rsidRPr="00C96521">
        <w:rPr>
          <w:rFonts w:eastAsia="MS Mincho" w:cs="Arial"/>
          <w:sz w:val="20"/>
          <w:szCs w:val="22"/>
          <w:lang w:val="en-GB" w:eastAsia="ja-JP"/>
        </w:rPr>
        <w:t xml:space="preserve">roost sites in south-east Senegal has been recorded (Malang Sarr </w:t>
      </w:r>
      <w:r w:rsidRPr="00C96521">
        <w:rPr>
          <w:rFonts w:eastAsia="MS Mincho" w:cs="Arial"/>
          <w:i/>
          <w:sz w:val="20"/>
          <w:szCs w:val="22"/>
          <w:lang w:val="en-GB" w:eastAsia="ja-JP"/>
        </w:rPr>
        <w:t>pers comm</w:t>
      </w:r>
      <w:r w:rsidRPr="00C96521">
        <w:rPr>
          <w:rFonts w:eastAsia="MS Mincho" w:cs="Arial"/>
          <w:sz w:val="20"/>
          <w:szCs w:val="22"/>
          <w:lang w:val="en-GB" w:eastAsia="ja-JP"/>
        </w:rPr>
        <w:t xml:space="preserve">). Such modification of habitats has led to the disappearance or deterioration of important roosting sites, but may also have had an impact on the feeding opportunities for wintering </w:t>
      </w:r>
      <w:r w:rsidR="000C4731">
        <w:rPr>
          <w:rFonts w:eastAsia="MS Mincho"/>
          <w:sz w:val="20"/>
          <w:szCs w:val="22"/>
          <w:lang w:val="en-GB" w:eastAsia="ja-JP"/>
        </w:rPr>
        <w:t>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ove</w:t>
      </w:r>
      <w:r w:rsidR="000C4731">
        <w:rPr>
          <w:rFonts w:eastAsia="MS Mincho"/>
          <w:sz w:val="20"/>
          <w:szCs w:val="22"/>
          <w:lang w:val="en-GB" w:eastAsia="ja-JP"/>
        </w:rPr>
        <w:t>s</w:t>
      </w:r>
      <w:r w:rsidRPr="00C96521">
        <w:rPr>
          <w:rFonts w:eastAsia="MS Mincho" w:cs="Arial"/>
          <w:sz w:val="20"/>
          <w:szCs w:val="22"/>
          <w:lang w:val="en-GB" w:eastAsia="ja-JP"/>
        </w:rPr>
        <w:t xml:space="preserve">. High annual survival in a population of </w:t>
      </w:r>
      <w:r w:rsidR="000C4731">
        <w:rPr>
          <w:rFonts w:eastAsia="MS Mincho"/>
          <w:sz w:val="20"/>
          <w:szCs w:val="22"/>
          <w:lang w:val="en-GB" w:eastAsia="ja-JP"/>
        </w:rPr>
        <w:t>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ove</w:t>
      </w:r>
      <w:r w:rsidR="000C4731">
        <w:rPr>
          <w:rFonts w:eastAsia="MS Mincho"/>
          <w:sz w:val="20"/>
          <w:szCs w:val="22"/>
          <w:lang w:val="en-GB" w:eastAsia="ja-JP"/>
        </w:rPr>
        <w:t>s</w:t>
      </w:r>
      <w:r w:rsidR="000C4731" w:rsidRPr="00C96521">
        <w:rPr>
          <w:rFonts w:eastAsia="MS Mincho"/>
          <w:sz w:val="20"/>
          <w:szCs w:val="22"/>
          <w:lang w:val="en-GB" w:eastAsia="ja-JP"/>
        </w:rPr>
        <w:t xml:space="preserve"> </w:t>
      </w:r>
      <w:r w:rsidRPr="00C96521">
        <w:rPr>
          <w:rFonts w:eastAsia="MS Mincho" w:cs="Arial"/>
          <w:sz w:val="20"/>
          <w:szCs w:val="22"/>
          <w:lang w:val="en-GB" w:eastAsia="ja-JP"/>
        </w:rPr>
        <w:t xml:space="preserve">in France coincided with years of high cereal production in western Africa (Eraud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2009). Isolated wetlands in Niger are under pressure from a range of human activities including: livestock grazing; hunting; and agriculture that can result in loss of trees, trampling of vegetation by grazing animals and disturbance (Brouwer 2014). Such human pressure around isolated wetlands will increase into the future (Brouwer 2014). Following the Sahel droughts of 1968-1997, the region experienced a very rapid loss of natural non-forest vegetation through increased agricultural activity (Walther 2016). The diversity, abundance and distribution of woody plant species declined strongly post-drought, brought about by a number of factors: overharvesting of woody material (for timber, firewood and livestock feed); overgrazing; intensification of agriculture leading to a decline in rotational cropping, fallows and semi-natural habitats; increased fire frequency; replacement of natural habitats with forest monocultures or invasive species (Walther 2016). The soil has also been subject to wind and water erosion. A large literature review suggests that the rapid conversion of the Sahel to a human-dominated landscape is likely the most important long-term cause of population declines in migratory species in the Sahel region (Walther 2016).</w:t>
      </w:r>
    </w:p>
    <w:p w14:paraId="023994AA"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7608E53E" w14:textId="067F14C5"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cs="Arial"/>
          <w:sz w:val="20"/>
          <w:szCs w:val="22"/>
          <w:lang w:val="en-GB" w:eastAsia="ja-JP"/>
        </w:rPr>
        <w:t xml:space="preserve">Additional habitat-related threats have been identified as: the increased use of plastic and other covering in fields in Switzerland (Raffael Ayé </w:t>
      </w:r>
      <w:r w:rsidRPr="00C96521">
        <w:rPr>
          <w:rFonts w:eastAsia="MS Mincho" w:cs="Arial"/>
          <w:i/>
          <w:sz w:val="20"/>
          <w:szCs w:val="22"/>
          <w:lang w:val="en-GB" w:eastAsia="ja-JP"/>
        </w:rPr>
        <w:t>pers comm</w:t>
      </w:r>
      <w:r w:rsidRPr="00C96521">
        <w:rPr>
          <w:rFonts w:eastAsia="MS Mincho" w:cs="Arial"/>
          <w:sz w:val="20"/>
          <w:szCs w:val="22"/>
          <w:lang w:val="en-GB" w:eastAsia="ja-JP"/>
        </w:rPr>
        <w:t xml:space="preserve">): rapid ploughing and re-cropping of cereal fields after harvest, leading to poor availability of grains and weeds in France (Hervé Lormée </w:t>
      </w:r>
      <w:r w:rsidRPr="00C96521">
        <w:rPr>
          <w:rFonts w:eastAsia="MS Mincho" w:cs="Arial"/>
          <w:i/>
          <w:sz w:val="20"/>
          <w:szCs w:val="22"/>
          <w:lang w:val="en-GB" w:eastAsia="ja-JP"/>
        </w:rPr>
        <w:t>pers comm</w:t>
      </w:r>
      <w:r w:rsidRPr="00C96521">
        <w:rPr>
          <w:rFonts w:eastAsia="MS Mincho" w:cs="Arial"/>
          <w:sz w:val="20"/>
          <w:szCs w:val="22"/>
          <w:lang w:val="en-GB" w:eastAsia="ja-JP"/>
        </w:rPr>
        <w:t>); monocultures, loss of meadow to arable land, and urbani</w:t>
      </w:r>
      <w:r w:rsidR="000C4731">
        <w:rPr>
          <w:rFonts w:eastAsia="MS Mincho" w:cs="Arial"/>
          <w:sz w:val="20"/>
          <w:szCs w:val="22"/>
          <w:lang w:val="en-GB" w:eastAsia="ja-JP"/>
        </w:rPr>
        <w:t>z</w:t>
      </w:r>
      <w:r w:rsidRPr="00C96521">
        <w:rPr>
          <w:rFonts w:eastAsia="MS Mincho" w:cs="Arial"/>
          <w:sz w:val="20"/>
          <w:szCs w:val="22"/>
          <w:lang w:val="en-GB" w:eastAsia="ja-JP"/>
        </w:rPr>
        <w:t>ation of agricultural habitats in Lithuania (</w:t>
      </w:r>
      <w:r w:rsidRPr="00C96521">
        <w:rPr>
          <w:rFonts w:cs="Arial"/>
          <w:sz w:val="20"/>
          <w:szCs w:val="20"/>
          <w:lang w:val="en-GB" w:eastAsia="en-GB"/>
        </w:rPr>
        <w:t xml:space="preserve">Liutauras Raudonikis </w:t>
      </w:r>
      <w:r w:rsidRPr="00C96521">
        <w:rPr>
          <w:rFonts w:eastAsia="MS Mincho" w:cs="Arial"/>
          <w:i/>
          <w:sz w:val="20"/>
          <w:szCs w:val="22"/>
          <w:lang w:val="en-GB" w:eastAsia="ja-JP"/>
        </w:rPr>
        <w:t>pers comm</w:t>
      </w:r>
      <w:r w:rsidRPr="00C96521">
        <w:rPr>
          <w:rFonts w:eastAsia="MS Mincho" w:cs="Arial"/>
          <w:sz w:val="20"/>
          <w:szCs w:val="22"/>
          <w:lang w:val="en-GB" w:eastAsia="ja-JP"/>
        </w:rPr>
        <w:t xml:space="preserve">) and in Portugal, particularly in the coastal regions (Susana Dias </w:t>
      </w:r>
      <w:r w:rsidRPr="00C96521">
        <w:rPr>
          <w:rFonts w:eastAsia="MS Mincho" w:cs="Arial"/>
          <w:i/>
          <w:sz w:val="20"/>
          <w:szCs w:val="22"/>
          <w:lang w:val="en-GB" w:eastAsia="ja-JP"/>
        </w:rPr>
        <w:t>pers comm</w:t>
      </w:r>
      <w:r w:rsidRPr="00C96521">
        <w:rPr>
          <w:rFonts w:eastAsia="MS Mincho" w:cs="Arial"/>
          <w:sz w:val="20"/>
          <w:szCs w:val="22"/>
          <w:lang w:val="en-GB" w:eastAsia="ja-JP"/>
        </w:rPr>
        <w:t xml:space="preserve">); reseeding of grassland and intensive grassland management, increased use of pesticides, and high predator densities in Estonia (Jaanus Elts </w:t>
      </w:r>
      <w:r w:rsidRPr="00C96521">
        <w:rPr>
          <w:rFonts w:eastAsia="MS Mincho" w:cs="Arial"/>
          <w:i/>
          <w:sz w:val="20"/>
          <w:szCs w:val="22"/>
          <w:lang w:val="en-GB" w:eastAsia="ja-JP"/>
        </w:rPr>
        <w:t>pers comm</w:t>
      </w:r>
      <w:r w:rsidRPr="00C96521">
        <w:rPr>
          <w:rFonts w:eastAsia="MS Mincho" w:cs="Arial"/>
          <w:sz w:val="20"/>
          <w:szCs w:val="22"/>
          <w:lang w:val="en-GB" w:eastAsia="ja-JP"/>
        </w:rPr>
        <w:t xml:space="preserve">); changes in crop rotation and uncontrolled forest cutting in Ukraine (Tetiana Kuzmenko </w:t>
      </w:r>
      <w:r w:rsidRPr="00C96521">
        <w:rPr>
          <w:rFonts w:eastAsia="MS Mincho" w:cs="Arial"/>
          <w:i/>
          <w:sz w:val="20"/>
          <w:szCs w:val="22"/>
          <w:lang w:val="en-GB" w:eastAsia="ja-JP"/>
        </w:rPr>
        <w:t>pers comm</w:t>
      </w:r>
      <w:r w:rsidRPr="00C96521">
        <w:rPr>
          <w:rFonts w:eastAsia="MS Mincho" w:cs="Arial"/>
          <w:sz w:val="20"/>
          <w:szCs w:val="22"/>
          <w:lang w:val="en-GB" w:eastAsia="ja-JP"/>
        </w:rPr>
        <w:t xml:space="preserve">); and the decline of wooded semi-natural pastures because of under-grazing in Turkey (Itri Levent Erkol </w:t>
      </w:r>
      <w:r w:rsidRPr="00C96521">
        <w:rPr>
          <w:rFonts w:eastAsia="MS Mincho" w:cs="Arial"/>
          <w:i/>
          <w:sz w:val="20"/>
          <w:szCs w:val="22"/>
          <w:lang w:val="en-GB" w:eastAsia="ja-JP"/>
        </w:rPr>
        <w:t>pers comm</w:t>
      </w:r>
      <w:r w:rsidRPr="00C96521">
        <w:rPr>
          <w:rFonts w:eastAsia="MS Mincho" w:cs="Arial"/>
          <w:sz w:val="20"/>
          <w:szCs w:val="22"/>
          <w:lang w:val="en-GB" w:eastAsia="ja-JP"/>
        </w:rPr>
        <w:t>).</w:t>
      </w:r>
      <w:r w:rsidRPr="00C96521">
        <w:rPr>
          <w:rFonts w:eastAsia="MS Mincho"/>
          <w:sz w:val="20"/>
          <w:szCs w:val="22"/>
          <w:lang w:val="en-GB" w:eastAsia="ja-JP"/>
        </w:rPr>
        <w:t xml:space="preserve"> In the Mediterranean region, increasing frequency and intensity of wildfires may threaten suitable habitat (conifer plantations with low cover of under-storey shrubs) (Dias </w:t>
      </w:r>
      <w:r w:rsidRPr="00C96521">
        <w:rPr>
          <w:rFonts w:eastAsia="MS Mincho"/>
          <w:i/>
          <w:sz w:val="20"/>
          <w:szCs w:val="22"/>
          <w:lang w:val="en-GB" w:eastAsia="ja-JP"/>
        </w:rPr>
        <w:t>et al</w:t>
      </w:r>
      <w:r w:rsidRPr="00C96521">
        <w:rPr>
          <w:rFonts w:eastAsia="MS Mincho"/>
          <w:sz w:val="20"/>
          <w:szCs w:val="22"/>
          <w:lang w:val="en-GB" w:eastAsia="ja-JP"/>
        </w:rPr>
        <w:t xml:space="preserve"> 2013).</w:t>
      </w:r>
    </w:p>
    <w:p w14:paraId="4E4F712A"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58B5298E" w14:textId="77777777" w:rsidR="00C96521" w:rsidRPr="00C96521" w:rsidRDefault="00C96521" w:rsidP="00C96521">
      <w:pPr>
        <w:keepNext/>
        <w:keepLines/>
        <w:widowControl/>
        <w:autoSpaceDE/>
        <w:autoSpaceDN/>
        <w:adjustRightInd/>
        <w:spacing w:before="200" w:line="276" w:lineRule="auto"/>
        <w:outlineLvl w:val="1"/>
        <w:rPr>
          <w:rFonts w:ascii="Cambria" w:eastAsia="MS Gothic" w:hAnsi="Cambria"/>
          <w:b/>
          <w:bCs/>
          <w:color w:val="4F81BD"/>
          <w:sz w:val="26"/>
          <w:szCs w:val="26"/>
          <w:lang w:val="en-GB" w:eastAsia="ja-JP"/>
        </w:rPr>
      </w:pPr>
      <w:bookmarkStart w:id="26" w:name="_Toc478646911"/>
      <w:r w:rsidRPr="00C96521">
        <w:rPr>
          <w:rFonts w:ascii="Cambria" w:eastAsia="MS Gothic" w:hAnsi="Cambria"/>
          <w:b/>
          <w:bCs/>
          <w:color w:val="4F81BD"/>
          <w:sz w:val="26"/>
          <w:szCs w:val="26"/>
          <w:lang w:val="en-GB" w:eastAsia="ja-JP"/>
        </w:rPr>
        <w:t>Illegal killing</w:t>
      </w:r>
      <w:bookmarkEnd w:id="26"/>
    </w:p>
    <w:p w14:paraId="3908097F" w14:textId="77777777" w:rsidR="00C96521" w:rsidRPr="00F64924" w:rsidRDefault="00C96521" w:rsidP="00C96521">
      <w:pPr>
        <w:widowControl/>
        <w:autoSpaceDE/>
        <w:autoSpaceDN/>
        <w:adjustRightInd/>
        <w:spacing w:line="276" w:lineRule="auto"/>
        <w:rPr>
          <w:rFonts w:eastAsia="MS Mincho" w:cs="Arial"/>
          <w:sz w:val="20"/>
          <w:szCs w:val="22"/>
          <w:lang w:val="en-GB" w:eastAsia="ja-JP"/>
        </w:rPr>
      </w:pPr>
    </w:p>
    <w:p w14:paraId="04612FF9"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In the context of this Action Plan, illegal killing is defined as catching, trapping and/or killing outside of the hunting season.</w:t>
      </w:r>
    </w:p>
    <w:p w14:paraId="1F7A06FA"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276A5C0B" w14:textId="5170A754"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Estimates of </w:t>
      </w:r>
      <w:r w:rsidR="000C4731">
        <w:rPr>
          <w:rFonts w:eastAsia="MS Mincho"/>
          <w:sz w:val="20"/>
          <w:szCs w:val="22"/>
          <w:lang w:val="en-GB" w:eastAsia="ja-JP"/>
        </w:rPr>
        <w:t>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 xml:space="preserve">ove </w:t>
      </w:r>
      <w:r w:rsidRPr="00C96521">
        <w:rPr>
          <w:rFonts w:eastAsia="MS Mincho" w:cs="Arial"/>
          <w:sz w:val="20"/>
          <w:szCs w:val="22"/>
          <w:lang w:val="en-GB" w:eastAsia="ja-JP"/>
        </w:rPr>
        <w:t xml:space="preserve">mortality due to illegal activities have proven to be complex and challenging to develop. </w:t>
      </w:r>
      <w:r w:rsidRPr="00C96521">
        <w:rPr>
          <w:rFonts w:eastAsia="MS Mincho"/>
          <w:sz w:val="20"/>
          <w:szCs w:val="22"/>
          <w:lang w:val="en-GB" w:eastAsia="ja-JP"/>
        </w:rPr>
        <w:t xml:space="preserve">In most countries, verifiable numbers are lacking or data on officially disclosed cases of illegal killing are limited. Brochet </w:t>
      </w:r>
      <w:r w:rsidRPr="00C96521">
        <w:rPr>
          <w:rFonts w:eastAsia="MS Mincho"/>
          <w:i/>
          <w:sz w:val="20"/>
          <w:szCs w:val="22"/>
          <w:lang w:val="en-GB" w:eastAsia="ja-JP"/>
        </w:rPr>
        <w:t>et al</w:t>
      </w:r>
      <w:r w:rsidRPr="00C96521">
        <w:rPr>
          <w:rFonts w:eastAsia="MS Mincho"/>
          <w:sz w:val="20"/>
          <w:szCs w:val="22"/>
          <w:lang w:val="en-GB" w:eastAsia="ja-JP"/>
        </w:rPr>
        <w:t xml:space="preserve"> (2016) estimate the number of turtle-doves killed illegally in the Mediterranean at 602,599 individuals annually (336,014-869,183). Libya, </w:t>
      </w:r>
      <w:r w:rsidR="000C4731">
        <w:rPr>
          <w:rFonts w:eastAsia="MS Mincho"/>
          <w:sz w:val="20"/>
          <w:szCs w:val="22"/>
          <w:lang w:val="en-GB" w:eastAsia="ja-JP"/>
        </w:rPr>
        <w:t xml:space="preserve">the </w:t>
      </w:r>
      <w:r w:rsidRPr="00C96521">
        <w:rPr>
          <w:rFonts w:eastAsia="MS Mincho"/>
          <w:sz w:val="20"/>
          <w:szCs w:val="22"/>
          <w:lang w:val="en-GB" w:eastAsia="ja-JP"/>
        </w:rPr>
        <w:t>Syria</w:t>
      </w:r>
      <w:r w:rsidR="000C4731">
        <w:rPr>
          <w:rFonts w:eastAsia="MS Mincho"/>
          <w:sz w:val="20"/>
          <w:szCs w:val="22"/>
          <w:lang w:val="en-GB" w:eastAsia="ja-JP"/>
        </w:rPr>
        <w:t>n Arab Republic</w:t>
      </w:r>
      <w:r w:rsidRPr="00C96521">
        <w:rPr>
          <w:rFonts w:eastAsia="MS Mincho"/>
          <w:sz w:val="20"/>
          <w:szCs w:val="22"/>
          <w:lang w:val="en-GB" w:eastAsia="ja-JP"/>
        </w:rPr>
        <w:t xml:space="preserve"> and Greece were the countries where the largest number of birds were killed each year. </w:t>
      </w:r>
      <w:r w:rsidR="000C4731">
        <w:rPr>
          <w:rFonts w:eastAsia="MS Mincho"/>
          <w:sz w:val="20"/>
          <w:szCs w:val="22"/>
          <w:lang w:val="en-GB" w:eastAsia="ja-JP"/>
        </w:rPr>
        <w:t>The 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ove</w:t>
      </w:r>
      <w:r w:rsidR="000C4731">
        <w:rPr>
          <w:rFonts w:eastAsia="MS Mincho"/>
          <w:sz w:val="20"/>
          <w:szCs w:val="22"/>
          <w:lang w:val="en-GB" w:eastAsia="ja-JP"/>
        </w:rPr>
        <w:t>s</w:t>
      </w:r>
      <w:r w:rsidR="000C4731" w:rsidRPr="00C96521">
        <w:rPr>
          <w:rFonts w:eastAsia="MS Mincho"/>
          <w:sz w:val="20"/>
          <w:szCs w:val="22"/>
          <w:lang w:val="en-GB" w:eastAsia="ja-JP"/>
        </w:rPr>
        <w:t xml:space="preserve"> </w:t>
      </w:r>
      <w:r w:rsidRPr="00C96521">
        <w:rPr>
          <w:rFonts w:eastAsia="MS Mincho" w:cs="Arial"/>
          <w:sz w:val="20"/>
          <w:szCs w:val="22"/>
          <w:lang w:val="en-GB" w:eastAsia="ja-JP"/>
        </w:rPr>
        <w:t xml:space="preserve">is traded legally in significant numbers (for example, as a hunting trophy), but it is also traded illegally in large numbers in Europe (TRAFFIC 2008). </w:t>
      </w:r>
      <w:r w:rsidRPr="00C96521">
        <w:rPr>
          <w:rFonts w:eastAsia="MS Mincho"/>
          <w:sz w:val="20"/>
          <w:szCs w:val="22"/>
          <w:lang w:val="en-GB" w:eastAsia="ja-JP"/>
        </w:rPr>
        <w:t xml:space="preserve">Illegal killing of birds is prevalent on the Ionian Islands of Greece, with an estimated 69,000 </w:t>
      </w:r>
      <w:r w:rsidR="000C4731">
        <w:rPr>
          <w:rFonts w:eastAsia="MS Mincho"/>
          <w:sz w:val="20"/>
          <w:szCs w:val="22"/>
          <w:lang w:val="en-GB" w:eastAsia="ja-JP"/>
        </w:rPr>
        <w:t>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ove</w:t>
      </w:r>
      <w:r w:rsidR="000C4731">
        <w:rPr>
          <w:rFonts w:eastAsia="MS Mincho"/>
          <w:sz w:val="20"/>
          <w:szCs w:val="22"/>
          <w:lang w:val="en-GB" w:eastAsia="ja-JP"/>
        </w:rPr>
        <w:t>s</w:t>
      </w:r>
      <w:r w:rsidR="000C4731" w:rsidRPr="00C96521">
        <w:rPr>
          <w:rFonts w:eastAsia="MS Mincho"/>
          <w:sz w:val="20"/>
          <w:szCs w:val="22"/>
          <w:lang w:val="en-GB" w:eastAsia="ja-JP"/>
        </w:rPr>
        <w:t xml:space="preserve"> </w:t>
      </w:r>
      <w:r w:rsidRPr="00C96521">
        <w:rPr>
          <w:rFonts w:eastAsia="MS Mincho"/>
          <w:sz w:val="20"/>
          <w:szCs w:val="22"/>
          <w:lang w:val="en-GB" w:eastAsia="ja-JP"/>
        </w:rPr>
        <w:t xml:space="preserve">illegally shot every spring (LIPU/SEO/HOS 2015). </w:t>
      </w:r>
      <w:r w:rsidRPr="00C96521">
        <w:rPr>
          <w:rFonts w:eastAsia="MS Mincho" w:cs="Arial"/>
          <w:sz w:val="20"/>
          <w:szCs w:val="22"/>
          <w:lang w:val="en-GB" w:eastAsia="ja-JP"/>
        </w:rPr>
        <w:t xml:space="preserve">The species is illegally killed in Egypt during autumn migration, where an estimated 34,534 </w:t>
      </w:r>
      <w:r w:rsidR="000C4731">
        <w:rPr>
          <w:rFonts w:eastAsia="MS Mincho"/>
          <w:sz w:val="20"/>
          <w:szCs w:val="22"/>
          <w:lang w:val="en-GB" w:eastAsia="ja-JP"/>
        </w:rPr>
        <w:t>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ove</w:t>
      </w:r>
      <w:r w:rsidR="000C4731">
        <w:rPr>
          <w:rFonts w:eastAsia="MS Mincho"/>
          <w:sz w:val="20"/>
          <w:szCs w:val="22"/>
          <w:lang w:val="en-GB" w:eastAsia="ja-JP"/>
        </w:rPr>
        <w:t>s</w:t>
      </w:r>
      <w:r w:rsidR="000C4731" w:rsidRPr="00C96521">
        <w:rPr>
          <w:rFonts w:eastAsia="MS Mincho"/>
          <w:sz w:val="20"/>
          <w:szCs w:val="22"/>
          <w:lang w:val="en-GB" w:eastAsia="ja-JP"/>
        </w:rPr>
        <w:t xml:space="preserve"> </w:t>
      </w:r>
      <w:r w:rsidRPr="00C96521">
        <w:rPr>
          <w:rFonts w:eastAsia="MS Mincho" w:cs="Arial"/>
          <w:sz w:val="20"/>
          <w:szCs w:val="22"/>
          <w:lang w:val="en-GB" w:eastAsia="ja-JP"/>
        </w:rPr>
        <w:t xml:space="preserve">are caught annually along the North Sinai coastline (Eason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2016). Some of these birds may be sold in local markets. </w:t>
      </w:r>
      <w:r w:rsidR="000C4731">
        <w:rPr>
          <w:rFonts w:eastAsia="MS Mincho" w:cs="Arial"/>
          <w:sz w:val="20"/>
          <w:szCs w:val="22"/>
          <w:lang w:val="en-GB" w:eastAsia="ja-JP"/>
        </w:rPr>
        <w:t xml:space="preserve"> </w:t>
      </w:r>
    </w:p>
    <w:p w14:paraId="3659E6D1"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31F8AB14" w14:textId="5F831564"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In Cyprus, hunters illegally put down food to attract </w:t>
      </w:r>
      <w:r w:rsidR="000C4731">
        <w:rPr>
          <w:rFonts w:eastAsia="MS Mincho" w:cs="Arial"/>
          <w:sz w:val="20"/>
          <w:szCs w:val="22"/>
          <w:lang w:val="en-GB" w:eastAsia="ja-JP"/>
        </w:rPr>
        <w:t>W</w:t>
      </w:r>
      <w:r w:rsidRPr="00C96521">
        <w:rPr>
          <w:rFonts w:eastAsia="MS Mincho" w:cs="Arial"/>
          <w:sz w:val="20"/>
          <w:szCs w:val="22"/>
          <w:lang w:val="en-GB" w:eastAsia="ja-JP"/>
        </w:rPr>
        <w:t xml:space="preserve">ood </w:t>
      </w:r>
      <w:r w:rsidR="000C4731">
        <w:rPr>
          <w:rFonts w:eastAsia="MS Mincho" w:cs="Arial"/>
          <w:sz w:val="20"/>
          <w:szCs w:val="22"/>
          <w:lang w:val="en-GB" w:eastAsia="ja-JP"/>
        </w:rPr>
        <w:t>P</w:t>
      </w:r>
      <w:r w:rsidRPr="00C96521">
        <w:rPr>
          <w:rFonts w:eastAsia="MS Mincho" w:cs="Arial"/>
          <w:sz w:val="20"/>
          <w:szCs w:val="22"/>
          <w:lang w:val="en-GB" w:eastAsia="ja-JP"/>
        </w:rPr>
        <w:t>igeon (</w:t>
      </w:r>
      <w:r w:rsidRPr="00C96521">
        <w:rPr>
          <w:rFonts w:eastAsia="MS Mincho" w:cs="Arial"/>
          <w:i/>
          <w:sz w:val="20"/>
          <w:szCs w:val="22"/>
          <w:lang w:val="en-GB" w:eastAsia="ja-JP"/>
        </w:rPr>
        <w:t>Columba palumbus</w:t>
      </w:r>
      <w:r w:rsidRPr="00C96521">
        <w:rPr>
          <w:rFonts w:eastAsia="MS Mincho" w:cs="Arial"/>
          <w:sz w:val="20"/>
          <w:szCs w:val="22"/>
          <w:lang w:val="en-GB" w:eastAsia="ja-JP"/>
        </w:rPr>
        <w:t xml:space="preserve">) and </w:t>
      </w:r>
      <w:r w:rsidR="000C4731">
        <w:rPr>
          <w:rFonts w:eastAsia="MS Mincho"/>
          <w:sz w:val="20"/>
          <w:szCs w:val="22"/>
          <w:lang w:val="en-GB" w:eastAsia="ja-JP"/>
        </w:rPr>
        <w:t>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ove</w:t>
      </w:r>
      <w:r w:rsidRPr="00C96521">
        <w:rPr>
          <w:rFonts w:eastAsia="MS Mincho" w:cs="Arial"/>
          <w:sz w:val="20"/>
          <w:szCs w:val="22"/>
          <w:lang w:val="en-GB" w:eastAsia="ja-JP"/>
        </w:rPr>
        <w:t>, which are then shot in large numbers. As it has not been possible to control this practice to</w:t>
      </w:r>
      <w:r w:rsidR="000C4731">
        <w:rPr>
          <w:rFonts w:eastAsia="MS Mincho" w:cs="Arial"/>
          <w:sz w:val="20"/>
          <w:szCs w:val="22"/>
          <w:lang w:val="en-GB" w:eastAsia="ja-JP"/>
        </w:rPr>
        <w:t xml:space="preserve"> </w:t>
      </w:r>
      <w:r w:rsidRPr="00C96521">
        <w:rPr>
          <w:rFonts w:eastAsia="MS Mincho" w:cs="Arial"/>
          <w:sz w:val="20"/>
          <w:szCs w:val="22"/>
          <w:lang w:val="en-GB" w:eastAsia="ja-JP"/>
        </w:rPr>
        <w:t>date, the legali</w:t>
      </w:r>
      <w:r w:rsidR="000C4731">
        <w:rPr>
          <w:rFonts w:eastAsia="MS Mincho" w:cs="Arial"/>
          <w:sz w:val="20"/>
          <w:szCs w:val="22"/>
          <w:lang w:val="en-GB" w:eastAsia="ja-JP"/>
        </w:rPr>
        <w:t>z</w:t>
      </w:r>
      <w:r w:rsidRPr="00C96521">
        <w:rPr>
          <w:rFonts w:eastAsia="MS Mincho" w:cs="Arial"/>
          <w:sz w:val="20"/>
          <w:szCs w:val="22"/>
          <w:lang w:val="en-GB" w:eastAsia="ja-JP"/>
        </w:rPr>
        <w:t>ation of the practice of ‘feeding’ (τάϊσμα/taisma) has been tabled by the Game and Fauna Service under the proposed amendment of the Hunting Law (Protection and Management of Wild Birds and Game Law Ν152(Ι)/2003) to mitigate the impacts by increasing the geographic spread and reducing the proportion of the populations affected at each site. However, BirdLife Cyprus oppose</w:t>
      </w:r>
      <w:r w:rsidR="000C4731">
        <w:rPr>
          <w:rFonts w:eastAsia="MS Mincho" w:cs="Arial"/>
          <w:sz w:val="20"/>
          <w:szCs w:val="22"/>
          <w:lang w:val="en-GB" w:eastAsia="ja-JP"/>
        </w:rPr>
        <w:t>s</w:t>
      </w:r>
      <w:r w:rsidRPr="00C96521">
        <w:rPr>
          <w:rFonts w:eastAsia="MS Mincho" w:cs="Arial"/>
          <w:sz w:val="20"/>
          <w:szCs w:val="22"/>
          <w:lang w:val="en-GB" w:eastAsia="ja-JP"/>
        </w:rPr>
        <w:t xml:space="preserve"> this legali</w:t>
      </w:r>
      <w:r w:rsidR="000C4731">
        <w:rPr>
          <w:rFonts w:eastAsia="MS Mincho" w:cs="Arial"/>
          <w:sz w:val="20"/>
          <w:szCs w:val="22"/>
          <w:lang w:val="en-GB" w:eastAsia="ja-JP"/>
        </w:rPr>
        <w:t>z</w:t>
      </w:r>
      <w:r w:rsidRPr="00C96521">
        <w:rPr>
          <w:rFonts w:eastAsia="MS Mincho" w:cs="Arial"/>
          <w:sz w:val="20"/>
          <w:szCs w:val="22"/>
          <w:lang w:val="en-GB" w:eastAsia="ja-JP"/>
        </w:rPr>
        <w:t xml:space="preserve">ation (BirdLife Cyprus 2016). </w:t>
      </w:r>
    </w:p>
    <w:p w14:paraId="2BC7FF39"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32970932" w14:textId="43E7134D" w:rsidR="00C96521" w:rsidRPr="00C96521" w:rsidRDefault="00C96521" w:rsidP="00C96521">
      <w:pPr>
        <w:widowControl/>
        <w:autoSpaceDE/>
        <w:autoSpaceDN/>
        <w:adjustRightInd/>
        <w:spacing w:line="276" w:lineRule="auto"/>
        <w:rPr>
          <w:rFonts w:eastAsia="MS Mincho" w:cs="Arial"/>
          <w:color w:val="FF0000"/>
          <w:sz w:val="20"/>
          <w:szCs w:val="22"/>
          <w:lang w:val="en-GB" w:eastAsia="ja-JP"/>
        </w:rPr>
      </w:pPr>
      <w:r w:rsidRPr="00C96521">
        <w:rPr>
          <w:rFonts w:eastAsia="MS Mincho"/>
          <w:sz w:val="20"/>
          <w:szCs w:val="22"/>
          <w:lang w:val="en-GB" w:eastAsia="ja-JP"/>
        </w:rPr>
        <w:t>Work is underway to implement the Tunis Action Plan 2013-2020 for the eradication of illegal killing, trapping and trade of wild birds (Golovkin 2016), and there are some national initiatives. For example, t</w:t>
      </w:r>
      <w:r w:rsidRPr="00C96521">
        <w:rPr>
          <w:rFonts w:eastAsia="MS Mincho" w:cs="Arial"/>
          <w:sz w:val="20"/>
          <w:szCs w:val="22"/>
          <w:lang w:val="en-GB" w:eastAsia="ja-JP"/>
        </w:rPr>
        <w:t xml:space="preserve">he Italian Ministry of the Environment is in the process of </w:t>
      </w:r>
      <w:r w:rsidR="000C4731" w:rsidRPr="00C96521">
        <w:rPr>
          <w:rFonts w:eastAsia="MS Mincho" w:cs="Arial"/>
          <w:sz w:val="20"/>
          <w:szCs w:val="22"/>
          <w:lang w:val="en-GB" w:eastAsia="ja-JP"/>
        </w:rPr>
        <w:t>finali</w:t>
      </w:r>
      <w:r w:rsidR="000C4731">
        <w:rPr>
          <w:rFonts w:eastAsia="MS Mincho" w:cs="Arial"/>
          <w:sz w:val="20"/>
          <w:szCs w:val="22"/>
          <w:lang w:val="en-GB" w:eastAsia="ja-JP"/>
        </w:rPr>
        <w:t>z</w:t>
      </w:r>
      <w:r w:rsidR="000C4731" w:rsidRPr="00C96521">
        <w:rPr>
          <w:rFonts w:eastAsia="MS Mincho" w:cs="Arial"/>
          <w:sz w:val="20"/>
          <w:szCs w:val="22"/>
          <w:lang w:val="en-GB" w:eastAsia="ja-JP"/>
        </w:rPr>
        <w:t xml:space="preserve">ing </w:t>
      </w:r>
      <w:r w:rsidRPr="00C96521">
        <w:rPr>
          <w:rFonts w:eastAsia="MS Mincho" w:cs="Arial"/>
          <w:sz w:val="20"/>
          <w:szCs w:val="22"/>
          <w:lang w:val="en-GB" w:eastAsia="ja-JP"/>
        </w:rPr>
        <w:t>a National Action Plan on Illegal Killing, Trapping and Trade of Wild Birds, which will be a step towards reducing illegal harvesting both during and outside the formal hunting season. However, there is little information from large areas of the species' range, and expert opinion is that illegal take is having a critical impact on the population size of turtle-doves in some regions.</w:t>
      </w:r>
    </w:p>
    <w:p w14:paraId="674894AF"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667CEF63" w14:textId="77777777" w:rsidR="00C96521" w:rsidRPr="00C96521" w:rsidRDefault="00C96521" w:rsidP="00C96521">
      <w:pPr>
        <w:keepNext/>
        <w:keepLines/>
        <w:widowControl/>
        <w:autoSpaceDE/>
        <w:autoSpaceDN/>
        <w:adjustRightInd/>
        <w:spacing w:before="200" w:line="276" w:lineRule="auto"/>
        <w:outlineLvl w:val="1"/>
        <w:rPr>
          <w:rFonts w:ascii="Cambria" w:eastAsia="MS Gothic" w:hAnsi="Cambria"/>
          <w:b/>
          <w:bCs/>
          <w:color w:val="4F81BD"/>
          <w:sz w:val="26"/>
          <w:szCs w:val="26"/>
          <w:lang w:val="en-GB" w:eastAsia="ja-JP"/>
        </w:rPr>
      </w:pPr>
      <w:bookmarkStart w:id="27" w:name="_Toc478646912"/>
      <w:r w:rsidRPr="00C96521">
        <w:rPr>
          <w:rFonts w:ascii="Cambria" w:eastAsia="MS Gothic" w:hAnsi="Cambria"/>
          <w:b/>
          <w:bCs/>
          <w:color w:val="4F81BD"/>
          <w:sz w:val="26"/>
          <w:szCs w:val="26"/>
          <w:lang w:val="en-GB" w:eastAsia="ja-JP"/>
        </w:rPr>
        <w:t>Hunting</w:t>
      </w:r>
      <w:bookmarkEnd w:id="27"/>
    </w:p>
    <w:p w14:paraId="61F8A5CB"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1AFD4E1D" w14:textId="306BDB5C"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cs="Arial"/>
          <w:sz w:val="20"/>
          <w:szCs w:val="22"/>
          <w:lang w:val="en-GB" w:eastAsia="ja-JP"/>
        </w:rPr>
        <w:t xml:space="preserve">Hunting of </w:t>
      </w:r>
      <w:r w:rsidR="000C4731">
        <w:rPr>
          <w:rFonts w:eastAsia="MS Mincho"/>
          <w:sz w:val="20"/>
          <w:szCs w:val="22"/>
          <w:lang w:val="en-GB" w:eastAsia="ja-JP"/>
        </w:rPr>
        <w:t>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ove</w:t>
      </w:r>
      <w:r w:rsidR="000C4731">
        <w:rPr>
          <w:rFonts w:eastAsia="MS Mincho"/>
          <w:sz w:val="20"/>
          <w:szCs w:val="22"/>
          <w:lang w:val="en-GB" w:eastAsia="ja-JP"/>
        </w:rPr>
        <w:t>s</w:t>
      </w:r>
      <w:r w:rsidR="000C4731" w:rsidRPr="00C96521">
        <w:rPr>
          <w:rFonts w:eastAsia="MS Mincho"/>
          <w:sz w:val="20"/>
          <w:szCs w:val="22"/>
          <w:lang w:val="en-GB" w:eastAsia="ja-JP"/>
        </w:rPr>
        <w:t xml:space="preserve"> </w:t>
      </w:r>
      <w:r w:rsidRPr="00C96521">
        <w:rPr>
          <w:rFonts w:eastAsia="MS Mincho" w:cs="Arial"/>
          <w:sz w:val="20"/>
          <w:szCs w:val="22"/>
          <w:lang w:val="en-GB" w:eastAsia="ja-JP"/>
        </w:rPr>
        <w:t xml:space="preserve">is permitted in ten EU Member States (Austria, Bulgaria, Cyprus, France, Greece, Italy, Malta, Portugal, Romania and Spain) </w:t>
      </w:r>
      <w:r w:rsidRPr="00C96521">
        <w:rPr>
          <w:rFonts w:eastAsia="MS Mincho"/>
          <w:sz w:val="20"/>
          <w:szCs w:val="22"/>
          <w:lang w:val="en-GB" w:eastAsia="ja-JP"/>
        </w:rPr>
        <w:t>by Article 7 in relation to Annex II-B of the Birds Directive</w:t>
      </w:r>
      <w:r w:rsidRPr="00C96521">
        <w:rPr>
          <w:rFonts w:eastAsia="MS Mincho" w:cs="Arial"/>
          <w:sz w:val="20"/>
          <w:szCs w:val="22"/>
          <w:lang w:val="en-GB" w:eastAsia="ja-JP"/>
        </w:rPr>
        <w:t xml:space="preserve">. </w:t>
      </w:r>
      <w:r w:rsidRPr="00C96521">
        <w:rPr>
          <w:rFonts w:eastAsia="MS Mincho"/>
          <w:sz w:val="20"/>
          <w:szCs w:val="22"/>
          <w:lang w:val="en-GB" w:eastAsia="ja-JP"/>
        </w:rPr>
        <w:t xml:space="preserve">In these countries, hunting is regulated by national legislation, although each Member State must ensure that the hunting of </w:t>
      </w:r>
      <w:r w:rsidR="000C4731">
        <w:rPr>
          <w:rFonts w:eastAsia="MS Mincho"/>
          <w:sz w:val="20"/>
          <w:szCs w:val="22"/>
          <w:lang w:val="en-GB" w:eastAsia="ja-JP"/>
        </w:rPr>
        <w:t>T</w:t>
      </w:r>
      <w:r w:rsidR="000C4731" w:rsidRPr="00C96521">
        <w:rPr>
          <w:rFonts w:eastAsia="MS Mincho"/>
          <w:sz w:val="20"/>
          <w:szCs w:val="22"/>
          <w:lang w:val="en-GB" w:eastAsia="ja-JP"/>
        </w:rPr>
        <w:t>urtle</w:t>
      </w:r>
      <w:r w:rsidR="000C4731">
        <w:rPr>
          <w:rFonts w:eastAsia="MS Mincho"/>
          <w:sz w:val="20"/>
          <w:szCs w:val="22"/>
          <w:lang w:val="en-GB" w:eastAsia="ja-JP"/>
        </w:rPr>
        <w:t xml:space="preserve"> D</w:t>
      </w:r>
      <w:r w:rsidR="000C4731" w:rsidRPr="00C96521">
        <w:rPr>
          <w:rFonts w:eastAsia="MS Mincho"/>
          <w:sz w:val="20"/>
          <w:szCs w:val="22"/>
          <w:lang w:val="en-GB" w:eastAsia="ja-JP"/>
        </w:rPr>
        <w:t>ove</w:t>
      </w:r>
      <w:r w:rsidR="000C4731">
        <w:rPr>
          <w:rFonts w:eastAsia="MS Mincho"/>
          <w:sz w:val="20"/>
          <w:szCs w:val="22"/>
          <w:lang w:val="en-GB" w:eastAsia="ja-JP"/>
        </w:rPr>
        <w:t>s</w:t>
      </w:r>
      <w:r w:rsidR="000C4731" w:rsidRPr="00C96521">
        <w:rPr>
          <w:rFonts w:eastAsia="MS Mincho"/>
          <w:sz w:val="20"/>
          <w:szCs w:val="22"/>
          <w:lang w:val="en-GB" w:eastAsia="ja-JP"/>
        </w:rPr>
        <w:t xml:space="preserve"> </w:t>
      </w:r>
      <w:r w:rsidRPr="00C96521">
        <w:rPr>
          <w:rFonts w:eastAsia="MS Mincho"/>
          <w:sz w:val="20"/>
          <w:szCs w:val="22"/>
          <w:lang w:val="en-GB" w:eastAsia="ja-JP"/>
        </w:rPr>
        <w:t>does not jeopardi</w:t>
      </w:r>
      <w:r w:rsidR="000C4731">
        <w:rPr>
          <w:rFonts w:eastAsia="MS Mincho"/>
          <w:sz w:val="20"/>
          <w:szCs w:val="22"/>
          <w:lang w:val="en-GB" w:eastAsia="ja-JP"/>
        </w:rPr>
        <w:t>z</w:t>
      </w:r>
      <w:r w:rsidRPr="00C96521">
        <w:rPr>
          <w:rFonts w:eastAsia="MS Mincho"/>
          <w:sz w:val="20"/>
          <w:szCs w:val="22"/>
          <w:lang w:val="en-GB" w:eastAsia="ja-JP"/>
        </w:rPr>
        <w:t>e conservation efforts in their distribution area. Malta further allows another hunting season during the pre-nuptial migration of the species, applied via a derogation from the Birds Directive.</w:t>
      </w:r>
      <w:r w:rsidR="000C4731">
        <w:rPr>
          <w:rFonts w:eastAsia="MS Mincho"/>
          <w:sz w:val="20"/>
          <w:szCs w:val="22"/>
          <w:lang w:val="en-GB" w:eastAsia="ja-JP"/>
        </w:rPr>
        <w:t xml:space="preserve"> </w:t>
      </w:r>
    </w:p>
    <w:p w14:paraId="02AA818F"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62390850" w14:textId="2A43C4C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sz w:val="20"/>
          <w:szCs w:val="22"/>
          <w:lang w:val="en-GB" w:eastAsia="ja-JP"/>
        </w:rPr>
        <w:t>The hunting pressure on the species has been described as generally high by multiple authors (e</w:t>
      </w:r>
      <w:r w:rsidR="000C4731">
        <w:rPr>
          <w:rFonts w:eastAsia="MS Mincho"/>
          <w:sz w:val="20"/>
          <w:szCs w:val="22"/>
          <w:lang w:val="en-GB" w:eastAsia="ja-JP"/>
        </w:rPr>
        <w:t>.</w:t>
      </w:r>
      <w:r w:rsidRPr="00C96521">
        <w:rPr>
          <w:rFonts w:eastAsia="MS Mincho"/>
          <w:sz w:val="20"/>
          <w:szCs w:val="22"/>
          <w:lang w:val="en-GB" w:eastAsia="ja-JP"/>
        </w:rPr>
        <w:t>g</w:t>
      </w:r>
      <w:r w:rsidR="000C4731">
        <w:rPr>
          <w:rFonts w:eastAsia="MS Mincho"/>
          <w:sz w:val="20"/>
          <w:szCs w:val="22"/>
          <w:lang w:val="en-GB" w:eastAsia="ja-JP"/>
        </w:rPr>
        <w:t>.</w:t>
      </w:r>
      <w:r w:rsidRPr="00C96521">
        <w:rPr>
          <w:rFonts w:eastAsia="MS Mincho"/>
          <w:sz w:val="20"/>
          <w:szCs w:val="22"/>
          <w:lang w:val="en-GB" w:eastAsia="ja-JP"/>
        </w:rPr>
        <w:t xml:space="preserve"> between </w:t>
      </w:r>
      <w:r w:rsidR="000C4731">
        <w:rPr>
          <w:rFonts w:eastAsia="MS Mincho"/>
          <w:sz w:val="20"/>
          <w:szCs w:val="22"/>
          <w:lang w:val="en-GB" w:eastAsia="ja-JP"/>
        </w:rPr>
        <w:t>2 million</w:t>
      </w:r>
      <w:r w:rsidR="000C4731" w:rsidRPr="00C96521">
        <w:rPr>
          <w:rFonts w:eastAsia="MS Mincho"/>
          <w:sz w:val="20"/>
          <w:szCs w:val="22"/>
          <w:lang w:val="en-GB" w:eastAsia="ja-JP"/>
        </w:rPr>
        <w:t xml:space="preserve"> </w:t>
      </w:r>
      <w:r w:rsidRPr="00C96521">
        <w:rPr>
          <w:rFonts w:eastAsia="MS Mincho"/>
          <w:sz w:val="20"/>
          <w:szCs w:val="22"/>
          <w:lang w:val="en-GB" w:eastAsia="ja-JP"/>
        </w:rPr>
        <w:t xml:space="preserve">and </w:t>
      </w:r>
      <w:r w:rsidR="000C4731">
        <w:rPr>
          <w:rFonts w:eastAsia="MS Mincho"/>
          <w:sz w:val="20"/>
          <w:szCs w:val="22"/>
          <w:lang w:val="en-GB" w:eastAsia="ja-JP"/>
        </w:rPr>
        <w:t>4</w:t>
      </w:r>
      <w:r w:rsidR="000C4731" w:rsidRPr="00C96521">
        <w:rPr>
          <w:rFonts w:eastAsia="MS Mincho"/>
          <w:sz w:val="20"/>
          <w:szCs w:val="22"/>
          <w:lang w:val="en-GB" w:eastAsia="ja-JP"/>
        </w:rPr>
        <w:t xml:space="preserve"> </w:t>
      </w:r>
      <w:r w:rsidRPr="00C96521">
        <w:rPr>
          <w:rFonts w:eastAsia="MS Mincho"/>
          <w:sz w:val="20"/>
          <w:szCs w:val="22"/>
          <w:lang w:val="en-GB" w:eastAsia="ja-JP"/>
        </w:rPr>
        <w:t xml:space="preserve">million birds shot annually, Boutin </w:t>
      </w:r>
      <w:r w:rsidRPr="00C96521">
        <w:rPr>
          <w:rFonts w:eastAsia="MS Mincho"/>
          <w:i/>
          <w:sz w:val="20"/>
          <w:szCs w:val="22"/>
          <w:lang w:val="en-GB" w:eastAsia="ja-JP"/>
        </w:rPr>
        <w:t>et al</w:t>
      </w:r>
      <w:r w:rsidRPr="00C96521">
        <w:rPr>
          <w:rFonts w:eastAsia="MS Mincho"/>
          <w:sz w:val="20"/>
          <w:szCs w:val="22"/>
          <w:lang w:val="en-GB" w:eastAsia="ja-JP"/>
        </w:rPr>
        <w:t xml:space="preserve">. 2001, </w:t>
      </w:r>
      <w:r w:rsidRPr="00C96521">
        <w:rPr>
          <w:rFonts w:eastAsia="MS Mincho" w:cs="Arial"/>
          <w:sz w:val="20"/>
          <w:szCs w:val="22"/>
          <w:lang w:val="en-GB" w:eastAsia="ja-JP"/>
        </w:rPr>
        <w:t>Hirschfeld and Heyd 2005</w:t>
      </w:r>
      <w:r w:rsidRPr="00C96521">
        <w:rPr>
          <w:rFonts w:eastAsia="MS Mincho"/>
          <w:sz w:val="20"/>
          <w:szCs w:val="22"/>
          <w:lang w:val="en-GB" w:eastAsia="ja-JP"/>
        </w:rPr>
        <w:t xml:space="preserve">), but there are disagreements about the accuracy of estimates for various countries. </w:t>
      </w:r>
      <w:r w:rsidRPr="00C96521">
        <w:rPr>
          <w:rFonts w:eastAsia="MS Mincho" w:cs="Arial"/>
          <w:sz w:val="20"/>
          <w:szCs w:val="22"/>
          <w:lang w:val="en-GB" w:eastAsia="ja-JP"/>
        </w:rPr>
        <w:t xml:space="preserve">Data on hunting bags, particularly where self-reported and not necessarily verified, may be subject to both under- and over-estimation but it is not known to what degree. Some populations may have to cross several countries where the species is huntable before reaching their breeding/passage/wintering grounds. </w:t>
      </w:r>
    </w:p>
    <w:p w14:paraId="4100DC33"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590C7A06"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Table 4 shows the available data on hunting bag statistics provided by the European Federation of Associations for Hunting and Conservation (FACE) and others.</w:t>
      </w:r>
    </w:p>
    <w:p w14:paraId="4EB22ECA"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24B9E9D4"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0B4C39D1" w14:textId="77777777" w:rsidR="00C96521" w:rsidRPr="00C96521" w:rsidRDefault="00C96521" w:rsidP="00C96521">
      <w:pPr>
        <w:widowControl/>
        <w:autoSpaceDE/>
        <w:autoSpaceDN/>
        <w:adjustRightInd/>
        <w:rPr>
          <w:rFonts w:eastAsia="MS Mincho" w:cs="Arial"/>
          <w:i/>
          <w:sz w:val="20"/>
          <w:szCs w:val="20"/>
          <w:lang w:val="en-GB" w:eastAsia="ja-JP"/>
        </w:rPr>
        <w:sectPr w:rsidR="00C96521" w:rsidRPr="00C96521" w:rsidSect="00C96521">
          <w:pgSz w:w="11920" w:h="16840"/>
          <w:pgMar w:top="1276" w:right="1300" w:bottom="920" w:left="1300" w:header="730" w:footer="738" w:gutter="0"/>
          <w:cols w:space="720"/>
          <w:docGrid w:linePitch="299"/>
        </w:sectPr>
      </w:pPr>
    </w:p>
    <w:p w14:paraId="0652CB90" w14:textId="77777777" w:rsidR="00C96521" w:rsidRPr="00C96521" w:rsidRDefault="00C96521" w:rsidP="00C96521">
      <w:pPr>
        <w:widowControl/>
        <w:autoSpaceDE/>
        <w:autoSpaceDN/>
        <w:adjustRightInd/>
        <w:rPr>
          <w:rFonts w:eastAsia="MS Mincho" w:cs="Arial"/>
          <w:i/>
          <w:sz w:val="20"/>
          <w:szCs w:val="20"/>
          <w:lang w:val="en-GB" w:eastAsia="ja-JP"/>
        </w:rPr>
      </w:pPr>
      <w:r w:rsidRPr="00C96521">
        <w:rPr>
          <w:rFonts w:eastAsia="MS Mincho" w:cs="Arial"/>
          <w:i/>
          <w:sz w:val="20"/>
          <w:szCs w:val="20"/>
          <w:lang w:val="en-GB" w:eastAsia="ja-JP"/>
        </w:rPr>
        <w:t xml:space="preserve">Table 4. Turtle-dove bag numbers and protection/hunting details across range states within Europe, Central Asia and Africa. </w:t>
      </w:r>
      <w:r w:rsidRPr="00C96521">
        <w:rPr>
          <w:rFonts w:eastAsia="MS Mincho" w:cs="Arial"/>
          <w:i/>
          <w:sz w:val="20"/>
          <w:szCs w:val="22"/>
          <w:lang w:val="en-GB" w:eastAsia="ja-JP"/>
        </w:rPr>
        <w:t>Countries are only included where information is available.</w:t>
      </w:r>
    </w:p>
    <w:p w14:paraId="3158157A"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tbl>
      <w:tblPr>
        <w:tblStyle w:val="TableGrid"/>
        <w:tblW w:w="5000" w:type="pct"/>
        <w:tblLayout w:type="fixed"/>
        <w:tblLook w:val="04A0" w:firstRow="1" w:lastRow="0" w:firstColumn="1" w:lastColumn="0" w:noHBand="0" w:noVBand="1"/>
      </w:tblPr>
      <w:tblGrid>
        <w:gridCol w:w="2558"/>
        <w:gridCol w:w="1771"/>
        <w:gridCol w:w="10306"/>
      </w:tblGrid>
      <w:tr w:rsidR="00C96521" w:rsidRPr="00965D7D" w14:paraId="155203F0" w14:textId="77777777" w:rsidTr="00C96521">
        <w:trPr>
          <w:tblHeader/>
        </w:trPr>
        <w:tc>
          <w:tcPr>
            <w:tcW w:w="874" w:type="pct"/>
            <w:shd w:val="clear" w:color="auto" w:fill="D9D9D9"/>
          </w:tcPr>
          <w:p w14:paraId="1B3CABB6" w14:textId="77777777" w:rsidR="00C96521" w:rsidRPr="00B70B7A" w:rsidRDefault="00C96521" w:rsidP="00C96521">
            <w:pPr>
              <w:widowControl/>
              <w:autoSpaceDE/>
              <w:autoSpaceDN/>
              <w:adjustRightInd/>
              <w:rPr>
                <w:rFonts w:ascii="Arial" w:hAnsi="Arial" w:cs="Arial"/>
                <w:b/>
                <w:sz w:val="20"/>
                <w:szCs w:val="20"/>
                <w:lang w:val="en-GB"/>
              </w:rPr>
            </w:pPr>
            <w:r w:rsidRPr="00B70B7A">
              <w:rPr>
                <w:rFonts w:ascii="Arial" w:hAnsi="Arial" w:cs="Arial"/>
                <w:b/>
                <w:sz w:val="20"/>
                <w:szCs w:val="20"/>
                <w:lang w:val="en-GB"/>
              </w:rPr>
              <w:t>Country</w:t>
            </w:r>
          </w:p>
        </w:tc>
        <w:tc>
          <w:tcPr>
            <w:tcW w:w="605" w:type="pct"/>
            <w:shd w:val="clear" w:color="auto" w:fill="D9D9D9"/>
          </w:tcPr>
          <w:p w14:paraId="0194160D" w14:textId="77777777" w:rsidR="00C96521" w:rsidRPr="00B70B7A" w:rsidRDefault="00C96521" w:rsidP="00C96521">
            <w:pPr>
              <w:widowControl/>
              <w:autoSpaceDE/>
              <w:autoSpaceDN/>
              <w:adjustRightInd/>
              <w:rPr>
                <w:rFonts w:ascii="Arial" w:hAnsi="Arial" w:cs="Arial"/>
                <w:b/>
                <w:sz w:val="20"/>
                <w:szCs w:val="20"/>
                <w:lang w:val="en-GB"/>
              </w:rPr>
            </w:pPr>
            <w:r w:rsidRPr="00B70B7A">
              <w:rPr>
                <w:rFonts w:ascii="Arial" w:hAnsi="Arial" w:cs="Arial"/>
                <w:b/>
                <w:sz w:val="20"/>
                <w:szCs w:val="20"/>
                <w:lang w:val="en-GB"/>
              </w:rPr>
              <w:t>Birds bagged</w:t>
            </w:r>
          </w:p>
        </w:tc>
        <w:tc>
          <w:tcPr>
            <w:tcW w:w="3521" w:type="pct"/>
            <w:shd w:val="clear" w:color="auto" w:fill="D9D9D9"/>
          </w:tcPr>
          <w:p w14:paraId="291E954A" w14:textId="77777777" w:rsidR="00C96521" w:rsidRPr="00965D7D" w:rsidRDefault="00C96521" w:rsidP="00C96521">
            <w:pPr>
              <w:widowControl/>
              <w:autoSpaceDE/>
              <w:autoSpaceDN/>
              <w:adjustRightInd/>
              <w:rPr>
                <w:rFonts w:ascii="Arial" w:hAnsi="Arial" w:cs="Arial"/>
                <w:b/>
                <w:sz w:val="20"/>
                <w:szCs w:val="20"/>
                <w:lang w:val="en-GB"/>
              </w:rPr>
            </w:pPr>
            <w:r w:rsidRPr="00965D7D">
              <w:rPr>
                <w:rFonts w:ascii="Arial" w:hAnsi="Arial" w:cs="Arial"/>
                <w:b/>
                <w:sz w:val="20"/>
                <w:szCs w:val="20"/>
                <w:lang w:val="en-GB"/>
              </w:rPr>
              <w:t>Protection/hunting details</w:t>
            </w:r>
          </w:p>
        </w:tc>
      </w:tr>
      <w:tr w:rsidR="00C96521" w:rsidRPr="00965D7D" w14:paraId="6FBD80EC" w14:textId="77777777" w:rsidTr="00C96521">
        <w:tc>
          <w:tcPr>
            <w:tcW w:w="874" w:type="pct"/>
            <w:shd w:val="clear" w:color="auto" w:fill="auto"/>
          </w:tcPr>
          <w:p w14:paraId="066DDB2E"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Albania</w:t>
            </w:r>
          </w:p>
        </w:tc>
        <w:tc>
          <w:tcPr>
            <w:tcW w:w="605" w:type="pct"/>
            <w:shd w:val="clear" w:color="auto" w:fill="auto"/>
          </w:tcPr>
          <w:p w14:paraId="3F7E2C65" w14:textId="77777777" w:rsidR="00C96521" w:rsidRPr="00965D7D" w:rsidRDefault="00C96521" w:rsidP="00C96521">
            <w:pPr>
              <w:widowControl/>
              <w:autoSpaceDE/>
              <w:autoSpaceDN/>
              <w:adjustRightInd/>
              <w:rPr>
                <w:rFonts w:ascii="Arial" w:hAnsi="Arial" w:cs="Arial"/>
                <w:sz w:val="20"/>
                <w:szCs w:val="20"/>
                <w:lang w:val="en-GB"/>
              </w:rPr>
            </w:pPr>
          </w:p>
        </w:tc>
        <w:tc>
          <w:tcPr>
            <w:tcW w:w="3521" w:type="pct"/>
          </w:tcPr>
          <w:p w14:paraId="6679F51F" w14:textId="77777777" w:rsidR="00C96521" w:rsidRPr="00965D7D" w:rsidRDefault="00C96521" w:rsidP="00C96521">
            <w:pPr>
              <w:widowControl/>
              <w:autoSpaceDE/>
              <w:autoSpaceDN/>
              <w:adjustRightInd/>
              <w:rPr>
                <w:rFonts w:ascii="Arial" w:hAnsi="Arial" w:cs="Arial"/>
                <w:sz w:val="20"/>
                <w:szCs w:val="20"/>
                <w:lang w:val="en-GB"/>
              </w:rPr>
            </w:pPr>
            <w:r w:rsidRPr="00965D7D">
              <w:rPr>
                <w:rFonts w:ascii="Arial" w:hAnsi="Arial" w:cs="Arial"/>
                <w:color w:val="000000"/>
                <w:sz w:val="20"/>
                <w:szCs w:val="20"/>
                <w:lang w:val="en-GB"/>
              </w:rPr>
              <w:t xml:space="preserve">Complete ban (Brochet </w:t>
            </w:r>
            <w:r w:rsidRPr="00965D7D">
              <w:rPr>
                <w:rFonts w:ascii="Arial" w:hAnsi="Arial" w:cs="Arial"/>
                <w:i/>
                <w:color w:val="000000"/>
                <w:sz w:val="20"/>
                <w:szCs w:val="20"/>
                <w:lang w:val="en-GB"/>
              </w:rPr>
              <w:t>et al</w:t>
            </w:r>
            <w:r w:rsidRPr="00965D7D">
              <w:rPr>
                <w:rFonts w:ascii="Arial" w:hAnsi="Arial" w:cs="Arial"/>
                <w:color w:val="000000"/>
                <w:sz w:val="20"/>
                <w:szCs w:val="20"/>
                <w:lang w:val="en-GB"/>
              </w:rPr>
              <w:t xml:space="preserve"> 2016, Birdlife International 2014a).</w:t>
            </w:r>
          </w:p>
        </w:tc>
      </w:tr>
      <w:tr w:rsidR="00C96521" w:rsidRPr="008C00B8" w14:paraId="500404E0" w14:textId="77777777" w:rsidTr="00C96521">
        <w:tc>
          <w:tcPr>
            <w:tcW w:w="874" w:type="pct"/>
            <w:shd w:val="clear" w:color="auto" w:fill="auto"/>
          </w:tcPr>
          <w:p w14:paraId="5407D5B2"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Algeria</w:t>
            </w:r>
          </w:p>
        </w:tc>
        <w:tc>
          <w:tcPr>
            <w:tcW w:w="605" w:type="pct"/>
            <w:shd w:val="clear" w:color="auto" w:fill="auto"/>
          </w:tcPr>
          <w:p w14:paraId="4B9DE029" w14:textId="77777777" w:rsidR="00C96521" w:rsidRPr="00B70B7A" w:rsidRDefault="00C96521" w:rsidP="00C96521">
            <w:pPr>
              <w:widowControl/>
              <w:autoSpaceDE/>
              <w:autoSpaceDN/>
              <w:adjustRightInd/>
              <w:rPr>
                <w:rFonts w:ascii="Arial" w:hAnsi="Arial" w:cs="Arial"/>
                <w:sz w:val="20"/>
                <w:szCs w:val="20"/>
                <w:lang w:val="en-GB"/>
              </w:rPr>
            </w:pPr>
          </w:p>
        </w:tc>
        <w:tc>
          <w:tcPr>
            <w:tcW w:w="3521" w:type="pct"/>
          </w:tcPr>
          <w:p w14:paraId="02AD5E37" w14:textId="77777777" w:rsidR="00C96521" w:rsidRPr="00B70B7A" w:rsidRDefault="00C96521" w:rsidP="00C96521">
            <w:pPr>
              <w:widowControl/>
              <w:autoSpaceDE/>
              <w:autoSpaceDN/>
              <w:adjustRightInd/>
              <w:rPr>
                <w:rFonts w:ascii="Arial" w:hAnsi="Arial" w:cs="Arial"/>
                <w:color w:val="000000"/>
                <w:sz w:val="20"/>
                <w:szCs w:val="20"/>
                <w:lang w:val="fr-FR"/>
              </w:rPr>
            </w:pPr>
            <w:r w:rsidRPr="00B70B7A">
              <w:rPr>
                <w:rFonts w:ascii="Arial" w:hAnsi="Arial" w:cs="Arial"/>
                <w:color w:val="000000"/>
                <w:sz w:val="20"/>
                <w:szCs w:val="20"/>
                <w:lang w:val="fr-FR"/>
              </w:rPr>
              <w:t xml:space="preserve">Complete ban (Brochet </w:t>
            </w:r>
            <w:r w:rsidRPr="00B70B7A">
              <w:rPr>
                <w:rFonts w:ascii="Arial" w:hAnsi="Arial" w:cs="Arial"/>
                <w:i/>
                <w:color w:val="000000"/>
                <w:sz w:val="20"/>
                <w:szCs w:val="20"/>
                <w:lang w:val="fr-FR"/>
              </w:rPr>
              <w:t>et al</w:t>
            </w:r>
            <w:r w:rsidRPr="00B70B7A">
              <w:rPr>
                <w:rFonts w:ascii="Arial" w:hAnsi="Arial" w:cs="Arial"/>
                <w:color w:val="000000"/>
                <w:sz w:val="20"/>
                <w:szCs w:val="20"/>
                <w:lang w:val="fr-FR"/>
              </w:rPr>
              <w:t xml:space="preserve"> 2016).</w:t>
            </w:r>
          </w:p>
        </w:tc>
      </w:tr>
      <w:tr w:rsidR="00C96521" w:rsidRPr="00B70B7A" w14:paraId="6A58F5C5" w14:textId="77777777" w:rsidTr="00C96521">
        <w:tc>
          <w:tcPr>
            <w:tcW w:w="874" w:type="pct"/>
            <w:shd w:val="clear" w:color="auto" w:fill="auto"/>
          </w:tcPr>
          <w:p w14:paraId="453BD540"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Austria</w:t>
            </w:r>
          </w:p>
          <w:p w14:paraId="2370DADC" w14:textId="77777777" w:rsidR="00C96521" w:rsidRPr="00B70B7A" w:rsidRDefault="00C96521" w:rsidP="00C96521">
            <w:pPr>
              <w:widowControl/>
              <w:autoSpaceDE/>
              <w:autoSpaceDN/>
              <w:adjustRightInd/>
              <w:rPr>
                <w:rFonts w:ascii="Arial" w:hAnsi="Arial" w:cs="Arial"/>
                <w:sz w:val="20"/>
                <w:szCs w:val="20"/>
                <w:lang w:val="en-GB"/>
              </w:rPr>
            </w:pPr>
          </w:p>
        </w:tc>
        <w:tc>
          <w:tcPr>
            <w:tcW w:w="605" w:type="pct"/>
            <w:shd w:val="clear" w:color="auto" w:fill="auto"/>
          </w:tcPr>
          <w:p w14:paraId="3B88DEE6" w14:textId="77777777" w:rsidR="00C96521" w:rsidRPr="00B70B7A" w:rsidRDefault="00C96521" w:rsidP="00C96521">
            <w:pPr>
              <w:widowControl/>
              <w:autoSpaceDE/>
              <w:autoSpaceDN/>
              <w:adjustRightInd/>
              <w:rPr>
                <w:rFonts w:ascii="Arial" w:hAnsi="Arial" w:cs="Arial"/>
                <w:i/>
                <w:sz w:val="20"/>
                <w:szCs w:val="20"/>
                <w:lang w:val="en-GB"/>
              </w:rPr>
            </w:pPr>
            <w:r w:rsidRPr="00B70B7A">
              <w:rPr>
                <w:rFonts w:ascii="Arial" w:hAnsi="Arial" w:cs="Arial"/>
                <w:sz w:val="20"/>
                <w:szCs w:val="20"/>
                <w:lang w:val="en-GB"/>
              </w:rPr>
              <w:t xml:space="preserve">&lt;7,800 </w:t>
            </w:r>
            <w:r w:rsidRPr="00B70B7A">
              <w:rPr>
                <w:rFonts w:ascii="Arial" w:hAnsi="Arial" w:cs="Arial"/>
                <w:i/>
                <w:sz w:val="20"/>
                <w:szCs w:val="20"/>
                <w:lang w:val="en-GB"/>
              </w:rPr>
              <w:t>annually</w:t>
            </w:r>
          </w:p>
        </w:tc>
        <w:tc>
          <w:tcPr>
            <w:tcW w:w="3521" w:type="pct"/>
          </w:tcPr>
          <w:p w14:paraId="0CDBE125" w14:textId="42F07DE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color w:val="000000"/>
                <w:sz w:val="20"/>
                <w:szCs w:val="20"/>
                <w:lang w:val="en-GB"/>
              </w:rPr>
              <w:t xml:space="preserve">Covered by EU Birds Directive. Seasons differ between regions: </w:t>
            </w:r>
            <w:r w:rsidRPr="00B70B7A">
              <w:rPr>
                <w:rFonts w:ascii="Arial" w:hAnsi="Arial" w:cs="Arial"/>
                <w:sz w:val="20"/>
                <w:szCs w:val="20"/>
                <w:lang w:val="en-GB"/>
              </w:rPr>
              <w:t xml:space="preserve">31 Jul to 31 Oct Burgenland, 15 Sep to 31 Jan </w:t>
            </w:r>
            <w:r w:rsidR="00B70B7A" w:rsidRPr="00B70B7A">
              <w:rPr>
                <w:rFonts w:ascii="Arial" w:hAnsi="Arial" w:cs="Arial"/>
                <w:sz w:val="20"/>
                <w:szCs w:val="20"/>
                <w:lang w:val="en-GB"/>
              </w:rPr>
              <w:t>Lower Austria</w:t>
            </w:r>
            <w:r w:rsidRPr="00B70B7A">
              <w:rPr>
                <w:rFonts w:ascii="Arial" w:hAnsi="Arial" w:cs="Arial"/>
                <w:sz w:val="20"/>
                <w:szCs w:val="20"/>
                <w:lang w:val="en-GB"/>
              </w:rPr>
              <w:t xml:space="preserve">, 1 Sep to 10Apr </w:t>
            </w:r>
            <w:r w:rsidR="00B70B7A" w:rsidRPr="00B70B7A">
              <w:rPr>
                <w:rFonts w:ascii="Arial" w:hAnsi="Arial" w:cs="Arial"/>
                <w:sz w:val="20"/>
                <w:szCs w:val="20"/>
                <w:lang w:val="en-GB"/>
              </w:rPr>
              <w:t>Vienna</w:t>
            </w:r>
            <w:r w:rsidRPr="00B70B7A">
              <w:rPr>
                <w:rFonts w:ascii="Arial" w:hAnsi="Arial" w:cs="Arial"/>
                <w:sz w:val="20"/>
                <w:szCs w:val="20"/>
                <w:lang w:val="en-GB"/>
              </w:rPr>
              <w:t xml:space="preserve"> </w:t>
            </w:r>
            <w:r w:rsidRPr="00B70B7A">
              <w:rPr>
                <w:rFonts w:ascii="Arial" w:hAnsi="Arial" w:cs="Arial"/>
                <w:color w:val="000000"/>
                <w:sz w:val="20"/>
                <w:szCs w:val="20"/>
                <w:lang w:val="en-GB"/>
              </w:rPr>
              <w:t>Burgenland and Lower Austria hold about 95% of the national turtle-dove population.  (</w:t>
            </w:r>
            <w:r w:rsidRPr="00B70B7A">
              <w:rPr>
                <w:rFonts w:ascii="Arial" w:hAnsi="Arial" w:cs="Arial"/>
                <w:sz w:val="20"/>
                <w:szCs w:val="20"/>
                <w:lang w:val="en-GB" w:eastAsia="en-GB"/>
              </w:rPr>
              <w:t xml:space="preserve">Zentralstelle Österreichischer Landesjagdverbände </w:t>
            </w:r>
            <w:r w:rsidRPr="00B70B7A">
              <w:rPr>
                <w:rFonts w:ascii="Arial" w:hAnsi="Arial" w:cs="Arial"/>
                <w:i/>
                <w:sz w:val="20"/>
                <w:szCs w:val="20"/>
                <w:lang w:val="en-GB" w:eastAsia="en-GB"/>
              </w:rPr>
              <w:t>pers comm</w:t>
            </w:r>
            <w:r w:rsidRPr="00B70B7A">
              <w:rPr>
                <w:rFonts w:ascii="Arial" w:hAnsi="Arial" w:cs="Arial"/>
                <w:sz w:val="20"/>
                <w:szCs w:val="20"/>
                <w:lang w:val="en-GB" w:eastAsia="en-GB"/>
              </w:rPr>
              <w:t>).</w:t>
            </w:r>
          </w:p>
        </w:tc>
      </w:tr>
      <w:tr w:rsidR="00C96521" w:rsidRPr="00B70B7A" w14:paraId="1BB36A2B" w14:textId="77777777" w:rsidTr="00C96521">
        <w:tc>
          <w:tcPr>
            <w:tcW w:w="874" w:type="pct"/>
            <w:shd w:val="clear" w:color="auto" w:fill="auto"/>
          </w:tcPr>
          <w:p w14:paraId="71D982A5"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Azerbaijan</w:t>
            </w:r>
          </w:p>
        </w:tc>
        <w:tc>
          <w:tcPr>
            <w:tcW w:w="605" w:type="pct"/>
            <w:shd w:val="clear" w:color="auto" w:fill="auto"/>
          </w:tcPr>
          <w:p w14:paraId="4075EC5A" w14:textId="77777777" w:rsidR="00C96521" w:rsidRPr="00B70B7A" w:rsidRDefault="00C96521" w:rsidP="00C96521">
            <w:pPr>
              <w:widowControl/>
              <w:autoSpaceDE/>
              <w:autoSpaceDN/>
              <w:adjustRightInd/>
              <w:rPr>
                <w:rFonts w:ascii="Arial" w:hAnsi="Arial" w:cs="Arial"/>
                <w:sz w:val="20"/>
                <w:szCs w:val="20"/>
                <w:lang w:val="en-GB"/>
              </w:rPr>
            </w:pPr>
          </w:p>
        </w:tc>
        <w:tc>
          <w:tcPr>
            <w:tcW w:w="3521" w:type="pct"/>
          </w:tcPr>
          <w:p w14:paraId="06F90EA4"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No regulation.</w:t>
            </w:r>
          </w:p>
        </w:tc>
      </w:tr>
      <w:tr w:rsidR="00C96521" w:rsidRPr="00B70B7A" w14:paraId="68E722B3" w14:textId="77777777" w:rsidTr="00C96521">
        <w:tc>
          <w:tcPr>
            <w:tcW w:w="874" w:type="pct"/>
            <w:shd w:val="clear" w:color="auto" w:fill="auto"/>
          </w:tcPr>
          <w:p w14:paraId="4CFCBD20"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Belarus</w:t>
            </w:r>
          </w:p>
        </w:tc>
        <w:tc>
          <w:tcPr>
            <w:tcW w:w="605" w:type="pct"/>
            <w:shd w:val="clear" w:color="auto" w:fill="auto"/>
          </w:tcPr>
          <w:p w14:paraId="16F055BC" w14:textId="77777777" w:rsidR="00C96521" w:rsidRPr="00B70B7A" w:rsidRDefault="00C96521" w:rsidP="00C96521">
            <w:pPr>
              <w:widowControl/>
              <w:autoSpaceDE/>
              <w:autoSpaceDN/>
              <w:adjustRightInd/>
              <w:rPr>
                <w:rFonts w:ascii="Arial" w:hAnsi="Arial" w:cs="Arial"/>
                <w:sz w:val="20"/>
                <w:szCs w:val="20"/>
                <w:lang w:val="en-GB"/>
              </w:rPr>
            </w:pPr>
          </w:p>
        </w:tc>
        <w:tc>
          <w:tcPr>
            <w:tcW w:w="3521" w:type="pct"/>
          </w:tcPr>
          <w:p w14:paraId="1D15D05C"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Protected from killing.</w:t>
            </w:r>
          </w:p>
        </w:tc>
      </w:tr>
      <w:tr w:rsidR="00C96521" w:rsidRPr="00B70B7A" w14:paraId="63BB30D9" w14:textId="77777777" w:rsidTr="00C96521">
        <w:tc>
          <w:tcPr>
            <w:tcW w:w="874" w:type="pct"/>
            <w:shd w:val="clear" w:color="auto" w:fill="auto"/>
          </w:tcPr>
          <w:p w14:paraId="062B1F99"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Belgium</w:t>
            </w:r>
          </w:p>
        </w:tc>
        <w:tc>
          <w:tcPr>
            <w:tcW w:w="605" w:type="pct"/>
            <w:shd w:val="clear" w:color="auto" w:fill="auto"/>
          </w:tcPr>
          <w:p w14:paraId="3F67D9A5" w14:textId="77777777" w:rsidR="00C96521" w:rsidRPr="00B70B7A" w:rsidRDefault="00C96521" w:rsidP="00C96521">
            <w:pPr>
              <w:widowControl/>
              <w:autoSpaceDE/>
              <w:autoSpaceDN/>
              <w:adjustRightInd/>
              <w:rPr>
                <w:rFonts w:ascii="Arial" w:hAnsi="Arial" w:cs="Arial"/>
                <w:sz w:val="20"/>
                <w:szCs w:val="20"/>
                <w:lang w:val="en-GB"/>
              </w:rPr>
            </w:pPr>
          </w:p>
        </w:tc>
        <w:tc>
          <w:tcPr>
            <w:tcW w:w="3521" w:type="pct"/>
          </w:tcPr>
          <w:p w14:paraId="0E15571A"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Covered by EU Birds Directive. No hunting.</w:t>
            </w:r>
          </w:p>
        </w:tc>
      </w:tr>
      <w:tr w:rsidR="00C96521" w:rsidRPr="00B70B7A" w14:paraId="61CB283D" w14:textId="77777777" w:rsidTr="00C96521">
        <w:tc>
          <w:tcPr>
            <w:tcW w:w="874" w:type="pct"/>
            <w:shd w:val="clear" w:color="auto" w:fill="auto"/>
          </w:tcPr>
          <w:p w14:paraId="1F4DDBB6"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Bosnia and Herzegovina</w:t>
            </w:r>
          </w:p>
        </w:tc>
        <w:tc>
          <w:tcPr>
            <w:tcW w:w="605" w:type="pct"/>
            <w:shd w:val="clear" w:color="auto" w:fill="auto"/>
          </w:tcPr>
          <w:p w14:paraId="08F297A8" w14:textId="77777777" w:rsidR="00C96521" w:rsidRPr="00B70B7A" w:rsidRDefault="00C96521" w:rsidP="00C96521">
            <w:pPr>
              <w:widowControl/>
              <w:autoSpaceDE/>
              <w:autoSpaceDN/>
              <w:adjustRightInd/>
              <w:rPr>
                <w:rFonts w:ascii="Arial" w:hAnsi="Arial" w:cs="Arial"/>
                <w:sz w:val="20"/>
                <w:szCs w:val="20"/>
                <w:lang w:val="en-GB"/>
              </w:rPr>
            </w:pPr>
          </w:p>
        </w:tc>
        <w:tc>
          <w:tcPr>
            <w:tcW w:w="3521" w:type="pct"/>
          </w:tcPr>
          <w:p w14:paraId="5DB0C6E5" w14:textId="19F20411"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color w:val="000000"/>
                <w:sz w:val="20"/>
                <w:szCs w:val="20"/>
                <w:lang w:val="en-GB"/>
              </w:rPr>
              <w:t>Federation of Bosnia and Herzegovina season from 1 Aug to 31 Dec, and Republika Srpska 1 Aug to 31 Jan (BirdLife International 2014b).</w:t>
            </w:r>
          </w:p>
        </w:tc>
      </w:tr>
      <w:tr w:rsidR="00C96521" w:rsidRPr="00B70B7A" w14:paraId="54C0BE22" w14:textId="77777777" w:rsidTr="00C96521">
        <w:tc>
          <w:tcPr>
            <w:tcW w:w="874" w:type="pct"/>
            <w:shd w:val="clear" w:color="auto" w:fill="auto"/>
          </w:tcPr>
          <w:p w14:paraId="49D39F53"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Bulgaria</w:t>
            </w:r>
          </w:p>
        </w:tc>
        <w:tc>
          <w:tcPr>
            <w:tcW w:w="605" w:type="pct"/>
            <w:shd w:val="clear" w:color="auto" w:fill="auto"/>
          </w:tcPr>
          <w:p w14:paraId="569413F5" w14:textId="77777777" w:rsidR="00C96521" w:rsidRPr="00B70B7A" w:rsidRDefault="00C96521" w:rsidP="00C96521">
            <w:pPr>
              <w:widowControl/>
              <w:autoSpaceDE/>
              <w:autoSpaceDN/>
              <w:adjustRightInd/>
              <w:jc w:val="both"/>
              <w:rPr>
                <w:rFonts w:ascii="Arial" w:hAnsi="Arial" w:cs="Arial"/>
                <w:i/>
                <w:sz w:val="20"/>
                <w:szCs w:val="20"/>
                <w:lang w:val="en-GB"/>
              </w:rPr>
            </w:pPr>
            <w:r w:rsidRPr="00B70B7A">
              <w:rPr>
                <w:rFonts w:ascii="Arial" w:hAnsi="Arial" w:cs="Arial"/>
                <w:sz w:val="20"/>
                <w:szCs w:val="20"/>
                <w:lang w:val="en-GB"/>
              </w:rPr>
              <w:t xml:space="preserve">145,672 </w:t>
            </w:r>
            <w:r w:rsidRPr="00B70B7A">
              <w:rPr>
                <w:rFonts w:ascii="Arial" w:hAnsi="Arial" w:cs="Arial"/>
                <w:i/>
                <w:sz w:val="20"/>
                <w:szCs w:val="20"/>
                <w:lang w:val="en-GB"/>
              </w:rPr>
              <w:t>2014-15</w:t>
            </w:r>
          </w:p>
        </w:tc>
        <w:tc>
          <w:tcPr>
            <w:tcW w:w="3521" w:type="pct"/>
          </w:tcPr>
          <w:p w14:paraId="09CE91EC" w14:textId="3A856C98"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color w:val="000000"/>
                <w:sz w:val="20"/>
                <w:szCs w:val="20"/>
                <w:lang w:val="en-GB"/>
              </w:rPr>
              <w:t>Covered by EU Birds Directive. Second Saturday in Aug to 30 Nov; daily limit of 10 per Bulgarian hunter, and 30 for organi</w:t>
            </w:r>
            <w:r w:rsidR="000C4731" w:rsidRPr="00B70B7A">
              <w:rPr>
                <w:rFonts w:ascii="Arial" w:hAnsi="Arial" w:cs="Arial"/>
                <w:color w:val="000000"/>
                <w:sz w:val="20"/>
                <w:szCs w:val="20"/>
                <w:lang w:val="en-GB"/>
              </w:rPr>
              <w:t>z</w:t>
            </w:r>
            <w:r w:rsidRPr="00B70B7A">
              <w:rPr>
                <w:rFonts w:ascii="Arial" w:hAnsi="Arial" w:cs="Arial"/>
                <w:color w:val="000000"/>
                <w:sz w:val="20"/>
                <w:szCs w:val="20"/>
                <w:lang w:val="en-GB"/>
              </w:rPr>
              <w:t>ed hunting tourism. Hunting statistics are collected by the Executive Forest Agency. (</w:t>
            </w:r>
            <w:r w:rsidRPr="00B70B7A">
              <w:rPr>
                <w:rFonts w:ascii="Arial" w:hAnsi="Arial" w:cs="Arial"/>
                <w:sz w:val="20"/>
                <w:szCs w:val="20"/>
                <w:lang w:val="en-GB"/>
              </w:rPr>
              <w:t xml:space="preserve">Union of Hunters and Anglers of Bulgaria </w:t>
            </w:r>
            <w:r w:rsidRPr="00B70B7A">
              <w:rPr>
                <w:rFonts w:ascii="Arial" w:hAnsi="Arial" w:cs="Arial"/>
                <w:i/>
                <w:sz w:val="20"/>
                <w:szCs w:val="20"/>
                <w:lang w:val="en-GB"/>
              </w:rPr>
              <w:t>pers comm</w:t>
            </w:r>
            <w:r w:rsidRPr="00B70B7A">
              <w:rPr>
                <w:rFonts w:ascii="Arial" w:hAnsi="Arial" w:cs="Arial"/>
                <w:sz w:val="20"/>
                <w:szCs w:val="20"/>
                <w:lang w:val="en-GB"/>
              </w:rPr>
              <w:t>).</w:t>
            </w:r>
          </w:p>
        </w:tc>
      </w:tr>
      <w:tr w:rsidR="00C96521" w:rsidRPr="00B70B7A" w14:paraId="495686E1" w14:textId="77777777" w:rsidTr="00C96521">
        <w:tc>
          <w:tcPr>
            <w:tcW w:w="874" w:type="pct"/>
            <w:shd w:val="clear" w:color="auto" w:fill="auto"/>
          </w:tcPr>
          <w:p w14:paraId="014B0F6C"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Croatia</w:t>
            </w:r>
          </w:p>
        </w:tc>
        <w:tc>
          <w:tcPr>
            <w:tcW w:w="605" w:type="pct"/>
            <w:shd w:val="clear" w:color="auto" w:fill="auto"/>
          </w:tcPr>
          <w:p w14:paraId="379B5962" w14:textId="77777777" w:rsidR="00C96521" w:rsidRPr="00B70B7A" w:rsidRDefault="00C96521" w:rsidP="00C96521">
            <w:pPr>
              <w:widowControl/>
              <w:autoSpaceDE/>
              <w:autoSpaceDN/>
              <w:adjustRightInd/>
              <w:rPr>
                <w:rFonts w:ascii="Arial" w:hAnsi="Arial" w:cs="Arial"/>
                <w:sz w:val="20"/>
                <w:szCs w:val="20"/>
                <w:lang w:val="en-GB"/>
              </w:rPr>
            </w:pPr>
          </w:p>
        </w:tc>
        <w:tc>
          <w:tcPr>
            <w:tcW w:w="3521" w:type="pct"/>
          </w:tcPr>
          <w:p w14:paraId="5DC0D274" w14:textId="77777777" w:rsidR="00C96521" w:rsidRPr="00B70B7A" w:rsidRDefault="00C96521" w:rsidP="00C96521">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Covered by EU Birds Directive. No hunting.</w:t>
            </w:r>
          </w:p>
        </w:tc>
      </w:tr>
      <w:tr w:rsidR="00C96521" w:rsidRPr="00B70B7A" w14:paraId="469DBB26" w14:textId="77777777" w:rsidTr="00C96521">
        <w:tc>
          <w:tcPr>
            <w:tcW w:w="874" w:type="pct"/>
            <w:shd w:val="clear" w:color="auto" w:fill="auto"/>
          </w:tcPr>
          <w:p w14:paraId="17813E4E"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Cyprus</w:t>
            </w:r>
          </w:p>
        </w:tc>
        <w:tc>
          <w:tcPr>
            <w:tcW w:w="605" w:type="pct"/>
            <w:shd w:val="clear" w:color="auto" w:fill="auto"/>
          </w:tcPr>
          <w:p w14:paraId="544004A3" w14:textId="77777777" w:rsidR="00C96521" w:rsidRPr="00B70B7A" w:rsidRDefault="00C96521" w:rsidP="00C96521">
            <w:pPr>
              <w:widowControl/>
              <w:autoSpaceDE/>
              <w:autoSpaceDN/>
              <w:adjustRightInd/>
              <w:rPr>
                <w:rFonts w:ascii="Arial" w:hAnsi="Arial" w:cs="Arial"/>
                <w:i/>
                <w:iCs/>
                <w:color w:val="000000"/>
                <w:sz w:val="20"/>
                <w:szCs w:val="20"/>
                <w:lang w:val="en-GB"/>
              </w:rPr>
            </w:pPr>
            <w:r w:rsidRPr="00B70B7A">
              <w:rPr>
                <w:rFonts w:ascii="Arial" w:hAnsi="Arial" w:cs="Arial"/>
                <w:iCs/>
                <w:color w:val="000000"/>
                <w:sz w:val="20"/>
                <w:szCs w:val="20"/>
                <w:lang w:val="en-GB"/>
              </w:rPr>
              <w:t xml:space="preserve">44,578 </w:t>
            </w:r>
            <w:r w:rsidRPr="00B70B7A">
              <w:rPr>
                <w:rFonts w:ascii="Arial" w:hAnsi="Arial" w:cs="Arial"/>
                <w:i/>
                <w:iCs/>
                <w:color w:val="000000"/>
                <w:sz w:val="20"/>
                <w:szCs w:val="20"/>
                <w:lang w:val="en-GB"/>
              </w:rPr>
              <w:t>2010-11</w:t>
            </w:r>
          </w:p>
          <w:p w14:paraId="36FEB3F0" w14:textId="77777777" w:rsidR="00C96521" w:rsidRPr="00B70B7A" w:rsidRDefault="00C96521" w:rsidP="00C96521">
            <w:pPr>
              <w:widowControl/>
              <w:autoSpaceDE/>
              <w:autoSpaceDN/>
              <w:adjustRightInd/>
              <w:rPr>
                <w:rFonts w:ascii="Arial" w:hAnsi="Arial" w:cs="Arial"/>
                <w:i/>
                <w:iCs/>
                <w:color w:val="000000"/>
                <w:sz w:val="20"/>
                <w:szCs w:val="20"/>
                <w:lang w:val="en-GB"/>
              </w:rPr>
            </w:pPr>
            <w:r w:rsidRPr="00B70B7A">
              <w:rPr>
                <w:rFonts w:ascii="Arial" w:hAnsi="Arial" w:cs="Arial"/>
                <w:iCs/>
                <w:color w:val="000000"/>
                <w:sz w:val="20"/>
                <w:szCs w:val="20"/>
                <w:lang w:val="en-GB"/>
              </w:rPr>
              <w:t xml:space="preserve">55,571 </w:t>
            </w:r>
            <w:r w:rsidRPr="00B70B7A">
              <w:rPr>
                <w:rFonts w:ascii="Arial" w:hAnsi="Arial" w:cs="Arial"/>
                <w:i/>
                <w:iCs/>
                <w:color w:val="000000"/>
                <w:sz w:val="20"/>
                <w:szCs w:val="20"/>
                <w:lang w:val="en-GB"/>
              </w:rPr>
              <w:t>2012-13</w:t>
            </w:r>
          </w:p>
          <w:p w14:paraId="6449C60B" w14:textId="77777777" w:rsidR="00C96521" w:rsidRPr="00B70B7A" w:rsidRDefault="00C96521" w:rsidP="00C96521">
            <w:pPr>
              <w:widowControl/>
              <w:autoSpaceDE/>
              <w:autoSpaceDN/>
              <w:adjustRightInd/>
              <w:rPr>
                <w:rFonts w:ascii="Arial" w:hAnsi="Arial" w:cs="Arial"/>
                <w:i/>
                <w:iCs/>
                <w:color w:val="000000"/>
                <w:sz w:val="20"/>
                <w:szCs w:val="20"/>
                <w:lang w:val="en-GB"/>
              </w:rPr>
            </w:pPr>
            <w:r w:rsidRPr="00B70B7A">
              <w:rPr>
                <w:rFonts w:ascii="Arial" w:hAnsi="Arial" w:cs="Arial"/>
                <w:iCs/>
                <w:color w:val="000000"/>
                <w:sz w:val="20"/>
                <w:szCs w:val="20"/>
                <w:lang w:val="en-GB"/>
              </w:rPr>
              <w:t xml:space="preserve">67,141 </w:t>
            </w:r>
            <w:r w:rsidRPr="00B70B7A">
              <w:rPr>
                <w:rFonts w:ascii="Arial" w:hAnsi="Arial" w:cs="Arial"/>
                <w:i/>
                <w:iCs/>
                <w:color w:val="000000"/>
                <w:sz w:val="20"/>
                <w:szCs w:val="20"/>
                <w:lang w:val="en-GB"/>
              </w:rPr>
              <w:t>2014-15</w:t>
            </w:r>
          </w:p>
          <w:p w14:paraId="7D3F7540" w14:textId="77777777" w:rsidR="00C96521" w:rsidRPr="00B70B7A" w:rsidRDefault="00C96521" w:rsidP="00C96521">
            <w:pPr>
              <w:widowControl/>
              <w:autoSpaceDE/>
              <w:autoSpaceDN/>
              <w:adjustRightInd/>
              <w:rPr>
                <w:rFonts w:ascii="Arial" w:hAnsi="Arial" w:cs="Arial"/>
                <w:i/>
                <w:iCs/>
                <w:color w:val="000000"/>
                <w:sz w:val="20"/>
                <w:szCs w:val="20"/>
                <w:lang w:val="en-GB"/>
              </w:rPr>
            </w:pPr>
            <w:r w:rsidRPr="00B70B7A">
              <w:rPr>
                <w:rFonts w:ascii="Arial" w:hAnsi="Arial" w:cs="Arial"/>
                <w:iCs/>
                <w:color w:val="000000"/>
                <w:sz w:val="20"/>
                <w:szCs w:val="20"/>
                <w:lang w:val="en-GB"/>
              </w:rPr>
              <w:t xml:space="preserve">20,215 </w:t>
            </w:r>
            <w:r w:rsidRPr="00B70B7A">
              <w:rPr>
                <w:rFonts w:ascii="Arial" w:hAnsi="Arial" w:cs="Arial"/>
                <w:i/>
                <w:iCs/>
                <w:color w:val="000000"/>
                <w:sz w:val="20"/>
                <w:szCs w:val="20"/>
                <w:lang w:val="en-GB"/>
              </w:rPr>
              <w:t>2015-16</w:t>
            </w:r>
          </w:p>
        </w:tc>
        <w:tc>
          <w:tcPr>
            <w:tcW w:w="3521" w:type="pct"/>
          </w:tcPr>
          <w:p w14:paraId="06820F9D"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 xml:space="preserve">Covered by EU Birds Directive. </w:t>
            </w:r>
            <w:r w:rsidRPr="00B70B7A">
              <w:rPr>
                <w:rFonts w:ascii="Arial" w:hAnsi="Arial" w:cs="Arial"/>
                <w:iCs/>
                <w:color w:val="000000"/>
                <w:sz w:val="20"/>
                <w:szCs w:val="20"/>
                <w:lang w:val="en-GB"/>
              </w:rPr>
              <w:t>Sundays and Wednesdays only from mid-Aug to early Nov; in some areas (mainly coastal, where migrant birds are located) daily hunting is allowed during this period (</w:t>
            </w:r>
            <w:r w:rsidRPr="00B70B7A">
              <w:rPr>
                <w:rFonts w:ascii="Arial" w:hAnsi="Arial" w:cs="Arial"/>
                <w:sz w:val="20"/>
                <w:szCs w:val="20"/>
                <w:lang w:val="en-GB"/>
              </w:rPr>
              <w:t xml:space="preserve">BirdLife Cyprus </w:t>
            </w:r>
            <w:r w:rsidRPr="00B70B7A">
              <w:rPr>
                <w:rFonts w:ascii="Arial" w:hAnsi="Arial" w:cs="Arial"/>
                <w:i/>
                <w:sz w:val="20"/>
                <w:szCs w:val="20"/>
                <w:lang w:val="en-GB"/>
              </w:rPr>
              <w:t>pers comm</w:t>
            </w:r>
            <w:r w:rsidRPr="00B70B7A">
              <w:rPr>
                <w:rFonts w:ascii="Arial" w:hAnsi="Arial" w:cs="Arial"/>
                <w:sz w:val="20"/>
                <w:szCs w:val="20"/>
                <w:lang w:val="en-GB"/>
              </w:rPr>
              <w:t>, Game and Fauna Service 2016).</w:t>
            </w:r>
          </w:p>
        </w:tc>
      </w:tr>
      <w:tr w:rsidR="00C96521" w:rsidRPr="00B70B7A" w14:paraId="2817C8CE" w14:textId="77777777" w:rsidTr="00C96521">
        <w:tc>
          <w:tcPr>
            <w:tcW w:w="874" w:type="pct"/>
            <w:shd w:val="clear" w:color="auto" w:fill="auto"/>
          </w:tcPr>
          <w:p w14:paraId="2C2174BA"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Czech Republic</w:t>
            </w:r>
          </w:p>
        </w:tc>
        <w:tc>
          <w:tcPr>
            <w:tcW w:w="605" w:type="pct"/>
            <w:shd w:val="clear" w:color="auto" w:fill="auto"/>
          </w:tcPr>
          <w:p w14:paraId="1A87C7D5" w14:textId="77777777" w:rsidR="00C96521" w:rsidRPr="00B70B7A" w:rsidRDefault="00C96521" w:rsidP="00C96521">
            <w:pPr>
              <w:widowControl/>
              <w:autoSpaceDE/>
              <w:autoSpaceDN/>
              <w:adjustRightInd/>
              <w:rPr>
                <w:rFonts w:ascii="Arial" w:hAnsi="Arial" w:cs="Arial"/>
                <w:sz w:val="20"/>
                <w:szCs w:val="20"/>
                <w:lang w:val="en-GB"/>
              </w:rPr>
            </w:pPr>
          </w:p>
        </w:tc>
        <w:tc>
          <w:tcPr>
            <w:tcW w:w="3521" w:type="pct"/>
          </w:tcPr>
          <w:p w14:paraId="6609FC0F"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Covered by EU Birds Directive. No hunting.</w:t>
            </w:r>
          </w:p>
        </w:tc>
      </w:tr>
      <w:tr w:rsidR="00C96521" w:rsidRPr="00B70B7A" w14:paraId="6331CB04" w14:textId="77777777" w:rsidTr="00C96521">
        <w:tc>
          <w:tcPr>
            <w:tcW w:w="874" w:type="pct"/>
            <w:shd w:val="clear" w:color="auto" w:fill="auto"/>
          </w:tcPr>
          <w:p w14:paraId="337F5C41"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Denmark</w:t>
            </w:r>
          </w:p>
        </w:tc>
        <w:tc>
          <w:tcPr>
            <w:tcW w:w="605" w:type="pct"/>
            <w:shd w:val="clear" w:color="auto" w:fill="auto"/>
          </w:tcPr>
          <w:p w14:paraId="38030627" w14:textId="77777777" w:rsidR="00C96521" w:rsidRPr="00B70B7A" w:rsidRDefault="00C96521" w:rsidP="00C96521">
            <w:pPr>
              <w:widowControl/>
              <w:autoSpaceDE/>
              <w:autoSpaceDN/>
              <w:adjustRightInd/>
              <w:rPr>
                <w:rFonts w:ascii="Arial" w:hAnsi="Arial" w:cs="Arial"/>
                <w:sz w:val="20"/>
                <w:szCs w:val="20"/>
                <w:lang w:val="en-GB"/>
              </w:rPr>
            </w:pPr>
          </w:p>
        </w:tc>
        <w:tc>
          <w:tcPr>
            <w:tcW w:w="3521" w:type="pct"/>
          </w:tcPr>
          <w:p w14:paraId="670FC628" w14:textId="52C761CC"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 xml:space="preserve">Covered by EU Birds Directive. Hunting of </w:t>
            </w:r>
            <w:r w:rsidR="000C4731" w:rsidRPr="00B70B7A">
              <w:rPr>
                <w:rFonts w:ascii="Arial" w:hAnsi="Arial" w:cs="Arial"/>
                <w:sz w:val="20"/>
                <w:szCs w:val="20"/>
                <w:lang w:val="en-GB"/>
              </w:rPr>
              <w:t>Turtle Doves</w:t>
            </w:r>
            <w:r w:rsidRPr="00B70B7A">
              <w:rPr>
                <w:rFonts w:ascii="Arial" w:hAnsi="Arial" w:cs="Arial"/>
                <w:sz w:val="20"/>
                <w:szCs w:val="20"/>
                <w:lang w:val="en-GB"/>
              </w:rPr>
              <w:t xml:space="preserve"> is illegal in Denmark, and the </w:t>
            </w:r>
            <w:r w:rsidR="000C4731" w:rsidRPr="00B70B7A">
              <w:rPr>
                <w:rFonts w:ascii="Arial" w:hAnsi="Arial" w:cs="Arial"/>
                <w:sz w:val="20"/>
                <w:szCs w:val="20"/>
                <w:lang w:val="en-GB"/>
              </w:rPr>
              <w:t>C</w:t>
            </w:r>
            <w:r w:rsidRPr="00B70B7A">
              <w:rPr>
                <w:rFonts w:ascii="Arial" w:hAnsi="Arial" w:cs="Arial"/>
                <w:sz w:val="20"/>
                <w:szCs w:val="20"/>
                <w:lang w:val="en-GB"/>
              </w:rPr>
              <w:t>ollared</w:t>
            </w:r>
            <w:r w:rsidR="000C4731" w:rsidRPr="00B70B7A">
              <w:rPr>
                <w:rFonts w:ascii="Arial" w:hAnsi="Arial" w:cs="Arial"/>
                <w:sz w:val="20"/>
                <w:szCs w:val="20"/>
                <w:lang w:val="en-GB"/>
              </w:rPr>
              <w:t xml:space="preserve"> D</w:t>
            </w:r>
            <w:r w:rsidRPr="00B70B7A">
              <w:rPr>
                <w:rFonts w:ascii="Arial" w:hAnsi="Arial" w:cs="Arial"/>
                <w:sz w:val="20"/>
                <w:szCs w:val="20"/>
                <w:lang w:val="en-GB"/>
              </w:rPr>
              <w:t xml:space="preserve">ove season now takes place from 1 Nov to 31 Dec to ensure that there are no cases of misidentification of the species (J Elts </w:t>
            </w:r>
            <w:r w:rsidRPr="00B70B7A">
              <w:rPr>
                <w:rFonts w:ascii="Arial" w:hAnsi="Arial" w:cs="Arial"/>
                <w:i/>
                <w:sz w:val="20"/>
                <w:szCs w:val="20"/>
                <w:lang w:val="en-GB"/>
              </w:rPr>
              <w:t>pers comm</w:t>
            </w:r>
            <w:r w:rsidRPr="00B70B7A">
              <w:rPr>
                <w:rFonts w:ascii="Arial" w:hAnsi="Arial" w:cs="Arial"/>
                <w:sz w:val="20"/>
                <w:szCs w:val="20"/>
                <w:lang w:val="en-GB"/>
              </w:rPr>
              <w:t>).</w:t>
            </w:r>
          </w:p>
        </w:tc>
      </w:tr>
      <w:tr w:rsidR="00C96521" w:rsidRPr="00B70B7A" w14:paraId="211BA423" w14:textId="77777777" w:rsidTr="00C96521">
        <w:tc>
          <w:tcPr>
            <w:tcW w:w="874" w:type="pct"/>
            <w:shd w:val="clear" w:color="auto" w:fill="auto"/>
          </w:tcPr>
          <w:p w14:paraId="0846342B"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Egypt</w:t>
            </w:r>
          </w:p>
        </w:tc>
        <w:tc>
          <w:tcPr>
            <w:tcW w:w="605" w:type="pct"/>
            <w:shd w:val="clear" w:color="auto" w:fill="auto"/>
          </w:tcPr>
          <w:p w14:paraId="084C15B0" w14:textId="77777777" w:rsidR="00C96521" w:rsidRPr="00B70B7A" w:rsidRDefault="00C96521" w:rsidP="00C96521">
            <w:pPr>
              <w:widowControl/>
              <w:autoSpaceDE/>
              <w:autoSpaceDN/>
              <w:adjustRightInd/>
              <w:rPr>
                <w:rFonts w:ascii="Arial" w:hAnsi="Arial" w:cs="Arial"/>
                <w:sz w:val="20"/>
                <w:szCs w:val="20"/>
                <w:lang w:val="en-GB"/>
              </w:rPr>
            </w:pPr>
          </w:p>
        </w:tc>
        <w:tc>
          <w:tcPr>
            <w:tcW w:w="3521" w:type="pct"/>
          </w:tcPr>
          <w:p w14:paraId="69E8C006" w14:textId="38032B18"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color w:val="000000"/>
                <w:sz w:val="20"/>
                <w:szCs w:val="20"/>
                <w:lang w:val="en-GB"/>
              </w:rPr>
              <w:t>2014/2015 season 15 Nov to 31 Mar (BirdLife International 2014c).</w:t>
            </w:r>
          </w:p>
        </w:tc>
      </w:tr>
      <w:tr w:rsidR="00C96521" w:rsidRPr="00B70B7A" w14:paraId="2E3F55A3" w14:textId="77777777" w:rsidTr="00C96521">
        <w:tc>
          <w:tcPr>
            <w:tcW w:w="874" w:type="pct"/>
            <w:shd w:val="clear" w:color="auto" w:fill="auto"/>
          </w:tcPr>
          <w:p w14:paraId="3C749327"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Estonia</w:t>
            </w:r>
          </w:p>
        </w:tc>
        <w:tc>
          <w:tcPr>
            <w:tcW w:w="605" w:type="pct"/>
            <w:shd w:val="clear" w:color="auto" w:fill="auto"/>
          </w:tcPr>
          <w:p w14:paraId="5F3E2119" w14:textId="77777777" w:rsidR="00C96521" w:rsidRPr="00B70B7A" w:rsidRDefault="00C96521" w:rsidP="00C96521">
            <w:pPr>
              <w:widowControl/>
              <w:autoSpaceDE/>
              <w:autoSpaceDN/>
              <w:adjustRightInd/>
              <w:rPr>
                <w:rFonts w:ascii="Arial" w:hAnsi="Arial" w:cs="Arial"/>
                <w:sz w:val="20"/>
                <w:szCs w:val="20"/>
                <w:lang w:val="en-GB"/>
              </w:rPr>
            </w:pPr>
          </w:p>
        </w:tc>
        <w:tc>
          <w:tcPr>
            <w:tcW w:w="3521" w:type="pct"/>
          </w:tcPr>
          <w:p w14:paraId="6D88A56E" w14:textId="77777777" w:rsidR="00C96521" w:rsidRPr="00B70B7A" w:rsidRDefault="00C96521" w:rsidP="00C96521">
            <w:pPr>
              <w:widowControl/>
              <w:autoSpaceDE/>
              <w:autoSpaceDN/>
              <w:adjustRightInd/>
              <w:rPr>
                <w:rFonts w:ascii="Arial" w:hAnsi="Arial" w:cs="Arial"/>
                <w:color w:val="000000"/>
                <w:sz w:val="20"/>
                <w:szCs w:val="20"/>
                <w:lang w:val="en-GB"/>
              </w:rPr>
            </w:pPr>
            <w:r w:rsidRPr="00B70B7A">
              <w:rPr>
                <w:rFonts w:ascii="Arial" w:hAnsi="Arial" w:cs="Arial"/>
                <w:sz w:val="20"/>
                <w:szCs w:val="20"/>
                <w:lang w:val="en-GB"/>
              </w:rPr>
              <w:t>Covered by EU Birds Directive. No hunting.</w:t>
            </w:r>
          </w:p>
        </w:tc>
      </w:tr>
      <w:tr w:rsidR="00C96521" w:rsidRPr="00B70B7A" w14:paraId="734C7A66" w14:textId="77777777" w:rsidTr="00C96521">
        <w:tc>
          <w:tcPr>
            <w:tcW w:w="874" w:type="pct"/>
            <w:shd w:val="clear" w:color="auto" w:fill="auto"/>
          </w:tcPr>
          <w:p w14:paraId="4EC51E9D"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Finland</w:t>
            </w:r>
          </w:p>
        </w:tc>
        <w:tc>
          <w:tcPr>
            <w:tcW w:w="605" w:type="pct"/>
            <w:shd w:val="clear" w:color="auto" w:fill="auto"/>
          </w:tcPr>
          <w:p w14:paraId="7B34430D" w14:textId="77777777" w:rsidR="00C96521" w:rsidRPr="00B70B7A" w:rsidRDefault="00C96521" w:rsidP="00C96521">
            <w:pPr>
              <w:widowControl/>
              <w:autoSpaceDE/>
              <w:autoSpaceDN/>
              <w:adjustRightInd/>
              <w:rPr>
                <w:rFonts w:ascii="Arial" w:hAnsi="Arial" w:cs="Arial"/>
                <w:sz w:val="20"/>
                <w:szCs w:val="20"/>
                <w:lang w:val="en-GB"/>
              </w:rPr>
            </w:pPr>
          </w:p>
        </w:tc>
        <w:tc>
          <w:tcPr>
            <w:tcW w:w="3521" w:type="pct"/>
          </w:tcPr>
          <w:p w14:paraId="1EFD37A5"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Covered by EU Birds Directive. No hunting.</w:t>
            </w:r>
          </w:p>
        </w:tc>
      </w:tr>
      <w:tr w:rsidR="00C96521" w:rsidRPr="00B70B7A" w14:paraId="5DEF5764" w14:textId="77777777" w:rsidTr="00C96521">
        <w:tc>
          <w:tcPr>
            <w:tcW w:w="874" w:type="pct"/>
            <w:shd w:val="clear" w:color="auto" w:fill="auto"/>
          </w:tcPr>
          <w:p w14:paraId="58008381"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France</w:t>
            </w:r>
          </w:p>
        </w:tc>
        <w:tc>
          <w:tcPr>
            <w:tcW w:w="605" w:type="pct"/>
            <w:shd w:val="clear" w:color="auto" w:fill="auto"/>
          </w:tcPr>
          <w:p w14:paraId="26C1CDCC" w14:textId="77777777" w:rsidR="00C96521" w:rsidRPr="00B70B7A" w:rsidRDefault="00C96521" w:rsidP="00C96521">
            <w:pPr>
              <w:widowControl/>
              <w:autoSpaceDE/>
              <w:autoSpaceDN/>
              <w:adjustRightInd/>
              <w:rPr>
                <w:rFonts w:ascii="Arial" w:hAnsi="Arial" w:cs="Arial"/>
                <w:i/>
                <w:sz w:val="20"/>
                <w:szCs w:val="20"/>
                <w:lang w:val="en-GB"/>
              </w:rPr>
            </w:pPr>
            <w:r w:rsidRPr="00B70B7A">
              <w:rPr>
                <w:rFonts w:ascii="Arial" w:hAnsi="Arial" w:cs="Arial"/>
                <w:sz w:val="20"/>
                <w:szCs w:val="20"/>
                <w:lang w:val="en-GB"/>
              </w:rPr>
              <w:t xml:space="preserve">91,704 </w:t>
            </w:r>
            <w:r w:rsidRPr="00B70B7A">
              <w:rPr>
                <w:rFonts w:ascii="Arial" w:hAnsi="Arial" w:cs="Arial"/>
                <w:i/>
                <w:sz w:val="20"/>
                <w:szCs w:val="20"/>
                <w:lang w:val="en-GB"/>
              </w:rPr>
              <w:t>2013-14</w:t>
            </w:r>
          </w:p>
        </w:tc>
        <w:tc>
          <w:tcPr>
            <w:tcW w:w="3521" w:type="pct"/>
          </w:tcPr>
          <w:p w14:paraId="7400CE18" w14:textId="04641AD4"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color w:val="000000"/>
                <w:sz w:val="20"/>
                <w:szCs w:val="20"/>
                <w:lang w:val="en-GB"/>
              </w:rPr>
              <w:t xml:space="preserve">Covered by EU Birds Directive. From the last Saturday in Aug to the second week of Feb. Two </w:t>
            </w:r>
            <w:r w:rsidRPr="00B70B7A">
              <w:rPr>
                <w:rFonts w:ascii="Arial" w:hAnsi="Arial" w:cs="Arial"/>
                <w:i/>
                <w:color w:val="000000"/>
                <w:sz w:val="20"/>
                <w:szCs w:val="20"/>
                <w:lang w:val="en-GB"/>
              </w:rPr>
              <w:t>Départements</w:t>
            </w:r>
            <w:r w:rsidRPr="00B70B7A">
              <w:rPr>
                <w:rFonts w:ascii="Arial" w:hAnsi="Arial" w:cs="Arial"/>
                <w:color w:val="000000"/>
                <w:sz w:val="20"/>
                <w:szCs w:val="20"/>
                <w:lang w:val="en-GB"/>
              </w:rPr>
              <w:t xml:space="preserve"> apply a bag limit: Deux-Sèvres (5 per day), and Charente Maritime (10 per day). </w:t>
            </w:r>
            <w:r w:rsidRPr="00B70B7A">
              <w:rPr>
                <w:rFonts w:ascii="Arial" w:hAnsi="Arial" w:cs="Arial"/>
                <w:color w:val="000000"/>
                <w:sz w:val="20"/>
                <w:szCs w:val="20"/>
                <w:lang w:val="fr-FR"/>
              </w:rPr>
              <w:t xml:space="preserve">Data provided from </w:t>
            </w:r>
            <w:r w:rsidRPr="00B70B7A">
              <w:rPr>
                <w:rFonts w:ascii="Arial" w:hAnsi="Arial" w:cs="Arial"/>
                <w:sz w:val="20"/>
                <w:szCs w:val="20"/>
                <w:lang w:val="fr-FR"/>
              </w:rPr>
              <w:t xml:space="preserve">Enquête Nationale sur les Tableaux de Chasse à Tir (Aubry </w:t>
            </w:r>
            <w:r w:rsidRPr="00B70B7A">
              <w:rPr>
                <w:rFonts w:ascii="Arial" w:hAnsi="Arial" w:cs="Arial"/>
                <w:i/>
                <w:sz w:val="20"/>
                <w:szCs w:val="20"/>
                <w:lang w:val="fr-FR"/>
              </w:rPr>
              <w:t>et al</w:t>
            </w:r>
            <w:r w:rsidRPr="00B70B7A">
              <w:rPr>
                <w:rFonts w:ascii="Arial" w:hAnsi="Arial" w:cs="Arial"/>
                <w:sz w:val="20"/>
                <w:szCs w:val="20"/>
                <w:lang w:val="fr-FR"/>
              </w:rPr>
              <w:t xml:space="preserve"> 2016), the Office National de la Chasse et la Faune Sauvage, and the Fédération Nationale des Chasseurs (2016).</w:t>
            </w:r>
            <w:r w:rsidRPr="00B70B7A">
              <w:rPr>
                <w:rFonts w:ascii="Arial" w:hAnsi="Arial" w:cs="Arial"/>
                <w:color w:val="000000"/>
                <w:sz w:val="20"/>
                <w:szCs w:val="20"/>
                <w:lang w:val="fr-FR"/>
              </w:rPr>
              <w:t xml:space="preserve"> </w:t>
            </w:r>
            <w:r w:rsidRPr="00B70B7A">
              <w:rPr>
                <w:rFonts w:ascii="Arial" w:hAnsi="Arial" w:cs="Arial"/>
                <w:color w:val="000000"/>
                <w:sz w:val="20"/>
                <w:szCs w:val="20"/>
                <w:lang w:val="en-GB"/>
              </w:rPr>
              <w:t xml:space="preserve">Bag size for combined turtle-dove and collared dove in 1974 was estimated at 1,382,000 (+/- 47%) (Chambolle 1986), in 1983-1984 the combined total was 583,000 (557-609,000) excluding hunting in May along the Atlantic flyway (Chambolle 1986), in 1998-1999 bag size for </w:t>
            </w:r>
            <w:r w:rsidR="00B70B7A">
              <w:rPr>
                <w:rFonts w:ascii="Arial" w:hAnsi="Arial" w:cs="Arial"/>
                <w:color w:val="000000"/>
                <w:sz w:val="20"/>
                <w:szCs w:val="20"/>
                <w:lang w:val="en-GB"/>
              </w:rPr>
              <w:t>T</w:t>
            </w:r>
            <w:r w:rsidRPr="00B70B7A">
              <w:rPr>
                <w:rFonts w:ascii="Arial" w:hAnsi="Arial" w:cs="Arial"/>
                <w:color w:val="000000"/>
                <w:sz w:val="20"/>
                <w:szCs w:val="20"/>
                <w:lang w:val="en-GB"/>
              </w:rPr>
              <w:t>urtle</w:t>
            </w:r>
            <w:r w:rsidR="00B70B7A">
              <w:rPr>
                <w:rFonts w:ascii="Arial" w:hAnsi="Arial" w:cs="Arial"/>
                <w:color w:val="000000"/>
                <w:sz w:val="20"/>
                <w:szCs w:val="20"/>
                <w:lang w:val="en-GB"/>
              </w:rPr>
              <w:t xml:space="preserve"> D</w:t>
            </w:r>
            <w:r w:rsidRPr="00B70B7A">
              <w:rPr>
                <w:rFonts w:ascii="Arial" w:hAnsi="Arial" w:cs="Arial"/>
                <w:color w:val="000000"/>
                <w:sz w:val="20"/>
                <w:szCs w:val="20"/>
                <w:lang w:val="en-GB"/>
              </w:rPr>
              <w:t xml:space="preserve">ove only was estimated at 189,300 (+/- 14,000) (Boutin and Tesson 2000), and in 2007-2008 bag size for </w:t>
            </w:r>
            <w:r w:rsidR="00B70B7A">
              <w:rPr>
                <w:rFonts w:ascii="Arial" w:hAnsi="Arial" w:cs="Arial"/>
                <w:color w:val="000000"/>
                <w:sz w:val="20"/>
                <w:szCs w:val="20"/>
                <w:lang w:val="en-GB"/>
              </w:rPr>
              <w:t>T</w:t>
            </w:r>
            <w:r w:rsidRPr="00B70B7A">
              <w:rPr>
                <w:rFonts w:ascii="Arial" w:hAnsi="Arial" w:cs="Arial"/>
                <w:color w:val="000000"/>
                <w:sz w:val="20"/>
                <w:szCs w:val="20"/>
                <w:lang w:val="en-GB"/>
              </w:rPr>
              <w:t>urtle</w:t>
            </w:r>
            <w:r w:rsidR="00B70B7A">
              <w:rPr>
                <w:rFonts w:ascii="Arial" w:hAnsi="Arial" w:cs="Arial"/>
                <w:color w:val="000000"/>
                <w:sz w:val="20"/>
                <w:szCs w:val="20"/>
                <w:lang w:val="en-GB"/>
              </w:rPr>
              <w:t xml:space="preserve"> D</w:t>
            </w:r>
            <w:r w:rsidRPr="00B70B7A">
              <w:rPr>
                <w:rFonts w:ascii="Arial" w:hAnsi="Arial" w:cs="Arial"/>
                <w:color w:val="000000"/>
                <w:sz w:val="20"/>
                <w:szCs w:val="20"/>
                <w:lang w:val="en-GB"/>
              </w:rPr>
              <w:t xml:space="preserve">ove was 60-75,000 (Arnauduc </w:t>
            </w:r>
            <w:r w:rsidRPr="00B70B7A">
              <w:rPr>
                <w:rFonts w:ascii="Arial" w:hAnsi="Arial" w:cs="Arial"/>
                <w:i/>
                <w:color w:val="000000"/>
                <w:sz w:val="20"/>
                <w:szCs w:val="20"/>
                <w:lang w:val="en-GB"/>
              </w:rPr>
              <w:t>et al</w:t>
            </w:r>
            <w:r w:rsidRPr="00B70B7A">
              <w:rPr>
                <w:rFonts w:ascii="Arial" w:hAnsi="Arial" w:cs="Arial"/>
                <w:color w:val="000000"/>
                <w:sz w:val="20"/>
                <w:szCs w:val="20"/>
                <w:lang w:val="en-GB"/>
              </w:rPr>
              <w:t xml:space="preserve"> 2011). Current bag is estimated 45,618-137,789 (Aubry </w:t>
            </w:r>
            <w:r w:rsidRPr="00B70B7A">
              <w:rPr>
                <w:rFonts w:ascii="Arial" w:hAnsi="Arial" w:cs="Arial"/>
                <w:i/>
                <w:color w:val="000000"/>
                <w:sz w:val="20"/>
                <w:szCs w:val="20"/>
                <w:lang w:val="en-GB"/>
              </w:rPr>
              <w:t>et al</w:t>
            </w:r>
            <w:r w:rsidRPr="00B70B7A">
              <w:rPr>
                <w:rFonts w:ascii="Arial" w:hAnsi="Arial" w:cs="Arial"/>
                <w:color w:val="000000"/>
                <w:sz w:val="20"/>
                <w:szCs w:val="20"/>
                <w:lang w:val="en-GB"/>
              </w:rPr>
              <w:t xml:space="preserve"> 2016).</w:t>
            </w:r>
          </w:p>
        </w:tc>
      </w:tr>
      <w:tr w:rsidR="00C96521" w:rsidRPr="00B70B7A" w14:paraId="7BF2F7C8" w14:textId="77777777" w:rsidTr="00C96521">
        <w:tc>
          <w:tcPr>
            <w:tcW w:w="874" w:type="pct"/>
            <w:shd w:val="clear" w:color="auto" w:fill="auto"/>
          </w:tcPr>
          <w:p w14:paraId="41F88E17"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Germany</w:t>
            </w:r>
          </w:p>
        </w:tc>
        <w:tc>
          <w:tcPr>
            <w:tcW w:w="605" w:type="pct"/>
            <w:shd w:val="clear" w:color="auto" w:fill="auto"/>
          </w:tcPr>
          <w:p w14:paraId="776FDE5F" w14:textId="77777777" w:rsidR="00C96521" w:rsidRPr="00B70B7A" w:rsidRDefault="00C96521" w:rsidP="00C96521">
            <w:pPr>
              <w:widowControl/>
              <w:autoSpaceDE/>
              <w:autoSpaceDN/>
              <w:adjustRightInd/>
              <w:rPr>
                <w:rFonts w:ascii="Arial" w:hAnsi="Arial" w:cs="Arial"/>
                <w:iCs/>
                <w:color w:val="000000"/>
                <w:sz w:val="20"/>
                <w:szCs w:val="20"/>
                <w:lang w:val="en-GB"/>
              </w:rPr>
            </w:pPr>
          </w:p>
        </w:tc>
        <w:tc>
          <w:tcPr>
            <w:tcW w:w="3521" w:type="pct"/>
          </w:tcPr>
          <w:p w14:paraId="19B2D06F" w14:textId="174FCDDF"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 xml:space="preserve">Covered by EU Birds Directive. Under EU law, </w:t>
            </w:r>
            <w:r w:rsidR="00173165" w:rsidRPr="00B70B7A">
              <w:rPr>
                <w:rFonts w:ascii="Arial" w:hAnsi="Arial" w:cs="Arial"/>
                <w:sz w:val="20"/>
                <w:szCs w:val="20"/>
                <w:lang w:val="en-GB"/>
              </w:rPr>
              <w:t xml:space="preserve">Turtle Doves </w:t>
            </w:r>
            <w:r w:rsidRPr="00B70B7A">
              <w:rPr>
                <w:rFonts w:ascii="Arial" w:hAnsi="Arial" w:cs="Arial"/>
                <w:sz w:val="20"/>
                <w:szCs w:val="20"/>
                <w:lang w:val="en-GB"/>
              </w:rPr>
              <w:t xml:space="preserve">are not huntable in Germany. However, in the Federal Hunting Law of Germany (1952), all wild species of pigeons and doves are classed as huntable species, while Federal regulation on hunting seasons (1977) stipulates open hunting seasons for only two species of pigeons and dove, not including the </w:t>
            </w:r>
            <w:r w:rsidR="00173165" w:rsidRPr="00B70B7A">
              <w:rPr>
                <w:rFonts w:ascii="Arial" w:hAnsi="Arial" w:cs="Arial"/>
                <w:sz w:val="20"/>
                <w:szCs w:val="20"/>
                <w:lang w:val="en-GB"/>
              </w:rPr>
              <w:t>Turtle Dove</w:t>
            </w:r>
            <w:r w:rsidRPr="00B70B7A">
              <w:rPr>
                <w:rFonts w:ascii="Arial" w:hAnsi="Arial" w:cs="Arial"/>
                <w:sz w:val="20"/>
                <w:szCs w:val="20"/>
                <w:lang w:val="en-GB"/>
              </w:rPr>
              <w:t xml:space="preserve">. Nationally the </w:t>
            </w:r>
            <w:r w:rsidR="00173165" w:rsidRPr="00B70B7A">
              <w:rPr>
                <w:rFonts w:ascii="Arial" w:hAnsi="Arial" w:cs="Arial"/>
                <w:sz w:val="20"/>
                <w:szCs w:val="20"/>
                <w:lang w:val="en-GB"/>
              </w:rPr>
              <w:t>Turtle Dove</w:t>
            </w:r>
            <w:r w:rsidR="00173165" w:rsidRPr="00B70B7A" w:rsidDel="00173165">
              <w:rPr>
                <w:rFonts w:ascii="Arial" w:hAnsi="Arial" w:cs="Arial"/>
                <w:sz w:val="20"/>
                <w:szCs w:val="20"/>
                <w:lang w:val="en-GB"/>
              </w:rPr>
              <w:t xml:space="preserve"> </w:t>
            </w:r>
            <w:r w:rsidRPr="00B70B7A">
              <w:rPr>
                <w:rFonts w:ascii="Arial" w:hAnsi="Arial" w:cs="Arial"/>
                <w:sz w:val="20"/>
                <w:szCs w:val="20"/>
                <w:lang w:val="en-GB"/>
              </w:rPr>
              <w:t xml:space="preserve">in Germany is formally a huntable species, but has no open hunting season. In addition, regional hunting legislation supersedes Federal legislation if it is newer, which is the case in several regions (Länder). However, in none of these does the </w:t>
            </w:r>
            <w:r w:rsidR="00173165" w:rsidRPr="00B70B7A">
              <w:rPr>
                <w:rFonts w:ascii="Arial" w:hAnsi="Arial" w:cs="Arial"/>
                <w:sz w:val="20"/>
                <w:szCs w:val="20"/>
                <w:lang w:val="en-GB"/>
              </w:rPr>
              <w:t>Turtle Dove</w:t>
            </w:r>
            <w:r w:rsidR="00173165" w:rsidRPr="00B70B7A" w:rsidDel="00173165">
              <w:rPr>
                <w:rFonts w:ascii="Arial" w:hAnsi="Arial" w:cs="Arial"/>
                <w:sz w:val="20"/>
                <w:szCs w:val="20"/>
                <w:lang w:val="en-GB"/>
              </w:rPr>
              <w:t xml:space="preserve"> </w:t>
            </w:r>
            <w:r w:rsidRPr="00B70B7A">
              <w:rPr>
                <w:rFonts w:ascii="Arial" w:hAnsi="Arial" w:cs="Arial"/>
                <w:sz w:val="20"/>
                <w:szCs w:val="20"/>
                <w:lang w:val="en-GB"/>
              </w:rPr>
              <w:t>have an open hunting season.</w:t>
            </w:r>
          </w:p>
        </w:tc>
      </w:tr>
      <w:tr w:rsidR="00C96521" w:rsidRPr="00B70B7A" w14:paraId="778E2266" w14:textId="77777777" w:rsidTr="00C96521">
        <w:tc>
          <w:tcPr>
            <w:tcW w:w="874" w:type="pct"/>
            <w:shd w:val="clear" w:color="auto" w:fill="auto"/>
          </w:tcPr>
          <w:p w14:paraId="33189C1B"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Georgia</w:t>
            </w:r>
          </w:p>
        </w:tc>
        <w:tc>
          <w:tcPr>
            <w:tcW w:w="605" w:type="pct"/>
            <w:shd w:val="clear" w:color="auto" w:fill="auto"/>
          </w:tcPr>
          <w:p w14:paraId="522999BD" w14:textId="77777777" w:rsidR="00C96521" w:rsidRPr="00B70B7A" w:rsidRDefault="00C96521" w:rsidP="00C96521">
            <w:pPr>
              <w:widowControl/>
              <w:autoSpaceDE/>
              <w:autoSpaceDN/>
              <w:adjustRightInd/>
              <w:rPr>
                <w:rFonts w:ascii="Arial" w:hAnsi="Arial" w:cs="Arial"/>
                <w:iCs/>
                <w:color w:val="000000"/>
                <w:sz w:val="20"/>
                <w:szCs w:val="20"/>
                <w:lang w:val="en-GB"/>
              </w:rPr>
            </w:pPr>
          </w:p>
        </w:tc>
        <w:tc>
          <w:tcPr>
            <w:tcW w:w="3521" w:type="pct"/>
          </w:tcPr>
          <w:p w14:paraId="20FBD103" w14:textId="40F74F0A"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Annual bag between 1966 and 1970 was estimated to be 19-60,000 birds (Rouxel 2000). The season runs from 15 Aug to 15 Feb, with a limit of 10 turtle-doves per hunter per day (Agenda.ge 2015).</w:t>
            </w:r>
          </w:p>
        </w:tc>
      </w:tr>
      <w:tr w:rsidR="00C96521" w:rsidRPr="00B70B7A" w14:paraId="30FA5FFD" w14:textId="77777777" w:rsidTr="00C96521">
        <w:tc>
          <w:tcPr>
            <w:tcW w:w="874" w:type="pct"/>
            <w:shd w:val="clear" w:color="auto" w:fill="auto"/>
          </w:tcPr>
          <w:p w14:paraId="22CA99BE"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Greece</w:t>
            </w:r>
          </w:p>
          <w:p w14:paraId="5178DD12" w14:textId="77777777" w:rsidR="00C96521" w:rsidRPr="00B70B7A" w:rsidRDefault="00C96521" w:rsidP="00C96521">
            <w:pPr>
              <w:widowControl/>
              <w:autoSpaceDE/>
              <w:autoSpaceDN/>
              <w:adjustRightInd/>
              <w:rPr>
                <w:rFonts w:ascii="Arial" w:hAnsi="Arial" w:cs="Arial"/>
                <w:sz w:val="20"/>
                <w:szCs w:val="20"/>
                <w:lang w:val="en-GB"/>
              </w:rPr>
            </w:pPr>
          </w:p>
          <w:p w14:paraId="24C5ED95" w14:textId="77777777" w:rsidR="00C96521" w:rsidRPr="00B70B7A" w:rsidRDefault="00C96521" w:rsidP="00C96521">
            <w:pPr>
              <w:widowControl/>
              <w:autoSpaceDE/>
              <w:autoSpaceDN/>
              <w:adjustRightInd/>
              <w:rPr>
                <w:rFonts w:ascii="Arial" w:hAnsi="Arial" w:cs="Arial"/>
                <w:sz w:val="20"/>
                <w:szCs w:val="20"/>
                <w:lang w:val="en-GB"/>
              </w:rPr>
            </w:pPr>
          </w:p>
        </w:tc>
        <w:tc>
          <w:tcPr>
            <w:tcW w:w="605" w:type="pct"/>
            <w:shd w:val="clear" w:color="auto" w:fill="auto"/>
          </w:tcPr>
          <w:p w14:paraId="58383223" w14:textId="77777777" w:rsidR="00C96521" w:rsidRPr="00B70B7A" w:rsidRDefault="00C96521" w:rsidP="00C96521">
            <w:pPr>
              <w:widowControl/>
              <w:autoSpaceDE/>
              <w:autoSpaceDN/>
              <w:adjustRightInd/>
              <w:rPr>
                <w:rFonts w:ascii="Arial" w:hAnsi="Arial" w:cs="Arial"/>
                <w:i/>
                <w:iCs/>
                <w:color w:val="000000"/>
                <w:sz w:val="20"/>
                <w:szCs w:val="20"/>
                <w:lang w:val="en-GB"/>
              </w:rPr>
            </w:pPr>
            <w:r w:rsidRPr="00B70B7A">
              <w:rPr>
                <w:rFonts w:ascii="Arial" w:hAnsi="Arial" w:cs="Arial"/>
                <w:iCs/>
                <w:color w:val="000000"/>
                <w:sz w:val="20"/>
                <w:szCs w:val="20"/>
                <w:lang w:val="en-GB"/>
              </w:rPr>
              <w:t xml:space="preserve">300-600,000 </w:t>
            </w:r>
            <w:r w:rsidRPr="00B70B7A">
              <w:rPr>
                <w:rFonts w:ascii="Arial" w:hAnsi="Arial" w:cs="Arial"/>
                <w:i/>
                <w:iCs/>
                <w:color w:val="000000"/>
                <w:sz w:val="20"/>
                <w:szCs w:val="20"/>
                <w:lang w:val="en-GB"/>
              </w:rPr>
              <w:t>annually</w:t>
            </w:r>
          </w:p>
        </w:tc>
        <w:tc>
          <w:tcPr>
            <w:tcW w:w="3521" w:type="pct"/>
          </w:tcPr>
          <w:p w14:paraId="7EE84DB7" w14:textId="169995BD"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Covered by EU Birds Directive. Season 20 Aug to 14 Sep within “passage zones of migrating birds” (less than 15% of the overall permitted hunting areas).</w:t>
            </w:r>
            <w:r w:rsidRPr="00B70B7A">
              <w:rPr>
                <w:rFonts w:ascii="Arial" w:hAnsi="Arial" w:cs="Arial"/>
                <w:color w:val="000000"/>
                <w:sz w:val="20"/>
                <w:szCs w:val="20"/>
                <w:shd w:val="clear" w:color="auto" w:fill="FFFFFF"/>
                <w:lang w:val="en-GB"/>
              </w:rPr>
              <w:t xml:space="preserve"> </w:t>
            </w:r>
            <w:r w:rsidRPr="00B70B7A">
              <w:rPr>
                <w:rFonts w:ascii="Arial" w:hAnsi="Arial" w:cs="Arial"/>
                <w:color w:val="000000"/>
                <w:sz w:val="20"/>
                <w:szCs w:val="20"/>
                <w:lang w:val="en-GB"/>
              </w:rPr>
              <w:t xml:space="preserve">Season 15 Sep to 20 Feb for licensed hunters with shotguns, during daylight hours, and in all areas apart from those designated as No Hunting Areas. Daily limit of 12 </w:t>
            </w:r>
            <w:r w:rsidR="00173165" w:rsidRPr="00B70B7A">
              <w:rPr>
                <w:rFonts w:ascii="Arial" w:hAnsi="Arial" w:cs="Arial"/>
                <w:color w:val="000000"/>
                <w:sz w:val="20"/>
                <w:szCs w:val="20"/>
                <w:lang w:val="en-GB"/>
              </w:rPr>
              <w:t>T</w:t>
            </w:r>
            <w:r w:rsidRPr="00B70B7A">
              <w:rPr>
                <w:rFonts w:ascii="Arial" w:hAnsi="Arial" w:cs="Arial"/>
                <w:color w:val="000000"/>
                <w:sz w:val="20"/>
                <w:szCs w:val="20"/>
                <w:lang w:val="en-GB"/>
              </w:rPr>
              <w:t>urtle</w:t>
            </w:r>
            <w:r w:rsidR="00173165" w:rsidRPr="00B70B7A">
              <w:rPr>
                <w:rFonts w:ascii="Arial" w:hAnsi="Arial" w:cs="Arial"/>
                <w:color w:val="000000"/>
                <w:sz w:val="20"/>
                <w:szCs w:val="20"/>
                <w:lang w:val="en-GB"/>
              </w:rPr>
              <w:t>D</w:t>
            </w:r>
            <w:r w:rsidRPr="00B70B7A">
              <w:rPr>
                <w:rFonts w:ascii="Arial" w:hAnsi="Arial" w:cs="Arial"/>
                <w:color w:val="000000"/>
                <w:sz w:val="20"/>
                <w:szCs w:val="20"/>
                <w:lang w:val="en-GB"/>
              </w:rPr>
              <w:t>oves per hunter. The season and the quota system are officially approved each year by the Government, after a report provided by the Hunters</w:t>
            </w:r>
            <w:r w:rsidR="00173165" w:rsidRPr="00B70B7A">
              <w:rPr>
                <w:rFonts w:ascii="Arial" w:hAnsi="Arial" w:cs="Arial"/>
                <w:color w:val="000000"/>
                <w:sz w:val="20"/>
                <w:szCs w:val="20"/>
                <w:lang w:val="en-GB"/>
              </w:rPr>
              <w:t>’</w:t>
            </w:r>
            <w:r w:rsidRPr="00B70B7A">
              <w:rPr>
                <w:rFonts w:ascii="Arial" w:hAnsi="Arial" w:cs="Arial"/>
                <w:color w:val="000000"/>
                <w:sz w:val="20"/>
                <w:szCs w:val="20"/>
                <w:lang w:val="en-GB"/>
              </w:rPr>
              <w:t xml:space="preserve"> Confederation and compiled by Greek Universities</w:t>
            </w:r>
            <w:r w:rsidRPr="00B70B7A">
              <w:rPr>
                <w:rFonts w:ascii="Arial" w:hAnsi="Arial" w:cs="Arial"/>
                <w:sz w:val="20"/>
                <w:szCs w:val="20"/>
                <w:lang w:val="en-GB"/>
              </w:rPr>
              <w:t xml:space="preserve"> (Hellenic Hunters’ Confederation </w:t>
            </w:r>
            <w:r w:rsidRPr="00B70B7A">
              <w:rPr>
                <w:rFonts w:ascii="Arial" w:hAnsi="Arial" w:cs="Arial"/>
                <w:i/>
                <w:sz w:val="20"/>
                <w:szCs w:val="20"/>
                <w:lang w:val="en-GB"/>
              </w:rPr>
              <w:t>pers comm</w:t>
            </w:r>
            <w:r w:rsidRPr="00B70B7A">
              <w:rPr>
                <w:rFonts w:ascii="Arial" w:hAnsi="Arial" w:cs="Arial"/>
                <w:sz w:val="20"/>
                <w:szCs w:val="20"/>
                <w:lang w:val="en-GB"/>
              </w:rPr>
              <w:t>).</w:t>
            </w:r>
          </w:p>
        </w:tc>
      </w:tr>
      <w:tr w:rsidR="00C96521" w:rsidRPr="00B70B7A" w14:paraId="5C971BBA" w14:textId="77777777" w:rsidTr="00C96521">
        <w:tc>
          <w:tcPr>
            <w:tcW w:w="874" w:type="pct"/>
            <w:shd w:val="clear" w:color="auto" w:fill="auto"/>
          </w:tcPr>
          <w:p w14:paraId="10414627"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Guinea-Bissau</w:t>
            </w:r>
          </w:p>
        </w:tc>
        <w:tc>
          <w:tcPr>
            <w:tcW w:w="605" w:type="pct"/>
            <w:shd w:val="clear" w:color="auto" w:fill="auto"/>
          </w:tcPr>
          <w:p w14:paraId="332D0675" w14:textId="77777777" w:rsidR="00C96521" w:rsidRPr="00B70B7A" w:rsidRDefault="00C96521" w:rsidP="00C96521">
            <w:pPr>
              <w:widowControl/>
              <w:autoSpaceDE/>
              <w:autoSpaceDN/>
              <w:adjustRightInd/>
              <w:rPr>
                <w:rFonts w:ascii="Arial" w:hAnsi="Arial" w:cs="Arial"/>
                <w:iCs/>
                <w:color w:val="000000"/>
                <w:sz w:val="20"/>
                <w:szCs w:val="20"/>
                <w:lang w:val="en-GB"/>
              </w:rPr>
            </w:pPr>
          </w:p>
        </w:tc>
        <w:tc>
          <w:tcPr>
            <w:tcW w:w="3521" w:type="pct"/>
          </w:tcPr>
          <w:p w14:paraId="615D8A7F" w14:textId="5D76C5E1"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 xml:space="preserve">Hunting of </w:t>
            </w:r>
            <w:r w:rsidR="00173165" w:rsidRPr="00B70B7A">
              <w:rPr>
                <w:rFonts w:ascii="Arial" w:hAnsi="Arial" w:cs="Arial"/>
                <w:sz w:val="20"/>
                <w:szCs w:val="20"/>
                <w:lang w:val="en-GB"/>
              </w:rPr>
              <w:t>Turtle Doves</w:t>
            </w:r>
            <w:r w:rsidR="00173165" w:rsidRPr="00B70B7A" w:rsidDel="00173165">
              <w:rPr>
                <w:rFonts w:ascii="Arial" w:hAnsi="Arial" w:cs="Arial"/>
                <w:sz w:val="20"/>
                <w:szCs w:val="20"/>
                <w:lang w:val="en-GB"/>
              </w:rPr>
              <w:t xml:space="preserve"> </w:t>
            </w:r>
            <w:r w:rsidRPr="00B70B7A">
              <w:rPr>
                <w:rFonts w:ascii="Arial" w:hAnsi="Arial" w:cs="Arial"/>
                <w:sz w:val="20"/>
                <w:szCs w:val="20"/>
                <w:lang w:val="en-GB"/>
              </w:rPr>
              <w:t xml:space="preserve">at their roost sites and drinking pools is commonplace and is facilitated by European travel agencies (Tucker 1996, Carvalho and Dias 2003, Zwarts </w:t>
            </w:r>
            <w:r w:rsidRPr="00B70B7A">
              <w:rPr>
                <w:rFonts w:ascii="Arial" w:hAnsi="Arial" w:cs="Arial"/>
                <w:i/>
                <w:sz w:val="20"/>
                <w:szCs w:val="20"/>
                <w:lang w:val="en-GB"/>
              </w:rPr>
              <w:t>et al</w:t>
            </w:r>
            <w:r w:rsidRPr="00B70B7A">
              <w:rPr>
                <w:rFonts w:ascii="Arial" w:hAnsi="Arial" w:cs="Arial"/>
                <w:sz w:val="20"/>
                <w:szCs w:val="20"/>
                <w:lang w:val="en-GB"/>
              </w:rPr>
              <w:t xml:space="preserve"> 2009, Raffael Ayé </w:t>
            </w:r>
            <w:r w:rsidRPr="00B70B7A">
              <w:rPr>
                <w:rFonts w:ascii="Arial" w:hAnsi="Arial" w:cs="Arial"/>
                <w:i/>
                <w:sz w:val="20"/>
                <w:szCs w:val="20"/>
                <w:lang w:val="en-GB"/>
              </w:rPr>
              <w:t>pers comm</w:t>
            </w:r>
            <w:r w:rsidRPr="00B70B7A">
              <w:rPr>
                <w:rFonts w:ascii="Arial" w:hAnsi="Arial" w:cs="Arial"/>
                <w:sz w:val="20"/>
                <w:szCs w:val="20"/>
                <w:lang w:val="en-GB"/>
              </w:rPr>
              <w:t>).</w:t>
            </w:r>
          </w:p>
        </w:tc>
      </w:tr>
      <w:tr w:rsidR="00C96521" w:rsidRPr="00B70B7A" w14:paraId="1BA2D3D9" w14:textId="77777777" w:rsidTr="00C96521">
        <w:tc>
          <w:tcPr>
            <w:tcW w:w="874" w:type="pct"/>
            <w:shd w:val="clear" w:color="auto" w:fill="auto"/>
          </w:tcPr>
          <w:p w14:paraId="2C0F967F"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Hungary</w:t>
            </w:r>
          </w:p>
        </w:tc>
        <w:tc>
          <w:tcPr>
            <w:tcW w:w="605" w:type="pct"/>
            <w:shd w:val="clear" w:color="auto" w:fill="auto"/>
          </w:tcPr>
          <w:p w14:paraId="6D0D5D80" w14:textId="77777777" w:rsidR="00C96521" w:rsidRPr="00B70B7A" w:rsidRDefault="00C96521" w:rsidP="00C96521">
            <w:pPr>
              <w:widowControl/>
              <w:autoSpaceDE/>
              <w:autoSpaceDN/>
              <w:adjustRightInd/>
              <w:rPr>
                <w:rFonts w:ascii="Arial" w:hAnsi="Arial" w:cs="Arial"/>
                <w:iCs/>
                <w:color w:val="000000"/>
                <w:sz w:val="20"/>
                <w:szCs w:val="20"/>
                <w:lang w:val="en-GB"/>
              </w:rPr>
            </w:pPr>
          </w:p>
        </w:tc>
        <w:tc>
          <w:tcPr>
            <w:tcW w:w="3521" w:type="pct"/>
          </w:tcPr>
          <w:p w14:paraId="34C8EFC3" w14:textId="77777777" w:rsidR="00C96521" w:rsidRPr="00B70B7A" w:rsidRDefault="00C96521" w:rsidP="00C96521">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Covered by EU Birds Directive, and nationally protected since 1971. Not hunted.</w:t>
            </w:r>
          </w:p>
        </w:tc>
      </w:tr>
      <w:tr w:rsidR="00C96521" w:rsidRPr="00B70B7A" w14:paraId="6DF299EE" w14:textId="77777777" w:rsidTr="00C96521">
        <w:tc>
          <w:tcPr>
            <w:tcW w:w="874" w:type="pct"/>
            <w:shd w:val="clear" w:color="auto" w:fill="auto"/>
          </w:tcPr>
          <w:p w14:paraId="50A5F4A9"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Israel</w:t>
            </w:r>
          </w:p>
        </w:tc>
        <w:tc>
          <w:tcPr>
            <w:tcW w:w="605" w:type="pct"/>
            <w:shd w:val="clear" w:color="auto" w:fill="auto"/>
          </w:tcPr>
          <w:p w14:paraId="09A7E684" w14:textId="77777777" w:rsidR="00C96521" w:rsidRPr="00B70B7A" w:rsidRDefault="00C96521" w:rsidP="00C96521">
            <w:pPr>
              <w:widowControl/>
              <w:autoSpaceDE/>
              <w:autoSpaceDN/>
              <w:adjustRightInd/>
              <w:rPr>
                <w:rFonts w:ascii="Arial" w:hAnsi="Arial" w:cs="Arial"/>
                <w:iCs/>
                <w:color w:val="000000"/>
                <w:sz w:val="20"/>
                <w:szCs w:val="20"/>
                <w:lang w:val="en-GB"/>
              </w:rPr>
            </w:pPr>
          </w:p>
        </w:tc>
        <w:tc>
          <w:tcPr>
            <w:tcW w:w="3521" w:type="pct"/>
          </w:tcPr>
          <w:p w14:paraId="094317BE" w14:textId="34C3DC94" w:rsidR="00C96521" w:rsidRPr="00B70B7A" w:rsidRDefault="00C96521" w:rsidP="00C96521">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 xml:space="preserve">Protected. Fewer than 1,000 hunters and decreasing; the </w:t>
            </w:r>
            <w:r w:rsidR="00173165" w:rsidRPr="00B70B7A">
              <w:rPr>
                <w:rFonts w:ascii="Arial" w:hAnsi="Arial" w:cs="Arial"/>
                <w:sz w:val="20"/>
                <w:szCs w:val="20"/>
                <w:lang w:val="en-GB"/>
              </w:rPr>
              <w:t>Turtle Dove</w:t>
            </w:r>
            <w:r w:rsidR="00173165" w:rsidRPr="00B70B7A" w:rsidDel="00173165">
              <w:rPr>
                <w:rFonts w:ascii="Arial" w:hAnsi="Arial" w:cs="Arial"/>
                <w:color w:val="000000"/>
                <w:sz w:val="20"/>
                <w:szCs w:val="20"/>
                <w:lang w:val="en-GB"/>
              </w:rPr>
              <w:t xml:space="preserve"> </w:t>
            </w:r>
            <w:r w:rsidRPr="00B70B7A">
              <w:rPr>
                <w:rFonts w:ascii="Arial" w:hAnsi="Arial" w:cs="Arial"/>
                <w:color w:val="000000"/>
                <w:sz w:val="20"/>
                <w:szCs w:val="20"/>
                <w:lang w:val="en-GB"/>
              </w:rPr>
              <w:t>is not a popular quarry species. Season 1 Sep to 31 Jan with no bag limit (BirdLife International 2014d).</w:t>
            </w:r>
          </w:p>
        </w:tc>
      </w:tr>
      <w:tr w:rsidR="00C96521" w:rsidRPr="00B70B7A" w14:paraId="6DA9B17D" w14:textId="77777777" w:rsidTr="00C96521">
        <w:tc>
          <w:tcPr>
            <w:tcW w:w="874" w:type="pct"/>
            <w:shd w:val="clear" w:color="auto" w:fill="auto"/>
          </w:tcPr>
          <w:p w14:paraId="0F082B5C"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 xml:space="preserve">Italy </w:t>
            </w:r>
          </w:p>
        </w:tc>
        <w:tc>
          <w:tcPr>
            <w:tcW w:w="605" w:type="pct"/>
            <w:shd w:val="clear" w:color="auto" w:fill="auto"/>
          </w:tcPr>
          <w:p w14:paraId="4774317A" w14:textId="77777777" w:rsidR="00C96521" w:rsidRPr="00B70B7A" w:rsidRDefault="00C96521" w:rsidP="00C96521">
            <w:pPr>
              <w:widowControl/>
              <w:autoSpaceDE/>
              <w:autoSpaceDN/>
              <w:adjustRightInd/>
              <w:rPr>
                <w:rFonts w:ascii="Arial" w:hAnsi="Arial" w:cs="Arial"/>
                <w:iCs/>
                <w:color w:val="000000"/>
                <w:sz w:val="20"/>
                <w:szCs w:val="20"/>
                <w:lang w:val="en-GB"/>
              </w:rPr>
            </w:pPr>
            <w:r w:rsidRPr="00B70B7A">
              <w:rPr>
                <w:rFonts w:ascii="Arial" w:hAnsi="Arial" w:cs="Arial"/>
                <w:iCs/>
                <w:color w:val="000000"/>
                <w:sz w:val="20"/>
                <w:szCs w:val="20"/>
                <w:lang w:val="en-GB"/>
              </w:rPr>
              <w:t>250-350,000</w:t>
            </w:r>
          </w:p>
          <w:p w14:paraId="4F9AF2FB" w14:textId="77777777" w:rsidR="00C96521" w:rsidRPr="00B70B7A" w:rsidRDefault="00C96521" w:rsidP="00C96521">
            <w:pPr>
              <w:widowControl/>
              <w:autoSpaceDE/>
              <w:autoSpaceDN/>
              <w:adjustRightInd/>
              <w:rPr>
                <w:rFonts w:ascii="Arial" w:hAnsi="Arial" w:cs="Arial"/>
                <w:i/>
                <w:iCs/>
                <w:color w:val="000000"/>
                <w:sz w:val="20"/>
                <w:szCs w:val="20"/>
                <w:lang w:val="en-GB"/>
              </w:rPr>
            </w:pPr>
            <w:r w:rsidRPr="00B70B7A">
              <w:rPr>
                <w:rFonts w:ascii="Arial" w:hAnsi="Arial" w:cs="Arial"/>
                <w:i/>
                <w:iCs/>
                <w:color w:val="000000"/>
                <w:sz w:val="20"/>
                <w:szCs w:val="20"/>
                <w:lang w:val="en-GB"/>
              </w:rPr>
              <w:t>annually</w:t>
            </w:r>
          </w:p>
        </w:tc>
        <w:tc>
          <w:tcPr>
            <w:tcW w:w="3521" w:type="pct"/>
          </w:tcPr>
          <w:p w14:paraId="066862F9" w14:textId="649D8B66"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 xml:space="preserve">Covered by the EU Birds Directive. </w:t>
            </w:r>
            <w:r w:rsidRPr="00B70B7A">
              <w:rPr>
                <w:rFonts w:ascii="Arial" w:hAnsi="Arial" w:cs="Arial"/>
                <w:color w:val="000000"/>
                <w:sz w:val="20"/>
                <w:szCs w:val="20"/>
                <w:lang w:val="en-GB"/>
              </w:rPr>
              <w:t xml:space="preserve">In many regions the </w:t>
            </w:r>
            <w:r w:rsidR="00173165" w:rsidRPr="00B70B7A">
              <w:rPr>
                <w:rFonts w:ascii="Arial" w:hAnsi="Arial" w:cs="Arial"/>
                <w:sz w:val="20"/>
                <w:szCs w:val="20"/>
                <w:lang w:val="en-GB"/>
              </w:rPr>
              <w:t>Turtle Dove</w:t>
            </w:r>
            <w:r w:rsidR="00173165" w:rsidRPr="00B70B7A" w:rsidDel="00173165">
              <w:rPr>
                <w:rFonts w:ascii="Arial" w:hAnsi="Arial" w:cs="Arial"/>
                <w:color w:val="000000"/>
                <w:sz w:val="20"/>
                <w:szCs w:val="20"/>
                <w:lang w:val="en-GB"/>
              </w:rPr>
              <w:t xml:space="preserve"> </w:t>
            </w:r>
            <w:r w:rsidRPr="00B70B7A">
              <w:rPr>
                <w:rFonts w:ascii="Arial" w:hAnsi="Arial" w:cs="Arial"/>
                <w:color w:val="000000"/>
                <w:sz w:val="20"/>
                <w:szCs w:val="20"/>
                <w:lang w:val="en-GB"/>
              </w:rPr>
              <w:t xml:space="preserve">season runs from 1 Sep and is only allowed for 1-5 fixed days (three in many regions), until the third Sunday of Sep when the regular season starts until 31 Dec. Other regions allow three fixed days, with a season of 1 to 31 October. Most regions now close the </w:t>
            </w:r>
            <w:r w:rsidR="00173165" w:rsidRPr="00B70B7A">
              <w:rPr>
                <w:rFonts w:ascii="Arial" w:hAnsi="Arial" w:cs="Arial"/>
                <w:sz w:val="20"/>
                <w:szCs w:val="20"/>
                <w:lang w:val="en-GB"/>
              </w:rPr>
              <w:t>Turtle Dove</w:t>
            </w:r>
            <w:r w:rsidR="00173165" w:rsidRPr="00B70B7A" w:rsidDel="00173165">
              <w:rPr>
                <w:rFonts w:ascii="Arial" w:hAnsi="Arial" w:cs="Arial"/>
                <w:color w:val="000000"/>
                <w:sz w:val="20"/>
                <w:szCs w:val="20"/>
                <w:lang w:val="en-GB"/>
              </w:rPr>
              <w:t xml:space="preserve"> </w:t>
            </w:r>
            <w:r w:rsidRPr="00B70B7A">
              <w:rPr>
                <w:rFonts w:ascii="Arial" w:hAnsi="Arial" w:cs="Arial"/>
                <w:color w:val="000000"/>
                <w:sz w:val="20"/>
                <w:szCs w:val="20"/>
                <w:lang w:val="en-GB"/>
              </w:rPr>
              <w:t>hunting season on 31 Oct. Regional Governments apply daily and seasonal bag limits. (</w:t>
            </w:r>
            <w:r w:rsidRPr="00B70B7A">
              <w:rPr>
                <w:rFonts w:ascii="Arial" w:hAnsi="Arial" w:cs="Arial"/>
                <w:sz w:val="20"/>
                <w:szCs w:val="20"/>
                <w:lang w:val="en-GB"/>
              </w:rPr>
              <w:t xml:space="preserve">Sorrenti and Tramontana 2016, Michele Sorrenti </w:t>
            </w:r>
            <w:r w:rsidRPr="00B70B7A">
              <w:rPr>
                <w:rFonts w:ascii="Arial" w:hAnsi="Arial" w:cs="Arial"/>
                <w:i/>
                <w:sz w:val="20"/>
                <w:szCs w:val="20"/>
                <w:lang w:val="en-GB"/>
              </w:rPr>
              <w:t>pers comm</w:t>
            </w:r>
            <w:r w:rsidRPr="00B70B7A">
              <w:rPr>
                <w:rFonts w:ascii="Arial" w:hAnsi="Arial" w:cs="Arial"/>
                <w:sz w:val="20"/>
                <w:szCs w:val="20"/>
                <w:lang w:val="en-GB"/>
              </w:rPr>
              <w:t xml:space="preserve">). </w:t>
            </w:r>
          </w:p>
        </w:tc>
      </w:tr>
      <w:tr w:rsidR="00C96521" w:rsidRPr="00B70B7A" w14:paraId="33FB6505" w14:textId="77777777" w:rsidTr="00C96521">
        <w:tc>
          <w:tcPr>
            <w:tcW w:w="874" w:type="pct"/>
            <w:shd w:val="clear" w:color="auto" w:fill="auto"/>
          </w:tcPr>
          <w:p w14:paraId="220AE9BF"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Jordan</w:t>
            </w:r>
          </w:p>
        </w:tc>
        <w:tc>
          <w:tcPr>
            <w:tcW w:w="605" w:type="pct"/>
            <w:shd w:val="clear" w:color="auto" w:fill="auto"/>
          </w:tcPr>
          <w:p w14:paraId="17B5F611" w14:textId="77777777" w:rsidR="00C96521" w:rsidRPr="00B70B7A" w:rsidRDefault="00C96521" w:rsidP="00C96521">
            <w:pPr>
              <w:widowControl/>
              <w:autoSpaceDE/>
              <w:autoSpaceDN/>
              <w:adjustRightInd/>
              <w:rPr>
                <w:rFonts w:ascii="Arial" w:hAnsi="Arial" w:cs="Arial"/>
                <w:iCs/>
                <w:color w:val="000000"/>
                <w:sz w:val="20"/>
                <w:szCs w:val="20"/>
                <w:lang w:val="en-GB"/>
              </w:rPr>
            </w:pPr>
          </w:p>
        </w:tc>
        <w:tc>
          <w:tcPr>
            <w:tcW w:w="3521" w:type="pct"/>
          </w:tcPr>
          <w:p w14:paraId="3AADAE10" w14:textId="1450050A" w:rsidR="00C96521" w:rsidRPr="00B70B7A" w:rsidRDefault="00C96521" w:rsidP="00C96521">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 xml:space="preserve">Season 1 Jul to 30 Nov, with a limit of 20 </w:t>
            </w:r>
            <w:r w:rsidR="00173165" w:rsidRPr="00B70B7A">
              <w:rPr>
                <w:rFonts w:ascii="Arial" w:hAnsi="Arial" w:cs="Arial"/>
                <w:sz w:val="20"/>
                <w:szCs w:val="20"/>
                <w:lang w:val="en-GB"/>
              </w:rPr>
              <w:t>Turtle Doves</w:t>
            </w:r>
            <w:r w:rsidR="00173165" w:rsidRPr="00B70B7A" w:rsidDel="00173165">
              <w:rPr>
                <w:rFonts w:ascii="Arial" w:hAnsi="Arial" w:cs="Arial"/>
                <w:color w:val="000000"/>
                <w:sz w:val="20"/>
                <w:szCs w:val="20"/>
                <w:lang w:val="en-GB"/>
              </w:rPr>
              <w:t xml:space="preserve"> </w:t>
            </w:r>
            <w:r w:rsidRPr="00B70B7A">
              <w:rPr>
                <w:rFonts w:ascii="Arial" w:hAnsi="Arial" w:cs="Arial"/>
                <w:color w:val="000000"/>
                <w:sz w:val="20"/>
                <w:szCs w:val="20"/>
                <w:lang w:val="en-GB"/>
              </w:rPr>
              <w:t xml:space="preserve">per hunter per trip. </w:t>
            </w:r>
          </w:p>
        </w:tc>
      </w:tr>
      <w:tr w:rsidR="00C96521" w:rsidRPr="00B70B7A" w14:paraId="2DDAC91F" w14:textId="77777777" w:rsidTr="00C96521">
        <w:tc>
          <w:tcPr>
            <w:tcW w:w="874" w:type="pct"/>
            <w:shd w:val="clear" w:color="auto" w:fill="auto"/>
          </w:tcPr>
          <w:p w14:paraId="4E5F360D"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Kosovo</w:t>
            </w:r>
          </w:p>
        </w:tc>
        <w:tc>
          <w:tcPr>
            <w:tcW w:w="605" w:type="pct"/>
            <w:shd w:val="clear" w:color="auto" w:fill="auto"/>
          </w:tcPr>
          <w:p w14:paraId="35A96445" w14:textId="77777777" w:rsidR="00C96521" w:rsidRPr="00B70B7A" w:rsidRDefault="00C96521" w:rsidP="00C96521">
            <w:pPr>
              <w:widowControl/>
              <w:autoSpaceDE/>
              <w:autoSpaceDN/>
              <w:adjustRightInd/>
              <w:rPr>
                <w:rFonts w:ascii="Arial" w:hAnsi="Arial" w:cs="Arial"/>
                <w:iCs/>
                <w:color w:val="000000"/>
                <w:sz w:val="20"/>
                <w:szCs w:val="20"/>
                <w:lang w:val="en-GB"/>
              </w:rPr>
            </w:pPr>
          </w:p>
        </w:tc>
        <w:tc>
          <w:tcPr>
            <w:tcW w:w="3521" w:type="pct"/>
          </w:tcPr>
          <w:p w14:paraId="3E7872D9" w14:textId="7EEADAC1"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color w:val="000000"/>
                <w:sz w:val="20"/>
                <w:szCs w:val="20"/>
                <w:lang w:val="en-GB"/>
              </w:rPr>
              <w:t>Season 1 Sep to 30 Nov (UNMIK/IPVQ 2007).</w:t>
            </w:r>
          </w:p>
        </w:tc>
      </w:tr>
      <w:tr w:rsidR="00C96521" w:rsidRPr="00B70B7A" w14:paraId="49F46355" w14:textId="77777777" w:rsidTr="00C96521">
        <w:tc>
          <w:tcPr>
            <w:tcW w:w="874" w:type="pct"/>
            <w:shd w:val="clear" w:color="auto" w:fill="auto"/>
          </w:tcPr>
          <w:p w14:paraId="3D627F61"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Latvia</w:t>
            </w:r>
          </w:p>
        </w:tc>
        <w:tc>
          <w:tcPr>
            <w:tcW w:w="605" w:type="pct"/>
            <w:shd w:val="clear" w:color="auto" w:fill="auto"/>
          </w:tcPr>
          <w:p w14:paraId="06BD9345" w14:textId="77777777" w:rsidR="00C96521" w:rsidRPr="00B70B7A" w:rsidRDefault="00C96521" w:rsidP="00C96521">
            <w:pPr>
              <w:widowControl/>
              <w:autoSpaceDE/>
              <w:autoSpaceDN/>
              <w:adjustRightInd/>
              <w:rPr>
                <w:rFonts w:ascii="Arial" w:hAnsi="Arial" w:cs="Arial"/>
                <w:iCs/>
                <w:color w:val="000000"/>
                <w:sz w:val="20"/>
                <w:szCs w:val="20"/>
                <w:lang w:val="en-GB"/>
              </w:rPr>
            </w:pPr>
          </w:p>
        </w:tc>
        <w:tc>
          <w:tcPr>
            <w:tcW w:w="3521" w:type="pct"/>
          </w:tcPr>
          <w:p w14:paraId="31C7682D" w14:textId="77777777" w:rsidR="00C96521" w:rsidRPr="00B70B7A" w:rsidRDefault="00C96521" w:rsidP="00C96521">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Covered by EU Birds Directive. No hunting.</w:t>
            </w:r>
          </w:p>
        </w:tc>
      </w:tr>
      <w:tr w:rsidR="00C96521" w:rsidRPr="00B70B7A" w14:paraId="07ED7B63" w14:textId="77777777" w:rsidTr="00C96521">
        <w:tc>
          <w:tcPr>
            <w:tcW w:w="874" w:type="pct"/>
            <w:shd w:val="clear" w:color="auto" w:fill="auto"/>
          </w:tcPr>
          <w:p w14:paraId="3F939DAE"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Lebanon</w:t>
            </w:r>
          </w:p>
        </w:tc>
        <w:tc>
          <w:tcPr>
            <w:tcW w:w="605" w:type="pct"/>
            <w:shd w:val="clear" w:color="auto" w:fill="auto"/>
          </w:tcPr>
          <w:p w14:paraId="1D14E1F9" w14:textId="77777777" w:rsidR="00C96521" w:rsidRPr="00B70B7A" w:rsidRDefault="00C96521" w:rsidP="00C96521">
            <w:pPr>
              <w:widowControl/>
              <w:autoSpaceDE/>
              <w:autoSpaceDN/>
              <w:adjustRightInd/>
              <w:rPr>
                <w:rFonts w:ascii="Arial" w:hAnsi="Arial" w:cs="Arial"/>
                <w:iCs/>
                <w:color w:val="000000"/>
                <w:sz w:val="20"/>
                <w:szCs w:val="20"/>
                <w:lang w:val="en-GB"/>
              </w:rPr>
            </w:pPr>
          </w:p>
        </w:tc>
        <w:tc>
          <w:tcPr>
            <w:tcW w:w="3521" w:type="pct"/>
          </w:tcPr>
          <w:p w14:paraId="452DC50E" w14:textId="77777777" w:rsidR="00C96521" w:rsidRPr="00B70B7A" w:rsidRDefault="00C96521" w:rsidP="00C96521">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 xml:space="preserve">Complete ban (Brochet </w:t>
            </w:r>
            <w:r w:rsidRPr="00B70B7A">
              <w:rPr>
                <w:rFonts w:ascii="Arial" w:hAnsi="Arial" w:cs="Arial"/>
                <w:i/>
                <w:color w:val="000000"/>
                <w:sz w:val="20"/>
                <w:szCs w:val="20"/>
                <w:lang w:val="en-GB"/>
              </w:rPr>
              <w:t>et al</w:t>
            </w:r>
            <w:r w:rsidRPr="00B70B7A">
              <w:rPr>
                <w:rFonts w:ascii="Arial" w:hAnsi="Arial" w:cs="Arial"/>
                <w:color w:val="000000"/>
                <w:sz w:val="20"/>
                <w:szCs w:val="20"/>
                <w:lang w:val="en-GB"/>
              </w:rPr>
              <w:t xml:space="preserve"> 2016, BirdLife International 2014e).</w:t>
            </w:r>
          </w:p>
        </w:tc>
      </w:tr>
      <w:tr w:rsidR="00C96521" w:rsidRPr="00B70B7A" w14:paraId="61D1761E" w14:textId="77777777" w:rsidTr="00C96521">
        <w:tc>
          <w:tcPr>
            <w:tcW w:w="874" w:type="pct"/>
            <w:shd w:val="clear" w:color="auto" w:fill="auto"/>
          </w:tcPr>
          <w:p w14:paraId="3CA33B83"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Libya</w:t>
            </w:r>
          </w:p>
        </w:tc>
        <w:tc>
          <w:tcPr>
            <w:tcW w:w="605" w:type="pct"/>
            <w:shd w:val="clear" w:color="auto" w:fill="auto"/>
          </w:tcPr>
          <w:p w14:paraId="5D2EF36B" w14:textId="77777777" w:rsidR="00C96521" w:rsidRPr="00B70B7A" w:rsidRDefault="00C96521" w:rsidP="00C96521">
            <w:pPr>
              <w:widowControl/>
              <w:autoSpaceDE/>
              <w:autoSpaceDN/>
              <w:adjustRightInd/>
              <w:rPr>
                <w:rFonts w:ascii="Arial" w:hAnsi="Arial" w:cs="Arial"/>
                <w:iCs/>
                <w:color w:val="000000"/>
                <w:sz w:val="20"/>
                <w:szCs w:val="20"/>
                <w:lang w:val="en-GB"/>
              </w:rPr>
            </w:pPr>
          </w:p>
        </w:tc>
        <w:tc>
          <w:tcPr>
            <w:tcW w:w="3521" w:type="pct"/>
          </w:tcPr>
          <w:p w14:paraId="6D3D401C" w14:textId="77777777" w:rsidR="00C96521" w:rsidRPr="00B70B7A" w:rsidRDefault="00C96521" w:rsidP="00C96521">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No regulations (BirdLife International 2014e).</w:t>
            </w:r>
          </w:p>
        </w:tc>
      </w:tr>
      <w:tr w:rsidR="00C96521" w:rsidRPr="00B70B7A" w14:paraId="0C0DAFBB" w14:textId="77777777" w:rsidTr="00C96521">
        <w:tc>
          <w:tcPr>
            <w:tcW w:w="874" w:type="pct"/>
            <w:shd w:val="clear" w:color="auto" w:fill="auto"/>
          </w:tcPr>
          <w:p w14:paraId="3BAD5828"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Liechtenstein</w:t>
            </w:r>
          </w:p>
        </w:tc>
        <w:tc>
          <w:tcPr>
            <w:tcW w:w="605" w:type="pct"/>
            <w:shd w:val="clear" w:color="auto" w:fill="auto"/>
          </w:tcPr>
          <w:p w14:paraId="041BC8A8" w14:textId="77777777" w:rsidR="00C96521" w:rsidRPr="00B70B7A" w:rsidRDefault="00C96521" w:rsidP="00C96521">
            <w:pPr>
              <w:widowControl/>
              <w:autoSpaceDE/>
              <w:autoSpaceDN/>
              <w:adjustRightInd/>
              <w:rPr>
                <w:rFonts w:ascii="Arial" w:hAnsi="Arial" w:cs="Arial"/>
                <w:iCs/>
                <w:color w:val="000000"/>
                <w:sz w:val="20"/>
                <w:szCs w:val="20"/>
                <w:lang w:val="en-GB"/>
              </w:rPr>
            </w:pPr>
          </w:p>
        </w:tc>
        <w:tc>
          <w:tcPr>
            <w:tcW w:w="3521" w:type="pct"/>
          </w:tcPr>
          <w:p w14:paraId="38ED8B81" w14:textId="77777777" w:rsidR="00C96521" w:rsidRPr="00B70B7A" w:rsidRDefault="00C96521" w:rsidP="00C96521">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Not on the national list of huntable species (Liechtensteinisches Landesgesetzblatt 2003).</w:t>
            </w:r>
          </w:p>
        </w:tc>
      </w:tr>
      <w:tr w:rsidR="00C96521" w:rsidRPr="00B70B7A" w14:paraId="1BD9419E" w14:textId="77777777" w:rsidTr="00C96521">
        <w:tc>
          <w:tcPr>
            <w:tcW w:w="874" w:type="pct"/>
            <w:shd w:val="clear" w:color="auto" w:fill="auto"/>
          </w:tcPr>
          <w:p w14:paraId="041B4093"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Lithuania</w:t>
            </w:r>
          </w:p>
        </w:tc>
        <w:tc>
          <w:tcPr>
            <w:tcW w:w="605" w:type="pct"/>
            <w:shd w:val="clear" w:color="auto" w:fill="auto"/>
          </w:tcPr>
          <w:p w14:paraId="2488FE40" w14:textId="77777777" w:rsidR="00C96521" w:rsidRPr="00B70B7A" w:rsidRDefault="00C96521" w:rsidP="00C96521">
            <w:pPr>
              <w:widowControl/>
              <w:autoSpaceDE/>
              <w:autoSpaceDN/>
              <w:adjustRightInd/>
              <w:rPr>
                <w:rFonts w:ascii="Arial" w:hAnsi="Arial" w:cs="Arial"/>
                <w:iCs/>
                <w:color w:val="000000"/>
                <w:sz w:val="20"/>
                <w:szCs w:val="20"/>
                <w:lang w:val="en-GB"/>
              </w:rPr>
            </w:pPr>
          </w:p>
        </w:tc>
        <w:tc>
          <w:tcPr>
            <w:tcW w:w="3521" w:type="pct"/>
          </w:tcPr>
          <w:p w14:paraId="368EB597" w14:textId="77777777" w:rsidR="00C96521" w:rsidRPr="00B70B7A" w:rsidRDefault="00C96521" w:rsidP="00C96521">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Covered by EU Birds Directive. Not hunted.</w:t>
            </w:r>
          </w:p>
        </w:tc>
      </w:tr>
      <w:tr w:rsidR="00C96521" w:rsidRPr="00B70B7A" w14:paraId="4E951F2B" w14:textId="77777777" w:rsidTr="00C96521">
        <w:tc>
          <w:tcPr>
            <w:tcW w:w="874" w:type="pct"/>
            <w:shd w:val="clear" w:color="auto" w:fill="auto"/>
          </w:tcPr>
          <w:p w14:paraId="78B7031E"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Luxembourg</w:t>
            </w:r>
          </w:p>
        </w:tc>
        <w:tc>
          <w:tcPr>
            <w:tcW w:w="605" w:type="pct"/>
            <w:shd w:val="clear" w:color="auto" w:fill="auto"/>
          </w:tcPr>
          <w:p w14:paraId="1FFF82FF" w14:textId="77777777" w:rsidR="00C96521" w:rsidRPr="00B70B7A" w:rsidRDefault="00C96521" w:rsidP="00C96521">
            <w:pPr>
              <w:widowControl/>
              <w:autoSpaceDE/>
              <w:autoSpaceDN/>
              <w:adjustRightInd/>
              <w:rPr>
                <w:rFonts w:ascii="Arial" w:hAnsi="Arial" w:cs="Arial"/>
                <w:iCs/>
                <w:color w:val="000000"/>
                <w:sz w:val="20"/>
                <w:szCs w:val="20"/>
                <w:lang w:val="en-GB"/>
              </w:rPr>
            </w:pPr>
          </w:p>
        </w:tc>
        <w:tc>
          <w:tcPr>
            <w:tcW w:w="3521" w:type="pct"/>
          </w:tcPr>
          <w:p w14:paraId="28513619" w14:textId="77777777" w:rsidR="00C96521" w:rsidRPr="00B70B7A" w:rsidRDefault="00C96521" w:rsidP="00C96521">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Covered by EU Birds Directive. Not hunted.</w:t>
            </w:r>
          </w:p>
        </w:tc>
      </w:tr>
      <w:tr w:rsidR="00C96521" w:rsidRPr="00B70B7A" w14:paraId="413CE0EF" w14:textId="77777777" w:rsidTr="00C96521">
        <w:tc>
          <w:tcPr>
            <w:tcW w:w="874" w:type="pct"/>
            <w:shd w:val="clear" w:color="auto" w:fill="auto"/>
          </w:tcPr>
          <w:p w14:paraId="4B9C4426"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Mali</w:t>
            </w:r>
          </w:p>
        </w:tc>
        <w:tc>
          <w:tcPr>
            <w:tcW w:w="605" w:type="pct"/>
            <w:shd w:val="clear" w:color="auto" w:fill="auto"/>
          </w:tcPr>
          <w:p w14:paraId="44EF3454" w14:textId="77777777" w:rsidR="00C96521" w:rsidRPr="00B70B7A" w:rsidRDefault="00C96521" w:rsidP="00C96521">
            <w:pPr>
              <w:widowControl/>
              <w:autoSpaceDE/>
              <w:autoSpaceDN/>
              <w:adjustRightInd/>
              <w:rPr>
                <w:rFonts w:ascii="Arial" w:hAnsi="Arial" w:cs="Arial"/>
                <w:sz w:val="20"/>
                <w:szCs w:val="20"/>
                <w:lang w:val="en-GB"/>
              </w:rPr>
            </w:pPr>
          </w:p>
        </w:tc>
        <w:tc>
          <w:tcPr>
            <w:tcW w:w="3521" w:type="pct"/>
          </w:tcPr>
          <w:p w14:paraId="27B76225" w14:textId="437AC78D"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 xml:space="preserve">Hunting of </w:t>
            </w:r>
            <w:r w:rsidR="00173165" w:rsidRPr="00B70B7A">
              <w:rPr>
                <w:rFonts w:ascii="Arial" w:hAnsi="Arial" w:cs="Arial"/>
                <w:sz w:val="20"/>
                <w:szCs w:val="20"/>
                <w:lang w:val="en-GB"/>
              </w:rPr>
              <w:t>Turtle Dove</w:t>
            </w:r>
            <w:r w:rsidRPr="00B70B7A">
              <w:rPr>
                <w:rFonts w:ascii="Arial" w:hAnsi="Arial" w:cs="Arial"/>
                <w:sz w:val="20"/>
                <w:szCs w:val="20"/>
                <w:lang w:val="en-GB"/>
              </w:rPr>
              <w:t xml:space="preserve">s at their roost sites and drinking pools is commonplace and is facilitated by European travel agencies (Tucker 1996, Carvalho and Dias 2003, Zwarts </w:t>
            </w:r>
            <w:r w:rsidRPr="00B70B7A">
              <w:rPr>
                <w:rFonts w:ascii="Arial" w:hAnsi="Arial" w:cs="Arial"/>
                <w:i/>
                <w:sz w:val="20"/>
                <w:szCs w:val="20"/>
                <w:lang w:val="en-GB"/>
              </w:rPr>
              <w:t>et al</w:t>
            </w:r>
            <w:r w:rsidRPr="00B70B7A">
              <w:rPr>
                <w:rFonts w:ascii="Arial" w:hAnsi="Arial" w:cs="Arial"/>
                <w:sz w:val="20"/>
                <w:szCs w:val="20"/>
                <w:lang w:val="en-GB"/>
              </w:rPr>
              <w:t xml:space="preserve"> 2009, Raffael Ayé </w:t>
            </w:r>
            <w:r w:rsidRPr="00B70B7A">
              <w:rPr>
                <w:rFonts w:ascii="Arial" w:hAnsi="Arial" w:cs="Arial"/>
                <w:i/>
                <w:sz w:val="20"/>
                <w:szCs w:val="20"/>
                <w:lang w:val="en-GB"/>
              </w:rPr>
              <w:t>pers comm</w:t>
            </w:r>
            <w:r w:rsidRPr="00B70B7A">
              <w:rPr>
                <w:rFonts w:ascii="Arial" w:hAnsi="Arial" w:cs="Arial"/>
                <w:sz w:val="20"/>
                <w:szCs w:val="20"/>
                <w:lang w:val="en-GB"/>
              </w:rPr>
              <w:t>).</w:t>
            </w:r>
          </w:p>
        </w:tc>
      </w:tr>
      <w:tr w:rsidR="00C96521" w:rsidRPr="00B70B7A" w14:paraId="063B9D29" w14:textId="77777777" w:rsidTr="00C96521">
        <w:tc>
          <w:tcPr>
            <w:tcW w:w="874" w:type="pct"/>
            <w:shd w:val="clear" w:color="auto" w:fill="auto"/>
          </w:tcPr>
          <w:p w14:paraId="578E1334"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Malta</w:t>
            </w:r>
          </w:p>
        </w:tc>
        <w:tc>
          <w:tcPr>
            <w:tcW w:w="605" w:type="pct"/>
            <w:shd w:val="clear" w:color="auto" w:fill="auto"/>
          </w:tcPr>
          <w:p w14:paraId="00839EB1"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2,014</w:t>
            </w:r>
          </w:p>
          <w:p w14:paraId="546B95E3" w14:textId="77777777" w:rsidR="00C96521" w:rsidRPr="00B70B7A" w:rsidRDefault="00C96521" w:rsidP="00C96521">
            <w:pPr>
              <w:widowControl/>
              <w:autoSpaceDE/>
              <w:autoSpaceDN/>
              <w:adjustRightInd/>
              <w:rPr>
                <w:rFonts w:ascii="Arial" w:hAnsi="Arial" w:cs="Arial"/>
                <w:i/>
                <w:sz w:val="20"/>
                <w:szCs w:val="20"/>
                <w:lang w:val="en-GB"/>
              </w:rPr>
            </w:pPr>
            <w:r w:rsidRPr="00B70B7A">
              <w:rPr>
                <w:rFonts w:ascii="Arial" w:hAnsi="Arial" w:cs="Arial"/>
                <w:i/>
                <w:sz w:val="20"/>
                <w:szCs w:val="20"/>
                <w:lang w:val="en-GB"/>
              </w:rPr>
              <w:t>spring 2015</w:t>
            </w:r>
          </w:p>
          <w:p w14:paraId="3E61F80A" w14:textId="77777777" w:rsidR="00C96521" w:rsidRPr="00B70B7A" w:rsidRDefault="00C96521" w:rsidP="00C96521">
            <w:pPr>
              <w:widowControl/>
              <w:autoSpaceDE/>
              <w:autoSpaceDN/>
              <w:adjustRightInd/>
              <w:rPr>
                <w:rFonts w:ascii="Arial" w:hAnsi="Arial" w:cs="Arial"/>
                <w:i/>
                <w:sz w:val="20"/>
                <w:szCs w:val="20"/>
                <w:lang w:val="en-GB"/>
              </w:rPr>
            </w:pPr>
          </w:p>
          <w:p w14:paraId="4F755D04"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3,695</w:t>
            </w:r>
          </w:p>
          <w:p w14:paraId="647E43EF" w14:textId="77777777" w:rsidR="00C96521" w:rsidRPr="00B70B7A" w:rsidRDefault="00C96521" w:rsidP="00C96521">
            <w:pPr>
              <w:widowControl/>
              <w:autoSpaceDE/>
              <w:autoSpaceDN/>
              <w:adjustRightInd/>
              <w:rPr>
                <w:rFonts w:ascii="Arial" w:hAnsi="Arial" w:cs="Arial"/>
                <w:i/>
                <w:sz w:val="20"/>
                <w:szCs w:val="20"/>
                <w:lang w:val="en-GB"/>
              </w:rPr>
            </w:pPr>
            <w:r w:rsidRPr="00B70B7A">
              <w:rPr>
                <w:rFonts w:ascii="Arial" w:hAnsi="Arial" w:cs="Arial"/>
                <w:i/>
                <w:sz w:val="20"/>
                <w:szCs w:val="20"/>
                <w:lang w:val="en-GB"/>
              </w:rPr>
              <w:t>autumn 2015</w:t>
            </w:r>
          </w:p>
          <w:p w14:paraId="5B010DBA" w14:textId="77777777" w:rsidR="00C96521" w:rsidRPr="00B70B7A" w:rsidRDefault="00C96521" w:rsidP="00C96521">
            <w:pPr>
              <w:widowControl/>
              <w:autoSpaceDE/>
              <w:autoSpaceDN/>
              <w:adjustRightInd/>
              <w:rPr>
                <w:rFonts w:ascii="Arial" w:hAnsi="Arial" w:cs="Arial"/>
                <w:i/>
                <w:sz w:val="20"/>
                <w:szCs w:val="20"/>
                <w:lang w:val="en-GB"/>
              </w:rPr>
            </w:pPr>
          </w:p>
          <w:p w14:paraId="5278739B"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1,284</w:t>
            </w:r>
          </w:p>
          <w:p w14:paraId="71F7F5BF" w14:textId="77777777" w:rsidR="00C96521" w:rsidRPr="00B70B7A" w:rsidRDefault="00C96521" w:rsidP="00C96521">
            <w:pPr>
              <w:widowControl/>
              <w:autoSpaceDE/>
              <w:autoSpaceDN/>
              <w:adjustRightInd/>
              <w:rPr>
                <w:rFonts w:ascii="Arial" w:hAnsi="Arial" w:cs="Arial"/>
                <w:i/>
                <w:sz w:val="20"/>
                <w:szCs w:val="20"/>
                <w:lang w:val="en-GB"/>
              </w:rPr>
            </w:pPr>
            <w:r w:rsidRPr="00B70B7A">
              <w:rPr>
                <w:rFonts w:ascii="Arial" w:hAnsi="Arial" w:cs="Arial"/>
                <w:i/>
                <w:sz w:val="20"/>
                <w:szCs w:val="20"/>
                <w:lang w:val="en-GB"/>
              </w:rPr>
              <w:t>spring 2016</w:t>
            </w:r>
          </w:p>
          <w:p w14:paraId="509B8491" w14:textId="77777777" w:rsidR="00C96521" w:rsidRPr="00B70B7A" w:rsidRDefault="00C96521" w:rsidP="00C96521">
            <w:pPr>
              <w:widowControl/>
              <w:autoSpaceDE/>
              <w:autoSpaceDN/>
              <w:adjustRightInd/>
              <w:rPr>
                <w:rFonts w:ascii="Arial" w:hAnsi="Arial" w:cs="Arial"/>
                <w:i/>
                <w:sz w:val="20"/>
                <w:szCs w:val="20"/>
                <w:lang w:val="en-GB"/>
              </w:rPr>
            </w:pPr>
          </w:p>
          <w:p w14:paraId="793982F8"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123</w:t>
            </w:r>
          </w:p>
          <w:p w14:paraId="2E624B32" w14:textId="77777777" w:rsidR="00C96521" w:rsidRPr="00B70B7A" w:rsidRDefault="00C96521" w:rsidP="00C96521">
            <w:pPr>
              <w:widowControl/>
              <w:autoSpaceDE/>
              <w:autoSpaceDN/>
              <w:adjustRightInd/>
              <w:rPr>
                <w:rFonts w:ascii="Arial" w:hAnsi="Arial" w:cs="Arial"/>
                <w:i/>
                <w:sz w:val="20"/>
                <w:szCs w:val="20"/>
                <w:lang w:val="en-GB"/>
              </w:rPr>
            </w:pPr>
            <w:r w:rsidRPr="00B70B7A">
              <w:rPr>
                <w:rFonts w:ascii="Arial" w:hAnsi="Arial" w:cs="Arial"/>
                <w:i/>
                <w:sz w:val="20"/>
                <w:szCs w:val="20"/>
                <w:lang w:val="en-GB"/>
              </w:rPr>
              <w:t>autumn 2016</w:t>
            </w:r>
          </w:p>
          <w:p w14:paraId="0BEB949C" w14:textId="77777777" w:rsidR="00C96521" w:rsidRPr="00B70B7A" w:rsidRDefault="00C96521" w:rsidP="00C96521">
            <w:pPr>
              <w:widowControl/>
              <w:autoSpaceDE/>
              <w:autoSpaceDN/>
              <w:adjustRightInd/>
              <w:rPr>
                <w:rFonts w:ascii="Arial" w:hAnsi="Arial" w:cs="Arial"/>
                <w:sz w:val="20"/>
                <w:szCs w:val="20"/>
                <w:lang w:val="en-GB"/>
              </w:rPr>
            </w:pPr>
          </w:p>
        </w:tc>
        <w:tc>
          <w:tcPr>
            <w:tcW w:w="3521" w:type="pct"/>
          </w:tcPr>
          <w:p w14:paraId="67B0D72C" w14:textId="7A774633"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color w:val="000000"/>
                <w:sz w:val="20"/>
                <w:szCs w:val="20"/>
                <w:lang w:val="en-GB"/>
              </w:rPr>
              <w:t>Covered by EU Birds Directive. Previous seasons: spring 2015 14</w:t>
            </w:r>
            <w:r w:rsidRPr="00B70B7A">
              <w:rPr>
                <w:rFonts w:ascii="Arial" w:hAnsi="Arial" w:cs="Arial"/>
                <w:color w:val="000000"/>
                <w:sz w:val="20"/>
                <w:szCs w:val="20"/>
                <w:vertAlign w:val="superscript"/>
                <w:lang w:val="en-GB"/>
              </w:rPr>
              <w:t>t</w:t>
            </w:r>
            <w:r w:rsidRPr="00B70B7A">
              <w:rPr>
                <w:rFonts w:ascii="Arial" w:hAnsi="Arial" w:cs="Arial"/>
                <w:color w:val="000000"/>
                <w:sz w:val="20"/>
                <w:szCs w:val="20"/>
                <w:lang w:val="en-GB"/>
              </w:rPr>
              <w:t xml:space="preserve">to 27 Apr; autumn 2015 1 Sep to 31 Jan; spring 2016 17 to 30 Apr; autumn 2016 1 to 30 Sep. Season reduced in 2016 to Sep only, from 2 hours before sunrise to 2 hours after sunset, on weekdays and Saturdays; on Sundays and Public Holidays, hunting stops at 1pm. </w:t>
            </w:r>
            <w:r w:rsidRPr="00B70B7A">
              <w:rPr>
                <w:rFonts w:ascii="Arial" w:hAnsi="Arial" w:cs="Arial"/>
                <w:sz w:val="20"/>
                <w:szCs w:val="20"/>
                <w:lang w:val="en-GB"/>
              </w:rPr>
              <w:t xml:space="preserve">On weekdays between 15 and 30 Sep hunting after 7pm is not allowed. </w:t>
            </w:r>
            <w:r w:rsidRPr="00B70B7A">
              <w:rPr>
                <w:rFonts w:ascii="Arial" w:hAnsi="Arial" w:cs="Arial"/>
                <w:color w:val="000000"/>
                <w:sz w:val="20"/>
                <w:szCs w:val="20"/>
                <w:lang w:val="en-GB"/>
              </w:rPr>
              <w:t xml:space="preserve">Licensed hunters are required to report birds caught to a telephone reporting system before leaving the hunting area. Hunters can only take species listed in their </w:t>
            </w:r>
            <w:r w:rsidRPr="00B70B7A">
              <w:rPr>
                <w:rFonts w:ascii="Arial" w:hAnsi="Arial" w:cs="Arial"/>
                <w:sz w:val="20"/>
                <w:szCs w:val="20"/>
                <w:lang w:val="en-GB"/>
              </w:rPr>
              <w:t xml:space="preserve">licence category. Spring hunting derogation law allows for a maximum 3 weeks in Apr with a maximum quota of 11,000. The autumn hunting season with the latest law allows for </w:t>
            </w:r>
            <w:r w:rsidR="00173165" w:rsidRPr="00B70B7A">
              <w:rPr>
                <w:rFonts w:ascii="Arial" w:hAnsi="Arial" w:cs="Arial"/>
                <w:sz w:val="20"/>
                <w:szCs w:val="20"/>
                <w:lang w:val="en-GB"/>
              </w:rPr>
              <w:t>T</w:t>
            </w:r>
            <w:r w:rsidRPr="00B70B7A">
              <w:rPr>
                <w:rFonts w:ascii="Arial" w:hAnsi="Arial" w:cs="Arial"/>
                <w:sz w:val="20"/>
                <w:szCs w:val="20"/>
                <w:lang w:val="en-GB"/>
              </w:rPr>
              <w:t xml:space="preserve">urtle </w:t>
            </w:r>
            <w:r w:rsidR="00173165" w:rsidRPr="00B70B7A">
              <w:rPr>
                <w:rFonts w:ascii="Arial" w:hAnsi="Arial" w:cs="Arial"/>
                <w:sz w:val="20"/>
                <w:szCs w:val="20"/>
                <w:lang w:val="en-GB"/>
              </w:rPr>
              <w:t>D</w:t>
            </w:r>
            <w:r w:rsidRPr="00B70B7A">
              <w:rPr>
                <w:rFonts w:ascii="Arial" w:hAnsi="Arial" w:cs="Arial"/>
                <w:sz w:val="20"/>
                <w:szCs w:val="20"/>
                <w:lang w:val="en-GB"/>
              </w:rPr>
              <w:t xml:space="preserve">oves to be hunted from 1 to 30 Sep, up to a 7,000 quota. (Wild Birds Regulation Unit </w:t>
            </w:r>
            <w:r w:rsidRPr="00B70B7A">
              <w:rPr>
                <w:rFonts w:ascii="Arial" w:hAnsi="Arial" w:cs="Arial"/>
                <w:i/>
                <w:sz w:val="20"/>
                <w:szCs w:val="20"/>
                <w:lang w:val="en-GB"/>
              </w:rPr>
              <w:t>pers comm</w:t>
            </w:r>
            <w:r w:rsidRPr="00B70B7A">
              <w:rPr>
                <w:rFonts w:ascii="Arial" w:hAnsi="Arial" w:cs="Arial"/>
                <w:sz w:val="20"/>
                <w:szCs w:val="20"/>
                <w:lang w:val="en-GB"/>
              </w:rPr>
              <w:t xml:space="preserve">, WBRU 2015, WBRU 2016). Hunting in the spring of 2008 and 2009 was completely prohibited. Following the judgment of the Court of Justice of the European Union (CJEU) in Case C-76/08 Commission vs. Malta of 10 September 2009, Malta applied derogations for limited hunting of the species in spring under strictly supervised conditions from 2010 to 2016. The conditions are stipulated in the Conservation of Wild Birds Regulations (Framework for allowing a derogation opening a Spring Hunting season for </w:t>
            </w:r>
            <w:r w:rsidR="00173165" w:rsidRPr="00B70B7A">
              <w:rPr>
                <w:rFonts w:ascii="Arial" w:hAnsi="Arial" w:cs="Arial"/>
                <w:sz w:val="20"/>
                <w:szCs w:val="20"/>
                <w:lang w:val="en-GB"/>
              </w:rPr>
              <w:t xml:space="preserve">the </w:t>
            </w:r>
            <w:r w:rsidRPr="00B70B7A">
              <w:rPr>
                <w:rFonts w:ascii="Arial" w:hAnsi="Arial" w:cs="Arial"/>
                <w:sz w:val="20"/>
                <w:szCs w:val="20"/>
                <w:lang w:val="en-GB"/>
              </w:rPr>
              <w:t>Turtle</w:t>
            </w:r>
            <w:r w:rsidR="00173165" w:rsidRPr="00B70B7A">
              <w:rPr>
                <w:rFonts w:ascii="Arial" w:hAnsi="Arial" w:cs="Arial"/>
                <w:sz w:val="20"/>
                <w:szCs w:val="20"/>
                <w:lang w:val="en-GB"/>
              </w:rPr>
              <w:t xml:space="preserve"> D</w:t>
            </w:r>
            <w:r w:rsidRPr="00B70B7A">
              <w:rPr>
                <w:rFonts w:ascii="Arial" w:hAnsi="Arial" w:cs="Arial"/>
                <w:sz w:val="20"/>
                <w:szCs w:val="20"/>
                <w:lang w:val="en-GB"/>
              </w:rPr>
              <w:t xml:space="preserve">ove and Quail, S.L. 549.57) which establishes the parameters for the application of a derogation, including provisions related to individual, seasonal and national bag limits, obligations concerning enforcement, reporting requirements and other conditions. The Framework Regulations dictate that a spring hunting season for this species will open if the previous autumn hunting bag exceeds 20,000 specimens. Bag statistics and detailed information on each year’s special licensing process and enforcement are published annually.  </w:t>
            </w:r>
          </w:p>
        </w:tc>
      </w:tr>
      <w:tr w:rsidR="00C96521" w:rsidRPr="008C00B8" w14:paraId="1D729267" w14:textId="77777777" w:rsidTr="00C96521">
        <w:tc>
          <w:tcPr>
            <w:tcW w:w="874" w:type="pct"/>
            <w:shd w:val="clear" w:color="auto" w:fill="auto"/>
          </w:tcPr>
          <w:p w14:paraId="3808F022"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Mauritania</w:t>
            </w:r>
          </w:p>
        </w:tc>
        <w:tc>
          <w:tcPr>
            <w:tcW w:w="605" w:type="pct"/>
            <w:shd w:val="clear" w:color="auto" w:fill="auto"/>
          </w:tcPr>
          <w:p w14:paraId="49F111B5" w14:textId="77777777" w:rsidR="00C96521" w:rsidRPr="00B70B7A" w:rsidRDefault="00C96521" w:rsidP="00C96521">
            <w:pPr>
              <w:widowControl/>
              <w:autoSpaceDE/>
              <w:autoSpaceDN/>
              <w:adjustRightInd/>
              <w:rPr>
                <w:rFonts w:ascii="Arial" w:hAnsi="Arial" w:cs="Arial"/>
                <w:sz w:val="20"/>
                <w:szCs w:val="20"/>
                <w:lang w:val="en-GB"/>
              </w:rPr>
            </w:pPr>
          </w:p>
        </w:tc>
        <w:tc>
          <w:tcPr>
            <w:tcW w:w="3521" w:type="pct"/>
          </w:tcPr>
          <w:p w14:paraId="40411FED" w14:textId="77777777" w:rsidR="00C96521" w:rsidRPr="00B70B7A" w:rsidRDefault="00C96521" w:rsidP="00C96521">
            <w:pPr>
              <w:widowControl/>
              <w:autoSpaceDE/>
              <w:autoSpaceDN/>
              <w:adjustRightInd/>
              <w:rPr>
                <w:rFonts w:ascii="Arial" w:hAnsi="Arial" w:cs="Arial"/>
                <w:color w:val="000000"/>
                <w:sz w:val="20"/>
                <w:szCs w:val="20"/>
                <w:lang w:val="fr-FR"/>
              </w:rPr>
            </w:pPr>
            <w:r w:rsidRPr="00B70B7A">
              <w:rPr>
                <w:rFonts w:ascii="Arial" w:hAnsi="Arial" w:cs="Arial"/>
                <w:i/>
                <w:color w:val="000000"/>
                <w:sz w:val="20"/>
                <w:szCs w:val="20"/>
                <w:lang w:val="fr-FR"/>
              </w:rPr>
              <w:t>Streptopelia</w:t>
            </w:r>
            <w:r w:rsidRPr="00B70B7A">
              <w:rPr>
                <w:rFonts w:ascii="Arial" w:hAnsi="Arial" w:cs="Arial"/>
                <w:color w:val="000000"/>
                <w:sz w:val="20"/>
                <w:szCs w:val="20"/>
                <w:lang w:val="fr-FR"/>
              </w:rPr>
              <w:t xml:space="preserve"> </w:t>
            </w:r>
            <w:r w:rsidRPr="00B70B7A">
              <w:rPr>
                <w:rFonts w:ascii="Arial" w:hAnsi="Arial" w:cs="Arial"/>
                <w:i/>
                <w:color w:val="000000"/>
                <w:sz w:val="20"/>
                <w:szCs w:val="20"/>
                <w:lang w:val="fr-FR"/>
              </w:rPr>
              <w:t>sp</w:t>
            </w:r>
            <w:r w:rsidRPr="00B70B7A">
              <w:rPr>
                <w:rFonts w:ascii="Arial" w:hAnsi="Arial" w:cs="Arial"/>
                <w:color w:val="000000"/>
                <w:sz w:val="20"/>
                <w:szCs w:val="20"/>
                <w:lang w:val="fr-FR"/>
              </w:rPr>
              <w:t xml:space="preserve"> partially protected (Journal Officiel de la République Islamique de Mauritanie 1997), but hunting does take place (Sheehan </w:t>
            </w:r>
            <w:r w:rsidRPr="00B70B7A">
              <w:rPr>
                <w:rFonts w:ascii="Arial" w:hAnsi="Arial" w:cs="Arial"/>
                <w:i/>
                <w:color w:val="000000"/>
                <w:sz w:val="20"/>
                <w:szCs w:val="20"/>
                <w:lang w:val="fr-FR"/>
              </w:rPr>
              <w:t>et al</w:t>
            </w:r>
            <w:r w:rsidRPr="00B70B7A">
              <w:rPr>
                <w:rFonts w:ascii="Arial" w:hAnsi="Arial" w:cs="Arial"/>
                <w:color w:val="000000"/>
                <w:sz w:val="20"/>
                <w:szCs w:val="20"/>
                <w:lang w:val="fr-FR"/>
              </w:rPr>
              <w:t xml:space="preserve"> 2014).</w:t>
            </w:r>
          </w:p>
        </w:tc>
      </w:tr>
      <w:tr w:rsidR="00C96521" w:rsidRPr="00B70B7A" w14:paraId="37F65695" w14:textId="77777777" w:rsidTr="00C96521">
        <w:tc>
          <w:tcPr>
            <w:tcW w:w="874" w:type="pct"/>
            <w:shd w:val="clear" w:color="auto" w:fill="auto"/>
          </w:tcPr>
          <w:p w14:paraId="444C7F58"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Montenegro</w:t>
            </w:r>
          </w:p>
        </w:tc>
        <w:tc>
          <w:tcPr>
            <w:tcW w:w="605" w:type="pct"/>
            <w:shd w:val="clear" w:color="auto" w:fill="auto"/>
          </w:tcPr>
          <w:p w14:paraId="45BE21B8" w14:textId="77777777" w:rsidR="00C96521" w:rsidRPr="00B70B7A" w:rsidRDefault="00C96521" w:rsidP="00C96521">
            <w:pPr>
              <w:widowControl/>
              <w:autoSpaceDE/>
              <w:autoSpaceDN/>
              <w:adjustRightInd/>
              <w:rPr>
                <w:rFonts w:ascii="Arial" w:hAnsi="Arial" w:cs="Arial"/>
                <w:sz w:val="20"/>
                <w:szCs w:val="20"/>
                <w:lang w:val="en-GB"/>
              </w:rPr>
            </w:pPr>
          </w:p>
        </w:tc>
        <w:tc>
          <w:tcPr>
            <w:tcW w:w="3521" w:type="pct"/>
          </w:tcPr>
          <w:p w14:paraId="2A206603" w14:textId="65EF88FC" w:rsidR="00C96521" w:rsidRPr="00B70B7A" w:rsidRDefault="00C96521" w:rsidP="00C96521">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Not protected. Hunting season from 1 Aug to 31 Dec (BirdLife International 2014h).</w:t>
            </w:r>
          </w:p>
        </w:tc>
      </w:tr>
      <w:tr w:rsidR="00C96521" w:rsidRPr="00B70B7A" w14:paraId="13598FFD" w14:textId="77777777" w:rsidTr="00C96521">
        <w:tc>
          <w:tcPr>
            <w:tcW w:w="874" w:type="pct"/>
            <w:shd w:val="clear" w:color="auto" w:fill="auto"/>
          </w:tcPr>
          <w:p w14:paraId="006475A3"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Morocco</w:t>
            </w:r>
          </w:p>
        </w:tc>
        <w:tc>
          <w:tcPr>
            <w:tcW w:w="605" w:type="pct"/>
            <w:shd w:val="clear" w:color="auto" w:fill="auto"/>
          </w:tcPr>
          <w:p w14:paraId="2901AA16" w14:textId="77777777" w:rsidR="00C96521" w:rsidRPr="00B70B7A" w:rsidRDefault="00C96521" w:rsidP="00C96521">
            <w:pPr>
              <w:widowControl/>
              <w:autoSpaceDE/>
              <w:autoSpaceDN/>
              <w:adjustRightInd/>
              <w:rPr>
                <w:rFonts w:ascii="Arial" w:hAnsi="Arial" w:cs="Arial"/>
                <w:i/>
                <w:sz w:val="20"/>
                <w:szCs w:val="20"/>
                <w:lang w:val="en-GB"/>
              </w:rPr>
            </w:pPr>
            <w:r w:rsidRPr="00B70B7A">
              <w:rPr>
                <w:rFonts w:ascii="Arial" w:hAnsi="Arial" w:cs="Arial"/>
                <w:sz w:val="20"/>
                <w:szCs w:val="20"/>
                <w:lang w:val="en-GB"/>
              </w:rPr>
              <w:t xml:space="preserve">31,682 </w:t>
            </w:r>
            <w:r w:rsidRPr="00B70B7A">
              <w:rPr>
                <w:rFonts w:ascii="Arial" w:hAnsi="Arial" w:cs="Arial"/>
                <w:i/>
                <w:sz w:val="20"/>
                <w:szCs w:val="20"/>
                <w:lang w:val="en-GB"/>
              </w:rPr>
              <w:t>2013</w:t>
            </w:r>
          </w:p>
        </w:tc>
        <w:tc>
          <w:tcPr>
            <w:tcW w:w="3521" w:type="pct"/>
          </w:tcPr>
          <w:p w14:paraId="3FE6C67D" w14:textId="5A42B5B5"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 xml:space="preserve">Season Jul to Aug (BirdLife International 2014i, HCEFLCD 2013 in Hanane and Besnard 2014). In the Tadla region of Morocco, about 2% of the breeding population was harvested in 2013 (Hanane and Besnard 2014). Hunting is mainly of </w:t>
            </w:r>
            <w:r w:rsidRPr="00B70B7A">
              <w:rPr>
                <w:rFonts w:ascii="Arial" w:hAnsi="Arial" w:cs="Arial"/>
                <w:i/>
                <w:sz w:val="20"/>
                <w:szCs w:val="20"/>
                <w:lang w:val="en-GB"/>
              </w:rPr>
              <w:t>Streptopelia turtur arenicola</w:t>
            </w:r>
            <w:r w:rsidRPr="00B70B7A">
              <w:rPr>
                <w:rFonts w:ascii="Arial" w:hAnsi="Arial" w:cs="Arial"/>
                <w:sz w:val="20"/>
                <w:szCs w:val="20"/>
                <w:lang w:val="en-GB"/>
              </w:rPr>
              <w:t xml:space="preserve"> (El Mastour 1998 in Dubois 2002) and hunting ends by the 25 Aug, so many of the European-breeding birds are unlikely to be affected by hunting in Morocco (M Denny </w:t>
            </w:r>
            <w:r w:rsidRPr="00B70B7A">
              <w:rPr>
                <w:rFonts w:ascii="Arial" w:hAnsi="Arial" w:cs="Arial"/>
                <w:i/>
                <w:sz w:val="20"/>
                <w:szCs w:val="20"/>
                <w:lang w:val="en-GB"/>
              </w:rPr>
              <w:t>unpublished</w:t>
            </w:r>
            <w:r w:rsidRPr="00B70B7A">
              <w:rPr>
                <w:rFonts w:ascii="Arial" w:hAnsi="Arial" w:cs="Arial"/>
                <w:sz w:val="20"/>
                <w:szCs w:val="20"/>
                <w:lang w:val="en-GB"/>
              </w:rPr>
              <w:t xml:space="preserve">). </w:t>
            </w:r>
          </w:p>
        </w:tc>
      </w:tr>
      <w:tr w:rsidR="00C96521" w:rsidRPr="00B70B7A" w14:paraId="5F091A8C" w14:textId="77777777" w:rsidTr="00C96521">
        <w:tc>
          <w:tcPr>
            <w:tcW w:w="874" w:type="pct"/>
            <w:shd w:val="clear" w:color="auto" w:fill="auto"/>
          </w:tcPr>
          <w:p w14:paraId="6DF5A9EF"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Netherlands</w:t>
            </w:r>
          </w:p>
        </w:tc>
        <w:tc>
          <w:tcPr>
            <w:tcW w:w="605" w:type="pct"/>
            <w:shd w:val="clear" w:color="auto" w:fill="auto"/>
          </w:tcPr>
          <w:p w14:paraId="04852B8A" w14:textId="77777777" w:rsidR="00C96521" w:rsidRPr="00B70B7A" w:rsidRDefault="00C96521" w:rsidP="00C96521">
            <w:pPr>
              <w:widowControl/>
              <w:autoSpaceDE/>
              <w:autoSpaceDN/>
              <w:adjustRightInd/>
              <w:rPr>
                <w:rFonts w:ascii="Arial" w:hAnsi="Arial" w:cs="Arial"/>
                <w:sz w:val="20"/>
                <w:szCs w:val="20"/>
                <w:lang w:val="en-GB"/>
              </w:rPr>
            </w:pPr>
          </w:p>
        </w:tc>
        <w:tc>
          <w:tcPr>
            <w:tcW w:w="3521" w:type="pct"/>
          </w:tcPr>
          <w:p w14:paraId="03E40E66" w14:textId="77777777" w:rsidR="00C96521" w:rsidRPr="00B70B7A" w:rsidRDefault="00C96521" w:rsidP="00C96521">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Covered by EU Birds Directive. Not hunted.</w:t>
            </w:r>
          </w:p>
        </w:tc>
      </w:tr>
      <w:tr w:rsidR="00C96521" w:rsidRPr="00B70B7A" w14:paraId="776B2C35" w14:textId="77777777" w:rsidTr="00C96521">
        <w:tc>
          <w:tcPr>
            <w:tcW w:w="874" w:type="pct"/>
            <w:shd w:val="clear" w:color="auto" w:fill="auto"/>
          </w:tcPr>
          <w:p w14:paraId="7B4C4F3D"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Niger</w:t>
            </w:r>
          </w:p>
        </w:tc>
        <w:tc>
          <w:tcPr>
            <w:tcW w:w="605" w:type="pct"/>
            <w:shd w:val="clear" w:color="auto" w:fill="auto"/>
          </w:tcPr>
          <w:p w14:paraId="3988C3F5" w14:textId="77777777" w:rsidR="00C96521" w:rsidRPr="00B70B7A" w:rsidRDefault="00C96521" w:rsidP="00C96521">
            <w:pPr>
              <w:widowControl/>
              <w:autoSpaceDE/>
              <w:autoSpaceDN/>
              <w:adjustRightInd/>
              <w:rPr>
                <w:rFonts w:ascii="Arial" w:hAnsi="Arial" w:cs="Arial"/>
                <w:sz w:val="20"/>
                <w:szCs w:val="20"/>
                <w:lang w:val="en-GB"/>
              </w:rPr>
            </w:pPr>
          </w:p>
        </w:tc>
        <w:tc>
          <w:tcPr>
            <w:tcW w:w="3521" w:type="pct"/>
          </w:tcPr>
          <w:p w14:paraId="4ED25DF4" w14:textId="77777777" w:rsidR="00C96521" w:rsidRPr="00B70B7A" w:rsidRDefault="00C96521" w:rsidP="00C96521">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Hunting takes place (Brouwer 2014).</w:t>
            </w:r>
          </w:p>
        </w:tc>
      </w:tr>
      <w:tr w:rsidR="00C96521" w:rsidRPr="00B70B7A" w14:paraId="60C4A236" w14:textId="77777777" w:rsidTr="00C96521">
        <w:tc>
          <w:tcPr>
            <w:tcW w:w="874" w:type="pct"/>
            <w:shd w:val="clear" w:color="auto" w:fill="auto"/>
          </w:tcPr>
          <w:p w14:paraId="658BF3E6"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Palestinian Territory</w:t>
            </w:r>
          </w:p>
        </w:tc>
        <w:tc>
          <w:tcPr>
            <w:tcW w:w="605" w:type="pct"/>
            <w:shd w:val="clear" w:color="auto" w:fill="auto"/>
          </w:tcPr>
          <w:p w14:paraId="4518A821" w14:textId="77777777" w:rsidR="00C96521" w:rsidRPr="00B70B7A" w:rsidRDefault="00C96521" w:rsidP="00C96521">
            <w:pPr>
              <w:widowControl/>
              <w:autoSpaceDE/>
              <w:autoSpaceDN/>
              <w:adjustRightInd/>
              <w:rPr>
                <w:rFonts w:ascii="Arial" w:hAnsi="Arial" w:cs="Arial"/>
                <w:sz w:val="20"/>
                <w:szCs w:val="20"/>
                <w:lang w:val="en-GB"/>
              </w:rPr>
            </w:pPr>
          </w:p>
        </w:tc>
        <w:tc>
          <w:tcPr>
            <w:tcW w:w="3521" w:type="pct"/>
          </w:tcPr>
          <w:p w14:paraId="5DF6D134" w14:textId="77777777" w:rsidR="00C96521" w:rsidRPr="00B70B7A" w:rsidRDefault="00C96521" w:rsidP="00C96521">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Legislation based on Jordanian Environmental Law (BirdLife International 2014j), but status unclear.</w:t>
            </w:r>
          </w:p>
        </w:tc>
      </w:tr>
      <w:tr w:rsidR="00C96521" w:rsidRPr="00B70B7A" w14:paraId="068D7A6B" w14:textId="77777777" w:rsidTr="00C96521">
        <w:tc>
          <w:tcPr>
            <w:tcW w:w="874" w:type="pct"/>
            <w:shd w:val="clear" w:color="auto" w:fill="auto"/>
          </w:tcPr>
          <w:p w14:paraId="728FE827"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Poland</w:t>
            </w:r>
          </w:p>
        </w:tc>
        <w:tc>
          <w:tcPr>
            <w:tcW w:w="605" w:type="pct"/>
            <w:shd w:val="clear" w:color="auto" w:fill="auto"/>
          </w:tcPr>
          <w:p w14:paraId="15CA07A6" w14:textId="77777777" w:rsidR="00C96521" w:rsidRPr="00B70B7A" w:rsidRDefault="00C96521" w:rsidP="00C96521">
            <w:pPr>
              <w:widowControl/>
              <w:autoSpaceDE/>
              <w:autoSpaceDN/>
              <w:adjustRightInd/>
              <w:rPr>
                <w:rFonts w:ascii="Arial" w:hAnsi="Arial" w:cs="Arial"/>
                <w:sz w:val="20"/>
                <w:szCs w:val="20"/>
                <w:lang w:val="en-GB"/>
              </w:rPr>
            </w:pPr>
          </w:p>
        </w:tc>
        <w:tc>
          <w:tcPr>
            <w:tcW w:w="3521" w:type="pct"/>
          </w:tcPr>
          <w:p w14:paraId="029418F1" w14:textId="77777777" w:rsidR="00C96521" w:rsidRPr="00B70B7A" w:rsidRDefault="00C96521" w:rsidP="00C96521">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Covered by EU legislation. Not hunted.</w:t>
            </w:r>
          </w:p>
        </w:tc>
      </w:tr>
      <w:tr w:rsidR="00C96521" w:rsidRPr="00B70B7A" w14:paraId="5C88EC93" w14:textId="77777777" w:rsidTr="00C96521">
        <w:tc>
          <w:tcPr>
            <w:tcW w:w="874" w:type="pct"/>
            <w:shd w:val="clear" w:color="auto" w:fill="auto"/>
          </w:tcPr>
          <w:p w14:paraId="7C9E1C6F" w14:textId="77777777"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sz w:val="20"/>
                <w:szCs w:val="20"/>
                <w:lang w:val="en-GB"/>
              </w:rPr>
              <w:t>Portugal</w:t>
            </w:r>
          </w:p>
        </w:tc>
        <w:tc>
          <w:tcPr>
            <w:tcW w:w="605" w:type="pct"/>
            <w:shd w:val="clear" w:color="auto" w:fill="auto"/>
          </w:tcPr>
          <w:p w14:paraId="58B5BCAF" w14:textId="77777777" w:rsidR="00C96521" w:rsidRPr="00B70B7A" w:rsidRDefault="00C96521" w:rsidP="00C96521">
            <w:pPr>
              <w:widowControl/>
              <w:autoSpaceDE/>
              <w:autoSpaceDN/>
              <w:adjustRightInd/>
              <w:rPr>
                <w:rFonts w:ascii="Arial" w:hAnsi="Arial" w:cs="Arial"/>
                <w:i/>
                <w:sz w:val="20"/>
                <w:szCs w:val="20"/>
                <w:lang w:val="en-GB"/>
              </w:rPr>
            </w:pPr>
            <w:r w:rsidRPr="00B70B7A">
              <w:rPr>
                <w:rFonts w:ascii="Arial" w:hAnsi="Arial" w:cs="Arial"/>
                <w:sz w:val="20"/>
                <w:szCs w:val="20"/>
                <w:lang w:val="en-GB"/>
              </w:rPr>
              <w:t>109,815 2</w:t>
            </w:r>
            <w:r w:rsidRPr="00B70B7A">
              <w:rPr>
                <w:rFonts w:ascii="Arial" w:hAnsi="Arial" w:cs="Arial"/>
                <w:i/>
                <w:sz w:val="20"/>
                <w:szCs w:val="20"/>
                <w:lang w:val="en-GB"/>
              </w:rPr>
              <w:t>013-14</w:t>
            </w:r>
          </w:p>
        </w:tc>
        <w:tc>
          <w:tcPr>
            <w:tcW w:w="3521" w:type="pct"/>
          </w:tcPr>
          <w:p w14:paraId="4F14658F" w14:textId="520AD1F4" w:rsidR="00C96521" w:rsidRPr="00B70B7A" w:rsidRDefault="00C96521" w:rsidP="00C96521">
            <w:pPr>
              <w:widowControl/>
              <w:autoSpaceDE/>
              <w:autoSpaceDN/>
              <w:adjustRightInd/>
              <w:rPr>
                <w:rFonts w:ascii="Arial" w:hAnsi="Arial" w:cs="Arial"/>
                <w:sz w:val="20"/>
                <w:szCs w:val="20"/>
                <w:lang w:val="en-GB"/>
              </w:rPr>
            </w:pPr>
            <w:r w:rsidRPr="00B70B7A">
              <w:rPr>
                <w:rFonts w:ascii="Arial" w:hAnsi="Arial" w:cs="Arial"/>
                <w:color w:val="000000"/>
                <w:sz w:val="20"/>
                <w:szCs w:val="20"/>
                <w:lang w:val="en-GB"/>
              </w:rPr>
              <w:t xml:space="preserve">Covered by EU Birds Directive. Since 2012, the third Sunday in Aug to 30 Sep. The daily bag limit was reduced from 8 to 6 birds in 2015, reducing further to 5 in 2017 and 4 in 2018. Available bag statistics 1989-2011, covering c90% of the country show a 0.4% annual decrease (ICNF </w:t>
            </w:r>
            <w:r w:rsidRPr="00B70B7A">
              <w:rPr>
                <w:rFonts w:ascii="Arial" w:hAnsi="Arial" w:cs="Arial"/>
                <w:i/>
                <w:color w:val="000000"/>
                <w:sz w:val="20"/>
                <w:szCs w:val="20"/>
                <w:lang w:val="en-GB"/>
              </w:rPr>
              <w:t>unpublished data</w:t>
            </w:r>
            <w:r w:rsidRPr="00B70B7A">
              <w:rPr>
                <w:rFonts w:ascii="Arial" w:hAnsi="Arial" w:cs="Arial"/>
                <w:color w:val="000000"/>
                <w:sz w:val="20"/>
                <w:szCs w:val="20"/>
                <w:lang w:val="en-GB"/>
              </w:rPr>
              <w:t xml:space="preserve">, Susana Dias </w:t>
            </w:r>
            <w:r w:rsidRPr="00B70B7A">
              <w:rPr>
                <w:rFonts w:ascii="Arial" w:hAnsi="Arial" w:cs="Arial"/>
                <w:i/>
                <w:color w:val="000000"/>
                <w:sz w:val="20"/>
                <w:szCs w:val="20"/>
                <w:lang w:val="en-GB"/>
              </w:rPr>
              <w:t>pers comm</w:t>
            </w:r>
            <w:r w:rsidRPr="00B70B7A">
              <w:rPr>
                <w:rFonts w:ascii="Arial" w:hAnsi="Arial" w:cs="Arial"/>
                <w:color w:val="000000"/>
                <w:sz w:val="20"/>
                <w:szCs w:val="20"/>
                <w:lang w:val="en-GB"/>
              </w:rPr>
              <w:t xml:space="preserve">). </w:t>
            </w:r>
            <w:r w:rsidRPr="00B70B7A">
              <w:rPr>
                <w:rFonts w:ascii="Arial" w:hAnsi="Arial" w:cs="Arial"/>
                <w:sz w:val="20"/>
                <w:szCs w:val="20"/>
                <w:lang w:val="en-GB"/>
              </w:rPr>
              <w:t xml:space="preserve">The number of birds shot was c200,000 in 2009/2010, dropping to c120,000 birds in the last three hunting seasons (2014-2016). The number of birds shot has decreased from c11.2 birds shot/100 ha in 1996/1997 to 3.4/100 ha in 2014/2015 (Júlia Almeida </w:t>
            </w:r>
            <w:r w:rsidRPr="00B70B7A">
              <w:rPr>
                <w:rFonts w:ascii="Arial" w:hAnsi="Arial" w:cs="Arial"/>
                <w:i/>
                <w:sz w:val="20"/>
                <w:szCs w:val="20"/>
                <w:lang w:val="en-GB"/>
              </w:rPr>
              <w:t>pers comm;</w:t>
            </w:r>
            <w:r w:rsidRPr="00B70B7A">
              <w:rPr>
                <w:rFonts w:ascii="Arial" w:hAnsi="Arial" w:cs="Arial"/>
                <w:sz w:val="20"/>
                <w:szCs w:val="20"/>
                <w:lang w:val="en-GB"/>
              </w:rPr>
              <w:t xml:space="preserve"> </w:t>
            </w:r>
            <w:r w:rsidRPr="00B70B7A">
              <w:rPr>
                <w:rFonts w:ascii="Arial" w:hAnsi="Arial" w:cs="Arial"/>
                <w:color w:val="000000"/>
                <w:sz w:val="20"/>
                <w:szCs w:val="20"/>
                <w:lang w:val="en-GB"/>
              </w:rPr>
              <w:t>Breeding Monitoring Scheme 1994-2004; hunting statistics for game estates 1989 onwards; past and current National Breeding Birds Atlas).</w:t>
            </w:r>
          </w:p>
        </w:tc>
      </w:tr>
      <w:tr w:rsidR="00B70B7A" w:rsidRPr="00B70B7A" w14:paraId="3A30F7F8" w14:textId="77777777" w:rsidTr="00C96521">
        <w:tc>
          <w:tcPr>
            <w:tcW w:w="874" w:type="pct"/>
            <w:shd w:val="clear" w:color="auto" w:fill="auto"/>
          </w:tcPr>
          <w:p w14:paraId="1E38FB6C" w14:textId="0360C03E" w:rsidR="00B70B7A" w:rsidRPr="00B70B7A" w:rsidRDefault="00B70B7A" w:rsidP="00B70B7A">
            <w:pPr>
              <w:widowControl/>
              <w:autoSpaceDE/>
              <w:autoSpaceDN/>
              <w:adjustRightInd/>
              <w:rPr>
                <w:rFonts w:cs="Arial"/>
                <w:sz w:val="20"/>
                <w:szCs w:val="20"/>
                <w:lang w:val="en-GB"/>
              </w:rPr>
            </w:pPr>
            <w:r w:rsidRPr="00B70B7A">
              <w:rPr>
                <w:rFonts w:ascii="Arial" w:hAnsi="Arial" w:cs="Arial"/>
                <w:sz w:val="20"/>
                <w:szCs w:val="20"/>
                <w:lang w:val="en-GB"/>
              </w:rPr>
              <w:t>Republic of Moldova</w:t>
            </w:r>
          </w:p>
        </w:tc>
        <w:tc>
          <w:tcPr>
            <w:tcW w:w="605" w:type="pct"/>
            <w:shd w:val="clear" w:color="auto" w:fill="auto"/>
          </w:tcPr>
          <w:p w14:paraId="0B121E9A" w14:textId="77777777" w:rsidR="00B70B7A" w:rsidRPr="00B70B7A" w:rsidRDefault="00B70B7A" w:rsidP="00B70B7A">
            <w:pPr>
              <w:widowControl/>
              <w:autoSpaceDE/>
              <w:autoSpaceDN/>
              <w:adjustRightInd/>
              <w:rPr>
                <w:rFonts w:cs="Arial"/>
                <w:sz w:val="20"/>
                <w:szCs w:val="20"/>
                <w:lang w:val="en-GB"/>
              </w:rPr>
            </w:pPr>
          </w:p>
        </w:tc>
        <w:tc>
          <w:tcPr>
            <w:tcW w:w="3521" w:type="pct"/>
          </w:tcPr>
          <w:p w14:paraId="512CAE8B" w14:textId="08752EB2" w:rsidR="00B70B7A" w:rsidRPr="00B70B7A" w:rsidRDefault="00B70B7A" w:rsidP="00B70B7A">
            <w:pPr>
              <w:widowControl/>
              <w:autoSpaceDE/>
              <w:autoSpaceDN/>
              <w:adjustRightInd/>
              <w:rPr>
                <w:rFonts w:cs="Arial"/>
                <w:sz w:val="20"/>
                <w:szCs w:val="20"/>
                <w:lang w:val="en-GB"/>
              </w:rPr>
            </w:pPr>
            <w:r w:rsidRPr="00BA3B6E">
              <w:rPr>
                <w:rFonts w:ascii="Arial" w:hAnsi="Arial" w:cs="Arial"/>
                <w:color w:val="000000"/>
                <w:sz w:val="20"/>
                <w:szCs w:val="20"/>
                <w:lang w:val="en-GB"/>
              </w:rPr>
              <w:t xml:space="preserve">"Doves" are huntable from Aug to Dec (Travel in Moldova </w:t>
            </w:r>
            <w:r w:rsidRPr="00BA3B6E">
              <w:rPr>
                <w:rFonts w:ascii="Arial" w:hAnsi="Arial" w:cs="Arial"/>
                <w:i/>
                <w:color w:val="000000"/>
                <w:sz w:val="20"/>
                <w:szCs w:val="20"/>
                <w:lang w:val="en-GB"/>
              </w:rPr>
              <w:t>undated</w:t>
            </w:r>
            <w:r w:rsidRPr="00BA3B6E">
              <w:rPr>
                <w:rFonts w:ascii="Arial" w:hAnsi="Arial" w:cs="Arial"/>
                <w:color w:val="000000"/>
                <w:sz w:val="20"/>
                <w:szCs w:val="20"/>
                <w:lang w:val="en-GB"/>
              </w:rPr>
              <w:t xml:space="preserve">). However, the Republic of Moldova Government Decision no. 963 of 08.08.2016 made hunting for migratory birds (including </w:t>
            </w:r>
            <w:r w:rsidRPr="00BA3B6E">
              <w:rPr>
                <w:rFonts w:ascii="Arial" w:hAnsi="Arial" w:cs="Arial"/>
                <w:sz w:val="20"/>
                <w:szCs w:val="20"/>
                <w:lang w:val="en-GB"/>
              </w:rPr>
              <w:t>Turtle Doves</w:t>
            </w:r>
            <w:r w:rsidRPr="00BA3B6E">
              <w:rPr>
                <w:rFonts w:ascii="Arial" w:hAnsi="Arial" w:cs="Arial"/>
                <w:color w:val="000000"/>
                <w:sz w:val="20"/>
                <w:szCs w:val="20"/>
                <w:lang w:val="en-GB"/>
              </w:rPr>
              <w:t xml:space="preserve">) forbidden during 2016-2017 (Vitalie Grimalschi </w:t>
            </w:r>
            <w:r w:rsidRPr="00BA3B6E">
              <w:rPr>
                <w:rFonts w:ascii="Arial" w:hAnsi="Arial" w:cs="Arial"/>
                <w:i/>
                <w:color w:val="000000"/>
                <w:sz w:val="20"/>
                <w:szCs w:val="20"/>
                <w:lang w:val="en-GB"/>
              </w:rPr>
              <w:t>pers comm</w:t>
            </w:r>
            <w:r w:rsidRPr="00BA3B6E">
              <w:rPr>
                <w:rFonts w:ascii="Arial" w:hAnsi="Arial" w:cs="Arial"/>
                <w:color w:val="000000"/>
                <w:sz w:val="20"/>
                <w:szCs w:val="20"/>
                <w:lang w:val="en-GB"/>
              </w:rPr>
              <w:t>).</w:t>
            </w:r>
          </w:p>
        </w:tc>
      </w:tr>
      <w:tr w:rsidR="00B70B7A" w:rsidRPr="00B70B7A" w14:paraId="6910E622" w14:textId="77777777" w:rsidTr="00C96521">
        <w:tc>
          <w:tcPr>
            <w:tcW w:w="874" w:type="pct"/>
            <w:shd w:val="clear" w:color="auto" w:fill="auto"/>
          </w:tcPr>
          <w:p w14:paraId="0BE8A423" w14:textId="77777777"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sz w:val="20"/>
                <w:szCs w:val="20"/>
                <w:lang w:val="en-GB"/>
              </w:rPr>
              <w:t>Romania</w:t>
            </w:r>
          </w:p>
        </w:tc>
        <w:tc>
          <w:tcPr>
            <w:tcW w:w="605" w:type="pct"/>
            <w:shd w:val="clear" w:color="auto" w:fill="auto"/>
          </w:tcPr>
          <w:p w14:paraId="76ED994B" w14:textId="77777777"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sz w:val="20"/>
                <w:szCs w:val="20"/>
                <w:lang w:val="en-GB"/>
              </w:rPr>
              <w:t>30,000 max</w:t>
            </w:r>
          </w:p>
          <w:p w14:paraId="141ED67F" w14:textId="77777777" w:rsidR="00B70B7A" w:rsidRPr="00B70B7A" w:rsidRDefault="00B70B7A" w:rsidP="00B70B7A">
            <w:pPr>
              <w:widowControl/>
              <w:autoSpaceDE/>
              <w:autoSpaceDN/>
              <w:adjustRightInd/>
              <w:rPr>
                <w:rFonts w:ascii="Arial" w:hAnsi="Arial" w:cs="Arial"/>
                <w:i/>
                <w:sz w:val="20"/>
                <w:szCs w:val="20"/>
                <w:lang w:val="en-GB"/>
              </w:rPr>
            </w:pPr>
            <w:r w:rsidRPr="00B70B7A">
              <w:rPr>
                <w:rFonts w:ascii="Arial" w:hAnsi="Arial" w:cs="Arial"/>
                <w:i/>
                <w:sz w:val="20"/>
                <w:szCs w:val="20"/>
                <w:lang w:val="en-GB"/>
              </w:rPr>
              <w:t>annually</w:t>
            </w:r>
          </w:p>
        </w:tc>
        <w:tc>
          <w:tcPr>
            <w:tcW w:w="3521" w:type="pct"/>
          </w:tcPr>
          <w:p w14:paraId="7E179089" w14:textId="77777777"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sz w:val="20"/>
                <w:szCs w:val="20"/>
                <w:lang w:val="en-GB"/>
              </w:rPr>
              <w:t>Covered by EU Birds Directive. Annual quota approved each year by the Government. The seasons starts on the 15</w:t>
            </w:r>
            <w:r w:rsidRPr="00B70B7A">
              <w:rPr>
                <w:rFonts w:ascii="Arial" w:hAnsi="Arial" w:cs="Arial"/>
                <w:sz w:val="20"/>
                <w:szCs w:val="20"/>
                <w:vertAlign w:val="superscript"/>
                <w:lang w:val="en-GB"/>
              </w:rPr>
              <w:t>th</w:t>
            </w:r>
            <w:r w:rsidRPr="00B70B7A">
              <w:rPr>
                <w:rFonts w:ascii="Arial" w:hAnsi="Arial" w:cs="Arial"/>
                <w:sz w:val="20"/>
                <w:szCs w:val="20"/>
                <w:lang w:val="en-GB"/>
              </w:rPr>
              <w:t xml:space="preserve"> of Aug. At the recent request of the Government, the end of the hunting period was shortened back from the 18</w:t>
            </w:r>
            <w:r w:rsidRPr="00B70B7A">
              <w:rPr>
                <w:rFonts w:ascii="Arial" w:hAnsi="Arial" w:cs="Arial"/>
                <w:sz w:val="20"/>
                <w:szCs w:val="20"/>
                <w:vertAlign w:val="superscript"/>
                <w:lang w:val="en-GB"/>
              </w:rPr>
              <w:t>th</w:t>
            </w:r>
            <w:r w:rsidRPr="00B70B7A">
              <w:rPr>
                <w:rFonts w:ascii="Arial" w:hAnsi="Arial" w:cs="Arial"/>
                <w:sz w:val="20"/>
                <w:szCs w:val="20"/>
                <w:lang w:val="en-GB"/>
              </w:rPr>
              <w:t xml:space="preserve"> of Feb to the 30</w:t>
            </w:r>
            <w:r w:rsidRPr="00B70B7A">
              <w:rPr>
                <w:rFonts w:ascii="Arial" w:hAnsi="Arial" w:cs="Arial"/>
                <w:sz w:val="20"/>
                <w:szCs w:val="20"/>
                <w:vertAlign w:val="superscript"/>
                <w:lang w:val="en-GB"/>
              </w:rPr>
              <w:t>th</w:t>
            </w:r>
            <w:r w:rsidRPr="00B70B7A">
              <w:rPr>
                <w:rFonts w:ascii="Arial" w:hAnsi="Arial" w:cs="Arial"/>
                <w:sz w:val="20"/>
                <w:szCs w:val="20"/>
                <w:lang w:val="en-GB"/>
              </w:rPr>
              <w:t xml:space="preserve"> Sep. An estimated 30,000 individuals are taken yearly. (Michele Sorrenti </w:t>
            </w:r>
            <w:r w:rsidRPr="00B70B7A">
              <w:rPr>
                <w:rFonts w:ascii="Arial" w:hAnsi="Arial" w:cs="Arial"/>
                <w:i/>
                <w:sz w:val="20"/>
                <w:szCs w:val="20"/>
                <w:lang w:val="en-GB"/>
              </w:rPr>
              <w:t>pers comm</w:t>
            </w:r>
            <w:r w:rsidRPr="00B70B7A">
              <w:rPr>
                <w:rFonts w:ascii="Arial" w:hAnsi="Arial" w:cs="Arial"/>
                <w:sz w:val="20"/>
                <w:szCs w:val="20"/>
                <w:lang w:val="en-GB"/>
              </w:rPr>
              <w:t>)</w:t>
            </w:r>
          </w:p>
        </w:tc>
      </w:tr>
      <w:tr w:rsidR="00B70B7A" w:rsidRPr="00B70B7A" w14:paraId="6658D0B9" w14:textId="77777777" w:rsidTr="00C96521">
        <w:tc>
          <w:tcPr>
            <w:tcW w:w="874" w:type="pct"/>
            <w:shd w:val="clear" w:color="auto" w:fill="auto"/>
          </w:tcPr>
          <w:p w14:paraId="485984B0" w14:textId="77777777"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sz w:val="20"/>
                <w:szCs w:val="20"/>
                <w:lang w:val="en-GB"/>
              </w:rPr>
              <w:t>Russian Federation (European)</w:t>
            </w:r>
          </w:p>
        </w:tc>
        <w:tc>
          <w:tcPr>
            <w:tcW w:w="605" w:type="pct"/>
            <w:shd w:val="clear" w:color="auto" w:fill="auto"/>
          </w:tcPr>
          <w:p w14:paraId="2D4421B7" w14:textId="77777777" w:rsidR="00B70B7A" w:rsidRPr="00B70B7A" w:rsidRDefault="00B70B7A" w:rsidP="00B70B7A">
            <w:pPr>
              <w:widowControl/>
              <w:autoSpaceDE/>
              <w:autoSpaceDN/>
              <w:adjustRightInd/>
              <w:rPr>
                <w:rFonts w:ascii="Arial" w:hAnsi="Arial" w:cs="Arial"/>
                <w:sz w:val="20"/>
                <w:szCs w:val="20"/>
                <w:lang w:val="en-GB"/>
              </w:rPr>
            </w:pPr>
          </w:p>
        </w:tc>
        <w:tc>
          <w:tcPr>
            <w:tcW w:w="3521" w:type="pct"/>
          </w:tcPr>
          <w:p w14:paraId="29CE31CA" w14:textId="77777777"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color w:val="000000"/>
                <w:sz w:val="20"/>
                <w:szCs w:val="20"/>
                <w:lang w:val="en-GB"/>
              </w:rPr>
              <w:t xml:space="preserve">Imminent protected by inclusion in the Red Data Book of the Russian Federation; hunting of turtle-dove will be prohibited for at least 10 years, with serious penalties for illegal killing (Alexander Mischenko </w:t>
            </w:r>
            <w:r w:rsidRPr="00B70B7A">
              <w:rPr>
                <w:rFonts w:ascii="Arial" w:hAnsi="Arial" w:cs="Arial"/>
                <w:i/>
                <w:color w:val="000000"/>
                <w:sz w:val="20"/>
                <w:szCs w:val="20"/>
                <w:lang w:val="en-GB"/>
              </w:rPr>
              <w:t>pers comm</w:t>
            </w:r>
            <w:r w:rsidRPr="00B70B7A">
              <w:rPr>
                <w:rFonts w:ascii="Arial" w:hAnsi="Arial" w:cs="Arial"/>
                <w:color w:val="000000"/>
                <w:sz w:val="20"/>
                <w:szCs w:val="20"/>
                <w:lang w:val="en-GB"/>
              </w:rPr>
              <w:t xml:space="preserve">, Evgeny Syroechkovskiy </w:t>
            </w:r>
            <w:r w:rsidRPr="00B70B7A">
              <w:rPr>
                <w:rFonts w:ascii="Arial" w:hAnsi="Arial" w:cs="Arial"/>
                <w:i/>
                <w:color w:val="000000"/>
                <w:sz w:val="20"/>
                <w:szCs w:val="20"/>
                <w:lang w:val="en-GB"/>
              </w:rPr>
              <w:t>pers comm</w:t>
            </w:r>
            <w:r w:rsidRPr="00B70B7A">
              <w:rPr>
                <w:rFonts w:ascii="Arial" w:hAnsi="Arial" w:cs="Arial"/>
                <w:color w:val="000000"/>
                <w:sz w:val="20"/>
                <w:szCs w:val="20"/>
                <w:lang w:val="en-GB"/>
              </w:rPr>
              <w:t>). Generally, hunting in north-west Russia takes low numbers (Rouxel 2000).</w:t>
            </w:r>
          </w:p>
        </w:tc>
      </w:tr>
      <w:tr w:rsidR="00B70B7A" w:rsidRPr="00B70B7A" w14:paraId="7109178D" w14:textId="77777777" w:rsidTr="00C96521">
        <w:tc>
          <w:tcPr>
            <w:tcW w:w="874" w:type="pct"/>
            <w:shd w:val="clear" w:color="auto" w:fill="auto"/>
          </w:tcPr>
          <w:p w14:paraId="784C27D7" w14:textId="77777777"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sz w:val="20"/>
                <w:szCs w:val="20"/>
                <w:lang w:val="en-GB"/>
              </w:rPr>
              <w:t>Senegal</w:t>
            </w:r>
          </w:p>
        </w:tc>
        <w:tc>
          <w:tcPr>
            <w:tcW w:w="605" w:type="pct"/>
            <w:shd w:val="clear" w:color="auto" w:fill="auto"/>
          </w:tcPr>
          <w:p w14:paraId="1CA14CC2" w14:textId="77777777" w:rsidR="00B70B7A" w:rsidRPr="00B70B7A" w:rsidRDefault="00B70B7A" w:rsidP="00B70B7A">
            <w:pPr>
              <w:widowControl/>
              <w:autoSpaceDE/>
              <w:autoSpaceDN/>
              <w:adjustRightInd/>
              <w:rPr>
                <w:rFonts w:ascii="Arial" w:hAnsi="Arial" w:cs="Arial"/>
                <w:sz w:val="20"/>
                <w:szCs w:val="20"/>
                <w:lang w:val="en-GB"/>
              </w:rPr>
            </w:pPr>
          </w:p>
        </w:tc>
        <w:tc>
          <w:tcPr>
            <w:tcW w:w="3521" w:type="pct"/>
          </w:tcPr>
          <w:p w14:paraId="730A6672" w14:textId="77777777"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sz w:val="20"/>
                <w:szCs w:val="20"/>
                <w:lang w:val="en-GB"/>
              </w:rPr>
              <w:t xml:space="preserve">Hunting of turtle-doves at their roost sites and drinking pools is commonplace and is facilitated by European travel agencies (Tucker 1996, Carvalho and Dias 2003, Zwarts </w:t>
            </w:r>
            <w:r w:rsidRPr="00B70B7A">
              <w:rPr>
                <w:rFonts w:ascii="Arial" w:hAnsi="Arial" w:cs="Arial"/>
                <w:i/>
                <w:sz w:val="20"/>
                <w:szCs w:val="20"/>
                <w:lang w:val="en-GB"/>
              </w:rPr>
              <w:t>et al</w:t>
            </w:r>
            <w:r w:rsidRPr="00B70B7A">
              <w:rPr>
                <w:rFonts w:ascii="Arial" w:hAnsi="Arial" w:cs="Arial"/>
                <w:sz w:val="20"/>
                <w:szCs w:val="20"/>
                <w:lang w:val="en-GB"/>
              </w:rPr>
              <w:t xml:space="preserve"> 2009, Raffael Ayé </w:t>
            </w:r>
            <w:r w:rsidRPr="00B70B7A">
              <w:rPr>
                <w:rFonts w:ascii="Arial" w:hAnsi="Arial" w:cs="Arial"/>
                <w:i/>
                <w:sz w:val="20"/>
                <w:szCs w:val="20"/>
                <w:lang w:val="en-GB"/>
              </w:rPr>
              <w:t>pers comm</w:t>
            </w:r>
            <w:r w:rsidRPr="00B70B7A">
              <w:rPr>
                <w:rFonts w:ascii="Arial" w:hAnsi="Arial" w:cs="Arial"/>
                <w:sz w:val="20"/>
                <w:szCs w:val="20"/>
                <w:lang w:val="en-GB"/>
              </w:rPr>
              <w:t>).</w:t>
            </w:r>
          </w:p>
        </w:tc>
      </w:tr>
      <w:tr w:rsidR="00B70B7A" w:rsidRPr="00B70B7A" w14:paraId="72968C93" w14:textId="77777777" w:rsidTr="00C96521">
        <w:tc>
          <w:tcPr>
            <w:tcW w:w="874" w:type="pct"/>
            <w:shd w:val="clear" w:color="auto" w:fill="auto"/>
          </w:tcPr>
          <w:p w14:paraId="04D96B0C" w14:textId="77777777"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sz w:val="20"/>
                <w:szCs w:val="20"/>
                <w:lang w:val="en-GB"/>
              </w:rPr>
              <w:t>Serbia</w:t>
            </w:r>
          </w:p>
        </w:tc>
        <w:tc>
          <w:tcPr>
            <w:tcW w:w="605" w:type="pct"/>
            <w:shd w:val="clear" w:color="auto" w:fill="auto"/>
          </w:tcPr>
          <w:p w14:paraId="23EC515A" w14:textId="77777777" w:rsidR="00B70B7A" w:rsidRPr="00B70B7A" w:rsidRDefault="00B70B7A" w:rsidP="00B70B7A">
            <w:pPr>
              <w:widowControl/>
              <w:autoSpaceDE/>
              <w:autoSpaceDN/>
              <w:adjustRightInd/>
              <w:rPr>
                <w:rFonts w:ascii="Arial" w:hAnsi="Arial" w:cs="Arial"/>
                <w:sz w:val="20"/>
                <w:szCs w:val="20"/>
                <w:lang w:val="en-GB"/>
              </w:rPr>
            </w:pPr>
          </w:p>
        </w:tc>
        <w:tc>
          <w:tcPr>
            <w:tcW w:w="3521" w:type="pct"/>
          </w:tcPr>
          <w:p w14:paraId="3BF9A0B1" w14:textId="77777777" w:rsidR="00B70B7A" w:rsidRPr="00B70B7A" w:rsidRDefault="00B70B7A" w:rsidP="00B70B7A">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Hunting ban in place from Oct 2015 to Mar 2017 due to public pressure. Generally, the season is 1</w:t>
            </w:r>
            <w:r w:rsidRPr="00B70B7A">
              <w:rPr>
                <w:rFonts w:ascii="Arial" w:hAnsi="Arial" w:cs="Arial"/>
                <w:color w:val="000000"/>
                <w:sz w:val="20"/>
                <w:szCs w:val="20"/>
                <w:vertAlign w:val="superscript"/>
                <w:lang w:val="en-GB"/>
              </w:rPr>
              <w:t>st</w:t>
            </w:r>
            <w:r w:rsidRPr="00B70B7A">
              <w:rPr>
                <w:rFonts w:ascii="Arial" w:hAnsi="Arial" w:cs="Arial"/>
                <w:color w:val="000000"/>
                <w:sz w:val="20"/>
                <w:szCs w:val="20"/>
                <w:lang w:val="en-GB"/>
              </w:rPr>
              <w:t xml:space="preserve"> Aug to 30</w:t>
            </w:r>
            <w:r w:rsidRPr="00B70B7A">
              <w:rPr>
                <w:rFonts w:ascii="Arial" w:hAnsi="Arial" w:cs="Arial"/>
                <w:color w:val="000000"/>
                <w:sz w:val="20"/>
                <w:szCs w:val="20"/>
                <w:vertAlign w:val="superscript"/>
                <w:lang w:val="en-GB"/>
              </w:rPr>
              <w:t>th</w:t>
            </w:r>
            <w:r w:rsidRPr="00B70B7A">
              <w:rPr>
                <w:rFonts w:ascii="Arial" w:hAnsi="Arial" w:cs="Arial"/>
                <w:color w:val="000000"/>
                <w:sz w:val="20"/>
                <w:szCs w:val="20"/>
                <w:lang w:val="en-GB"/>
              </w:rPr>
              <w:t xml:space="preserve"> Sep (BirdLife International 2014k, Institute for Nature Conservation of Serbia 2015).</w:t>
            </w:r>
          </w:p>
        </w:tc>
      </w:tr>
      <w:tr w:rsidR="00B70B7A" w:rsidRPr="00B70B7A" w14:paraId="7D8D0F57" w14:textId="77777777" w:rsidTr="00C96521">
        <w:tc>
          <w:tcPr>
            <w:tcW w:w="874" w:type="pct"/>
            <w:shd w:val="clear" w:color="auto" w:fill="auto"/>
          </w:tcPr>
          <w:p w14:paraId="149BE149" w14:textId="77777777"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sz w:val="20"/>
                <w:szCs w:val="20"/>
                <w:lang w:val="en-GB"/>
              </w:rPr>
              <w:t>Slovakia</w:t>
            </w:r>
          </w:p>
        </w:tc>
        <w:tc>
          <w:tcPr>
            <w:tcW w:w="605" w:type="pct"/>
            <w:shd w:val="clear" w:color="auto" w:fill="auto"/>
          </w:tcPr>
          <w:p w14:paraId="3B1E66FD" w14:textId="77777777" w:rsidR="00B70B7A" w:rsidRPr="00B70B7A" w:rsidRDefault="00B70B7A" w:rsidP="00B70B7A">
            <w:pPr>
              <w:widowControl/>
              <w:autoSpaceDE/>
              <w:autoSpaceDN/>
              <w:adjustRightInd/>
              <w:rPr>
                <w:rFonts w:ascii="Arial" w:hAnsi="Arial" w:cs="Arial"/>
                <w:sz w:val="20"/>
                <w:szCs w:val="20"/>
                <w:lang w:val="en-GB"/>
              </w:rPr>
            </w:pPr>
          </w:p>
        </w:tc>
        <w:tc>
          <w:tcPr>
            <w:tcW w:w="3521" w:type="pct"/>
          </w:tcPr>
          <w:p w14:paraId="1861DDF7" w14:textId="77777777" w:rsidR="00B70B7A" w:rsidRPr="00B70B7A" w:rsidDel="0094005B" w:rsidRDefault="00B70B7A" w:rsidP="00B70B7A">
            <w:pPr>
              <w:widowControl/>
              <w:autoSpaceDE/>
              <w:autoSpaceDN/>
              <w:adjustRightInd/>
              <w:rPr>
                <w:rFonts w:ascii="Arial" w:hAnsi="Arial" w:cs="Arial"/>
                <w:sz w:val="20"/>
                <w:szCs w:val="20"/>
                <w:lang w:val="en-GB"/>
              </w:rPr>
            </w:pPr>
            <w:r w:rsidRPr="00B70B7A">
              <w:rPr>
                <w:rFonts w:ascii="Arial" w:hAnsi="Arial" w:cs="Arial"/>
                <w:color w:val="000000"/>
                <w:sz w:val="20"/>
                <w:szCs w:val="20"/>
                <w:lang w:val="en-GB"/>
              </w:rPr>
              <w:t>Covered by EU Birds Directive. Not hunted.</w:t>
            </w:r>
          </w:p>
        </w:tc>
      </w:tr>
      <w:tr w:rsidR="00B70B7A" w:rsidRPr="00B70B7A" w14:paraId="2F90BD81" w14:textId="77777777" w:rsidTr="00C96521">
        <w:tc>
          <w:tcPr>
            <w:tcW w:w="874" w:type="pct"/>
            <w:shd w:val="clear" w:color="auto" w:fill="auto"/>
          </w:tcPr>
          <w:p w14:paraId="279268CE" w14:textId="77777777"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sz w:val="20"/>
                <w:szCs w:val="20"/>
                <w:lang w:val="en-GB"/>
              </w:rPr>
              <w:t>Slovenia</w:t>
            </w:r>
          </w:p>
        </w:tc>
        <w:tc>
          <w:tcPr>
            <w:tcW w:w="605" w:type="pct"/>
            <w:shd w:val="clear" w:color="auto" w:fill="auto"/>
          </w:tcPr>
          <w:p w14:paraId="36CB6567" w14:textId="77777777" w:rsidR="00B70B7A" w:rsidRPr="00B70B7A" w:rsidDel="005753A4" w:rsidRDefault="00B70B7A" w:rsidP="00B70B7A">
            <w:pPr>
              <w:widowControl/>
              <w:autoSpaceDE/>
              <w:autoSpaceDN/>
              <w:adjustRightInd/>
              <w:rPr>
                <w:rFonts w:ascii="Arial" w:hAnsi="Arial" w:cs="Arial"/>
                <w:sz w:val="20"/>
                <w:szCs w:val="20"/>
                <w:lang w:val="en-GB"/>
              </w:rPr>
            </w:pPr>
          </w:p>
        </w:tc>
        <w:tc>
          <w:tcPr>
            <w:tcW w:w="3521" w:type="pct"/>
          </w:tcPr>
          <w:p w14:paraId="33FDED98" w14:textId="77777777" w:rsidR="00B70B7A" w:rsidRPr="00B70B7A" w:rsidRDefault="00B70B7A" w:rsidP="00B70B7A">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Covered by EU Birds Directive. Not hunted.</w:t>
            </w:r>
          </w:p>
        </w:tc>
      </w:tr>
      <w:tr w:rsidR="00B70B7A" w:rsidRPr="00B70B7A" w14:paraId="7692FE67" w14:textId="77777777" w:rsidTr="00C96521">
        <w:tc>
          <w:tcPr>
            <w:tcW w:w="874" w:type="pct"/>
            <w:shd w:val="clear" w:color="auto" w:fill="auto"/>
          </w:tcPr>
          <w:p w14:paraId="5EC2DD2C" w14:textId="77777777"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sz w:val="20"/>
                <w:szCs w:val="20"/>
                <w:lang w:val="en-GB"/>
              </w:rPr>
              <w:t>Spain</w:t>
            </w:r>
          </w:p>
        </w:tc>
        <w:tc>
          <w:tcPr>
            <w:tcW w:w="605" w:type="pct"/>
            <w:shd w:val="clear" w:color="auto" w:fill="auto"/>
          </w:tcPr>
          <w:p w14:paraId="74ABBC9E" w14:textId="77777777"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sz w:val="20"/>
                <w:szCs w:val="20"/>
                <w:lang w:val="en-GB"/>
              </w:rPr>
              <w:t>436,807-805,643</w:t>
            </w:r>
          </w:p>
          <w:p w14:paraId="7B6FFF38" w14:textId="77777777" w:rsidR="00B70B7A" w:rsidRPr="00B70B7A" w:rsidRDefault="00B70B7A" w:rsidP="00B70B7A">
            <w:pPr>
              <w:widowControl/>
              <w:autoSpaceDE/>
              <w:autoSpaceDN/>
              <w:adjustRightInd/>
              <w:rPr>
                <w:rFonts w:ascii="Arial" w:hAnsi="Arial" w:cs="Arial"/>
                <w:i/>
                <w:sz w:val="20"/>
                <w:szCs w:val="20"/>
                <w:lang w:val="en-GB"/>
              </w:rPr>
            </w:pPr>
            <w:r w:rsidRPr="00B70B7A">
              <w:rPr>
                <w:rFonts w:ascii="Arial" w:hAnsi="Arial" w:cs="Arial"/>
                <w:i/>
                <w:sz w:val="20"/>
                <w:szCs w:val="20"/>
                <w:lang w:val="en-GB"/>
              </w:rPr>
              <w:t>annually</w:t>
            </w:r>
          </w:p>
        </w:tc>
        <w:tc>
          <w:tcPr>
            <w:tcW w:w="3521" w:type="pct"/>
          </w:tcPr>
          <w:p w14:paraId="129EF112" w14:textId="02645709"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color w:val="000000"/>
                <w:sz w:val="20"/>
                <w:szCs w:val="20"/>
                <w:lang w:val="en-GB"/>
              </w:rPr>
              <w:t>Covered by EU Birds Directive. Generally the season is 15 Aug to 21 Sep but varies between regions. Thursday, Saturday and Sunday only</w:t>
            </w:r>
            <w:r w:rsidRPr="00B70B7A">
              <w:rPr>
                <w:rFonts w:ascii="Arial" w:hAnsi="Arial" w:cs="Arial"/>
                <w:sz w:val="20"/>
                <w:szCs w:val="20"/>
                <w:lang w:val="en-GB"/>
              </w:rPr>
              <w:t xml:space="preserve"> (MAPAMA 2016). A procedure for adding the species to the list of threatened species has been initiated by the Spanish Ministry of the Environment in response to a SEO/BirdLife application. Such listing would entail strict protection, the obligation to approve a national strategy, regional conservation plans, and a ban of hunting.</w:t>
            </w:r>
          </w:p>
        </w:tc>
      </w:tr>
      <w:tr w:rsidR="00B70B7A" w:rsidRPr="00B70B7A" w14:paraId="1CA01339" w14:textId="77777777" w:rsidTr="00C96521">
        <w:tc>
          <w:tcPr>
            <w:tcW w:w="874" w:type="pct"/>
            <w:shd w:val="clear" w:color="auto" w:fill="auto"/>
          </w:tcPr>
          <w:p w14:paraId="00369E79" w14:textId="77777777"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sz w:val="20"/>
                <w:szCs w:val="20"/>
                <w:lang w:val="en-GB"/>
              </w:rPr>
              <w:t>Switzerland</w:t>
            </w:r>
          </w:p>
        </w:tc>
        <w:tc>
          <w:tcPr>
            <w:tcW w:w="605" w:type="pct"/>
            <w:shd w:val="clear" w:color="auto" w:fill="auto"/>
          </w:tcPr>
          <w:p w14:paraId="4A6A2E8B" w14:textId="77777777" w:rsidR="00B70B7A" w:rsidRPr="00B70B7A" w:rsidRDefault="00B70B7A" w:rsidP="00B70B7A">
            <w:pPr>
              <w:widowControl/>
              <w:autoSpaceDE/>
              <w:autoSpaceDN/>
              <w:adjustRightInd/>
              <w:rPr>
                <w:rFonts w:ascii="Arial" w:hAnsi="Arial" w:cs="Arial"/>
                <w:sz w:val="20"/>
                <w:szCs w:val="20"/>
                <w:lang w:val="en-GB"/>
              </w:rPr>
            </w:pPr>
          </w:p>
        </w:tc>
        <w:tc>
          <w:tcPr>
            <w:tcW w:w="3521" w:type="pct"/>
          </w:tcPr>
          <w:p w14:paraId="6688793D" w14:textId="77777777" w:rsidR="00B70B7A" w:rsidRPr="00B70B7A" w:rsidRDefault="00B70B7A" w:rsidP="00B70B7A">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Not included on the list of huntable species (Le Conseil Federal 2014). Protection covers nest destruction.</w:t>
            </w:r>
          </w:p>
        </w:tc>
      </w:tr>
      <w:tr w:rsidR="00B70B7A" w:rsidRPr="00B70B7A" w14:paraId="5BD87284" w14:textId="77777777" w:rsidTr="00C96521">
        <w:tc>
          <w:tcPr>
            <w:tcW w:w="874" w:type="pct"/>
            <w:shd w:val="clear" w:color="auto" w:fill="auto"/>
          </w:tcPr>
          <w:p w14:paraId="440E2110" w14:textId="14F4C9DE"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sz w:val="20"/>
                <w:szCs w:val="20"/>
                <w:lang w:val="en-GB"/>
              </w:rPr>
              <w:t>Syrian Arab Republic</w:t>
            </w:r>
          </w:p>
        </w:tc>
        <w:tc>
          <w:tcPr>
            <w:tcW w:w="605" w:type="pct"/>
            <w:shd w:val="clear" w:color="auto" w:fill="auto"/>
          </w:tcPr>
          <w:p w14:paraId="6D1734DB" w14:textId="77777777" w:rsidR="00B70B7A" w:rsidRPr="00B70B7A" w:rsidRDefault="00B70B7A" w:rsidP="00B70B7A">
            <w:pPr>
              <w:widowControl/>
              <w:autoSpaceDE/>
              <w:autoSpaceDN/>
              <w:adjustRightInd/>
              <w:rPr>
                <w:rFonts w:ascii="Arial" w:hAnsi="Arial" w:cs="Arial"/>
                <w:sz w:val="20"/>
                <w:szCs w:val="20"/>
                <w:lang w:val="en-GB"/>
              </w:rPr>
            </w:pPr>
          </w:p>
        </w:tc>
        <w:tc>
          <w:tcPr>
            <w:tcW w:w="3521" w:type="pct"/>
          </w:tcPr>
          <w:p w14:paraId="2E53B1CB" w14:textId="77777777" w:rsidR="00B70B7A" w:rsidRPr="00B70B7A" w:rsidRDefault="00B70B7A" w:rsidP="00B70B7A">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Included on the Game Species List according to a new law (expected to be issued in 2017) with season from 1</w:t>
            </w:r>
            <w:r w:rsidRPr="00B70B7A">
              <w:rPr>
                <w:rFonts w:ascii="Arial" w:hAnsi="Arial" w:cs="Arial"/>
                <w:color w:val="000000"/>
                <w:sz w:val="20"/>
                <w:szCs w:val="20"/>
                <w:vertAlign w:val="superscript"/>
                <w:lang w:val="en-GB"/>
              </w:rPr>
              <w:t>st</w:t>
            </w:r>
            <w:r w:rsidRPr="00B70B7A">
              <w:rPr>
                <w:rFonts w:ascii="Arial" w:hAnsi="Arial" w:cs="Arial"/>
                <w:color w:val="000000"/>
                <w:sz w:val="20"/>
                <w:szCs w:val="20"/>
                <w:lang w:val="en-GB"/>
              </w:rPr>
              <w:t xml:space="preserve"> Sep to mid-Feb. There is a current ban on hunting (BirdLife International 2014l).</w:t>
            </w:r>
          </w:p>
        </w:tc>
      </w:tr>
      <w:tr w:rsidR="00B70B7A" w:rsidRPr="00B70B7A" w14:paraId="57F6433A" w14:textId="77777777" w:rsidTr="00C96521">
        <w:tc>
          <w:tcPr>
            <w:tcW w:w="874" w:type="pct"/>
            <w:shd w:val="clear" w:color="auto" w:fill="auto"/>
          </w:tcPr>
          <w:p w14:paraId="19AE0D85" w14:textId="77777777"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sz w:val="20"/>
                <w:szCs w:val="20"/>
                <w:lang w:val="en-GB"/>
              </w:rPr>
              <w:t>Tunisia</w:t>
            </w:r>
          </w:p>
        </w:tc>
        <w:tc>
          <w:tcPr>
            <w:tcW w:w="605" w:type="pct"/>
            <w:shd w:val="clear" w:color="auto" w:fill="auto"/>
          </w:tcPr>
          <w:p w14:paraId="45495972" w14:textId="77777777" w:rsidR="00B70B7A" w:rsidRPr="00B70B7A" w:rsidRDefault="00B70B7A" w:rsidP="00B70B7A">
            <w:pPr>
              <w:widowControl/>
              <w:autoSpaceDE/>
              <w:autoSpaceDN/>
              <w:adjustRightInd/>
              <w:rPr>
                <w:rFonts w:ascii="Arial" w:hAnsi="Arial" w:cs="Arial"/>
                <w:sz w:val="20"/>
                <w:szCs w:val="20"/>
                <w:lang w:val="en-GB"/>
              </w:rPr>
            </w:pPr>
          </w:p>
        </w:tc>
        <w:tc>
          <w:tcPr>
            <w:tcW w:w="3521" w:type="pct"/>
          </w:tcPr>
          <w:p w14:paraId="29F931BF" w14:textId="77777777" w:rsidR="00B70B7A" w:rsidRPr="00B70B7A" w:rsidRDefault="00B70B7A" w:rsidP="00B70B7A">
            <w:pPr>
              <w:widowControl/>
              <w:autoSpaceDE/>
              <w:autoSpaceDN/>
              <w:adjustRightInd/>
              <w:rPr>
                <w:rFonts w:ascii="Arial" w:hAnsi="Arial" w:cs="Arial"/>
                <w:color w:val="FF0000"/>
                <w:sz w:val="20"/>
                <w:szCs w:val="20"/>
                <w:lang w:val="en-GB"/>
              </w:rPr>
            </w:pPr>
            <w:r w:rsidRPr="00B70B7A">
              <w:rPr>
                <w:rFonts w:ascii="Arial" w:hAnsi="Arial" w:cs="Arial"/>
                <w:color w:val="000000"/>
                <w:sz w:val="20"/>
                <w:szCs w:val="20"/>
                <w:lang w:val="en-GB"/>
              </w:rPr>
              <w:t xml:space="preserve">"Doves" hunted from mid-Jul to early Sep (BirdLife International 2014m, Kafi </w:t>
            </w:r>
            <w:r w:rsidRPr="00B70B7A">
              <w:rPr>
                <w:rFonts w:ascii="Arial" w:hAnsi="Arial" w:cs="Arial"/>
                <w:i/>
                <w:color w:val="000000"/>
                <w:sz w:val="20"/>
                <w:szCs w:val="20"/>
                <w:lang w:val="en-GB"/>
              </w:rPr>
              <w:t>et al</w:t>
            </w:r>
            <w:r w:rsidRPr="00B70B7A">
              <w:rPr>
                <w:rFonts w:ascii="Arial" w:hAnsi="Arial" w:cs="Arial"/>
                <w:color w:val="000000"/>
                <w:sz w:val="20"/>
                <w:szCs w:val="20"/>
                <w:lang w:val="en-GB"/>
              </w:rPr>
              <w:t xml:space="preserve"> 2015).</w:t>
            </w:r>
            <w:r w:rsidRPr="00B70B7A">
              <w:rPr>
                <w:rFonts w:ascii="Arial" w:hAnsi="Arial" w:cs="Arial"/>
                <w:color w:val="FF0000"/>
                <w:sz w:val="20"/>
                <w:szCs w:val="20"/>
                <w:lang w:val="en-GB"/>
              </w:rPr>
              <w:t xml:space="preserve"> </w:t>
            </w:r>
          </w:p>
        </w:tc>
      </w:tr>
      <w:tr w:rsidR="00B70B7A" w:rsidRPr="00B70B7A" w14:paraId="51C3534A" w14:textId="77777777" w:rsidTr="00C96521">
        <w:tc>
          <w:tcPr>
            <w:tcW w:w="874" w:type="pct"/>
            <w:shd w:val="clear" w:color="auto" w:fill="auto"/>
          </w:tcPr>
          <w:p w14:paraId="1D7DF5EB" w14:textId="77777777"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sz w:val="20"/>
                <w:szCs w:val="20"/>
                <w:lang w:val="en-GB"/>
              </w:rPr>
              <w:t>Turkey</w:t>
            </w:r>
          </w:p>
        </w:tc>
        <w:tc>
          <w:tcPr>
            <w:tcW w:w="605" w:type="pct"/>
            <w:shd w:val="clear" w:color="auto" w:fill="auto"/>
          </w:tcPr>
          <w:p w14:paraId="044FF6CA" w14:textId="77777777" w:rsidR="00B70B7A" w:rsidRPr="00B70B7A" w:rsidRDefault="00B70B7A" w:rsidP="00B70B7A">
            <w:pPr>
              <w:widowControl/>
              <w:autoSpaceDE/>
              <w:autoSpaceDN/>
              <w:adjustRightInd/>
              <w:rPr>
                <w:rFonts w:ascii="Arial" w:hAnsi="Arial" w:cs="Arial"/>
                <w:sz w:val="20"/>
                <w:szCs w:val="20"/>
                <w:lang w:val="en-GB"/>
              </w:rPr>
            </w:pPr>
          </w:p>
        </w:tc>
        <w:tc>
          <w:tcPr>
            <w:tcW w:w="3521" w:type="pct"/>
          </w:tcPr>
          <w:p w14:paraId="0ABB62A0" w14:textId="5DE66612" w:rsidR="00B70B7A" w:rsidRPr="00B70B7A" w:rsidRDefault="00B70B7A" w:rsidP="00B70B7A">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Season 23</w:t>
            </w:r>
            <w:r w:rsidRPr="00B70B7A">
              <w:rPr>
                <w:rFonts w:ascii="Arial" w:hAnsi="Arial" w:cs="Arial"/>
                <w:color w:val="000000"/>
                <w:sz w:val="20"/>
                <w:szCs w:val="20"/>
                <w:vertAlign w:val="superscript"/>
                <w:lang w:val="en-GB"/>
              </w:rPr>
              <w:t>d</w:t>
            </w:r>
            <w:r w:rsidRPr="00B70B7A">
              <w:rPr>
                <w:rFonts w:ascii="Arial" w:hAnsi="Arial" w:cs="Arial"/>
                <w:color w:val="000000"/>
                <w:sz w:val="20"/>
                <w:szCs w:val="20"/>
                <w:lang w:val="en-GB"/>
              </w:rPr>
              <w:t xml:space="preserve"> Aug to 18 Jan (BirdLife International 2014n)</w:t>
            </w:r>
          </w:p>
        </w:tc>
      </w:tr>
      <w:tr w:rsidR="00B70B7A" w:rsidRPr="00B70B7A" w14:paraId="2CD3F6FD" w14:textId="77777777" w:rsidTr="00C96521">
        <w:tc>
          <w:tcPr>
            <w:tcW w:w="874" w:type="pct"/>
            <w:shd w:val="clear" w:color="auto" w:fill="auto"/>
          </w:tcPr>
          <w:p w14:paraId="4D5F1C71" w14:textId="77777777"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sz w:val="20"/>
                <w:szCs w:val="20"/>
                <w:lang w:val="en-GB"/>
              </w:rPr>
              <w:t>Ukraine</w:t>
            </w:r>
          </w:p>
        </w:tc>
        <w:tc>
          <w:tcPr>
            <w:tcW w:w="605" w:type="pct"/>
            <w:shd w:val="clear" w:color="auto" w:fill="auto"/>
          </w:tcPr>
          <w:p w14:paraId="54D2FDBB" w14:textId="77777777" w:rsidR="00B70B7A" w:rsidRPr="00B70B7A" w:rsidRDefault="00B70B7A" w:rsidP="00B70B7A">
            <w:pPr>
              <w:widowControl/>
              <w:autoSpaceDE/>
              <w:autoSpaceDN/>
              <w:adjustRightInd/>
              <w:rPr>
                <w:rFonts w:ascii="Arial" w:hAnsi="Arial" w:cs="Arial"/>
                <w:sz w:val="20"/>
                <w:szCs w:val="20"/>
                <w:lang w:val="en-GB"/>
              </w:rPr>
            </w:pPr>
          </w:p>
        </w:tc>
        <w:tc>
          <w:tcPr>
            <w:tcW w:w="3521" w:type="pct"/>
          </w:tcPr>
          <w:p w14:paraId="3D5CD13D" w14:textId="73D4A3D5" w:rsidR="00B70B7A" w:rsidRPr="00B70B7A" w:rsidRDefault="00B70B7A" w:rsidP="00B70B7A">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 xml:space="preserve">Season 15 Aug to 30 Sep; "pigeons" except Stock Doves are huntable from Aug to Dec (Ukrainian Hunting and Fishing Association </w:t>
            </w:r>
            <w:r w:rsidRPr="00B70B7A">
              <w:rPr>
                <w:rFonts w:ascii="Arial" w:hAnsi="Arial" w:cs="Arial"/>
                <w:i/>
                <w:color w:val="000000"/>
                <w:sz w:val="20"/>
                <w:szCs w:val="20"/>
                <w:lang w:val="en-GB"/>
              </w:rPr>
              <w:t>undated</w:t>
            </w:r>
            <w:r w:rsidRPr="00B70B7A">
              <w:rPr>
                <w:rFonts w:ascii="Arial" w:hAnsi="Arial" w:cs="Arial"/>
                <w:color w:val="000000"/>
                <w:sz w:val="20"/>
                <w:szCs w:val="20"/>
                <w:lang w:val="en-GB"/>
              </w:rPr>
              <w:t>). The number of Turtle Doves taken could be as high as 218,000 birds (Rouxel 200).</w:t>
            </w:r>
          </w:p>
        </w:tc>
      </w:tr>
      <w:tr w:rsidR="00B70B7A" w:rsidRPr="00B70B7A" w14:paraId="016AC4BE" w14:textId="77777777" w:rsidTr="00C96521">
        <w:tc>
          <w:tcPr>
            <w:tcW w:w="874" w:type="pct"/>
            <w:shd w:val="clear" w:color="auto" w:fill="auto"/>
          </w:tcPr>
          <w:p w14:paraId="5AB71BFA" w14:textId="77777777"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sz w:val="20"/>
                <w:szCs w:val="20"/>
                <w:lang w:val="en-GB"/>
              </w:rPr>
              <w:t>United Kingdom</w:t>
            </w:r>
          </w:p>
        </w:tc>
        <w:tc>
          <w:tcPr>
            <w:tcW w:w="605" w:type="pct"/>
            <w:shd w:val="clear" w:color="auto" w:fill="auto"/>
          </w:tcPr>
          <w:p w14:paraId="3DB93E61" w14:textId="77777777" w:rsidR="00B70B7A" w:rsidRPr="00B70B7A" w:rsidRDefault="00B70B7A" w:rsidP="00B70B7A">
            <w:pPr>
              <w:widowControl/>
              <w:autoSpaceDE/>
              <w:autoSpaceDN/>
              <w:adjustRightInd/>
              <w:rPr>
                <w:rFonts w:ascii="Arial" w:hAnsi="Arial" w:cs="Arial"/>
                <w:sz w:val="20"/>
                <w:szCs w:val="20"/>
                <w:lang w:val="en-GB"/>
              </w:rPr>
            </w:pPr>
          </w:p>
        </w:tc>
        <w:tc>
          <w:tcPr>
            <w:tcW w:w="3521" w:type="pct"/>
          </w:tcPr>
          <w:p w14:paraId="069AF30C" w14:textId="77777777" w:rsidR="00B70B7A" w:rsidRPr="00B70B7A" w:rsidRDefault="00B70B7A" w:rsidP="00B70B7A">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Covered by EU Birds Directive. Not hunted.</w:t>
            </w:r>
          </w:p>
        </w:tc>
      </w:tr>
      <w:tr w:rsidR="00B70B7A" w:rsidRPr="00B70B7A" w14:paraId="7D91EA89" w14:textId="77777777" w:rsidTr="00C96521">
        <w:tc>
          <w:tcPr>
            <w:tcW w:w="874" w:type="pct"/>
            <w:shd w:val="clear" w:color="auto" w:fill="auto"/>
          </w:tcPr>
          <w:p w14:paraId="0F63CC3A" w14:textId="6222CEB6" w:rsidR="00B70B7A" w:rsidRPr="00B70B7A" w:rsidRDefault="00B70B7A" w:rsidP="00B70B7A">
            <w:pPr>
              <w:widowControl/>
              <w:autoSpaceDE/>
              <w:autoSpaceDN/>
              <w:adjustRightInd/>
              <w:rPr>
                <w:rFonts w:cs="Arial"/>
                <w:sz w:val="20"/>
                <w:szCs w:val="20"/>
                <w:lang w:val="en-GB"/>
              </w:rPr>
            </w:pPr>
            <w:r>
              <w:rPr>
                <w:rFonts w:ascii="Arial" w:hAnsi="Arial" w:cs="Arial"/>
                <w:sz w:val="20"/>
                <w:szCs w:val="20"/>
                <w:lang w:val="en-GB"/>
              </w:rPr>
              <w:t xml:space="preserve">The Former Yugoslav Republic of </w:t>
            </w:r>
            <w:r w:rsidRPr="00B70B7A">
              <w:rPr>
                <w:rFonts w:ascii="Arial" w:hAnsi="Arial" w:cs="Arial"/>
                <w:sz w:val="20"/>
                <w:szCs w:val="20"/>
                <w:lang w:val="en-GB"/>
              </w:rPr>
              <w:t>Macedonia, FYR</w:t>
            </w:r>
          </w:p>
        </w:tc>
        <w:tc>
          <w:tcPr>
            <w:tcW w:w="605" w:type="pct"/>
            <w:shd w:val="clear" w:color="auto" w:fill="auto"/>
          </w:tcPr>
          <w:p w14:paraId="029E8D10" w14:textId="77777777" w:rsidR="00B70B7A" w:rsidRPr="00B70B7A" w:rsidRDefault="00B70B7A" w:rsidP="00B70B7A">
            <w:pPr>
              <w:widowControl/>
              <w:autoSpaceDE/>
              <w:autoSpaceDN/>
              <w:adjustRightInd/>
              <w:rPr>
                <w:rFonts w:cs="Arial"/>
                <w:sz w:val="20"/>
                <w:szCs w:val="20"/>
                <w:lang w:val="en-GB"/>
              </w:rPr>
            </w:pPr>
          </w:p>
        </w:tc>
        <w:tc>
          <w:tcPr>
            <w:tcW w:w="3521" w:type="pct"/>
          </w:tcPr>
          <w:p w14:paraId="179656F0" w14:textId="3AE8DE9F" w:rsidR="00B70B7A" w:rsidRPr="00B70B7A" w:rsidRDefault="00B70B7A" w:rsidP="00B70B7A">
            <w:pPr>
              <w:widowControl/>
              <w:autoSpaceDE/>
              <w:autoSpaceDN/>
              <w:adjustRightInd/>
              <w:rPr>
                <w:rFonts w:cs="Arial"/>
                <w:color w:val="000000"/>
                <w:sz w:val="20"/>
                <w:szCs w:val="20"/>
                <w:lang w:val="en-GB"/>
              </w:rPr>
            </w:pPr>
            <w:r w:rsidRPr="00B70B7A">
              <w:rPr>
                <w:rFonts w:ascii="Arial" w:hAnsi="Arial" w:cs="Arial"/>
                <w:color w:val="000000"/>
                <w:sz w:val="20"/>
                <w:szCs w:val="20"/>
                <w:lang w:val="en-GB"/>
              </w:rPr>
              <w:t>1</w:t>
            </w:r>
            <w:r w:rsidRPr="00B70B7A">
              <w:rPr>
                <w:rFonts w:ascii="Arial" w:hAnsi="Arial" w:cs="Arial"/>
                <w:color w:val="000000"/>
                <w:sz w:val="20"/>
                <w:szCs w:val="20"/>
                <w:vertAlign w:val="superscript"/>
                <w:lang w:val="en-GB"/>
              </w:rPr>
              <w:t>t</w:t>
            </w:r>
            <w:r w:rsidRPr="00B70B7A">
              <w:rPr>
                <w:rFonts w:ascii="Arial" w:hAnsi="Arial" w:cs="Arial"/>
                <w:color w:val="000000"/>
                <w:sz w:val="20"/>
                <w:szCs w:val="20"/>
                <w:lang w:val="en-GB"/>
              </w:rPr>
              <w:t xml:space="preserve"> Apr to 31 Jul (BirdLife International 2014g).</w:t>
            </w:r>
          </w:p>
        </w:tc>
      </w:tr>
      <w:tr w:rsidR="00B70B7A" w:rsidRPr="00B70B7A" w14:paraId="5C66BB08" w14:textId="77777777" w:rsidTr="00C96521">
        <w:tc>
          <w:tcPr>
            <w:tcW w:w="874" w:type="pct"/>
            <w:shd w:val="clear" w:color="auto" w:fill="auto"/>
          </w:tcPr>
          <w:p w14:paraId="780A5508" w14:textId="77777777"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sz w:val="20"/>
                <w:szCs w:val="20"/>
                <w:lang w:val="en-GB"/>
              </w:rPr>
              <w:t>The Gambia</w:t>
            </w:r>
          </w:p>
        </w:tc>
        <w:tc>
          <w:tcPr>
            <w:tcW w:w="605" w:type="pct"/>
            <w:shd w:val="clear" w:color="auto" w:fill="auto"/>
          </w:tcPr>
          <w:p w14:paraId="3F6D13F6" w14:textId="77777777" w:rsidR="00B70B7A" w:rsidRPr="00B70B7A" w:rsidRDefault="00B70B7A" w:rsidP="00B70B7A">
            <w:pPr>
              <w:widowControl/>
              <w:autoSpaceDE/>
              <w:autoSpaceDN/>
              <w:adjustRightInd/>
              <w:rPr>
                <w:rFonts w:ascii="Arial" w:hAnsi="Arial" w:cs="Arial"/>
                <w:sz w:val="20"/>
                <w:szCs w:val="20"/>
                <w:lang w:val="en-GB"/>
              </w:rPr>
            </w:pPr>
          </w:p>
        </w:tc>
        <w:tc>
          <w:tcPr>
            <w:tcW w:w="3521" w:type="pct"/>
          </w:tcPr>
          <w:p w14:paraId="56A393B7" w14:textId="77777777" w:rsidR="00B70B7A" w:rsidRPr="00B70B7A" w:rsidRDefault="00B70B7A" w:rsidP="00B70B7A">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Covered by the Biodiversity Wildlife Act 2003, National Biodiversity Strategy and Action Plan 2015 and international obligations. Commercial hunting Jan to Apr; subsistence hunting Jan to Aug; other hunting banned. Protection covers disturbance.</w:t>
            </w:r>
          </w:p>
        </w:tc>
      </w:tr>
      <w:tr w:rsidR="00B70B7A" w:rsidRPr="00B70B7A" w14:paraId="201DC13F" w14:textId="77777777" w:rsidTr="00C96521">
        <w:tc>
          <w:tcPr>
            <w:tcW w:w="874" w:type="pct"/>
            <w:shd w:val="clear" w:color="auto" w:fill="auto"/>
          </w:tcPr>
          <w:p w14:paraId="6C21FCCB" w14:textId="77777777"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sz w:val="20"/>
                <w:szCs w:val="20"/>
                <w:lang w:val="en-GB"/>
              </w:rPr>
              <w:t>Mali</w:t>
            </w:r>
          </w:p>
        </w:tc>
        <w:tc>
          <w:tcPr>
            <w:tcW w:w="605" w:type="pct"/>
            <w:shd w:val="clear" w:color="auto" w:fill="auto"/>
          </w:tcPr>
          <w:p w14:paraId="6EEBDE3F" w14:textId="77777777" w:rsidR="00B70B7A" w:rsidRPr="00B70B7A" w:rsidRDefault="00B70B7A" w:rsidP="00B70B7A">
            <w:pPr>
              <w:widowControl/>
              <w:autoSpaceDE/>
              <w:autoSpaceDN/>
              <w:adjustRightInd/>
              <w:rPr>
                <w:rFonts w:ascii="Arial" w:hAnsi="Arial" w:cs="Arial"/>
                <w:sz w:val="20"/>
                <w:szCs w:val="20"/>
                <w:lang w:val="en-GB"/>
              </w:rPr>
            </w:pPr>
          </w:p>
        </w:tc>
        <w:tc>
          <w:tcPr>
            <w:tcW w:w="3521" w:type="pct"/>
          </w:tcPr>
          <w:p w14:paraId="69BA034E" w14:textId="77777777" w:rsidR="00B70B7A" w:rsidRPr="00B70B7A" w:rsidRDefault="00B70B7A" w:rsidP="00B70B7A">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Unprotected. National decree sets rates of royalties and taxes for the exploitation of wildlife in State-owned areas, and sets season dates yearly.</w:t>
            </w:r>
          </w:p>
        </w:tc>
      </w:tr>
      <w:tr w:rsidR="00B70B7A" w:rsidRPr="00B70B7A" w14:paraId="4D66115E" w14:textId="77777777" w:rsidTr="00C96521">
        <w:tc>
          <w:tcPr>
            <w:tcW w:w="874" w:type="pct"/>
            <w:shd w:val="clear" w:color="auto" w:fill="auto"/>
          </w:tcPr>
          <w:p w14:paraId="308B55AB" w14:textId="77777777"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sz w:val="20"/>
                <w:szCs w:val="20"/>
                <w:lang w:val="en-GB"/>
              </w:rPr>
              <w:t>Mauritania</w:t>
            </w:r>
          </w:p>
        </w:tc>
        <w:tc>
          <w:tcPr>
            <w:tcW w:w="605" w:type="pct"/>
            <w:shd w:val="clear" w:color="auto" w:fill="auto"/>
          </w:tcPr>
          <w:p w14:paraId="6C625B68" w14:textId="77777777" w:rsidR="00B70B7A" w:rsidRPr="00B70B7A" w:rsidRDefault="00B70B7A" w:rsidP="00B70B7A">
            <w:pPr>
              <w:widowControl/>
              <w:autoSpaceDE/>
              <w:autoSpaceDN/>
              <w:adjustRightInd/>
              <w:rPr>
                <w:rFonts w:ascii="Arial" w:hAnsi="Arial" w:cs="Arial"/>
                <w:sz w:val="20"/>
                <w:szCs w:val="20"/>
                <w:lang w:val="en-GB"/>
              </w:rPr>
            </w:pPr>
          </w:p>
        </w:tc>
        <w:tc>
          <w:tcPr>
            <w:tcW w:w="3521" w:type="pct"/>
          </w:tcPr>
          <w:p w14:paraId="1459A044" w14:textId="77777777" w:rsidR="00B70B7A" w:rsidRPr="00B70B7A" w:rsidRDefault="00B70B7A" w:rsidP="00B70B7A">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Protected from killing.</w:t>
            </w:r>
          </w:p>
        </w:tc>
      </w:tr>
      <w:tr w:rsidR="00B70B7A" w:rsidRPr="00B70B7A" w14:paraId="57A04B32" w14:textId="77777777" w:rsidTr="00C96521">
        <w:tc>
          <w:tcPr>
            <w:tcW w:w="874" w:type="pct"/>
            <w:shd w:val="clear" w:color="auto" w:fill="auto"/>
          </w:tcPr>
          <w:p w14:paraId="5FB5139F" w14:textId="77777777" w:rsidR="00B70B7A" w:rsidRPr="00B70B7A" w:rsidRDefault="00B70B7A" w:rsidP="00B70B7A">
            <w:pPr>
              <w:widowControl/>
              <w:autoSpaceDE/>
              <w:autoSpaceDN/>
              <w:adjustRightInd/>
              <w:rPr>
                <w:rFonts w:ascii="Arial" w:hAnsi="Arial" w:cs="Arial"/>
                <w:sz w:val="20"/>
                <w:szCs w:val="20"/>
                <w:lang w:val="en-GB"/>
              </w:rPr>
            </w:pPr>
            <w:r w:rsidRPr="00B70B7A">
              <w:rPr>
                <w:rFonts w:ascii="Arial" w:hAnsi="Arial" w:cs="Arial"/>
                <w:sz w:val="20"/>
                <w:szCs w:val="20"/>
                <w:lang w:val="en-GB"/>
              </w:rPr>
              <w:t>Senegal</w:t>
            </w:r>
          </w:p>
        </w:tc>
        <w:tc>
          <w:tcPr>
            <w:tcW w:w="605" w:type="pct"/>
            <w:shd w:val="clear" w:color="auto" w:fill="auto"/>
          </w:tcPr>
          <w:p w14:paraId="40BE97BF" w14:textId="77777777" w:rsidR="00B70B7A" w:rsidRPr="00B70B7A" w:rsidRDefault="00B70B7A" w:rsidP="00B70B7A">
            <w:pPr>
              <w:widowControl/>
              <w:autoSpaceDE/>
              <w:autoSpaceDN/>
              <w:adjustRightInd/>
              <w:rPr>
                <w:rFonts w:ascii="Arial" w:hAnsi="Arial" w:cs="Arial"/>
                <w:sz w:val="20"/>
                <w:szCs w:val="20"/>
                <w:lang w:val="en-GB"/>
              </w:rPr>
            </w:pPr>
          </w:p>
        </w:tc>
        <w:tc>
          <w:tcPr>
            <w:tcW w:w="3521" w:type="pct"/>
          </w:tcPr>
          <w:p w14:paraId="6AD0642F" w14:textId="77777777" w:rsidR="00B70B7A" w:rsidRPr="00B70B7A" w:rsidRDefault="00B70B7A" w:rsidP="00B70B7A">
            <w:pPr>
              <w:widowControl/>
              <w:autoSpaceDE/>
              <w:autoSpaceDN/>
              <w:adjustRightInd/>
              <w:rPr>
                <w:rFonts w:ascii="Arial" w:hAnsi="Arial" w:cs="Arial"/>
                <w:color w:val="000000"/>
                <w:sz w:val="20"/>
                <w:szCs w:val="20"/>
                <w:lang w:val="en-GB"/>
              </w:rPr>
            </w:pPr>
            <w:r w:rsidRPr="00B70B7A">
              <w:rPr>
                <w:rFonts w:ascii="Arial" w:hAnsi="Arial" w:cs="Arial"/>
                <w:color w:val="000000"/>
                <w:sz w:val="20"/>
                <w:szCs w:val="20"/>
                <w:lang w:val="en-GB"/>
              </w:rPr>
              <w:t>Unprotected, but not a game species.</w:t>
            </w:r>
          </w:p>
        </w:tc>
      </w:tr>
      <w:tr w:rsidR="00B70B7A" w:rsidRPr="00B70B7A" w14:paraId="2CA6038A" w14:textId="77777777" w:rsidTr="00C96521">
        <w:tc>
          <w:tcPr>
            <w:tcW w:w="874" w:type="pct"/>
            <w:shd w:val="clear" w:color="auto" w:fill="auto"/>
          </w:tcPr>
          <w:p w14:paraId="3B719B33" w14:textId="77777777" w:rsidR="00B70B7A" w:rsidRPr="00B70B7A" w:rsidRDefault="00B70B7A" w:rsidP="00B70B7A">
            <w:pPr>
              <w:widowControl/>
              <w:autoSpaceDE/>
              <w:autoSpaceDN/>
              <w:adjustRightInd/>
              <w:rPr>
                <w:rFonts w:ascii="Arial" w:hAnsi="Arial" w:cs="Arial"/>
                <w:b/>
                <w:sz w:val="20"/>
                <w:szCs w:val="20"/>
                <w:lang w:val="en-GB"/>
              </w:rPr>
            </w:pPr>
            <w:r w:rsidRPr="00B70B7A">
              <w:rPr>
                <w:rFonts w:ascii="Arial" w:hAnsi="Arial" w:cs="Arial"/>
                <w:b/>
                <w:sz w:val="20"/>
                <w:szCs w:val="20"/>
                <w:lang w:val="en-GB"/>
              </w:rPr>
              <w:t>Total EU bag</w:t>
            </w:r>
          </w:p>
        </w:tc>
        <w:tc>
          <w:tcPr>
            <w:tcW w:w="4126" w:type="pct"/>
            <w:gridSpan w:val="2"/>
          </w:tcPr>
          <w:p w14:paraId="105BCBCC" w14:textId="77777777" w:rsidR="00B70B7A" w:rsidRPr="00B70B7A" w:rsidRDefault="00B70B7A" w:rsidP="00B70B7A">
            <w:pPr>
              <w:widowControl/>
              <w:autoSpaceDE/>
              <w:autoSpaceDN/>
              <w:adjustRightInd/>
              <w:rPr>
                <w:rFonts w:ascii="Arial" w:hAnsi="Arial" w:cs="Arial"/>
                <w:b/>
                <w:sz w:val="20"/>
                <w:szCs w:val="20"/>
                <w:lang w:val="en-GB"/>
              </w:rPr>
            </w:pPr>
            <w:r w:rsidRPr="00B70B7A">
              <w:rPr>
                <w:rFonts w:ascii="Arial" w:hAnsi="Arial" w:cs="Arial"/>
                <w:b/>
                <w:sz w:val="20"/>
                <w:szCs w:val="20"/>
                <w:lang w:val="en-GB"/>
              </w:rPr>
              <w:t>Estimated 1,396,509 to 2,165,345</w:t>
            </w:r>
          </w:p>
        </w:tc>
      </w:tr>
    </w:tbl>
    <w:p w14:paraId="77E281F9"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47A11A2E"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sectPr w:rsidR="00C96521" w:rsidRPr="00C96521" w:rsidSect="00C96521">
          <w:pgSz w:w="16840" w:h="11920" w:orient="landscape"/>
          <w:pgMar w:top="1298" w:right="1276" w:bottom="1298" w:left="919" w:header="731" w:footer="737" w:gutter="0"/>
          <w:cols w:space="720"/>
          <w:docGrid w:linePitch="299"/>
        </w:sectPr>
      </w:pPr>
    </w:p>
    <w:p w14:paraId="0A761FC5"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0AD7FDC" w14:textId="35448950"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According to Jarry (1994) and Hill (1992), the </w:t>
      </w:r>
      <w:r w:rsidR="00173165" w:rsidRPr="00374BE2">
        <w:rPr>
          <w:rFonts w:eastAsia="MS Mincho" w:cs="Arial"/>
          <w:sz w:val="20"/>
          <w:szCs w:val="20"/>
          <w:lang w:val="en-GB" w:eastAsia="ja-JP"/>
        </w:rPr>
        <w:t>Turtle Dove</w:t>
      </w:r>
      <w:r w:rsidR="00173165" w:rsidRPr="00C96521" w:rsidDel="00173165">
        <w:rPr>
          <w:rFonts w:eastAsia="MS Mincho" w:cs="Arial"/>
          <w:sz w:val="20"/>
          <w:szCs w:val="22"/>
          <w:lang w:val="en-GB" w:eastAsia="ja-JP"/>
        </w:rPr>
        <w:t xml:space="preserve"> </w:t>
      </w:r>
      <w:r w:rsidRPr="00C96521">
        <w:rPr>
          <w:rFonts w:eastAsia="MS Mincho" w:cs="Arial"/>
          <w:sz w:val="20"/>
          <w:szCs w:val="22"/>
          <w:lang w:val="en-GB" w:eastAsia="ja-JP"/>
        </w:rPr>
        <w:t xml:space="preserve">is the EU quarry species likely to be worst affected by hunting as it has particularly low survival and productivity, although the extent to which hunting poses a threat has not been quantified and hunting pressure has changed over time (Hill 1992, Tucker 1996). In general, estimates of population sizes and bag data in most EU States exist, although care must be taken in the interpretation of the available data. There is a lack of up-to-date information on the sustainability of </w:t>
      </w:r>
      <w:r w:rsidR="00173165" w:rsidRPr="00374BE2">
        <w:rPr>
          <w:rFonts w:eastAsia="MS Mincho" w:cs="Arial"/>
          <w:sz w:val="20"/>
          <w:szCs w:val="20"/>
          <w:lang w:val="en-GB" w:eastAsia="ja-JP"/>
        </w:rPr>
        <w:t>Turtle Dove</w:t>
      </w:r>
      <w:r w:rsidR="00173165" w:rsidRPr="00C96521" w:rsidDel="00173165">
        <w:rPr>
          <w:rFonts w:eastAsia="MS Mincho" w:cs="Arial"/>
          <w:sz w:val="20"/>
          <w:szCs w:val="22"/>
          <w:lang w:val="en-GB" w:eastAsia="ja-JP"/>
        </w:rPr>
        <w:t xml:space="preserve"> </w:t>
      </w:r>
      <w:r w:rsidRPr="00C96521">
        <w:rPr>
          <w:rFonts w:eastAsia="MS Mincho" w:cs="Arial"/>
          <w:sz w:val="20"/>
          <w:szCs w:val="22"/>
          <w:lang w:val="en-GB" w:eastAsia="ja-JP"/>
        </w:rPr>
        <w:t>hunting at a flyway level. Existing hunting quotas are not</w:t>
      </w:r>
      <w:r w:rsidRPr="00C96521">
        <w:rPr>
          <w:rFonts w:eastAsia="MS Mincho"/>
          <w:sz w:val="20"/>
          <w:szCs w:val="22"/>
          <w:lang w:val="en-GB" w:eastAsia="ja-JP"/>
        </w:rPr>
        <w:t xml:space="preserve"> based on sustainable harvest levels at a regional or national level, and control over current quotas is challenged by some NGOs. The monitoring and enforcement of hunting restrictions as well as the collection of reliable harvest data also presents a challenge in some regions. </w:t>
      </w:r>
    </w:p>
    <w:p w14:paraId="4B0F1D12"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1DDB2903" w14:textId="73B8047D"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Based on a modelling analysis, Hill (1992) recommended that hunting losses in Europe should be reduced to 5-15</w:t>
      </w:r>
      <w:r w:rsidR="00173165">
        <w:rPr>
          <w:rFonts w:eastAsia="MS Mincho" w:cs="Arial"/>
          <w:sz w:val="20"/>
          <w:szCs w:val="22"/>
          <w:lang w:val="en-GB" w:eastAsia="ja-JP"/>
        </w:rPr>
        <w:t xml:space="preserve"> per cent</w:t>
      </w:r>
      <w:r w:rsidR="00173165" w:rsidRPr="00C96521">
        <w:rPr>
          <w:rFonts w:eastAsia="MS Mincho" w:cs="Arial"/>
          <w:sz w:val="20"/>
          <w:szCs w:val="22"/>
          <w:lang w:val="en-GB" w:eastAsia="ja-JP"/>
        </w:rPr>
        <w:t xml:space="preserve"> </w:t>
      </w:r>
      <w:r w:rsidRPr="00C96521">
        <w:rPr>
          <w:rFonts w:eastAsia="MS Mincho" w:cs="Arial"/>
          <w:sz w:val="20"/>
          <w:szCs w:val="22"/>
          <w:lang w:val="en-GB" w:eastAsia="ja-JP"/>
        </w:rPr>
        <w:t>of the post-breeding population if overall populations were to be self-sustaining. However, the impact of hunting in terms of population dynamics has not been assessed, and without an assessment of harvest sustainability at the flyway level, the full impact of hunting activity remains unknown. This is starting to be addressed through sustainable harvest modelling (Annex 4).</w:t>
      </w:r>
    </w:p>
    <w:p w14:paraId="7BC11A06"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3A105263" w14:textId="01D0DFF2"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cs="Arial"/>
          <w:sz w:val="20"/>
          <w:szCs w:val="22"/>
          <w:lang w:val="en-GB" w:eastAsia="ja-JP"/>
        </w:rPr>
        <w:t>A series of studies from Spain indicate that e</w:t>
      </w:r>
      <w:r w:rsidRPr="00C96521">
        <w:rPr>
          <w:rFonts w:eastAsia="MS Mincho"/>
          <w:sz w:val="20"/>
          <w:szCs w:val="22"/>
          <w:lang w:val="en-GB" w:eastAsia="ja-JP"/>
        </w:rPr>
        <w:t>xcessive hunting pressure, particularly on fledglings, as well as an early start to the hunting season may have aggravated and, in some cases, accelerated the species’ decline in combination with other factors (Hidalgo de Trucios and Rocha 2001a,b, 2005, Hidalgo de Trucios 2007). A PhD study currently underway seeks to provide better understanding of the numbers of turtle-doves hunted in Iberia, their geographical area of origin and the motivations of the hunters</w:t>
      </w:r>
      <w:r w:rsidRPr="00C96521">
        <w:rPr>
          <w:rFonts w:eastAsia="MS Mincho" w:cs="Arial"/>
          <w:sz w:val="20"/>
          <w:szCs w:val="22"/>
          <w:lang w:val="en-GB" w:eastAsia="ja-JP"/>
        </w:rPr>
        <w:t xml:space="preserve">. </w:t>
      </w:r>
      <w:r w:rsidRPr="00C96521">
        <w:rPr>
          <w:rFonts w:eastAsia="MS Mincho"/>
          <w:sz w:val="20"/>
          <w:szCs w:val="22"/>
          <w:lang w:val="en-GB" w:eastAsia="ja-JP"/>
        </w:rPr>
        <w:t xml:space="preserve">In Portugal, suggested conservation actions for the species have been identified as: better game management, protecting the most important habitats, and ultimately suspension of hunting (Meirinho </w:t>
      </w:r>
      <w:r w:rsidRPr="00C96521">
        <w:rPr>
          <w:rFonts w:eastAsia="MS Mincho"/>
          <w:i/>
          <w:sz w:val="20"/>
          <w:szCs w:val="22"/>
          <w:lang w:val="en-GB" w:eastAsia="ja-JP"/>
        </w:rPr>
        <w:t>et al</w:t>
      </w:r>
      <w:r w:rsidRPr="00C96521">
        <w:rPr>
          <w:rFonts w:eastAsia="MS Mincho"/>
          <w:sz w:val="20"/>
          <w:szCs w:val="22"/>
          <w:lang w:val="en-GB" w:eastAsia="ja-JP"/>
        </w:rPr>
        <w:t xml:space="preserve"> 2013) as well as more detailed suggestions included in Dias (2016). In Romania, the cessation of hunting and poaching has been identified as an important action for the conservation of the species (Petrovici 2015). The idea of a temporary moratorium on hunting has been put forward by several authors in Spain (eg Balmori in Madroño </w:t>
      </w:r>
      <w:r w:rsidRPr="00C96521">
        <w:rPr>
          <w:rFonts w:eastAsia="MS Mincho"/>
          <w:i/>
          <w:sz w:val="20"/>
          <w:szCs w:val="22"/>
          <w:lang w:val="en-GB" w:eastAsia="ja-JP"/>
        </w:rPr>
        <w:t xml:space="preserve">et al </w:t>
      </w:r>
      <w:r w:rsidRPr="00C96521">
        <w:rPr>
          <w:rFonts w:eastAsia="MS Mincho"/>
          <w:sz w:val="20"/>
          <w:szCs w:val="22"/>
          <w:lang w:val="en-GB" w:eastAsia="ja-JP"/>
        </w:rPr>
        <w:t xml:space="preserve">2004, Purroy 1997, Rocha and Hidalgo 2001a) as an effective measure to stop population declines. The Spanish Red List proposes a five-year moratorium that should be accompanied by a set of measures on habitat management in order to favour the recovery of </w:t>
      </w:r>
      <w:r w:rsidR="00F33271" w:rsidRPr="00374BE2">
        <w:rPr>
          <w:rFonts w:eastAsia="MS Mincho" w:cs="Arial"/>
          <w:sz w:val="20"/>
          <w:szCs w:val="20"/>
          <w:lang w:val="en-GB" w:eastAsia="ja-JP"/>
        </w:rPr>
        <w:t>Turtle Dove</w:t>
      </w:r>
      <w:r w:rsidR="00F33271" w:rsidRPr="00C96521" w:rsidDel="00F33271">
        <w:rPr>
          <w:rFonts w:eastAsia="MS Mincho"/>
          <w:sz w:val="20"/>
          <w:szCs w:val="22"/>
          <w:lang w:val="en-GB" w:eastAsia="ja-JP"/>
        </w:rPr>
        <w:t xml:space="preserve"> </w:t>
      </w:r>
      <w:r w:rsidRPr="00C96521">
        <w:rPr>
          <w:rFonts w:eastAsia="MS Mincho"/>
          <w:sz w:val="20"/>
          <w:szCs w:val="22"/>
          <w:lang w:val="en-GB" w:eastAsia="ja-JP"/>
        </w:rPr>
        <w:t xml:space="preserve">populations (Balmori in Madroño </w:t>
      </w:r>
      <w:r w:rsidRPr="00C96521">
        <w:rPr>
          <w:rFonts w:eastAsia="MS Mincho"/>
          <w:i/>
          <w:sz w:val="20"/>
          <w:szCs w:val="22"/>
          <w:lang w:val="en-GB" w:eastAsia="ja-JP"/>
        </w:rPr>
        <w:t>et al</w:t>
      </w:r>
      <w:r w:rsidRPr="00C96521">
        <w:rPr>
          <w:rFonts w:eastAsia="MS Mincho"/>
          <w:sz w:val="20"/>
          <w:szCs w:val="22"/>
          <w:lang w:val="en-GB" w:eastAsia="ja-JP"/>
        </w:rPr>
        <w:t xml:space="preserve"> 2004). However, the theoretical effectiveness of a temporary moratorium in increasing turtle-dove numbers has never been tested on any population.</w:t>
      </w:r>
    </w:p>
    <w:p w14:paraId="1F3583B2"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630A146F"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According to Rocha and Hidalgo (2002a) and Dias (2016), a delay in the beginning of the hunting period would be beneficial to the species, not only because it would avoid hunting when some pairs are still breeding, but also because it would allow a longer development period for the chicks and a higher probability of survival. </w:t>
      </w:r>
    </w:p>
    <w:p w14:paraId="14BEDF30"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7984E763"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cs="Arial"/>
          <w:sz w:val="20"/>
          <w:szCs w:val="22"/>
          <w:lang w:val="en-GB" w:eastAsia="ja-JP"/>
        </w:rPr>
        <w:t xml:space="preserve">In some states, the hunting period still overlaps the breeding season (see Figure 15). </w:t>
      </w:r>
      <w:r w:rsidRPr="00C96521">
        <w:rPr>
          <w:rFonts w:eastAsia="MS Mincho"/>
          <w:sz w:val="20"/>
          <w:szCs w:val="22"/>
          <w:lang w:val="en-GB" w:eastAsia="ja-JP"/>
        </w:rPr>
        <w:t xml:space="preserve">The Red List Book of Wild Birds in Spain (Balmori in Madroño </w:t>
      </w:r>
      <w:r w:rsidRPr="00C96521">
        <w:rPr>
          <w:rFonts w:eastAsia="MS Mincho"/>
          <w:i/>
          <w:sz w:val="20"/>
          <w:szCs w:val="22"/>
          <w:lang w:val="en-GB" w:eastAsia="ja-JP"/>
        </w:rPr>
        <w:t>et al</w:t>
      </w:r>
      <w:r w:rsidRPr="00C96521">
        <w:rPr>
          <w:rFonts w:eastAsia="MS Mincho"/>
          <w:sz w:val="20"/>
          <w:szCs w:val="22"/>
          <w:lang w:val="en-GB" w:eastAsia="ja-JP"/>
        </w:rPr>
        <w:t xml:space="preserve"> 2004) identifies the overlap between the beginning of the hunting season and the end of the breeding season as one of the causes of decline of the population in that country, and recommends delaying the onset of the open season for hunting as a conservation measure. </w:t>
      </w:r>
    </w:p>
    <w:p w14:paraId="7AADAE95"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740F8070"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noProof/>
          <w:sz w:val="20"/>
          <w:szCs w:val="22"/>
        </w:rPr>
        <w:drawing>
          <wp:inline distT="0" distB="0" distL="0" distR="0" wp14:anchorId="1FDC4AB1" wp14:editId="612A339A">
            <wp:extent cx="5856964" cy="2988813"/>
            <wp:effectExtent l="19050" t="0" r="0" b="0"/>
            <wp:docPr id="100" name="Picture 1" descr="Hunting peri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nting period.jpg"/>
                    <pic:cNvPicPr/>
                  </pic:nvPicPr>
                  <pic:blipFill>
                    <a:blip r:embed="rId47" cstate="print"/>
                    <a:stretch>
                      <a:fillRect/>
                    </a:stretch>
                  </pic:blipFill>
                  <pic:spPr>
                    <a:xfrm>
                      <a:off x="0" y="0"/>
                      <a:ext cx="5873357" cy="2997178"/>
                    </a:xfrm>
                    <a:prstGeom prst="rect">
                      <a:avLst/>
                    </a:prstGeom>
                  </pic:spPr>
                </pic:pic>
              </a:graphicData>
            </a:graphic>
          </wp:inline>
        </w:drawing>
      </w:r>
    </w:p>
    <w:p w14:paraId="11BF41B3" w14:textId="445C8DC6" w:rsidR="00C96521" w:rsidRPr="00C96521" w:rsidRDefault="00C96521" w:rsidP="00C96521">
      <w:pPr>
        <w:widowControl/>
        <w:autoSpaceDE/>
        <w:autoSpaceDN/>
        <w:adjustRightInd/>
        <w:spacing w:line="276" w:lineRule="auto"/>
        <w:rPr>
          <w:rFonts w:eastAsia="MS Mincho" w:cs="Arial"/>
          <w:i/>
          <w:sz w:val="20"/>
          <w:szCs w:val="22"/>
          <w:lang w:val="en-GB" w:eastAsia="ja-JP"/>
        </w:rPr>
      </w:pPr>
      <w:r w:rsidRPr="00C96521">
        <w:rPr>
          <w:rFonts w:eastAsia="MS Mincho" w:cs="Arial"/>
          <w:i/>
          <w:sz w:val="20"/>
          <w:szCs w:val="22"/>
          <w:lang w:val="en-GB" w:eastAsia="ja-JP"/>
        </w:rPr>
        <w:t xml:space="preserve">Figure 15. Overlap of hunting season (outlined) with breeding period (shaded) for the </w:t>
      </w:r>
      <w:r w:rsidR="00F33271" w:rsidRPr="00B70B7A">
        <w:rPr>
          <w:rFonts w:eastAsia="MS Mincho" w:cs="Arial"/>
          <w:i/>
          <w:sz w:val="20"/>
          <w:szCs w:val="20"/>
          <w:lang w:val="en-GB" w:eastAsia="ja-JP"/>
        </w:rPr>
        <w:t>Turtle Dove</w:t>
      </w:r>
      <w:r w:rsidR="00F33271" w:rsidRPr="00C96521" w:rsidDel="00F33271">
        <w:rPr>
          <w:rFonts w:eastAsia="MS Mincho" w:cs="Arial"/>
          <w:i/>
          <w:sz w:val="20"/>
          <w:szCs w:val="22"/>
          <w:lang w:val="en-GB" w:eastAsia="ja-JP"/>
        </w:rPr>
        <w:t xml:space="preserve"> </w:t>
      </w:r>
      <w:r w:rsidRPr="00C96521">
        <w:rPr>
          <w:rFonts w:eastAsia="MS Mincho" w:cs="Arial"/>
          <w:i/>
          <w:sz w:val="20"/>
          <w:szCs w:val="22"/>
          <w:lang w:val="en-GB" w:eastAsia="ja-JP"/>
        </w:rPr>
        <w:t xml:space="preserve">in EU Member States, ordered north to south (EU 2008), for those States allowing a turtle-dove season. In France, the hunting season and </w:t>
      </w:r>
      <w:r w:rsidR="00F33271" w:rsidRPr="00B70B7A">
        <w:rPr>
          <w:rFonts w:eastAsia="MS Mincho" w:cs="Arial"/>
          <w:i/>
          <w:sz w:val="20"/>
          <w:szCs w:val="20"/>
          <w:lang w:val="en-GB" w:eastAsia="ja-JP"/>
        </w:rPr>
        <w:t>Turtle Dove</w:t>
      </w:r>
      <w:r w:rsidR="00F33271" w:rsidRPr="00C96521" w:rsidDel="00F33271">
        <w:rPr>
          <w:rFonts w:eastAsia="MS Mincho" w:cs="Arial"/>
          <w:i/>
          <w:sz w:val="20"/>
          <w:szCs w:val="22"/>
          <w:lang w:val="en-GB" w:eastAsia="ja-JP"/>
        </w:rPr>
        <w:t xml:space="preserve"> </w:t>
      </w:r>
      <w:r w:rsidRPr="00C96521">
        <w:rPr>
          <w:rFonts w:eastAsia="MS Mincho" w:cs="Arial"/>
          <w:i/>
          <w:sz w:val="20"/>
          <w:szCs w:val="22"/>
          <w:lang w:val="en-GB" w:eastAsia="ja-JP"/>
        </w:rPr>
        <w:t>breeding period only overlap in certain D</w:t>
      </w:r>
      <w:r w:rsidR="00F33271">
        <w:rPr>
          <w:rFonts w:eastAsia="MS Mincho" w:cs="Arial"/>
          <w:i/>
          <w:sz w:val="20"/>
          <w:szCs w:val="22"/>
          <w:lang w:val="en-GB" w:eastAsia="ja-JP"/>
        </w:rPr>
        <w:t>é</w:t>
      </w:r>
      <w:r w:rsidRPr="00C96521">
        <w:rPr>
          <w:rFonts w:eastAsia="MS Mincho" w:cs="Arial"/>
          <w:i/>
          <w:sz w:val="20"/>
          <w:szCs w:val="22"/>
          <w:lang w:val="en-GB" w:eastAsia="ja-JP"/>
        </w:rPr>
        <w:t>part</w:t>
      </w:r>
      <w:r w:rsidR="00F33271">
        <w:rPr>
          <w:rFonts w:eastAsia="MS Mincho" w:cs="Arial"/>
          <w:i/>
          <w:sz w:val="20"/>
          <w:szCs w:val="22"/>
          <w:lang w:val="en-GB" w:eastAsia="ja-JP"/>
        </w:rPr>
        <w:t>e</w:t>
      </w:r>
      <w:r w:rsidRPr="00C96521">
        <w:rPr>
          <w:rFonts w:eastAsia="MS Mincho" w:cs="Arial"/>
          <w:i/>
          <w:sz w:val="20"/>
          <w:szCs w:val="22"/>
          <w:lang w:val="en-GB" w:eastAsia="ja-JP"/>
        </w:rPr>
        <w:t xml:space="preserve">ments, but not across the whole territory. It is acknowledged that these data need to be updated in a systematic way to reflect changes in arrival and departure dates since 2008. </w:t>
      </w:r>
    </w:p>
    <w:p w14:paraId="714830FD"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798C4641" w14:textId="7C4FCC0B"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May 2016, following reclassification of the conservation status of </w:t>
      </w:r>
      <w:r w:rsidR="00F33271">
        <w:rPr>
          <w:rFonts w:eastAsia="MS Mincho"/>
          <w:sz w:val="20"/>
          <w:szCs w:val="22"/>
          <w:lang w:val="en-GB" w:eastAsia="ja-JP"/>
        </w:rPr>
        <w:t xml:space="preserve">the </w:t>
      </w:r>
      <w:r w:rsidR="00F33271" w:rsidRPr="00374BE2">
        <w:rPr>
          <w:rFonts w:eastAsia="MS Mincho" w:cs="Arial"/>
          <w:sz w:val="20"/>
          <w:szCs w:val="20"/>
          <w:lang w:val="en-GB" w:eastAsia="ja-JP"/>
        </w:rPr>
        <w:t>Turtle Dove</w:t>
      </w:r>
      <w:r w:rsidR="00F33271" w:rsidRPr="00C96521" w:rsidDel="00F33271">
        <w:rPr>
          <w:rFonts w:eastAsia="MS Mincho"/>
          <w:sz w:val="20"/>
          <w:szCs w:val="22"/>
          <w:lang w:val="en-GB" w:eastAsia="ja-JP"/>
        </w:rPr>
        <w:t xml:space="preserve"> </w:t>
      </w:r>
      <w:r w:rsidRPr="00C96521">
        <w:rPr>
          <w:rFonts w:eastAsia="MS Mincho"/>
          <w:sz w:val="20"/>
          <w:szCs w:val="22"/>
          <w:lang w:val="en-GB" w:eastAsia="ja-JP"/>
        </w:rPr>
        <w:t xml:space="preserve">to Vulnerable at the global level and Near Threatened at EU level, the Maltese </w:t>
      </w:r>
      <w:r w:rsidR="00F33271">
        <w:rPr>
          <w:rFonts w:eastAsia="MS Mincho"/>
          <w:sz w:val="20"/>
          <w:szCs w:val="22"/>
          <w:lang w:val="en-GB" w:eastAsia="ja-JP"/>
        </w:rPr>
        <w:t>G</w:t>
      </w:r>
      <w:r w:rsidR="00F33271" w:rsidRPr="00C96521">
        <w:rPr>
          <w:rFonts w:eastAsia="MS Mincho"/>
          <w:sz w:val="20"/>
          <w:szCs w:val="22"/>
          <w:lang w:val="en-GB" w:eastAsia="ja-JP"/>
        </w:rPr>
        <w:t xml:space="preserve">overnment </w:t>
      </w:r>
      <w:r w:rsidRPr="00C96521">
        <w:rPr>
          <w:rFonts w:eastAsia="MS Mincho"/>
          <w:sz w:val="20"/>
          <w:szCs w:val="22"/>
          <w:lang w:val="en-GB" w:eastAsia="ja-JP"/>
        </w:rPr>
        <w:t xml:space="preserve">enacted a moratorium on the future spring hunting of the </w:t>
      </w:r>
      <w:r w:rsidR="00F33271" w:rsidRPr="00374BE2">
        <w:rPr>
          <w:rFonts w:eastAsia="MS Mincho" w:cs="Arial"/>
          <w:sz w:val="20"/>
          <w:szCs w:val="20"/>
          <w:lang w:val="en-GB" w:eastAsia="ja-JP"/>
        </w:rPr>
        <w:t>Turtle Dove</w:t>
      </w:r>
      <w:r w:rsidRPr="00C96521">
        <w:rPr>
          <w:rFonts w:eastAsia="MS Mincho"/>
          <w:sz w:val="20"/>
          <w:szCs w:val="22"/>
          <w:lang w:val="en-GB" w:eastAsia="ja-JP"/>
        </w:rPr>
        <w:t xml:space="preserve">, which will remain in force until such time that maintenance of the EU population of </w:t>
      </w:r>
      <w:r w:rsidR="00F33271" w:rsidRPr="00374BE2">
        <w:rPr>
          <w:rFonts w:eastAsia="MS Mincho" w:cs="Arial"/>
          <w:sz w:val="20"/>
          <w:szCs w:val="20"/>
          <w:lang w:val="en-GB" w:eastAsia="ja-JP"/>
        </w:rPr>
        <w:t>Turtle Dove</w:t>
      </w:r>
      <w:r w:rsidR="00F33271">
        <w:rPr>
          <w:rFonts w:eastAsia="MS Mincho" w:cs="Arial"/>
          <w:sz w:val="20"/>
          <w:szCs w:val="20"/>
          <w:lang w:val="en-GB" w:eastAsia="ja-JP"/>
        </w:rPr>
        <w:t>s</w:t>
      </w:r>
      <w:r w:rsidR="00F33271" w:rsidRPr="00C96521" w:rsidDel="00F33271">
        <w:rPr>
          <w:rFonts w:eastAsia="MS Mincho"/>
          <w:sz w:val="20"/>
          <w:szCs w:val="22"/>
          <w:lang w:val="en-GB" w:eastAsia="ja-JP"/>
        </w:rPr>
        <w:t xml:space="preserve"> </w:t>
      </w:r>
      <w:r w:rsidRPr="00C96521">
        <w:rPr>
          <w:rFonts w:eastAsia="MS Mincho"/>
          <w:sz w:val="20"/>
          <w:szCs w:val="22"/>
          <w:lang w:val="en-GB" w:eastAsia="ja-JP"/>
        </w:rPr>
        <w:t>at a satisfactory level is scientifically ascertained at EU level.</w:t>
      </w:r>
    </w:p>
    <w:p w14:paraId="15701EA2"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0953D970" w14:textId="5A4D22B6"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Outside of Europe, information on hunting bags becomes scarce. In Africa, the </w:t>
      </w:r>
      <w:r w:rsidR="00F33271" w:rsidRPr="00374BE2">
        <w:rPr>
          <w:rFonts w:eastAsia="MS Mincho" w:cs="Arial"/>
          <w:sz w:val="20"/>
          <w:szCs w:val="20"/>
          <w:lang w:val="en-GB" w:eastAsia="ja-JP"/>
        </w:rPr>
        <w:t>Turtle Dove</w:t>
      </w:r>
      <w:r w:rsidR="00F33271" w:rsidRPr="00C96521" w:rsidDel="00F33271">
        <w:rPr>
          <w:rFonts w:eastAsia="MS Mincho" w:cs="Arial"/>
          <w:sz w:val="20"/>
          <w:szCs w:val="22"/>
          <w:lang w:val="en-GB" w:eastAsia="ja-JP"/>
        </w:rPr>
        <w:t xml:space="preserve"> </w:t>
      </w:r>
      <w:r w:rsidRPr="00C96521">
        <w:rPr>
          <w:rFonts w:eastAsia="MS Mincho" w:cs="Arial"/>
          <w:sz w:val="20"/>
          <w:szCs w:val="22"/>
          <w:lang w:val="en-GB" w:eastAsia="ja-JP"/>
        </w:rPr>
        <w:t xml:space="preserve">is subject to hunting on both the wintering grounds and on migration (Barlow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1997), and </w:t>
      </w:r>
      <w:r w:rsidRPr="00C96521">
        <w:rPr>
          <w:rFonts w:eastAsia="MS Mincho"/>
          <w:sz w:val="20"/>
          <w:szCs w:val="22"/>
          <w:lang w:val="en-GB" w:eastAsia="ja-JP"/>
        </w:rPr>
        <w:t xml:space="preserve">the combined effect of direct mortality and disturbance at roosts during the crucial pre-migration period when the birds must substantially increase their body mass is likely to affect survival (Zwarts </w:t>
      </w:r>
      <w:r w:rsidRPr="00C96521">
        <w:rPr>
          <w:rFonts w:eastAsia="MS Mincho"/>
          <w:i/>
          <w:sz w:val="20"/>
          <w:szCs w:val="22"/>
          <w:lang w:val="en-GB" w:eastAsia="ja-JP"/>
        </w:rPr>
        <w:t>et al</w:t>
      </w:r>
      <w:r w:rsidRPr="00C96521">
        <w:rPr>
          <w:rFonts w:eastAsia="MS Mincho"/>
          <w:sz w:val="20"/>
          <w:szCs w:val="22"/>
          <w:lang w:val="en-GB" w:eastAsia="ja-JP"/>
        </w:rPr>
        <w:t xml:space="preserve"> 2009). Hunting is likely to be </w:t>
      </w:r>
      <w:r w:rsidRPr="00C96521">
        <w:rPr>
          <w:rFonts w:eastAsia="MS Mincho" w:cs="Arial"/>
          <w:sz w:val="20"/>
          <w:szCs w:val="22"/>
          <w:lang w:val="en-GB" w:eastAsia="ja-JP"/>
        </w:rPr>
        <w:t xml:space="preserve">taking place at times and levels that are not in alignment with the EU Birds Directive. </w:t>
      </w:r>
    </w:p>
    <w:p w14:paraId="70C95415"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76ABA4E2" w14:textId="599759B4"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Hunting tourism also remains a problem. Agencies offer turtle-dove hunting during the summer in some parts of Europe, such as in Bulgaria (quota-free harvesting, mid-August to mid-September), and </w:t>
      </w:r>
      <w:r w:rsidR="00F33271">
        <w:rPr>
          <w:rFonts w:eastAsia="MS Mincho" w:cs="Arial"/>
          <w:sz w:val="20"/>
          <w:szCs w:val="22"/>
          <w:lang w:val="en-GB" w:eastAsia="ja-JP"/>
        </w:rPr>
        <w:t xml:space="preserve">the FYR of </w:t>
      </w:r>
      <w:r w:rsidRPr="00C96521">
        <w:rPr>
          <w:rFonts w:eastAsia="MS Mincho" w:cs="Arial"/>
          <w:sz w:val="20"/>
          <w:szCs w:val="22"/>
          <w:lang w:val="en-GB" w:eastAsia="ja-JP"/>
        </w:rPr>
        <w:t xml:space="preserve">Macedonia (quota-free, from 20 August to 10 September) (Favia 2016). The impact of hunting tourism needs to be better understood and quantified. A basic internet search found </w:t>
      </w:r>
      <w:r w:rsidR="00F33271" w:rsidRPr="00374BE2">
        <w:rPr>
          <w:rFonts w:eastAsia="MS Mincho" w:cs="Arial"/>
          <w:sz w:val="20"/>
          <w:szCs w:val="20"/>
          <w:lang w:val="en-GB" w:eastAsia="ja-JP"/>
        </w:rPr>
        <w:t>Turtle Dove</w:t>
      </w:r>
      <w:r w:rsidR="00F33271" w:rsidRPr="00C96521" w:rsidDel="00F33271">
        <w:rPr>
          <w:rFonts w:eastAsia="MS Mincho" w:cs="Arial"/>
          <w:sz w:val="20"/>
          <w:szCs w:val="22"/>
          <w:lang w:val="en-GB" w:eastAsia="ja-JP"/>
        </w:rPr>
        <w:t xml:space="preserve"> </w:t>
      </w:r>
      <w:r w:rsidRPr="00C96521">
        <w:rPr>
          <w:rFonts w:eastAsia="MS Mincho" w:cs="Arial"/>
          <w:sz w:val="20"/>
          <w:szCs w:val="22"/>
          <w:lang w:val="en-GB" w:eastAsia="ja-JP"/>
        </w:rPr>
        <w:t xml:space="preserve">hunting trips were offered in Bulgaria, Burkina Faso, Egypt, </w:t>
      </w:r>
      <w:r w:rsidR="00F33271">
        <w:rPr>
          <w:rFonts w:eastAsia="MS Mincho" w:cs="Arial"/>
          <w:sz w:val="20"/>
          <w:szCs w:val="22"/>
          <w:lang w:val="en-GB" w:eastAsia="ja-JP"/>
        </w:rPr>
        <w:t>t</w:t>
      </w:r>
      <w:r w:rsidRPr="00C96521">
        <w:rPr>
          <w:rFonts w:eastAsia="MS Mincho" w:cs="Arial"/>
          <w:sz w:val="20"/>
          <w:szCs w:val="22"/>
          <w:lang w:val="en-GB" w:eastAsia="ja-JP"/>
        </w:rPr>
        <w:t xml:space="preserve">he Gambia, Greece, Guinea Bissau, Mali, Montenegro, Morocco, Romania, </w:t>
      </w:r>
      <w:r w:rsidR="00F33271" w:rsidRPr="00C96521">
        <w:rPr>
          <w:rFonts w:eastAsia="MS Mincho" w:cs="Arial"/>
          <w:sz w:val="20"/>
          <w:szCs w:val="22"/>
          <w:lang w:val="en-GB" w:eastAsia="ja-JP"/>
        </w:rPr>
        <w:t>Senegal</w:t>
      </w:r>
      <w:r w:rsidR="00F33271">
        <w:rPr>
          <w:rFonts w:eastAsia="MS Mincho" w:cs="Arial"/>
          <w:sz w:val="20"/>
          <w:szCs w:val="22"/>
          <w:lang w:val="en-GB" w:eastAsia="ja-JP"/>
        </w:rPr>
        <w:t>,</w:t>
      </w:r>
      <w:r w:rsidR="00F33271" w:rsidRPr="00C96521">
        <w:rPr>
          <w:rFonts w:eastAsia="MS Mincho" w:cs="Arial"/>
          <w:sz w:val="20"/>
          <w:szCs w:val="22"/>
          <w:lang w:val="en-GB" w:eastAsia="ja-JP"/>
        </w:rPr>
        <w:t xml:space="preserve"> </w:t>
      </w:r>
      <w:r w:rsidRPr="00C96521">
        <w:rPr>
          <w:rFonts w:eastAsia="MS Mincho" w:cs="Arial"/>
          <w:sz w:val="20"/>
          <w:szCs w:val="22"/>
          <w:lang w:val="en-GB" w:eastAsia="ja-JP"/>
        </w:rPr>
        <w:t>Serbia,</w:t>
      </w:r>
      <w:r w:rsidR="00F33271">
        <w:rPr>
          <w:rFonts w:eastAsia="MS Mincho" w:cs="Arial"/>
          <w:sz w:val="20"/>
          <w:szCs w:val="22"/>
          <w:lang w:val="en-GB" w:eastAsia="ja-JP"/>
        </w:rPr>
        <w:t xml:space="preserve"> Spain,</w:t>
      </w:r>
      <w:r w:rsidRPr="00C96521">
        <w:rPr>
          <w:rFonts w:eastAsia="MS Mincho" w:cs="Arial"/>
          <w:sz w:val="20"/>
          <w:szCs w:val="22"/>
          <w:lang w:val="en-GB" w:eastAsia="ja-JP"/>
        </w:rPr>
        <w:t xml:space="preserve"> </w:t>
      </w:r>
      <w:r w:rsidR="00F33271">
        <w:rPr>
          <w:rFonts w:eastAsia="MS Mincho" w:cs="Arial"/>
          <w:sz w:val="20"/>
          <w:szCs w:val="22"/>
          <w:lang w:val="en-GB" w:eastAsia="ja-JP"/>
        </w:rPr>
        <w:t xml:space="preserve">the FYR of </w:t>
      </w:r>
      <w:r w:rsidR="00F33271" w:rsidRPr="00C96521">
        <w:rPr>
          <w:rFonts w:eastAsia="MS Mincho" w:cs="Arial"/>
          <w:sz w:val="20"/>
          <w:szCs w:val="22"/>
          <w:lang w:val="en-GB" w:eastAsia="ja-JP"/>
        </w:rPr>
        <w:t xml:space="preserve">Macedonia </w:t>
      </w:r>
      <w:r w:rsidR="00F33271">
        <w:rPr>
          <w:rFonts w:eastAsia="MS Mincho" w:cs="Arial"/>
          <w:sz w:val="20"/>
          <w:szCs w:val="22"/>
          <w:lang w:val="en-GB" w:eastAsia="ja-JP"/>
        </w:rPr>
        <w:t>,</w:t>
      </w:r>
      <w:r w:rsidRPr="00C96521">
        <w:rPr>
          <w:rFonts w:eastAsia="MS Mincho" w:cs="Arial"/>
          <w:sz w:val="20"/>
          <w:szCs w:val="22"/>
          <w:lang w:val="en-GB" w:eastAsia="ja-JP"/>
        </w:rPr>
        <w:t xml:space="preserve">Tunisia, </w:t>
      </w:r>
      <w:r w:rsidR="00F33271">
        <w:rPr>
          <w:rFonts w:eastAsia="MS Mincho" w:cs="Arial"/>
          <w:sz w:val="20"/>
          <w:szCs w:val="22"/>
          <w:lang w:val="en-GB" w:eastAsia="ja-JP"/>
        </w:rPr>
        <w:t xml:space="preserve">and </w:t>
      </w:r>
      <w:r w:rsidRPr="00C96521">
        <w:rPr>
          <w:rFonts w:eastAsia="MS Mincho" w:cs="Arial"/>
          <w:sz w:val="20"/>
          <w:szCs w:val="22"/>
          <w:lang w:val="en-GB" w:eastAsia="ja-JP"/>
        </w:rPr>
        <w:t>Turkey. There is concern that if hunting is banned in one country, hunting effort will be displaced to countries where the practice is still allowed.</w:t>
      </w:r>
    </w:p>
    <w:p w14:paraId="31E16AAA"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2FC5B946" w14:textId="07A62DF1"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Hunting organi</w:t>
      </w:r>
      <w:r w:rsidR="00F33271">
        <w:rPr>
          <w:rFonts w:eastAsia="MS Mincho" w:cs="Arial"/>
          <w:sz w:val="20"/>
          <w:szCs w:val="22"/>
          <w:lang w:val="en-GB" w:eastAsia="ja-JP"/>
        </w:rPr>
        <w:t>z</w:t>
      </w:r>
      <w:r w:rsidRPr="00C96521">
        <w:rPr>
          <w:rFonts w:eastAsia="MS Mincho" w:cs="Arial"/>
          <w:sz w:val="20"/>
          <w:szCs w:val="22"/>
          <w:lang w:val="en-GB" w:eastAsia="ja-JP"/>
        </w:rPr>
        <w:t xml:space="preserve">ations also carry out activities that are beneficial to the </w:t>
      </w:r>
      <w:r w:rsidR="00F33271">
        <w:rPr>
          <w:rFonts w:eastAsia="MS Mincho" w:cs="Arial"/>
          <w:sz w:val="20"/>
          <w:szCs w:val="22"/>
          <w:lang w:val="en-GB" w:eastAsia="ja-JP"/>
        </w:rPr>
        <w:t>T</w:t>
      </w:r>
      <w:r w:rsidRPr="00C96521">
        <w:rPr>
          <w:rFonts w:eastAsia="MS Mincho" w:cs="Arial"/>
          <w:sz w:val="20"/>
          <w:szCs w:val="22"/>
          <w:lang w:val="en-GB" w:eastAsia="ja-JP"/>
        </w:rPr>
        <w:t>urtle</w:t>
      </w:r>
      <w:r w:rsidR="00F33271">
        <w:rPr>
          <w:rFonts w:eastAsia="MS Mincho" w:cs="Arial"/>
          <w:sz w:val="20"/>
          <w:szCs w:val="22"/>
          <w:lang w:val="en-GB" w:eastAsia="ja-JP"/>
        </w:rPr>
        <w:t xml:space="preserve"> D</w:t>
      </w:r>
      <w:r w:rsidRPr="00C96521">
        <w:rPr>
          <w:rFonts w:eastAsia="MS Mincho" w:cs="Arial"/>
          <w:sz w:val="20"/>
          <w:szCs w:val="22"/>
          <w:lang w:val="en-GB" w:eastAsia="ja-JP"/>
        </w:rPr>
        <w:t xml:space="preserve">ove, such as restoring hedges and woodland, clearing springs, providing food directly, planting set-aside crops, voluntarily policing hunting activity, and limiting birds taken. Research by Rocha and Quillfeldt (2015) shows that hunting estates in south-west Spain, where food supplementation takes place, have higher young/adult ratios than control ones (estimated in the second half of August, prior to the opening of the hunting season). </w:t>
      </w:r>
    </w:p>
    <w:p w14:paraId="4F619123" w14:textId="77777777" w:rsidR="00C96521" w:rsidRPr="00C96521" w:rsidRDefault="00C96521" w:rsidP="00C96521">
      <w:pPr>
        <w:widowControl/>
        <w:autoSpaceDE/>
        <w:autoSpaceDN/>
        <w:adjustRightInd/>
        <w:spacing w:line="276" w:lineRule="auto"/>
        <w:rPr>
          <w:rFonts w:eastAsia="MS Mincho" w:cs="Arial"/>
          <w:color w:val="FF0000"/>
          <w:sz w:val="20"/>
          <w:szCs w:val="22"/>
          <w:lang w:val="en-GB" w:eastAsia="ja-JP"/>
        </w:rPr>
      </w:pPr>
    </w:p>
    <w:p w14:paraId="6D09DC54" w14:textId="77777777" w:rsidR="00C96521" w:rsidRPr="00C96521" w:rsidRDefault="00C96521" w:rsidP="00C96521">
      <w:pPr>
        <w:widowControl/>
        <w:rPr>
          <w:rFonts w:ascii="TimesNewRoman" w:eastAsia="MS Mincho" w:hAnsi="TimesNewRoman" w:cs="TimesNewRoman"/>
          <w:sz w:val="20"/>
          <w:szCs w:val="22"/>
          <w:lang w:val="en-GB" w:eastAsia="ja-JP"/>
        </w:rPr>
      </w:pPr>
    </w:p>
    <w:p w14:paraId="2E5682F2" w14:textId="77777777" w:rsidR="00C96521" w:rsidRPr="00C96521" w:rsidRDefault="00C96521" w:rsidP="00C96521">
      <w:pPr>
        <w:widowControl/>
        <w:rPr>
          <w:rFonts w:ascii="TimesNewRoman" w:eastAsia="MS Mincho" w:hAnsi="TimesNewRoman" w:cs="TimesNewRoman"/>
          <w:sz w:val="20"/>
          <w:szCs w:val="22"/>
          <w:lang w:val="en-GB" w:eastAsia="ja-JP"/>
        </w:rPr>
      </w:pPr>
    </w:p>
    <w:p w14:paraId="47EA3E47" w14:textId="77777777" w:rsidR="00C96521" w:rsidRPr="00C96521" w:rsidRDefault="00C96521" w:rsidP="00C96521">
      <w:pPr>
        <w:keepNext/>
        <w:keepLines/>
        <w:widowControl/>
        <w:autoSpaceDE/>
        <w:autoSpaceDN/>
        <w:adjustRightInd/>
        <w:spacing w:before="200" w:line="276" w:lineRule="auto"/>
        <w:outlineLvl w:val="1"/>
        <w:rPr>
          <w:rFonts w:ascii="Cambria" w:eastAsia="MS Gothic" w:hAnsi="Cambria"/>
          <w:b/>
          <w:bCs/>
          <w:color w:val="4F81BD"/>
          <w:sz w:val="26"/>
          <w:szCs w:val="26"/>
          <w:lang w:val="en-GB" w:eastAsia="ja-JP"/>
        </w:rPr>
      </w:pPr>
      <w:bookmarkStart w:id="28" w:name="_Toc478646913"/>
      <w:r w:rsidRPr="00C96521">
        <w:rPr>
          <w:rFonts w:ascii="Cambria" w:eastAsia="MS Gothic" w:hAnsi="Cambria"/>
          <w:b/>
          <w:bCs/>
          <w:color w:val="4F81BD"/>
          <w:sz w:val="26"/>
          <w:szCs w:val="26"/>
          <w:lang w:val="en-GB" w:eastAsia="ja-JP"/>
        </w:rPr>
        <w:t>Other threats</w:t>
      </w:r>
      <w:bookmarkEnd w:id="28"/>
    </w:p>
    <w:p w14:paraId="006404C3"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8174D96" w14:textId="337CBE11"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A number of additional threats to </w:t>
      </w:r>
      <w:r w:rsidR="00F33271">
        <w:rPr>
          <w:rFonts w:eastAsia="MS Mincho"/>
          <w:sz w:val="20"/>
          <w:szCs w:val="22"/>
          <w:lang w:val="en-GB" w:eastAsia="ja-JP"/>
        </w:rPr>
        <w:t>T</w:t>
      </w:r>
      <w:r w:rsidRPr="00C96521">
        <w:rPr>
          <w:rFonts w:eastAsia="MS Mincho"/>
          <w:sz w:val="20"/>
          <w:szCs w:val="22"/>
          <w:lang w:val="en-GB" w:eastAsia="ja-JP"/>
        </w:rPr>
        <w:t>urtle</w:t>
      </w:r>
      <w:r w:rsidR="00F33271">
        <w:rPr>
          <w:rFonts w:eastAsia="MS Mincho"/>
          <w:sz w:val="20"/>
          <w:szCs w:val="22"/>
          <w:lang w:val="en-GB" w:eastAsia="ja-JP"/>
        </w:rPr>
        <w:t xml:space="preserve"> D</w:t>
      </w:r>
      <w:r w:rsidRPr="00C96521">
        <w:rPr>
          <w:rFonts w:eastAsia="MS Mincho"/>
          <w:sz w:val="20"/>
          <w:szCs w:val="22"/>
          <w:lang w:val="en-GB" w:eastAsia="ja-JP"/>
        </w:rPr>
        <w:t>oves have been identified, but are either considered to have a small impact or the degree of impact is unknown and further research is needed. In addition to those listed below, there may be mortality associated with collision with wind energy installations as well as electrocution and impact with power lines. It is possible that predation may be impacting the species (Hanane 2016b), and plastic pollution could pose a threat, as a study in Mediterranean forest areas in southern Spain found plastic granules in 3.8</w:t>
      </w:r>
      <w:r w:rsidR="00F33271">
        <w:rPr>
          <w:rFonts w:eastAsia="MS Mincho"/>
          <w:sz w:val="20"/>
          <w:szCs w:val="22"/>
          <w:lang w:val="en-GB" w:eastAsia="ja-JP"/>
        </w:rPr>
        <w:t xml:space="preserve"> per cent</w:t>
      </w:r>
      <w:r w:rsidRPr="00C96521">
        <w:rPr>
          <w:rFonts w:eastAsia="MS Mincho"/>
          <w:sz w:val="20"/>
          <w:szCs w:val="22"/>
          <w:lang w:val="en-GB" w:eastAsia="ja-JP"/>
        </w:rPr>
        <w:t xml:space="preserve"> of </w:t>
      </w:r>
      <w:r w:rsidR="00F33271">
        <w:rPr>
          <w:rFonts w:eastAsia="MS Mincho"/>
          <w:sz w:val="20"/>
          <w:szCs w:val="22"/>
          <w:lang w:val="en-GB" w:eastAsia="ja-JP"/>
        </w:rPr>
        <w:t>T</w:t>
      </w:r>
      <w:r w:rsidRPr="00C96521">
        <w:rPr>
          <w:rFonts w:eastAsia="MS Mincho"/>
          <w:sz w:val="20"/>
          <w:szCs w:val="22"/>
          <w:lang w:val="en-GB" w:eastAsia="ja-JP"/>
        </w:rPr>
        <w:t>urtle</w:t>
      </w:r>
      <w:r w:rsidR="00F33271">
        <w:rPr>
          <w:rFonts w:eastAsia="MS Mincho"/>
          <w:sz w:val="20"/>
          <w:szCs w:val="22"/>
          <w:lang w:val="en-GB" w:eastAsia="ja-JP"/>
        </w:rPr>
        <w:t xml:space="preserve"> D</w:t>
      </w:r>
      <w:r w:rsidRPr="00C96521">
        <w:rPr>
          <w:rFonts w:eastAsia="MS Mincho"/>
          <w:sz w:val="20"/>
          <w:szCs w:val="22"/>
          <w:lang w:val="en-GB" w:eastAsia="ja-JP"/>
        </w:rPr>
        <w:t xml:space="preserve">ove digestive tracts analysed (Guttiérez-Galàn and Alonso 2016). </w:t>
      </w:r>
    </w:p>
    <w:p w14:paraId="5108356E"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2F69F2C" w14:textId="77777777" w:rsidR="00C96521" w:rsidRPr="00C96521" w:rsidRDefault="00C96521" w:rsidP="00C96521">
      <w:pPr>
        <w:keepNext/>
        <w:keepLines/>
        <w:widowControl/>
        <w:autoSpaceDE/>
        <w:autoSpaceDN/>
        <w:adjustRightInd/>
        <w:spacing w:before="200" w:line="276" w:lineRule="auto"/>
        <w:outlineLvl w:val="2"/>
        <w:rPr>
          <w:rFonts w:ascii="Cambria" w:eastAsia="MS Gothic" w:hAnsi="Cambria"/>
          <w:b/>
          <w:bCs/>
          <w:color w:val="4F81BD"/>
          <w:sz w:val="20"/>
          <w:szCs w:val="22"/>
          <w:lang w:val="en-GB" w:eastAsia="ja-JP"/>
        </w:rPr>
      </w:pPr>
      <w:bookmarkStart w:id="29" w:name="_Toc478646914"/>
      <w:r w:rsidRPr="00C96521">
        <w:rPr>
          <w:rFonts w:ascii="Cambria" w:eastAsia="MS Gothic" w:hAnsi="Cambria"/>
          <w:b/>
          <w:bCs/>
          <w:color w:val="4F81BD"/>
          <w:sz w:val="20"/>
          <w:szCs w:val="22"/>
          <w:lang w:val="en-GB" w:eastAsia="ja-JP"/>
        </w:rPr>
        <w:t>Pesticides, agricultural chemicals and lead shot</w:t>
      </w:r>
      <w:bookmarkEnd w:id="29"/>
    </w:p>
    <w:p w14:paraId="0A4541B7"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1DF6BE15" w14:textId="7DB23319"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Increased use of pesticides and herbicides has the potential to threaten the species both directly and indirectly: direct poisoning through ingestion of agricultural chemicals, and indirectly by reducing the availability of weed seeds. There is no direct evidence to suggest that pesticides have been responsible for declines in t</w:t>
      </w:r>
      <w:r w:rsidR="00F33271">
        <w:rPr>
          <w:rFonts w:eastAsia="MS Mincho"/>
          <w:sz w:val="20"/>
          <w:szCs w:val="22"/>
          <w:lang w:val="en-GB" w:eastAsia="ja-JP"/>
        </w:rPr>
        <w:t>he T</w:t>
      </w:r>
      <w:r w:rsidRPr="00C96521">
        <w:rPr>
          <w:rFonts w:eastAsia="MS Mincho"/>
          <w:sz w:val="20"/>
          <w:szCs w:val="22"/>
          <w:lang w:val="en-GB" w:eastAsia="ja-JP"/>
        </w:rPr>
        <w:t>urtle</w:t>
      </w:r>
      <w:r w:rsidR="00F33271">
        <w:rPr>
          <w:rFonts w:eastAsia="MS Mincho"/>
          <w:sz w:val="20"/>
          <w:szCs w:val="22"/>
          <w:lang w:val="en-GB" w:eastAsia="ja-JP"/>
        </w:rPr>
        <w:t xml:space="preserve"> D</w:t>
      </w:r>
      <w:r w:rsidRPr="00C96521">
        <w:rPr>
          <w:rFonts w:eastAsia="MS Mincho"/>
          <w:sz w:val="20"/>
          <w:szCs w:val="22"/>
          <w:lang w:val="en-GB" w:eastAsia="ja-JP"/>
        </w:rPr>
        <w:t>ove, but avian species are known to be negatively affected with effects ranging from reduced reproductive success and immune response to mortality (Mineau and Palmer 2013). Granivorous birds may be susceptible to feeding on seeds treated with pesticides (Goulson 2013). For instance,</w:t>
      </w:r>
      <w:r w:rsidR="00F33271">
        <w:rPr>
          <w:rFonts w:eastAsia="MS Mincho"/>
          <w:sz w:val="20"/>
          <w:szCs w:val="22"/>
          <w:lang w:val="en-GB" w:eastAsia="ja-JP"/>
        </w:rPr>
        <w:t xml:space="preserve"> the</w:t>
      </w:r>
      <w:r w:rsidRPr="00C96521">
        <w:rPr>
          <w:rFonts w:eastAsia="MS Mincho"/>
          <w:sz w:val="20"/>
          <w:szCs w:val="22"/>
          <w:lang w:val="en-GB" w:eastAsia="ja-JP"/>
        </w:rPr>
        <w:t xml:space="preserve"> </w:t>
      </w:r>
      <w:r w:rsidR="00F33271">
        <w:rPr>
          <w:rFonts w:eastAsia="MS Mincho"/>
          <w:sz w:val="20"/>
          <w:szCs w:val="22"/>
          <w:lang w:val="en-GB" w:eastAsia="ja-JP"/>
        </w:rPr>
        <w:t>R</w:t>
      </w:r>
      <w:r w:rsidRPr="00C96521">
        <w:rPr>
          <w:rFonts w:eastAsia="MS Mincho"/>
          <w:sz w:val="20"/>
          <w:szCs w:val="22"/>
          <w:lang w:val="en-GB" w:eastAsia="ja-JP"/>
        </w:rPr>
        <w:t xml:space="preserve">ed-legged </w:t>
      </w:r>
      <w:r w:rsidR="00F33271">
        <w:rPr>
          <w:rFonts w:eastAsia="MS Mincho"/>
          <w:sz w:val="20"/>
          <w:szCs w:val="22"/>
          <w:lang w:val="en-GB" w:eastAsia="ja-JP"/>
        </w:rPr>
        <w:t>P</w:t>
      </w:r>
      <w:r w:rsidRPr="00C96521">
        <w:rPr>
          <w:rFonts w:eastAsia="MS Mincho"/>
          <w:sz w:val="20"/>
          <w:szCs w:val="22"/>
          <w:lang w:val="en-GB" w:eastAsia="ja-JP"/>
        </w:rPr>
        <w:t>artridge (</w:t>
      </w:r>
      <w:r w:rsidRPr="00C96521">
        <w:rPr>
          <w:rFonts w:eastAsia="MS Mincho"/>
          <w:i/>
          <w:sz w:val="20"/>
          <w:szCs w:val="22"/>
          <w:lang w:val="en-GB" w:eastAsia="ja-JP"/>
        </w:rPr>
        <w:t>Alectoris rufa</w:t>
      </w:r>
      <w:r w:rsidRPr="00C96521">
        <w:rPr>
          <w:rFonts w:eastAsia="MS Mincho"/>
          <w:sz w:val="20"/>
          <w:szCs w:val="22"/>
          <w:lang w:val="en-GB" w:eastAsia="ja-JP"/>
        </w:rPr>
        <w:t xml:space="preserve">) is known to be susceptible to at least three pesticides, with birds experiencing sublethal and lethal effects when fed wheat seed dressed in the substances (Lopez-Antia </w:t>
      </w:r>
      <w:r w:rsidRPr="00C96521">
        <w:rPr>
          <w:rFonts w:eastAsia="MS Mincho"/>
          <w:i/>
          <w:sz w:val="20"/>
          <w:szCs w:val="22"/>
          <w:lang w:val="en-GB" w:eastAsia="ja-JP"/>
        </w:rPr>
        <w:t>et al</w:t>
      </w:r>
      <w:r w:rsidRPr="00C96521">
        <w:rPr>
          <w:rFonts w:eastAsia="MS Mincho"/>
          <w:sz w:val="20"/>
          <w:szCs w:val="22"/>
          <w:lang w:val="en-GB" w:eastAsia="ja-JP"/>
        </w:rPr>
        <w:t xml:space="preserve"> 2013). </w:t>
      </w:r>
      <w:r w:rsidR="00F33271">
        <w:rPr>
          <w:rFonts w:eastAsia="MS Mincho"/>
          <w:sz w:val="20"/>
          <w:szCs w:val="22"/>
          <w:lang w:val="en-GB" w:eastAsia="ja-JP"/>
        </w:rPr>
        <w:t xml:space="preserve">The </w:t>
      </w:r>
      <w:r w:rsidRPr="00C96521">
        <w:rPr>
          <w:rFonts w:eastAsia="MS Mincho"/>
          <w:sz w:val="20"/>
          <w:szCs w:val="22"/>
          <w:lang w:val="en-GB" w:eastAsia="ja-JP"/>
        </w:rPr>
        <w:t xml:space="preserve">Feral </w:t>
      </w:r>
      <w:r w:rsidR="00F33271">
        <w:rPr>
          <w:rFonts w:eastAsia="MS Mincho"/>
          <w:sz w:val="20"/>
          <w:szCs w:val="22"/>
          <w:lang w:val="en-GB" w:eastAsia="ja-JP"/>
        </w:rPr>
        <w:t>P</w:t>
      </w:r>
      <w:r w:rsidRPr="00C96521">
        <w:rPr>
          <w:rFonts w:eastAsia="MS Mincho"/>
          <w:sz w:val="20"/>
          <w:szCs w:val="22"/>
          <w:lang w:val="en-GB" w:eastAsia="ja-JP"/>
        </w:rPr>
        <w:t>igeon (</w:t>
      </w:r>
      <w:r w:rsidRPr="00C96521">
        <w:rPr>
          <w:rFonts w:eastAsia="MS Mincho"/>
          <w:i/>
          <w:sz w:val="20"/>
          <w:szCs w:val="22"/>
          <w:lang w:val="en-GB" w:eastAsia="ja-JP"/>
        </w:rPr>
        <w:t>Columba livia</w:t>
      </w:r>
      <w:r w:rsidRPr="00C96521">
        <w:rPr>
          <w:rFonts w:eastAsia="MS Mincho"/>
          <w:sz w:val="20"/>
          <w:szCs w:val="22"/>
          <w:lang w:val="en-GB" w:eastAsia="ja-JP"/>
        </w:rPr>
        <w:t xml:space="preserve">) is also known to be susceptible to at least two pesticides and it has been calculated that a </w:t>
      </w:r>
      <w:r w:rsidR="00F33271">
        <w:rPr>
          <w:rFonts w:eastAsia="MS Mincho"/>
          <w:sz w:val="20"/>
          <w:szCs w:val="22"/>
          <w:lang w:val="en-GB" w:eastAsia="ja-JP"/>
        </w:rPr>
        <w:t>G</w:t>
      </w:r>
      <w:r w:rsidRPr="00C96521">
        <w:rPr>
          <w:rFonts w:eastAsia="MS Mincho"/>
          <w:sz w:val="20"/>
          <w:szCs w:val="22"/>
          <w:lang w:val="en-GB" w:eastAsia="ja-JP"/>
        </w:rPr>
        <w:t xml:space="preserve">rey </w:t>
      </w:r>
      <w:r w:rsidR="00F33271">
        <w:rPr>
          <w:rFonts w:eastAsia="MS Mincho"/>
          <w:sz w:val="20"/>
          <w:szCs w:val="22"/>
          <w:lang w:val="en-GB" w:eastAsia="ja-JP"/>
        </w:rPr>
        <w:t>P</w:t>
      </w:r>
      <w:r w:rsidRPr="00C96521">
        <w:rPr>
          <w:rFonts w:eastAsia="MS Mincho"/>
          <w:sz w:val="20"/>
          <w:szCs w:val="22"/>
          <w:lang w:val="en-GB" w:eastAsia="ja-JP"/>
        </w:rPr>
        <w:t>artridge (</w:t>
      </w:r>
      <w:r w:rsidRPr="00C96521">
        <w:rPr>
          <w:rFonts w:eastAsia="MS Mincho"/>
          <w:i/>
          <w:sz w:val="20"/>
          <w:szCs w:val="22"/>
          <w:lang w:val="en-GB" w:eastAsia="ja-JP"/>
        </w:rPr>
        <w:t>Perdix perdix</w:t>
      </w:r>
      <w:r w:rsidRPr="00C96521">
        <w:rPr>
          <w:rFonts w:eastAsia="MS Mincho"/>
          <w:sz w:val="20"/>
          <w:szCs w:val="22"/>
          <w:lang w:val="en-GB" w:eastAsia="ja-JP"/>
        </w:rPr>
        <w:t>) would have to feed on just six beet seeds treated with 0.9 mg of imidacloprid to have a 50</w:t>
      </w:r>
      <w:r w:rsidR="00F33271">
        <w:rPr>
          <w:rFonts w:eastAsia="MS Mincho"/>
          <w:sz w:val="20"/>
          <w:szCs w:val="22"/>
          <w:lang w:val="en-GB" w:eastAsia="ja-JP"/>
        </w:rPr>
        <w:t xml:space="preserve"> per cent</w:t>
      </w:r>
      <w:r w:rsidRPr="00C96521">
        <w:rPr>
          <w:rFonts w:eastAsia="MS Mincho"/>
          <w:sz w:val="20"/>
          <w:szCs w:val="22"/>
          <w:lang w:val="en-GB" w:eastAsia="ja-JP"/>
        </w:rPr>
        <w:t xml:space="preserve"> chance of being killed by the dose (Gibbons </w:t>
      </w:r>
      <w:r w:rsidRPr="00C96521">
        <w:rPr>
          <w:rFonts w:eastAsia="MS Mincho"/>
          <w:i/>
          <w:sz w:val="20"/>
          <w:szCs w:val="22"/>
          <w:lang w:val="en-GB" w:eastAsia="ja-JP"/>
        </w:rPr>
        <w:t>et al</w:t>
      </w:r>
      <w:r w:rsidRPr="00C96521">
        <w:rPr>
          <w:rFonts w:eastAsia="MS Mincho"/>
          <w:sz w:val="20"/>
          <w:szCs w:val="22"/>
          <w:lang w:val="en-GB" w:eastAsia="ja-JP"/>
        </w:rPr>
        <w:t xml:space="preserve"> 2015). </w:t>
      </w:r>
    </w:p>
    <w:p w14:paraId="1DE6F2BD"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3FFAFE99" w14:textId="3EAB4CDF"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Niger, many of the records of </w:t>
      </w:r>
      <w:r w:rsidR="00F33271">
        <w:rPr>
          <w:rFonts w:eastAsia="MS Mincho"/>
          <w:sz w:val="20"/>
          <w:szCs w:val="22"/>
          <w:lang w:val="en-GB" w:eastAsia="ja-JP"/>
        </w:rPr>
        <w:t>T</w:t>
      </w:r>
      <w:r w:rsidRPr="00C96521">
        <w:rPr>
          <w:rFonts w:eastAsia="MS Mincho"/>
          <w:sz w:val="20"/>
          <w:szCs w:val="22"/>
          <w:lang w:val="en-GB" w:eastAsia="ja-JP"/>
        </w:rPr>
        <w:t>urtle</w:t>
      </w:r>
      <w:r w:rsidR="00F33271">
        <w:rPr>
          <w:rFonts w:eastAsia="MS Mincho"/>
          <w:sz w:val="20"/>
          <w:szCs w:val="22"/>
          <w:lang w:val="en-GB" w:eastAsia="ja-JP"/>
        </w:rPr>
        <w:t xml:space="preserve"> D</w:t>
      </w:r>
      <w:r w:rsidRPr="00C96521">
        <w:rPr>
          <w:rFonts w:eastAsia="MS Mincho"/>
          <w:sz w:val="20"/>
          <w:szCs w:val="22"/>
          <w:lang w:val="en-GB" w:eastAsia="ja-JP"/>
        </w:rPr>
        <w:t xml:space="preserve">oves are from groups of dead birds. It is possible that some of these birds were accidentally poisoned by agricultural chemicals such as anti-parasite chemicals for livestock or by herbicides (Joost Brouwer </w:t>
      </w:r>
      <w:r w:rsidRPr="00C96521">
        <w:rPr>
          <w:rFonts w:eastAsia="MS Mincho"/>
          <w:i/>
          <w:sz w:val="20"/>
          <w:szCs w:val="22"/>
          <w:lang w:val="en-GB" w:eastAsia="ja-JP"/>
        </w:rPr>
        <w:t>pers comm</w:t>
      </w:r>
      <w:r w:rsidRPr="00C96521">
        <w:rPr>
          <w:rFonts w:eastAsia="MS Mincho"/>
          <w:sz w:val="20"/>
          <w:szCs w:val="22"/>
          <w:lang w:val="en-GB" w:eastAsia="ja-JP"/>
        </w:rPr>
        <w:t xml:space="preserve">). Irrigated farmland in the northern part of the Senegal River Valley is subject to high pesticide and fertilizer use, and coincides with large </w:t>
      </w:r>
      <w:r w:rsidR="00F33271">
        <w:rPr>
          <w:rFonts w:eastAsia="MS Mincho"/>
          <w:sz w:val="20"/>
          <w:szCs w:val="22"/>
          <w:lang w:val="en-GB" w:eastAsia="ja-JP"/>
        </w:rPr>
        <w:t>T</w:t>
      </w:r>
      <w:r w:rsidRPr="00C96521">
        <w:rPr>
          <w:rFonts w:eastAsia="MS Mincho"/>
          <w:sz w:val="20"/>
          <w:szCs w:val="22"/>
          <w:lang w:val="en-GB" w:eastAsia="ja-JP"/>
        </w:rPr>
        <w:t>urtle</w:t>
      </w:r>
      <w:r w:rsidR="00F33271">
        <w:rPr>
          <w:rFonts w:eastAsia="MS Mincho"/>
          <w:sz w:val="20"/>
          <w:szCs w:val="22"/>
          <w:lang w:val="en-GB" w:eastAsia="ja-JP"/>
        </w:rPr>
        <w:t xml:space="preserve"> D</w:t>
      </w:r>
      <w:r w:rsidRPr="00C96521">
        <w:rPr>
          <w:rFonts w:eastAsia="MS Mincho"/>
          <w:sz w:val="20"/>
          <w:szCs w:val="22"/>
          <w:lang w:val="en-GB" w:eastAsia="ja-JP"/>
        </w:rPr>
        <w:t xml:space="preserve">ove roosts in acacia vegetation (Malang Sarr </w:t>
      </w:r>
      <w:r w:rsidRPr="00C96521">
        <w:rPr>
          <w:rFonts w:eastAsia="MS Mincho"/>
          <w:i/>
          <w:sz w:val="20"/>
          <w:szCs w:val="22"/>
          <w:lang w:val="en-GB" w:eastAsia="ja-JP"/>
        </w:rPr>
        <w:t>pers comm</w:t>
      </w:r>
      <w:r w:rsidRPr="00C96521">
        <w:rPr>
          <w:rFonts w:eastAsia="MS Mincho"/>
          <w:sz w:val="20"/>
          <w:szCs w:val="22"/>
          <w:lang w:val="en-GB" w:eastAsia="ja-JP"/>
        </w:rPr>
        <w:t xml:space="preserve">). Granular pesticides that are toxic to avifauna are still used in parts of Africa, including the Sahel (Wim Mullié </w:t>
      </w:r>
      <w:r w:rsidRPr="00C96521">
        <w:rPr>
          <w:rFonts w:eastAsia="MS Mincho"/>
          <w:i/>
          <w:sz w:val="20"/>
          <w:szCs w:val="22"/>
          <w:lang w:val="en-GB" w:eastAsia="ja-JP"/>
        </w:rPr>
        <w:t>pers comm</w:t>
      </w:r>
      <w:r w:rsidRPr="00C96521">
        <w:rPr>
          <w:rFonts w:eastAsia="MS Mincho"/>
          <w:sz w:val="20"/>
          <w:szCs w:val="22"/>
          <w:lang w:val="en-GB" w:eastAsia="ja-JP"/>
        </w:rPr>
        <w:t xml:space="preserve">). Birds that feed on grain or grit may accidentally ingest these granules which could lead to cases of poisoning. In the case of ingestion of toxic chemicals, the cause may not be obvious to those discovering the cases of mortality (Wim Mullié </w:t>
      </w:r>
      <w:r w:rsidRPr="00C96521">
        <w:rPr>
          <w:rFonts w:eastAsia="MS Mincho"/>
          <w:i/>
          <w:sz w:val="20"/>
          <w:szCs w:val="22"/>
          <w:lang w:val="en-GB" w:eastAsia="ja-JP"/>
        </w:rPr>
        <w:t>pers comm</w:t>
      </w:r>
      <w:r w:rsidRPr="00C96521">
        <w:rPr>
          <w:rFonts w:eastAsia="MS Mincho"/>
          <w:sz w:val="20"/>
          <w:szCs w:val="22"/>
          <w:lang w:val="en-GB" w:eastAsia="ja-JP"/>
        </w:rPr>
        <w:t xml:space="preserve">). For </w:t>
      </w:r>
      <w:r w:rsidR="00F33271">
        <w:rPr>
          <w:rFonts w:eastAsia="MS Mincho"/>
          <w:sz w:val="20"/>
          <w:szCs w:val="22"/>
          <w:lang w:val="en-GB" w:eastAsia="ja-JP"/>
        </w:rPr>
        <w:t>a T</w:t>
      </w:r>
      <w:r w:rsidRPr="00C96521">
        <w:rPr>
          <w:rFonts w:eastAsia="MS Mincho"/>
          <w:sz w:val="20"/>
          <w:szCs w:val="22"/>
          <w:lang w:val="en-GB" w:eastAsia="ja-JP"/>
        </w:rPr>
        <w:t>urtle</w:t>
      </w:r>
      <w:r w:rsidR="00F33271">
        <w:rPr>
          <w:rFonts w:eastAsia="MS Mincho"/>
          <w:sz w:val="20"/>
          <w:szCs w:val="22"/>
          <w:lang w:val="en-GB" w:eastAsia="ja-JP"/>
        </w:rPr>
        <w:t xml:space="preserve"> D</w:t>
      </w:r>
      <w:r w:rsidRPr="00C96521">
        <w:rPr>
          <w:rFonts w:eastAsia="MS Mincho"/>
          <w:sz w:val="20"/>
          <w:szCs w:val="22"/>
          <w:lang w:val="en-GB" w:eastAsia="ja-JP"/>
        </w:rPr>
        <w:t>ove to be affected by sprayed chemicals used to control Quelea (</w:t>
      </w:r>
      <w:r w:rsidRPr="00C96521">
        <w:rPr>
          <w:rFonts w:eastAsia="MS Mincho"/>
          <w:i/>
          <w:sz w:val="20"/>
          <w:szCs w:val="22"/>
          <w:lang w:val="en-GB" w:eastAsia="ja-JP"/>
        </w:rPr>
        <w:t>Quelea quelea</w:t>
      </w:r>
      <w:r w:rsidRPr="00C96521">
        <w:rPr>
          <w:rFonts w:eastAsia="MS Mincho"/>
          <w:sz w:val="20"/>
          <w:szCs w:val="22"/>
          <w:lang w:val="en-GB" w:eastAsia="ja-JP"/>
        </w:rPr>
        <w:t xml:space="preserve">), it would probably have to fly through a cloud of pesticide in order to accumulate a high enough dose, or for the entire roost to be sprayed. Spraying such chemicals involves expensive equipment so this activity is likely to be quite limited. Intake of veterinary drugs and subsequent poisoning is likely to be similarly limited (Wim Mullié </w:t>
      </w:r>
      <w:r w:rsidRPr="00C96521">
        <w:rPr>
          <w:rFonts w:eastAsia="MS Mincho"/>
          <w:i/>
          <w:sz w:val="20"/>
          <w:szCs w:val="22"/>
          <w:lang w:val="en-GB" w:eastAsia="ja-JP"/>
        </w:rPr>
        <w:t>pers comm</w:t>
      </w:r>
      <w:r w:rsidRPr="00C96521">
        <w:rPr>
          <w:rFonts w:eastAsia="MS Mincho"/>
          <w:sz w:val="20"/>
          <w:szCs w:val="22"/>
          <w:lang w:val="en-GB" w:eastAsia="ja-JP"/>
        </w:rPr>
        <w:t xml:space="preserve">). </w:t>
      </w:r>
    </w:p>
    <w:p w14:paraId="1B06076E"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5157C440" w14:textId="64ACCCBA"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For </w:t>
      </w:r>
      <w:r w:rsidR="00F33271">
        <w:rPr>
          <w:rFonts w:eastAsia="MS Mincho"/>
          <w:sz w:val="20"/>
          <w:szCs w:val="22"/>
          <w:lang w:val="en-GB" w:eastAsia="ja-JP"/>
        </w:rPr>
        <w:t>T</w:t>
      </w:r>
      <w:r w:rsidR="00F33271" w:rsidRPr="00C96521">
        <w:rPr>
          <w:rFonts w:eastAsia="MS Mincho"/>
          <w:sz w:val="20"/>
          <w:szCs w:val="22"/>
          <w:lang w:val="en-GB" w:eastAsia="ja-JP"/>
        </w:rPr>
        <w:t>urtle</w:t>
      </w:r>
      <w:r w:rsidR="00F33271">
        <w:rPr>
          <w:rFonts w:eastAsia="MS Mincho"/>
          <w:sz w:val="20"/>
          <w:szCs w:val="22"/>
          <w:lang w:val="en-GB" w:eastAsia="ja-JP"/>
        </w:rPr>
        <w:t xml:space="preserve"> D</w:t>
      </w:r>
      <w:r w:rsidR="00F33271" w:rsidRPr="00C96521">
        <w:rPr>
          <w:rFonts w:eastAsia="MS Mincho"/>
          <w:sz w:val="20"/>
          <w:szCs w:val="22"/>
          <w:lang w:val="en-GB" w:eastAsia="ja-JP"/>
        </w:rPr>
        <w:t>ove</w:t>
      </w:r>
      <w:r w:rsidR="00F33271">
        <w:rPr>
          <w:rFonts w:eastAsia="MS Mincho"/>
          <w:sz w:val="20"/>
          <w:szCs w:val="22"/>
          <w:lang w:val="en-GB" w:eastAsia="ja-JP"/>
        </w:rPr>
        <w:t>s</w:t>
      </w:r>
      <w:r w:rsidR="00F33271" w:rsidRPr="00C96521">
        <w:rPr>
          <w:rFonts w:eastAsia="MS Mincho"/>
          <w:sz w:val="20"/>
          <w:szCs w:val="22"/>
          <w:lang w:val="en-GB" w:eastAsia="ja-JP"/>
        </w:rPr>
        <w:t xml:space="preserve"> </w:t>
      </w:r>
      <w:r w:rsidRPr="00C96521">
        <w:rPr>
          <w:rFonts w:eastAsia="MS Mincho"/>
          <w:sz w:val="20"/>
          <w:szCs w:val="22"/>
          <w:lang w:val="en-GB" w:eastAsia="ja-JP"/>
        </w:rPr>
        <w:t>breeding in the steppe zone of European Russia, dominated by intensive arable land (cereals, sunflower, sugar beet etc</w:t>
      </w:r>
      <w:r w:rsidR="00F33271">
        <w:rPr>
          <w:rFonts w:eastAsia="MS Mincho"/>
          <w:sz w:val="20"/>
          <w:szCs w:val="22"/>
          <w:lang w:val="en-GB" w:eastAsia="ja-JP"/>
        </w:rPr>
        <w:t>.</w:t>
      </w:r>
      <w:r w:rsidRPr="00C96521">
        <w:rPr>
          <w:rFonts w:eastAsia="MS Mincho"/>
          <w:sz w:val="20"/>
          <w:szCs w:val="22"/>
          <w:lang w:val="en-GB" w:eastAsia="ja-JP"/>
        </w:rPr>
        <w:t xml:space="preserve">), a significant increase in farming intensity took place in the 2010s. The main threats for </w:t>
      </w:r>
      <w:r w:rsidR="00F33271">
        <w:rPr>
          <w:rFonts w:eastAsia="MS Mincho"/>
          <w:sz w:val="20"/>
          <w:szCs w:val="22"/>
          <w:lang w:val="en-GB" w:eastAsia="ja-JP"/>
        </w:rPr>
        <w:t>T</w:t>
      </w:r>
      <w:r w:rsidR="00F33271" w:rsidRPr="00C96521">
        <w:rPr>
          <w:rFonts w:eastAsia="MS Mincho"/>
          <w:sz w:val="20"/>
          <w:szCs w:val="22"/>
          <w:lang w:val="en-GB" w:eastAsia="ja-JP"/>
        </w:rPr>
        <w:t>urtle</w:t>
      </w:r>
      <w:r w:rsidR="00F33271">
        <w:rPr>
          <w:rFonts w:eastAsia="MS Mincho"/>
          <w:sz w:val="20"/>
          <w:szCs w:val="22"/>
          <w:lang w:val="en-GB" w:eastAsia="ja-JP"/>
        </w:rPr>
        <w:t xml:space="preserve"> D</w:t>
      </w:r>
      <w:r w:rsidR="00F33271" w:rsidRPr="00C96521">
        <w:rPr>
          <w:rFonts w:eastAsia="MS Mincho"/>
          <w:sz w:val="20"/>
          <w:szCs w:val="22"/>
          <w:lang w:val="en-GB" w:eastAsia="ja-JP"/>
        </w:rPr>
        <w:t>ove</w:t>
      </w:r>
      <w:r w:rsidR="00F33271">
        <w:rPr>
          <w:rFonts w:eastAsia="MS Mincho"/>
          <w:sz w:val="20"/>
          <w:szCs w:val="22"/>
          <w:lang w:val="en-GB" w:eastAsia="ja-JP"/>
        </w:rPr>
        <w:t>s</w:t>
      </w:r>
      <w:r w:rsidR="00F33271" w:rsidRPr="00C96521">
        <w:rPr>
          <w:rFonts w:eastAsia="MS Mincho"/>
          <w:sz w:val="20"/>
          <w:szCs w:val="22"/>
          <w:lang w:val="en-GB" w:eastAsia="ja-JP"/>
        </w:rPr>
        <w:t xml:space="preserve"> </w:t>
      </w:r>
      <w:r w:rsidRPr="00C96521">
        <w:rPr>
          <w:rFonts w:eastAsia="MS Mincho"/>
          <w:sz w:val="20"/>
          <w:szCs w:val="22"/>
          <w:lang w:val="en-GB" w:eastAsia="ja-JP"/>
        </w:rPr>
        <w:t xml:space="preserve">are increased use of pesticides and poisoning by seeds treated with fungicides and pesticides. Spraying of pesticides from light aircraft takes place in some areas and poses a threat to the species as air-sprayed pesticides are disseminated by wind and can settle in shelter belts, the main nesting habitat of the </w:t>
      </w:r>
      <w:r w:rsidR="00F33271">
        <w:rPr>
          <w:rFonts w:eastAsia="MS Mincho"/>
          <w:sz w:val="20"/>
          <w:szCs w:val="22"/>
          <w:lang w:val="en-GB" w:eastAsia="ja-JP"/>
        </w:rPr>
        <w:t>T</w:t>
      </w:r>
      <w:r w:rsidR="00F33271" w:rsidRPr="00C96521">
        <w:rPr>
          <w:rFonts w:eastAsia="MS Mincho"/>
          <w:sz w:val="20"/>
          <w:szCs w:val="22"/>
          <w:lang w:val="en-GB" w:eastAsia="ja-JP"/>
        </w:rPr>
        <w:t>urtle</w:t>
      </w:r>
      <w:r w:rsidR="00F33271">
        <w:rPr>
          <w:rFonts w:eastAsia="MS Mincho"/>
          <w:sz w:val="20"/>
          <w:szCs w:val="22"/>
          <w:lang w:val="en-GB" w:eastAsia="ja-JP"/>
        </w:rPr>
        <w:t xml:space="preserve"> D</w:t>
      </w:r>
      <w:r w:rsidR="00F33271" w:rsidRPr="00C96521">
        <w:rPr>
          <w:rFonts w:eastAsia="MS Mincho"/>
          <w:sz w:val="20"/>
          <w:szCs w:val="22"/>
          <w:lang w:val="en-GB" w:eastAsia="ja-JP"/>
        </w:rPr>
        <w:t xml:space="preserve">ove </w:t>
      </w:r>
      <w:r w:rsidRPr="00C96521">
        <w:rPr>
          <w:rFonts w:eastAsia="MS Mincho"/>
          <w:sz w:val="20"/>
          <w:szCs w:val="22"/>
          <w:lang w:val="en-GB" w:eastAsia="ja-JP"/>
        </w:rPr>
        <w:t xml:space="preserve">in this area. </w:t>
      </w:r>
    </w:p>
    <w:p w14:paraId="2F10BB6B"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FF2CE7D" w14:textId="5C9A4608"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In the UK, increased use of herbicides and pesticides has reduced weed abundance and diversity within agricultural areas and it is likely that weed seed availability has been greatly reduced compared to the middle of the 20</w:t>
      </w:r>
      <w:r w:rsidRPr="00C96521">
        <w:rPr>
          <w:rFonts w:eastAsia="MS Mincho"/>
          <w:sz w:val="20"/>
          <w:szCs w:val="22"/>
          <w:vertAlign w:val="superscript"/>
          <w:lang w:val="en-GB" w:eastAsia="ja-JP"/>
        </w:rPr>
        <w:t>th</w:t>
      </w:r>
      <w:r w:rsidRPr="00C96521">
        <w:rPr>
          <w:rFonts w:eastAsia="MS Mincho"/>
          <w:sz w:val="20"/>
          <w:szCs w:val="22"/>
          <w:lang w:val="en-GB" w:eastAsia="ja-JP"/>
        </w:rPr>
        <w:t xml:space="preserve"> century (Browne and Aebischer 2003a). A shift in the species’ diet from predominantly weed seeds to cultivated crop seeds may, in part, reflect the loss of weeds from the agricultural landscape. However, an increase in the use of agricultural chemicals coincided with a number of other widespread changes to the farmed environment, including changes in sowing dates and tillage methods and an increase in inorganic fertili</w:t>
      </w:r>
      <w:r w:rsidR="00F33271">
        <w:rPr>
          <w:rFonts w:eastAsia="MS Mincho"/>
          <w:sz w:val="20"/>
          <w:szCs w:val="22"/>
          <w:lang w:val="en-GB" w:eastAsia="ja-JP"/>
        </w:rPr>
        <w:t>z</w:t>
      </w:r>
      <w:r w:rsidRPr="00C96521">
        <w:rPr>
          <w:rFonts w:eastAsia="MS Mincho"/>
          <w:sz w:val="20"/>
          <w:szCs w:val="22"/>
          <w:lang w:val="en-GB" w:eastAsia="ja-JP"/>
        </w:rPr>
        <w:t>er use. It is therefore difficult to disentangle the individual effects that these changes may have had. In Romania, reducing the use of insecticides and herbicides, and/or ensuring that they are applied outside the breeding season, are likely to be important conservation actions for the species (Petrovici 2015). The loss of ruderal plants owing to the use of herbicides, particularly early in the breeding season may also have affected the species in parts of Spain (Hidalgo de Trucios and Rocha 2005, Hidalgo de Trucios 2007).</w:t>
      </w:r>
    </w:p>
    <w:p w14:paraId="10E86A5A" w14:textId="77777777" w:rsidR="00C96521" w:rsidRPr="00C96521" w:rsidRDefault="00C96521" w:rsidP="00C96521">
      <w:pPr>
        <w:widowControl/>
        <w:rPr>
          <w:rFonts w:ascii="TimesNewRoman" w:eastAsia="MS Mincho" w:hAnsi="TimesNewRoman" w:cs="TimesNewRoman"/>
          <w:sz w:val="20"/>
          <w:szCs w:val="22"/>
          <w:lang w:val="en-GB" w:eastAsia="ja-JP"/>
        </w:rPr>
      </w:pPr>
    </w:p>
    <w:p w14:paraId="3F44C979" w14:textId="54EE4722"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As with many granivorous bird species the </w:t>
      </w:r>
      <w:r w:rsidR="00F33271">
        <w:rPr>
          <w:rFonts w:eastAsia="MS Mincho"/>
          <w:sz w:val="20"/>
          <w:szCs w:val="22"/>
          <w:lang w:val="en-GB" w:eastAsia="ja-JP"/>
        </w:rPr>
        <w:t>T</w:t>
      </w:r>
      <w:r w:rsidR="00F33271" w:rsidRPr="00C96521">
        <w:rPr>
          <w:rFonts w:eastAsia="MS Mincho"/>
          <w:sz w:val="20"/>
          <w:szCs w:val="22"/>
          <w:lang w:val="en-GB" w:eastAsia="ja-JP"/>
        </w:rPr>
        <w:t>urtle</w:t>
      </w:r>
      <w:r w:rsidR="00F33271">
        <w:rPr>
          <w:rFonts w:eastAsia="MS Mincho"/>
          <w:sz w:val="20"/>
          <w:szCs w:val="22"/>
          <w:lang w:val="en-GB" w:eastAsia="ja-JP"/>
        </w:rPr>
        <w:t xml:space="preserve"> D</w:t>
      </w:r>
      <w:r w:rsidR="00F33271" w:rsidRPr="00C96521">
        <w:rPr>
          <w:rFonts w:eastAsia="MS Mincho"/>
          <w:sz w:val="20"/>
          <w:szCs w:val="22"/>
          <w:lang w:val="en-GB" w:eastAsia="ja-JP"/>
        </w:rPr>
        <w:t xml:space="preserve">ove </w:t>
      </w:r>
      <w:r w:rsidRPr="00C96521">
        <w:rPr>
          <w:rFonts w:eastAsia="MS Mincho"/>
          <w:sz w:val="20"/>
          <w:szCs w:val="22"/>
          <w:lang w:val="en-GB" w:eastAsia="ja-JP"/>
        </w:rPr>
        <w:t>may be exposed to the risk of ingesting spent lead pellets. In the USA, high ingestion rates have been reported for the Mourning Dove (</w:t>
      </w:r>
      <w:r w:rsidRPr="00C96521">
        <w:rPr>
          <w:rFonts w:eastAsia="MS Mincho"/>
          <w:i/>
          <w:sz w:val="20"/>
          <w:szCs w:val="22"/>
          <w:lang w:val="en-GB" w:eastAsia="ja-JP"/>
        </w:rPr>
        <w:t>Zenaida macroura</w:t>
      </w:r>
      <w:r w:rsidRPr="00C96521">
        <w:rPr>
          <w:rFonts w:eastAsia="MS Mincho"/>
          <w:sz w:val="20"/>
          <w:szCs w:val="22"/>
          <w:lang w:val="en-GB" w:eastAsia="ja-JP"/>
        </w:rPr>
        <w:t xml:space="preserve">) in areas where hunting activity is very intense (Shulz </w:t>
      </w:r>
      <w:r w:rsidRPr="00C96521">
        <w:rPr>
          <w:rFonts w:eastAsia="MS Mincho"/>
          <w:i/>
          <w:sz w:val="20"/>
          <w:szCs w:val="22"/>
          <w:lang w:val="en-GB" w:eastAsia="ja-JP"/>
        </w:rPr>
        <w:t>et al</w:t>
      </w:r>
      <w:r w:rsidRPr="00C96521">
        <w:rPr>
          <w:rFonts w:eastAsia="MS Mincho"/>
          <w:sz w:val="20"/>
          <w:szCs w:val="22"/>
          <w:lang w:val="en-GB" w:eastAsia="ja-JP"/>
        </w:rPr>
        <w:t xml:space="preserve"> 2006), and there are cases of ingestion by </w:t>
      </w:r>
      <w:r w:rsidR="00F33271">
        <w:rPr>
          <w:rFonts w:eastAsia="MS Mincho"/>
          <w:sz w:val="20"/>
          <w:szCs w:val="22"/>
          <w:lang w:val="en-GB" w:eastAsia="ja-JP"/>
        </w:rPr>
        <w:t>W</w:t>
      </w:r>
      <w:r w:rsidRPr="00C96521">
        <w:rPr>
          <w:rFonts w:eastAsia="MS Mincho"/>
          <w:sz w:val="20"/>
          <w:szCs w:val="22"/>
          <w:lang w:val="en-GB" w:eastAsia="ja-JP"/>
        </w:rPr>
        <w:t xml:space="preserve">ood </w:t>
      </w:r>
      <w:r w:rsidR="00F33271">
        <w:rPr>
          <w:rFonts w:eastAsia="MS Mincho"/>
          <w:sz w:val="20"/>
          <w:szCs w:val="22"/>
          <w:lang w:val="en-GB" w:eastAsia="ja-JP"/>
        </w:rPr>
        <w:t>P</w:t>
      </w:r>
      <w:r w:rsidRPr="00C96521">
        <w:rPr>
          <w:rFonts w:eastAsia="MS Mincho"/>
          <w:sz w:val="20"/>
          <w:szCs w:val="22"/>
          <w:lang w:val="en-GB" w:eastAsia="ja-JP"/>
        </w:rPr>
        <w:t>igeon (</w:t>
      </w:r>
      <w:r w:rsidRPr="00C96521">
        <w:rPr>
          <w:rFonts w:eastAsia="MS Mincho"/>
          <w:i/>
          <w:sz w:val="20"/>
          <w:szCs w:val="22"/>
          <w:lang w:val="en-GB" w:eastAsia="ja-JP"/>
        </w:rPr>
        <w:t>Columba palumbus</w:t>
      </w:r>
      <w:r w:rsidRPr="00C96521">
        <w:rPr>
          <w:rFonts w:eastAsia="MS Mincho"/>
          <w:sz w:val="20"/>
          <w:szCs w:val="22"/>
          <w:lang w:val="en-GB" w:eastAsia="ja-JP"/>
        </w:rPr>
        <w:t xml:space="preserve">) and </w:t>
      </w:r>
      <w:r w:rsidR="00F33271">
        <w:rPr>
          <w:rFonts w:eastAsia="MS Mincho"/>
          <w:sz w:val="20"/>
          <w:szCs w:val="22"/>
          <w:lang w:val="en-GB" w:eastAsia="ja-JP"/>
        </w:rPr>
        <w:t>R</w:t>
      </w:r>
      <w:r w:rsidRPr="00C96521">
        <w:rPr>
          <w:rFonts w:eastAsia="MS Mincho"/>
          <w:sz w:val="20"/>
          <w:szCs w:val="22"/>
          <w:lang w:val="en-GB" w:eastAsia="ja-JP"/>
        </w:rPr>
        <w:t xml:space="preserve">ock </w:t>
      </w:r>
      <w:r w:rsidR="00F33271">
        <w:rPr>
          <w:rFonts w:eastAsia="MS Mincho"/>
          <w:sz w:val="20"/>
          <w:szCs w:val="22"/>
          <w:lang w:val="en-GB" w:eastAsia="ja-JP"/>
        </w:rPr>
        <w:t>P</w:t>
      </w:r>
      <w:r w:rsidRPr="00C96521">
        <w:rPr>
          <w:rFonts w:eastAsia="MS Mincho"/>
          <w:sz w:val="20"/>
          <w:szCs w:val="22"/>
          <w:lang w:val="en-GB" w:eastAsia="ja-JP"/>
        </w:rPr>
        <w:t>igeon (</w:t>
      </w:r>
      <w:r w:rsidRPr="00C96521">
        <w:rPr>
          <w:rFonts w:eastAsia="MS Mincho"/>
          <w:i/>
          <w:sz w:val="20"/>
          <w:szCs w:val="22"/>
          <w:lang w:val="en-GB" w:eastAsia="ja-JP"/>
        </w:rPr>
        <w:t>C. livia</w:t>
      </w:r>
      <w:r w:rsidRPr="00C96521">
        <w:rPr>
          <w:rFonts w:eastAsia="MS Mincho"/>
          <w:sz w:val="20"/>
          <w:szCs w:val="22"/>
          <w:lang w:val="en-GB" w:eastAsia="ja-JP"/>
        </w:rPr>
        <w:t xml:space="preserve">) (Fisher </w:t>
      </w:r>
      <w:r w:rsidRPr="00C96521">
        <w:rPr>
          <w:rFonts w:eastAsia="MS Mincho"/>
          <w:i/>
          <w:sz w:val="20"/>
          <w:szCs w:val="22"/>
          <w:lang w:val="en-GB" w:eastAsia="ja-JP"/>
        </w:rPr>
        <w:t>et al</w:t>
      </w:r>
      <w:r w:rsidRPr="00C96521">
        <w:rPr>
          <w:rFonts w:eastAsia="MS Mincho"/>
          <w:sz w:val="20"/>
          <w:szCs w:val="22"/>
          <w:lang w:val="en-GB" w:eastAsia="ja-JP"/>
        </w:rPr>
        <w:t xml:space="preserve"> 2006). However, no reports of mortality owing to lead ingestion have been made and the rate of lead ingestion could be low as fields where the species feeds are ploughed annually. </w:t>
      </w:r>
      <w:r w:rsidR="00F33271">
        <w:rPr>
          <w:rFonts w:eastAsia="MS Mincho"/>
          <w:sz w:val="20"/>
          <w:szCs w:val="22"/>
          <w:lang w:val="en-GB" w:eastAsia="ja-JP"/>
        </w:rPr>
        <w:t xml:space="preserve"> </w:t>
      </w:r>
    </w:p>
    <w:p w14:paraId="4CF20B6F" w14:textId="77777777" w:rsidR="00C96521" w:rsidRPr="00C96521" w:rsidRDefault="00C96521" w:rsidP="00C96521">
      <w:pPr>
        <w:widowControl/>
        <w:rPr>
          <w:rFonts w:ascii="TimesNewRoman" w:eastAsia="MS Mincho" w:hAnsi="TimesNewRoman" w:cs="TimesNewRoman"/>
          <w:sz w:val="20"/>
          <w:szCs w:val="22"/>
          <w:lang w:val="en-GB" w:eastAsia="ja-JP"/>
        </w:rPr>
      </w:pPr>
    </w:p>
    <w:p w14:paraId="7CAD916A" w14:textId="77777777" w:rsidR="00C96521" w:rsidRPr="00C96521" w:rsidRDefault="00C96521" w:rsidP="00C96521">
      <w:pPr>
        <w:keepNext/>
        <w:keepLines/>
        <w:widowControl/>
        <w:autoSpaceDE/>
        <w:autoSpaceDN/>
        <w:adjustRightInd/>
        <w:spacing w:before="200" w:line="276" w:lineRule="auto"/>
        <w:outlineLvl w:val="2"/>
        <w:rPr>
          <w:rFonts w:ascii="Cambria" w:eastAsia="MS Gothic" w:hAnsi="Cambria"/>
          <w:b/>
          <w:bCs/>
          <w:color w:val="4F81BD"/>
          <w:sz w:val="20"/>
          <w:szCs w:val="22"/>
          <w:lang w:val="en-GB" w:eastAsia="ja-JP"/>
        </w:rPr>
      </w:pPr>
      <w:bookmarkStart w:id="30" w:name="_Toc478646915"/>
      <w:r w:rsidRPr="00C96521">
        <w:rPr>
          <w:rFonts w:ascii="Cambria" w:eastAsia="MS Gothic" w:hAnsi="Cambria"/>
          <w:b/>
          <w:bCs/>
          <w:color w:val="4F81BD"/>
          <w:sz w:val="20"/>
          <w:szCs w:val="22"/>
          <w:lang w:val="en-GB" w:eastAsia="ja-JP"/>
        </w:rPr>
        <w:t>Drought and climate change</w:t>
      </w:r>
      <w:bookmarkEnd w:id="30"/>
    </w:p>
    <w:p w14:paraId="29B08586" w14:textId="77777777" w:rsidR="00C96521" w:rsidRPr="00C96521" w:rsidRDefault="00C96521" w:rsidP="00C96521">
      <w:pPr>
        <w:widowControl/>
        <w:rPr>
          <w:rFonts w:ascii="TimesNewRoman,Bold" w:eastAsia="MS Mincho" w:hAnsi="TimesNewRoman,Bold" w:cs="TimesNewRoman,Bold"/>
          <w:b/>
          <w:bCs/>
          <w:sz w:val="24"/>
          <w:lang w:val="en-GB" w:eastAsia="ja-JP"/>
        </w:rPr>
      </w:pPr>
    </w:p>
    <w:p w14:paraId="73FF1C73" w14:textId="240E500A"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Climate conditions (particularly drought) in wintering areas as well as across critical staging posts in Central Sahara can lead to an abnormally high mortality rate. In the 1970s and 1980s, the Sahelian regions of western Africa, which make up the principal wintering areas for western European populations of </w:t>
      </w:r>
      <w:r w:rsidR="00F33271">
        <w:rPr>
          <w:rFonts w:eastAsia="MS Mincho"/>
          <w:sz w:val="20"/>
          <w:szCs w:val="22"/>
          <w:lang w:val="en-GB" w:eastAsia="ja-JP"/>
        </w:rPr>
        <w:t>T</w:t>
      </w:r>
      <w:r w:rsidR="00F33271" w:rsidRPr="00C96521">
        <w:rPr>
          <w:rFonts w:eastAsia="MS Mincho"/>
          <w:sz w:val="20"/>
          <w:szCs w:val="22"/>
          <w:lang w:val="en-GB" w:eastAsia="ja-JP"/>
        </w:rPr>
        <w:t>urtle</w:t>
      </w:r>
      <w:r w:rsidR="00F33271">
        <w:rPr>
          <w:rFonts w:eastAsia="MS Mincho"/>
          <w:sz w:val="20"/>
          <w:szCs w:val="22"/>
          <w:lang w:val="en-GB" w:eastAsia="ja-JP"/>
        </w:rPr>
        <w:t xml:space="preserve"> D</w:t>
      </w:r>
      <w:r w:rsidR="00F33271" w:rsidRPr="00C96521">
        <w:rPr>
          <w:rFonts w:eastAsia="MS Mincho"/>
          <w:sz w:val="20"/>
          <w:szCs w:val="22"/>
          <w:lang w:val="en-GB" w:eastAsia="ja-JP"/>
        </w:rPr>
        <w:t>ove</w:t>
      </w:r>
      <w:r w:rsidRPr="00C96521">
        <w:rPr>
          <w:rFonts w:eastAsia="MS Mincho" w:cs="Arial"/>
          <w:sz w:val="20"/>
          <w:szCs w:val="22"/>
          <w:lang w:val="en-GB" w:eastAsia="ja-JP"/>
        </w:rPr>
        <w:t xml:space="preserve">, were hit by long periods of drought, annual rainfall only very infrequently going above the annual average and very often remaining well below (Jarry 1994). In the north of the Sahel, the rainy season is shortest (May/Jul-Aug/Oct), so in general, food and water will disappear there first (Joost Brouwer </w:t>
      </w:r>
      <w:r w:rsidRPr="00C96521">
        <w:rPr>
          <w:rFonts w:eastAsia="MS Mincho" w:cs="Arial"/>
          <w:i/>
          <w:sz w:val="20"/>
          <w:szCs w:val="22"/>
          <w:lang w:val="en-GB" w:eastAsia="ja-JP"/>
        </w:rPr>
        <w:t>pers comm</w:t>
      </w:r>
      <w:r w:rsidRPr="00C96521">
        <w:rPr>
          <w:rFonts w:eastAsia="MS Mincho" w:cs="Arial"/>
          <w:sz w:val="20"/>
          <w:szCs w:val="22"/>
          <w:lang w:val="en-GB" w:eastAsia="ja-JP"/>
        </w:rPr>
        <w:t xml:space="preserve">). However, in the past, changes in </w:t>
      </w:r>
      <w:r w:rsidR="00F33271">
        <w:rPr>
          <w:rFonts w:eastAsia="MS Mincho"/>
          <w:sz w:val="20"/>
          <w:szCs w:val="22"/>
          <w:lang w:val="en-GB" w:eastAsia="ja-JP"/>
        </w:rPr>
        <w:t>T</w:t>
      </w:r>
      <w:r w:rsidR="00F33271" w:rsidRPr="00C96521">
        <w:rPr>
          <w:rFonts w:eastAsia="MS Mincho"/>
          <w:sz w:val="20"/>
          <w:szCs w:val="22"/>
          <w:lang w:val="en-GB" w:eastAsia="ja-JP"/>
        </w:rPr>
        <w:t>urtle</w:t>
      </w:r>
      <w:r w:rsidR="00F33271">
        <w:rPr>
          <w:rFonts w:eastAsia="MS Mincho"/>
          <w:sz w:val="20"/>
          <w:szCs w:val="22"/>
          <w:lang w:val="en-GB" w:eastAsia="ja-JP"/>
        </w:rPr>
        <w:t xml:space="preserve"> D</w:t>
      </w:r>
      <w:r w:rsidR="00F33271" w:rsidRPr="00C96521">
        <w:rPr>
          <w:rFonts w:eastAsia="MS Mincho"/>
          <w:sz w:val="20"/>
          <w:szCs w:val="22"/>
          <w:lang w:val="en-GB" w:eastAsia="ja-JP"/>
        </w:rPr>
        <w:t xml:space="preserve">ove </w:t>
      </w:r>
      <w:r w:rsidRPr="00C96521">
        <w:rPr>
          <w:rFonts w:eastAsia="MS Mincho" w:cs="Arial"/>
          <w:sz w:val="20"/>
          <w:szCs w:val="22"/>
          <w:lang w:val="en-GB" w:eastAsia="ja-JP"/>
        </w:rPr>
        <w:t xml:space="preserve">abundance in the UK did not show any strong correlation with severe drought years in the Sahel wintering grounds (Marchant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1990). Moreover, several species which are known to be affected by drought in the Sahel (</w:t>
      </w:r>
      <w:r w:rsidR="00F33271">
        <w:rPr>
          <w:rFonts w:eastAsia="MS Mincho" w:cs="Arial"/>
          <w:sz w:val="20"/>
          <w:szCs w:val="22"/>
          <w:lang w:val="en-GB" w:eastAsia="ja-JP"/>
        </w:rPr>
        <w:t>W</w:t>
      </w:r>
      <w:r w:rsidRPr="00C96521">
        <w:rPr>
          <w:rFonts w:eastAsia="MS Mincho" w:cs="Arial"/>
          <w:sz w:val="20"/>
          <w:szCs w:val="22"/>
          <w:lang w:val="en-GB" w:eastAsia="ja-JP"/>
        </w:rPr>
        <w:t xml:space="preserve">hitethroat </w:t>
      </w:r>
      <w:r w:rsidRPr="00C96521">
        <w:rPr>
          <w:rFonts w:eastAsia="MS Mincho" w:cs="Arial"/>
          <w:i/>
          <w:sz w:val="20"/>
          <w:szCs w:val="22"/>
          <w:lang w:val="en-GB" w:eastAsia="ja-JP"/>
        </w:rPr>
        <w:t>Sylvia communis</w:t>
      </w:r>
      <w:r w:rsidRPr="00C96521">
        <w:rPr>
          <w:rFonts w:eastAsia="MS Mincho" w:cs="Arial"/>
          <w:sz w:val="20"/>
          <w:szCs w:val="22"/>
          <w:lang w:val="en-GB" w:eastAsia="ja-JP"/>
        </w:rPr>
        <w:t xml:space="preserve"> and </w:t>
      </w:r>
      <w:r w:rsidR="00F33271">
        <w:rPr>
          <w:rFonts w:eastAsia="MS Mincho" w:cs="Arial"/>
          <w:sz w:val="20"/>
          <w:szCs w:val="22"/>
          <w:lang w:val="en-GB" w:eastAsia="ja-JP"/>
        </w:rPr>
        <w:t>S</w:t>
      </w:r>
      <w:r w:rsidR="00F33271" w:rsidRPr="00C96521">
        <w:rPr>
          <w:rFonts w:eastAsia="MS Mincho" w:cs="Arial"/>
          <w:sz w:val="20"/>
          <w:szCs w:val="22"/>
          <w:lang w:val="en-GB" w:eastAsia="ja-JP"/>
        </w:rPr>
        <w:t xml:space="preserve">edge </w:t>
      </w:r>
      <w:r w:rsidR="00F33271">
        <w:rPr>
          <w:rFonts w:eastAsia="MS Mincho" w:cs="Arial"/>
          <w:sz w:val="20"/>
          <w:szCs w:val="22"/>
          <w:lang w:val="en-GB" w:eastAsia="ja-JP"/>
        </w:rPr>
        <w:t>W</w:t>
      </w:r>
      <w:r w:rsidR="00F33271" w:rsidRPr="00C96521">
        <w:rPr>
          <w:rFonts w:eastAsia="MS Mincho" w:cs="Arial"/>
          <w:sz w:val="20"/>
          <w:szCs w:val="22"/>
          <w:lang w:val="en-GB" w:eastAsia="ja-JP"/>
        </w:rPr>
        <w:t xml:space="preserve">arbler </w:t>
      </w:r>
      <w:r w:rsidRPr="00C96521">
        <w:rPr>
          <w:rFonts w:eastAsia="MS Mincho" w:cs="Arial"/>
          <w:i/>
          <w:sz w:val="20"/>
          <w:szCs w:val="22"/>
          <w:lang w:val="en-GB" w:eastAsia="ja-JP"/>
        </w:rPr>
        <w:t>Acrocephalus schoenobaenus</w:t>
      </w:r>
      <w:r w:rsidRPr="00C96521">
        <w:rPr>
          <w:rFonts w:eastAsia="MS Mincho" w:cs="Arial"/>
          <w:sz w:val="20"/>
          <w:szCs w:val="22"/>
          <w:lang w:val="en-GB" w:eastAsia="ja-JP"/>
        </w:rPr>
        <w:t xml:space="preserve">) showed strong population increases during the 1990s in response to increasingly favourable rainfall conditions in the Sahel. High annual survival of birds in a population in France matched years with high cereal production in the Sahel and cereal production is often negatively linked to droughts (Eraud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2009). Similarly, rainfall in the arid Sahel region of West Africa was shown to have a significant impact on the population trend of UK breeding turtle-doves, with arid zone rainfall associated with a positive population change in the species. However, </w:t>
      </w:r>
      <w:r w:rsidRPr="00C96521">
        <w:rPr>
          <w:rFonts w:eastAsia="MS Mincho"/>
          <w:sz w:val="20"/>
          <w:szCs w:val="22"/>
          <w:lang w:val="en-GB" w:eastAsia="ja-JP"/>
        </w:rPr>
        <w:t>the percent of deviance explained by rainfall in the model examining inter-annual percentage change in abundance index was low, at 4</w:t>
      </w:r>
      <w:r w:rsidR="00F33271">
        <w:rPr>
          <w:rFonts w:eastAsia="MS Mincho"/>
          <w:sz w:val="20"/>
          <w:szCs w:val="22"/>
          <w:lang w:val="en-GB" w:eastAsia="ja-JP"/>
        </w:rPr>
        <w:t xml:space="preserve"> per cent</w:t>
      </w:r>
      <w:r w:rsidR="00F33271" w:rsidRPr="00C96521">
        <w:rPr>
          <w:rFonts w:eastAsia="MS Mincho" w:cs="Arial"/>
          <w:sz w:val="20"/>
          <w:szCs w:val="22"/>
          <w:lang w:val="en-GB" w:eastAsia="ja-JP"/>
        </w:rPr>
        <w:t xml:space="preserve"> </w:t>
      </w:r>
      <w:r w:rsidRPr="00C96521">
        <w:rPr>
          <w:rFonts w:eastAsia="MS Mincho" w:cs="Arial"/>
          <w:sz w:val="20"/>
          <w:szCs w:val="22"/>
          <w:lang w:val="en-GB" w:eastAsia="ja-JP"/>
        </w:rPr>
        <w:t xml:space="preserve">(Ockenden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2014). </w:t>
      </w:r>
      <w:r w:rsidR="00F33271">
        <w:rPr>
          <w:rFonts w:eastAsia="MS Mincho" w:cs="Arial"/>
          <w:sz w:val="20"/>
          <w:szCs w:val="22"/>
          <w:lang w:val="en-GB" w:eastAsia="ja-JP"/>
        </w:rPr>
        <w:t xml:space="preserve">  </w:t>
      </w:r>
    </w:p>
    <w:p w14:paraId="1CF35F84"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3FA4089F" w14:textId="7DA3D9F7"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sz w:val="20"/>
          <w:szCs w:val="22"/>
          <w:lang w:val="en-GB" w:eastAsia="ja-JP"/>
        </w:rPr>
        <w:t xml:space="preserve">While the overall effects of climate change are poorly understood, recent data from a satellite-tracked bird showed that weather events, such as sandstorms, might have carry-over effects that affect productivity, such as birds being delayed in their return to the breeding grounds (RSPB 2016). In Niger, the end of the rainy season falls during the turtle-dove’s southward migration to the wintering grounds (Kusserow and Brouwer 2011). However, by March-April the weather conditions are hotter and drier, with migratory species, including </w:t>
      </w:r>
      <w:r w:rsidR="00F33271">
        <w:rPr>
          <w:rFonts w:eastAsia="MS Mincho"/>
          <w:sz w:val="20"/>
          <w:szCs w:val="22"/>
          <w:lang w:val="en-GB" w:eastAsia="ja-JP"/>
        </w:rPr>
        <w:t>T</w:t>
      </w:r>
      <w:r w:rsidR="00F33271" w:rsidRPr="00C96521">
        <w:rPr>
          <w:rFonts w:eastAsia="MS Mincho"/>
          <w:sz w:val="20"/>
          <w:szCs w:val="22"/>
          <w:lang w:val="en-GB" w:eastAsia="ja-JP"/>
        </w:rPr>
        <w:t>urtle</w:t>
      </w:r>
      <w:r w:rsidR="00F33271">
        <w:rPr>
          <w:rFonts w:eastAsia="MS Mincho"/>
          <w:sz w:val="20"/>
          <w:szCs w:val="22"/>
          <w:lang w:val="en-GB" w:eastAsia="ja-JP"/>
        </w:rPr>
        <w:t xml:space="preserve"> D</w:t>
      </w:r>
      <w:r w:rsidR="00F33271" w:rsidRPr="00C96521">
        <w:rPr>
          <w:rFonts w:eastAsia="MS Mincho"/>
          <w:sz w:val="20"/>
          <w:szCs w:val="22"/>
          <w:lang w:val="en-GB" w:eastAsia="ja-JP"/>
        </w:rPr>
        <w:t>ove</w:t>
      </w:r>
      <w:r w:rsidR="00F33271">
        <w:rPr>
          <w:rFonts w:eastAsia="MS Mincho"/>
          <w:sz w:val="20"/>
          <w:szCs w:val="22"/>
          <w:lang w:val="en-GB" w:eastAsia="ja-JP"/>
        </w:rPr>
        <w:t>s</w:t>
      </w:r>
      <w:r w:rsidRPr="00C96521">
        <w:rPr>
          <w:rFonts w:eastAsia="MS Mincho" w:cs="Arial"/>
          <w:sz w:val="20"/>
          <w:szCs w:val="22"/>
          <w:lang w:val="en-GB" w:eastAsia="ja-JP"/>
        </w:rPr>
        <w:t xml:space="preserve">, recorded visiting gardens in search of water (Kusserow and Brouwer 2011). The depletion of ancient underground water aquifers (particularly in Libya) due to over-abstraction have led to habitat decline in Saharan oases that act as critical staging posts along migratory routes. </w:t>
      </w:r>
    </w:p>
    <w:p w14:paraId="12EB820C"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6FE8C85E"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cs="Arial"/>
          <w:sz w:val="20"/>
          <w:szCs w:val="22"/>
          <w:lang w:val="en-GB" w:eastAsia="ja-JP"/>
        </w:rPr>
        <w:t xml:space="preserve">Local weather conditions may also affect the species. In Greece, </w:t>
      </w:r>
      <w:r w:rsidRPr="00C96521">
        <w:rPr>
          <w:rFonts w:eastAsia="MS Mincho"/>
          <w:sz w:val="20"/>
          <w:szCs w:val="22"/>
          <w:lang w:val="en-GB" w:eastAsia="ja-JP"/>
        </w:rPr>
        <w:t xml:space="preserve">very low breeding densities were recorded during 2015, due to bad weather conditions during May and June (high rainfall) compared to 2016 (Dimitris Bakaloudis </w:t>
      </w:r>
      <w:r w:rsidRPr="00C96521">
        <w:rPr>
          <w:rFonts w:eastAsia="MS Mincho"/>
          <w:i/>
          <w:sz w:val="20"/>
          <w:szCs w:val="22"/>
          <w:lang w:val="en-GB" w:eastAsia="ja-JP"/>
        </w:rPr>
        <w:t>pers comm</w:t>
      </w:r>
      <w:r w:rsidRPr="00C96521">
        <w:rPr>
          <w:rFonts w:eastAsia="MS Mincho"/>
          <w:sz w:val="20"/>
          <w:szCs w:val="22"/>
          <w:lang w:val="en-GB" w:eastAsia="ja-JP"/>
        </w:rPr>
        <w:t>). In Cyprus, several thousand birds were found dead on the Paphos/Akamas coast following two days of severe storms in 1976 (Flint and Stewart 1992)</w:t>
      </w:r>
    </w:p>
    <w:p w14:paraId="505BBF53"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6AC7B2AF" w14:textId="77777777" w:rsidR="00C96521" w:rsidRPr="00C96521" w:rsidRDefault="00C96521" w:rsidP="00C96521">
      <w:pPr>
        <w:keepNext/>
        <w:keepLines/>
        <w:widowControl/>
        <w:autoSpaceDE/>
        <w:autoSpaceDN/>
        <w:adjustRightInd/>
        <w:spacing w:before="200" w:line="276" w:lineRule="auto"/>
        <w:outlineLvl w:val="2"/>
        <w:rPr>
          <w:rFonts w:ascii="Cambria" w:eastAsia="MS Gothic" w:hAnsi="Cambria"/>
          <w:b/>
          <w:bCs/>
          <w:color w:val="4F81BD"/>
          <w:sz w:val="20"/>
          <w:szCs w:val="22"/>
          <w:lang w:val="en-GB" w:eastAsia="ja-JP"/>
        </w:rPr>
      </w:pPr>
      <w:bookmarkStart w:id="31" w:name="_Toc478646916"/>
      <w:r w:rsidRPr="00C96521">
        <w:rPr>
          <w:rFonts w:ascii="Cambria" w:eastAsia="MS Gothic" w:hAnsi="Cambria"/>
          <w:b/>
          <w:bCs/>
          <w:color w:val="4F81BD"/>
          <w:sz w:val="20"/>
          <w:szCs w:val="22"/>
          <w:lang w:val="en-GB" w:eastAsia="ja-JP"/>
        </w:rPr>
        <w:t>Competition with collared dove</w:t>
      </w:r>
      <w:bookmarkEnd w:id="31"/>
    </w:p>
    <w:p w14:paraId="0A1ED41F" w14:textId="77777777" w:rsidR="00C96521" w:rsidRPr="00C96521" w:rsidRDefault="00C96521" w:rsidP="00C96521">
      <w:pPr>
        <w:widowControl/>
        <w:rPr>
          <w:rFonts w:ascii="TimesNewRoman,Bold" w:eastAsia="MS Mincho" w:hAnsi="TimesNewRoman,Bold" w:cs="TimesNewRoman,Bold"/>
          <w:b/>
          <w:bCs/>
          <w:sz w:val="20"/>
          <w:szCs w:val="22"/>
          <w:lang w:val="en-GB" w:eastAsia="ja-JP"/>
        </w:rPr>
      </w:pPr>
    </w:p>
    <w:p w14:paraId="5BBC5624" w14:textId="793EF44D"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cs="Arial"/>
          <w:sz w:val="20"/>
          <w:szCs w:val="22"/>
          <w:lang w:val="en-GB" w:eastAsia="ja-JP"/>
        </w:rPr>
        <w:t xml:space="preserve">The </w:t>
      </w:r>
      <w:r w:rsidR="00F33271">
        <w:rPr>
          <w:rFonts w:eastAsia="MS Mincho" w:cs="Arial"/>
          <w:sz w:val="20"/>
          <w:szCs w:val="22"/>
          <w:lang w:val="en-GB" w:eastAsia="ja-JP"/>
        </w:rPr>
        <w:t>C</w:t>
      </w:r>
      <w:r w:rsidR="00F33271" w:rsidRPr="00C96521">
        <w:rPr>
          <w:rFonts w:eastAsia="MS Mincho" w:cs="Arial"/>
          <w:sz w:val="20"/>
          <w:szCs w:val="22"/>
          <w:lang w:val="en-GB" w:eastAsia="ja-JP"/>
        </w:rPr>
        <w:t xml:space="preserve">ollared </w:t>
      </w:r>
      <w:r w:rsidR="00F33271">
        <w:rPr>
          <w:rFonts w:eastAsia="MS Mincho" w:cs="Arial"/>
          <w:sz w:val="20"/>
          <w:szCs w:val="22"/>
          <w:lang w:val="en-GB" w:eastAsia="ja-JP"/>
        </w:rPr>
        <w:t>D</w:t>
      </w:r>
      <w:r w:rsidR="00F33271" w:rsidRPr="00C96521">
        <w:rPr>
          <w:rFonts w:eastAsia="MS Mincho" w:cs="Arial"/>
          <w:sz w:val="20"/>
          <w:szCs w:val="22"/>
          <w:lang w:val="en-GB" w:eastAsia="ja-JP"/>
        </w:rPr>
        <w:t xml:space="preserve">ove </w:t>
      </w:r>
      <w:r w:rsidRPr="00C96521">
        <w:rPr>
          <w:rFonts w:eastAsia="MS Mincho" w:cs="Arial"/>
          <w:sz w:val="20"/>
          <w:szCs w:val="22"/>
          <w:lang w:val="en-GB" w:eastAsia="ja-JP"/>
        </w:rPr>
        <w:t>(</w:t>
      </w:r>
      <w:r w:rsidRPr="00C96521">
        <w:rPr>
          <w:rFonts w:eastAsia="MS Mincho" w:cs="Arial"/>
          <w:i/>
          <w:sz w:val="20"/>
          <w:szCs w:val="22"/>
          <w:lang w:val="en-GB" w:eastAsia="ja-JP"/>
        </w:rPr>
        <w:t>Streptopelia decaocto</w:t>
      </w:r>
      <w:r w:rsidRPr="00C96521">
        <w:rPr>
          <w:rFonts w:eastAsia="MS Mincho" w:cs="Arial"/>
          <w:sz w:val="20"/>
          <w:szCs w:val="22"/>
          <w:lang w:val="en-GB" w:eastAsia="ja-JP"/>
        </w:rPr>
        <w:t xml:space="preserve">) has expanded throughout the Western Palearctic over the past few decades (Rocha and Hidalgo de Trucios 2000, 2002b). This species is mainly found in the vicinity of urban areas, especially in parks, avenues and other wooded areas. Its presence is usually linked to human activities, and it is often common around agriculture infrastructure (barns, farms, livestock silos) where food is available. In central Spain (notably Extremadura) and in several parts of France where both species of dove occur, </w:t>
      </w:r>
      <w:r w:rsidR="00F33271">
        <w:rPr>
          <w:rFonts w:eastAsia="MS Mincho" w:cs="Arial"/>
          <w:sz w:val="20"/>
          <w:szCs w:val="22"/>
          <w:lang w:val="en-GB" w:eastAsia="ja-JP"/>
        </w:rPr>
        <w:t>C</w:t>
      </w:r>
      <w:r w:rsidRPr="00C96521">
        <w:rPr>
          <w:rFonts w:eastAsia="MS Mincho" w:cs="Arial"/>
          <w:sz w:val="20"/>
          <w:szCs w:val="22"/>
          <w:lang w:val="en-GB" w:eastAsia="ja-JP"/>
        </w:rPr>
        <w:t xml:space="preserve">ollared </w:t>
      </w:r>
      <w:r w:rsidR="00F33271">
        <w:rPr>
          <w:rFonts w:eastAsia="MS Mincho" w:cs="Arial"/>
          <w:sz w:val="20"/>
          <w:szCs w:val="22"/>
          <w:lang w:val="en-GB" w:eastAsia="ja-JP"/>
        </w:rPr>
        <w:t>D</w:t>
      </w:r>
      <w:r w:rsidRPr="00C96521">
        <w:rPr>
          <w:rFonts w:eastAsia="MS Mincho" w:cs="Arial"/>
          <w:sz w:val="20"/>
          <w:szCs w:val="22"/>
          <w:lang w:val="en-GB" w:eastAsia="ja-JP"/>
        </w:rPr>
        <w:t xml:space="preserve">oves appear to compete, in some places, with </w:t>
      </w:r>
      <w:r w:rsidR="00F33271">
        <w:rPr>
          <w:rFonts w:eastAsia="MS Mincho"/>
          <w:sz w:val="20"/>
          <w:szCs w:val="22"/>
          <w:lang w:val="en-GB" w:eastAsia="ja-JP"/>
        </w:rPr>
        <w:t>T</w:t>
      </w:r>
      <w:r w:rsidR="00F33271" w:rsidRPr="00C96521">
        <w:rPr>
          <w:rFonts w:eastAsia="MS Mincho"/>
          <w:sz w:val="20"/>
          <w:szCs w:val="22"/>
          <w:lang w:val="en-GB" w:eastAsia="ja-JP"/>
        </w:rPr>
        <w:t>urtle</w:t>
      </w:r>
      <w:r w:rsidR="00F33271">
        <w:rPr>
          <w:rFonts w:eastAsia="MS Mincho"/>
          <w:sz w:val="20"/>
          <w:szCs w:val="22"/>
          <w:lang w:val="en-GB" w:eastAsia="ja-JP"/>
        </w:rPr>
        <w:t xml:space="preserve"> Dove</w:t>
      </w:r>
      <w:r w:rsidRPr="00C96521">
        <w:rPr>
          <w:rFonts w:eastAsia="MS Mincho" w:cs="Arial"/>
          <w:sz w:val="20"/>
          <w:szCs w:val="22"/>
          <w:lang w:val="en-GB" w:eastAsia="ja-JP"/>
        </w:rPr>
        <w:t xml:space="preserve">s. Overlap between </w:t>
      </w:r>
      <w:r w:rsidR="00F33271">
        <w:rPr>
          <w:rFonts w:eastAsia="MS Mincho" w:cs="Arial"/>
          <w:sz w:val="20"/>
          <w:szCs w:val="22"/>
          <w:lang w:val="en-GB" w:eastAsia="ja-JP"/>
        </w:rPr>
        <w:t>the C</w:t>
      </w:r>
      <w:r w:rsidRPr="00C96521">
        <w:rPr>
          <w:rFonts w:eastAsia="MS Mincho" w:cs="Arial"/>
          <w:sz w:val="20"/>
          <w:szCs w:val="22"/>
          <w:lang w:val="en-GB" w:eastAsia="ja-JP"/>
        </w:rPr>
        <w:t xml:space="preserve">ollared </w:t>
      </w:r>
      <w:r w:rsidR="00F33271">
        <w:rPr>
          <w:rFonts w:eastAsia="MS Mincho" w:cs="Arial"/>
          <w:sz w:val="20"/>
          <w:szCs w:val="22"/>
          <w:lang w:val="en-GB" w:eastAsia="ja-JP"/>
        </w:rPr>
        <w:t>D</w:t>
      </w:r>
      <w:r w:rsidRPr="00C96521">
        <w:rPr>
          <w:rFonts w:eastAsia="MS Mincho" w:cs="Arial"/>
          <w:sz w:val="20"/>
          <w:szCs w:val="22"/>
          <w:lang w:val="en-GB" w:eastAsia="ja-JP"/>
        </w:rPr>
        <w:t xml:space="preserve">ove and </w:t>
      </w:r>
      <w:r w:rsidR="00F33271">
        <w:rPr>
          <w:rFonts w:eastAsia="MS Mincho" w:cs="Arial"/>
          <w:sz w:val="20"/>
          <w:szCs w:val="22"/>
          <w:lang w:val="en-GB" w:eastAsia="ja-JP"/>
        </w:rPr>
        <w:t>T</w:t>
      </w:r>
      <w:r w:rsidRPr="00C96521">
        <w:rPr>
          <w:rFonts w:eastAsia="MS Mincho" w:cs="Arial"/>
          <w:sz w:val="20"/>
          <w:szCs w:val="22"/>
          <w:lang w:val="en-GB" w:eastAsia="ja-JP"/>
        </w:rPr>
        <w:t>urtle</w:t>
      </w:r>
      <w:r w:rsidR="00F33271">
        <w:rPr>
          <w:rFonts w:eastAsia="MS Mincho" w:cs="Arial"/>
          <w:sz w:val="20"/>
          <w:szCs w:val="22"/>
          <w:lang w:val="en-GB" w:eastAsia="ja-JP"/>
        </w:rPr>
        <w:t xml:space="preserve"> D</w:t>
      </w:r>
      <w:r w:rsidRPr="00C96521">
        <w:rPr>
          <w:rFonts w:eastAsia="MS Mincho" w:cs="Arial"/>
          <w:sz w:val="20"/>
          <w:szCs w:val="22"/>
          <w:lang w:val="en-GB" w:eastAsia="ja-JP"/>
        </w:rPr>
        <w:t>ove has been found in meadow (</w:t>
      </w:r>
      <w:r w:rsidRPr="00C96521">
        <w:rPr>
          <w:rFonts w:eastAsia="MS Mincho" w:cs="Arial"/>
          <w:i/>
          <w:sz w:val="20"/>
          <w:szCs w:val="22"/>
          <w:lang w:val="en-GB" w:eastAsia="ja-JP"/>
        </w:rPr>
        <w:t>dehesa</w:t>
      </w:r>
      <w:r w:rsidRPr="00C96521">
        <w:rPr>
          <w:rFonts w:eastAsia="MS Mincho" w:cs="Arial"/>
          <w:sz w:val="20"/>
          <w:szCs w:val="22"/>
          <w:lang w:val="en-GB" w:eastAsia="ja-JP"/>
        </w:rPr>
        <w:t xml:space="preserve">) habitats used by </w:t>
      </w:r>
      <w:r w:rsidR="00F33271">
        <w:rPr>
          <w:rFonts w:eastAsia="MS Mincho"/>
          <w:sz w:val="20"/>
          <w:szCs w:val="22"/>
          <w:lang w:val="en-GB" w:eastAsia="ja-JP"/>
        </w:rPr>
        <w:t>T</w:t>
      </w:r>
      <w:r w:rsidR="00F33271" w:rsidRPr="00C96521">
        <w:rPr>
          <w:rFonts w:eastAsia="MS Mincho"/>
          <w:sz w:val="20"/>
          <w:szCs w:val="22"/>
          <w:lang w:val="en-GB" w:eastAsia="ja-JP"/>
        </w:rPr>
        <w:t>urtle</w:t>
      </w:r>
      <w:r w:rsidR="00F33271">
        <w:rPr>
          <w:rFonts w:eastAsia="MS Mincho"/>
          <w:sz w:val="20"/>
          <w:szCs w:val="22"/>
          <w:lang w:val="en-GB" w:eastAsia="ja-JP"/>
        </w:rPr>
        <w:t xml:space="preserve"> D</w:t>
      </w:r>
      <w:r w:rsidR="00F33271" w:rsidRPr="00C96521">
        <w:rPr>
          <w:rFonts w:eastAsia="MS Mincho"/>
          <w:sz w:val="20"/>
          <w:szCs w:val="22"/>
          <w:lang w:val="en-GB" w:eastAsia="ja-JP"/>
        </w:rPr>
        <w:t>ove</w:t>
      </w:r>
      <w:r w:rsidR="00F33271">
        <w:rPr>
          <w:rFonts w:eastAsia="MS Mincho"/>
          <w:sz w:val="20"/>
          <w:szCs w:val="22"/>
          <w:lang w:val="en-GB" w:eastAsia="ja-JP"/>
        </w:rPr>
        <w:t>s</w:t>
      </w:r>
      <w:r w:rsidRPr="00C96521">
        <w:rPr>
          <w:rFonts w:eastAsia="MS Mincho" w:cs="Arial"/>
          <w:sz w:val="20"/>
          <w:szCs w:val="22"/>
          <w:lang w:val="en-GB" w:eastAsia="ja-JP"/>
        </w:rPr>
        <w:t xml:space="preserve"> in central, southern and western parts of the Iberian </w:t>
      </w:r>
      <w:r w:rsidR="00F33271">
        <w:rPr>
          <w:rFonts w:eastAsia="MS Mincho" w:cs="Arial"/>
          <w:sz w:val="20"/>
          <w:szCs w:val="22"/>
          <w:lang w:val="en-GB" w:eastAsia="ja-JP"/>
        </w:rPr>
        <w:t>P</w:t>
      </w:r>
      <w:r w:rsidRPr="00C96521">
        <w:rPr>
          <w:rFonts w:eastAsia="MS Mincho" w:cs="Arial"/>
          <w:sz w:val="20"/>
          <w:szCs w:val="22"/>
          <w:lang w:val="en-GB" w:eastAsia="ja-JP"/>
        </w:rPr>
        <w:t xml:space="preserve">eninsula (Rocha and Hidalgo de Trucios 1998, 2000, 2001b, 2002b, 2004a and 2004b). When comparing the presence/absence in places where both species could exist, Rocha and Hidalgo (2000) observed an exclusion relationship between the two. Furthermore, the analysis of densities of both species in the same places showed that </w:t>
      </w:r>
      <w:r w:rsidR="00F33271">
        <w:rPr>
          <w:rFonts w:eastAsia="MS Mincho"/>
          <w:sz w:val="20"/>
          <w:szCs w:val="22"/>
          <w:lang w:val="en-GB" w:eastAsia="ja-JP"/>
        </w:rPr>
        <w:t>T</w:t>
      </w:r>
      <w:r w:rsidR="00F33271" w:rsidRPr="00C96521">
        <w:rPr>
          <w:rFonts w:eastAsia="MS Mincho"/>
          <w:sz w:val="20"/>
          <w:szCs w:val="22"/>
          <w:lang w:val="en-GB" w:eastAsia="ja-JP"/>
        </w:rPr>
        <w:t>urtle</w:t>
      </w:r>
      <w:r w:rsidR="00F33271">
        <w:rPr>
          <w:rFonts w:eastAsia="MS Mincho"/>
          <w:sz w:val="20"/>
          <w:szCs w:val="22"/>
          <w:lang w:val="en-GB" w:eastAsia="ja-JP"/>
        </w:rPr>
        <w:t xml:space="preserve"> D</w:t>
      </w:r>
      <w:r w:rsidR="00F33271" w:rsidRPr="00C96521">
        <w:rPr>
          <w:rFonts w:eastAsia="MS Mincho"/>
          <w:sz w:val="20"/>
          <w:szCs w:val="22"/>
          <w:lang w:val="en-GB" w:eastAsia="ja-JP"/>
        </w:rPr>
        <w:t>ove</w:t>
      </w:r>
      <w:r w:rsidRPr="00C96521">
        <w:rPr>
          <w:rFonts w:eastAsia="MS Mincho" w:cs="Arial"/>
          <w:sz w:val="20"/>
          <w:szCs w:val="22"/>
          <w:lang w:val="en-GB" w:eastAsia="ja-JP"/>
        </w:rPr>
        <w:t xml:space="preserve"> densities decreased at the same time as </w:t>
      </w:r>
      <w:r w:rsidR="00F33271">
        <w:rPr>
          <w:rFonts w:eastAsia="MS Mincho" w:cs="Arial"/>
          <w:sz w:val="20"/>
          <w:szCs w:val="22"/>
          <w:lang w:val="en-GB" w:eastAsia="ja-JP"/>
        </w:rPr>
        <w:t>C</w:t>
      </w:r>
      <w:r w:rsidRPr="00C96521">
        <w:rPr>
          <w:rFonts w:eastAsia="MS Mincho" w:cs="Arial"/>
          <w:sz w:val="20"/>
          <w:szCs w:val="22"/>
          <w:lang w:val="en-GB" w:eastAsia="ja-JP"/>
        </w:rPr>
        <w:t xml:space="preserve">ollared </w:t>
      </w:r>
      <w:r w:rsidR="00F33271">
        <w:rPr>
          <w:rFonts w:eastAsia="MS Mincho" w:cs="Arial"/>
          <w:sz w:val="20"/>
          <w:szCs w:val="22"/>
          <w:lang w:val="en-GB" w:eastAsia="ja-JP"/>
        </w:rPr>
        <w:t>D</w:t>
      </w:r>
      <w:r w:rsidRPr="00C96521">
        <w:rPr>
          <w:rFonts w:eastAsia="MS Mincho" w:cs="Arial"/>
          <w:sz w:val="20"/>
          <w:szCs w:val="22"/>
          <w:lang w:val="en-GB" w:eastAsia="ja-JP"/>
        </w:rPr>
        <w:t xml:space="preserve">ove densities increased. The same is true for Portugal (Dias 2016). The </w:t>
      </w:r>
      <w:r w:rsidR="00F33271">
        <w:rPr>
          <w:rFonts w:eastAsia="MS Mincho" w:cs="Arial"/>
          <w:sz w:val="20"/>
          <w:szCs w:val="22"/>
          <w:lang w:val="en-GB" w:eastAsia="ja-JP"/>
        </w:rPr>
        <w:t>C</w:t>
      </w:r>
      <w:r w:rsidRPr="00C96521">
        <w:rPr>
          <w:rFonts w:eastAsia="MS Mincho" w:cs="Arial"/>
          <w:sz w:val="20"/>
          <w:szCs w:val="22"/>
          <w:lang w:val="en-GB" w:eastAsia="ja-JP"/>
        </w:rPr>
        <w:t xml:space="preserve">ollared </w:t>
      </w:r>
      <w:r w:rsidR="00F33271">
        <w:rPr>
          <w:rFonts w:eastAsia="MS Mincho" w:cs="Arial"/>
          <w:sz w:val="20"/>
          <w:szCs w:val="22"/>
          <w:lang w:val="en-GB" w:eastAsia="ja-JP"/>
        </w:rPr>
        <w:t>D</w:t>
      </w:r>
      <w:r w:rsidRPr="00C96521">
        <w:rPr>
          <w:rFonts w:eastAsia="MS Mincho" w:cs="Arial"/>
          <w:sz w:val="20"/>
          <w:szCs w:val="22"/>
          <w:lang w:val="en-GB" w:eastAsia="ja-JP"/>
        </w:rPr>
        <w:t>ove benefits from advantages such as its sedentary and territorial characters, larger size and aggressiveness (Fletcher 1979) and a high reproductive success - several clutches per year, with 66</w:t>
      </w:r>
      <w:r w:rsidR="00F33271">
        <w:rPr>
          <w:rFonts w:eastAsia="MS Mincho" w:cs="Arial"/>
          <w:sz w:val="20"/>
          <w:szCs w:val="22"/>
          <w:lang w:val="en-GB" w:eastAsia="ja-JP"/>
        </w:rPr>
        <w:t xml:space="preserve"> per cent</w:t>
      </w:r>
      <w:r w:rsidRPr="00C96521">
        <w:rPr>
          <w:rFonts w:eastAsia="MS Mincho" w:cs="Arial"/>
          <w:sz w:val="20"/>
          <w:szCs w:val="22"/>
          <w:lang w:val="en-GB" w:eastAsia="ja-JP"/>
        </w:rPr>
        <w:t xml:space="preserve"> success, versus fewer clutches and 35</w:t>
      </w:r>
      <w:r w:rsidR="00F33271">
        <w:rPr>
          <w:rFonts w:eastAsia="MS Mincho" w:cs="Arial"/>
          <w:sz w:val="20"/>
          <w:szCs w:val="22"/>
          <w:lang w:val="en-GB" w:eastAsia="ja-JP"/>
        </w:rPr>
        <w:t xml:space="preserve"> per cent</w:t>
      </w:r>
      <w:r w:rsidRPr="00C96521">
        <w:rPr>
          <w:rFonts w:eastAsia="MS Mincho" w:cs="Arial"/>
          <w:sz w:val="20"/>
          <w:szCs w:val="22"/>
          <w:lang w:val="en-GB" w:eastAsia="ja-JP"/>
        </w:rPr>
        <w:t xml:space="preserve"> success for the </w:t>
      </w:r>
      <w:r w:rsidR="00F33271">
        <w:rPr>
          <w:rFonts w:eastAsia="MS Mincho" w:cs="Arial"/>
          <w:sz w:val="20"/>
          <w:szCs w:val="22"/>
          <w:lang w:val="en-GB" w:eastAsia="ja-JP"/>
        </w:rPr>
        <w:t>T</w:t>
      </w:r>
      <w:r w:rsidRPr="00C96521">
        <w:rPr>
          <w:rFonts w:eastAsia="MS Mincho" w:cs="Arial"/>
          <w:sz w:val="20"/>
          <w:szCs w:val="22"/>
          <w:lang w:val="en-GB" w:eastAsia="ja-JP"/>
        </w:rPr>
        <w:t>urtle</w:t>
      </w:r>
      <w:r w:rsidR="00F33271">
        <w:rPr>
          <w:rFonts w:eastAsia="MS Mincho" w:cs="Arial"/>
          <w:sz w:val="20"/>
          <w:szCs w:val="22"/>
          <w:lang w:val="en-GB" w:eastAsia="ja-JP"/>
        </w:rPr>
        <w:t xml:space="preserve"> D</w:t>
      </w:r>
      <w:r w:rsidRPr="00C96521">
        <w:rPr>
          <w:rFonts w:eastAsia="MS Mincho" w:cs="Arial"/>
          <w:sz w:val="20"/>
          <w:szCs w:val="22"/>
          <w:lang w:val="en-GB" w:eastAsia="ja-JP"/>
        </w:rPr>
        <w:t xml:space="preserve">ove (Browne and Aebischer 2004). However, correlation does not necessarily mean causation and in eastern Europe, where </w:t>
      </w:r>
      <w:r w:rsidR="00F33271">
        <w:rPr>
          <w:rFonts w:eastAsia="MS Mincho" w:cs="Arial"/>
          <w:sz w:val="20"/>
          <w:szCs w:val="22"/>
          <w:lang w:val="en-GB" w:eastAsia="ja-JP"/>
        </w:rPr>
        <w:t>the C</w:t>
      </w:r>
      <w:r w:rsidRPr="00C96521">
        <w:rPr>
          <w:rFonts w:eastAsia="MS Mincho" w:cs="Arial"/>
          <w:sz w:val="20"/>
          <w:szCs w:val="22"/>
          <w:lang w:val="en-GB" w:eastAsia="ja-JP"/>
        </w:rPr>
        <w:t xml:space="preserve">ollared </w:t>
      </w:r>
      <w:r w:rsidR="00F33271">
        <w:rPr>
          <w:rFonts w:eastAsia="MS Mincho" w:cs="Arial"/>
          <w:sz w:val="20"/>
          <w:szCs w:val="22"/>
          <w:lang w:val="en-GB" w:eastAsia="ja-JP"/>
        </w:rPr>
        <w:t>D</w:t>
      </w:r>
      <w:r w:rsidRPr="00C96521">
        <w:rPr>
          <w:rFonts w:eastAsia="MS Mincho" w:cs="Arial"/>
          <w:sz w:val="20"/>
          <w:szCs w:val="22"/>
          <w:lang w:val="en-GB" w:eastAsia="ja-JP"/>
        </w:rPr>
        <w:t xml:space="preserve">ove has been present for longer than it has been in western Europe, </w:t>
      </w:r>
      <w:r w:rsidR="00F33271">
        <w:rPr>
          <w:rFonts w:eastAsia="MS Mincho"/>
          <w:sz w:val="20"/>
          <w:szCs w:val="22"/>
          <w:lang w:val="en-GB" w:eastAsia="ja-JP"/>
        </w:rPr>
        <w:t>T</w:t>
      </w:r>
      <w:r w:rsidR="00F33271" w:rsidRPr="00C96521">
        <w:rPr>
          <w:rFonts w:eastAsia="MS Mincho"/>
          <w:sz w:val="20"/>
          <w:szCs w:val="22"/>
          <w:lang w:val="en-GB" w:eastAsia="ja-JP"/>
        </w:rPr>
        <w:t>urtle</w:t>
      </w:r>
      <w:r w:rsidR="00F33271">
        <w:rPr>
          <w:rFonts w:eastAsia="MS Mincho"/>
          <w:sz w:val="20"/>
          <w:szCs w:val="22"/>
          <w:lang w:val="en-GB" w:eastAsia="ja-JP"/>
        </w:rPr>
        <w:t xml:space="preserve"> D</w:t>
      </w:r>
      <w:r w:rsidR="00F33271" w:rsidRPr="00C96521">
        <w:rPr>
          <w:rFonts w:eastAsia="MS Mincho"/>
          <w:sz w:val="20"/>
          <w:szCs w:val="22"/>
          <w:lang w:val="en-GB" w:eastAsia="ja-JP"/>
        </w:rPr>
        <w:t>ove</w:t>
      </w:r>
      <w:r w:rsidRPr="00C96521">
        <w:rPr>
          <w:rFonts w:eastAsia="MS Mincho" w:cs="Arial"/>
          <w:sz w:val="20"/>
          <w:szCs w:val="22"/>
          <w:lang w:val="en-GB" w:eastAsia="ja-JP"/>
        </w:rPr>
        <w:t xml:space="preserve"> populations have not decreased to such an extent. In Hungary, the </w:t>
      </w:r>
      <w:r w:rsidR="00F33271">
        <w:rPr>
          <w:rFonts w:eastAsia="MS Mincho" w:cs="Arial"/>
          <w:sz w:val="20"/>
          <w:szCs w:val="22"/>
          <w:lang w:val="en-GB" w:eastAsia="ja-JP"/>
        </w:rPr>
        <w:t>C</w:t>
      </w:r>
      <w:r w:rsidRPr="00C96521">
        <w:rPr>
          <w:rFonts w:eastAsia="MS Mincho" w:cs="Arial"/>
          <w:sz w:val="20"/>
          <w:szCs w:val="22"/>
          <w:lang w:val="en-GB" w:eastAsia="ja-JP"/>
        </w:rPr>
        <w:t xml:space="preserve">ollared </w:t>
      </w:r>
      <w:r w:rsidR="00F33271">
        <w:rPr>
          <w:rFonts w:eastAsia="MS Mincho" w:cs="Arial"/>
          <w:sz w:val="20"/>
          <w:szCs w:val="22"/>
          <w:lang w:val="en-GB" w:eastAsia="ja-JP"/>
        </w:rPr>
        <w:t>D</w:t>
      </w:r>
      <w:r w:rsidRPr="00C96521">
        <w:rPr>
          <w:rFonts w:eastAsia="MS Mincho" w:cs="Arial"/>
          <w:sz w:val="20"/>
          <w:szCs w:val="22"/>
          <w:lang w:val="en-GB" w:eastAsia="ja-JP"/>
        </w:rPr>
        <w:t xml:space="preserve">ove nests near human settlements while the </w:t>
      </w:r>
      <w:r w:rsidR="00F33271">
        <w:rPr>
          <w:rFonts w:eastAsia="MS Mincho"/>
          <w:sz w:val="20"/>
          <w:szCs w:val="22"/>
          <w:lang w:val="en-GB" w:eastAsia="ja-JP"/>
        </w:rPr>
        <w:t>T</w:t>
      </w:r>
      <w:r w:rsidR="00F33271" w:rsidRPr="00C96521">
        <w:rPr>
          <w:rFonts w:eastAsia="MS Mincho"/>
          <w:sz w:val="20"/>
          <w:szCs w:val="22"/>
          <w:lang w:val="en-GB" w:eastAsia="ja-JP"/>
        </w:rPr>
        <w:t>urtle</w:t>
      </w:r>
      <w:r w:rsidR="00F33271">
        <w:rPr>
          <w:rFonts w:eastAsia="MS Mincho"/>
          <w:sz w:val="20"/>
          <w:szCs w:val="22"/>
          <w:lang w:val="en-GB" w:eastAsia="ja-JP"/>
        </w:rPr>
        <w:t xml:space="preserve"> D</w:t>
      </w:r>
      <w:r w:rsidR="00F33271" w:rsidRPr="00C96521">
        <w:rPr>
          <w:rFonts w:eastAsia="MS Mincho"/>
          <w:sz w:val="20"/>
          <w:szCs w:val="22"/>
          <w:lang w:val="en-GB" w:eastAsia="ja-JP"/>
        </w:rPr>
        <w:t>ove</w:t>
      </w:r>
      <w:r w:rsidRPr="00C96521">
        <w:rPr>
          <w:rFonts w:eastAsia="MS Mincho" w:cs="Arial"/>
          <w:sz w:val="20"/>
          <w:szCs w:val="22"/>
          <w:lang w:val="en-GB" w:eastAsia="ja-JP"/>
        </w:rPr>
        <w:t xml:space="preserve"> uses forest edge, woodland and shrub away from human habitation (Hadarics and Zalai 2008), but in Romania, competition</w:t>
      </w:r>
      <w:r w:rsidRPr="00C96521">
        <w:rPr>
          <w:rFonts w:eastAsia="MS Mincho"/>
          <w:sz w:val="20"/>
          <w:szCs w:val="22"/>
          <w:lang w:val="en-GB" w:eastAsia="ja-JP"/>
        </w:rPr>
        <w:t xml:space="preserve"> with </w:t>
      </w:r>
      <w:r w:rsidR="00F33271">
        <w:rPr>
          <w:rFonts w:eastAsia="MS Mincho"/>
          <w:sz w:val="20"/>
          <w:szCs w:val="22"/>
          <w:lang w:val="en-GB" w:eastAsia="ja-JP"/>
        </w:rPr>
        <w:t>C</w:t>
      </w:r>
      <w:r w:rsidRPr="00C96521">
        <w:rPr>
          <w:rFonts w:eastAsia="MS Mincho"/>
          <w:sz w:val="20"/>
          <w:szCs w:val="22"/>
          <w:lang w:val="en-GB" w:eastAsia="ja-JP"/>
        </w:rPr>
        <w:t xml:space="preserve">ollared </w:t>
      </w:r>
      <w:r w:rsidR="00F33271">
        <w:rPr>
          <w:rFonts w:eastAsia="MS Mincho"/>
          <w:sz w:val="20"/>
          <w:szCs w:val="22"/>
          <w:lang w:val="en-GB" w:eastAsia="ja-JP"/>
        </w:rPr>
        <w:t>D</w:t>
      </w:r>
      <w:r w:rsidRPr="00C96521">
        <w:rPr>
          <w:rFonts w:eastAsia="MS Mincho"/>
          <w:sz w:val="20"/>
          <w:szCs w:val="22"/>
          <w:lang w:val="en-GB" w:eastAsia="ja-JP"/>
        </w:rPr>
        <w:t xml:space="preserve">ove has caused </w:t>
      </w:r>
      <w:r w:rsidR="00F33271">
        <w:rPr>
          <w:rFonts w:eastAsia="MS Mincho"/>
          <w:sz w:val="20"/>
          <w:szCs w:val="22"/>
          <w:lang w:val="en-GB" w:eastAsia="ja-JP"/>
        </w:rPr>
        <w:t>the T</w:t>
      </w:r>
      <w:r w:rsidR="00F33271" w:rsidRPr="00C96521">
        <w:rPr>
          <w:rFonts w:eastAsia="MS Mincho"/>
          <w:sz w:val="20"/>
          <w:szCs w:val="22"/>
          <w:lang w:val="en-GB" w:eastAsia="ja-JP"/>
        </w:rPr>
        <w:t>urtle</w:t>
      </w:r>
      <w:r w:rsidR="00F33271">
        <w:rPr>
          <w:rFonts w:eastAsia="MS Mincho"/>
          <w:sz w:val="20"/>
          <w:szCs w:val="22"/>
          <w:lang w:val="en-GB" w:eastAsia="ja-JP"/>
        </w:rPr>
        <w:t xml:space="preserve"> D</w:t>
      </w:r>
      <w:r w:rsidR="00F33271" w:rsidRPr="00C96521">
        <w:rPr>
          <w:rFonts w:eastAsia="MS Mincho"/>
          <w:sz w:val="20"/>
          <w:szCs w:val="22"/>
          <w:lang w:val="en-GB" w:eastAsia="ja-JP"/>
        </w:rPr>
        <w:t xml:space="preserve">ove </w:t>
      </w:r>
      <w:r w:rsidRPr="00C96521">
        <w:rPr>
          <w:rFonts w:eastAsia="MS Mincho"/>
          <w:sz w:val="20"/>
          <w:szCs w:val="22"/>
          <w:lang w:val="en-GB" w:eastAsia="ja-JP"/>
        </w:rPr>
        <w:t xml:space="preserve"> to be lost from parks and cities at least in Transylvania and Banat (Munteanu 2009). </w:t>
      </w:r>
    </w:p>
    <w:p w14:paraId="63419BB6"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66FF7FE3" w14:textId="73E7DAB2"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sz w:val="20"/>
          <w:szCs w:val="22"/>
          <w:lang w:val="en-GB" w:eastAsia="ja-JP"/>
        </w:rPr>
        <w:t xml:space="preserve">It is possible that the role of potential competition between </w:t>
      </w:r>
      <w:r w:rsidR="00F33271">
        <w:rPr>
          <w:rFonts w:eastAsia="MS Mincho"/>
          <w:sz w:val="20"/>
          <w:szCs w:val="22"/>
          <w:lang w:val="en-GB" w:eastAsia="ja-JP"/>
        </w:rPr>
        <w:t>T</w:t>
      </w:r>
      <w:r w:rsidR="00F33271" w:rsidRPr="00C96521">
        <w:rPr>
          <w:rFonts w:eastAsia="MS Mincho"/>
          <w:sz w:val="20"/>
          <w:szCs w:val="22"/>
          <w:lang w:val="en-GB" w:eastAsia="ja-JP"/>
        </w:rPr>
        <w:t>urtle</w:t>
      </w:r>
      <w:r w:rsidR="00F33271">
        <w:rPr>
          <w:rFonts w:eastAsia="MS Mincho"/>
          <w:sz w:val="20"/>
          <w:szCs w:val="22"/>
          <w:lang w:val="en-GB" w:eastAsia="ja-JP"/>
        </w:rPr>
        <w:t xml:space="preserve"> D</w:t>
      </w:r>
      <w:r w:rsidR="00F33271" w:rsidRPr="00C96521">
        <w:rPr>
          <w:rFonts w:eastAsia="MS Mincho"/>
          <w:sz w:val="20"/>
          <w:szCs w:val="22"/>
          <w:lang w:val="en-GB" w:eastAsia="ja-JP"/>
        </w:rPr>
        <w:t xml:space="preserve">ove </w:t>
      </w:r>
      <w:r w:rsidRPr="00C96521">
        <w:rPr>
          <w:rFonts w:eastAsia="MS Mincho"/>
          <w:sz w:val="20"/>
          <w:szCs w:val="22"/>
          <w:lang w:val="en-GB" w:eastAsia="ja-JP"/>
        </w:rPr>
        <w:t xml:space="preserve">and </w:t>
      </w:r>
      <w:r w:rsidR="00F33271">
        <w:rPr>
          <w:rFonts w:eastAsia="MS Mincho"/>
          <w:sz w:val="20"/>
          <w:szCs w:val="22"/>
          <w:lang w:val="en-GB" w:eastAsia="ja-JP"/>
        </w:rPr>
        <w:t>C</w:t>
      </w:r>
      <w:r w:rsidRPr="00C96521">
        <w:rPr>
          <w:rFonts w:eastAsia="MS Mincho"/>
          <w:sz w:val="20"/>
          <w:szCs w:val="22"/>
          <w:lang w:val="en-GB" w:eastAsia="ja-JP"/>
        </w:rPr>
        <w:t>ollared</w:t>
      </w:r>
      <w:r w:rsidR="00F33271" w:rsidRPr="00F33271">
        <w:rPr>
          <w:rFonts w:eastAsia="MS Mincho"/>
          <w:sz w:val="20"/>
          <w:szCs w:val="22"/>
          <w:lang w:val="en-GB" w:eastAsia="ja-JP"/>
        </w:rPr>
        <w:t xml:space="preserve"> </w:t>
      </w:r>
      <w:r w:rsidR="00F33271">
        <w:rPr>
          <w:rFonts w:eastAsia="MS Mincho"/>
          <w:sz w:val="20"/>
          <w:szCs w:val="22"/>
          <w:lang w:val="en-GB" w:eastAsia="ja-JP"/>
        </w:rPr>
        <w:t>D</w:t>
      </w:r>
      <w:r w:rsidR="00F33271" w:rsidRPr="00C96521">
        <w:rPr>
          <w:rFonts w:eastAsia="MS Mincho"/>
          <w:sz w:val="20"/>
          <w:szCs w:val="22"/>
          <w:lang w:val="en-GB" w:eastAsia="ja-JP"/>
        </w:rPr>
        <w:t xml:space="preserve">ove </w:t>
      </w:r>
      <w:r w:rsidRPr="00C96521">
        <w:rPr>
          <w:rFonts w:eastAsia="MS Mincho"/>
          <w:sz w:val="20"/>
          <w:szCs w:val="22"/>
          <w:lang w:val="en-GB" w:eastAsia="ja-JP"/>
        </w:rPr>
        <w:t xml:space="preserve">varies from one country to another. Unpublished data from the UK </w:t>
      </w:r>
      <w:r w:rsidRPr="00C96521">
        <w:rPr>
          <w:rFonts w:eastAsia="MS Mincho" w:cs="Arial"/>
          <w:sz w:val="20"/>
          <w:szCs w:val="22"/>
          <w:lang w:val="en-GB" w:eastAsia="ja-JP"/>
        </w:rPr>
        <w:t xml:space="preserve">(Dunn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2016c </w:t>
      </w:r>
      <w:r w:rsidRPr="00C96521">
        <w:rPr>
          <w:rFonts w:eastAsia="MS Mincho" w:cs="Arial"/>
          <w:i/>
          <w:sz w:val="20"/>
          <w:szCs w:val="22"/>
          <w:lang w:val="en-GB" w:eastAsia="ja-JP"/>
        </w:rPr>
        <w:t>under review</w:t>
      </w:r>
      <w:r w:rsidRPr="00C96521">
        <w:rPr>
          <w:rFonts w:eastAsia="MS Mincho" w:cs="Arial"/>
          <w:sz w:val="20"/>
          <w:szCs w:val="22"/>
          <w:lang w:val="en-GB" w:eastAsia="ja-JP"/>
        </w:rPr>
        <w:t xml:space="preserve">) show significant dietary overlap between all four UK farmland columbid species, and while the lowest overlap was between </w:t>
      </w:r>
      <w:r w:rsidR="00A922B2">
        <w:rPr>
          <w:rFonts w:eastAsia="MS Mincho" w:cs="Arial"/>
          <w:sz w:val="20"/>
          <w:szCs w:val="22"/>
          <w:lang w:val="en-GB" w:eastAsia="ja-JP"/>
        </w:rPr>
        <w:t>T</w:t>
      </w:r>
      <w:r w:rsidRPr="00C96521">
        <w:rPr>
          <w:rFonts w:eastAsia="MS Mincho" w:cs="Arial"/>
          <w:sz w:val="20"/>
          <w:szCs w:val="22"/>
          <w:lang w:val="en-GB" w:eastAsia="ja-JP"/>
        </w:rPr>
        <w:t xml:space="preserve">urtle and </w:t>
      </w:r>
      <w:r w:rsidR="00A922B2">
        <w:rPr>
          <w:rFonts w:eastAsia="MS Mincho" w:cs="Arial"/>
          <w:sz w:val="20"/>
          <w:szCs w:val="22"/>
          <w:lang w:val="en-GB" w:eastAsia="ja-JP"/>
        </w:rPr>
        <w:t>C</w:t>
      </w:r>
      <w:r w:rsidRPr="00C96521">
        <w:rPr>
          <w:rFonts w:eastAsia="MS Mincho" w:cs="Arial"/>
          <w:sz w:val="20"/>
          <w:szCs w:val="22"/>
          <w:lang w:val="en-GB" w:eastAsia="ja-JP"/>
        </w:rPr>
        <w:t xml:space="preserve">ollared </w:t>
      </w:r>
      <w:r w:rsidR="00A922B2">
        <w:rPr>
          <w:rFonts w:eastAsia="MS Mincho" w:cs="Arial"/>
          <w:sz w:val="20"/>
          <w:szCs w:val="22"/>
          <w:lang w:val="en-GB" w:eastAsia="ja-JP"/>
        </w:rPr>
        <w:t>D</w:t>
      </w:r>
      <w:r w:rsidRPr="00C96521">
        <w:rPr>
          <w:rFonts w:eastAsia="MS Mincho" w:cs="Arial"/>
          <w:sz w:val="20"/>
          <w:szCs w:val="22"/>
          <w:lang w:val="en-GB" w:eastAsia="ja-JP"/>
        </w:rPr>
        <w:t>oves, it was still significant. There is the possibility of indirect competition between the species, but sufficient disparity between their ecology, food and habitat requirements limits effects, and anecdotal observations indicate little, if any, direct competition in the form of aggressive behaviours, nest site limitations etc</w:t>
      </w:r>
      <w:r w:rsidR="00A922B2">
        <w:rPr>
          <w:rFonts w:eastAsia="MS Mincho" w:cs="Arial"/>
          <w:sz w:val="20"/>
          <w:szCs w:val="22"/>
          <w:lang w:val="en-GB" w:eastAsia="ja-JP"/>
        </w:rPr>
        <w:t>.</w:t>
      </w:r>
      <w:r w:rsidRPr="00C96521">
        <w:rPr>
          <w:rFonts w:eastAsia="MS Mincho" w:cs="Arial"/>
          <w:sz w:val="20"/>
          <w:szCs w:val="22"/>
          <w:lang w:val="en-GB" w:eastAsia="ja-JP"/>
        </w:rPr>
        <w:t xml:space="preserve"> (Tony Morris </w:t>
      </w:r>
      <w:r w:rsidRPr="00C96521">
        <w:rPr>
          <w:rFonts w:eastAsia="MS Mincho" w:cs="Arial"/>
          <w:i/>
          <w:sz w:val="20"/>
          <w:szCs w:val="22"/>
          <w:lang w:val="en-GB" w:eastAsia="ja-JP"/>
        </w:rPr>
        <w:t>pers comm</w:t>
      </w:r>
      <w:r w:rsidRPr="00C96521">
        <w:rPr>
          <w:rFonts w:eastAsia="MS Mincho" w:cs="Arial"/>
          <w:sz w:val="20"/>
          <w:szCs w:val="22"/>
          <w:lang w:val="en-GB" w:eastAsia="ja-JP"/>
        </w:rPr>
        <w:t xml:space="preserve">). </w:t>
      </w:r>
    </w:p>
    <w:p w14:paraId="72DA2172"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35420787" w14:textId="6EF1359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Morocco, a recent expansion of </w:t>
      </w:r>
      <w:r w:rsidR="00A922B2">
        <w:rPr>
          <w:rFonts w:eastAsia="MS Mincho"/>
          <w:sz w:val="20"/>
          <w:szCs w:val="22"/>
          <w:lang w:val="en-GB" w:eastAsia="ja-JP"/>
        </w:rPr>
        <w:t>the L</w:t>
      </w:r>
      <w:r w:rsidRPr="00C96521">
        <w:rPr>
          <w:rFonts w:eastAsia="MS Mincho"/>
          <w:sz w:val="20"/>
          <w:szCs w:val="22"/>
          <w:lang w:val="en-GB" w:eastAsia="ja-JP"/>
        </w:rPr>
        <w:t xml:space="preserve">aughing </w:t>
      </w:r>
      <w:r w:rsidR="00A922B2">
        <w:rPr>
          <w:rFonts w:eastAsia="MS Mincho"/>
          <w:sz w:val="20"/>
          <w:szCs w:val="22"/>
          <w:lang w:val="en-GB" w:eastAsia="ja-JP"/>
        </w:rPr>
        <w:t>D</w:t>
      </w:r>
      <w:r w:rsidRPr="00C96521">
        <w:rPr>
          <w:rFonts w:eastAsia="MS Mincho"/>
          <w:sz w:val="20"/>
          <w:szCs w:val="22"/>
          <w:lang w:val="en-GB" w:eastAsia="ja-JP"/>
        </w:rPr>
        <w:t>ove (</w:t>
      </w:r>
      <w:r w:rsidRPr="00C96521">
        <w:rPr>
          <w:rFonts w:eastAsia="MS Mincho"/>
          <w:i/>
          <w:sz w:val="20"/>
          <w:szCs w:val="22"/>
          <w:lang w:val="en-GB" w:eastAsia="ja-JP"/>
        </w:rPr>
        <w:t>Streptopelia senegalensis</w:t>
      </w:r>
      <w:r w:rsidRPr="00C96521">
        <w:rPr>
          <w:rFonts w:eastAsia="MS Mincho"/>
          <w:sz w:val="20"/>
          <w:szCs w:val="22"/>
          <w:lang w:val="en-GB" w:eastAsia="ja-JP"/>
        </w:rPr>
        <w:t xml:space="preserve">) means that the range of </w:t>
      </w:r>
      <w:r w:rsidR="00A922B2">
        <w:rPr>
          <w:rFonts w:eastAsia="MS Mincho"/>
          <w:sz w:val="20"/>
          <w:szCs w:val="22"/>
          <w:lang w:val="en-GB" w:eastAsia="ja-JP"/>
        </w:rPr>
        <w:t>the T</w:t>
      </w:r>
      <w:r w:rsidR="00A922B2" w:rsidRPr="00C96521">
        <w:rPr>
          <w:rFonts w:eastAsia="MS Mincho"/>
          <w:sz w:val="20"/>
          <w:szCs w:val="22"/>
          <w:lang w:val="en-GB" w:eastAsia="ja-JP"/>
        </w:rPr>
        <w:t>urtle</w:t>
      </w:r>
      <w:r w:rsidR="00A922B2">
        <w:rPr>
          <w:rFonts w:eastAsia="MS Mincho"/>
          <w:sz w:val="20"/>
          <w:szCs w:val="22"/>
          <w:lang w:val="en-GB" w:eastAsia="ja-JP"/>
        </w:rPr>
        <w:t xml:space="preserve"> D</w:t>
      </w:r>
      <w:r w:rsidR="00A922B2" w:rsidRPr="00C96521">
        <w:rPr>
          <w:rFonts w:eastAsia="MS Mincho"/>
          <w:sz w:val="20"/>
          <w:szCs w:val="22"/>
          <w:lang w:val="en-GB" w:eastAsia="ja-JP"/>
        </w:rPr>
        <w:t xml:space="preserve">ove </w:t>
      </w:r>
      <w:r w:rsidRPr="00C96521">
        <w:rPr>
          <w:rFonts w:eastAsia="MS Mincho"/>
          <w:sz w:val="20"/>
          <w:szCs w:val="22"/>
          <w:lang w:val="en-GB" w:eastAsia="ja-JP"/>
        </w:rPr>
        <w:t xml:space="preserve">and </w:t>
      </w:r>
      <w:r w:rsidR="00A922B2">
        <w:rPr>
          <w:rFonts w:eastAsia="MS Mincho"/>
          <w:sz w:val="20"/>
          <w:szCs w:val="22"/>
          <w:lang w:val="en-GB" w:eastAsia="ja-JP"/>
        </w:rPr>
        <w:t>L</w:t>
      </w:r>
      <w:r w:rsidRPr="00C96521">
        <w:rPr>
          <w:rFonts w:eastAsia="MS Mincho"/>
          <w:sz w:val="20"/>
          <w:szCs w:val="22"/>
          <w:lang w:val="en-GB" w:eastAsia="ja-JP"/>
        </w:rPr>
        <w:t xml:space="preserve">aughing </w:t>
      </w:r>
      <w:r w:rsidR="00A922B2">
        <w:rPr>
          <w:rFonts w:eastAsia="MS Mincho"/>
          <w:sz w:val="20"/>
          <w:szCs w:val="22"/>
          <w:lang w:val="en-GB" w:eastAsia="ja-JP"/>
        </w:rPr>
        <w:t>D</w:t>
      </w:r>
      <w:r w:rsidRPr="00C96521">
        <w:rPr>
          <w:rFonts w:eastAsia="MS Mincho"/>
          <w:sz w:val="20"/>
          <w:szCs w:val="22"/>
          <w:lang w:val="en-GB" w:eastAsia="ja-JP"/>
        </w:rPr>
        <w:t xml:space="preserve">ove now overlap. While both species have slightly different nesting preferences, further work is needed to understand the extent of competition (Hanane 2015). Wood </w:t>
      </w:r>
      <w:r w:rsidR="00A922B2">
        <w:rPr>
          <w:rFonts w:eastAsia="MS Mincho"/>
          <w:sz w:val="20"/>
          <w:szCs w:val="22"/>
          <w:lang w:val="en-GB" w:eastAsia="ja-JP"/>
        </w:rPr>
        <w:t>P</w:t>
      </w:r>
      <w:r w:rsidRPr="00C96521">
        <w:rPr>
          <w:rFonts w:eastAsia="MS Mincho"/>
          <w:sz w:val="20"/>
          <w:szCs w:val="22"/>
          <w:lang w:val="en-GB" w:eastAsia="ja-JP"/>
        </w:rPr>
        <w:t>igeon</w:t>
      </w:r>
      <w:r w:rsidR="00A922B2">
        <w:rPr>
          <w:rFonts w:eastAsia="MS Mincho"/>
          <w:sz w:val="20"/>
          <w:szCs w:val="22"/>
          <w:lang w:val="en-GB" w:eastAsia="ja-JP"/>
        </w:rPr>
        <w:t>s</w:t>
      </w:r>
      <w:r w:rsidRPr="00C96521">
        <w:rPr>
          <w:rFonts w:eastAsia="MS Mincho"/>
          <w:sz w:val="20"/>
          <w:szCs w:val="22"/>
          <w:lang w:val="en-GB" w:eastAsia="ja-JP"/>
        </w:rPr>
        <w:t xml:space="preserve"> and </w:t>
      </w:r>
      <w:r w:rsidR="00A922B2">
        <w:rPr>
          <w:rFonts w:eastAsia="MS Mincho"/>
          <w:sz w:val="20"/>
          <w:szCs w:val="22"/>
          <w:lang w:val="en-GB" w:eastAsia="ja-JP"/>
        </w:rPr>
        <w:t>T</w:t>
      </w:r>
      <w:r w:rsidR="00A922B2" w:rsidRPr="00C96521">
        <w:rPr>
          <w:rFonts w:eastAsia="MS Mincho"/>
          <w:sz w:val="20"/>
          <w:szCs w:val="22"/>
          <w:lang w:val="en-GB" w:eastAsia="ja-JP"/>
        </w:rPr>
        <w:t>urtle</w:t>
      </w:r>
      <w:r w:rsidR="00A922B2">
        <w:rPr>
          <w:rFonts w:eastAsia="MS Mincho"/>
          <w:sz w:val="20"/>
          <w:szCs w:val="22"/>
          <w:lang w:val="en-GB" w:eastAsia="ja-JP"/>
        </w:rPr>
        <w:t xml:space="preserve"> D</w:t>
      </w:r>
      <w:r w:rsidR="00A922B2" w:rsidRPr="00C96521">
        <w:rPr>
          <w:rFonts w:eastAsia="MS Mincho"/>
          <w:sz w:val="20"/>
          <w:szCs w:val="22"/>
          <w:lang w:val="en-GB" w:eastAsia="ja-JP"/>
        </w:rPr>
        <w:t>ove</w:t>
      </w:r>
      <w:r w:rsidR="00A922B2">
        <w:rPr>
          <w:rFonts w:eastAsia="MS Mincho"/>
          <w:sz w:val="20"/>
          <w:szCs w:val="22"/>
          <w:lang w:val="en-GB" w:eastAsia="ja-JP"/>
        </w:rPr>
        <w:t>s</w:t>
      </w:r>
      <w:r w:rsidRPr="00C96521">
        <w:rPr>
          <w:rFonts w:eastAsia="MS Mincho"/>
          <w:sz w:val="20"/>
          <w:szCs w:val="22"/>
          <w:lang w:val="en-GB" w:eastAsia="ja-JP"/>
        </w:rPr>
        <w:t xml:space="preserve"> have also been shown to have different nesting preferences in </w:t>
      </w:r>
      <w:r w:rsidRPr="00C96521">
        <w:rPr>
          <w:rFonts w:eastAsia="MS Mincho"/>
          <w:i/>
          <w:sz w:val="20"/>
          <w:szCs w:val="22"/>
          <w:lang w:val="en-GB" w:eastAsia="ja-JP"/>
        </w:rPr>
        <w:t>Tetraclinis articulata</w:t>
      </w:r>
      <w:r w:rsidRPr="00C96521">
        <w:rPr>
          <w:rFonts w:eastAsia="MS Mincho"/>
          <w:sz w:val="20"/>
          <w:szCs w:val="22"/>
          <w:lang w:val="en-GB" w:eastAsia="ja-JP"/>
        </w:rPr>
        <w:t xml:space="preserve"> woodland in Morocco, with </w:t>
      </w:r>
      <w:r w:rsidR="00A922B2">
        <w:rPr>
          <w:rFonts w:eastAsia="MS Mincho"/>
          <w:sz w:val="20"/>
          <w:szCs w:val="22"/>
          <w:lang w:val="en-GB" w:eastAsia="ja-JP"/>
        </w:rPr>
        <w:t>W</w:t>
      </w:r>
      <w:r w:rsidRPr="00C96521">
        <w:rPr>
          <w:rFonts w:eastAsia="MS Mincho"/>
          <w:sz w:val="20"/>
          <w:szCs w:val="22"/>
          <w:lang w:val="en-GB" w:eastAsia="ja-JP"/>
        </w:rPr>
        <w:t xml:space="preserve">ood </w:t>
      </w:r>
      <w:r w:rsidR="00A922B2">
        <w:rPr>
          <w:rFonts w:eastAsia="MS Mincho"/>
          <w:sz w:val="20"/>
          <w:szCs w:val="22"/>
          <w:lang w:val="en-GB" w:eastAsia="ja-JP"/>
        </w:rPr>
        <w:t>P</w:t>
      </w:r>
      <w:r w:rsidRPr="00C96521">
        <w:rPr>
          <w:rFonts w:eastAsia="MS Mincho"/>
          <w:sz w:val="20"/>
          <w:szCs w:val="22"/>
          <w:lang w:val="en-GB" w:eastAsia="ja-JP"/>
        </w:rPr>
        <w:t>igeon</w:t>
      </w:r>
      <w:r w:rsidR="00A922B2">
        <w:rPr>
          <w:rFonts w:eastAsia="MS Mincho"/>
          <w:sz w:val="20"/>
          <w:szCs w:val="22"/>
          <w:lang w:val="en-GB" w:eastAsia="ja-JP"/>
        </w:rPr>
        <w:t>s</w:t>
      </w:r>
      <w:r w:rsidRPr="00C96521">
        <w:rPr>
          <w:rFonts w:eastAsia="MS Mincho"/>
          <w:sz w:val="20"/>
          <w:szCs w:val="22"/>
          <w:lang w:val="en-GB" w:eastAsia="ja-JP"/>
        </w:rPr>
        <w:t xml:space="preserve"> selecting taller and larger diameter trees for nesting, compared to </w:t>
      </w:r>
      <w:r w:rsidR="00A922B2">
        <w:rPr>
          <w:rFonts w:eastAsia="MS Mincho"/>
          <w:sz w:val="20"/>
          <w:szCs w:val="22"/>
          <w:lang w:val="en-GB" w:eastAsia="ja-JP"/>
        </w:rPr>
        <w:t>T</w:t>
      </w:r>
      <w:r w:rsidRPr="00C96521">
        <w:rPr>
          <w:rFonts w:eastAsia="MS Mincho"/>
          <w:sz w:val="20"/>
          <w:szCs w:val="22"/>
          <w:lang w:val="en-GB" w:eastAsia="ja-JP"/>
        </w:rPr>
        <w:t>urtle</w:t>
      </w:r>
      <w:r w:rsidR="00A922B2">
        <w:rPr>
          <w:rFonts w:eastAsia="MS Mincho"/>
          <w:sz w:val="20"/>
          <w:szCs w:val="22"/>
          <w:lang w:val="en-GB" w:eastAsia="ja-JP"/>
        </w:rPr>
        <w:t xml:space="preserve"> D</w:t>
      </w:r>
      <w:r w:rsidRPr="00C96521">
        <w:rPr>
          <w:rFonts w:eastAsia="MS Mincho"/>
          <w:sz w:val="20"/>
          <w:szCs w:val="22"/>
          <w:lang w:val="en-GB" w:eastAsia="ja-JP"/>
        </w:rPr>
        <w:t>ove (Hanane and Yassin 2017).</w:t>
      </w:r>
    </w:p>
    <w:p w14:paraId="41279C49"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27A378FC" w14:textId="77777777" w:rsidR="00C96521" w:rsidRPr="00C96521" w:rsidRDefault="00C96521" w:rsidP="00C96521">
      <w:pPr>
        <w:keepNext/>
        <w:keepLines/>
        <w:widowControl/>
        <w:autoSpaceDE/>
        <w:autoSpaceDN/>
        <w:adjustRightInd/>
        <w:spacing w:before="200" w:line="276" w:lineRule="auto"/>
        <w:outlineLvl w:val="2"/>
        <w:rPr>
          <w:rFonts w:ascii="Cambria" w:eastAsia="MS Gothic" w:hAnsi="Cambria"/>
          <w:b/>
          <w:bCs/>
          <w:color w:val="4F81BD"/>
          <w:sz w:val="20"/>
          <w:szCs w:val="22"/>
          <w:shd w:val="clear" w:color="auto" w:fill="FFFFFF"/>
          <w:lang w:val="en-GB" w:eastAsia="ja-JP"/>
        </w:rPr>
      </w:pPr>
      <w:bookmarkStart w:id="32" w:name="_Toc478646917"/>
      <w:r w:rsidRPr="00C96521">
        <w:rPr>
          <w:rFonts w:ascii="Cambria" w:eastAsia="MS Gothic" w:hAnsi="Cambria"/>
          <w:b/>
          <w:bCs/>
          <w:color w:val="4F81BD"/>
          <w:sz w:val="20"/>
          <w:szCs w:val="22"/>
          <w:shd w:val="clear" w:color="auto" w:fill="FFFFFF"/>
          <w:lang w:val="en-GB" w:eastAsia="ja-JP"/>
        </w:rPr>
        <w:t>Disease</w:t>
      </w:r>
      <w:bookmarkEnd w:id="32"/>
    </w:p>
    <w:p w14:paraId="45651491" w14:textId="77777777" w:rsidR="00C96521" w:rsidRPr="00C96521" w:rsidRDefault="00C96521" w:rsidP="00C96521">
      <w:pPr>
        <w:widowControl/>
        <w:autoSpaceDE/>
        <w:autoSpaceDN/>
        <w:adjustRightInd/>
        <w:spacing w:line="276" w:lineRule="auto"/>
        <w:rPr>
          <w:rFonts w:eastAsia="MS Mincho" w:cs="Arial"/>
          <w:sz w:val="20"/>
          <w:szCs w:val="22"/>
          <w:lang w:val="en-GB" w:eastAsia="ja-JP"/>
        </w:rPr>
      </w:pPr>
    </w:p>
    <w:p w14:paraId="51D2E148" w14:textId="21ADD3EC" w:rsidR="00C96521" w:rsidRPr="00C96521" w:rsidRDefault="00C96521" w:rsidP="00C96521">
      <w:pPr>
        <w:widowControl/>
        <w:autoSpaceDE/>
        <w:autoSpaceDN/>
        <w:adjustRightInd/>
        <w:spacing w:line="276" w:lineRule="auto"/>
        <w:rPr>
          <w:rFonts w:eastAsia="MS Mincho" w:cs="Arial"/>
          <w:sz w:val="20"/>
          <w:szCs w:val="22"/>
          <w:lang w:val="en-GB" w:eastAsia="ja-JP"/>
        </w:rPr>
      </w:pPr>
      <w:r w:rsidRPr="00C96521">
        <w:rPr>
          <w:rFonts w:eastAsia="MS Mincho" w:cs="Arial"/>
          <w:i/>
          <w:sz w:val="20"/>
          <w:szCs w:val="22"/>
          <w:lang w:val="en-GB" w:eastAsia="ja-JP"/>
        </w:rPr>
        <w:t>Trichomonas gallinae</w:t>
      </w:r>
      <w:r w:rsidRPr="00C96521">
        <w:rPr>
          <w:rFonts w:eastAsia="MS Mincho" w:cs="Arial"/>
          <w:sz w:val="20"/>
          <w:szCs w:val="22"/>
          <w:lang w:val="en-GB" w:eastAsia="ja-JP"/>
        </w:rPr>
        <w:t xml:space="preserve"> is a pathogen in wild birds, linked to recent declines in finch (Fringillidae) populations across Europe (Robinson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2010). Globally, the main hosts for this parasite are species of </w:t>
      </w:r>
      <w:r w:rsidRPr="00C96521">
        <w:rPr>
          <w:rFonts w:eastAsia="MS Mincho" w:cs="Arial"/>
          <w:i/>
          <w:sz w:val="20"/>
          <w:szCs w:val="22"/>
          <w:lang w:val="en-GB" w:eastAsia="ja-JP"/>
        </w:rPr>
        <w:t>Columbidae</w:t>
      </w:r>
      <w:r w:rsidRPr="00C96521">
        <w:rPr>
          <w:rFonts w:eastAsia="MS Mincho" w:cs="Arial"/>
          <w:sz w:val="20"/>
          <w:szCs w:val="22"/>
          <w:lang w:val="en-GB" w:eastAsia="ja-JP"/>
        </w:rPr>
        <w:t xml:space="preserve"> (doves and pigeons). Recent work has shown that almost all wild </w:t>
      </w:r>
      <w:r w:rsidR="00A922B2">
        <w:rPr>
          <w:rFonts w:eastAsia="MS Mincho"/>
          <w:sz w:val="20"/>
          <w:szCs w:val="22"/>
          <w:lang w:val="en-GB" w:eastAsia="ja-JP"/>
        </w:rPr>
        <w:t>T</w:t>
      </w:r>
      <w:r w:rsidR="00A922B2" w:rsidRPr="00C96521">
        <w:rPr>
          <w:rFonts w:eastAsia="MS Mincho"/>
          <w:sz w:val="20"/>
          <w:szCs w:val="22"/>
          <w:lang w:val="en-GB" w:eastAsia="ja-JP"/>
        </w:rPr>
        <w:t>urtle</w:t>
      </w:r>
      <w:r w:rsidR="00A922B2">
        <w:rPr>
          <w:rFonts w:eastAsia="MS Mincho"/>
          <w:sz w:val="20"/>
          <w:szCs w:val="22"/>
          <w:lang w:val="en-GB" w:eastAsia="ja-JP"/>
        </w:rPr>
        <w:t xml:space="preserve"> D</w:t>
      </w:r>
      <w:r w:rsidR="00A922B2" w:rsidRPr="00C96521">
        <w:rPr>
          <w:rFonts w:eastAsia="MS Mincho"/>
          <w:sz w:val="20"/>
          <w:szCs w:val="22"/>
          <w:lang w:val="en-GB" w:eastAsia="ja-JP"/>
        </w:rPr>
        <w:t>ove</w:t>
      </w:r>
      <w:r w:rsidR="00A922B2">
        <w:rPr>
          <w:rFonts w:eastAsia="MS Mincho"/>
          <w:sz w:val="20"/>
          <w:szCs w:val="22"/>
          <w:lang w:val="en-GB" w:eastAsia="ja-JP"/>
        </w:rPr>
        <w:t>s</w:t>
      </w:r>
      <w:r w:rsidR="00A922B2" w:rsidRPr="00C96521">
        <w:rPr>
          <w:rFonts w:eastAsia="MS Mincho"/>
          <w:sz w:val="20"/>
          <w:szCs w:val="22"/>
          <w:lang w:val="en-GB" w:eastAsia="ja-JP"/>
        </w:rPr>
        <w:t xml:space="preserve"> </w:t>
      </w:r>
      <w:r w:rsidRPr="00C96521">
        <w:rPr>
          <w:rFonts w:eastAsia="MS Mincho" w:cs="Arial"/>
          <w:sz w:val="20"/>
          <w:szCs w:val="22"/>
          <w:lang w:val="en-GB" w:eastAsia="ja-JP"/>
        </w:rPr>
        <w:t xml:space="preserve">sampled (France, the UK, Burkina Faso and Senegal) were infected, whether showing clinical signs or not, and that lesions can cause mortality in both adults and nestlings through subsequent starvation and/or suffocation (Lennon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2013, Stockdale </w:t>
      </w:r>
      <w:r w:rsidRPr="00C96521">
        <w:rPr>
          <w:rFonts w:eastAsia="MS Mincho" w:cs="Arial"/>
          <w:i/>
          <w:sz w:val="20"/>
          <w:szCs w:val="22"/>
          <w:lang w:val="en-GB" w:eastAsia="ja-JP"/>
        </w:rPr>
        <w:t xml:space="preserve">et al </w:t>
      </w:r>
      <w:r w:rsidRPr="00C96521">
        <w:rPr>
          <w:rFonts w:eastAsia="MS Mincho" w:cs="Arial"/>
          <w:sz w:val="20"/>
          <w:szCs w:val="22"/>
          <w:lang w:val="en-GB" w:eastAsia="ja-JP"/>
        </w:rPr>
        <w:t xml:space="preserve">2015, Dunn </w:t>
      </w:r>
      <w:r w:rsidRPr="00C96521">
        <w:rPr>
          <w:rFonts w:eastAsia="MS Mincho" w:cs="Arial"/>
          <w:i/>
          <w:sz w:val="20"/>
          <w:szCs w:val="22"/>
          <w:lang w:val="en-GB" w:eastAsia="ja-JP"/>
        </w:rPr>
        <w:t>et al</w:t>
      </w:r>
      <w:r w:rsidRPr="00C96521">
        <w:rPr>
          <w:rFonts w:eastAsia="MS Mincho" w:cs="Arial"/>
          <w:sz w:val="20"/>
          <w:szCs w:val="22"/>
          <w:lang w:val="en-GB" w:eastAsia="ja-JP"/>
        </w:rPr>
        <w:t xml:space="preserve"> 2016b). In the UK, a single strain of </w:t>
      </w:r>
      <w:r w:rsidRPr="00C96521">
        <w:rPr>
          <w:rFonts w:eastAsia="MS Mincho" w:cs="Arial"/>
          <w:i/>
          <w:sz w:val="20"/>
          <w:szCs w:val="22"/>
          <w:lang w:val="en-GB" w:eastAsia="ja-JP"/>
        </w:rPr>
        <w:t>T. gallinae</w:t>
      </w:r>
      <w:r w:rsidRPr="00C96521">
        <w:rPr>
          <w:rFonts w:eastAsia="MS Mincho" w:cs="Arial"/>
          <w:sz w:val="20"/>
          <w:szCs w:val="22"/>
          <w:lang w:val="en-GB" w:eastAsia="ja-JP"/>
        </w:rPr>
        <w:t xml:space="preserve"> has accounted for all known mortality in </w:t>
      </w:r>
      <w:r w:rsidR="00A922B2">
        <w:rPr>
          <w:rFonts w:eastAsia="MS Mincho"/>
          <w:sz w:val="20"/>
          <w:szCs w:val="22"/>
          <w:lang w:val="en-GB" w:eastAsia="ja-JP"/>
        </w:rPr>
        <w:t>T</w:t>
      </w:r>
      <w:r w:rsidR="00A922B2" w:rsidRPr="00C96521">
        <w:rPr>
          <w:rFonts w:eastAsia="MS Mincho"/>
          <w:sz w:val="20"/>
          <w:szCs w:val="22"/>
          <w:lang w:val="en-GB" w:eastAsia="ja-JP"/>
        </w:rPr>
        <w:t>urtle</w:t>
      </w:r>
      <w:r w:rsidR="00A922B2">
        <w:rPr>
          <w:rFonts w:eastAsia="MS Mincho"/>
          <w:sz w:val="20"/>
          <w:szCs w:val="22"/>
          <w:lang w:val="en-GB" w:eastAsia="ja-JP"/>
        </w:rPr>
        <w:t xml:space="preserve"> D</w:t>
      </w:r>
      <w:r w:rsidR="00A922B2" w:rsidRPr="00C96521">
        <w:rPr>
          <w:rFonts w:eastAsia="MS Mincho"/>
          <w:sz w:val="20"/>
          <w:szCs w:val="22"/>
          <w:lang w:val="en-GB" w:eastAsia="ja-JP"/>
        </w:rPr>
        <w:t>ove</w:t>
      </w:r>
      <w:r w:rsidR="00A922B2">
        <w:rPr>
          <w:rFonts w:eastAsia="MS Mincho"/>
          <w:sz w:val="20"/>
          <w:szCs w:val="22"/>
          <w:lang w:val="en-GB" w:eastAsia="ja-JP"/>
        </w:rPr>
        <w:t>s</w:t>
      </w:r>
      <w:r w:rsidRPr="00C96521">
        <w:rPr>
          <w:rFonts w:eastAsia="MS Mincho" w:cs="Arial"/>
          <w:sz w:val="20"/>
          <w:szCs w:val="22"/>
          <w:lang w:val="en-GB" w:eastAsia="ja-JP"/>
        </w:rPr>
        <w:t xml:space="preserve">. This strain is the same as that found in </w:t>
      </w:r>
      <w:r w:rsidR="00A922B2">
        <w:rPr>
          <w:rFonts w:eastAsia="MS Mincho" w:cs="Arial"/>
          <w:sz w:val="20"/>
          <w:szCs w:val="22"/>
          <w:lang w:val="en-GB" w:eastAsia="ja-JP"/>
        </w:rPr>
        <w:t>G</w:t>
      </w:r>
      <w:r w:rsidRPr="00C96521">
        <w:rPr>
          <w:rFonts w:eastAsia="MS Mincho" w:cs="Arial"/>
          <w:sz w:val="20"/>
          <w:szCs w:val="22"/>
          <w:lang w:val="en-GB" w:eastAsia="ja-JP"/>
        </w:rPr>
        <w:t>reenfinches (</w:t>
      </w:r>
      <w:r w:rsidRPr="00C96521">
        <w:rPr>
          <w:rFonts w:eastAsia="MS Mincho" w:cs="Arial"/>
          <w:i/>
          <w:sz w:val="20"/>
          <w:szCs w:val="22"/>
          <w:lang w:val="en-GB" w:eastAsia="ja-JP"/>
        </w:rPr>
        <w:t>Chloris chloris</w:t>
      </w:r>
      <w:r w:rsidRPr="00C96521">
        <w:rPr>
          <w:rFonts w:eastAsia="MS Mincho" w:cs="Arial"/>
          <w:sz w:val="20"/>
          <w:szCs w:val="22"/>
          <w:lang w:val="en-GB" w:eastAsia="ja-JP"/>
        </w:rPr>
        <w:t xml:space="preserve">), and is known to have population-level effects. Wild birds are more likely to be infected where supplementary food is provided for game birds. There is also the possibility of cross-infection from collared doves at foraging sites. The implications (alone or in combination with other threats) for </w:t>
      </w:r>
      <w:r w:rsidR="00A922B2">
        <w:rPr>
          <w:rFonts w:eastAsia="MS Mincho"/>
          <w:sz w:val="20"/>
          <w:szCs w:val="22"/>
          <w:lang w:val="en-GB" w:eastAsia="ja-JP"/>
        </w:rPr>
        <w:t>T</w:t>
      </w:r>
      <w:r w:rsidR="00A922B2" w:rsidRPr="00C96521">
        <w:rPr>
          <w:rFonts w:eastAsia="MS Mincho"/>
          <w:sz w:val="20"/>
          <w:szCs w:val="22"/>
          <w:lang w:val="en-GB" w:eastAsia="ja-JP"/>
        </w:rPr>
        <w:t>urtle</w:t>
      </w:r>
      <w:r w:rsidR="00A922B2">
        <w:rPr>
          <w:rFonts w:eastAsia="MS Mincho"/>
          <w:sz w:val="20"/>
          <w:szCs w:val="22"/>
          <w:lang w:val="en-GB" w:eastAsia="ja-JP"/>
        </w:rPr>
        <w:t xml:space="preserve"> D</w:t>
      </w:r>
      <w:r w:rsidR="00A922B2" w:rsidRPr="00C96521">
        <w:rPr>
          <w:rFonts w:eastAsia="MS Mincho"/>
          <w:sz w:val="20"/>
          <w:szCs w:val="22"/>
          <w:lang w:val="en-GB" w:eastAsia="ja-JP"/>
        </w:rPr>
        <w:t xml:space="preserve">ove </w:t>
      </w:r>
      <w:r w:rsidRPr="00C96521">
        <w:rPr>
          <w:rFonts w:eastAsia="MS Mincho" w:cs="Arial"/>
          <w:sz w:val="20"/>
          <w:szCs w:val="22"/>
          <w:lang w:val="en-GB" w:eastAsia="ja-JP"/>
        </w:rPr>
        <w:t xml:space="preserve">populations are unclear. </w:t>
      </w:r>
    </w:p>
    <w:p w14:paraId="2219627F" w14:textId="77777777" w:rsidR="00C96521" w:rsidRPr="00C96521" w:rsidRDefault="00C96521" w:rsidP="00C96521">
      <w:pPr>
        <w:widowControl/>
        <w:autoSpaceDE/>
        <w:autoSpaceDN/>
        <w:adjustRightInd/>
        <w:spacing w:line="276" w:lineRule="auto"/>
        <w:rPr>
          <w:rFonts w:eastAsia="MS Mincho"/>
          <w:sz w:val="20"/>
          <w:szCs w:val="22"/>
          <w:lang w:val="en-GB" w:eastAsia="ja-JP"/>
        </w:rPr>
        <w:sectPr w:rsidR="00C96521" w:rsidRPr="00C96521" w:rsidSect="00C96521">
          <w:pgSz w:w="11920" w:h="16840"/>
          <w:pgMar w:top="1276" w:right="1300" w:bottom="920" w:left="1300" w:header="730" w:footer="738" w:gutter="0"/>
          <w:cols w:space="720"/>
          <w:docGrid w:linePitch="299"/>
        </w:sectPr>
      </w:pPr>
    </w:p>
    <w:p w14:paraId="42E465B9"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F1F3DE7" w14:textId="77777777" w:rsidR="00C96521" w:rsidRPr="00C96521" w:rsidRDefault="00C96521" w:rsidP="00C96521">
      <w:pPr>
        <w:keepNext/>
        <w:keepLines/>
        <w:widowControl/>
        <w:autoSpaceDE/>
        <w:autoSpaceDN/>
        <w:adjustRightInd/>
        <w:spacing w:before="200" w:line="276" w:lineRule="auto"/>
        <w:outlineLvl w:val="1"/>
        <w:rPr>
          <w:rFonts w:ascii="Cambria" w:eastAsia="MS Gothic" w:hAnsi="Cambria"/>
          <w:b/>
          <w:bCs/>
          <w:color w:val="4F81BD"/>
          <w:sz w:val="26"/>
          <w:szCs w:val="26"/>
          <w:lang w:val="en-GB" w:eastAsia="ja-JP"/>
        </w:rPr>
      </w:pPr>
      <w:bookmarkStart w:id="33" w:name="_Toc478646918"/>
      <w:r w:rsidRPr="00C96521">
        <w:rPr>
          <w:rFonts w:ascii="Cambria" w:eastAsia="MS Gothic" w:hAnsi="Cambria"/>
          <w:b/>
          <w:bCs/>
          <w:color w:val="4F81BD"/>
          <w:sz w:val="26"/>
          <w:szCs w:val="26"/>
          <w:lang w:val="en-GB" w:eastAsia="ja-JP"/>
        </w:rPr>
        <w:t>Problem tree</w:t>
      </w:r>
      <w:bookmarkEnd w:id="33"/>
    </w:p>
    <w:p w14:paraId="7C969CA2"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3903EB43" w14:textId="77777777" w:rsidR="00C96521" w:rsidRPr="00C96521" w:rsidRDefault="00C96521" w:rsidP="00C96521">
      <w:pPr>
        <w:widowControl/>
        <w:autoSpaceDE/>
        <w:autoSpaceDN/>
        <w:adjustRightInd/>
        <w:spacing w:line="276" w:lineRule="auto"/>
        <w:rPr>
          <w:rFonts w:eastAsia="MS Mincho"/>
          <w:sz w:val="20"/>
          <w:szCs w:val="22"/>
          <w:lang w:val="en-GB" w:eastAsia="ja-JP"/>
        </w:rPr>
        <w:sectPr w:rsidR="00C96521" w:rsidRPr="00C96521" w:rsidSect="00C96521">
          <w:pgSz w:w="16840" w:h="11920" w:orient="landscape"/>
          <w:pgMar w:top="1300" w:right="920" w:bottom="1300" w:left="1276" w:header="730" w:footer="738" w:gutter="0"/>
          <w:cols w:space="720"/>
          <w:titlePg/>
          <w:docGrid w:linePitch="299"/>
        </w:sectPr>
      </w:pPr>
      <w:r w:rsidRPr="00C96521">
        <w:rPr>
          <w:rFonts w:eastAsia="MS Mincho"/>
          <w:sz w:val="20"/>
          <w:szCs w:val="22"/>
          <w:lang w:val="en-GB" w:eastAsia="ja-JP"/>
        </w:rPr>
        <w:object w:dxaOrig="7206" w:dyaOrig="5397" w14:anchorId="34925B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1.25pt;height:381.75pt" o:ole="">
            <v:imagedata r:id="rId48" o:title=""/>
          </v:shape>
          <o:OLEObject Type="Embed" ProgID="PowerPoint.Slide.12" ShapeID="_x0000_i1025" DrawAspect="Content" ObjectID="_1557744585" r:id="rId49"/>
        </w:object>
      </w:r>
    </w:p>
    <w:p w14:paraId="66653F48" w14:textId="77777777" w:rsidR="00C96521" w:rsidRPr="00C96521" w:rsidRDefault="00C96521" w:rsidP="00C96521">
      <w:pPr>
        <w:keepNext/>
        <w:keepLines/>
        <w:widowControl/>
        <w:autoSpaceDE/>
        <w:autoSpaceDN/>
        <w:adjustRightInd/>
        <w:spacing w:before="480" w:line="276" w:lineRule="auto"/>
        <w:outlineLvl w:val="0"/>
        <w:rPr>
          <w:rFonts w:eastAsia="MS Gothic"/>
          <w:b/>
          <w:bCs/>
          <w:color w:val="365F91"/>
          <w:sz w:val="32"/>
          <w:szCs w:val="28"/>
          <w:lang w:val="en-GB" w:eastAsia="ja-JP"/>
        </w:rPr>
      </w:pPr>
      <w:bookmarkStart w:id="34" w:name="_Toc478646919"/>
      <w:r w:rsidRPr="00C96521">
        <w:rPr>
          <w:rFonts w:eastAsia="MS Gothic"/>
          <w:b/>
          <w:bCs/>
          <w:color w:val="365F91"/>
          <w:sz w:val="32"/>
          <w:szCs w:val="28"/>
          <w:lang w:val="en-GB" w:eastAsia="ja-JP"/>
        </w:rPr>
        <w:t>Annex 3: JUSTIFICATION OF CONSERVATION and/or MANAGEMENT OBJECTIVES</w:t>
      </w:r>
      <w:bookmarkEnd w:id="34"/>
    </w:p>
    <w:p w14:paraId="5539941B"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CF3BFAE" w14:textId="5A739360" w:rsidR="00C96521" w:rsidRPr="00C96521" w:rsidRDefault="00C96521" w:rsidP="00C96521">
      <w:pPr>
        <w:widowControl/>
        <w:autoSpaceDE/>
        <w:autoSpaceDN/>
        <w:adjustRightInd/>
        <w:spacing w:line="276" w:lineRule="auto"/>
        <w:rPr>
          <w:rFonts w:eastAsia="MS Mincho"/>
          <w:color w:val="FF0000"/>
          <w:sz w:val="20"/>
          <w:szCs w:val="22"/>
          <w:lang w:val="en-GB" w:eastAsia="ja-JP"/>
        </w:rPr>
      </w:pPr>
      <w:r w:rsidRPr="00C96521">
        <w:rPr>
          <w:rFonts w:eastAsia="MS Mincho"/>
          <w:color w:val="FF0000"/>
          <w:sz w:val="20"/>
          <w:szCs w:val="22"/>
          <w:lang w:val="en-GB" w:eastAsia="ja-JP"/>
        </w:rPr>
        <w:t>[Editors' note: work to develop appropriate ha</w:t>
      </w:r>
      <w:r w:rsidR="00CB5111">
        <w:rPr>
          <w:rFonts w:eastAsia="MS Mincho"/>
          <w:color w:val="FF0000"/>
          <w:sz w:val="20"/>
          <w:szCs w:val="22"/>
          <w:lang w:val="en-GB" w:eastAsia="ja-JP"/>
        </w:rPr>
        <w:t>bitat-based actions for Turtle D</w:t>
      </w:r>
      <w:r w:rsidRPr="00C96521">
        <w:rPr>
          <w:rFonts w:eastAsia="MS Mincho"/>
          <w:color w:val="FF0000"/>
          <w:sz w:val="20"/>
          <w:szCs w:val="22"/>
          <w:lang w:val="en-GB" w:eastAsia="ja-JP"/>
        </w:rPr>
        <w:t>ove is ongoing during the consultation on this first draft]</w:t>
      </w:r>
    </w:p>
    <w:p w14:paraId="4E0D30F4" w14:textId="031CACE8" w:rsidR="00C96521" w:rsidRPr="00C96521" w:rsidRDefault="00C96521" w:rsidP="00C96521">
      <w:pPr>
        <w:keepNext/>
        <w:keepLines/>
        <w:widowControl/>
        <w:autoSpaceDE/>
        <w:autoSpaceDN/>
        <w:adjustRightInd/>
        <w:spacing w:before="200" w:line="276" w:lineRule="auto"/>
        <w:outlineLvl w:val="1"/>
        <w:rPr>
          <w:rFonts w:ascii="Cambria" w:eastAsia="MS Gothic" w:hAnsi="Cambria"/>
          <w:b/>
          <w:bCs/>
          <w:color w:val="4F81BD"/>
          <w:sz w:val="26"/>
          <w:szCs w:val="26"/>
          <w:lang w:val="en-GB" w:eastAsia="ja-JP"/>
        </w:rPr>
      </w:pPr>
      <w:bookmarkStart w:id="35" w:name="_Toc478646920"/>
      <w:r w:rsidRPr="00C96521">
        <w:rPr>
          <w:rFonts w:ascii="Cambria" w:eastAsia="MS Gothic" w:hAnsi="Cambria"/>
          <w:b/>
          <w:bCs/>
          <w:color w:val="4F81BD"/>
          <w:sz w:val="26"/>
          <w:szCs w:val="26"/>
          <w:lang w:val="en-GB" w:eastAsia="ja-JP"/>
        </w:rPr>
        <w:t>Habitat Creation and Management for Turtle</w:t>
      </w:r>
      <w:r w:rsidR="00085172">
        <w:rPr>
          <w:rFonts w:ascii="Cambria" w:eastAsia="MS Gothic" w:hAnsi="Cambria"/>
          <w:b/>
          <w:bCs/>
          <w:color w:val="4F81BD"/>
          <w:sz w:val="26"/>
          <w:szCs w:val="26"/>
          <w:lang w:val="en-GB" w:eastAsia="ja-JP"/>
        </w:rPr>
        <w:t xml:space="preserve"> D</w:t>
      </w:r>
      <w:r w:rsidRPr="00C96521">
        <w:rPr>
          <w:rFonts w:ascii="Cambria" w:eastAsia="MS Gothic" w:hAnsi="Cambria"/>
          <w:b/>
          <w:bCs/>
          <w:color w:val="4F81BD"/>
          <w:sz w:val="26"/>
          <w:szCs w:val="26"/>
          <w:lang w:val="en-GB" w:eastAsia="ja-JP"/>
        </w:rPr>
        <w:t>oves on the European Breeding Grounds: case studies of option research, development and deployment from the UK</w:t>
      </w:r>
      <w:bookmarkEnd w:id="35"/>
    </w:p>
    <w:p w14:paraId="6B1BEA10"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8EF5775"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Tony Morris, RSPB</w:t>
      </w:r>
    </w:p>
    <w:p w14:paraId="00FAEFDC" w14:textId="77777777" w:rsidR="00C96521" w:rsidRPr="00C96521" w:rsidRDefault="00C96521" w:rsidP="00C96521">
      <w:pPr>
        <w:widowControl/>
        <w:autoSpaceDE/>
        <w:autoSpaceDN/>
        <w:adjustRightInd/>
        <w:rPr>
          <w:rFonts w:eastAsia="MS Mincho" w:cs="Arial"/>
          <w:sz w:val="20"/>
          <w:szCs w:val="20"/>
          <w:lang w:val="en-GB" w:eastAsia="ja-JP"/>
        </w:rPr>
      </w:pPr>
      <w:r w:rsidRPr="00C96521">
        <w:rPr>
          <w:rFonts w:eastAsia="MS Mincho" w:cs="Arial"/>
          <w:sz w:val="20"/>
          <w:szCs w:val="20"/>
          <w:lang w:val="en-GB" w:eastAsia="ja-JP"/>
        </w:rPr>
        <w:t xml:space="preserve"> </w:t>
      </w:r>
    </w:p>
    <w:p w14:paraId="35D081EC" w14:textId="03676F35"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Studies in the UK have shown that European </w:t>
      </w:r>
      <w:r w:rsidR="00085172">
        <w:rPr>
          <w:rFonts w:eastAsia="MS Mincho"/>
          <w:sz w:val="20"/>
          <w:szCs w:val="22"/>
          <w:lang w:val="en-GB" w:eastAsia="ja-JP"/>
        </w:rPr>
        <w:t>T</w:t>
      </w:r>
      <w:r w:rsidR="00085172" w:rsidRPr="00C96521">
        <w:rPr>
          <w:rFonts w:eastAsia="MS Mincho"/>
          <w:sz w:val="20"/>
          <w:szCs w:val="22"/>
          <w:lang w:val="en-GB" w:eastAsia="ja-JP"/>
        </w:rPr>
        <w:t>urtle</w:t>
      </w:r>
      <w:r w:rsidR="00085172">
        <w:rPr>
          <w:rFonts w:eastAsia="MS Mincho"/>
          <w:sz w:val="20"/>
          <w:szCs w:val="22"/>
          <w:lang w:val="en-GB" w:eastAsia="ja-JP"/>
        </w:rPr>
        <w:t xml:space="preserve"> D</w:t>
      </w:r>
      <w:r w:rsidR="00085172" w:rsidRPr="00C96521">
        <w:rPr>
          <w:rFonts w:eastAsia="MS Mincho"/>
          <w:sz w:val="20"/>
          <w:szCs w:val="22"/>
          <w:lang w:val="en-GB" w:eastAsia="ja-JP"/>
        </w:rPr>
        <w:t>ove</w:t>
      </w:r>
      <w:r w:rsidR="00085172">
        <w:rPr>
          <w:rFonts w:eastAsia="MS Mincho"/>
          <w:sz w:val="20"/>
          <w:szCs w:val="22"/>
          <w:lang w:val="en-GB" w:eastAsia="ja-JP"/>
        </w:rPr>
        <w:t>s</w:t>
      </w:r>
      <w:r w:rsidR="00085172" w:rsidRPr="00C96521">
        <w:rPr>
          <w:rFonts w:eastAsia="MS Mincho"/>
          <w:sz w:val="20"/>
          <w:szCs w:val="22"/>
          <w:lang w:val="en-GB" w:eastAsia="ja-JP"/>
        </w:rPr>
        <w:t xml:space="preserve"> </w:t>
      </w:r>
      <w:r w:rsidRPr="00C96521">
        <w:rPr>
          <w:rFonts w:eastAsia="MS Mincho"/>
          <w:sz w:val="20"/>
          <w:szCs w:val="22"/>
          <w:lang w:val="en-GB" w:eastAsia="ja-JP"/>
        </w:rPr>
        <w:t xml:space="preserve">have shorter breeding seasons (by 12 days) and only produce one-third to a half of the number of clutches and young per pair than they did in the 1960s (Browne and Aebischer 2003b; 2004). This is almost certainly linked to a shortage of food, particularly during the first part of the breeding season, before the seeds from arable crops become available (Browne and Aebischer 2003a). It is also likely to be the reason that birds have been recorded travelling long distances to find food and for the number of recent records of use of garden bird feeding stations (Browne and Aebischer 2003b, RSPB </w:t>
      </w:r>
      <w:r w:rsidRPr="00C96521">
        <w:rPr>
          <w:rFonts w:eastAsia="MS Mincho"/>
          <w:i/>
          <w:sz w:val="20"/>
          <w:szCs w:val="22"/>
          <w:lang w:val="en-GB" w:eastAsia="ja-JP"/>
        </w:rPr>
        <w:t>unpublished data</w:t>
      </w:r>
      <w:r w:rsidRPr="00C96521">
        <w:rPr>
          <w:rFonts w:eastAsia="MS Mincho"/>
          <w:sz w:val="20"/>
          <w:szCs w:val="22"/>
          <w:lang w:val="en-GB" w:eastAsia="ja-JP"/>
        </w:rPr>
        <w:t>). This has led to a truncation of the breeding season, with an earlier departure date in autumn, so that pairs now average 1.5-2.1 clutches per season, as opposed to 3 in the 1960s. This has significantly reduced the number of chicks fledged per pair per breeding season, from 2.1 in the 1960s to 1.3 in the late 1990s (Browne and Aebischer 2004). This change alone largely accounts for the observed decline in the UK breeding population, and therefore the underlying cause is primarily changes in farming practices, especially those which have reduced the abundance and diversity of arable flora, such as the increased use of agro-chemicals and the switch from spring to autumn-sowing of crops.</w:t>
      </w:r>
    </w:p>
    <w:p w14:paraId="1B14FAA7"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EE0954A" w14:textId="76AA409D"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English case studies on Agri-environment Option research, development, and deployment (via Agri-environment Schemes) illustrate some of the management techniques that may provide suitable nesting and foraging habitat. Since 2015, a package of Agri-environment Options for </w:t>
      </w:r>
      <w:r w:rsidR="00085172">
        <w:rPr>
          <w:rFonts w:eastAsia="MS Mincho"/>
          <w:sz w:val="20"/>
          <w:szCs w:val="22"/>
          <w:lang w:val="en-GB" w:eastAsia="ja-JP"/>
        </w:rPr>
        <w:t>T</w:t>
      </w:r>
      <w:r w:rsidR="00085172" w:rsidRPr="00C96521">
        <w:rPr>
          <w:rFonts w:eastAsia="MS Mincho"/>
          <w:sz w:val="20"/>
          <w:szCs w:val="22"/>
          <w:lang w:val="en-GB" w:eastAsia="ja-JP"/>
        </w:rPr>
        <w:t>urtle</w:t>
      </w:r>
      <w:r w:rsidR="00085172">
        <w:rPr>
          <w:rFonts w:eastAsia="MS Mincho"/>
          <w:sz w:val="20"/>
          <w:szCs w:val="22"/>
          <w:lang w:val="en-GB" w:eastAsia="ja-JP"/>
        </w:rPr>
        <w:t xml:space="preserve"> D</w:t>
      </w:r>
      <w:r w:rsidR="00085172" w:rsidRPr="00C96521">
        <w:rPr>
          <w:rFonts w:eastAsia="MS Mincho"/>
          <w:sz w:val="20"/>
          <w:szCs w:val="22"/>
          <w:lang w:val="en-GB" w:eastAsia="ja-JP"/>
        </w:rPr>
        <w:t>ove</w:t>
      </w:r>
      <w:r w:rsidR="00085172">
        <w:rPr>
          <w:rFonts w:eastAsia="MS Mincho"/>
          <w:sz w:val="20"/>
          <w:szCs w:val="22"/>
          <w:lang w:val="en-GB" w:eastAsia="ja-JP"/>
        </w:rPr>
        <w:t>s</w:t>
      </w:r>
      <w:r w:rsidR="00085172" w:rsidRPr="00C96521">
        <w:rPr>
          <w:rFonts w:eastAsia="MS Mincho"/>
          <w:sz w:val="20"/>
          <w:szCs w:val="22"/>
          <w:lang w:val="en-GB" w:eastAsia="ja-JP"/>
        </w:rPr>
        <w:t xml:space="preserve"> </w:t>
      </w:r>
      <w:r w:rsidRPr="00C96521">
        <w:rPr>
          <w:rFonts w:eastAsia="MS Mincho"/>
          <w:sz w:val="20"/>
          <w:szCs w:val="22"/>
          <w:lang w:val="en-GB" w:eastAsia="ja-JP"/>
        </w:rPr>
        <w:t xml:space="preserve">has been available in the </w:t>
      </w:r>
      <w:r w:rsidRPr="00C96521">
        <w:rPr>
          <w:rFonts w:eastAsia="MS Mincho"/>
          <w:i/>
          <w:sz w:val="20"/>
          <w:szCs w:val="22"/>
          <w:lang w:val="en-GB" w:eastAsia="ja-JP"/>
        </w:rPr>
        <w:t>Higher Tier</w:t>
      </w:r>
      <w:r w:rsidRPr="00C96521">
        <w:rPr>
          <w:rFonts w:eastAsia="MS Mincho"/>
          <w:sz w:val="20"/>
          <w:szCs w:val="22"/>
          <w:lang w:val="en-GB" w:eastAsia="ja-JP"/>
        </w:rPr>
        <w:t xml:space="preserve"> of the Countryside Stewardship Scheme to qualifying landowners/managers in England. Some of these require further development to </w:t>
      </w:r>
      <w:r w:rsidR="00085172" w:rsidRPr="00C96521">
        <w:rPr>
          <w:rFonts w:eastAsia="MS Mincho"/>
          <w:sz w:val="20"/>
          <w:szCs w:val="22"/>
          <w:lang w:val="en-GB" w:eastAsia="ja-JP"/>
        </w:rPr>
        <w:t>optimi</w:t>
      </w:r>
      <w:r w:rsidR="00085172">
        <w:rPr>
          <w:rFonts w:eastAsia="MS Mincho"/>
          <w:sz w:val="20"/>
          <w:szCs w:val="22"/>
          <w:lang w:val="en-GB" w:eastAsia="ja-JP"/>
        </w:rPr>
        <w:t>z</w:t>
      </w:r>
      <w:r w:rsidR="00085172" w:rsidRPr="00C96521">
        <w:rPr>
          <w:rFonts w:eastAsia="MS Mincho"/>
          <w:sz w:val="20"/>
          <w:szCs w:val="22"/>
          <w:lang w:val="en-GB" w:eastAsia="ja-JP"/>
        </w:rPr>
        <w:t xml:space="preserve">e </w:t>
      </w:r>
      <w:r w:rsidRPr="00C96521">
        <w:rPr>
          <w:rFonts w:eastAsia="MS Mincho"/>
          <w:sz w:val="20"/>
          <w:szCs w:val="22"/>
          <w:lang w:val="en-GB" w:eastAsia="ja-JP"/>
        </w:rPr>
        <w:t>their potential, but nevertheless they provide case studies into some of the pitfalls of habitat creation. Other habitat types of potential value (e</w:t>
      </w:r>
      <w:r w:rsidR="00085172">
        <w:rPr>
          <w:rFonts w:eastAsia="MS Mincho"/>
          <w:sz w:val="20"/>
          <w:szCs w:val="22"/>
          <w:lang w:val="en-GB" w:eastAsia="ja-JP"/>
        </w:rPr>
        <w:t>.</w:t>
      </w:r>
      <w:r w:rsidRPr="00C96521">
        <w:rPr>
          <w:rFonts w:eastAsia="MS Mincho"/>
          <w:sz w:val="20"/>
          <w:szCs w:val="22"/>
          <w:lang w:val="en-GB" w:eastAsia="ja-JP"/>
        </w:rPr>
        <w:t>g</w:t>
      </w:r>
      <w:r w:rsidR="00085172">
        <w:rPr>
          <w:rFonts w:eastAsia="MS Mincho"/>
          <w:sz w:val="20"/>
          <w:szCs w:val="22"/>
          <w:lang w:val="en-GB" w:eastAsia="ja-JP"/>
        </w:rPr>
        <w:t>.</w:t>
      </w:r>
      <w:r w:rsidRPr="00C96521">
        <w:rPr>
          <w:rFonts w:eastAsia="MS Mincho"/>
          <w:sz w:val="20"/>
          <w:szCs w:val="22"/>
          <w:lang w:val="en-GB" w:eastAsia="ja-JP"/>
        </w:rPr>
        <w:t xml:space="preserve"> flower-rich low-input grasslands) require research and development before there is confidence in their value to </w:t>
      </w:r>
      <w:r w:rsidR="00085172">
        <w:rPr>
          <w:rFonts w:eastAsia="MS Mincho"/>
          <w:sz w:val="20"/>
          <w:szCs w:val="22"/>
          <w:lang w:val="en-GB" w:eastAsia="ja-JP"/>
        </w:rPr>
        <w:t>T</w:t>
      </w:r>
      <w:r w:rsidR="00085172" w:rsidRPr="00C96521">
        <w:rPr>
          <w:rFonts w:eastAsia="MS Mincho"/>
          <w:sz w:val="20"/>
          <w:szCs w:val="22"/>
          <w:lang w:val="en-GB" w:eastAsia="ja-JP"/>
        </w:rPr>
        <w:t>urtle</w:t>
      </w:r>
      <w:r w:rsidR="00085172">
        <w:rPr>
          <w:rFonts w:eastAsia="MS Mincho"/>
          <w:sz w:val="20"/>
          <w:szCs w:val="22"/>
          <w:lang w:val="en-GB" w:eastAsia="ja-JP"/>
        </w:rPr>
        <w:t xml:space="preserve"> D</w:t>
      </w:r>
      <w:r w:rsidR="00085172" w:rsidRPr="00C96521">
        <w:rPr>
          <w:rFonts w:eastAsia="MS Mincho"/>
          <w:sz w:val="20"/>
          <w:szCs w:val="22"/>
          <w:lang w:val="en-GB" w:eastAsia="ja-JP"/>
        </w:rPr>
        <w:t>ove</w:t>
      </w:r>
      <w:r w:rsidR="00085172">
        <w:rPr>
          <w:rFonts w:eastAsia="MS Mincho"/>
          <w:sz w:val="20"/>
          <w:szCs w:val="22"/>
          <w:lang w:val="en-GB" w:eastAsia="ja-JP"/>
        </w:rPr>
        <w:t>s</w:t>
      </w:r>
      <w:r w:rsidRPr="00C96521">
        <w:rPr>
          <w:rFonts w:eastAsia="MS Mincho"/>
          <w:sz w:val="20"/>
          <w:szCs w:val="22"/>
          <w:lang w:val="en-GB" w:eastAsia="ja-JP"/>
        </w:rPr>
        <w:t xml:space="preserve">. In all cases, the techniques have only been trialled (and in some cases rolled out) in England, and further development is needed to determine what forms of habitat management are most appropriate to different areas of Europe. These may vary considerably, for example due to the factors limiting the population, local differences in vegetation, soil, climatic conditions and land management practices that determine suitability and practicality, and policy mechanisms that affect the ability to deploy measures. </w:t>
      </w:r>
    </w:p>
    <w:p w14:paraId="58CBE956"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21C35D96"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Nesting Habitat</w:t>
      </w:r>
    </w:p>
    <w:p w14:paraId="5EEA190F"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55D03EEC" w14:textId="7C7DACC9" w:rsidR="00C96521" w:rsidRPr="00C96521" w:rsidRDefault="00085172" w:rsidP="00C96521">
      <w:pPr>
        <w:widowControl/>
        <w:autoSpaceDE/>
        <w:autoSpaceDN/>
        <w:adjustRightInd/>
        <w:spacing w:line="276" w:lineRule="auto"/>
        <w:rPr>
          <w:rFonts w:eastAsia="MS Mincho"/>
          <w:sz w:val="20"/>
          <w:szCs w:val="22"/>
          <w:lang w:val="en-GB" w:eastAsia="ja-JP"/>
        </w:rPr>
      </w:pPr>
      <w:r>
        <w:rPr>
          <w:rFonts w:eastAsia="MS Mincho"/>
          <w:sz w:val="20"/>
          <w:szCs w:val="22"/>
          <w:lang w:val="en-GB" w:eastAsia="ja-JP"/>
        </w:rPr>
        <w:t>T</w:t>
      </w:r>
      <w:r w:rsidRPr="00C96521">
        <w:rPr>
          <w:rFonts w:eastAsia="MS Mincho"/>
          <w:sz w:val="20"/>
          <w:szCs w:val="22"/>
          <w:lang w:val="en-GB" w:eastAsia="ja-JP"/>
        </w:rPr>
        <w:t>urtle</w:t>
      </w:r>
      <w:r>
        <w:rPr>
          <w:rFonts w:eastAsia="MS Mincho"/>
          <w:sz w:val="20"/>
          <w:szCs w:val="22"/>
          <w:lang w:val="en-GB" w:eastAsia="ja-JP"/>
        </w:rPr>
        <w:t xml:space="preserve"> D</w:t>
      </w:r>
      <w:r w:rsidRPr="00C96521">
        <w:rPr>
          <w:rFonts w:eastAsia="MS Mincho"/>
          <w:sz w:val="20"/>
          <w:szCs w:val="22"/>
          <w:lang w:val="en-GB" w:eastAsia="ja-JP"/>
        </w:rPr>
        <w:t>ove</w:t>
      </w:r>
      <w:r>
        <w:rPr>
          <w:rFonts w:eastAsia="MS Mincho"/>
          <w:sz w:val="20"/>
          <w:szCs w:val="22"/>
          <w:lang w:val="en-GB" w:eastAsia="ja-JP"/>
        </w:rPr>
        <w:t xml:space="preserve">s </w:t>
      </w:r>
      <w:r w:rsidR="00C96521" w:rsidRPr="00C96521">
        <w:rPr>
          <w:rFonts w:eastAsia="MS Mincho"/>
          <w:sz w:val="20"/>
          <w:szCs w:val="22"/>
          <w:lang w:val="en-GB" w:eastAsia="ja-JP"/>
        </w:rPr>
        <w:t>select areas of scrub or hedgerows at least 4m wide and at least 3m tall, especially those containing standard trees for song posts and nest placement (Figure 16). Scrubby edges to banks, watercourses, reservoirs, gravel pits and ponds appear to be particularly selected, although it is unclear whether these wet-edge habitats are favoured solely because they provide good, overgrown nesting habitat (because they are difficult to access to cut and remove wooded vegetation), or because they also provide additional resources, most likely, drinking water (Dunn and Morris 2012).</w:t>
      </w:r>
    </w:p>
    <w:p w14:paraId="310AC1D8"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w:t>
      </w:r>
    </w:p>
    <w:p w14:paraId="04BB5AB5" w14:textId="4D8B1941"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the UK, many species of tree or shrub are used as nest sites, but there is some evidence of selection for thorny shrubs such as </w:t>
      </w:r>
      <w:r w:rsidRPr="00C96521">
        <w:rPr>
          <w:rFonts w:eastAsia="MS Mincho"/>
          <w:i/>
          <w:sz w:val="20"/>
          <w:szCs w:val="22"/>
          <w:lang w:val="en-GB" w:eastAsia="ja-JP"/>
        </w:rPr>
        <w:t>Crataegus</w:t>
      </w:r>
      <w:r w:rsidRPr="00C96521">
        <w:rPr>
          <w:rFonts w:eastAsia="MS Mincho"/>
          <w:sz w:val="20"/>
          <w:szCs w:val="22"/>
          <w:lang w:val="en-GB" w:eastAsia="ja-JP"/>
        </w:rPr>
        <w:t xml:space="preserve"> and </w:t>
      </w:r>
      <w:r w:rsidRPr="00C96521">
        <w:rPr>
          <w:rFonts w:eastAsia="MS Mincho"/>
          <w:i/>
          <w:sz w:val="20"/>
          <w:szCs w:val="22"/>
          <w:lang w:val="en-GB" w:eastAsia="ja-JP"/>
        </w:rPr>
        <w:t>Prunus</w:t>
      </w:r>
      <w:r w:rsidRPr="00C96521">
        <w:rPr>
          <w:rFonts w:eastAsia="MS Mincho"/>
          <w:sz w:val="20"/>
          <w:szCs w:val="22"/>
          <w:lang w:val="en-GB" w:eastAsia="ja-JP"/>
        </w:rPr>
        <w:t xml:space="preserve"> </w:t>
      </w:r>
      <w:r w:rsidRPr="00C96521">
        <w:rPr>
          <w:rFonts w:eastAsia="MS Mincho"/>
          <w:i/>
          <w:sz w:val="20"/>
          <w:szCs w:val="22"/>
          <w:lang w:val="en-GB" w:eastAsia="ja-JP"/>
        </w:rPr>
        <w:t>spp</w:t>
      </w:r>
      <w:r w:rsidRPr="00C96521">
        <w:rPr>
          <w:rFonts w:eastAsia="MS Mincho"/>
          <w:sz w:val="20"/>
          <w:szCs w:val="22"/>
          <w:lang w:val="en-GB" w:eastAsia="ja-JP"/>
        </w:rPr>
        <w:t xml:space="preserve">, often covered with climbers such as </w:t>
      </w:r>
      <w:r w:rsidRPr="00C96521">
        <w:rPr>
          <w:rFonts w:eastAsia="MS Mincho"/>
          <w:i/>
          <w:sz w:val="20"/>
          <w:szCs w:val="22"/>
          <w:lang w:val="en-GB" w:eastAsia="ja-JP"/>
        </w:rPr>
        <w:t>Rosaceae</w:t>
      </w:r>
      <w:r w:rsidRPr="00C96521">
        <w:rPr>
          <w:rFonts w:eastAsia="MS Mincho"/>
          <w:sz w:val="20"/>
          <w:szCs w:val="22"/>
          <w:lang w:val="en-GB" w:eastAsia="ja-JP"/>
        </w:rPr>
        <w:t xml:space="preserve">, </w:t>
      </w:r>
      <w:r w:rsidRPr="00C96521">
        <w:rPr>
          <w:rFonts w:eastAsia="MS Mincho"/>
          <w:i/>
          <w:sz w:val="20"/>
          <w:szCs w:val="22"/>
          <w:lang w:val="en-GB" w:eastAsia="ja-JP"/>
        </w:rPr>
        <w:t>Rubus</w:t>
      </w:r>
      <w:r w:rsidRPr="00C96521">
        <w:rPr>
          <w:rFonts w:eastAsia="MS Mincho"/>
          <w:sz w:val="20"/>
          <w:szCs w:val="22"/>
          <w:lang w:val="en-GB" w:eastAsia="ja-JP"/>
        </w:rPr>
        <w:t xml:space="preserve">, </w:t>
      </w:r>
      <w:r w:rsidRPr="00C96521">
        <w:rPr>
          <w:rFonts w:eastAsia="MS Mincho"/>
          <w:i/>
          <w:sz w:val="20"/>
          <w:szCs w:val="22"/>
          <w:lang w:val="en-GB" w:eastAsia="ja-JP"/>
        </w:rPr>
        <w:t>Hedera</w:t>
      </w:r>
      <w:r w:rsidRPr="00C96521">
        <w:rPr>
          <w:rFonts w:eastAsia="MS Mincho"/>
          <w:sz w:val="20"/>
          <w:szCs w:val="22"/>
          <w:lang w:val="en-GB" w:eastAsia="ja-JP"/>
        </w:rPr>
        <w:t xml:space="preserve"> and </w:t>
      </w:r>
      <w:r w:rsidRPr="00C96521">
        <w:rPr>
          <w:rFonts w:eastAsia="MS Mincho"/>
          <w:i/>
          <w:sz w:val="20"/>
          <w:szCs w:val="22"/>
          <w:lang w:val="en-GB" w:eastAsia="ja-JP"/>
        </w:rPr>
        <w:t>Caprifoliaceae</w:t>
      </w:r>
      <w:r w:rsidRPr="00C96521">
        <w:rPr>
          <w:rFonts w:eastAsia="MS Mincho"/>
          <w:sz w:val="20"/>
          <w:szCs w:val="22"/>
          <w:lang w:val="en-GB" w:eastAsia="ja-JP"/>
        </w:rPr>
        <w:t xml:space="preserve"> </w:t>
      </w:r>
      <w:r w:rsidRPr="00C96521">
        <w:rPr>
          <w:rFonts w:eastAsia="MS Mincho"/>
          <w:i/>
          <w:sz w:val="20"/>
          <w:szCs w:val="22"/>
          <w:lang w:val="en-GB" w:eastAsia="ja-JP"/>
        </w:rPr>
        <w:t>spp</w:t>
      </w:r>
      <w:r w:rsidRPr="00C96521">
        <w:rPr>
          <w:rFonts w:eastAsia="MS Mincho"/>
          <w:sz w:val="20"/>
          <w:szCs w:val="22"/>
          <w:lang w:val="en-GB" w:eastAsia="ja-JP"/>
        </w:rPr>
        <w:t xml:space="preserve">. RSPB research (2011-14) indicates a narrower range of nesting habitats than reported in previous studies such as Browne and Aebischer (2003a), which detailed use of a wider range of habitats, including coniferous trees, old orchards and shorter, frequently cut hedgerows. This narrowing of the range of nesting habitats may reflect a relaxation of density-dependent pressures as the </w:t>
      </w:r>
      <w:r w:rsidR="00085172">
        <w:rPr>
          <w:rFonts w:eastAsia="MS Mincho"/>
          <w:sz w:val="20"/>
          <w:szCs w:val="22"/>
          <w:lang w:val="en-GB" w:eastAsia="ja-JP"/>
        </w:rPr>
        <w:t>T</w:t>
      </w:r>
      <w:r w:rsidR="00085172" w:rsidRPr="00C96521">
        <w:rPr>
          <w:rFonts w:eastAsia="MS Mincho"/>
          <w:sz w:val="20"/>
          <w:szCs w:val="22"/>
          <w:lang w:val="en-GB" w:eastAsia="ja-JP"/>
        </w:rPr>
        <w:t>urtle</w:t>
      </w:r>
      <w:r w:rsidR="00085172">
        <w:rPr>
          <w:rFonts w:eastAsia="MS Mincho"/>
          <w:sz w:val="20"/>
          <w:szCs w:val="22"/>
          <w:lang w:val="en-GB" w:eastAsia="ja-JP"/>
        </w:rPr>
        <w:t xml:space="preserve"> D</w:t>
      </w:r>
      <w:r w:rsidR="00085172" w:rsidRPr="00C96521">
        <w:rPr>
          <w:rFonts w:eastAsia="MS Mincho"/>
          <w:sz w:val="20"/>
          <w:szCs w:val="22"/>
          <w:lang w:val="en-GB" w:eastAsia="ja-JP"/>
        </w:rPr>
        <w:t xml:space="preserve">ove </w:t>
      </w:r>
      <w:r w:rsidRPr="00C96521">
        <w:rPr>
          <w:rFonts w:eastAsia="MS Mincho"/>
          <w:sz w:val="20"/>
          <w:szCs w:val="22"/>
          <w:lang w:val="en-GB" w:eastAsia="ja-JP"/>
        </w:rPr>
        <w:t>population declines, leading to the abandonment of more marginal habitats and greater selection of “preferred” habitats types that are no longer limited.</w:t>
      </w:r>
    </w:p>
    <w:p w14:paraId="22938010"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FA4A308"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noProof/>
          <w:sz w:val="20"/>
          <w:szCs w:val="22"/>
        </w:rPr>
        <w:drawing>
          <wp:inline distT="0" distB="0" distL="0" distR="0" wp14:anchorId="2B0A89D7" wp14:editId="4E56D05A">
            <wp:extent cx="2813755" cy="2088000"/>
            <wp:effectExtent l="19050" t="0" r="5645" b="0"/>
            <wp:docPr id="8" name="Picture 3" descr="F7_3_b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7_3_block.jpg"/>
                    <pic:cNvPicPr>
                      <a:picLocks noChangeAspect="1" noChangeArrowheads="1"/>
                    </pic:cNvPicPr>
                  </pic:nvPicPr>
                  <pic:blipFill>
                    <a:blip r:embed="rId50" cstate="print"/>
                    <a:srcRect t="18739" b="25000"/>
                    <a:stretch>
                      <a:fillRect/>
                    </a:stretch>
                  </pic:blipFill>
                  <pic:spPr bwMode="auto">
                    <a:xfrm>
                      <a:off x="0" y="0"/>
                      <a:ext cx="2813755" cy="2088000"/>
                    </a:xfrm>
                    <a:prstGeom prst="rect">
                      <a:avLst/>
                    </a:prstGeom>
                    <a:noFill/>
                    <a:ln w="9525">
                      <a:noFill/>
                      <a:miter lim="800000"/>
                      <a:headEnd/>
                      <a:tailEnd/>
                    </a:ln>
                  </pic:spPr>
                </pic:pic>
              </a:graphicData>
            </a:graphic>
          </wp:inline>
        </w:drawing>
      </w:r>
      <w:r w:rsidRPr="00C96521">
        <w:rPr>
          <w:rFonts w:eastAsia="MS Mincho"/>
          <w:noProof/>
          <w:sz w:val="20"/>
          <w:szCs w:val="22"/>
        </w:rPr>
        <w:drawing>
          <wp:inline distT="0" distB="0" distL="0" distR="0" wp14:anchorId="7383DEF7" wp14:editId="250D9481">
            <wp:extent cx="2847613" cy="2088000"/>
            <wp:effectExtent l="19050" t="0" r="0" b="0"/>
            <wp:docPr id="10" name="Picture 2" descr="TD scru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D scrub1"/>
                    <pic:cNvPicPr>
                      <a:picLocks noChangeAspect="1" noChangeArrowheads="1"/>
                    </pic:cNvPicPr>
                  </pic:nvPicPr>
                  <pic:blipFill>
                    <a:blip r:embed="rId51" cstate="print"/>
                    <a:srcRect/>
                    <a:stretch>
                      <a:fillRect/>
                    </a:stretch>
                  </pic:blipFill>
                  <pic:spPr bwMode="auto">
                    <a:xfrm>
                      <a:off x="0" y="0"/>
                      <a:ext cx="2847613" cy="2088000"/>
                    </a:xfrm>
                    <a:prstGeom prst="rect">
                      <a:avLst/>
                    </a:prstGeom>
                    <a:noFill/>
                    <a:ln w="9525">
                      <a:noFill/>
                      <a:miter lim="800000"/>
                      <a:headEnd/>
                      <a:tailEnd/>
                    </a:ln>
                  </pic:spPr>
                </pic:pic>
              </a:graphicData>
            </a:graphic>
          </wp:inline>
        </w:drawing>
      </w:r>
    </w:p>
    <w:p w14:paraId="3A0F2CBE"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Figure 16. A typical hedgerow and patch of scrub used by turtle-doves for song-posts and nesting.</w:t>
      </w:r>
    </w:p>
    <w:p w14:paraId="73344FC2"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38E4C468" w14:textId="7E2062B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Nesting habitat alone is thought unlikely to be limiting the population, as nesting areas previously utili</w:t>
      </w:r>
      <w:r w:rsidR="00085172">
        <w:rPr>
          <w:rFonts w:eastAsia="MS Mincho"/>
          <w:sz w:val="20"/>
          <w:szCs w:val="22"/>
          <w:lang w:val="en-GB" w:eastAsia="ja-JP"/>
        </w:rPr>
        <w:t>z</w:t>
      </w:r>
      <w:r w:rsidRPr="00C96521">
        <w:rPr>
          <w:rFonts w:eastAsia="MS Mincho"/>
          <w:sz w:val="20"/>
          <w:szCs w:val="22"/>
          <w:lang w:val="en-GB" w:eastAsia="ja-JP"/>
        </w:rPr>
        <w:t xml:space="preserve">ed by </w:t>
      </w:r>
      <w:r w:rsidR="00085172">
        <w:rPr>
          <w:rFonts w:eastAsia="MS Mincho"/>
          <w:sz w:val="20"/>
          <w:szCs w:val="22"/>
          <w:lang w:val="en-GB" w:eastAsia="ja-JP"/>
        </w:rPr>
        <w:t>T</w:t>
      </w:r>
      <w:r w:rsidR="00085172" w:rsidRPr="00C96521">
        <w:rPr>
          <w:rFonts w:eastAsia="MS Mincho"/>
          <w:sz w:val="20"/>
          <w:szCs w:val="22"/>
          <w:lang w:val="en-GB" w:eastAsia="ja-JP"/>
        </w:rPr>
        <w:t>urtle</w:t>
      </w:r>
      <w:r w:rsidR="00085172">
        <w:rPr>
          <w:rFonts w:eastAsia="MS Mincho"/>
          <w:sz w:val="20"/>
          <w:szCs w:val="22"/>
          <w:lang w:val="en-GB" w:eastAsia="ja-JP"/>
        </w:rPr>
        <w:t xml:space="preserve"> D</w:t>
      </w:r>
      <w:r w:rsidR="00085172" w:rsidRPr="00C96521">
        <w:rPr>
          <w:rFonts w:eastAsia="MS Mincho"/>
          <w:sz w:val="20"/>
          <w:szCs w:val="22"/>
          <w:lang w:val="en-GB" w:eastAsia="ja-JP"/>
        </w:rPr>
        <w:t>ove</w:t>
      </w:r>
      <w:r w:rsidR="00085172">
        <w:rPr>
          <w:rFonts w:eastAsia="MS Mincho"/>
          <w:sz w:val="20"/>
          <w:szCs w:val="22"/>
          <w:lang w:val="en-GB" w:eastAsia="ja-JP"/>
        </w:rPr>
        <w:t>s</w:t>
      </w:r>
      <w:r w:rsidR="00085172" w:rsidRPr="00C96521">
        <w:rPr>
          <w:rFonts w:eastAsia="MS Mincho"/>
          <w:sz w:val="20"/>
          <w:szCs w:val="22"/>
          <w:lang w:val="en-GB" w:eastAsia="ja-JP"/>
        </w:rPr>
        <w:t xml:space="preserve"> </w:t>
      </w:r>
      <w:r w:rsidRPr="00C96521">
        <w:rPr>
          <w:rFonts w:eastAsia="MS Mincho"/>
          <w:sz w:val="20"/>
          <w:szCs w:val="22"/>
          <w:lang w:val="en-GB" w:eastAsia="ja-JP"/>
        </w:rPr>
        <w:t>where habitat has not altered are no longer used due to a reduced density of breeding birds (Dunn and Morris 2012). However, lack of suitable nesting habitat may be important at a local scale, and a combination of nesting and foraging habitat together in close proximity is known to be important for recently fledged young.</w:t>
      </w:r>
    </w:p>
    <w:p w14:paraId="3B4F983B"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78FF017" w14:textId="3AF611C1"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Table 5 summari</w:t>
      </w:r>
      <w:r w:rsidR="00085172">
        <w:rPr>
          <w:rFonts w:eastAsia="MS Mincho"/>
          <w:sz w:val="20"/>
          <w:szCs w:val="22"/>
          <w:lang w:val="en-GB" w:eastAsia="ja-JP"/>
        </w:rPr>
        <w:t>z</w:t>
      </w:r>
      <w:r w:rsidRPr="00C96521">
        <w:rPr>
          <w:rFonts w:eastAsia="MS Mincho"/>
          <w:sz w:val="20"/>
          <w:szCs w:val="22"/>
          <w:lang w:val="en-GB" w:eastAsia="ja-JP"/>
        </w:rPr>
        <w:t xml:space="preserve">es the nesting habitat requirements of </w:t>
      </w:r>
      <w:r w:rsidR="00085172">
        <w:rPr>
          <w:rFonts w:eastAsia="MS Mincho"/>
          <w:sz w:val="20"/>
          <w:szCs w:val="22"/>
          <w:lang w:val="en-GB" w:eastAsia="ja-JP"/>
        </w:rPr>
        <w:t>T</w:t>
      </w:r>
      <w:r w:rsidR="00085172" w:rsidRPr="00C96521">
        <w:rPr>
          <w:rFonts w:eastAsia="MS Mincho"/>
          <w:sz w:val="20"/>
          <w:szCs w:val="22"/>
          <w:lang w:val="en-GB" w:eastAsia="ja-JP"/>
        </w:rPr>
        <w:t>urtle</w:t>
      </w:r>
      <w:r w:rsidR="00085172">
        <w:rPr>
          <w:rFonts w:eastAsia="MS Mincho"/>
          <w:sz w:val="20"/>
          <w:szCs w:val="22"/>
          <w:lang w:val="en-GB" w:eastAsia="ja-JP"/>
        </w:rPr>
        <w:t xml:space="preserve"> Doves</w:t>
      </w:r>
      <w:r w:rsidRPr="00C96521">
        <w:rPr>
          <w:rFonts w:eastAsia="MS Mincho"/>
          <w:sz w:val="20"/>
          <w:szCs w:val="22"/>
          <w:lang w:val="en-GB" w:eastAsia="ja-JP"/>
        </w:rPr>
        <w:t xml:space="preserve">and how these can be met by the Countryside Stewardship Agri-environment Options tailored for </w:t>
      </w:r>
      <w:r w:rsidR="00085172">
        <w:rPr>
          <w:rFonts w:eastAsia="MS Mincho"/>
          <w:sz w:val="20"/>
          <w:szCs w:val="22"/>
          <w:lang w:val="en-GB" w:eastAsia="ja-JP"/>
        </w:rPr>
        <w:t>T</w:t>
      </w:r>
      <w:r w:rsidR="00085172" w:rsidRPr="00C96521">
        <w:rPr>
          <w:rFonts w:eastAsia="MS Mincho"/>
          <w:sz w:val="20"/>
          <w:szCs w:val="22"/>
          <w:lang w:val="en-GB" w:eastAsia="ja-JP"/>
        </w:rPr>
        <w:t>urtle</w:t>
      </w:r>
      <w:r w:rsidR="00085172">
        <w:rPr>
          <w:rFonts w:eastAsia="MS Mincho"/>
          <w:sz w:val="20"/>
          <w:szCs w:val="22"/>
          <w:lang w:val="en-GB" w:eastAsia="ja-JP"/>
        </w:rPr>
        <w:t xml:space="preserve"> Doves</w:t>
      </w:r>
      <w:r w:rsidRPr="00C96521">
        <w:rPr>
          <w:rFonts w:eastAsia="MS Mincho"/>
          <w:sz w:val="20"/>
          <w:szCs w:val="22"/>
          <w:lang w:val="en-GB" w:eastAsia="ja-JP"/>
        </w:rPr>
        <w:t xml:space="preserve">. Depending on the character of the hedgerows, landowners are advised to consider allowing hedges to reach and then maintain a minimum height of 3m and a minimum width of 4m for at least some of the hedgerows where </w:t>
      </w:r>
      <w:r w:rsidR="00085172">
        <w:rPr>
          <w:rFonts w:eastAsia="MS Mincho"/>
          <w:sz w:val="20"/>
          <w:szCs w:val="22"/>
          <w:lang w:val="en-GB" w:eastAsia="ja-JP"/>
        </w:rPr>
        <w:t>T</w:t>
      </w:r>
      <w:r w:rsidR="00085172" w:rsidRPr="00C96521">
        <w:rPr>
          <w:rFonts w:eastAsia="MS Mincho"/>
          <w:sz w:val="20"/>
          <w:szCs w:val="22"/>
          <w:lang w:val="en-GB" w:eastAsia="ja-JP"/>
        </w:rPr>
        <w:t>urtle</w:t>
      </w:r>
      <w:r w:rsidR="00085172">
        <w:rPr>
          <w:rFonts w:eastAsia="MS Mincho"/>
          <w:sz w:val="20"/>
          <w:szCs w:val="22"/>
          <w:lang w:val="en-GB" w:eastAsia="ja-JP"/>
        </w:rPr>
        <w:t xml:space="preserve"> D</w:t>
      </w:r>
      <w:r w:rsidR="00085172" w:rsidRPr="00C96521">
        <w:rPr>
          <w:rFonts w:eastAsia="MS Mincho"/>
          <w:sz w:val="20"/>
          <w:szCs w:val="22"/>
          <w:lang w:val="en-GB" w:eastAsia="ja-JP"/>
        </w:rPr>
        <w:t>ove</w:t>
      </w:r>
      <w:r w:rsidR="00085172">
        <w:rPr>
          <w:rFonts w:eastAsia="MS Mincho"/>
          <w:sz w:val="20"/>
          <w:szCs w:val="22"/>
          <w:lang w:val="en-GB" w:eastAsia="ja-JP"/>
        </w:rPr>
        <w:t>s</w:t>
      </w:r>
      <w:r w:rsidR="00085172" w:rsidRPr="00C96521">
        <w:rPr>
          <w:rFonts w:eastAsia="MS Mincho"/>
          <w:sz w:val="20"/>
          <w:szCs w:val="22"/>
          <w:lang w:val="en-GB" w:eastAsia="ja-JP"/>
        </w:rPr>
        <w:t xml:space="preserve"> </w:t>
      </w:r>
      <w:r w:rsidRPr="00C96521">
        <w:rPr>
          <w:rFonts w:eastAsia="MS Mincho"/>
          <w:sz w:val="20"/>
          <w:szCs w:val="22"/>
          <w:lang w:val="en-GB" w:eastAsia="ja-JP"/>
        </w:rPr>
        <w:t xml:space="preserve">are likely to breed as part of option </w:t>
      </w:r>
      <w:r w:rsidRPr="00C96521">
        <w:rPr>
          <w:rFonts w:eastAsia="MS Mincho"/>
          <w:i/>
          <w:sz w:val="20"/>
          <w:szCs w:val="22"/>
          <w:lang w:val="en-GB" w:eastAsia="ja-JP"/>
        </w:rPr>
        <w:t xml:space="preserve">BE3 Management of Hedgerows. </w:t>
      </w:r>
      <w:r w:rsidRPr="00C96521">
        <w:rPr>
          <w:rFonts w:eastAsia="MS Mincho"/>
          <w:sz w:val="20"/>
          <w:szCs w:val="22"/>
          <w:lang w:val="en-GB" w:eastAsia="ja-JP"/>
        </w:rPr>
        <w:t>As scrub typically matures in 15 years, it is recommended to cut one-fifteenth of the scrub every year or one fifth every third year when using Countryside Stewardship options WD7 and WD8, to restore and maintain a varied age structure, including mature areas suitable for nesting.</w:t>
      </w:r>
    </w:p>
    <w:p w14:paraId="67FA8855"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14D06F7"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Table 5. Nesting habitat requirements of turtle-doves and how these can be met by Countryside Stewardship Agri-environment Options.</w:t>
      </w:r>
    </w:p>
    <w:p w14:paraId="5310DC4A"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9"/>
        <w:gridCol w:w="1701"/>
        <w:gridCol w:w="3147"/>
      </w:tblGrid>
      <w:tr w:rsidR="00C96521" w:rsidRPr="00C96521" w14:paraId="61B3A50E" w14:textId="77777777" w:rsidTr="00C96521">
        <w:trPr>
          <w:trHeight w:val="866"/>
        </w:trPr>
        <w:tc>
          <w:tcPr>
            <w:tcW w:w="4219" w:type="dxa"/>
          </w:tcPr>
          <w:p w14:paraId="48DFE351"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Resource requirement</w:t>
            </w:r>
          </w:p>
        </w:tc>
        <w:tc>
          <w:tcPr>
            <w:tcW w:w="1701" w:type="dxa"/>
          </w:tcPr>
          <w:p w14:paraId="50206B7F"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Minimum quantity</w:t>
            </w:r>
            <w:r w:rsidRPr="00C96521">
              <w:rPr>
                <w:rFonts w:eastAsia="MS Mincho"/>
                <w:sz w:val="20"/>
                <w:szCs w:val="22"/>
                <w:lang w:val="en-GB" w:eastAsia="ja-JP"/>
              </w:rPr>
              <w:t xml:space="preserve"> </w:t>
            </w:r>
            <w:r w:rsidRPr="00C96521">
              <w:rPr>
                <w:rFonts w:eastAsia="MS Mincho"/>
                <w:i/>
                <w:sz w:val="20"/>
                <w:szCs w:val="22"/>
                <w:lang w:val="en-GB" w:eastAsia="ja-JP"/>
              </w:rPr>
              <w:t>(per 100 ha of farmed land)</w:t>
            </w:r>
          </w:p>
        </w:tc>
        <w:tc>
          <w:tcPr>
            <w:tcW w:w="3147" w:type="dxa"/>
          </w:tcPr>
          <w:p w14:paraId="06C8D583"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Relevant Countryside Stewardship Options</w:t>
            </w:r>
          </w:p>
        </w:tc>
      </w:tr>
      <w:tr w:rsidR="00C96521" w:rsidRPr="00C96521" w14:paraId="4237D902" w14:textId="77777777" w:rsidTr="00C96521">
        <w:trPr>
          <w:trHeight w:val="1408"/>
        </w:trPr>
        <w:tc>
          <w:tcPr>
            <w:tcW w:w="4219" w:type="dxa"/>
          </w:tcPr>
          <w:p w14:paraId="43CFF934"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Wide hedgerows or areas of scrub, at least 3m tall, especially those with thorny shrubs and climbers.</w:t>
            </w:r>
          </w:p>
          <w:p w14:paraId="1C98280B"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444F3E8"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A pond or other source of accessible water on the holding or nearby also benefits turtle-doves.</w:t>
            </w:r>
          </w:p>
        </w:tc>
        <w:tc>
          <w:tcPr>
            <w:tcW w:w="1701" w:type="dxa"/>
          </w:tcPr>
          <w:p w14:paraId="344DD0D1" w14:textId="43800B7D"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500m–2</w:t>
            </w:r>
            <w:r w:rsidR="00085172">
              <w:rPr>
                <w:rFonts w:eastAsia="MS Mincho"/>
                <w:sz w:val="20"/>
                <w:szCs w:val="22"/>
                <w:lang w:val="en-GB" w:eastAsia="ja-JP"/>
              </w:rPr>
              <w:t>,</w:t>
            </w:r>
            <w:r w:rsidRPr="00C96521">
              <w:rPr>
                <w:rFonts w:eastAsia="MS Mincho"/>
                <w:sz w:val="20"/>
                <w:szCs w:val="22"/>
                <w:lang w:val="en-GB" w:eastAsia="ja-JP"/>
              </w:rPr>
              <w:t xml:space="preserve">000m </w:t>
            </w:r>
          </w:p>
        </w:tc>
        <w:tc>
          <w:tcPr>
            <w:tcW w:w="3147" w:type="dxa"/>
          </w:tcPr>
          <w:p w14:paraId="2850AAFC"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BE3 Management of Hedgerows.</w:t>
            </w:r>
          </w:p>
          <w:p w14:paraId="39BC3CD8"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WD7 Management of Successional Areas and Scrub.</w:t>
            </w:r>
          </w:p>
          <w:p w14:paraId="05770643"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WD8 Creation of Successional Areas and Scrub.</w:t>
            </w:r>
          </w:p>
        </w:tc>
      </w:tr>
    </w:tbl>
    <w:p w14:paraId="738D030E"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3BB2E6B" w14:textId="6EEF01DC"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An evaluation of 20 Higher-tier Agri-environment Agreements with a pilot version of a package of measures for turtle-dove, which included both nesting and foraging habitats on the same site, showed that 58</w:t>
      </w:r>
      <w:r w:rsidR="00085172">
        <w:rPr>
          <w:rFonts w:eastAsia="MS Mincho"/>
          <w:sz w:val="20"/>
          <w:szCs w:val="22"/>
          <w:lang w:val="en-GB" w:eastAsia="ja-JP"/>
        </w:rPr>
        <w:t xml:space="preserve"> per cent</w:t>
      </w:r>
      <w:r w:rsidR="00085172" w:rsidRPr="00C96521">
        <w:rPr>
          <w:rFonts w:eastAsia="MS Mincho"/>
          <w:sz w:val="20"/>
          <w:szCs w:val="22"/>
          <w:lang w:val="en-GB" w:eastAsia="ja-JP"/>
        </w:rPr>
        <w:t xml:space="preserve"> </w:t>
      </w:r>
      <w:r w:rsidRPr="00C96521">
        <w:rPr>
          <w:rFonts w:eastAsia="MS Mincho"/>
          <w:sz w:val="20"/>
          <w:szCs w:val="22"/>
          <w:lang w:val="en-GB" w:eastAsia="ja-JP"/>
        </w:rPr>
        <w:t>of evaluated sections of tall hedges and scrub potentially provided suitable nesting sites nesting habitat for turtle-doves: sections were at least 3</w:t>
      </w:r>
      <w:r w:rsidR="00085172">
        <w:rPr>
          <w:rFonts w:eastAsia="MS Mincho"/>
          <w:sz w:val="20"/>
          <w:szCs w:val="22"/>
          <w:lang w:val="en-GB" w:eastAsia="ja-JP"/>
        </w:rPr>
        <w:t xml:space="preserve"> </w:t>
      </w:r>
      <w:r w:rsidRPr="00C96521">
        <w:rPr>
          <w:rFonts w:eastAsia="MS Mincho"/>
          <w:sz w:val="20"/>
          <w:szCs w:val="22"/>
          <w:lang w:val="en-GB" w:eastAsia="ja-JP"/>
        </w:rPr>
        <w:t>m</w:t>
      </w:r>
      <w:r w:rsidR="00085172">
        <w:rPr>
          <w:rFonts w:eastAsia="MS Mincho"/>
          <w:sz w:val="20"/>
          <w:szCs w:val="22"/>
          <w:lang w:val="en-GB" w:eastAsia="ja-JP"/>
        </w:rPr>
        <w:t>etres</w:t>
      </w:r>
      <w:r w:rsidRPr="00C96521">
        <w:rPr>
          <w:rFonts w:eastAsia="MS Mincho"/>
          <w:sz w:val="20"/>
          <w:szCs w:val="22"/>
          <w:lang w:val="en-GB" w:eastAsia="ja-JP"/>
        </w:rPr>
        <w:t xml:space="preserve"> tall, at least 4</w:t>
      </w:r>
      <w:r w:rsidR="00085172">
        <w:rPr>
          <w:rFonts w:eastAsia="MS Mincho"/>
          <w:sz w:val="20"/>
          <w:szCs w:val="22"/>
          <w:lang w:val="en-GB" w:eastAsia="ja-JP"/>
        </w:rPr>
        <w:t xml:space="preserve"> </w:t>
      </w:r>
      <w:r w:rsidRPr="00C96521">
        <w:rPr>
          <w:rFonts w:eastAsia="MS Mincho"/>
          <w:sz w:val="20"/>
          <w:szCs w:val="22"/>
          <w:lang w:val="en-GB" w:eastAsia="ja-JP"/>
        </w:rPr>
        <w:t>m</w:t>
      </w:r>
      <w:r w:rsidR="00085172">
        <w:rPr>
          <w:rFonts w:eastAsia="MS Mincho"/>
          <w:sz w:val="20"/>
          <w:szCs w:val="22"/>
          <w:lang w:val="en-GB" w:eastAsia="ja-JP"/>
        </w:rPr>
        <w:t>etres</w:t>
      </w:r>
      <w:r w:rsidRPr="00C96521">
        <w:rPr>
          <w:rFonts w:eastAsia="MS Mincho"/>
          <w:sz w:val="20"/>
          <w:szCs w:val="22"/>
          <w:lang w:val="en-GB" w:eastAsia="ja-JP"/>
        </w:rPr>
        <w:t xml:space="preserve"> wide and had climbing plants present for nest concealment (Walker and Morris 2016).</w:t>
      </w:r>
    </w:p>
    <w:p w14:paraId="3EF07BF0" w14:textId="5B2EFB3D" w:rsidR="00C96521" w:rsidRPr="00C96521" w:rsidRDefault="00C96521" w:rsidP="00C96521">
      <w:pPr>
        <w:widowControl/>
        <w:autoSpaceDE/>
        <w:autoSpaceDN/>
        <w:adjustRightInd/>
        <w:spacing w:line="276" w:lineRule="auto"/>
        <w:rPr>
          <w:rFonts w:eastAsia="MS Mincho"/>
          <w:sz w:val="20"/>
          <w:szCs w:val="22"/>
          <w:lang w:val="en-GB" w:eastAsia="ja-JP"/>
        </w:rPr>
      </w:pPr>
    </w:p>
    <w:p w14:paraId="2ACF8174"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Foraging Habitat</w:t>
      </w:r>
    </w:p>
    <w:p w14:paraId="75A5FBC1"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7BB8194A" w14:textId="468407EC"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The </w:t>
      </w:r>
      <w:r w:rsidR="00085172">
        <w:rPr>
          <w:rFonts w:eastAsia="MS Mincho"/>
          <w:sz w:val="20"/>
          <w:szCs w:val="22"/>
          <w:lang w:val="en-GB" w:eastAsia="ja-JP"/>
        </w:rPr>
        <w:t>T</w:t>
      </w:r>
      <w:r w:rsidR="00085172" w:rsidRPr="00C96521">
        <w:rPr>
          <w:rFonts w:eastAsia="MS Mincho"/>
          <w:sz w:val="20"/>
          <w:szCs w:val="22"/>
          <w:lang w:val="en-GB" w:eastAsia="ja-JP"/>
        </w:rPr>
        <w:t>urtle</w:t>
      </w:r>
      <w:r w:rsidR="00085172">
        <w:rPr>
          <w:rFonts w:eastAsia="MS Mincho"/>
          <w:sz w:val="20"/>
          <w:szCs w:val="22"/>
          <w:lang w:val="en-GB" w:eastAsia="ja-JP"/>
        </w:rPr>
        <w:t xml:space="preserve"> D</w:t>
      </w:r>
      <w:r w:rsidR="00085172" w:rsidRPr="00C96521">
        <w:rPr>
          <w:rFonts w:eastAsia="MS Mincho"/>
          <w:sz w:val="20"/>
          <w:szCs w:val="22"/>
          <w:lang w:val="en-GB" w:eastAsia="ja-JP"/>
        </w:rPr>
        <w:t xml:space="preserve">ove </w:t>
      </w:r>
      <w:r w:rsidRPr="00C96521">
        <w:rPr>
          <w:rFonts w:eastAsia="MS Mincho"/>
          <w:sz w:val="20"/>
          <w:szCs w:val="22"/>
          <w:lang w:val="en-GB" w:eastAsia="ja-JP"/>
        </w:rPr>
        <w:t xml:space="preserve">is an obligate granivore (it only eats seeds, although very small amounts of green plant material and invertebrates such as snails have occasional been recorded in the diet). In the UK, </w:t>
      </w:r>
      <w:r w:rsidRPr="00C96521">
        <w:rPr>
          <w:rFonts w:eastAsia="MS Mincho"/>
          <w:i/>
          <w:sz w:val="20"/>
          <w:szCs w:val="22"/>
          <w:lang w:val="en-GB" w:eastAsia="ja-JP"/>
        </w:rPr>
        <w:t>Fumaria</w:t>
      </w:r>
      <w:r w:rsidRPr="00C96521">
        <w:rPr>
          <w:rFonts w:eastAsia="MS Mincho"/>
          <w:sz w:val="20"/>
          <w:szCs w:val="22"/>
          <w:lang w:val="en-GB" w:eastAsia="ja-JP"/>
        </w:rPr>
        <w:t xml:space="preserve"> </w:t>
      </w:r>
      <w:r w:rsidRPr="00C96521">
        <w:rPr>
          <w:rFonts w:eastAsia="MS Mincho"/>
          <w:i/>
          <w:sz w:val="20"/>
          <w:szCs w:val="22"/>
          <w:lang w:val="en-GB" w:eastAsia="ja-JP"/>
        </w:rPr>
        <w:t>sp</w:t>
      </w:r>
      <w:r w:rsidRPr="00C96521">
        <w:rPr>
          <w:rFonts w:eastAsia="MS Mincho"/>
          <w:sz w:val="20"/>
          <w:szCs w:val="22"/>
          <w:lang w:val="en-GB" w:eastAsia="ja-JP"/>
        </w:rPr>
        <w:t xml:space="preserve"> historically formed the mainstay of its diet, with seeds of other plants associated with arable fields (such as </w:t>
      </w:r>
      <w:r w:rsidRPr="00C96521">
        <w:rPr>
          <w:rFonts w:eastAsia="MS Mincho"/>
          <w:i/>
          <w:sz w:val="20"/>
          <w:szCs w:val="22"/>
          <w:lang w:val="en-GB" w:eastAsia="ja-JP"/>
        </w:rPr>
        <w:t>Stellaria media</w:t>
      </w:r>
      <w:r w:rsidRPr="00C96521">
        <w:rPr>
          <w:rFonts w:eastAsia="MS Mincho"/>
          <w:sz w:val="20"/>
          <w:szCs w:val="22"/>
          <w:lang w:val="en-GB" w:eastAsia="ja-JP"/>
        </w:rPr>
        <w:t xml:space="preserve">, </w:t>
      </w:r>
      <w:r w:rsidRPr="00C96521">
        <w:rPr>
          <w:rFonts w:eastAsia="MS Mincho"/>
          <w:i/>
          <w:sz w:val="20"/>
          <w:szCs w:val="22"/>
          <w:lang w:val="en-GB" w:eastAsia="ja-JP"/>
        </w:rPr>
        <w:t>Anagallis arvensis</w:t>
      </w:r>
      <w:r w:rsidRPr="00C96521">
        <w:rPr>
          <w:rFonts w:eastAsia="MS Mincho"/>
          <w:sz w:val="20"/>
          <w:szCs w:val="22"/>
          <w:lang w:val="en-GB" w:eastAsia="ja-JP"/>
        </w:rPr>
        <w:t xml:space="preserve">, </w:t>
      </w:r>
      <w:r w:rsidRPr="00C96521">
        <w:rPr>
          <w:rFonts w:eastAsia="MS Mincho"/>
          <w:i/>
          <w:sz w:val="20"/>
          <w:szCs w:val="22"/>
          <w:lang w:val="en-GB" w:eastAsia="ja-JP"/>
        </w:rPr>
        <w:t>Geraniaceae</w:t>
      </w:r>
      <w:r w:rsidRPr="00C96521">
        <w:rPr>
          <w:rFonts w:eastAsia="MS Mincho"/>
          <w:sz w:val="20"/>
          <w:szCs w:val="22"/>
          <w:lang w:val="en-GB" w:eastAsia="ja-JP"/>
        </w:rPr>
        <w:t xml:space="preserve">, </w:t>
      </w:r>
      <w:r w:rsidRPr="00C96521">
        <w:rPr>
          <w:rFonts w:eastAsia="MS Mincho"/>
          <w:i/>
          <w:sz w:val="20"/>
          <w:szCs w:val="22"/>
          <w:lang w:val="en-GB" w:eastAsia="ja-JP"/>
        </w:rPr>
        <w:t>Amaranthaceae</w:t>
      </w:r>
      <w:r w:rsidRPr="00C96521">
        <w:rPr>
          <w:rFonts w:eastAsia="MS Mincho"/>
          <w:sz w:val="20"/>
          <w:szCs w:val="22"/>
          <w:lang w:val="en-GB" w:eastAsia="ja-JP"/>
        </w:rPr>
        <w:t xml:space="preserve"> and </w:t>
      </w:r>
      <w:r w:rsidRPr="00C96521">
        <w:rPr>
          <w:rFonts w:eastAsia="MS Mincho"/>
          <w:i/>
          <w:sz w:val="20"/>
          <w:szCs w:val="22"/>
          <w:lang w:val="en-GB" w:eastAsia="ja-JP"/>
        </w:rPr>
        <w:t>Poa</w:t>
      </w:r>
      <w:r w:rsidRPr="00C96521">
        <w:rPr>
          <w:rFonts w:eastAsia="MS Mincho"/>
          <w:sz w:val="20"/>
          <w:szCs w:val="22"/>
          <w:lang w:val="en-GB" w:eastAsia="ja-JP"/>
        </w:rPr>
        <w:t xml:space="preserve">) also being common. Before widespread agricultural intensification, seeds of </w:t>
      </w:r>
      <w:r w:rsidRPr="00C96521">
        <w:rPr>
          <w:rFonts w:eastAsia="MS Mincho"/>
          <w:i/>
          <w:sz w:val="20"/>
          <w:szCs w:val="22"/>
          <w:lang w:val="en-GB" w:eastAsia="ja-JP"/>
        </w:rPr>
        <w:t>Trifolium</w:t>
      </w:r>
      <w:r w:rsidRPr="00C96521">
        <w:rPr>
          <w:rFonts w:eastAsia="MS Mincho"/>
          <w:sz w:val="20"/>
          <w:szCs w:val="22"/>
          <w:lang w:val="en-GB" w:eastAsia="ja-JP"/>
        </w:rPr>
        <w:t xml:space="preserve"> </w:t>
      </w:r>
      <w:r w:rsidRPr="00C96521">
        <w:rPr>
          <w:rFonts w:eastAsia="MS Mincho"/>
          <w:i/>
          <w:sz w:val="20"/>
          <w:szCs w:val="22"/>
          <w:lang w:val="en-GB" w:eastAsia="ja-JP"/>
        </w:rPr>
        <w:t>spp</w:t>
      </w:r>
      <w:r w:rsidRPr="00C96521">
        <w:rPr>
          <w:rFonts w:eastAsia="MS Mincho"/>
          <w:sz w:val="20"/>
          <w:szCs w:val="22"/>
          <w:lang w:val="en-GB" w:eastAsia="ja-JP"/>
        </w:rPr>
        <w:t xml:space="preserve"> were also commonly taken from short-term rotational grass and legume leys. However, in recent decades, the seeds of arable crops (especially cereals and brassicas such as oil-seed rape </w:t>
      </w:r>
      <w:r w:rsidRPr="00C96521">
        <w:rPr>
          <w:rFonts w:eastAsia="MS Mincho"/>
          <w:i/>
          <w:sz w:val="20"/>
          <w:szCs w:val="22"/>
          <w:lang w:val="en-GB" w:eastAsia="ja-JP"/>
        </w:rPr>
        <w:t>Brassica napus</w:t>
      </w:r>
      <w:r w:rsidRPr="00C96521">
        <w:rPr>
          <w:rFonts w:eastAsia="MS Mincho"/>
          <w:sz w:val="20"/>
          <w:szCs w:val="22"/>
          <w:lang w:val="en-GB" w:eastAsia="ja-JP"/>
        </w:rPr>
        <w:t xml:space="preserve">) have become an especially important part of the diet later in the breeding season. A recent dietary study based on molecular techniques confirmed the importance of both natural and anthropogenic food sources (including, for the first time, seeds originating from garden/game bird feeders). Adult birds have been recorded travelling considerable distances, sometimes as far as 10km, from their breeding territories to exploit locally abundant food supplies, such as spilt grain and weed-rich fields. </w:t>
      </w:r>
    </w:p>
    <w:p w14:paraId="60AF2796"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3A8EA180" w14:textId="7118F504"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Turtle</w:t>
      </w:r>
      <w:r w:rsidR="00085172">
        <w:rPr>
          <w:rFonts w:eastAsia="MS Mincho"/>
          <w:sz w:val="20"/>
          <w:szCs w:val="22"/>
          <w:lang w:val="en-GB" w:eastAsia="ja-JP"/>
        </w:rPr>
        <w:t xml:space="preserve"> D</w:t>
      </w:r>
      <w:r w:rsidRPr="00C96521">
        <w:rPr>
          <w:rFonts w:eastAsia="MS Mincho"/>
          <w:sz w:val="20"/>
          <w:szCs w:val="22"/>
          <w:lang w:val="en-GB" w:eastAsia="ja-JP"/>
        </w:rPr>
        <w:t>oves obtain most of their food from the ground, and providing a sparse, patchy sward that enables the birds to detect and access the seeds is very important for this species. Typical characteristics of foraging locations show mean vegetation height &lt;20cm and mean bare soil forms 60</w:t>
      </w:r>
      <w:r w:rsidR="00085172">
        <w:rPr>
          <w:rFonts w:eastAsia="MS Mincho"/>
          <w:sz w:val="20"/>
          <w:szCs w:val="22"/>
          <w:lang w:val="en-GB" w:eastAsia="ja-JP"/>
        </w:rPr>
        <w:t xml:space="preserve"> per cent</w:t>
      </w:r>
      <w:r w:rsidRPr="00C96521">
        <w:rPr>
          <w:rFonts w:eastAsia="MS Mincho"/>
          <w:sz w:val="20"/>
          <w:szCs w:val="22"/>
          <w:lang w:val="en-GB" w:eastAsia="ja-JP"/>
        </w:rPr>
        <w:t xml:space="preserve"> of ground cover (Browne and Aebischer 2003a, Dunn </w:t>
      </w:r>
      <w:r w:rsidRPr="00C96521">
        <w:rPr>
          <w:rFonts w:eastAsia="MS Mincho"/>
          <w:i/>
          <w:sz w:val="20"/>
          <w:szCs w:val="22"/>
          <w:lang w:val="en-GB" w:eastAsia="ja-JP"/>
        </w:rPr>
        <w:t>et al</w:t>
      </w:r>
      <w:r w:rsidRPr="00C96521">
        <w:rPr>
          <w:rFonts w:eastAsia="MS Mincho"/>
          <w:sz w:val="20"/>
          <w:szCs w:val="22"/>
          <w:lang w:val="en-GB" w:eastAsia="ja-JP"/>
        </w:rPr>
        <w:t xml:space="preserve"> 2015). Territories are more likely to be lost from areas with less bare ground and fallow (Dunn and Morris 2012), traditionally habitats rich in accessible arable plant seed.</w:t>
      </w:r>
    </w:p>
    <w:p w14:paraId="0CD67695"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A8FE5C2" w14:textId="0CB204D1"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Creation and management of marginal strips/plots of early-seeding plants that retain an open structure from mid-April into late summer provide good foraging habitat for </w:t>
      </w:r>
      <w:r w:rsidR="00085172">
        <w:rPr>
          <w:rFonts w:eastAsia="MS Mincho"/>
          <w:sz w:val="20"/>
          <w:szCs w:val="22"/>
          <w:lang w:val="en-GB" w:eastAsia="ja-JP"/>
        </w:rPr>
        <w:t>T</w:t>
      </w:r>
      <w:r w:rsidRPr="00C96521">
        <w:rPr>
          <w:rFonts w:eastAsia="MS Mincho"/>
          <w:sz w:val="20"/>
          <w:szCs w:val="22"/>
          <w:lang w:val="en-GB" w:eastAsia="ja-JP"/>
        </w:rPr>
        <w:t>urtle</w:t>
      </w:r>
      <w:r w:rsidR="00085172">
        <w:rPr>
          <w:rFonts w:eastAsia="MS Mincho"/>
          <w:sz w:val="20"/>
          <w:szCs w:val="22"/>
          <w:lang w:val="en-GB" w:eastAsia="ja-JP"/>
        </w:rPr>
        <w:t xml:space="preserve"> D</w:t>
      </w:r>
      <w:r w:rsidRPr="00C96521">
        <w:rPr>
          <w:rFonts w:eastAsia="MS Mincho"/>
          <w:sz w:val="20"/>
          <w:szCs w:val="22"/>
          <w:lang w:val="en-GB" w:eastAsia="ja-JP"/>
        </w:rPr>
        <w:t xml:space="preserve">oves. In Countryside Stewardship, these can be created in two main ways (Table 6). </w:t>
      </w:r>
    </w:p>
    <w:p w14:paraId="1D6DFCB9"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F85165B" w14:textId="1FC624CD"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Table 6. Summary of</w:t>
      </w:r>
      <w:r w:rsidRPr="00C96521">
        <w:rPr>
          <w:rFonts w:eastAsia="MS Mincho"/>
          <w:b/>
          <w:i/>
          <w:sz w:val="20"/>
          <w:szCs w:val="22"/>
          <w:lang w:val="en-GB" w:eastAsia="ja-JP"/>
        </w:rPr>
        <w:t xml:space="preserve"> </w:t>
      </w:r>
      <w:r w:rsidRPr="00C96521">
        <w:rPr>
          <w:rFonts w:eastAsia="MS Mincho"/>
          <w:i/>
          <w:sz w:val="20"/>
          <w:szCs w:val="22"/>
          <w:lang w:val="en-GB" w:eastAsia="ja-JP"/>
        </w:rPr>
        <w:t xml:space="preserve">the foraging habitat requirements of </w:t>
      </w:r>
      <w:r w:rsidR="00085172">
        <w:rPr>
          <w:rFonts w:eastAsia="MS Mincho"/>
          <w:i/>
          <w:sz w:val="20"/>
          <w:szCs w:val="22"/>
          <w:lang w:val="en-GB" w:eastAsia="ja-JP"/>
        </w:rPr>
        <w:t>T</w:t>
      </w:r>
      <w:r w:rsidRPr="00C96521">
        <w:rPr>
          <w:rFonts w:eastAsia="MS Mincho"/>
          <w:i/>
          <w:sz w:val="20"/>
          <w:szCs w:val="22"/>
          <w:lang w:val="en-GB" w:eastAsia="ja-JP"/>
        </w:rPr>
        <w:t>urtle</w:t>
      </w:r>
      <w:r w:rsidR="00085172">
        <w:rPr>
          <w:rFonts w:eastAsia="MS Mincho"/>
          <w:i/>
          <w:sz w:val="20"/>
          <w:szCs w:val="22"/>
          <w:lang w:val="en-GB" w:eastAsia="ja-JP"/>
        </w:rPr>
        <w:t xml:space="preserve"> D</w:t>
      </w:r>
      <w:r w:rsidRPr="00C96521">
        <w:rPr>
          <w:rFonts w:eastAsia="MS Mincho"/>
          <w:i/>
          <w:sz w:val="20"/>
          <w:szCs w:val="22"/>
          <w:lang w:val="en-GB" w:eastAsia="ja-JP"/>
        </w:rPr>
        <w:t xml:space="preserve">oves and how these can be met by Countryside Stewardship Agri-environment Options tailored for </w:t>
      </w:r>
      <w:r w:rsidR="00085172">
        <w:rPr>
          <w:rFonts w:eastAsia="MS Mincho"/>
          <w:i/>
          <w:sz w:val="20"/>
          <w:szCs w:val="22"/>
          <w:lang w:val="en-GB" w:eastAsia="ja-JP"/>
        </w:rPr>
        <w:t>T</w:t>
      </w:r>
      <w:r w:rsidRPr="00C96521">
        <w:rPr>
          <w:rFonts w:eastAsia="MS Mincho"/>
          <w:i/>
          <w:sz w:val="20"/>
          <w:szCs w:val="22"/>
          <w:lang w:val="en-GB" w:eastAsia="ja-JP"/>
        </w:rPr>
        <w:t>urtle</w:t>
      </w:r>
      <w:r w:rsidR="00085172">
        <w:rPr>
          <w:rFonts w:eastAsia="MS Mincho"/>
          <w:i/>
          <w:sz w:val="20"/>
          <w:szCs w:val="22"/>
          <w:lang w:val="en-GB" w:eastAsia="ja-JP"/>
        </w:rPr>
        <w:t xml:space="preserve"> D</w:t>
      </w:r>
      <w:r w:rsidRPr="00C96521">
        <w:rPr>
          <w:rFonts w:eastAsia="MS Mincho"/>
          <w:i/>
          <w:sz w:val="20"/>
          <w:szCs w:val="22"/>
          <w:lang w:val="en-GB" w:eastAsia="ja-JP"/>
        </w:rPr>
        <w:t>oves.</w:t>
      </w:r>
    </w:p>
    <w:p w14:paraId="4FB77008"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 </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52"/>
        <w:gridCol w:w="1843"/>
        <w:gridCol w:w="3572"/>
      </w:tblGrid>
      <w:tr w:rsidR="00C96521" w:rsidRPr="00C96521" w14:paraId="263831F8" w14:textId="77777777" w:rsidTr="00C96521">
        <w:trPr>
          <w:trHeight w:val="866"/>
        </w:trPr>
        <w:tc>
          <w:tcPr>
            <w:tcW w:w="3652" w:type="dxa"/>
          </w:tcPr>
          <w:p w14:paraId="4B51CDFA"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Resource requirement</w:t>
            </w:r>
          </w:p>
        </w:tc>
        <w:tc>
          <w:tcPr>
            <w:tcW w:w="1843" w:type="dxa"/>
          </w:tcPr>
          <w:p w14:paraId="1C57DF51"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Minimum quantity</w:t>
            </w:r>
            <w:r w:rsidRPr="00C96521">
              <w:rPr>
                <w:rFonts w:eastAsia="MS Mincho"/>
                <w:sz w:val="20"/>
                <w:szCs w:val="22"/>
                <w:lang w:val="en-GB" w:eastAsia="ja-JP"/>
              </w:rPr>
              <w:t xml:space="preserve"> </w:t>
            </w:r>
            <w:r w:rsidRPr="00C96521">
              <w:rPr>
                <w:rFonts w:eastAsia="MS Mincho"/>
                <w:i/>
                <w:sz w:val="20"/>
                <w:szCs w:val="22"/>
                <w:lang w:val="en-GB" w:eastAsia="ja-JP"/>
              </w:rPr>
              <w:t>(per 100 ha of farmed land)</w:t>
            </w:r>
          </w:p>
        </w:tc>
        <w:tc>
          <w:tcPr>
            <w:tcW w:w="3572" w:type="dxa"/>
          </w:tcPr>
          <w:p w14:paraId="721EE4B0"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Relevant Countryside Stewardship Options</w:t>
            </w:r>
          </w:p>
        </w:tc>
      </w:tr>
      <w:tr w:rsidR="00C96521" w:rsidRPr="00C96521" w14:paraId="661A8AFC" w14:textId="77777777" w:rsidTr="00C96521">
        <w:trPr>
          <w:trHeight w:val="1058"/>
        </w:trPr>
        <w:tc>
          <w:tcPr>
            <w:tcW w:w="3652" w:type="dxa"/>
          </w:tcPr>
          <w:p w14:paraId="54E1BEA6"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sz w:val="20"/>
                <w:szCs w:val="22"/>
                <w:lang w:val="en-GB" w:eastAsia="ja-JP"/>
              </w:rPr>
              <w:t>Marginal strips or plots with early-seeding plants that retain openness from mid-April to July, to allow birds to access the seeds, ideally situated within 300m of suitable nesting habitat.</w:t>
            </w:r>
          </w:p>
        </w:tc>
        <w:tc>
          <w:tcPr>
            <w:tcW w:w="1843" w:type="dxa"/>
          </w:tcPr>
          <w:p w14:paraId="735BD20C"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2-3 ha</w:t>
            </w:r>
          </w:p>
        </w:tc>
        <w:tc>
          <w:tcPr>
            <w:tcW w:w="3572" w:type="dxa"/>
          </w:tcPr>
          <w:p w14:paraId="24961E35"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Ideally, a combination of:</w:t>
            </w:r>
          </w:p>
          <w:p w14:paraId="2E1196DF"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AB1 Nectar Flower Mix with SP9 Threatened Species Supplement.</w:t>
            </w:r>
          </w:p>
          <w:p w14:paraId="73D5A4A7"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AB11 Cultivated Areas for Arable Plants.</w:t>
            </w:r>
          </w:p>
        </w:tc>
      </w:tr>
    </w:tbl>
    <w:p w14:paraId="2352CA2D"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3A22F804"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Sown plant mixes</w:t>
      </w:r>
    </w:p>
    <w:p w14:paraId="6A9178DC"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69D66DBB" w14:textId="5534ED94"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A tailored management option has been devised by an RSPB/Natural England project aimed at providing optimal foraging conditions for </w:t>
      </w:r>
      <w:r w:rsidR="00085172">
        <w:rPr>
          <w:rFonts w:eastAsia="MS Mincho"/>
          <w:sz w:val="20"/>
          <w:szCs w:val="22"/>
          <w:lang w:val="en-GB" w:eastAsia="ja-JP"/>
        </w:rPr>
        <w:t>T</w:t>
      </w:r>
      <w:r w:rsidRPr="00C96521">
        <w:rPr>
          <w:rFonts w:eastAsia="MS Mincho"/>
          <w:sz w:val="20"/>
          <w:szCs w:val="22"/>
          <w:lang w:val="en-GB" w:eastAsia="ja-JP"/>
        </w:rPr>
        <w:t>urtle</w:t>
      </w:r>
      <w:r w:rsidR="00085172">
        <w:rPr>
          <w:rFonts w:eastAsia="MS Mincho"/>
          <w:sz w:val="20"/>
          <w:szCs w:val="22"/>
          <w:lang w:val="en-GB" w:eastAsia="ja-JP"/>
        </w:rPr>
        <w:t xml:space="preserve"> D</w:t>
      </w:r>
      <w:r w:rsidRPr="00C96521">
        <w:rPr>
          <w:rFonts w:eastAsia="MS Mincho"/>
          <w:sz w:val="20"/>
          <w:szCs w:val="22"/>
          <w:lang w:val="en-GB" w:eastAsia="ja-JP"/>
        </w:rPr>
        <w:t xml:space="preserve">oves: early-seeding plants known to be important in the diet within a sparse sward that enables the birds to have access to the seeds on the ground. Two hectares of the plant mix was sown on each of eight sites (six of which ran concurrently) to test the suitability of seed production and access over two-year periods. The sown mix was based on plant species known to be present in turtle-dove diet historically, and was designed to deliver a phenology of different seeds across most the breeding season from May until September. The research trials found that the sown plots provided plentiful seed, but that ground became too overgrown by mid-summer (especially in the second year) to allow </w:t>
      </w:r>
      <w:r w:rsidR="00085172">
        <w:rPr>
          <w:rFonts w:eastAsia="MS Mincho"/>
          <w:sz w:val="20"/>
          <w:szCs w:val="22"/>
          <w:lang w:val="en-GB" w:eastAsia="ja-JP"/>
        </w:rPr>
        <w:t>T</w:t>
      </w:r>
      <w:r w:rsidR="00085172" w:rsidRPr="00C96521">
        <w:rPr>
          <w:rFonts w:eastAsia="MS Mincho"/>
          <w:sz w:val="20"/>
          <w:szCs w:val="22"/>
          <w:lang w:val="en-GB" w:eastAsia="ja-JP"/>
        </w:rPr>
        <w:t>urtle</w:t>
      </w:r>
      <w:r w:rsidR="00085172">
        <w:rPr>
          <w:rFonts w:eastAsia="MS Mincho"/>
          <w:sz w:val="20"/>
          <w:szCs w:val="22"/>
          <w:lang w:val="en-GB" w:eastAsia="ja-JP"/>
        </w:rPr>
        <w:t xml:space="preserve"> Doves</w:t>
      </w:r>
      <w:r w:rsidRPr="00C96521">
        <w:rPr>
          <w:rFonts w:eastAsia="MS Mincho"/>
          <w:sz w:val="20"/>
          <w:szCs w:val="22"/>
          <w:lang w:val="en-GB" w:eastAsia="ja-JP"/>
        </w:rPr>
        <w:t xml:space="preserve">access (Dunn </w:t>
      </w:r>
      <w:r w:rsidRPr="00C96521">
        <w:rPr>
          <w:rFonts w:eastAsia="MS Mincho"/>
          <w:i/>
          <w:sz w:val="20"/>
          <w:szCs w:val="22"/>
          <w:lang w:val="en-GB" w:eastAsia="ja-JP"/>
        </w:rPr>
        <w:t>et al</w:t>
      </w:r>
      <w:r w:rsidRPr="00C96521">
        <w:rPr>
          <w:rFonts w:eastAsia="MS Mincho"/>
          <w:sz w:val="20"/>
          <w:szCs w:val="22"/>
          <w:lang w:val="en-GB" w:eastAsia="ja-JP"/>
        </w:rPr>
        <w:t xml:space="preserve"> 2015). Further management was included to keep the sown mix more open, and has been adopted in the Countryside Stewardship option.</w:t>
      </w:r>
    </w:p>
    <w:p w14:paraId="623C88A8"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47537A2F" w14:textId="5B7E0861"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Sown seed mixes for </w:t>
      </w:r>
      <w:r w:rsidR="00085172">
        <w:rPr>
          <w:rFonts w:eastAsia="MS Mincho"/>
          <w:sz w:val="20"/>
          <w:szCs w:val="22"/>
          <w:lang w:val="en-GB" w:eastAsia="ja-JP"/>
        </w:rPr>
        <w:t>T</w:t>
      </w:r>
      <w:r w:rsidR="00085172" w:rsidRPr="00C96521">
        <w:rPr>
          <w:rFonts w:eastAsia="MS Mincho"/>
          <w:sz w:val="20"/>
          <w:szCs w:val="22"/>
          <w:lang w:val="en-GB" w:eastAsia="ja-JP"/>
        </w:rPr>
        <w:t>urtle</w:t>
      </w:r>
      <w:r w:rsidR="00085172">
        <w:rPr>
          <w:rFonts w:eastAsia="MS Mincho"/>
          <w:sz w:val="20"/>
          <w:szCs w:val="22"/>
          <w:lang w:val="en-GB" w:eastAsia="ja-JP"/>
        </w:rPr>
        <w:t xml:space="preserve"> Doves</w:t>
      </w:r>
      <w:r w:rsidRPr="00C96521">
        <w:rPr>
          <w:rFonts w:eastAsia="MS Mincho"/>
          <w:sz w:val="20"/>
          <w:szCs w:val="22"/>
          <w:lang w:val="en-GB" w:eastAsia="ja-JP"/>
        </w:rPr>
        <w:t xml:space="preserve">in Countryside Stewardship are delivered by a modified version of AB1 Nectar Flower Mix, with the additional costs associated with establishing and managing a modified seed mix specifically for turtle-doves met by the payment of a SP9 Threatened Species Supplement, an additional £120/ha per annum. To tailor this option for </w:t>
      </w:r>
      <w:r w:rsidR="00085172">
        <w:rPr>
          <w:rFonts w:eastAsia="MS Mincho"/>
          <w:sz w:val="20"/>
          <w:szCs w:val="22"/>
          <w:lang w:val="en-GB" w:eastAsia="ja-JP"/>
        </w:rPr>
        <w:t>T</w:t>
      </w:r>
      <w:r w:rsidR="00085172" w:rsidRPr="00C96521">
        <w:rPr>
          <w:rFonts w:eastAsia="MS Mincho"/>
          <w:sz w:val="20"/>
          <w:szCs w:val="22"/>
          <w:lang w:val="en-GB" w:eastAsia="ja-JP"/>
        </w:rPr>
        <w:t>urtle</w:t>
      </w:r>
      <w:r w:rsidR="00085172">
        <w:rPr>
          <w:rFonts w:eastAsia="MS Mincho"/>
          <w:sz w:val="20"/>
          <w:szCs w:val="22"/>
          <w:lang w:val="en-GB" w:eastAsia="ja-JP"/>
        </w:rPr>
        <w:t xml:space="preserve"> Doves</w:t>
      </w:r>
      <w:r w:rsidRPr="00C96521">
        <w:rPr>
          <w:rFonts w:eastAsia="MS Mincho"/>
          <w:sz w:val="20"/>
          <w:szCs w:val="22"/>
          <w:lang w:val="en-GB" w:eastAsia="ja-JP"/>
        </w:rPr>
        <w:t>, specific management must be applied to the AB1 Nectar Flower Mix:</w:t>
      </w:r>
    </w:p>
    <w:p w14:paraId="68833F27"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E1AB275" w14:textId="0CF37AF9" w:rsidR="00C96521" w:rsidRPr="00C96521" w:rsidRDefault="00C96521" w:rsidP="00C96521">
      <w:pPr>
        <w:widowControl/>
        <w:numPr>
          <w:ilvl w:val="0"/>
          <w:numId w:val="44"/>
        </w:numPr>
        <w:autoSpaceDE/>
        <w:autoSpaceDN/>
        <w:adjustRightInd/>
        <w:spacing w:line="276" w:lineRule="auto"/>
        <w:contextualSpacing/>
        <w:rPr>
          <w:rFonts w:eastAsia="MS Mincho"/>
          <w:sz w:val="20"/>
          <w:szCs w:val="22"/>
          <w:lang w:val="en-GB" w:eastAsia="ja-JP"/>
        </w:rPr>
      </w:pPr>
      <w:r w:rsidRPr="00C96521">
        <w:rPr>
          <w:rFonts w:eastAsia="MS Mincho"/>
          <w:sz w:val="20"/>
          <w:szCs w:val="22"/>
          <w:lang w:val="en-GB" w:eastAsia="ja-JP"/>
        </w:rPr>
        <w:t>establish a seed mixture of 25</w:t>
      </w:r>
      <w:r w:rsidR="00085172">
        <w:rPr>
          <w:rFonts w:eastAsia="MS Mincho"/>
          <w:sz w:val="20"/>
          <w:szCs w:val="22"/>
          <w:lang w:val="en-GB" w:eastAsia="ja-JP"/>
        </w:rPr>
        <w:t xml:space="preserve"> per cent</w:t>
      </w:r>
      <w:r w:rsidRPr="00C96521">
        <w:rPr>
          <w:rFonts w:eastAsia="MS Mincho"/>
          <w:sz w:val="20"/>
          <w:szCs w:val="22"/>
          <w:lang w:val="en-GB" w:eastAsia="ja-JP"/>
        </w:rPr>
        <w:t xml:space="preserve"> (by weight) </w:t>
      </w:r>
      <w:r w:rsidRPr="00C96521">
        <w:rPr>
          <w:rFonts w:eastAsia="MS Mincho"/>
          <w:i/>
          <w:sz w:val="20"/>
          <w:szCs w:val="22"/>
          <w:lang w:val="en-GB" w:eastAsia="ja-JP"/>
        </w:rPr>
        <w:t>Vicia sativa</w:t>
      </w:r>
      <w:r w:rsidRPr="00C96521">
        <w:rPr>
          <w:rFonts w:eastAsia="MS Mincho"/>
          <w:sz w:val="20"/>
          <w:szCs w:val="22"/>
          <w:lang w:val="en-GB" w:eastAsia="ja-JP"/>
        </w:rPr>
        <w:t xml:space="preserve"> (variety “early English”), 20</w:t>
      </w:r>
      <w:r w:rsidR="00085172">
        <w:rPr>
          <w:rFonts w:eastAsia="MS Mincho"/>
          <w:sz w:val="20"/>
          <w:szCs w:val="22"/>
          <w:lang w:val="en-GB" w:eastAsia="ja-JP"/>
        </w:rPr>
        <w:t xml:space="preserve"> per cent</w:t>
      </w:r>
      <w:r w:rsidRPr="00C96521">
        <w:rPr>
          <w:rFonts w:eastAsia="MS Mincho"/>
          <w:sz w:val="20"/>
          <w:szCs w:val="22"/>
          <w:lang w:val="en-GB" w:eastAsia="ja-JP"/>
        </w:rPr>
        <w:t xml:space="preserve"> </w:t>
      </w:r>
      <w:r w:rsidRPr="00C96521">
        <w:rPr>
          <w:rFonts w:eastAsia="MS Mincho"/>
          <w:i/>
          <w:sz w:val="20"/>
          <w:szCs w:val="22"/>
          <w:lang w:val="en-GB" w:eastAsia="ja-JP"/>
        </w:rPr>
        <w:t>Lotus corniculatus</w:t>
      </w:r>
      <w:r w:rsidRPr="00C96521">
        <w:rPr>
          <w:rFonts w:eastAsia="MS Mincho"/>
          <w:sz w:val="20"/>
          <w:szCs w:val="22"/>
          <w:lang w:val="en-GB" w:eastAsia="ja-JP"/>
        </w:rPr>
        <w:t>, 20</w:t>
      </w:r>
      <w:r w:rsidR="00085172">
        <w:rPr>
          <w:rFonts w:eastAsia="MS Mincho"/>
          <w:sz w:val="20"/>
          <w:szCs w:val="22"/>
          <w:lang w:val="en-GB" w:eastAsia="ja-JP"/>
        </w:rPr>
        <w:t xml:space="preserve"> per cent</w:t>
      </w:r>
      <w:r w:rsidRPr="00C96521">
        <w:rPr>
          <w:rFonts w:eastAsia="MS Mincho"/>
          <w:sz w:val="20"/>
          <w:szCs w:val="22"/>
          <w:lang w:val="en-GB" w:eastAsia="ja-JP"/>
        </w:rPr>
        <w:t xml:space="preserve"> </w:t>
      </w:r>
      <w:r w:rsidRPr="00C96521">
        <w:rPr>
          <w:rFonts w:eastAsia="MS Mincho"/>
          <w:i/>
          <w:sz w:val="20"/>
          <w:szCs w:val="22"/>
          <w:lang w:val="en-GB" w:eastAsia="ja-JP"/>
        </w:rPr>
        <w:t>Trifolium repens</w:t>
      </w:r>
      <w:r w:rsidRPr="00C96521">
        <w:rPr>
          <w:rFonts w:eastAsia="MS Mincho"/>
          <w:sz w:val="20"/>
          <w:szCs w:val="22"/>
          <w:lang w:val="en-GB" w:eastAsia="ja-JP"/>
        </w:rPr>
        <w:t>, 20</w:t>
      </w:r>
      <w:r w:rsidR="00085172">
        <w:rPr>
          <w:rFonts w:eastAsia="MS Mincho"/>
          <w:sz w:val="20"/>
          <w:szCs w:val="22"/>
          <w:lang w:val="en-GB" w:eastAsia="ja-JP"/>
        </w:rPr>
        <w:t xml:space="preserve"> per cent</w:t>
      </w:r>
      <w:r w:rsidRPr="00C96521">
        <w:rPr>
          <w:rFonts w:eastAsia="MS Mincho"/>
          <w:sz w:val="20"/>
          <w:szCs w:val="22"/>
          <w:lang w:val="en-GB" w:eastAsia="ja-JP"/>
        </w:rPr>
        <w:t xml:space="preserve"> </w:t>
      </w:r>
      <w:r w:rsidRPr="00C96521">
        <w:rPr>
          <w:rFonts w:eastAsia="MS Mincho"/>
          <w:i/>
          <w:sz w:val="20"/>
          <w:szCs w:val="22"/>
          <w:lang w:val="en-GB" w:eastAsia="ja-JP"/>
        </w:rPr>
        <w:t>Medicago lupulina</w:t>
      </w:r>
      <w:r w:rsidRPr="00C96521">
        <w:rPr>
          <w:rFonts w:eastAsia="MS Mincho"/>
          <w:sz w:val="20"/>
          <w:szCs w:val="22"/>
          <w:lang w:val="en-GB" w:eastAsia="ja-JP"/>
        </w:rPr>
        <w:t>, 10</w:t>
      </w:r>
      <w:r w:rsidR="00085172">
        <w:rPr>
          <w:rFonts w:eastAsia="MS Mincho"/>
          <w:sz w:val="20"/>
          <w:szCs w:val="22"/>
          <w:lang w:val="en-GB" w:eastAsia="ja-JP"/>
        </w:rPr>
        <w:t xml:space="preserve"> per cent</w:t>
      </w:r>
      <w:r w:rsidRPr="00C96521">
        <w:rPr>
          <w:rFonts w:eastAsia="MS Mincho"/>
          <w:sz w:val="20"/>
          <w:szCs w:val="22"/>
          <w:lang w:val="en-GB" w:eastAsia="ja-JP"/>
        </w:rPr>
        <w:t xml:space="preserve"> </w:t>
      </w:r>
      <w:r w:rsidRPr="00C96521">
        <w:rPr>
          <w:rFonts w:eastAsia="MS Mincho"/>
          <w:i/>
          <w:sz w:val="20"/>
          <w:szCs w:val="22"/>
          <w:lang w:val="en-GB" w:eastAsia="ja-JP"/>
        </w:rPr>
        <w:t>Trifolium pratense</w:t>
      </w:r>
      <w:r w:rsidRPr="00C96521">
        <w:rPr>
          <w:rFonts w:eastAsia="MS Mincho"/>
          <w:sz w:val="20"/>
          <w:szCs w:val="22"/>
          <w:lang w:val="en-GB" w:eastAsia="ja-JP"/>
        </w:rPr>
        <w:t xml:space="preserve"> and 5</w:t>
      </w:r>
      <w:r w:rsidR="00085172">
        <w:rPr>
          <w:rFonts w:eastAsia="MS Mincho"/>
          <w:sz w:val="20"/>
          <w:szCs w:val="22"/>
          <w:lang w:val="en-GB" w:eastAsia="ja-JP"/>
        </w:rPr>
        <w:t xml:space="preserve"> per cent</w:t>
      </w:r>
      <w:r w:rsidRPr="00C96521">
        <w:rPr>
          <w:rFonts w:eastAsia="MS Mincho"/>
          <w:sz w:val="20"/>
          <w:szCs w:val="22"/>
          <w:lang w:val="en-GB" w:eastAsia="ja-JP"/>
        </w:rPr>
        <w:t xml:space="preserve"> </w:t>
      </w:r>
      <w:r w:rsidRPr="00C96521">
        <w:rPr>
          <w:rFonts w:eastAsia="MS Mincho"/>
          <w:i/>
          <w:sz w:val="20"/>
          <w:szCs w:val="22"/>
          <w:lang w:val="en-GB" w:eastAsia="ja-JP"/>
        </w:rPr>
        <w:t>Fumaria officinalis</w:t>
      </w:r>
      <w:r w:rsidRPr="00C96521">
        <w:rPr>
          <w:rFonts w:eastAsia="MS Mincho"/>
          <w:sz w:val="20"/>
          <w:szCs w:val="22"/>
          <w:lang w:val="en-GB" w:eastAsia="ja-JP"/>
        </w:rPr>
        <w:t xml:space="preserve"> at a seed rate of 10–15 kg/ha;</w:t>
      </w:r>
    </w:p>
    <w:p w14:paraId="313CEC93" w14:textId="4F85365E" w:rsidR="00C96521" w:rsidRPr="00C96521" w:rsidRDefault="00C96521" w:rsidP="00C96521">
      <w:pPr>
        <w:widowControl/>
        <w:numPr>
          <w:ilvl w:val="0"/>
          <w:numId w:val="44"/>
        </w:numPr>
        <w:autoSpaceDE/>
        <w:autoSpaceDN/>
        <w:adjustRightInd/>
        <w:spacing w:line="276" w:lineRule="auto"/>
        <w:contextualSpacing/>
        <w:rPr>
          <w:rFonts w:eastAsia="MS Mincho"/>
          <w:sz w:val="20"/>
          <w:szCs w:val="22"/>
          <w:lang w:val="en-GB" w:eastAsia="ja-JP"/>
        </w:rPr>
      </w:pPr>
      <w:r w:rsidRPr="00C96521">
        <w:rPr>
          <w:rFonts w:eastAsia="MS Mincho"/>
          <w:sz w:val="20"/>
          <w:szCs w:val="22"/>
          <w:lang w:val="en-GB" w:eastAsia="ja-JP"/>
        </w:rPr>
        <w:t>establish in blocks and/or strips between 1 August and 15 October;</w:t>
      </w:r>
    </w:p>
    <w:p w14:paraId="094C947A" w14:textId="4608A548" w:rsidR="00C96521" w:rsidRPr="00C96521" w:rsidRDefault="00C96521" w:rsidP="00C96521">
      <w:pPr>
        <w:widowControl/>
        <w:numPr>
          <w:ilvl w:val="0"/>
          <w:numId w:val="44"/>
        </w:numPr>
        <w:autoSpaceDE/>
        <w:autoSpaceDN/>
        <w:adjustRightInd/>
        <w:spacing w:line="276" w:lineRule="auto"/>
        <w:contextualSpacing/>
        <w:rPr>
          <w:rFonts w:eastAsia="MS Mincho"/>
          <w:sz w:val="20"/>
          <w:szCs w:val="22"/>
          <w:lang w:val="en-GB" w:eastAsia="ja-JP"/>
        </w:rPr>
      </w:pPr>
      <w:r w:rsidRPr="00C96521">
        <w:rPr>
          <w:rFonts w:eastAsia="MS Mincho"/>
          <w:sz w:val="20"/>
          <w:szCs w:val="22"/>
          <w:lang w:val="en-GB" w:eastAsia="ja-JP"/>
        </w:rPr>
        <w:t>rotationally cut 50</w:t>
      </w:r>
      <w:r w:rsidR="00085172">
        <w:rPr>
          <w:rFonts w:eastAsia="MS Mincho"/>
          <w:sz w:val="20"/>
          <w:szCs w:val="22"/>
          <w:lang w:val="en-GB" w:eastAsia="ja-JP"/>
        </w:rPr>
        <w:t xml:space="preserve"> per cent</w:t>
      </w:r>
      <w:r w:rsidRPr="00C96521">
        <w:rPr>
          <w:rFonts w:eastAsia="MS Mincho"/>
          <w:sz w:val="20"/>
          <w:szCs w:val="22"/>
          <w:lang w:val="en-GB" w:eastAsia="ja-JP"/>
        </w:rPr>
        <w:t xml:space="preserve"> of the plot area each year between 15 June and 7 July; do not cut the same area in successive years;</w:t>
      </w:r>
    </w:p>
    <w:p w14:paraId="59E8D453" w14:textId="2C812263" w:rsidR="00C96521" w:rsidRPr="00C96521" w:rsidRDefault="00C96521" w:rsidP="00C96521">
      <w:pPr>
        <w:widowControl/>
        <w:numPr>
          <w:ilvl w:val="0"/>
          <w:numId w:val="44"/>
        </w:numPr>
        <w:autoSpaceDE/>
        <w:autoSpaceDN/>
        <w:adjustRightInd/>
        <w:spacing w:line="276" w:lineRule="auto"/>
        <w:contextualSpacing/>
        <w:rPr>
          <w:rFonts w:eastAsia="MS Mincho"/>
          <w:sz w:val="20"/>
          <w:szCs w:val="22"/>
          <w:lang w:val="en-GB" w:eastAsia="ja-JP"/>
        </w:rPr>
      </w:pPr>
      <w:r w:rsidRPr="00C96521">
        <w:rPr>
          <w:rFonts w:eastAsia="MS Mincho"/>
          <w:sz w:val="20"/>
          <w:szCs w:val="22"/>
          <w:lang w:val="en-GB" w:eastAsia="ja-JP"/>
        </w:rPr>
        <w:t>cut the whole area between 1 September and 30 September, removing cuttings to avoid patches of dead material developing;</w:t>
      </w:r>
    </w:p>
    <w:p w14:paraId="54266358" w14:textId="77777777" w:rsidR="00C96521" w:rsidRPr="00C96521" w:rsidRDefault="00C96521" w:rsidP="00C96521">
      <w:pPr>
        <w:widowControl/>
        <w:numPr>
          <w:ilvl w:val="0"/>
          <w:numId w:val="44"/>
        </w:numPr>
        <w:autoSpaceDE/>
        <w:autoSpaceDN/>
        <w:adjustRightInd/>
        <w:spacing w:line="276" w:lineRule="auto"/>
        <w:contextualSpacing/>
        <w:rPr>
          <w:rFonts w:eastAsia="MS Mincho"/>
          <w:sz w:val="20"/>
          <w:szCs w:val="22"/>
          <w:lang w:val="en-GB" w:eastAsia="ja-JP"/>
        </w:rPr>
      </w:pPr>
      <w:r w:rsidRPr="00C96521">
        <w:rPr>
          <w:rFonts w:eastAsia="MS Mincho"/>
          <w:sz w:val="20"/>
          <w:szCs w:val="22"/>
          <w:lang w:val="en-GB" w:eastAsia="ja-JP"/>
        </w:rPr>
        <w:t>mixes may need to be re-sown every two years.</w:t>
      </w:r>
    </w:p>
    <w:p w14:paraId="5FBE1616"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A623225" w14:textId="6F852193"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Experience from the RSPB/Natural England research project suggests that undertaking these additional management prescriptions are vital to achieve successful establishment and maintenance of suitable conditions for foraging birds during the lifetime of the Countryside Stewardship Agri-environment Agreement. Each plot has to maintain seed production through the season as well as maintain an open and accessible structure with a minimum of 30-50</w:t>
      </w:r>
      <w:r w:rsidR="004D5651">
        <w:rPr>
          <w:rFonts w:eastAsia="MS Mincho"/>
          <w:sz w:val="20"/>
          <w:szCs w:val="22"/>
          <w:lang w:val="en-GB" w:eastAsia="ja-JP"/>
        </w:rPr>
        <w:t xml:space="preserve"> per cent</w:t>
      </w:r>
      <w:r w:rsidR="004D5651" w:rsidRPr="00C96521">
        <w:rPr>
          <w:rFonts w:eastAsia="MS Mincho"/>
          <w:sz w:val="20"/>
          <w:szCs w:val="22"/>
          <w:lang w:val="en-GB" w:eastAsia="ja-JP"/>
        </w:rPr>
        <w:t xml:space="preserve"> </w:t>
      </w:r>
      <w:r w:rsidRPr="00C96521">
        <w:rPr>
          <w:rFonts w:eastAsia="MS Mincho"/>
          <w:sz w:val="20"/>
          <w:szCs w:val="22"/>
          <w:lang w:val="en-GB" w:eastAsia="ja-JP"/>
        </w:rPr>
        <w:t xml:space="preserve">bare ground (Figure 17), which can be a difficult balance to achieve. This is very different from the desired structure of a standard nectar mix plot for pollinating insects. Visiting the plots regularly through the season (and especially in early spring) to determine whether both seed and bare/sparsely vegetated ground are present is highly desirable. </w:t>
      </w:r>
    </w:p>
    <w:p w14:paraId="442A7B59"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2CCAF13B"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noProof/>
          <w:sz w:val="20"/>
          <w:szCs w:val="22"/>
        </w:rPr>
        <w:drawing>
          <wp:inline distT="0" distB="0" distL="0" distR="0" wp14:anchorId="1506EC90" wp14:editId="45ADFFAB">
            <wp:extent cx="5724525" cy="3800475"/>
            <wp:effectExtent l="19050" t="0" r="9525" b="0"/>
            <wp:docPr id="11" name="Picture 3" descr="TD mix ph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D mix photo 1"/>
                    <pic:cNvPicPr>
                      <a:picLocks noChangeAspect="1" noChangeArrowheads="1"/>
                    </pic:cNvPicPr>
                  </pic:nvPicPr>
                  <pic:blipFill>
                    <a:blip r:embed="rId52" cstate="print"/>
                    <a:srcRect/>
                    <a:stretch>
                      <a:fillRect/>
                    </a:stretch>
                  </pic:blipFill>
                  <pic:spPr bwMode="auto">
                    <a:xfrm>
                      <a:off x="0" y="0"/>
                      <a:ext cx="5724525" cy="3800475"/>
                    </a:xfrm>
                    <a:prstGeom prst="rect">
                      <a:avLst/>
                    </a:prstGeom>
                    <a:noFill/>
                    <a:ln w="9525">
                      <a:noFill/>
                      <a:miter lim="800000"/>
                      <a:headEnd/>
                      <a:tailEnd/>
                    </a:ln>
                  </pic:spPr>
                </pic:pic>
              </a:graphicData>
            </a:graphic>
          </wp:inline>
        </w:drawing>
      </w:r>
    </w:p>
    <w:p w14:paraId="00952D7E"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5FEF211"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Figure 17. A well-managed AB1 Nectar Flower Mix with SP9 Threatened Species Supplement, delivering turtle-dove foraging habitat, with open structure and large amounts of bare ground.</w:t>
      </w:r>
    </w:p>
    <w:p w14:paraId="50997854"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AAA012A" w14:textId="4ACA3FE9"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There are indications from the evaluation of 20 Agri-environment Agreements with a pilot version of the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w:t>
      </w:r>
      <w:r w:rsidR="004D5651" w:rsidRPr="00C96521">
        <w:rPr>
          <w:rFonts w:eastAsia="MS Mincho"/>
          <w:sz w:val="20"/>
          <w:szCs w:val="22"/>
          <w:lang w:val="en-GB" w:eastAsia="ja-JP"/>
        </w:rPr>
        <w:t xml:space="preserve">ove </w:t>
      </w:r>
      <w:r w:rsidRPr="00C96521">
        <w:rPr>
          <w:rFonts w:eastAsia="MS Mincho"/>
          <w:sz w:val="20"/>
          <w:szCs w:val="22"/>
          <w:lang w:val="en-GB" w:eastAsia="ja-JP"/>
        </w:rPr>
        <w:t>package that this composition of seed mix may still not be optimal despite some amendments to the management, as 69</w:t>
      </w:r>
      <w:r w:rsidR="004D5651">
        <w:rPr>
          <w:rFonts w:eastAsia="MS Mincho"/>
          <w:sz w:val="20"/>
          <w:szCs w:val="22"/>
          <w:lang w:val="en-GB" w:eastAsia="ja-JP"/>
        </w:rPr>
        <w:t xml:space="preserve"> per cent</w:t>
      </w:r>
      <w:r w:rsidRPr="00C96521">
        <w:rPr>
          <w:rFonts w:eastAsia="MS Mincho"/>
          <w:sz w:val="20"/>
          <w:szCs w:val="22"/>
          <w:lang w:val="en-GB" w:eastAsia="ja-JP"/>
        </w:rPr>
        <w:t xml:space="preserve"> of evaluated plots were deemed to contain insufficient suitable seed or access for turtle-doves (Walker and Morris 2016). In part, this is likely to have been due to the tall, dense structure of modern leguminous cultivars (designed primarily to maximise forage delivery for livestock) coupled with the highly fertile nature of arable fields, which routinely received high input of inorganic nitrogen fertiliser when commercially cropped. The RSPB plans to investigate alternative sown seed mixes further, for example with lower sowing rates/reduced clover content / revised species components, but such evaluations will not take place before 2018 at the earliest. However, Walker and Morris (2016) did find a marginally significant tendency for turtle-dove abundance to increase with increasing area of AB1 Nectar Flower Mix with SP9 Threatened Species Supplement on the 20 turtle-dove package pilot sites.</w:t>
      </w:r>
    </w:p>
    <w:p w14:paraId="56FB6925"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5FD95D3" w14:textId="03357C4A"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Care needs to be taken when deploying plots of sown seed mixes on holdings where there is evidence of or a high likelihood that rare arable plants and/or a high quality (diverse) arable plant assemblage is present. In these situations, locating cultivated plots on the sensitive parts of the holding or on field margins (the first 12</w:t>
      </w:r>
      <w:r w:rsidR="004D5651">
        <w:rPr>
          <w:rFonts w:eastAsia="MS Mincho"/>
          <w:sz w:val="20"/>
          <w:szCs w:val="22"/>
          <w:lang w:val="en-GB" w:eastAsia="ja-JP"/>
        </w:rPr>
        <w:t xml:space="preserve"> </w:t>
      </w:r>
      <w:r w:rsidRPr="00C96521">
        <w:rPr>
          <w:rFonts w:eastAsia="MS Mincho"/>
          <w:sz w:val="20"/>
          <w:szCs w:val="22"/>
          <w:lang w:val="en-GB" w:eastAsia="ja-JP"/>
        </w:rPr>
        <w:t>m</w:t>
      </w:r>
      <w:r w:rsidR="004D5651">
        <w:rPr>
          <w:rFonts w:eastAsia="MS Mincho"/>
          <w:sz w:val="20"/>
          <w:szCs w:val="22"/>
          <w:lang w:val="en-GB" w:eastAsia="ja-JP"/>
        </w:rPr>
        <w:t>etres</w:t>
      </w:r>
      <w:r w:rsidRPr="00C96521">
        <w:rPr>
          <w:rFonts w:eastAsia="MS Mincho"/>
          <w:sz w:val="20"/>
          <w:szCs w:val="22"/>
          <w:lang w:val="en-GB" w:eastAsia="ja-JP"/>
        </w:rPr>
        <w:t xml:space="preserve"> from the field boundary), while employing sown plots elsewhere, may provide a better option. Furthermore, cultivated plots may provide a better option if there are already populations of </w:t>
      </w:r>
      <w:r w:rsidRPr="00C96521">
        <w:rPr>
          <w:rFonts w:eastAsia="MS Mincho"/>
          <w:i/>
          <w:sz w:val="20"/>
          <w:szCs w:val="22"/>
          <w:lang w:val="en-GB" w:eastAsia="ja-JP"/>
        </w:rPr>
        <w:t>Fumaria officinalis</w:t>
      </w:r>
      <w:r w:rsidRPr="00C96521">
        <w:rPr>
          <w:rFonts w:eastAsia="MS Mincho"/>
          <w:sz w:val="20"/>
          <w:szCs w:val="22"/>
          <w:lang w:val="en-GB" w:eastAsia="ja-JP"/>
        </w:rPr>
        <w:t xml:space="preserve"> or other species of small-seeded arable plants present on the holding. Plots should be located on level ground and not adjacent to watercourses, to minimise the risks of soil loss and run-off.</w:t>
      </w:r>
    </w:p>
    <w:p w14:paraId="6C6969E9" w14:textId="77777777" w:rsidR="00C96521" w:rsidRPr="00C96521" w:rsidRDefault="00C96521" w:rsidP="00C96521">
      <w:pPr>
        <w:widowControl/>
        <w:autoSpaceDE/>
        <w:autoSpaceDN/>
        <w:adjustRightInd/>
        <w:spacing w:line="276" w:lineRule="auto"/>
        <w:rPr>
          <w:rFonts w:eastAsia="MS Mincho"/>
          <w:b/>
          <w:i/>
          <w:sz w:val="20"/>
          <w:szCs w:val="22"/>
          <w:lang w:val="en-GB" w:eastAsia="ja-JP"/>
        </w:rPr>
      </w:pPr>
    </w:p>
    <w:p w14:paraId="2310FA92"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Cultivated areas</w:t>
      </w:r>
    </w:p>
    <w:p w14:paraId="5D696E4E"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30B99A2D"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No study has specifically evaluated the benefit of cultivated, uncropped areas in providing a source of naturally-regenerating seed for turtle-doves. However, the Brown and Aebischer (2003a) study of foraging locations from radio-tagged birds, plus anecdotal casual observations, suggest that if managed in the correct way and in the presence of an abundant and diverse seed bank (most likely on lighter sandy or chalky soils or in areas with a shorter, less-intensive history of crop production), cultivated, uncropped areas can provide abundant, accessible sources of seed from arable species known to be present in turtle-dove diet. </w:t>
      </w:r>
    </w:p>
    <w:p w14:paraId="5B5C8324"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71FF145" w14:textId="459658B5"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In England, Agri-environment Schemes have long contained management options that provide for the annual cultivation of uncropped areas for arable plant communities, or ground-nesting birds such as Eurasian </w:t>
      </w:r>
      <w:r w:rsidR="004D5651">
        <w:rPr>
          <w:rFonts w:eastAsia="MS Mincho"/>
          <w:sz w:val="20"/>
          <w:szCs w:val="22"/>
          <w:lang w:val="en-GB" w:eastAsia="ja-JP"/>
        </w:rPr>
        <w:t>S</w:t>
      </w:r>
      <w:r w:rsidRPr="00C96521">
        <w:rPr>
          <w:rFonts w:eastAsia="MS Mincho"/>
          <w:sz w:val="20"/>
          <w:szCs w:val="22"/>
          <w:lang w:val="en-GB" w:eastAsia="ja-JP"/>
        </w:rPr>
        <w:t xml:space="preserve">tone </w:t>
      </w:r>
      <w:r w:rsidR="004D5651">
        <w:rPr>
          <w:rFonts w:eastAsia="MS Mincho"/>
          <w:sz w:val="20"/>
          <w:szCs w:val="22"/>
          <w:lang w:val="en-GB" w:eastAsia="ja-JP"/>
        </w:rPr>
        <w:t>C</w:t>
      </w:r>
      <w:r w:rsidRPr="00C96521">
        <w:rPr>
          <w:rFonts w:eastAsia="MS Mincho"/>
          <w:sz w:val="20"/>
          <w:szCs w:val="22"/>
          <w:lang w:val="en-GB" w:eastAsia="ja-JP"/>
        </w:rPr>
        <w:t>urlew (</w:t>
      </w:r>
      <w:r w:rsidRPr="00C96521">
        <w:rPr>
          <w:rFonts w:eastAsia="MS Mincho"/>
          <w:i/>
          <w:sz w:val="20"/>
          <w:szCs w:val="22"/>
          <w:lang w:val="en-GB" w:eastAsia="ja-JP"/>
        </w:rPr>
        <w:t>Burhinus oedicnemus</w:t>
      </w:r>
      <w:r w:rsidRPr="00C96521">
        <w:rPr>
          <w:rFonts w:eastAsia="MS Mincho"/>
          <w:sz w:val="20"/>
          <w:szCs w:val="22"/>
          <w:lang w:val="en-GB" w:eastAsia="ja-JP"/>
        </w:rPr>
        <w:t xml:space="preserve">) and </w:t>
      </w:r>
      <w:r w:rsidR="004D5651">
        <w:rPr>
          <w:rFonts w:eastAsia="MS Mincho"/>
          <w:sz w:val="20"/>
          <w:szCs w:val="22"/>
          <w:lang w:val="en-GB" w:eastAsia="ja-JP"/>
        </w:rPr>
        <w:t>N</w:t>
      </w:r>
      <w:r w:rsidRPr="00C96521">
        <w:rPr>
          <w:rFonts w:eastAsia="MS Mincho"/>
          <w:sz w:val="20"/>
          <w:szCs w:val="22"/>
          <w:lang w:val="en-GB" w:eastAsia="ja-JP"/>
        </w:rPr>
        <w:t xml:space="preserve">orthern </w:t>
      </w:r>
      <w:r w:rsidR="004D5651">
        <w:rPr>
          <w:rFonts w:eastAsia="MS Mincho"/>
          <w:sz w:val="20"/>
          <w:szCs w:val="22"/>
          <w:lang w:val="en-GB" w:eastAsia="ja-JP"/>
        </w:rPr>
        <w:t>L</w:t>
      </w:r>
      <w:r w:rsidRPr="00C96521">
        <w:rPr>
          <w:rFonts w:eastAsia="MS Mincho"/>
          <w:sz w:val="20"/>
          <w:szCs w:val="22"/>
          <w:lang w:val="en-GB" w:eastAsia="ja-JP"/>
        </w:rPr>
        <w:t>apwing (</w:t>
      </w:r>
      <w:r w:rsidRPr="00C96521">
        <w:rPr>
          <w:rFonts w:eastAsia="MS Mincho"/>
          <w:i/>
          <w:sz w:val="20"/>
          <w:szCs w:val="22"/>
          <w:lang w:val="en-GB" w:eastAsia="ja-JP"/>
        </w:rPr>
        <w:t>Vanellus vanellus</w:t>
      </w:r>
      <w:r w:rsidRPr="00C96521">
        <w:rPr>
          <w:rFonts w:eastAsia="MS Mincho"/>
          <w:sz w:val="20"/>
          <w:szCs w:val="22"/>
          <w:lang w:val="en-GB" w:eastAsia="ja-JP"/>
        </w:rPr>
        <w:t xml:space="preserve">). In Countryside Stewardship, option AB11 provides for the creation of cultivated but uncropped areas for arable plants. Typically, these are field margins, but can also be plots in the field centre, and they are easiest to manage and provide the greatest range of seeds suitable for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Doves</w:t>
      </w:r>
      <w:r w:rsidRPr="00C96521">
        <w:rPr>
          <w:rFonts w:eastAsia="MS Mincho"/>
          <w:sz w:val="20"/>
          <w:szCs w:val="22"/>
          <w:lang w:val="en-GB" w:eastAsia="ja-JP"/>
        </w:rPr>
        <w:t xml:space="preserve">on sites with lighter soils, which tend to have the most species-rich seed banks and lesser populations of difficult to control weeds not commonly found in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w:t>
      </w:r>
      <w:r w:rsidR="004D5651" w:rsidRPr="00C96521">
        <w:rPr>
          <w:rFonts w:eastAsia="MS Mincho"/>
          <w:sz w:val="20"/>
          <w:szCs w:val="22"/>
          <w:lang w:val="en-GB" w:eastAsia="ja-JP"/>
        </w:rPr>
        <w:t xml:space="preserve">ove </w:t>
      </w:r>
      <w:r w:rsidRPr="00C96521">
        <w:rPr>
          <w:rFonts w:eastAsia="MS Mincho"/>
          <w:sz w:val="20"/>
          <w:szCs w:val="22"/>
          <w:lang w:val="en-GB" w:eastAsia="ja-JP"/>
        </w:rPr>
        <w:t xml:space="preserve">diet, such as </w:t>
      </w:r>
      <w:r w:rsidRPr="00C96521">
        <w:rPr>
          <w:rFonts w:eastAsia="MS Mincho"/>
          <w:i/>
          <w:sz w:val="20"/>
          <w:szCs w:val="22"/>
          <w:lang w:val="en-GB" w:eastAsia="ja-JP"/>
        </w:rPr>
        <w:t>Alopecurus myosuroides</w:t>
      </w:r>
      <w:r w:rsidRPr="00C96521">
        <w:rPr>
          <w:rFonts w:eastAsia="MS Mincho"/>
          <w:sz w:val="20"/>
          <w:szCs w:val="22"/>
          <w:lang w:val="en-GB" w:eastAsia="ja-JP"/>
        </w:rPr>
        <w:t xml:space="preserve">. This option works best for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Doves</w:t>
      </w:r>
      <w:r w:rsidRPr="00C96521">
        <w:rPr>
          <w:rFonts w:eastAsia="MS Mincho"/>
          <w:sz w:val="20"/>
          <w:szCs w:val="22"/>
          <w:lang w:val="en-GB" w:eastAsia="ja-JP"/>
        </w:rPr>
        <w:t xml:space="preserve">when autumn-cultivated, to allow time for regenerating plants to set seed, and placed in areas with lower soil fertility and with as few pernicious weeds as possible. On heavy soils, a two-stage cultivation programme, incorporating an autumn cultivation followed by an application of a non-selective herbicide prior to a secondary cultivation completed in early spring, can deliver weed-rich habitat with minimised pernicious weeds. Where appropriate, combining both spring and autumn-cultivated AB11 plots on same the agreement/field and, ideally, in combination with a AB1/SP9 plot, will increase the diversity and resilience of seed food provided to the turtle-doves. The desired outcome is a plot containing arable flora such as </w:t>
      </w:r>
      <w:r w:rsidRPr="00C96521">
        <w:rPr>
          <w:rFonts w:eastAsia="MS Mincho"/>
          <w:i/>
          <w:sz w:val="20"/>
          <w:szCs w:val="22"/>
          <w:lang w:val="en-GB" w:eastAsia="ja-JP"/>
        </w:rPr>
        <w:t>Fumaria officinalis</w:t>
      </w:r>
      <w:r w:rsidRPr="00C96521">
        <w:rPr>
          <w:rFonts w:eastAsia="MS Mincho"/>
          <w:sz w:val="20"/>
          <w:szCs w:val="22"/>
          <w:lang w:val="en-GB" w:eastAsia="ja-JP"/>
        </w:rPr>
        <w:t xml:space="preserve">, </w:t>
      </w:r>
      <w:r w:rsidRPr="00C96521">
        <w:rPr>
          <w:rFonts w:eastAsia="MS Mincho"/>
          <w:i/>
          <w:sz w:val="20"/>
          <w:szCs w:val="22"/>
          <w:lang w:val="en-GB" w:eastAsia="ja-JP"/>
        </w:rPr>
        <w:t>Stellaria media</w:t>
      </w:r>
      <w:r w:rsidRPr="00C96521">
        <w:rPr>
          <w:rFonts w:eastAsia="MS Mincho"/>
          <w:sz w:val="20"/>
          <w:szCs w:val="22"/>
          <w:lang w:val="en-GB" w:eastAsia="ja-JP"/>
        </w:rPr>
        <w:t xml:space="preserve"> and </w:t>
      </w:r>
      <w:r w:rsidRPr="00C96521">
        <w:rPr>
          <w:rFonts w:eastAsia="MS Mincho"/>
          <w:i/>
          <w:sz w:val="20"/>
          <w:szCs w:val="22"/>
          <w:lang w:val="en-GB" w:eastAsia="ja-JP"/>
        </w:rPr>
        <w:t>Anagallis arvensis</w:t>
      </w:r>
      <w:r w:rsidRPr="00C96521">
        <w:rPr>
          <w:rFonts w:eastAsia="MS Mincho"/>
          <w:sz w:val="20"/>
          <w:szCs w:val="22"/>
          <w:lang w:val="en-GB" w:eastAsia="ja-JP"/>
        </w:rPr>
        <w:t xml:space="preserve"> with an open structure that allows foraging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Doves</w:t>
      </w:r>
      <w:r w:rsidRPr="00C96521">
        <w:rPr>
          <w:rFonts w:eastAsia="MS Mincho"/>
          <w:sz w:val="20"/>
          <w:szCs w:val="22"/>
          <w:lang w:val="en-GB" w:eastAsia="ja-JP"/>
        </w:rPr>
        <w:t>access to seeds on the ground (Figure X).</w:t>
      </w:r>
    </w:p>
    <w:p w14:paraId="6F779AD6"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5A7BFB7A"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noProof/>
          <w:sz w:val="20"/>
          <w:szCs w:val="22"/>
        </w:rPr>
        <w:drawing>
          <wp:inline distT="0" distB="0" distL="0" distR="0" wp14:anchorId="3F36152B" wp14:editId="18D6E87E">
            <wp:extent cx="4567508" cy="2653145"/>
            <wp:effectExtent l="19050" t="0" r="4492" b="0"/>
            <wp:docPr id="17" name="Picture 7" descr="C:\Users\m290597\AppData\Local\Microsoft\Windows\Temporary Internet Files\Content.Outlook\C4UIA8LM\F3_3_block_visi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290597\AppData\Local\Microsoft\Windows\Temporary Internet Files\Content.Outlook\C4UIA8LM\F3_3_block_visit2.JPG"/>
                    <pic:cNvPicPr>
                      <a:picLocks noChangeAspect="1" noChangeArrowheads="1"/>
                    </pic:cNvPicPr>
                  </pic:nvPicPr>
                  <pic:blipFill>
                    <a:blip r:embed="rId53" cstate="print">
                      <a:extLst>
                        <a:ext uri="{28A0092B-C50C-407E-A947-70E740481C1C}">
                          <a14:useLocalDpi xmlns:a14="http://schemas.microsoft.com/office/drawing/2010/main" val="0"/>
                        </a:ext>
                      </a:extLst>
                    </a:blip>
                    <a:srcRect t="22607"/>
                    <a:stretch>
                      <a:fillRect/>
                    </a:stretch>
                  </pic:blipFill>
                  <pic:spPr bwMode="auto">
                    <a:xfrm>
                      <a:off x="0" y="0"/>
                      <a:ext cx="4567508" cy="2653145"/>
                    </a:xfrm>
                    <a:prstGeom prst="rect">
                      <a:avLst/>
                    </a:prstGeom>
                    <a:noFill/>
                    <a:ln>
                      <a:noFill/>
                    </a:ln>
                  </pic:spPr>
                </pic:pic>
              </a:graphicData>
            </a:graphic>
          </wp:inline>
        </w:drawing>
      </w:r>
    </w:p>
    <w:p w14:paraId="616B5B59"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6E9C51FA" w14:textId="292D8E38"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 xml:space="preserve">Figure 18. A well-managed uncropped AB11 plot delivering suitable foraging habitat for </w:t>
      </w:r>
      <w:r w:rsidR="004D5651">
        <w:rPr>
          <w:rFonts w:eastAsia="MS Mincho"/>
          <w:i/>
          <w:sz w:val="20"/>
          <w:szCs w:val="22"/>
          <w:lang w:val="en-GB" w:eastAsia="ja-JP"/>
        </w:rPr>
        <w:t>T</w:t>
      </w:r>
      <w:r w:rsidRPr="00C96521">
        <w:rPr>
          <w:rFonts w:eastAsia="MS Mincho"/>
          <w:i/>
          <w:sz w:val="20"/>
          <w:szCs w:val="22"/>
          <w:lang w:val="en-GB" w:eastAsia="ja-JP"/>
        </w:rPr>
        <w:t>urtle</w:t>
      </w:r>
      <w:r w:rsidR="004D5651">
        <w:rPr>
          <w:rFonts w:eastAsia="MS Mincho"/>
          <w:i/>
          <w:sz w:val="20"/>
          <w:szCs w:val="22"/>
          <w:lang w:val="en-GB" w:eastAsia="ja-JP"/>
        </w:rPr>
        <w:t xml:space="preserve"> D</w:t>
      </w:r>
      <w:r w:rsidRPr="00C96521">
        <w:rPr>
          <w:rFonts w:eastAsia="MS Mincho"/>
          <w:i/>
          <w:sz w:val="20"/>
          <w:szCs w:val="22"/>
          <w:lang w:val="en-GB" w:eastAsia="ja-JP"/>
        </w:rPr>
        <w:t>oves.</w:t>
      </w:r>
    </w:p>
    <w:p w14:paraId="7E01CC31"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603750E"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If undesirable weeds such as black-grass </w:t>
      </w:r>
      <w:r w:rsidRPr="00C96521">
        <w:rPr>
          <w:rFonts w:eastAsia="MS Mincho"/>
          <w:i/>
          <w:sz w:val="20"/>
          <w:szCs w:val="22"/>
          <w:lang w:val="en-GB" w:eastAsia="ja-JP"/>
        </w:rPr>
        <w:t>Alopecurus myosuroides</w:t>
      </w:r>
      <w:r w:rsidRPr="00C96521">
        <w:rPr>
          <w:rFonts w:eastAsia="MS Mincho"/>
          <w:sz w:val="20"/>
          <w:szCs w:val="22"/>
          <w:lang w:val="en-GB" w:eastAsia="ja-JP"/>
        </w:rPr>
        <w:t xml:space="preserve"> start to build up, the timing and depth of cultivation can be changed to break the life cycle of the weeds, or the plot can be rotated around different edges of the same field. Alternatively, the following herbicide control options can be considered:</w:t>
      </w:r>
    </w:p>
    <w:p w14:paraId="40155A06" w14:textId="77777777" w:rsidR="004D5651" w:rsidRDefault="004D5651" w:rsidP="00C96521">
      <w:pPr>
        <w:widowControl/>
        <w:autoSpaceDE/>
        <w:autoSpaceDN/>
        <w:adjustRightInd/>
        <w:spacing w:line="276" w:lineRule="auto"/>
        <w:rPr>
          <w:rFonts w:eastAsia="MS Mincho"/>
          <w:sz w:val="20"/>
          <w:szCs w:val="22"/>
          <w:lang w:val="en-GB" w:eastAsia="ja-JP"/>
        </w:rPr>
      </w:pPr>
    </w:p>
    <w:p w14:paraId="6DAE5A4C" w14:textId="0115E596"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where rare arable plants are present but the perennial weed burden is impacting on the growth, the use of a non-selective herbicide in September will control the perennial species with minimal damage to the rare annual species, which will have largely seeded by the autumn;</w:t>
      </w:r>
    </w:p>
    <w:p w14:paraId="54CB08FF" w14:textId="6DB9AB4B"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where rare arable plants are not present, applying a non-selective herbicide to control grass weeds such as </w:t>
      </w:r>
      <w:r w:rsidRPr="00C96521">
        <w:rPr>
          <w:rFonts w:eastAsia="MS Mincho"/>
          <w:i/>
          <w:sz w:val="20"/>
          <w:szCs w:val="22"/>
          <w:lang w:val="en-GB" w:eastAsia="ja-JP"/>
        </w:rPr>
        <w:t>A. myosuroides</w:t>
      </w:r>
      <w:r w:rsidRPr="00C96521">
        <w:rPr>
          <w:rFonts w:eastAsia="MS Mincho"/>
          <w:sz w:val="20"/>
          <w:szCs w:val="22"/>
          <w:lang w:val="en-GB" w:eastAsia="ja-JP"/>
        </w:rPr>
        <w:t xml:space="preserve"> following an autumn cultivation and prior to a secondary cultivation pass can be considered to help maintain an acceptable level of weed control, without jeopardi</w:t>
      </w:r>
      <w:r w:rsidR="004D5651">
        <w:rPr>
          <w:rFonts w:eastAsia="MS Mincho"/>
          <w:sz w:val="20"/>
          <w:szCs w:val="22"/>
          <w:lang w:val="en-GB" w:eastAsia="ja-JP"/>
        </w:rPr>
        <w:t>z</w:t>
      </w:r>
      <w:r w:rsidRPr="00C96521">
        <w:rPr>
          <w:rFonts w:eastAsia="MS Mincho"/>
          <w:sz w:val="20"/>
          <w:szCs w:val="22"/>
          <w:lang w:val="en-GB" w:eastAsia="ja-JP"/>
        </w:rPr>
        <w:t>ing the delivery of the outcome of seed-rich, open foraging habitat for turtle-dove; this should only be carried out if there are high levels of undesirable weeds, adopting a three-stage approach: (1) cultivate the option area between 1 August and 1 November each year to stimulate a flush of autumn germinating weeds such as black-grass (up to two passes with primary and secondary cultivation implements can be completed); (2) spray off the resultant weed flush by 15 February using a non-selective herbicide; and (3) complete a final cultivation to achieve a firm, fine tilth by 15 March; this final cultivation is intended to generate a flush of spring germinating annual plants which are taken by many farmland birds; do not disturb fallow areas until 31 August.</w:t>
      </w:r>
    </w:p>
    <w:p w14:paraId="0C25145A"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058A81E3"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Implementing management of nesting and foraging habitats on a single site</w:t>
      </w:r>
    </w:p>
    <w:p w14:paraId="2DA595FE"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4477F16A" w14:textId="337E6FEC"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Agri-environment Schemes are the main mechanism for delivering the sympathetic management of farmland for </w:t>
      </w:r>
      <w:r w:rsidR="004D5651">
        <w:rPr>
          <w:rFonts w:eastAsia="MS Mincho"/>
          <w:sz w:val="20"/>
          <w:szCs w:val="22"/>
          <w:lang w:val="en-GB" w:eastAsia="ja-JP"/>
        </w:rPr>
        <w:t>T</w:t>
      </w:r>
      <w:r w:rsidRPr="00C96521">
        <w:rPr>
          <w:rFonts w:eastAsia="MS Mincho"/>
          <w:sz w:val="20"/>
          <w:szCs w:val="22"/>
          <w:lang w:val="en-GB" w:eastAsia="ja-JP"/>
        </w:rPr>
        <w:t>urtle</w:t>
      </w:r>
      <w:r w:rsidR="004D5651">
        <w:rPr>
          <w:rFonts w:eastAsia="MS Mincho"/>
          <w:sz w:val="20"/>
          <w:szCs w:val="22"/>
          <w:lang w:val="en-GB" w:eastAsia="ja-JP"/>
        </w:rPr>
        <w:t xml:space="preserve"> D</w:t>
      </w:r>
      <w:r w:rsidRPr="00C96521">
        <w:rPr>
          <w:rFonts w:eastAsia="MS Mincho"/>
          <w:sz w:val="20"/>
          <w:szCs w:val="22"/>
          <w:lang w:val="en-GB" w:eastAsia="ja-JP"/>
        </w:rPr>
        <w:t xml:space="preserve">oves in the UK. Previous Agri-environment Schemes have failed to halt declines at the regional or national levels, while evaluations of the Entry and Higher Levels of Environmental Stewardship in England detected no relationship between the presence or extent of agri-environment and trends in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w:t>
      </w:r>
      <w:r w:rsidR="004D5651" w:rsidRPr="00C96521">
        <w:rPr>
          <w:rFonts w:eastAsia="MS Mincho"/>
          <w:sz w:val="20"/>
          <w:szCs w:val="22"/>
          <w:lang w:val="en-GB" w:eastAsia="ja-JP"/>
        </w:rPr>
        <w:t xml:space="preserve">ove </w:t>
      </w:r>
      <w:r w:rsidRPr="00C96521">
        <w:rPr>
          <w:rFonts w:eastAsia="MS Mincho"/>
          <w:sz w:val="20"/>
          <w:szCs w:val="22"/>
          <w:lang w:val="en-GB" w:eastAsia="ja-JP"/>
        </w:rPr>
        <w:t xml:space="preserve">abundance (Baker </w:t>
      </w:r>
      <w:r w:rsidRPr="00C96521">
        <w:rPr>
          <w:rFonts w:eastAsia="MS Mincho"/>
          <w:i/>
          <w:sz w:val="20"/>
          <w:szCs w:val="22"/>
          <w:lang w:val="en-GB" w:eastAsia="ja-JP"/>
        </w:rPr>
        <w:t>et al</w:t>
      </w:r>
      <w:r w:rsidRPr="00C96521">
        <w:rPr>
          <w:rFonts w:eastAsia="MS Mincho"/>
          <w:sz w:val="20"/>
          <w:szCs w:val="22"/>
          <w:lang w:val="en-GB" w:eastAsia="ja-JP"/>
        </w:rPr>
        <w:t xml:space="preserve"> 2012, Bright </w:t>
      </w:r>
      <w:r w:rsidRPr="00C96521">
        <w:rPr>
          <w:rFonts w:eastAsia="MS Mincho"/>
          <w:i/>
          <w:sz w:val="20"/>
          <w:szCs w:val="22"/>
          <w:lang w:val="en-GB" w:eastAsia="ja-JP"/>
        </w:rPr>
        <w:t>et al</w:t>
      </w:r>
      <w:r w:rsidRPr="00C96521">
        <w:rPr>
          <w:rFonts w:eastAsia="MS Mincho"/>
          <w:sz w:val="20"/>
          <w:szCs w:val="22"/>
          <w:lang w:val="en-GB" w:eastAsia="ja-JP"/>
        </w:rPr>
        <w:t xml:space="preserve"> 2015). At least in part, this may be due to the lack of suitable options (particularly for foraging habitat) in the schemes. In view of the ongoing, steep decline, a species recovery initiative </w:t>
      </w:r>
      <w:r w:rsidRPr="00C96521">
        <w:rPr>
          <w:rFonts w:eastAsia="MS Mincho"/>
          <w:i/>
          <w:sz w:val="20"/>
          <w:szCs w:val="22"/>
          <w:lang w:val="en-GB" w:eastAsia="ja-JP"/>
        </w:rPr>
        <w:t>Operation Turtle-dove</w:t>
      </w:r>
      <w:r w:rsidRPr="00C96521">
        <w:rPr>
          <w:rFonts w:eastAsia="MS Mincho"/>
          <w:sz w:val="20"/>
          <w:szCs w:val="22"/>
          <w:lang w:val="en-GB" w:eastAsia="ja-JP"/>
        </w:rPr>
        <w:t xml:space="preserve"> (</w:t>
      </w:r>
      <w:r w:rsidRPr="00C96521">
        <w:rPr>
          <w:rFonts w:eastAsia="MS Mincho" w:cs="Arial"/>
          <w:sz w:val="20"/>
          <w:szCs w:val="20"/>
          <w:lang w:val="en-GB" w:eastAsia="ja-JP"/>
        </w:rPr>
        <w:t>http://operationturtledove.org</w:t>
      </w:r>
      <w:r w:rsidRPr="00C96521">
        <w:rPr>
          <w:rFonts w:eastAsia="MS Mincho"/>
          <w:sz w:val="20"/>
          <w:szCs w:val="22"/>
          <w:lang w:val="en-GB" w:eastAsia="ja-JP"/>
        </w:rPr>
        <w:t xml:space="preserve">) was set up by RSPB, Conservation Grade, Pensthorpe Trust and Natural England to carry out a range of targeted actions, including promotion of turtle-dove-friendly land management to farmers through Agri-environment Schemes. </w:t>
      </w:r>
    </w:p>
    <w:p w14:paraId="48753591"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5394CF25" w14:textId="65BDA63F"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Forming the basis of effective land management was the need to develop a package of measures that provided all of the ecological requirements of the species during the breeding season on a single agreement (site) in sufficient quantity and in appropriate locations. Although adult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Doves</w:t>
      </w:r>
      <w:r w:rsidRPr="00C96521">
        <w:rPr>
          <w:rFonts w:eastAsia="MS Mincho"/>
          <w:sz w:val="20"/>
          <w:szCs w:val="22"/>
          <w:lang w:val="en-GB" w:eastAsia="ja-JP"/>
        </w:rPr>
        <w:t xml:space="preserve">can forage and move between nest sites over distances of several kilometres, this is likely to entail a high energetic cost. During the first three weeks post-fledging, juveniles spend more than half their time within </w:t>
      </w:r>
      <w:r w:rsidRPr="00C96521">
        <w:rPr>
          <w:rFonts w:ascii="Cambria Math" w:eastAsia="MS Mincho" w:hAnsi="Cambria Math"/>
          <w:sz w:val="20"/>
          <w:szCs w:val="22"/>
          <w:lang w:val="en-GB" w:eastAsia="ja-JP"/>
        </w:rPr>
        <w:t>∼</w:t>
      </w:r>
      <w:r w:rsidRPr="00C96521">
        <w:rPr>
          <w:rFonts w:eastAsia="MS Mincho"/>
          <w:sz w:val="20"/>
          <w:szCs w:val="22"/>
          <w:lang w:val="en-GB" w:eastAsia="ja-JP"/>
        </w:rPr>
        <w:t>20 m</w:t>
      </w:r>
      <w:r w:rsidR="004D5651">
        <w:rPr>
          <w:rFonts w:eastAsia="MS Mincho"/>
          <w:sz w:val="20"/>
          <w:szCs w:val="22"/>
          <w:lang w:val="en-GB" w:eastAsia="ja-JP"/>
        </w:rPr>
        <w:t>etres</w:t>
      </w:r>
      <w:r w:rsidRPr="00C96521">
        <w:rPr>
          <w:rFonts w:eastAsia="MS Mincho"/>
          <w:sz w:val="20"/>
          <w:szCs w:val="22"/>
          <w:lang w:val="en-GB" w:eastAsia="ja-JP"/>
        </w:rPr>
        <w:t xml:space="preserve"> of the nest site (with 95</w:t>
      </w:r>
      <w:r w:rsidR="004D5651">
        <w:rPr>
          <w:rFonts w:eastAsia="MS Mincho"/>
          <w:sz w:val="20"/>
          <w:szCs w:val="22"/>
          <w:lang w:val="en-GB" w:eastAsia="ja-JP"/>
        </w:rPr>
        <w:t xml:space="preserve"> per cent</w:t>
      </w:r>
      <w:r w:rsidR="004D5651" w:rsidRPr="00C96521">
        <w:rPr>
          <w:rFonts w:eastAsia="MS Mincho"/>
          <w:sz w:val="20"/>
          <w:szCs w:val="22"/>
          <w:lang w:val="en-GB" w:eastAsia="ja-JP"/>
        </w:rPr>
        <w:t xml:space="preserve"> </w:t>
      </w:r>
      <w:r w:rsidRPr="00C96521">
        <w:rPr>
          <w:rFonts w:eastAsia="MS Mincho"/>
          <w:sz w:val="20"/>
          <w:szCs w:val="22"/>
          <w:lang w:val="en-GB" w:eastAsia="ja-JP"/>
        </w:rPr>
        <w:t>of foraging trips within 329 m</w:t>
      </w:r>
      <w:r w:rsidR="004D5651">
        <w:rPr>
          <w:rFonts w:eastAsia="MS Mincho"/>
          <w:sz w:val="20"/>
          <w:szCs w:val="22"/>
          <w:lang w:val="en-GB" w:eastAsia="ja-JP"/>
        </w:rPr>
        <w:t>etres</w:t>
      </w:r>
      <w:r w:rsidRPr="00C96521">
        <w:rPr>
          <w:rFonts w:eastAsia="MS Mincho"/>
          <w:sz w:val="20"/>
          <w:szCs w:val="22"/>
          <w:lang w:val="en-GB" w:eastAsia="ja-JP"/>
        </w:rPr>
        <w:t xml:space="preserve"> of the nest), where they select seed-rich habitat. Fledglings that were heavier and in better body condition at seven days old were more likely to survive for 30 days post-fledging, and the proportion of available seed-rich habitat was a strong predictor of nestling weight and condition at seven days old (Dunn </w:t>
      </w:r>
      <w:r w:rsidRPr="00C96521">
        <w:rPr>
          <w:rFonts w:eastAsia="MS Mincho"/>
          <w:i/>
          <w:sz w:val="20"/>
          <w:szCs w:val="22"/>
          <w:lang w:val="en-GB" w:eastAsia="ja-JP"/>
        </w:rPr>
        <w:t>et al</w:t>
      </w:r>
      <w:r w:rsidRPr="00C96521">
        <w:rPr>
          <w:rFonts w:eastAsia="MS Mincho"/>
          <w:sz w:val="20"/>
          <w:szCs w:val="22"/>
          <w:lang w:val="en-GB" w:eastAsia="ja-JP"/>
        </w:rPr>
        <w:t xml:space="preserve"> 2016a). Therefore, providing both nesting and foraging requirements on a single site is likely to be highly advantageous for the species. Providing a range of different foraging habitats (sown and natural-regeneration from cultivation) within the same agreement can provide a more diverse and resilient supply of accessible seed food. </w:t>
      </w:r>
    </w:p>
    <w:p w14:paraId="0EDBA59F"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B6D7CD0" w14:textId="6126204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Between 2013 and 2015, the types of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Dove</w:t>
      </w:r>
      <w:r w:rsidRPr="00C96521">
        <w:rPr>
          <w:rFonts w:eastAsia="MS Mincho"/>
          <w:sz w:val="20"/>
          <w:szCs w:val="22"/>
          <w:lang w:val="en-GB" w:eastAsia="ja-JP"/>
        </w:rPr>
        <w:t>-friendly nesting and foraging habitats outlined previously, plus other possibly suitable agri-environment measures, were rolled out in combination in a pilot project on test the efficacy of a “</w:t>
      </w:r>
      <w:r w:rsidR="004D5651">
        <w:rPr>
          <w:rFonts w:eastAsia="MS Mincho"/>
          <w:sz w:val="20"/>
          <w:szCs w:val="22"/>
          <w:lang w:val="en-GB" w:eastAsia="ja-JP"/>
        </w:rPr>
        <w:t>Tu</w:t>
      </w:r>
      <w:r w:rsidRPr="00C96521">
        <w:rPr>
          <w:rFonts w:eastAsia="MS Mincho"/>
          <w:sz w:val="20"/>
          <w:szCs w:val="22"/>
          <w:lang w:val="en-GB" w:eastAsia="ja-JP"/>
        </w:rPr>
        <w:t>rtle</w:t>
      </w:r>
      <w:r w:rsidR="004D5651">
        <w:rPr>
          <w:rFonts w:eastAsia="MS Mincho"/>
          <w:sz w:val="20"/>
          <w:szCs w:val="22"/>
          <w:lang w:val="en-GB" w:eastAsia="ja-JP"/>
        </w:rPr>
        <w:t xml:space="preserve"> D</w:t>
      </w:r>
      <w:r w:rsidRPr="00C96521">
        <w:rPr>
          <w:rFonts w:eastAsia="MS Mincho"/>
          <w:sz w:val="20"/>
          <w:szCs w:val="22"/>
          <w:lang w:val="en-GB" w:eastAsia="ja-JP"/>
        </w:rPr>
        <w:t xml:space="preserve">oves package”. Pilot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w:t>
      </w:r>
      <w:r w:rsidR="004D5651" w:rsidRPr="00C96521">
        <w:rPr>
          <w:rFonts w:eastAsia="MS Mincho"/>
          <w:sz w:val="20"/>
          <w:szCs w:val="22"/>
          <w:lang w:val="en-GB" w:eastAsia="ja-JP"/>
        </w:rPr>
        <w:t>ove</w:t>
      </w:r>
      <w:r w:rsidRPr="00C96521">
        <w:rPr>
          <w:rFonts w:eastAsia="MS Mincho"/>
          <w:sz w:val="20"/>
          <w:szCs w:val="22"/>
          <w:lang w:val="en-GB" w:eastAsia="ja-JP"/>
        </w:rPr>
        <w:t xml:space="preserve"> package agreements were set up on a number of Higher Level Stewardship (HLS) sites in Eastern England with recent records of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Doves</w:t>
      </w:r>
      <w:r w:rsidRPr="00C96521">
        <w:rPr>
          <w:rFonts w:eastAsia="MS Mincho"/>
          <w:sz w:val="20"/>
          <w:szCs w:val="22"/>
          <w:lang w:val="en-GB" w:eastAsia="ja-JP"/>
        </w:rPr>
        <w:t xml:space="preserve">nearby. HLS was the higher-tier of the Environmental Stewardship Agri-environment Scheme available (on a competitive basis) to farmers in England from 2006 until the end of 2015. Twenty HLS agreements with packages of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Dove</w:t>
      </w:r>
      <w:r w:rsidRPr="00C96521">
        <w:rPr>
          <w:rFonts w:eastAsia="MS Mincho"/>
          <w:sz w:val="20"/>
          <w:szCs w:val="22"/>
          <w:lang w:val="en-GB" w:eastAsia="ja-JP"/>
        </w:rPr>
        <w:t xml:space="preserve">-friendly management were surveyed in summer 2015 and found to have a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w:t>
      </w:r>
      <w:r w:rsidR="004D5651" w:rsidRPr="00C96521">
        <w:rPr>
          <w:rFonts w:eastAsia="MS Mincho"/>
          <w:sz w:val="20"/>
          <w:szCs w:val="22"/>
          <w:lang w:val="en-GB" w:eastAsia="ja-JP"/>
        </w:rPr>
        <w:t>ove</w:t>
      </w:r>
      <w:r w:rsidRPr="00C96521">
        <w:rPr>
          <w:rFonts w:eastAsia="MS Mincho"/>
          <w:sz w:val="20"/>
          <w:szCs w:val="22"/>
          <w:lang w:val="en-GB" w:eastAsia="ja-JP"/>
        </w:rPr>
        <w:t xml:space="preserve"> occupancy rate of 45</w:t>
      </w:r>
      <w:r w:rsidR="004D5651">
        <w:rPr>
          <w:rFonts w:eastAsia="MS Mincho"/>
          <w:sz w:val="20"/>
          <w:szCs w:val="22"/>
          <w:lang w:val="en-GB" w:eastAsia="ja-JP"/>
        </w:rPr>
        <w:t xml:space="preserve"> per cent</w:t>
      </w:r>
      <w:r w:rsidRPr="00C96521">
        <w:rPr>
          <w:rFonts w:eastAsia="MS Mincho"/>
          <w:sz w:val="20"/>
          <w:szCs w:val="22"/>
          <w:lang w:val="en-GB" w:eastAsia="ja-JP"/>
        </w:rPr>
        <w:t xml:space="preserve"> (corrected to 64.3</w:t>
      </w:r>
      <w:r w:rsidR="004D5651">
        <w:rPr>
          <w:rFonts w:eastAsia="MS Mincho"/>
          <w:sz w:val="20"/>
          <w:szCs w:val="22"/>
          <w:lang w:val="en-GB" w:eastAsia="ja-JP"/>
        </w:rPr>
        <w:t xml:space="preserve"> per cent</w:t>
      </w:r>
      <w:r w:rsidRPr="00C96521">
        <w:rPr>
          <w:rFonts w:eastAsia="MS Mincho"/>
          <w:sz w:val="20"/>
          <w:szCs w:val="22"/>
          <w:lang w:val="en-GB" w:eastAsia="ja-JP"/>
        </w:rPr>
        <w:t>, when controlling for the 70</w:t>
      </w:r>
      <w:r w:rsidR="004D5651">
        <w:rPr>
          <w:rFonts w:eastAsia="MS Mincho"/>
          <w:sz w:val="20"/>
          <w:szCs w:val="22"/>
          <w:lang w:val="en-GB" w:eastAsia="ja-JP"/>
        </w:rPr>
        <w:t xml:space="preserve"> per cent</w:t>
      </w:r>
      <w:r w:rsidRPr="00C96521">
        <w:rPr>
          <w:rFonts w:eastAsia="MS Mincho"/>
          <w:sz w:val="20"/>
          <w:szCs w:val="22"/>
          <w:lang w:val="en-GB" w:eastAsia="ja-JP"/>
        </w:rPr>
        <w:t xml:space="preserve"> detection rate of the survey methodology), against the backdrop of an ongoing, steep decline in the species, and the fact that most management had only been implemented for 1-2 years. 58</w:t>
      </w:r>
      <w:r w:rsidR="004D5651">
        <w:rPr>
          <w:rFonts w:eastAsia="MS Mincho"/>
          <w:sz w:val="20"/>
          <w:szCs w:val="22"/>
          <w:lang w:val="en-GB" w:eastAsia="ja-JP"/>
        </w:rPr>
        <w:t xml:space="preserve"> per cent</w:t>
      </w:r>
      <w:r w:rsidRPr="00C96521">
        <w:rPr>
          <w:rFonts w:eastAsia="MS Mincho"/>
          <w:sz w:val="20"/>
          <w:szCs w:val="22"/>
          <w:lang w:val="en-GB" w:eastAsia="ja-JP"/>
        </w:rPr>
        <w:t xml:space="preserve"> of evaluated sections of tall hedges and scrub provided potentially suitable nesting sites, but only 31</w:t>
      </w:r>
      <w:r w:rsidR="004D5651">
        <w:rPr>
          <w:rFonts w:eastAsia="MS Mincho"/>
          <w:sz w:val="20"/>
          <w:szCs w:val="22"/>
          <w:lang w:val="en-GB" w:eastAsia="ja-JP"/>
        </w:rPr>
        <w:t xml:space="preserve"> per cent</w:t>
      </w:r>
      <w:r w:rsidRPr="00C96521">
        <w:rPr>
          <w:rFonts w:eastAsia="MS Mincho"/>
          <w:sz w:val="20"/>
          <w:szCs w:val="22"/>
          <w:lang w:val="en-GB" w:eastAsia="ja-JP"/>
        </w:rPr>
        <w:t xml:space="preserve"> of evaluated foraging habitat was considered suitable, the most common reason for unsuitability being a lack of bare ground. Despite the suboptimal delivery of access to seed on the ground, there was a marginally significant tendency for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w:t>
      </w:r>
      <w:r w:rsidR="004D5651" w:rsidRPr="00C96521">
        <w:rPr>
          <w:rFonts w:eastAsia="MS Mincho"/>
          <w:sz w:val="20"/>
          <w:szCs w:val="22"/>
          <w:lang w:val="en-GB" w:eastAsia="ja-JP"/>
        </w:rPr>
        <w:t>ove</w:t>
      </w:r>
      <w:r w:rsidRPr="00C96521">
        <w:rPr>
          <w:rFonts w:eastAsia="MS Mincho"/>
          <w:sz w:val="20"/>
          <w:szCs w:val="22"/>
          <w:lang w:val="en-GB" w:eastAsia="ja-JP"/>
        </w:rPr>
        <w:t xml:space="preserve"> abundance to increase with increasing area of nectar flower mix with threatened species supplement, on the agreements. 80</w:t>
      </w:r>
      <w:r w:rsidR="004D5651">
        <w:rPr>
          <w:rFonts w:eastAsia="MS Mincho"/>
          <w:sz w:val="20"/>
          <w:szCs w:val="22"/>
          <w:lang w:val="en-GB" w:eastAsia="ja-JP"/>
        </w:rPr>
        <w:t xml:space="preserve"> per cent</w:t>
      </w:r>
      <w:r w:rsidRPr="00C96521">
        <w:rPr>
          <w:rFonts w:eastAsia="MS Mincho"/>
          <w:sz w:val="20"/>
          <w:szCs w:val="22"/>
          <w:lang w:val="en-GB" w:eastAsia="ja-JP"/>
        </w:rPr>
        <w:t xml:space="preserve"> of the evaluated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w:t>
      </w:r>
      <w:r w:rsidR="004D5651" w:rsidRPr="00C96521">
        <w:rPr>
          <w:rFonts w:eastAsia="MS Mincho"/>
          <w:sz w:val="20"/>
          <w:szCs w:val="22"/>
          <w:lang w:val="en-GB" w:eastAsia="ja-JP"/>
        </w:rPr>
        <w:t>ove</w:t>
      </w:r>
      <w:r w:rsidRPr="00C96521">
        <w:rPr>
          <w:rFonts w:eastAsia="MS Mincho"/>
          <w:sz w:val="20"/>
          <w:szCs w:val="22"/>
          <w:lang w:val="en-GB" w:eastAsia="ja-JP"/>
        </w:rPr>
        <w:t xml:space="preserve"> package agreements succeeded in providing some potential nesting and foraging habitat in very close proximity (&lt;150m), although this fell to 45</w:t>
      </w:r>
      <w:r w:rsidR="004D5651">
        <w:rPr>
          <w:rFonts w:eastAsia="MS Mincho"/>
          <w:sz w:val="20"/>
          <w:szCs w:val="22"/>
          <w:lang w:val="en-GB" w:eastAsia="ja-JP"/>
        </w:rPr>
        <w:t xml:space="preserve"> per cent</w:t>
      </w:r>
      <w:r w:rsidRPr="00C96521">
        <w:rPr>
          <w:rFonts w:eastAsia="MS Mincho"/>
          <w:sz w:val="20"/>
          <w:szCs w:val="22"/>
          <w:lang w:val="en-GB" w:eastAsia="ja-JP"/>
        </w:rPr>
        <w:t xml:space="preserve"> of agreements when only highly suitable nesting and foraging habitat are considered (Walker and Morris 2016). </w:t>
      </w:r>
    </w:p>
    <w:p w14:paraId="5259E5F1"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5DD73919"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From the start of 2016, a new Agri-environment Scheme, Countryside Stewardship, was introduced on a competitive basis to landowners and land managers in England. The higher tier of Countryside Stewardship contains provision for a package of bespoke habitat management for turtle-doves, which can be taken up by agreement holders with recent records of turtle-dove nearby. The more complex, species-specific management is underpinned by the SP9 Threatened Species Supplement, whereby the agreement holder is fully compensated for the cost of establishing and maintaining the habitat in suitable condition. The range of options and managements is similar to those outlined previously but has been guided by the experience gained within the HLS pilot and recent land management option trials by RSPB/Natural England, to provide advice on developing a Higher Tier Countryside Stewardship agreement that will successfully deliver for turtle-doves. </w:t>
      </w:r>
    </w:p>
    <w:p w14:paraId="24B6592A"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2875503" w14:textId="41E554C3"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A successful Countryside Stewardship agreement for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w:t>
      </w:r>
      <w:r w:rsidR="004D5651" w:rsidRPr="00C96521">
        <w:rPr>
          <w:rFonts w:eastAsia="MS Mincho"/>
          <w:sz w:val="20"/>
          <w:szCs w:val="22"/>
          <w:lang w:val="en-GB" w:eastAsia="ja-JP"/>
        </w:rPr>
        <w:t>ove</w:t>
      </w:r>
      <w:r w:rsidR="004D5651">
        <w:rPr>
          <w:rFonts w:eastAsia="MS Mincho"/>
          <w:sz w:val="20"/>
          <w:szCs w:val="22"/>
          <w:lang w:val="en-GB" w:eastAsia="ja-JP"/>
        </w:rPr>
        <w:t>s</w:t>
      </w:r>
      <w:r w:rsidR="004D5651" w:rsidRPr="00C96521">
        <w:rPr>
          <w:rFonts w:eastAsia="MS Mincho"/>
          <w:sz w:val="20"/>
          <w:szCs w:val="22"/>
          <w:lang w:val="en-GB" w:eastAsia="ja-JP"/>
        </w:rPr>
        <w:t xml:space="preserve"> </w:t>
      </w:r>
      <w:r w:rsidRPr="00C96521">
        <w:rPr>
          <w:rFonts w:eastAsia="MS Mincho"/>
          <w:sz w:val="20"/>
          <w:szCs w:val="22"/>
          <w:lang w:val="en-GB" w:eastAsia="ja-JP"/>
        </w:rPr>
        <w:t>requires a combination of options to be deployed to deliver both its nesting and seed-rich foraging requirements in close proximity (within 300</w:t>
      </w:r>
      <w:r w:rsidR="004D5651">
        <w:rPr>
          <w:rFonts w:eastAsia="MS Mincho"/>
          <w:sz w:val="20"/>
          <w:szCs w:val="22"/>
          <w:lang w:val="en-GB" w:eastAsia="ja-JP"/>
        </w:rPr>
        <w:t xml:space="preserve"> </w:t>
      </w:r>
      <w:r w:rsidRPr="00C96521">
        <w:rPr>
          <w:rFonts w:eastAsia="MS Mincho"/>
          <w:sz w:val="20"/>
          <w:szCs w:val="22"/>
          <w:lang w:val="en-GB" w:eastAsia="ja-JP"/>
        </w:rPr>
        <w:t>m</w:t>
      </w:r>
      <w:r w:rsidR="004D5651">
        <w:rPr>
          <w:rFonts w:eastAsia="MS Mincho"/>
          <w:sz w:val="20"/>
          <w:szCs w:val="22"/>
          <w:lang w:val="en-GB" w:eastAsia="ja-JP"/>
        </w:rPr>
        <w:t>etres</w:t>
      </w:r>
      <w:r w:rsidRPr="00C96521">
        <w:rPr>
          <w:rFonts w:eastAsia="MS Mincho"/>
          <w:sz w:val="20"/>
          <w:szCs w:val="22"/>
          <w:lang w:val="en-GB" w:eastAsia="ja-JP"/>
        </w:rPr>
        <w:t xml:space="preserve">). In addition, in most situations, ideal foraging habitat can best be provided by deploying plots of a modified version of option AB1 Nectar Flower Mix, requiring a specified seed mix and additional management (funded by the SP9 Threatened Species Supplement), ideally in combination with option AB11 Cultivated Areas for Arable Plants. Options beneficial to turtle-doves can be deployed anywhere where there is a reasonable level of certainty that the species is holding territory (based on national bird atlas data and local information). This will most easily be deployed as part of the Higher Tier </w:t>
      </w:r>
      <w:r w:rsidRPr="00C96521">
        <w:rPr>
          <w:rFonts w:eastAsia="MS Mincho"/>
          <w:i/>
          <w:sz w:val="20"/>
          <w:szCs w:val="22"/>
          <w:lang w:val="en-GB" w:eastAsia="ja-JP"/>
        </w:rPr>
        <w:t>Wild Pollinator and Farm Wildlife Package</w:t>
      </w:r>
      <w:r w:rsidRPr="00C96521">
        <w:rPr>
          <w:rFonts w:eastAsia="MS Mincho"/>
          <w:sz w:val="20"/>
          <w:szCs w:val="22"/>
          <w:lang w:val="en-GB" w:eastAsia="ja-JP"/>
        </w:rPr>
        <w:t xml:space="preserve"> and the options detailed here can count towards the minimum quantities required for the relevant resources. However, it is recommended that the modified AB1/SP9 combined option should be targeted on those holdings where there is good evidence of birds being present, and where the agreement holder both understands and is committed to undertaking the additional management that is required. </w:t>
      </w:r>
    </w:p>
    <w:p w14:paraId="284228B9"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0D2114C1"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4925F7E5"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Other potentially useful habitat types</w:t>
      </w:r>
    </w:p>
    <w:p w14:paraId="50A3E67B"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3ACDD1CE" w14:textId="56CF21A4"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The evaluation of the pilot HLS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w:t>
      </w:r>
      <w:r w:rsidR="004D5651" w:rsidRPr="00C96521">
        <w:rPr>
          <w:rFonts w:eastAsia="MS Mincho"/>
          <w:sz w:val="20"/>
          <w:szCs w:val="22"/>
          <w:lang w:val="en-GB" w:eastAsia="ja-JP"/>
        </w:rPr>
        <w:t xml:space="preserve">ove </w:t>
      </w:r>
      <w:r w:rsidRPr="00C96521">
        <w:rPr>
          <w:rFonts w:eastAsia="MS Mincho"/>
          <w:sz w:val="20"/>
          <w:szCs w:val="22"/>
          <w:lang w:val="en-GB" w:eastAsia="ja-JP"/>
        </w:rPr>
        <w:t xml:space="preserve">package sites found no evidence of positive associations between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w:t>
      </w:r>
      <w:r w:rsidR="004D5651" w:rsidRPr="00C96521">
        <w:rPr>
          <w:rFonts w:eastAsia="MS Mincho"/>
          <w:sz w:val="20"/>
          <w:szCs w:val="22"/>
          <w:lang w:val="en-GB" w:eastAsia="ja-JP"/>
        </w:rPr>
        <w:t xml:space="preserve">ove </w:t>
      </w:r>
      <w:r w:rsidRPr="00C96521">
        <w:rPr>
          <w:rFonts w:eastAsia="MS Mincho"/>
          <w:sz w:val="20"/>
          <w:szCs w:val="22"/>
          <w:lang w:val="en-GB" w:eastAsia="ja-JP"/>
        </w:rPr>
        <w:t xml:space="preserve">occupancy/abundance and any other evaluated habitat or Agri-environment Option type with the exception of HK15 (Maintenance of Grassland for Target Features). These “target features” do not include providing foraging habitat for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w:t>
      </w:r>
      <w:r w:rsidR="004D5651" w:rsidRPr="00C96521">
        <w:rPr>
          <w:rFonts w:eastAsia="MS Mincho"/>
          <w:sz w:val="20"/>
          <w:szCs w:val="22"/>
          <w:lang w:val="en-GB" w:eastAsia="ja-JP"/>
        </w:rPr>
        <w:t>ove</w:t>
      </w:r>
      <w:r w:rsidR="004D5651">
        <w:rPr>
          <w:rFonts w:eastAsia="MS Mincho"/>
          <w:sz w:val="20"/>
          <w:szCs w:val="22"/>
          <w:lang w:val="en-GB" w:eastAsia="ja-JP"/>
        </w:rPr>
        <w:t>s</w:t>
      </w:r>
      <w:r w:rsidRPr="00C96521">
        <w:rPr>
          <w:rFonts w:eastAsia="MS Mincho"/>
          <w:sz w:val="20"/>
          <w:szCs w:val="22"/>
          <w:lang w:val="en-GB" w:eastAsia="ja-JP"/>
        </w:rPr>
        <w:t xml:space="preserve">, and following discussions with Natural England Advisors it was concluded that any benefits of HK15 were likely to have arisen from local soil conditions in the study areas (light, sandy soils that produce naturally short grass swards) rather than management of the option </w:t>
      </w:r>
      <w:r w:rsidRPr="00C96521">
        <w:rPr>
          <w:rFonts w:eastAsia="MS Mincho"/>
          <w:i/>
          <w:sz w:val="20"/>
          <w:szCs w:val="22"/>
          <w:lang w:val="en-GB" w:eastAsia="ja-JP"/>
        </w:rPr>
        <w:t>per se</w:t>
      </w:r>
      <w:r w:rsidRPr="00C96521">
        <w:rPr>
          <w:rFonts w:eastAsia="MS Mincho"/>
          <w:sz w:val="20"/>
          <w:szCs w:val="22"/>
          <w:lang w:val="en-GB" w:eastAsia="ja-JP"/>
        </w:rPr>
        <w:t xml:space="preserve">. Therefore, grassland management options have not been included in the Countryside Stewardship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w:t>
      </w:r>
      <w:r w:rsidR="004D5651" w:rsidRPr="00C96521">
        <w:rPr>
          <w:rFonts w:eastAsia="MS Mincho"/>
          <w:sz w:val="20"/>
          <w:szCs w:val="22"/>
          <w:lang w:val="en-GB" w:eastAsia="ja-JP"/>
        </w:rPr>
        <w:t xml:space="preserve">ove </w:t>
      </w:r>
      <w:r w:rsidRPr="00C96521">
        <w:rPr>
          <w:rFonts w:eastAsia="MS Mincho"/>
          <w:sz w:val="20"/>
          <w:szCs w:val="22"/>
          <w:lang w:val="en-GB" w:eastAsia="ja-JP"/>
        </w:rPr>
        <w:t xml:space="preserve">package. However, it is likely that short, patchy, and flower-rich grassland with no/low amounts of herbicide and nitrogen fertiliser applications did provide, and may continue to provide, good quality semi-natural foraging habitat. More research is needed to determine the exact specifications to optimise delivery for turtle-doves. </w:t>
      </w:r>
    </w:p>
    <w:p w14:paraId="04F68C81"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178DAFA"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It is also probable that grass and wild flower mixes often sown on the edge of amenity recreation and reclaimed quarry and mining sites may provide suitable habitat with some minimal management, such as rotational mowing. RSPB and the aggregates company CEMEX are currently exploring the possibility of introducing such habitat on areas of quarried land once extraction of minerals has ceased. A possible seed mix for the CEMEX sites, which has yet to be tested, is as follows:</w:t>
      </w:r>
    </w:p>
    <w:p w14:paraId="14755F72"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5DB5BD9"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w:t>
      </w:r>
      <w:r w:rsidRPr="00C96521">
        <w:rPr>
          <w:rFonts w:eastAsia="MS Mincho"/>
          <w:sz w:val="20"/>
          <w:szCs w:val="22"/>
          <w:lang w:val="en-GB" w:eastAsia="ja-JP"/>
        </w:rPr>
        <w:tab/>
        <w:t>species</w:t>
      </w:r>
    </w:p>
    <w:p w14:paraId="7B5F8B74"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0.5</w:t>
      </w:r>
      <w:r w:rsidRPr="00C96521">
        <w:rPr>
          <w:rFonts w:eastAsia="MS Mincho"/>
          <w:sz w:val="20"/>
          <w:szCs w:val="22"/>
          <w:lang w:val="en-GB" w:eastAsia="ja-JP"/>
        </w:rPr>
        <w:tab/>
      </w:r>
      <w:r w:rsidRPr="00C96521">
        <w:rPr>
          <w:rFonts w:eastAsia="MS Mincho"/>
          <w:i/>
          <w:sz w:val="20"/>
          <w:szCs w:val="22"/>
          <w:lang w:val="en-GB" w:eastAsia="ja-JP"/>
        </w:rPr>
        <w:t>Achillea millefolium</w:t>
      </w:r>
    </w:p>
    <w:p w14:paraId="1B75CDDD"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1</w:t>
      </w:r>
      <w:r w:rsidRPr="00C96521">
        <w:rPr>
          <w:rFonts w:eastAsia="MS Mincho"/>
          <w:sz w:val="20"/>
          <w:szCs w:val="22"/>
          <w:lang w:val="en-GB" w:eastAsia="ja-JP"/>
        </w:rPr>
        <w:tab/>
      </w:r>
      <w:r w:rsidRPr="00C96521">
        <w:rPr>
          <w:rFonts w:eastAsia="MS Mincho"/>
          <w:i/>
          <w:sz w:val="20"/>
          <w:szCs w:val="22"/>
          <w:lang w:val="en-GB" w:eastAsia="ja-JP"/>
        </w:rPr>
        <w:t>Centaurea nigra</w:t>
      </w:r>
    </w:p>
    <w:p w14:paraId="11676058"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1.5</w:t>
      </w:r>
      <w:r w:rsidRPr="00C96521">
        <w:rPr>
          <w:rFonts w:eastAsia="MS Mincho"/>
          <w:sz w:val="20"/>
          <w:szCs w:val="22"/>
          <w:lang w:val="en-GB" w:eastAsia="ja-JP"/>
        </w:rPr>
        <w:tab/>
      </w:r>
      <w:r w:rsidRPr="00C96521">
        <w:rPr>
          <w:rFonts w:eastAsia="MS Mincho"/>
          <w:i/>
          <w:sz w:val="20"/>
          <w:szCs w:val="22"/>
          <w:lang w:val="en-GB" w:eastAsia="ja-JP"/>
        </w:rPr>
        <w:t>Galium verum</w:t>
      </w:r>
    </w:p>
    <w:p w14:paraId="45E7C744"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1.5</w:t>
      </w:r>
      <w:r w:rsidRPr="00C96521">
        <w:rPr>
          <w:rFonts w:eastAsia="MS Mincho"/>
          <w:sz w:val="20"/>
          <w:szCs w:val="22"/>
          <w:lang w:val="en-GB" w:eastAsia="ja-JP"/>
        </w:rPr>
        <w:tab/>
      </w:r>
      <w:r w:rsidRPr="00C96521">
        <w:rPr>
          <w:rFonts w:eastAsia="MS Mincho"/>
          <w:i/>
          <w:sz w:val="20"/>
          <w:szCs w:val="22"/>
          <w:lang w:val="en-GB" w:eastAsia="ja-JP"/>
        </w:rPr>
        <w:t>Leucanthemum vulgare</w:t>
      </w:r>
    </w:p>
    <w:p w14:paraId="67D4577D"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1</w:t>
      </w:r>
      <w:r w:rsidRPr="00C96521">
        <w:rPr>
          <w:rFonts w:eastAsia="MS Mincho"/>
          <w:sz w:val="20"/>
          <w:szCs w:val="22"/>
          <w:lang w:val="en-GB" w:eastAsia="ja-JP"/>
        </w:rPr>
        <w:tab/>
      </w:r>
      <w:r w:rsidRPr="00C96521">
        <w:rPr>
          <w:rFonts w:eastAsia="MS Mincho"/>
          <w:i/>
          <w:sz w:val="20"/>
          <w:szCs w:val="22"/>
          <w:lang w:val="en-GB" w:eastAsia="ja-JP"/>
        </w:rPr>
        <w:t>Lotus corniculatus</w:t>
      </w:r>
    </w:p>
    <w:p w14:paraId="582D43CE"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3</w:t>
      </w:r>
      <w:r w:rsidRPr="00C96521">
        <w:rPr>
          <w:rFonts w:eastAsia="MS Mincho"/>
          <w:sz w:val="20"/>
          <w:szCs w:val="22"/>
          <w:lang w:val="en-GB" w:eastAsia="ja-JP"/>
        </w:rPr>
        <w:tab/>
      </w:r>
      <w:r w:rsidRPr="00C96521">
        <w:rPr>
          <w:rFonts w:eastAsia="MS Mincho"/>
          <w:i/>
          <w:sz w:val="20"/>
          <w:szCs w:val="22"/>
          <w:lang w:val="en-GB" w:eastAsia="ja-JP"/>
        </w:rPr>
        <w:t>Plantago lanceolata</w:t>
      </w:r>
    </w:p>
    <w:p w14:paraId="5B8F172B"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sz w:val="20"/>
          <w:szCs w:val="22"/>
          <w:lang w:val="en-GB" w:eastAsia="ja-JP"/>
        </w:rPr>
        <w:t>0.6</w:t>
      </w:r>
      <w:r w:rsidRPr="00C96521">
        <w:rPr>
          <w:rFonts w:eastAsia="MS Mincho"/>
          <w:sz w:val="20"/>
          <w:szCs w:val="22"/>
          <w:lang w:val="en-GB" w:eastAsia="ja-JP"/>
        </w:rPr>
        <w:tab/>
      </w:r>
      <w:r w:rsidRPr="00C96521">
        <w:rPr>
          <w:rFonts w:eastAsia="MS Mincho"/>
          <w:i/>
          <w:sz w:val="20"/>
          <w:szCs w:val="22"/>
          <w:lang w:val="en-GB" w:eastAsia="ja-JP"/>
        </w:rPr>
        <w:t>Primula veris</w:t>
      </w:r>
    </w:p>
    <w:p w14:paraId="1B78A497"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3</w:t>
      </w:r>
      <w:r w:rsidRPr="00C96521">
        <w:rPr>
          <w:rFonts w:eastAsia="MS Mincho"/>
          <w:sz w:val="20"/>
          <w:szCs w:val="22"/>
          <w:lang w:val="en-GB" w:eastAsia="ja-JP"/>
        </w:rPr>
        <w:tab/>
      </w:r>
      <w:r w:rsidRPr="00C96521">
        <w:rPr>
          <w:rFonts w:eastAsia="MS Mincho"/>
          <w:i/>
          <w:sz w:val="20"/>
          <w:szCs w:val="22"/>
          <w:lang w:val="en-GB" w:eastAsia="ja-JP"/>
        </w:rPr>
        <w:t>Ranunculus acris</w:t>
      </w:r>
    </w:p>
    <w:p w14:paraId="7E4EF1C5"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1.5</w:t>
      </w:r>
      <w:r w:rsidRPr="00C96521">
        <w:rPr>
          <w:rFonts w:eastAsia="MS Mincho"/>
          <w:sz w:val="20"/>
          <w:szCs w:val="22"/>
          <w:lang w:val="en-GB" w:eastAsia="ja-JP"/>
        </w:rPr>
        <w:tab/>
      </w:r>
      <w:r w:rsidRPr="00C96521">
        <w:rPr>
          <w:rFonts w:eastAsia="MS Mincho"/>
          <w:i/>
          <w:sz w:val="20"/>
          <w:szCs w:val="22"/>
          <w:lang w:val="en-GB" w:eastAsia="ja-JP"/>
        </w:rPr>
        <w:t>Rhinanthus minor</w:t>
      </w:r>
    </w:p>
    <w:p w14:paraId="359E0642"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1.5</w:t>
      </w:r>
      <w:r w:rsidRPr="00C96521">
        <w:rPr>
          <w:rFonts w:eastAsia="MS Mincho"/>
          <w:sz w:val="20"/>
          <w:szCs w:val="22"/>
          <w:lang w:val="en-GB" w:eastAsia="ja-JP"/>
        </w:rPr>
        <w:tab/>
      </w:r>
      <w:r w:rsidRPr="00C96521">
        <w:rPr>
          <w:rFonts w:eastAsia="MS Mincho"/>
          <w:i/>
          <w:sz w:val="20"/>
          <w:szCs w:val="22"/>
          <w:lang w:val="en-GB" w:eastAsia="ja-JP"/>
        </w:rPr>
        <w:t>Rumex acetosa</w:t>
      </w:r>
    </w:p>
    <w:p w14:paraId="0A62D6D7"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0.1</w:t>
      </w:r>
      <w:r w:rsidRPr="00C96521">
        <w:rPr>
          <w:rFonts w:eastAsia="MS Mincho"/>
          <w:sz w:val="20"/>
          <w:szCs w:val="22"/>
          <w:lang w:val="en-GB" w:eastAsia="ja-JP"/>
        </w:rPr>
        <w:tab/>
      </w:r>
      <w:r w:rsidRPr="00C96521">
        <w:rPr>
          <w:rFonts w:eastAsia="MS Mincho"/>
          <w:i/>
          <w:sz w:val="20"/>
          <w:szCs w:val="22"/>
          <w:lang w:val="en-GB" w:eastAsia="ja-JP"/>
        </w:rPr>
        <w:t>Lychnis flos-cuculi</w:t>
      </w:r>
    </w:p>
    <w:p w14:paraId="0CD8A6D0"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0.3</w:t>
      </w:r>
      <w:r w:rsidRPr="00C96521">
        <w:rPr>
          <w:rFonts w:eastAsia="MS Mincho"/>
          <w:sz w:val="20"/>
          <w:szCs w:val="22"/>
          <w:lang w:val="en-GB" w:eastAsia="ja-JP"/>
        </w:rPr>
        <w:tab/>
      </w:r>
      <w:r w:rsidRPr="00C96521">
        <w:rPr>
          <w:rFonts w:eastAsia="MS Mincho"/>
          <w:i/>
          <w:sz w:val="20"/>
          <w:szCs w:val="22"/>
          <w:lang w:val="en-GB" w:eastAsia="ja-JP"/>
        </w:rPr>
        <w:t>Trifolium pratense</w:t>
      </w:r>
      <w:r w:rsidRPr="00C96521">
        <w:rPr>
          <w:rFonts w:eastAsia="MS Mincho"/>
          <w:sz w:val="20"/>
          <w:szCs w:val="22"/>
          <w:lang w:val="en-GB" w:eastAsia="ja-JP"/>
        </w:rPr>
        <w:t xml:space="preserve"> (var wild red)</w:t>
      </w:r>
    </w:p>
    <w:p w14:paraId="6E842F95" w14:textId="77777777" w:rsidR="00C96521" w:rsidRPr="00890F11" w:rsidRDefault="00C96521" w:rsidP="00C96521">
      <w:pPr>
        <w:widowControl/>
        <w:autoSpaceDE/>
        <w:autoSpaceDN/>
        <w:adjustRightInd/>
        <w:spacing w:line="276" w:lineRule="auto"/>
        <w:rPr>
          <w:rFonts w:eastAsia="MS Mincho"/>
          <w:i/>
          <w:sz w:val="20"/>
          <w:szCs w:val="22"/>
          <w:lang w:val="es-ES" w:eastAsia="ja-JP"/>
        </w:rPr>
      </w:pPr>
      <w:r w:rsidRPr="00890F11">
        <w:rPr>
          <w:rFonts w:eastAsia="MS Mincho"/>
          <w:sz w:val="20"/>
          <w:szCs w:val="22"/>
          <w:lang w:val="es-ES" w:eastAsia="ja-JP"/>
        </w:rPr>
        <w:t>1</w:t>
      </w:r>
      <w:r w:rsidRPr="00890F11">
        <w:rPr>
          <w:rFonts w:eastAsia="MS Mincho"/>
          <w:sz w:val="20"/>
          <w:szCs w:val="22"/>
          <w:lang w:val="es-ES" w:eastAsia="ja-JP"/>
        </w:rPr>
        <w:tab/>
      </w:r>
      <w:r w:rsidRPr="00890F11">
        <w:rPr>
          <w:rFonts w:eastAsia="MS Mincho"/>
          <w:i/>
          <w:sz w:val="20"/>
          <w:szCs w:val="22"/>
          <w:lang w:val="es-ES" w:eastAsia="ja-JP"/>
        </w:rPr>
        <w:t>Vicia cracca</w:t>
      </w:r>
    </w:p>
    <w:p w14:paraId="602265E8" w14:textId="77777777" w:rsidR="00C96521" w:rsidRPr="00890F11" w:rsidRDefault="00C96521" w:rsidP="00C96521">
      <w:pPr>
        <w:widowControl/>
        <w:autoSpaceDE/>
        <w:autoSpaceDN/>
        <w:adjustRightInd/>
        <w:spacing w:line="276" w:lineRule="auto"/>
        <w:rPr>
          <w:rFonts w:eastAsia="MS Mincho"/>
          <w:sz w:val="20"/>
          <w:szCs w:val="22"/>
          <w:lang w:val="es-ES" w:eastAsia="ja-JP"/>
        </w:rPr>
      </w:pPr>
      <w:r w:rsidRPr="00890F11">
        <w:rPr>
          <w:rFonts w:eastAsia="MS Mincho"/>
          <w:sz w:val="20"/>
          <w:szCs w:val="22"/>
          <w:lang w:val="es-ES" w:eastAsia="ja-JP"/>
        </w:rPr>
        <w:t>10</w:t>
      </w:r>
      <w:r w:rsidRPr="00890F11">
        <w:rPr>
          <w:rFonts w:eastAsia="MS Mincho"/>
          <w:sz w:val="20"/>
          <w:szCs w:val="22"/>
          <w:lang w:val="es-ES" w:eastAsia="ja-JP"/>
        </w:rPr>
        <w:tab/>
      </w:r>
      <w:r w:rsidRPr="00890F11">
        <w:rPr>
          <w:rFonts w:eastAsia="MS Mincho"/>
          <w:i/>
          <w:sz w:val="20"/>
          <w:szCs w:val="22"/>
          <w:lang w:val="es-ES" w:eastAsia="ja-JP"/>
        </w:rPr>
        <w:t>Agrostis capillaris</w:t>
      </w:r>
      <w:r w:rsidRPr="00890F11">
        <w:rPr>
          <w:rFonts w:eastAsia="MS Mincho"/>
          <w:sz w:val="20"/>
          <w:szCs w:val="22"/>
          <w:lang w:val="es-ES" w:eastAsia="ja-JP"/>
        </w:rPr>
        <w:t xml:space="preserve"> *</w:t>
      </w:r>
    </w:p>
    <w:p w14:paraId="22AC5C03" w14:textId="77777777" w:rsidR="00C96521" w:rsidRPr="00890F11" w:rsidRDefault="00C96521" w:rsidP="00C96521">
      <w:pPr>
        <w:widowControl/>
        <w:autoSpaceDE/>
        <w:autoSpaceDN/>
        <w:adjustRightInd/>
        <w:spacing w:line="276" w:lineRule="auto"/>
        <w:rPr>
          <w:rFonts w:eastAsia="MS Mincho"/>
          <w:sz w:val="20"/>
          <w:szCs w:val="22"/>
          <w:lang w:val="es-ES" w:eastAsia="ja-JP"/>
        </w:rPr>
      </w:pPr>
      <w:r w:rsidRPr="00890F11">
        <w:rPr>
          <w:rFonts w:eastAsia="MS Mincho"/>
          <w:sz w:val="20"/>
          <w:szCs w:val="22"/>
          <w:lang w:val="es-ES" w:eastAsia="ja-JP"/>
        </w:rPr>
        <w:t>2</w:t>
      </w:r>
      <w:r w:rsidRPr="00890F11">
        <w:rPr>
          <w:rFonts w:eastAsia="MS Mincho"/>
          <w:sz w:val="20"/>
          <w:szCs w:val="22"/>
          <w:lang w:val="es-ES" w:eastAsia="ja-JP"/>
        </w:rPr>
        <w:tab/>
      </w:r>
      <w:r w:rsidRPr="00890F11">
        <w:rPr>
          <w:rFonts w:eastAsia="MS Mincho"/>
          <w:i/>
          <w:sz w:val="20"/>
          <w:szCs w:val="22"/>
          <w:lang w:val="es-ES" w:eastAsia="ja-JP"/>
        </w:rPr>
        <w:t>Alopecurus pratensis</w:t>
      </w:r>
      <w:r w:rsidRPr="00890F11">
        <w:rPr>
          <w:rFonts w:eastAsia="MS Mincho"/>
          <w:sz w:val="20"/>
          <w:szCs w:val="22"/>
          <w:lang w:val="es-ES" w:eastAsia="ja-JP"/>
        </w:rPr>
        <w:t xml:space="preserve"> *</w:t>
      </w:r>
    </w:p>
    <w:p w14:paraId="495293B0" w14:textId="77777777" w:rsidR="00C96521" w:rsidRPr="00890F11" w:rsidRDefault="00C96521" w:rsidP="00C96521">
      <w:pPr>
        <w:widowControl/>
        <w:autoSpaceDE/>
        <w:autoSpaceDN/>
        <w:adjustRightInd/>
        <w:spacing w:line="276" w:lineRule="auto"/>
        <w:rPr>
          <w:rFonts w:eastAsia="MS Mincho"/>
          <w:sz w:val="20"/>
          <w:szCs w:val="22"/>
          <w:lang w:val="es-ES" w:eastAsia="ja-JP"/>
        </w:rPr>
      </w:pPr>
      <w:r w:rsidRPr="00890F11">
        <w:rPr>
          <w:rFonts w:eastAsia="MS Mincho"/>
          <w:sz w:val="20"/>
          <w:szCs w:val="22"/>
          <w:lang w:val="es-ES" w:eastAsia="ja-JP"/>
        </w:rPr>
        <w:t>1</w:t>
      </w:r>
      <w:r w:rsidRPr="00890F11">
        <w:rPr>
          <w:rFonts w:eastAsia="MS Mincho"/>
          <w:sz w:val="20"/>
          <w:szCs w:val="22"/>
          <w:lang w:val="es-ES" w:eastAsia="ja-JP"/>
        </w:rPr>
        <w:tab/>
      </w:r>
      <w:r w:rsidRPr="00890F11">
        <w:rPr>
          <w:rFonts w:eastAsia="MS Mincho"/>
          <w:i/>
          <w:sz w:val="20"/>
          <w:szCs w:val="22"/>
          <w:lang w:val="es-ES" w:eastAsia="ja-JP"/>
        </w:rPr>
        <w:t>Anthoxanthum odoratum</w:t>
      </w:r>
      <w:r w:rsidRPr="00890F11">
        <w:rPr>
          <w:rFonts w:eastAsia="MS Mincho"/>
          <w:sz w:val="20"/>
          <w:szCs w:val="22"/>
          <w:lang w:val="es-ES" w:eastAsia="ja-JP"/>
        </w:rPr>
        <w:t xml:space="preserve"> *</w:t>
      </w:r>
    </w:p>
    <w:p w14:paraId="7FF8B467" w14:textId="77777777" w:rsidR="00C96521" w:rsidRPr="00890F11" w:rsidRDefault="00C96521" w:rsidP="00C96521">
      <w:pPr>
        <w:widowControl/>
        <w:autoSpaceDE/>
        <w:autoSpaceDN/>
        <w:adjustRightInd/>
        <w:spacing w:line="276" w:lineRule="auto"/>
        <w:rPr>
          <w:rFonts w:eastAsia="MS Mincho"/>
          <w:sz w:val="20"/>
          <w:szCs w:val="22"/>
          <w:lang w:val="es-ES" w:eastAsia="ja-JP"/>
        </w:rPr>
      </w:pPr>
      <w:r w:rsidRPr="00890F11">
        <w:rPr>
          <w:rFonts w:eastAsia="MS Mincho"/>
          <w:sz w:val="20"/>
          <w:szCs w:val="22"/>
          <w:lang w:val="es-ES" w:eastAsia="ja-JP"/>
        </w:rPr>
        <w:t>1</w:t>
      </w:r>
      <w:r w:rsidRPr="00890F11">
        <w:rPr>
          <w:rFonts w:eastAsia="MS Mincho"/>
          <w:sz w:val="20"/>
          <w:szCs w:val="22"/>
          <w:lang w:val="es-ES" w:eastAsia="ja-JP"/>
        </w:rPr>
        <w:tab/>
      </w:r>
      <w:r w:rsidRPr="00890F11">
        <w:rPr>
          <w:rFonts w:eastAsia="MS Mincho"/>
          <w:i/>
          <w:sz w:val="20"/>
          <w:szCs w:val="22"/>
          <w:lang w:val="es-ES" w:eastAsia="ja-JP"/>
        </w:rPr>
        <w:t>Briza media</w:t>
      </w:r>
      <w:r w:rsidRPr="00890F11">
        <w:rPr>
          <w:rFonts w:eastAsia="MS Mincho"/>
          <w:sz w:val="20"/>
          <w:szCs w:val="22"/>
          <w:lang w:val="es-ES" w:eastAsia="ja-JP"/>
        </w:rPr>
        <w:t xml:space="preserve"> *</w:t>
      </w:r>
    </w:p>
    <w:p w14:paraId="032DE216" w14:textId="77777777" w:rsidR="00C96521" w:rsidRPr="00890F11" w:rsidRDefault="00C96521" w:rsidP="00C96521">
      <w:pPr>
        <w:widowControl/>
        <w:autoSpaceDE/>
        <w:autoSpaceDN/>
        <w:adjustRightInd/>
        <w:spacing w:line="276" w:lineRule="auto"/>
        <w:rPr>
          <w:rFonts w:eastAsia="MS Mincho"/>
          <w:sz w:val="20"/>
          <w:szCs w:val="22"/>
          <w:lang w:val="es-ES" w:eastAsia="ja-JP"/>
        </w:rPr>
      </w:pPr>
      <w:r w:rsidRPr="00890F11">
        <w:rPr>
          <w:rFonts w:eastAsia="MS Mincho"/>
          <w:sz w:val="20"/>
          <w:szCs w:val="22"/>
          <w:lang w:val="es-ES" w:eastAsia="ja-JP"/>
        </w:rPr>
        <w:t>36</w:t>
      </w:r>
      <w:r w:rsidRPr="00890F11">
        <w:rPr>
          <w:rFonts w:eastAsia="MS Mincho"/>
          <w:sz w:val="20"/>
          <w:szCs w:val="22"/>
          <w:lang w:val="es-ES" w:eastAsia="ja-JP"/>
        </w:rPr>
        <w:tab/>
      </w:r>
      <w:r w:rsidRPr="00890F11">
        <w:rPr>
          <w:rFonts w:eastAsia="MS Mincho"/>
          <w:i/>
          <w:sz w:val="20"/>
          <w:szCs w:val="22"/>
          <w:lang w:val="es-ES" w:eastAsia="ja-JP"/>
        </w:rPr>
        <w:t>Cynosurus cristatus</w:t>
      </w:r>
      <w:r w:rsidRPr="00890F11">
        <w:rPr>
          <w:rFonts w:eastAsia="MS Mincho"/>
          <w:sz w:val="20"/>
          <w:szCs w:val="22"/>
          <w:lang w:val="es-ES" w:eastAsia="ja-JP"/>
        </w:rPr>
        <w:t xml:space="preserve"> *</w:t>
      </w:r>
    </w:p>
    <w:p w14:paraId="1247137A" w14:textId="77777777" w:rsidR="00C96521" w:rsidRPr="00890F11" w:rsidRDefault="00C96521" w:rsidP="00C96521">
      <w:pPr>
        <w:widowControl/>
        <w:autoSpaceDE/>
        <w:autoSpaceDN/>
        <w:adjustRightInd/>
        <w:spacing w:line="276" w:lineRule="auto"/>
        <w:rPr>
          <w:rFonts w:eastAsia="MS Mincho"/>
          <w:sz w:val="20"/>
          <w:szCs w:val="22"/>
          <w:lang w:val="es-ES" w:eastAsia="ja-JP"/>
        </w:rPr>
      </w:pPr>
      <w:r w:rsidRPr="00890F11">
        <w:rPr>
          <w:rFonts w:eastAsia="MS Mincho"/>
          <w:sz w:val="20"/>
          <w:szCs w:val="22"/>
          <w:lang w:val="es-ES" w:eastAsia="ja-JP"/>
        </w:rPr>
        <w:t>24</w:t>
      </w:r>
      <w:r w:rsidRPr="00890F11">
        <w:rPr>
          <w:rFonts w:eastAsia="MS Mincho"/>
          <w:sz w:val="20"/>
          <w:szCs w:val="22"/>
          <w:lang w:val="es-ES" w:eastAsia="ja-JP"/>
        </w:rPr>
        <w:tab/>
      </w:r>
      <w:r w:rsidRPr="00890F11">
        <w:rPr>
          <w:rFonts w:eastAsia="MS Mincho"/>
          <w:i/>
          <w:sz w:val="20"/>
          <w:szCs w:val="22"/>
          <w:lang w:val="es-ES" w:eastAsia="ja-JP"/>
        </w:rPr>
        <w:t>Festuca rubra rubra litoralis</w:t>
      </w:r>
      <w:r w:rsidRPr="00890F11">
        <w:rPr>
          <w:rFonts w:eastAsia="MS Mincho"/>
          <w:sz w:val="20"/>
          <w:szCs w:val="22"/>
          <w:lang w:val="es-ES" w:eastAsia="ja-JP"/>
        </w:rPr>
        <w:t xml:space="preserve"> *</w:t>
      </w:r>
    </w:p>
    <w:p w14:paraId="4BC2EC9D"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2</w:t>
      </w:r>
      <w:r w:rsidRPr="00C96521">
        <w:rPr>
          <w:rFonts w:eastAsia="MS Mincho"/>
          <w:sz w:val="20"/>
          <w:szCs w:val="22"/>
          <w:lang w:val="en-GB" w:eastAsia="ja-JP"/>
        </w:rPr>
        <w:tab/>
      </w:r>
      <w:r w:rsidRPr="00C96521">
        <w:rPr>
          <w:rFonts w:eastAsia="MS Mincho"/>
          <w:i/>
          <w:sz w:val="20"/>
          <w:szCs w:val="22"/>
          <w:lang w:val="en-GB" w:eastAsia="ja-JP"/>
        </w:rPr>
        <w:t>Hordeum brachyantherum</w:t>
      </w:r>
      <w:r w:rsidRPr="00C96521">
        <w:rPr>
          <w:rFonts w:eastAsia="MS Mincho"/>
          <w:sz w:val="20"/>
          <w:szCs w:val="22"/>
          <w:lang w:val="en-GB" w:eastAsia="ja-JP"/>
        </w:rPr>
        <w:t xml:space="preserve"> *</w:t>
      </w:r>
    </w:p>
    <w:p w14:paraId="0FFC23D9"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4</w:t>
      </w:r>
      <w:r w:rsidRPr="00C96521">
        <w:rPr>
          <w:rFonts w:eastAsia="MS Mincho"/>
          <w:sz w:val="20"/>
          <w:szCs w:val="22"/>
          <w:lang w:val="en-GB" w:eastAsia="ja-JP"/>
        </w:rPr>
        <w:tab/>
      </w:r>
      <w:r w:rsidRPr="00C96521">
        <w:rPr>
          <w:rFonts w:eastAsia="MS Mincho"/>
          <w:i/>
          <w:sz w:val="20"/>
          <w:szCs w:val="22"/>
          <w:lang w:val="en-GB" w:eastAsia="ja-JP"/>
        </w:rPr>
        <w:t>Phleum bertolonii</w:t>
      </w:r>
      <w:r w:rsidRPr="00C96521">
        <w:rPr>
          <w:rFonts w:eastAsia="MS Mincho"/>
          <w:sz w:val="20"/>
          <w:szCs w:val="22"/>
          <w:lang w:val="en-GB" w:eastAsia="ja-JP"/>
        </w:rPr>
        <w:t xml:space="preserve"> *</w:t>
      </w:r>
    </w:p>
    <w:p w14:paraId="56F7E305"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 % of these grasses may be reduced in favour of the addition of </w:t>
      </w:r>
      <w:r w:rsidRPr="00C96521">
        <w:rPr>
          <w:rFonts w:eastAsia="MS Mincho"/>
          <w:i/>
          <w:sz w:val="20"/>
          <w:szCs w:val="22"/>
          <w:lang w:val="en-GB" w:eastAsia="ja-JP"/>
        </w:rPr>
        <w:t>Medicago lupulina</w:t>
      </w:r>
      <w:r w:rsidRPr="00C96521">
        <w:rPr>
          <w:rFonts w:eastAsia="MS Mincho"/>
          <w:sz w:val="20"/>
          <w:szCs w:val="22"/>
          <w:lang w:val="en-GB" w:eastAsia="ja-JP"/>
        </w:rPr>
        <w:t>.</w:t>
      </w:r>
    </w:p>
    <w:p w14:paraId="7ECD1094"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C01EED6" w14:textId="1361CE98"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sz w:val="20"/>
          <w:szCs w:val="22"/>
          <w:lang w:val="en-GB" w:eastAsia="ja-JP"/>
        </w:rPr>
        <w:t xml:space="preserve">In the early 1960s,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Doves </w:t>
      </w:r>
      <w:r w:rsidRPr="00C96521">
        <w:rPr>
          <w:rFonts w:eastAsia="MS Mincho"/>
          <w:sz w:val="20"/>
          <w:szCs w:val="22"/>
          <w:lang w:val="en-GB" w:eastAsia="ja-JP"/>
        </w:rPr>
        <w:t xml:space="preserve">in eastern England commonly foraged for the seeds of </w:t>
      </w:r>
      <w:r w:rsidRPr="00C96521">
        <w:rPr>
          <w:rFonts w:eastAsia="MS Mincho"/>
          <w:i/>
          <w:sz w:val="20"/>
          <w:szCs w:val="22"/>
          <w:lang w:val="en-GB" w:eastAsia="ja-JP"/>
        </w:rPr>
        <w:t>Trifolium spp</w:t>
      </w:r>
      <w:r w:rsidRPr="00C96521">
        <w:rPr>
          <w:rFonts w:eastAsia="MS Mincho"/>
          <w:sz w:val="20"/>
          <w:szCs w:val="22"/>
          <w:lang w:val="en-GB" w:eastAsia="ja-JP"/>
        </w:rPr>
        <w:t>, grasses and other arable plants in grass/clover leys, which were used as breaks between arable crops. This habitat has become rare in arable farmland; it has long since disappeared from the original study sites, along with turtle-doves. However, as there is now a trend towards greater use of traditional methods to achieve better control of grass weeds and improved soil fertility and structure on arable land, it is possible that this habitat will once again become more widespread in NW Europe, while the use of temporary, species-rich leys is still more widespread is other areas of Europe. However, the use of less diverse species mixes, modern varieties of legume with taller and denser vegetation structure, more frequent cutting/grazing, and high residual fertility from long-term use of inorganic nitrogen fertil</w:t>
      </w:r>
      <w:r w:rsidR="004D5651">
        <w:rPr>
          <w:rFonts w:eastAsia="MS Mincho"/>
          <w:sz w:val="20"/>
          <w:szCs w:val="22"/>
          <w:lang w:val="en-GB" w:eastAsia="ja-JP"/>
        </w:rPr>
        <w:t>iz</w:t>
      </w:r>
      <w:r w:rsidRPr="00C96521">
        <w:rPr>
          <w:rFonts w:eastAsia="MS Mincho"/>
          <w:sz w:val="20"/>
          <w:szCs w:val="22"/>
          <w:lang w:val="en-GB" w:eastAsia="ja-JP"/>
        </w:rPr>
        <w:t xml:space="preserve">ers may mean that modern leys are less suitable as foraging habitats, and research is needed to test the value of present-day leys for turtle-doves. </w:t>
      </w:r>
    </w:p>
    <w:p w14:paraId="11343EF8"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1C605E8D"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Guidance on developing a Countryside Stewardship agreement for farmland birds, in general, through the Wild Pollinator &amp; Farm Wildlife Packages can be found at </w:t>
      </w:r>
      <w:r w:rsidRPr="00C96521">
        <w:rPr>
          <w:rFonts w:eastAsia="MS Mincho" w:cs="Arial"/>
          <w:sz w:val="20"/>
          <w:szCs w:val="20"/>
          <w:lang w:val="en-GB" w:eastAsia="ja-JP"/>
        </w:rPr>
        <w:t>http://csguidance/Objectives/WPFWP/Pages/default.aspx</w:t>
      </w:r>
    </w:p>
    <w:p w14:paraId="38181260"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0E85CDD6"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3E363FDE"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br w:type="page"/>
      </w:r>
    </w:p>
    <w:p w14:paraId="423CF92C" w14:textId="77777777" w:rsidR="00C96521" w:rsidRPr="00C96521" w:rsidRDefault="00C96521" w:rsidP="00C96521">
      <w:pPr>
        <w:keepNext/>
        <w:keepLines/>
        <w:widowControl/>
        <w:autoSpaceDE/>
        <w:autoSpaceDN/>
        <w:adjustRightInd/>
        <w:spacing w:before="200" w:line="276" w:lineRule="auto"/>
        <w:outlineLvl w:val="1"/>
        <w:rPr>
          <w:rFonts w:ascii="Cambria" w:eastAsia="MS Gothic" w:hAnsi="Cambria"/>
          <w:b/>
          <w:bCs/>
          <w:color w:val="4F81BD"/>
          <w:sz w:val="26"/>
          <w:szCs w:val="26"/>
          <w:lang w:val="en-GB" w:eastAsia="ja-JP"/>
        </w:rPr>
      </w:pPr>
      <w:bookmarkStart w:id="36" w:name="_Toc478646921"/>
      <w:r w:rsidRPr="00C96521">
        <w:rPr>
          <w:rFonts w:ascii="Cambria" w:eastAsia="MS Gothic" w:hAnsi="Cambria"/>
          <w:b/>
          <w:bCs/>
          <w:color w:val="4F81BD"/>
          <w:sz w:val="26"/>
          <w:szCs w:val="26"/>
          <w:lang w:val="en-GB" w:eastAsia="ja-JP"/>
        </w:rPr>
        <w:t>Sample Countryside Stewardship Management Plan for SP9 Threatened Species Supplement</w:t>
      </w:r>
      <w:bookmarkEnd w:id="36"/>
    </w:p>
    <w:p w14:paraId="382FD870"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740"/>
      </w:tblGrid>
      <w:tr w:rsidR="00C96521" w:rsidRPr="00C96521" w14:paraId="061E6ECB" w14:textId="77777777" w:rsidTr="00C96521">
        <w:tc>
          <w:tcPr>
            <w:tcW w:w="4644" w:type="dxa"/>
            <w:shd w:val="clear" w:color="auto" w:fill="auto"/>
          </w:tcPr>
          <w:p w14:paraId="1E8F1728"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Agreement reference</w:t>
            </w:r>
          </w:p>
        </w:tc>
        <w:tc>
          <w:tcPr>
            <w:tcW w:w="4740" w:type="dxa"/>
            <w:shd w:val="clear" w:color="auto" w:fill="auto"/>
          </w:tcPr>
          <w:p w14:paraId="72782488"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tc>
      </w:tr>
      <w:tr w:rsidR="00C96521" w:rsidRPr="00C96521" w14:paraId="541AE532" w14:textId="77777777" w:rsidTr="00C96521">
        <w:tc>
          <w:tcPr>
            <w:tcW w:w="4644" w:type="dxa"/>
            <w:shd w:val="clear" w:color="auto" w:fill="auto"/>
          </w:tcPr>
          <w:p w14:paraId="588D1F1C"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Agreement holder</w:t>
            </w:r>
          </w:p>
        </w:tc>
        <w:tc>
          <w:tcPr>
            <w:tcW w:w="4740" w:type="dxa"/>
            <w:shd w:val="clear" w:color="auto" w:fill="auto"/>
          </w:tcPr>
          <w:p w14:paraId="38EF6C4F"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tc>
      </w:tr>
      <w:tr w:rsidR="00C96521" w:rsidRPr="00C96521" w14:paraId="2E06F66D" w14:textId="77777777" w:rsidTr="00C96521">
        <w:tc>
          <w:tcPr>
            <w:tcW w:w="4644" w:type="dxa"/>
            <w:shd w:val="clear" w:color="auto" w:fill="auto"/>
          </w:tcPr>
          <w:p w14:paraId="26D7887B"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Target species</w:t>
            </w:r>
          </w:p>
        </w:tc>
        <w:tc>
          <w:tcPr>
            <w:tcW w:w="4740" w:type="dxa"/>
            <w:shd w:val="clear" w:color="auto" w:fill="auto"/>
          </w:tcPr>
          <w:p w14:paraId="359B9DF1" w14:textId="7AEA9994"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Turtle</w:t>
            </w:r>
            <w:r w:rsidR="004D5651">
              <w:rPr>
                <w:rFonts w:eastAsia="MS Mincho"/>
                <w:sz w:val="20"/>
                <w:szCs w:val="22"/>
                <w:lang w:val="en-GB" w:eastAsia="ja-JP"/>
              </w:rPr>
              <w:t xml:space="preserve"> D</w:t>
            </w:r>
            <w:r w:rsidRPr="00C96521">
              <w:rPr>
                <w:rFonts w:eastAsia="MS Mincho"/>
                <w:sz w:val="20"/>
                <w:szCs w:val="22"/>
                <w:lang w:val="en-GB" w:eastAsia="ja-JP"/>
              </w:rPr>
              <w:t>dove</w:t>
            </w:r>
          </w:p>
        </w:tc>
      </w:tr>
      <w:tr w:rsidR="00C96521" w:rsidRPr="00C96521" w14:paraId="3223F843" w14:textId="77777777" w:rsidTr="00C96521">
        <w:trPr>
          <w:trHeight w:val="595"/>
        </w:trPr>
        <w:tc>
          <w:tcPr>
            <w:tcW w:w="4644" w:type="dxa"/>
            <w:shd w:val="clear" w:color="auto" w:fill="auto"/>
          </w:tcPr>
          <w:p w14:paraId="5C287F33"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Option(s) covered by this management plan</w:t>
            </w:r>
          </w:p>
          <w:p w14:paraId="18A4ABEF"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tc>
        <w:tc>
          <w:tcPr>
            <w:tcW w:w="4740" w:type="dxa"/>
            <w:shd w:val="clear" w:color="auto" w:fill="auto"/>
          </w:tcPr>
          <w:p w14:paraId="0064B297"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AB1 Nectar Flower Mix + SP9 </w:t>
            </w:r>
            <w:r w:rsidRPr="00C96521">
              <w:rPr>
                <w:rFonts w:eastAsia="MS Mincho"/>
                <w:sz w:val="20"/>
                <w:szCs w:val="22"/>
                <w:lang w:val="en-GB" w:eastAsia="en-GB"/>
              </w:rPr>
              <w:t>Threatened Species Supplement</w:t>
            </w:r>
          </w:p>
        </w:tc>
      </w:tr>
      <w:tr w:rsidR="00C96521" w:rsidRPr="00C96521" w14:paraId="02A52202" w14:textId="77777777" w:rsidTr="00C96521">
        <w:tc>
          <w:tcPr>
            <w:tcW w:w="4644" w:type="dxa"/>
            <w:tcBorders>
              <w:top w:val="single" w:sz="4" w:space="0" w:color="auto"/>
              <w:left w:val="single" w:sz="4" w:space="0" w:color="auto"/>
              <w:bottom w:val="single" w:sz="4" w:space="0" w:color="auto"/>
              <w:right w:val="single" w:sz="4" w:space="0" w:color="auto"/>
            </w:tcBorders>
            <w:shd w:val="clear" w:color="auto" w:fill="auto"/>
          </w:tcPr>
          <w:p w14:paraId="28F7FF08"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 xml:space="preserve">Field location(s) and plot size (ha) </w:t>
            </w:r>
          </w:p>
        </w:tc>
        <w:tc>
          <w:tcPr>
            <w:tcW w:w="4740" w:type="dxa"/>
            <w:tcBorders>
              <w:top w:val="single" w:sz="4" w:space="0" w:color="auto"/>
              <w:left w:val="single" w:sz="4" w:space="0" w:color="auto"/>
              <w:bottom w:val="single" w:sz="4" w:space="0" w:color="auto"/>
              <w:right w:val="single" w:sz="4" w:space="0" w:color="auto"/>
            </w:tcBorders>
            <w:shd w:val="clear" w:color="auto" w:fill="auto"/>
          </w:tcPr>
          <w:p w14:paraId="4CFF8BDB"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tc>
      </w:tr>
    </w:tbl>
    <w:p w14:paraId="14166B37" w14:textId="77777777" w:rsidR="00C96521" w:rsidRPr="00C96521" w:rsidRDefault="00C96521" w:rsidP="00C96521">
      <w:pPr>
        <w:widowControl/>
        <w:autoSpaceDE/>
        <w:autoSpaceDN/>
        <w:adjustRightInd/>
        <w:spacing w:line="276" w:lineRule="auto"/>
        <w:rPr>
          <w:rFonts w:eastAsia="MS Mincho"/>
          <w:sz w:val="20"/>
          <w:szCs w:val="22"/>
          <w:u w:val="single"/>
          <w:lang w:val="en-GB" w:eastAsia="en-GB"/>
        </w:rPr>
      </w:pPr>
    </w:p>
    <w:p w14:paraId="3B1BD135" w14:textId="77777777" w:rsidR="00C96521" w:rsidRPr="00C96521" w:rsidRDefault="00C96521" w:rsidP="00C96521">
      <w:pPr>
        <w:widowControl/>
        <w:autoSpaceDE/>
        <w:autoSpaceDN/>
        <w:adjustRightInd/>
        <w:spacing w:line="276" w:lineRule="auto"/>
        <w:rPr>
          <w:rFonts w:eastAsia="MS Mincho"/>
          <w:b/>
          <w:sz w:val="20"/>
          <w:szCs w:val="22"/>
          <w:lang w:val="en-GB" w:eastAsia="en-GB"/>
        </w:rPr>
      </w:pPr>
      <w:r w:rsidRPr="00C96521">
        <w:rPr>
          <w:rFonts w:eastAsia="MS Mincho"/>
          <w:b/>
          <w:sz w:val="20"/>
          <w:szCs w:val="22"/>
          <w:lang w:val="en-GB" w:eastAsia="en-GB"/>
        </w:rPr>
        <w:t>Introduction</w:t>
      </w:r>
    </w:p>
    <w:p w14:paraId="3535BFE3" w14:textId="77777777" w:rsidR="00C96521" w:rsidRPr="00C96521" w:rsidRDefault="00C96521" w:rsidP="00C96521">
      <w:pPr>
        <w:widowControl/>
        <w:autoSpaceDE/>
        <w:autoSpaceDN/>
        <w:adjustRightInd/>
        <w:spacing w:line="276" w:lineRule="auto"/>
        <w:rPr>
          <w:rFonts w:eastAsia="MS Mincho"/>
          <w:sz w:val="20"/>
          <w:szCs w:val="22"/>
          <w:u w:val="single"/>
          <w:lang w:val="en-GB" w:eastAsia="en-GB"/>
        </w:rPr>
      </w:pPr>
    </w:p>
    <w:p w14:paraId="6A0F34F0" w14:textId="77777777" w:rsidR="00C96521" w:rsidRPr="00C96521" w:rsidRDefault="00C96521" w:rsidP="00C96521">
      <w:pPr>
        <w:widowControl/>
        <w:autoSpaceDE/>
        <w:autoSpaceDN/>
        <w:adjustRightInd/>
        <w:spacing w:line="276" w:lineRule="auto"/>
        <w:rPr>
          <w:rFonts w:eastAsia="MS Mincho"/>
          <w:sz w:val="20"/>
          <w:szCs w:val="22"/>
          <w:lang w:val="en-GB" w:eastAsia="en-GB"/>
        </w:rPr>
      </w:pPr>
      <w:r w:rsidRPr="00C96521">
        <w:rPr>
          <w:rFonts w:eastAsia="MS Mincho"/>
          <w:sz w:val="20"/>
          <w:szCs w:val="22"/>
          <w:lang w:val="en-GB" w:eastAsia="en-GB"/>
        </w:rPr>
        <w:t>This management plan provides tailored guidance and management prescriptions that will enable to you to deliver the bespoke turtle-dove seed mix successfully as part of your Countryside Stewardship Higher Tier Agreement.</w:t>
      </w:r>
    </w:p>
    <w:p w14:paraId="646ED458" w14:textId="77777777" w:rsidR="00C96521" w:rsidRPr="00C96521" w:rsidRDefault="00C96521" w:rsidP="00C96521">
      <w:pPr>
        <w:widowControl/>
        <w:autoSpaceDE/>
        <w:autoSpaceDN/>
        <w:adjustRightInd/>
        <w:spacing w:line="276" w:lineRule="auto"/>
        <w:rPr>
          <w:rFonts w:eastAsia="MS Mincho"/>
          <w:sz w:val="20"/>
          <w:szCs w:val="22"/>
          <w:lang w:val="en-GB" w:eastAsia="en-GB"/>
        </w:rPr>
      </w:pPr>
    </w:p>
    <w:p w14:paraId="0AD52929"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en-GB"/>
        </w:rPr>
        <w:t xml:space="preserve">The bespoke guidance and prescriptions in this plan only apply to those AB1 Nectar Flower Mix plots being managed specifically for turtle-dove with the SP9 Threatened Species Supplement. </w:t>
      </w:r>
      <w:r w:rsidRPr="00C96521">
        <w:rPr>
          <w:rFonts w:eastAsia="MS Mincho"/>
          <w:sz w:val="20"/>
          <w:szCs w:val="22"/>
          <w:lang w:val="en-GB" w:eastAsia="ja-JP"/>
        </w:rPr>
        <w:t>All other AB1 plots in your agreement should be managed according to the standard prescriptions.</w:t>
      </w:r>
    </w:p>
    <w:p w14:paraId="2E98C0AB"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3524317F" w14:textId="77777777" w:rsidR="00C96521" w:rsidRPr="00C96521" w:rsidRDefault="00C96521" w:rsidP="00C96521">
      <w:pPr>
        <w:widowControl/>
        <w:autoSpaceDE/>
        <w:autoSpaceDN/>
        <w:adjustRightInd/>
        <w:spacing w:line="276" w:lineRule="auto"/>
        <w:rPr>
          <w:rFonts w:eastAsia="MS Mincho"/>
          <w:b/>
          <w:sz w:val="20"/>
          <w:szCs w:val="22"/>
          <w:lang w:val="en-GB" w:eastAsia="en-GB"/>
        </w:rPr>
      </w:pPr>
      <w:r w:rsidRPr="00C96521">
        <w:rPr>
          <w:rFonts w:eastAsia="MS Mincho"/>
          <w:b/>
          <w:sz w:val="20"/>
          <w:szCs w:val="22"/>
          <w:lang w:val="en-GB" w:eastAsia="en-GB"/>
        </w:rPr>
        <w:t>Outcome of management</w:t>
      </w:r>
    </w:p>
    <w:p w14:paraId="488B92A7" w14:textId="77777777" w:rsidR="00C96521" w:rsidRPr="00C96521" w:rsidRDefault="00C96521" w:rsidP="00C96521">
      <w:pPr>
        <w:widowControl/>
        <w:autoSpaceDE/>
        <w:autoSpaceDN/>
        <w:adjustRightInd/>
        <w:spacing w:line="276" w:lineRule="auto"/>
        <w:rPr>
          <w:rFonts w:eastAsia="MS Mincho"/>
          <w:sz w:val="20"/>
          <w:szCs w:val="22"/>
          <w:lang w:val="en-GB" w:eastAsia="en-GB"/>
        </w:rPr>
      </w:pPr>
    </w:p>
    <w:p w14:paraId="2D85EF61" w14:textId="00838373"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en-GB"/>
        </w:rPr>
        <w:t xml:space="preserve">The management detailed in this plan seeks to provide ideal foraging conditions for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w:t>
      </w:r>
      <w:r w:rsidR="004D5651" w:rsidRPr="00C96521">
        <w:rPr>
          <w:rFonts w:eastAsia="MS Mincho"/>
          <w:sz w:val="20"/>
          <w:szCs w:val="22"/>
          <w:lang w:val="en-GB" w:eastAsia="ja-JP"/>
        </w:rPr>
        <w:t>ove</w:t>
      </w:r>
      <w:r w:rsidR="004D5651">
        <w:rPr>
          <w:rFonts w:eastAsia="MS Mincho"/>
          <w:sz w:val="20"/>
          <w:szCs w:val="22"/>
          <w:lang w:val="en-GB" w:eastAsia="ja-JP"/>
        </w:rPr>
        <w:t>s</w:t>
      </w:r>
      <w:r w:rsidRPr="00C96521">
        <w:rPr>
          <w:rFonts w:eastAsia="MS Mincho"/>
          <w:sz w:val="20"/>
          <w:szCs w:val="22"/>
          <w:lang w:val="en-GB" w:eastAsia="en-GB"/>
        </w:rPr>
        <w:t>: plots sown with early-seeding plants that retain an open structure from mid-April to July, allowing birds to access the seeds on the ground, located within 300 m</w:t>
      </w:r>
      <w:r w:rsidR="004D5651">
        <w:rPr>
          <w:rFonts w:eastAsia="MS Mincho"/>
          <w:sz w:val="20"/>
          <w:szCs w:val="22"/>
          <w:lang w:val="en-GB" w:eastAsia="en-GB"/>
        </w:rPr>
        <w:t>etres</w:t>
      </w:r>
      <w:r w:rsidRPr="00C96521">
        <w:rPr>
          <w:rFonts w:eastAsia="MS Mincho"/>
          <w:sz w:val="20"/>
          <w:szCs w:val="22"/>
          <w:lang w:val="en-GB" w:eastAsia="en-GB"/>
        </w:rPr>
        <w:t xml:space="preserve"> of suitable nesting habitat (tall, dense hedgerows or stands of scrub).</w:t>
      </w:r>
      <w:r w:rsidRPr="00C96521">
        <w:rPr>
          <w:rFonts w:eastAsia="MS Mincho"/>
          <w:sz w:val="20"/>
          <w:szCs w:val="22"/>
          <w:lang w:val="en-GB" w:eastAsia="ja-JP"/>
        </w:rPr>
        <w:t xml:space="preserve"> It is recogni</w:t>
      </w:r>
      <w:r w:rsidR="004D5651">
        <w:rPr>
          <w:rFonts w:eastAsia="MS Mincho"/>
          <w:sz w:val="20"/>
          <w:szCs w:val="22"/>
          <w:lang w:val="en-GB" w:eastAsia="ja-JP"/>
        </w:rPr>
        <w:t>z</w:t>
      </w:r>
      <w:r w:rsidRPr="00C96521">
        <w:rPr>
          <w:rFonts w:eastAsia="MS Mincho"/>
          <w:sz w:val="20"/>
          <w:szCs w:val="22"/>
          <w:lang w:val="en-GB" w:eastAsia="ja-JP"/>
        </w:rPr>
        <w:t xml:space="preserve">ed that maintaining both seed production and an open structure throughout the season can be a difficult balance to achieve, and is very different to a standard nectar mix plot. The following image shows the structure that needs to be achieved to be suitable for foraging </w:t>
      </w:r>
      <w:r w:rsidR="004D5651">
        <w:rPr>
          <w:rFonts w:eastAsia="MS Mincho"/>
          <w:sz w:val="20"/>
          <w:szCs w:val="22"/>
          <w:lang w:val="en-GB" w:eastAsia="ja-JP"/>
        </w:rPr>
        <w:t>T</w:t>
      </w:r>
      <w:r w:rsidR="004D5651" w:rsidRPr="00C96521">
        <w:rPr>
          <w:rFonts w:eastAsia="MS Mincho"/>
          <w:sz w:val="20"/>
          <w:szCs w:val="22"/>
          <w:lang w:val="en-GB" w:eastAsia="ja-JP"/>
        </w:rPr>
        <w:t>urtle</w:t>
      </w:r>
      <w:r w:rsidR="004D5651">
        <w:rPr>
          <w:rFonts w:eastAsia="MS Mincho"/>
          <w:sz w:val="20"/>
          <w:szCs w:val="22"/>
          <w:lang w:val="en-GB" w:eastAsia="ja-JP"/>
        </w:rPr>
        <w:t xml:space="preserve"> D</w:t>
      </w:r>
      <w:r w:rsidR="004D5651" w:rsidRPr="00C96521">
        <w:rPr>
          <w:rFonts w:eastAsia="MS Mincho"/>
          <w:sz w:val="20"/>
          <w:szCs w:val="22"/>
          <w:lang w:val="en-GB" w:eastAsia="ja-JP"/>
        </w:rPr>
        <w:t>ove</w:t>
      </w:r>
      <w:r w:rsidR="004D5651">
        <w:rPr>
          <w:rFonts w:eastAsia="MS Mincho"/>
          <w:sz w:val="20"/>
          <w:szCs w:val="22"/>
          <w:lang w:val="en-GB" w:eastAsia="ja-JP"/>
        </w:rPr>
        <w:t>s</w:t>
      </w:r>
      <w:r w:rsidRPr="00C96521">
        <w:rPr>
          <w:rFonts w:eastAsia="MS Mincho"/>
          <w:sz w:val="20"/>
          <w:szCs w:val="22"/>
          <w:lang w:val="en-GB" w:eastAsia="ja-JP"/>
        </w:rPr>
        <w:t>.</w:t>
      </w:r>
    </w:p>
    <w:p w14:paraId="063D267F"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2FA89D6"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noProof/>
          <w:sz w:val="20"/>
          <w:szCs w:val="22"/>
        </w:rPr>
        <w:drawing>
          <wp:inline distT="0" distB="0" distL="0" distR="0" wp14:anchorId="07A1E366" wp14:editId="689D6751">
            <wp:extent cx="5139546" cy="3392854"/>
            <wp:effectExtent l="19050" t="0" r="3954" b="0"/>
            <wp:docPr id="22" name="Picture 5" descr="TD mix ph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D mix photo 1"/>
                    <pic:cNvPicPr>
                      <a:picLocks noChangeAspect="1" noChangeArrowheads="1"/>
                    </pic:cNvPicPr>
                  </pic:nvPicPr>
                  <pic:blipFill>
                    <a:blip r:embed="rId52" cstate="print"/>
                    <a:srcRect/>
                    <a:stretch>
                      <a:fillRect/>
                    </a:stretch>
                  </pic:blipFill>
                  <pic:spPr bwMode="auto">
                    <a:xfrm>
                      <a:off x="0" y="0"/>
                      <a:ext cx="5141701" cy="3394277"/>
                    </a:xfrm>
                    <a:prstGeom prst="rect">
                      <a:avLst/>
                    </a:prstGeom>
                    <a:noFill/>
                    <a:ln w="9525">
                      <a:noFill/>
                      <a:miter lim="800000"/>
                      <a:headEnd/>
                      <a:tailEnd/>
                    </a:ln>
                  </pic:spPr>
                </pic:pic>
              </a:graphicData>
            </a:graphic>
          </wp:inline>
        </w:drawing>
      </w:r>
    </w:p>
    <w:p w14:paraId="1086BD52"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C19BFE5"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22E36426"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0885C2E0"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0E91C047"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Step-by-step guide</w:t>
      </w:r>
    </w:p>
    <w:p w14:paraId="088A206A"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360A33F6"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sz w:val="20"/>
          <w:szCs w:val="22"/>
          <w:lang w:val="en-GB" w:eastAsia="ja-JP"/>
        </w:rPr>
        <w:t>The following is a step-by-step guide to establishing and managing these areas during the course of your 5-year agreement (text in italics provides guidance when there are management choices to be made).</w:t>
      </w:r>
    </w:p>
    <w:p w14:paraId="407839B6"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5F4AD0AF"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Step 1: establishing the plot in Year 1 (and Year 3) of your agreement</w:t>
      </w:r>
    </w:p>
    <w:p w14:paraId="5434B40C" w14:textId="77777777" w:rsidR="00C96521" w:rsidRPr="00C96521" w:rsidRDefault="00C96521" w:rsidP="00C96521">
      <w:pPr>
        <w:widowControl/>
        <w:autoSpaceDE/>
        <w:autoSpaceDN/>
        <w:adjustRightInd/>
        <w:spacing w:line="276" w:lineRule="auto"/>
        <w:rPr>
          <w:rFonts w:eastAsia="MS Mincho"/>
          <w:sz w:val="20"/>
          <w:szCs w:val="22"/>
          <w:u w:val="single"/>
          <w:lang w:val="en-GB" w:eastAsia="ja-JP"/>
        </w:rPr>
      </w:pPr>
    </w:p>
    <w:p w14:paraId="04EC0E79"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Plot size</w:t>
      </w:r>
    </w:p>
    <w:p w14:paraId="6EF3F0D3" w14:textId="77777777" w:rsidR="00C96521" w:rsidRPr="00C96521" w:rsidRDefault="00C96521" w:rsidP="00C96521">
      <w:pPr>
        <w:widowControl/>
        <w:autoSpaceDE/>
        <w:autoSpaceDN/>
        <w:adjustRightInd/>
        <w:spacing w:line="276" w:lineRule="auto"/>
        <w:rPr>
          <w:rFonts w:eastAsia="MS Mincho"/>
          <w:sz w:val="20"/>
          <w:szCs w:val="22"/>
          <w:u w:val="single"/>
          <w:lang w:val="en-GB" w:eastAsia="ja-JP"/>
        </w:rPr>
      </w:pPr>
    </w:p>
    <w:p w14:paraId="1F6AC9B0"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The plot should be at least 6m wide and a maximum area of 1ha.</w:t>
      </w:r>
    </w:p>
    <w:p w14:paraId="5EC8224D" w14:textId="77777777" w:rsidR="00C96521" w:rsidRPr="00C96521" w:rsidRDefault="00C96521" w:rsidP="00C96521">
      <w:pPr>
        <w:widowControl/>
        <w:autoSpaceDE/>
        <w:autoSpaceDN/>
        <w:adjustRightInd/>
        <w:spacing w:line="276" w:lineRule="auto"/>
        <w:rPr>
          <w:rFonts w:eastAsia="MS Mincho"/>
          <w:sz w:val="20"/>
          <w:szCs w:val="22"/>
          <w:u w:val="single"/>
          <w:lang w:val="en-GB" w:eastAsia="ja-JP"/>
        </w:rPr>
      </w:pPr>
    </w:p>
    <w:p w14:paraId="3ED8DB1C"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Plot location</w:t>
      </w:r>
    </w:p>
    <w:p w14:paraId="205A93AC" w14:textId="77777777" w:rsidR="00C96521" w:rsidRPr="00C96521" w:rsidRDefault="00C96521" w:rsidP="00C96521">
      <w:pPr>
        <w:widowControl/>
        <w:autoSpaceDE/>
        <w:autoSpaceDN/>
        <w:adjustRightInd/>
        <w:spacing w:line="276" w:lineRule="auto"/>
        <w:rPr>
          <w:rFonts w:eastAsia="MS Mincho"/>
          <w:sz w:val="20"/>
          <w:szCs w:val="22"/>
          <w:u w:val="single"/>
          <w:lang w:val="en-GB" w:eastAsia="ja-JP"/>
        </w:rPr>
      </w:pPr>
    </w:p>
    <w:p w14:paraId="4DDFE06F" w14:textId="215CCEDC"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The plot should be positioned on level ground, close to suitable turtle-dove nesting habitat (within 300</w:t>
      </w:r>
      <w:r w:rsidR="004D5651">
        <w:rPr>
          <w:rFonts w:eastAsia="MS Mincho"/>
          <w:sz w:val="20"/>
          <w:szCs w:val="22"/>
          <w:lang w:val="en-GB" w:eastAsia="ja-JP"/>
        </w:rPr>
        <w:t xml:space="preserve"> </w:t>
      </w:r>
      <w:r w:rsidRPr="00C96521">
        <w:rPr>
          <w:rFonts w:eastAsia="MS Mincho"/>
          <w:sz w:val="20"/>
          <w:szCs w:val="22"/>
          <w:lang w:val="en-GB" w:eastAsia="ja-JP"/>
        </w:rPr>
        <w:t>m</w:t>
      </w:r>
      <w:r w:rsidR="004D5651">
        <w:rPr>
          <w:rFonts w:eastAsia="MS Mincho"/>
          <w:sz w:val="20"/>
          <w:szCs w:val="22"/>
          <w:lang w:val="en-GB" w:eastAsia="ja-JP"/>
        </w:rPr>
        <w:t>etres</w:t>
      </w:r>
      <w:r w:rsidRPr="00C96521">
        <w:rPr>
          <w:rFonts w:eastAsia="MS Mincho"/>
          <w:sz w:val="20"/>
          <w:szCs w:val="22"/>
          <w:lang w:val="en-GB" w:eastAsia="ja-JP"/>
        </w:rPr>
        <w:t>), or near to farm ponds or other wetland features, but not adjacent to watercourses (to minimise the risks of soil loss and run-off into watercourses). Sheltered, south-facing locations will generally be best. Areas with low soil fertility can be used, but avoid waterlogged and completely shaded locations.</w:t>
      </w:r>
    </w:p>
    <w:p w14:paraId="20B1EFF2"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654EE6C9"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Care should be taken to avoid putting this option in locations known to support rare arable plant species such as corn marigold, cornflower, night flowering catchfly and shepherd’s needle.</w:t>
      </w:r>
    </w:p>
    <w:p w14:paraId="1EF89EFD" w14:textId="77777777" w:rsidR="00C96521" w:rsidRPr="00C96521" w:rsidRDefault="00C96521" w:rsidP="00C96521">
      <w:pPr>
        <w:widowControl/>
        <w:autoSpaceDE/>
        <w:autoSpaceDN/>
        <w:adjustRightInd/>
        <w:spacing w:line="276" w:lineRule="auto"/>
        <w:rPr>
          <w:rFonts w:eastAsia="MS Mincho"/>
          <w:sz w:val="20"/>
          <w:szCs w:val="22"/>
          <w:u w:val="single"/>
          <w:lang w:val="en-GB" w:eastAsia="ja-JP"/>
        </w:rPr>
      </w:pPr>
    </w:p>
    <w:p w14:paraId="42F80DF3"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What to sow</w:t>
      </w:r>
    </w:p>
    <w:p w14:paraId="413C0C67" w14:textId="77777777" w:rsidR="00C96521" w:rsidRPr="00C96521" w:rsidRDefault="00C96521" w:rsidP="00C96521">
      <w:pPr>
        <w:widowControl/>
        <w:autoSpaceDE/>
        <w:autoSpaceDN/>
        <w:adjustRightInd/>
        <w:spacing w:line="276" w:lineRule="auto"/>
        <w:rPr>
          <w:rFonts w:eastAsia="MS Mincho"/>
          <w:sz w:val="20"/>
          <w:szCs w:val="22"/>
          <w:u w:val="single"/>
          <w:lang w:val="en-GB" w:eastAsia="ja-JP"/>
        </w:rPr>
      </w:pPr>
    </w:p>
    <w:p w14:paraId="37B49F30" w14:textId="5B7ECC9E"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The following seed mix must be sown </w:t>
      </w:r>
      <w:r w:rsidR="004D5651" w:rsidRPr="00C96521">
        <w:rPr>
          <w:rFonts w:eastAsia="MS Mincho"/>
          <w:sz w:val="20"/>
          <w:szCs w:val="22"/>
          <w:lang w:val="en-GB" w:eastAsia="ja-JP"/>
        </w:rPr>
        <w:t>(</w:t>
      </w:r>
      <w:r w:rsidR="004D5651">
        <w:rPr>
          <w:rFonts w:eastAsia="MS Mincho"/>
          <w:sz w:val="20"/>
          <w:szCs w:val="22"/>
          <w:lang w:val="en-GB" w:eastAsia="ja-JP"/>
        </w:rPr>
        <w:t>percentage</w:t>
      </w:r>
      <w:r w:rsidR="004D5651" w:rsidRPr="00C96521">
        <w:rPr>
          <w:rFonts w:eastAsia="MS Mincho"/>
          <w:sz w:val="20"/>
          <w:szCs w:val="22"/>
          <w:lang w:val="en-GB" w:eastAsia="ja-JP"/>
        </w:rPr>
        <w:t xml:space="preserve"> </w:t>
      </w:r>
      <w:r w:rsidRPr="00C96521">
        <w:rPr>
          <w:rFonts w:eastAsia="MS Mincho"/>
          <w:sz w:val="20"/>
          <w:szCs w:val="22"/>
          <w:lang w:val="en-GB" w:eastAsia="ja-JP"/>
        </w:rPr>
        <w:t>of seed mix by weight) at a seed rate of 10–15 kg/ha:</w:t>
      </w:r>
    </w:p>
    <w:p w14:paraId="274BD120" w14:textId="77777777" w:rsidR="00C96521" w:rsidRPr="00C96521" w:rsidRDefault="00C96521" w:rsidP="00C96521">
      <w:pPr>
        <w:widowControl/>
        <w:autoSpaceDE/>
        <w:autoSpaceDN/>
        <w:adjustRightInd/>
        <w:spacing w:line="276" w:lineRule="auto"/>
        <w:rPr>
          <w:rFonts w:eastAsia="MS Mincho"/>
          <w:sz w:val="20"/>
          <w:szCs w:val="22"/>
          <w:u w:val="single"/>
          <w:lang w:val="en-GB" w:eastAsia="ja-JP"/>
        </w:rPr>
      </w:pPr>
    </w:p>
    <w:p w14:paraId="22A2868D" w14:textId="3E9CE1B8" w:rsidR="00C96521" w:rsidRPr="00C96521" w:rsidRDefault="00C96521" w:rsidP="00C96521">
      <w:pPr>
        <w:widowControl/>
        <w:numPr>
          <w:ilvl w:val="0"/>
          <w:numId w:val="45"/>
        </w:numPr>
        <w:autoSpaceDE/>
        <w:autoSpaceDN/>
        <w:adjustRightInd/>
        <w:spacing w:line="276" w:lineRule="auto"/>
        <w:contextualSpacing/>
        <w:rPr>
          <w:rFonts w:eastAsia="MS Mincho"/>
          <w:sz w:val="20"/>
          <w:szCs w:val="22"/>
          <w:lang w:val="en-GB" w:eastAsia="ja-JP"/>
        </w:rPr>
      </w:pPr>
      <w:r w:rsidRPr="00C96521">
        <w:rPr>
          <w:rFonts w:eastAsia="MS Mincho"/>
          <w:sz w:val="20"/>
          <w:szCs w:val="22"/>
          <w:lang w:val="en-GB" w:eastAsia="ja-JP"/>
        </w:rPr>
        <w:t xml:space="preserve">early </w:t>
      </w:r>
      <w:r w:rsidR="004D5651" w:rsidRPr="00C96521">
        <w:rPr>
          <w:rFonts w:eastAsia="MS Mincho"/>
          <w:sz w:val="20"/>
          <w:szCs w:val="22"/>
          <w:lang w:val="en-GB" w:eastAsia="ja-JP"/>
        </w:rPr>
        <w:t>English</w:t>
      </w:r>
      <w:r w:rsidRPr="00C96521">
        <w:rPr>
          <w:rFonts w:eastAsia="MS Mincho"/>
          <w:sz w:val="20"/>
          <w:szCs w:val="22"/>
          <w:lang w:val="en-GB" w:eastAsia="ja-JP"/>
        </w:rPr>
        <w:t xml:space="preserve"> common vetch (25%)</w:t>
      </w:r>
    </w:p>
    <w:p w14:paraId="5010A577" w14:textId="77777777" w:rsidR="00C96521" w:rsidRPr="00C96521" w:rsidRDefault="00C96521" w:rsidP="00C96521">
      <w:pPr>
        <w:widowControl/>
        <w:numPr>
          <w:ilvl w:val="0"/>
          <w:numId w:val="45"/>
        </w:numPr>
        <w:autoSpaceDE/>
        <w:autoSpaceDN/>
        <w:adjustRightInd/>
        <w:spacing w:line="276" w:lineRule="auto"/>
        <w:contextualSpacing/>
        <w:rPr>
          <w:rFonts w:eastAsia="MS Mincho"/>
          <w:sz w:val="20"/>
          <w:szCs w:val="22"/>
          <w:lang w:val="en-GB" w:eastAsia="ja-JP"/>
        </w:rPr>
      </w:pPr>
      <w:r w:rsidRPr="00C96521">
        <w:rPr>
          <w:rFonts w:eastAsia="MS Mincho"/>
          <w:sz w:val="20"/>
          <w:szCs w:val="22"/>
          <w:lang w:val="en-GB" w:eastAsia="ja-JP"/>
        </w:rPr>
        <w:t>birdsfoot trefoil (20%),</w:t>
      </w:r>
    </w:p>
    <w:p w14:paraId="29A8A2B2" w14:textId="77777777" w:rsidR="00C96521" w:rsidRPr="00C96521" w:rsidRDefault="00C96521" w:rsidP="00C96521">
      <w:pPr>
        <w:widowControl/>
        <w:numPr>
          <w:ilvl w:val="0"/>
          <w:numId w:val="45"/>
        </w:numPr>
        <w:autoSpaceDE/>
        <w:autoSpaceDN/>
        <w:adjustRightInd/>
        <w:spacing w:line="276" w:lineRule="auto"/>
        <w:contextualSpacing/>
        <w:rPr>
          <w:rFonts w:eastAsia="MS Mincho"/>
          <w:sz w:val="20"/>
          <w:szCs w:val="22"/>
          <w:lang w:val="en-GB" w:eastAsia="ja-JP"/>
        </w:rPr>
      </w:pPr>
      <w:r w:rsidRPr="00C96521">
        <w:rPr>
          <w:rFonts w:eastAsia="MS Mincho"/>
          <w:sz w:val="20"/>
          <w:szCs w:val="22"/>
          <w:lang w:val="en-GB" w:eastAsia="ja-JP"/>
        </w:rPr>
        <w:t>early white clover (20%)</w:t>
      </w:r>
    </w:p>
    <w:p w14:paraId="45763FAF" w14:textId="77777777" w:rsidR="00C96521" w:rsidRPr="00C96521" w:rsidRDefault="00C96521" w:rsidP="00C96521">
      <w:pPr>
        <w:widowControl/>
        <w:numPr>
          <w:ilvl w:val="0"/>
          <w:numId w:val="45"/>
        </w:numPr>
        <w:autoSpaceDE/>
        <w:autoSpaceDN/>
        <w:adjustRightInd/>
        <w:spacing w:line="276" w:lineRule="auto"/>
        <w:contextualSpacing/>
        <w:rPr>
          <w:rFonts w:eastAsia="MS Mincho"/>
          <w:sz w:val="20"/>
          <w:szCs w:val="22"/>
          <w:lang w:val="en-GB" w:eastAsia="ja-JP"/>
        </w:rPr>
      </w:pPr>
      <w:r w:rsidRPr="00C96521">
        <w:rPr>
          <w:rFonts w:eastAsia="MS Mincho"/>
          <w:sz w:val="20"/>
          <w:szCs w:val="22"/>
          <w:lang w:val="en-GB" w:eastAsia="ja-JP"/>
        </w:rPr>
        <w:t>black medick (20%)</w:t>
      </w:r>
    </w:p>
    <w:p w14:paraId="6475FF2E" w14:textId="77777777" w:rsidR="00C96521" w:rsidRPr="00C96521" w:rsidRDefault="00C96521" w:rsidP="00C96521">
      <w:pPr>
        <w:widowControl/>
        <w:numPr>
          <w:ilvl w:val="0"/>
          <w:numId w:val="45"/>
        </w:numPr>
        <w:autoSpaceDE/>
        <w:autoSpaceDN/>
        <w:adjustRightInd/>
        <w:spacing w:line="276" w:lineRule="auto"/>
        <w:contextualSpacing/>
        <w:rPr>
          <w:rFonts w:eastAsia="MS Mincho"/>
          <w:sz w:val="20"/>
          <w:szCs w:val="22"/>
          <w:lang w:val="en-GB" w:eastAsia="ja-JP"/>
        </w:rPr>
      </w:pPr>
      <w:r w:rsidRPr="00C96521">
        <w:rPr>
          <w:rFonts w:eastAsia="MS Mincho"/>
          <w:sz w:val="20"/>
          <w:szCs w:val="22"/>
          <w:lang w:val="en-GB" w:eastAsia="ja-JP"/>
        </w:rPr>
        <w:t>early red clover (10%)</w:t>
      </w:r>
    </w:p>
    <w:p w14:paraId="1DCB630D" w14:textId="77777777" w:rsidR="00C96521" w:rsidRPr="00C96521" w:rsidRDefault="00C96521" w:rsidP="00C96521">
      <w:pPr>
        <w:widowControl/>
        <w:numPr>
          <w:ilvl w:val="0"/>
          <w:numId w:val="45"/>
        </w:numPr>
        <w:autoSpaceDE/>
        <w:autoSpaceDN/>
        <w:adjustRightInd/>
        <w:spacing w:line="276" w:lineRule="auto"/>
        <w:contextualSpacing/>
        <w:rPr>
          <w:rFonts w:eastAsia="MS Mincho"/>
          <w:sz w:val="20"/>
          <w:szCs w:val="22"/>
          <w:lang w:val="en-GB" w:eastAsia="ja-JP"/>
        </w:rPr>
      </w:pPr>
      <w:r w:rsidRPr="00C96521">
        <w:rPr>
          <w:rFonts w:eastAsia="MS Mincho"/>
          <w:sz w:val="20"/>
          <w:szCs w:val="22"/>
          <w:lang w:val="en-GB" w:eastAsia="ja-JP"/>
        </w:rPr>
        <w:t>common fumitory (5%)</w:t>
      </w:r>
    </w:p>
    <w:p w14:paraId="1EA3AD4F"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83C8366"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On heavier soils, and where there are likely to be problems with pernicious weeds, a sowing rate of up to 15 kg/ha is recommended. On lighter soils, a sowing rate of 10 kg/ha is more likely to provide a more varied vegetation structure.</w:t>
      </w:r>
    </w:p>
    <w:p w14:paraId="14898F6A" w14:textId="77777777" w:rsidR="00C96521" w:rsidRPr="00C96521" w:rsidRDefault="00C96521" w:rsidP="00C96521">
      <w:pPr>
        <w:widowControl/>
        <w:autoSpaceDE/>
        <w:autoSpaceDN/>
        <w:adjustRightInd/>
        <w:spacing w:line="276" w:lineRule="auto"/>
        <w:rPr>
          <w:rFonts w:eastAsia="MS Mincho"/>
          <w:sz w:val="20"/>
          <w:szCs w:val="22"/>
          <w:u w:val="single"/>
          <w:lang w:val="en-GB" w:eastAsia="ja-JP"/>
        </w:rPr>
      </w:pPr>
    </w:p>
    <w:p w14:paraId="7C4F8130"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When to sow</w:t>
      </w:r>
    </w:p>
    <w:p w14:paraId="111C0AAC" w14:textId="77777777" w:rsidR="00C96521" w:rsidRPr="00C96521" w:rsidRDefault="00C96521" w:rsidP="00C96521">
      <w:pPr>
        <w:widowControl/>
        <w:autoSpaceDE/>
        <w:autoSpaceDN/>
        <w:adjustRightInd/>
        <w:spacing w:line="276" w:lineRule="auto"/>
        <w:rPr>
          <w:rFonts w:eastAsia="MS Mincho"/>
          <w:sz w:val="20"/>
          <w:szCs w:val="22"/>
          <w:u w:val="single"/>
          <w:lang w:val="en-GB" w:eastAsia="ja-JP"/>
        </w:rPr>
      </w:pPr>
    </w:p>
    <w:p w14:paraId="7BD22240" w14:textId="38136890"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Sow from late August to mid-September wherever possible (ground conditions permitting) to ensure establishment before the winter dormancy period and any harsh weather. Later sowings, up to 15 October, can be considered in localities where severe/early frosts are less common and the winters are generally milder.</w:t>
      </w:r>
    </w:p>
    <w:p w14:paraId="4778F32D"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615DDFE"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How to sow</w:t>
      </w:r>
    </w:p>
    <w:p w14:paraId="0FF2082F" w14:textId="77777777" w:rsidR="00C96521" w:rsidRPr="00C96521" w:rsidRDefault="00C96521" w:rsidP="00C96521">
      <w:pPr>
        <w:widowControl/>
        <w:autoSpaceDE/>
        <w:autoSpaceDN/>
        <w:adjustRightInd/>
        <w:spacing w:line="276" w:lineRule="auto"/>
        <w:rPr>
          <w:rFonts w:eastAsia="MS Mincho"/>
          <w:sz w:val="20"/>
          <w:szCs w:val="22"/>
          <w:u w:val="single"/>
          <w:lang w:val="en-GB" w:eastAsia="ja-JP"/>
        </w:rPr>
      </w:pPr>
    </w:p>
    <w:p w14:paraId="53309B4F"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The seed mix should be broadcast into a firm, fine seedbed and then rolled.</w:t>
      </w:r>
    </w:p>
    <w:p w14:paraId="0AC3144C"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8EE5EFA"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Step 2: management of plot in Year 2</w:t>
      </w:r>
    </w:p>
    <w:p w14:paraId="6BBEA5F0"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BF0D19D"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(a) Early spring inspection and scarification</w:t>
      </w:r>
    </w:p>
    <w:p w14:paraId="30A63D64" w14:textId="77777777" w:rsidR="00C96521" w:rsidRPr="00C96521" w:rsidRDefault="00C96521" w:rsidP="00C96521">
      <w:pPr>
        <w:widowControl/>
        <w:autoSpaceDE/>
        <w:autoSpaceDN/>
        <w:adjustRightInd/>
        <w:spacing w:line="276" w:lineRule="auto"/>
        <w:rPr>
          <w:rFonts w:eastAsia="MS Mincho"/>
          <w:sz w:val="20"/>
          <w:szCs w:val="22"/>
          <w:u w:val="single"/>
          <w:lang w:val="en-GB" w:eastAsia="ja-JP"/>
        </w:rPr>
      </w:pPr>
    </w:p>
    <w:p w14:paraId="748DF87F" w14:textId="5E985068"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It is vital that there is sufficient bare earth within the plot when the turtle-doves arrive on the breeding grounds. Inspect the plot by early April to ensure that the vegetation is generally &lt;12 cm in height and covers &lt;50</w:t>
      </w:r>
      <w:r w:rsidR="004D5651">
        <w:rPr>
          <w:rFonts w:eastAsia="MS Mincho"/>
          <w:sz w:val="20"/>
          <w:szCs w:val="22"/>
          <w:lang w:val="en-GB" w:eastAsia="ja-JP"/>
        </w:rPr>
        <w:t xml:space="preserve"> per cent</w:t>
      </w:r>
      <w:r w:rsidRPr="00C96521">
        <w:rPr>
          <w:rFonts w:eastAsia="MS Mincho"/>
          <w:sz w:val="20"/>
          <w:szCs w:val="22"/>
          <w:lang w:val="en-GB" w:eastAsia="ja-JP"/>
        </w:rPr>
        <w:t xml:space="preserve"> of the ground. If the vegetation generally exceeds this height and cover, scarify half of the plot by 15 April.</w:t>
      </w:r>
    </w:p>
    <w:p w14:paraId="058311CF"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04ED472"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(b) Summer cut and scarification</w:t>
      </w:r>
    </w:p>
    <w:p w14:paraId="3B38CD44" w14:textId="77777777" w:rsidR="00C96521" w:rsidRPr="00C96521" w:rsidRDefault="00C96521" w:rsidP="00C96521">
      <w:pPr>
        <w:widowControl/>
        <w:autoSpaceDE/>
        <w:autoSpaceDN/>
        <w:adjustRightInd/>
        <w:spacing w:line="276" w:lineRule="auto"/>
        <w:rPr>
          <w:rFonts w:eastAsia="MS Mincho"/>
          <w:sz w:val="20"/>
          <w:szCs w:val="22"/>
          <w:u w:val="single"/>
          <w:lang w:val="en-GB" w:eastAsia="ja-JP"/>
        </w:rPr>
      </w:pPr>
    </w:p>
    <w:p w14:paraId="0D2777DB" w14:textId="1830953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Cut 50</w:t>
      </w:r>
      <w:r w:rsidR="004D5651">
        <w:rPr>
          <w:rFonts w:eastAsia="MS Mincho"/>
          <w:sz w:val="20"/>
          <w:szCs w:val="22"/>
          <w:lang w:val="en-GB" w:eastAsia="ja-JP"/>
        </w:rPr>
        <w:t xml:space="preserve"> per cent</w:t>
      </w:r>
      <w:r w:rsidRPr="00C96521">
        <w:rPr>
          <w:rFonts w:eastAsia="MS Mincho"/>
          <w:sz w:val="20"/>
          <w:szCs w:val="22"/>
          <w:lang w:val="en-GB" w:eastAsia="ja-JP"/>
        </w:rPr>
        <w:t xml:space="preserve"> of the plot to a height of c10 cm between 15 June and 7 July. To extend the use as a foraging habitat by turtle-doves, those plots where the vegetation uniformly exceeds 12 cm in height and covers &gt;50</w:t>
      </w:r>
      <w:r w:rsidR="004D5651">
        <w:rPr>
          <w:rFonts w:eastAsia="MS Mincho"/>
          <w:sz w:val="20"/>
          <w:szCs w:val="22"/>
          <w:lang w:val="en-GB" w:eastAsia="ja-JP"/>
        </w:rPr>
        <w:t xml:space="preserve"> per cent</w:t>
      </w:r>
      <w:r w:rsidRPr="00C96521">
        <w:rPr>
          <w:rFonts w:eastAsia="MS Mincho"/>
          <w:sz w:val="20"/>
          <w:szCs w:val="22"/>
          <w:lang w:val="en-GB" w:eastAsia="ja-JP"/>
        </w:rPr>
        <w:t xml:space="preserve"> of the ground should be scarified to a depth of 2–3 cm immediately after cutting.</w:t>
      </w:r>
    </w:p>
    <w:p w14:paraId="3E2DD158"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EC4ED10" w14:textId="6A9C735A"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The width of the scarification should be determined by the dimensions of the plot. For example, a 6m margin should have half topped (3m-wide cut), while a plot of 0.5ha should have 6</w:t>
      </w:r>
      <w:r w:rsidR="007910C0">
        <w:rPr>
          <w:rFonts w:eastAsia="MS Mincho"/>
          <w:i/>
          <w:sz w:val="20"/>
          <w:szCs w:val="22"/>
          <w:lang w:val="en-GB" w:eastAsia="ja-JP"/>
        </w:rPr>
        <w:t>-</w:t>
      </w:r>
      <w:r w:rsidRPr="00C96521">
        <w:rPr>
          <w:rFonts w:eastAsia="MS Mincho"/>
          <w:i/>
          <w:sz w:val="20"/>
          <w:szCs w:val="22"/>
          <w:lang w:val="en-GB" w:eastAsia="ja-JP"/>
        </w:rPr>
        <w:t>m</w:t>
      </w:r>
      <w:r w:rsidR="007910C0">
        <w:rPr>
          <w:rFonts w:eastAsia="MS Mincho"/>
          <w:i/>
          <w:sz w:val="20"/>
          <w:szCs w:val="22"/>
          <w:lang w:val="en-GB" w:eastAsia="ja-JP"/>
        </w:rPr>
        <w:t>etre</w:t>
      </w:r>
      <w:r w:rsidRPr="00C96521">
        <w:rPr>
          <w:rFonts w:eastAsia="MS Mincho"/>
          <w:i/>
          <w:sz w:val="20"/>
          <w:szCs w:val="22"/>
          <w:lang w:val="en-GB" w:eastAsia="ja-JP"/>
        </w:rPr>
        <w:t xml:space="preserve"> scarified strips distributed evenly across the plot, to provide the level of sward diversity (including bare ground) required by foraging birds.</w:t>
      </w:r>
    </w:p>
    <w:p w14:paraId="63C785AE"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p>
    <w:p w14:paraId="7860629D"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(c) Autumn cut/scarification</w:t>
      </w:r>
    </w:p>
    <w:p w14:paraId="24B40B49" w14:textId="77777777" w:rsidR="00C96521" w:rsidRPr="00C96521" w:rsidRDefault="00C96521" w:rsidP="00C96521">
      <w:pPr>
        <w:widowControl/>
        <w:autoSpaceDE/>
        <w:autoSpaceDN/>
        <w:adjustRightInd/>
        <w:spacing w:line="276" w:lineRule="auto"/>
        <w:rPr>
          <w:rFonts w:eastAsia="MS Mincho"/>
          <w:sz w:val="20"/>
          <w:szCs w:val="22"/>
          <w:u w:val="single"/>
          <w:lang w:val="en-GB" w:eastAsia="ja-JP"/>
        </w:rPr>
      </w:pPr>
    </w:p>
    <w:p w14:paraId="2A21B8E0"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In order to prevent the vegetation cover becoming too dense, and to encourage autumn germination of seed-producing plants, it is vital that any dense vegetation cut/flailed and removed, and then whole of the plots should be scarified to a depth of 2–3cm.</w:t>
      </w:r>
    </w:p>
    <w:p w14:paraId="6ABE3C8B"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F25922A" w14:textId="77777777" w:rsidR="00C96521" w:rsidRPr="00C96521" w:rsidRDefault="00C96521" w:rsidP="00C96521">
      <w:pPr>
        <w:widowControl/>
        <w:autoSpaceDE/>
        <w:autoSpaceDN/>
        <w:adjustRightInd/>
        <w:spacing w:line="276" w:lineRule="auto"/>
        <w:rPr>
          <w:rFonts w:eastAsia="MS Mincho"/>
          <w:i/>
          <w:sz w:val="20"/>
          <w:szCs w:val="22"/>
          <w:lang w:val="en-GB" w:eastAsia="ja-JP"/>
        </w:rPr>
      </w:pPr>
      <w:r w:rsidRPr="00C96521">
        <w:rPr>
          <w:rFonts w:eastAsia="MS Mincho"/>
          <w:i/>
          <w:sz w:val="20"/>
          <w:szCs w:val="22"/>
          <w:lang w:val="en-GB" w:eastAsia="ja-JP"/>
        </w:rPr>
        <w:t xml:space="preserve">Scarification or shallow cultivation can be undertaken by a range of suitable equipment such as a power harrow, set of discs or tines, or other implements appropriate to site conditions. </w:t>
      </w:r>
    </w:p>
    <w:p w14:paraId="7F651DC9"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p>
    <w:p w14:paraId="6534A1A0"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b/>
          <w:sz w:val="20"/>
          <w:szCs w:val="22"/>
          <w:lang w:val="en-GB" w:eastAsia="ja-JP"/>
        </w:rPr>
        <w:t>Step 3: management of plot in Year 3</w:t>
      </w:r>
    </w:p>
    <w:p w14:paraId="2F296FD6"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63B4301E" w14:textId="634FF8BA"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Repeat 2a and 2b to maintain the suitability of the plot for foraging </w:t>
      </w:r>
      <w:r w:rsidR="007910C0">
        <w:rPr>
          <w:rFonts w:eastAsia="MS Mincho"/>
          <w:sz w:val="20"/>
          <w:szCs w:val="22"/>
          <w:lang w:val="en-GB" w:eastAsia="ja-JP"/>
        </w:rPr>
        <w:t>T</w:t>
      </w:r>
      <w:r w:rsidR="007910C0" w:rsidRPr="00C96521">
        <w:rPr>
          <w:rFonts w:eastAsia="MS Mincho"/>
          <w:sz w:val="20"/>
          <w:szCs w:val="22"/>
          <w:lang w:val="en-GB" w:eastAsia="ja-JP"/>
        </w:rPr>
        <w:t>urtle</w:t>
      </w:r>
      <w:r w:rsidR="007910C0">
        <w:rPr>
          <w:rFonts w:eastAsia="MS Mincho"/>
          <w:sz w:val="20"/>
          <w:szCs w:val="22"/>
          <w:lang w:val="en-GB" w:eastAsia="ja-JP"/>
        </w:rPr>
        <w:t xml:space="preserve"> D</w:t>
      </w:r>
      <w:r w:rsidR="007910C0" w:rsidRPr="00C96521">
        <w:rPr>
          <w:rFonts w:eastAsia="MS Mincho"/>
          <w:sz w:val="20"/>
          <w:szCs w:val="22"/>
          <w:lang w:val="en-GB" w:eastAsia="ja-JP"/>
        </w:rPr>
        <w:t>ove</w:t>
      </w:r>
      <w:r w:rsidR="007910C0">
        <w:rPr>
          <w:rFonts w:eastAsia="MS Mincho"/>
          <w:sz w:val="20"/>
          <w:szCs w:val="22"/>
          <w:lang w:val="en-GB" w:eastAsia="ja-JP"/>
        </w:rPr>
        <w:t>s</w:t>
      </w:r>
      <w:r w:rsidRPr="00C96521">
        <w:rPr>
          <w:rFonts w:eastAsia="MS Mincho"/>
          <w:sz w:val="20"/>
          <w:szCs w:val="22"/>
          <w:lang w:val="en-GB" w:eastAsia="ja-JP"/>
        </w:rPr>
        <w:t xml:space="preserve">. </w:t>
      </w:r>
    </w:p>
    <w:p w14:paraId="12A6E4C4"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7A2DBF7"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Step 4: re-establish the plot in Year 3</w:t>
      </w:r>
    </w:p>
    <w:p w14:paraId="2DDD6561"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186FB21" w14:textId="1538921E"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After the summer cut/scarification, allow plants to re-grow and flower for a minimum of </w:t>
      </w:r>
      <w:r w:rsidR="007910C0">
        <w:rPr>
          <w:rFonts w:eastAsia="MS Mincho"/>
          <w:sz w:val="20"/>
          <w:szCs w:val="22"/>
          <w:lang w:val="en-GB" w:eastAsia="ja-JP"/>
        </w:rPr>
        <w:t>four</w:t>
      </w:r>
      <w:r w:rsidR="007910C0" w:rsidRPr="00C96521">
        <w:rPr>
          <w:rFonts w:eastAsia="MS Mincho"/>
          <w:sz w:val="20"/>
          <w:szCs w:val="22"/>
          <w:lang w:val="en-GB" w:eastAsia="ja-JP"/>
        </w:rPr>
        <w:t xml:space="preserve"> </w:t>
      </w:r>
      <w:r w:rsidRPr="00C96521">
        <w:rPr>
          <w:rFonts w:eastAsia="MS Mincho"/>
          <w:sz w:val="20"/>
          <w:szCs w:val="22"/>
          <w:lang w:val="en-GB" w:eastAsia="ja-JP"/>
        </w:rPr>
        <w:t>weeks before repeating step 1 to re-establish the plot. To do this, you can either re-sow the seed mix in the same location or bring that land back into the normal arable rotation and move the plot a new suitable location.</w:t>
      </w:r>
    </w:p>
    <w:p w14:paraId="525CE001"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500A56FC"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b/>
          <w:sz w:val="20"/>
          <w:szCs w:val="22"/>
          <w:lang w:val="en-GB" w:eastAsia="ja-JP"/>
        </w:rPr>
        <w:t>Step 5: management of the plot in Years 4 and 5</w:t>
      </w:r>
    </w:p>
    <w:p w14:paraId="37B7EC78"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5F79927"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t xml:space="preserve">Repeat 2a, 2b and 2c Year 4 of your agreement, and 2b and 2c in Year 5. </w:t>
      </w:r>
    </w:p>
    <w:p w14:paraId="26BB33AD" w14:textId="77777777" w:rsidR="00C96521" w:rsidRPr="00C96521" w:rsidRDefault="00C96521" w:rsidP="00C96521">
      <w:pPr>
        <w:widowControl/>
        <w:autoSpaceDE/>
        <w:autoSpaceDN/>
        <w:adjustRightInd/>
        <w:spacing w:line="276" w:lineRule="auto"/>
        <w:rPr>
          <w:rFonts w:eastAsia="MS Gothic"/>
          <w:b/>
          <w:bCs/>
          <w:color w:val="365F91"/>
          <w:sz w:val="32"/>
          <w:szCs w:val="28"/>
          <w:lang w:val="en-GB" w:eastAsia="ja-JP"/>
        </w:rPr>
      </w:pPr>
      <w:r w:rsidRPr="00C96521">
        <w:rPr>
          <w:rFonts w:eastAsia="MS Mincho"/>
          <w:sz w:val="20"/>
          <w:szCs w:val="22"/>
          <w:lang w:val="en-GB" w:eastAsia="ja-JP"/>
        </w:rPr>
        <w:br w:type="page"/>
      </w:r>
    </w:p>
    <w:p w14:paraId="76BA4AC3" w14:textId="77777777" w:rsidR="00C96521" w:rsidRPr="00C96521" w:rsidRDefault="00C96521" w:rsidP="00C96521">
      <w:pPr>
        <w:keepNext/>
        <w:keepLines/>
        <w:widowControl/>
        <w:autoSpaceDE/>
        <w:autoSpaceDN/>
        <w:adjustRightInd/>
        <w:spacing w:before="480" w:line="276" w:lineRule="auto"/>
        <w:outlineLvl w:val="0"/>
        <w:rPr>
          <w:rFonts w:eastAsia="MS Gothic"/>
          <w:b/>
          <w:bCs/>
          <w:color w:val="365F91"/>
          <w:sz w:val="32"/>
          <w:szCs w:val="28"/>
          <w:lang w:val="en-GB" w:eastAsia="ja-JP"/>
        </w:rPr>
      </w:pPr>
      <w:bookmarkStart w:id="37" w:name="_Toc478646922"/>
      <w:r w:rsidRPr="00C96521">
        <w:rPr>
          <w:rFonts w:eastAsia="MS Gothic"/>
          <w:b/>
          <w:bCs/>
          <w:color w:val="365F91"/>
          <w:sz w:val="32"/>
          <w:szCs w:val="28"/>
          <w:lang w:val="en-GB" w:eastAsia="ja-JP"/>
        </w:rPr>
        <w:t>Annex 4: ADAPTIVE HARVEST MANAGEMENT PLAN</w:t>
      </w:r>
      <w:bookmarkEnd w:id="37"/>
    </w:p>
    <w:p w14:paraId="63D30FA7"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330C5A67" w14:textId="1CBC1944" w:rsidR="00C96521" w:rsidRPr="00C96521" w:rsidRDefault="00C96521" w:rsidP="00C96521">
      <w:pPr>
        <w:widowControl/>
        <w:autoSpaceDE/>
        <w:autoSpaceDN/>
        <w:adjustRightInd/>
        <w:spacing w:line="276" w:lineRule="auto"/>
        <w:rPr>
          <w:rFonts w:eastAsia="MS Mincho"/>
          <w:color w:val="FF0000"/>
          <w:sz w:val="20"/>
          <w:szCs w:val="22"/>
          <w:lang w:val="en-GB" w:eastAsia="ja-JP"/>
        </w:rPr>
      </w:pPr>
      <w:r w:rsidRPr="00C96521">
        <w:rPr>
          <w:rFonts w:eastAsia="MS Mincho"/>
          <w:color w:val="FF0000"/>
          <w:sz w:val="20"/>
          <w:szCs w:val="22"/>
          <w:lang w:val="en-GB" w:eastAsia="ja-JP"/>
        </w:rPr>
        <w:t xml:space="preserve">[Editors' note: work to develop </w:t>
      </w:r>
      <w:r w:rsidR="00CB5111">
        <w:rPr>
          <w:rFonts w:eastAsia="MS Mincho"/>
          <w:color w:val="FF0000"/>
          <w:sz w:val="20"/>
          <w:szCs w:val="22"/>
          <w:lang w:val="en-GB" w:eastAsia="ja-JP"/>
        </w:rPr>
        <w:t>sustainable hunting models for Turtle D</w:t>
      </w:r>
      <w:r w:rsidRPr="00C96521">
        <w:rPr>
          <w:rFonts w:eastAsia="MS Mincho"/>
          <w:color w:val="FF0000"/>
          <w:sz w:val="20"/>
          <w:szCs w:val="22"/>
          <w:lang w:val="en-GB" w:eastAsia="ja-JP"/>
        </w:rPr>
        <w:t>ove is ongoing during the consultation on this first draft]</w:t>
      </w:r>
    </w:p>
    <w:p w14:paraId="7BF4E7FF" w14:textId="5BD802A4" w:rsidR="00C96521" w:rsidRPr="00C96521" w:rsidRDefault="00C96521" w:rsidP="00C96521">
      <w:pPr>
        <w:keepNext/>
        <w:keepLines/>
        <w:widowControl/>
        <w:autoSpaceDE/>
        <w:autoSpaceDN/>
        <w:adjustRightInd/>
        <w:spacing w:before="200" w:line="276" w:lineRule="auto"/>
        <w:outlineLvl w:val="1"/>
        <w:rPr>
          <w:rFonts w:ascii="Cambria" w:eastAsia="MS Gothic" w:hAnsi="Cambria"/>
          <w:b/>
          <w:bCs/>
          <w:color w:val="4F81BD"/>
          <w:sz w:val="26"/>
          <w:szCs w:val="26"/>
          <w:lang w:val="en-GB" w:eastAsia="ja-JP"/>
        </w:rPr>
      </w:pPr>
      <w:bookmarkStart w:id="38" w:name="_Toc478646923"/>
      <w:r w:rsidRPr="00C96521">
        <w:rPr>
          <w:rFonts w:ascii="Cambria" w:eastAsia="MS Gothic" w:hAnsi="Cambria"/>
          <w:b/>
          <w:bCs/>
          <w:color w:val="4F81BD"/>
          <w:sz w:val="26"/>
          <w:szCs w:val="26"/>
          <w:lang w:val="en-GB" w:eastAsia="ja-JP"/>
        </w:rPr>
        <w:t xml:space="preserve">Estimating hunting sustainability of </w:t>
      </w:r>
      <w:r w:rsidR="007910C0">
        <w:rPr>
          <w:rFonts w:ascii="Cambria" w:eastAsia="MS Gothic" w:hAnsi="Cambria"/>
          <w:b/>
          <w:bCs/>
          <w:color w:val="4F81BD"/>
          <w:sz w:val="26"/>
          <w:szCs w:val="26"/>
          <w:lang w:val="en-GB" w:eastAsia="ja-JP"/>
        </w:rPr>
        <w:t>T</w:t>
      </w:r>
      <w:r w:rsidRPr="00C96521">
        <w:rPr>
          <w:rFonts w:ascii="Cambria" w:eastAsia="MS Gothic" w:hAnsi="Cambria"/>
          <w:b/>
          <w:bCs/>
          <w:color w:val="4F81BD"/>
          <w:sz w:val="26"/>
          <w:szCs w:val="26"/>
          <w:lang w:val="en-GB" w:eastAsia="ja-JP"/>
        </w:rPr>
        <w:t xml:space="preserve">urtle </w:t>
      </w:r>
      <w:r w:rsidR="007910C0">
        <w:rPr>
          <w:rFonts w:ascii="Cambria" w:eastAsia="MS Gothic" w:hAnsi="Cambria"/>
          <w:b/>
          <w:bCs/>
          <w:color w:val="4F81BD"/>
          <w:sz w:val="26"/>
          <w:szCs w:val="26"/>
          <w:lang w:val="en-GB" w:eastAsia="ja-JP"/>
        </w:rPr>
        <w:t>D</w:t>
      </w:r>
      <w:r w:rsidRPr="00C96521">
        <w:rPr>
          <w:rFonts w:ascii="Cambria" w:eastAsia="MS Gothic" w:hAnsi="Cambria"/>
          <w:b/>
          <w:bCs/>
          <w:color w:val="4F81BD"/>
          <w:sz w:val="26"/>
          <w:szCs w:val="26"/>
          <w:lang w:val="en-GB" w:eastAsia="ja-JP"/>
        </w:rPr>
        <w:t>oves using the western flyway: a first approach based on the use of demographic invariants</w:t>
      </w:r>
      <w:bookmarkEnd w:id="38"/>
      <w:r w:rsidRPr="00C96521">
        <w:rPr>
          <w:rFonts w:ascii="Cambria" w:eastAsia="MS Gothic" w:hAnsi="Cambria"/>
          <w:b/>
          <w:bCs/>
          <w:color w:val="4F81BD"/>
          <w:sz w:val="26"/>
          <w:szCs w:val="26"/>
          <w:lang w:val="en-GB" w:eastAsia="ja-JP"/>
        </w:rPr>
        <w:t xml:space="preserve"> </w:t>
      </w:r>
    </w:p>
    <w:p w14:paraId="7D7525E2"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123B3FDF" w14:textId="77777777" w:rsidR="00C96521" w:rsidRPr="00C96521" w:rsidRDefault="00C96521" w:rsidP="00C96521">
      <w:pPr>
        <w:widowControl/>
        <w:shd w:val="clear" w:color="auto" w:fill="FFFFFF"/>
        <w:autoSpaceDE/>
        <w:autoSpaceDN/>
        <w:adjustRightInd/>
        <w:rPr>
          <w:rFonts w:cs="Arial"/>
          <w:color w:val="212121"/>
          <w:sz w:val="20"/>
          <w:szCs w:val="20"/>
          <w:lang w:val="en-GB" w:eastAsia="ja-JP"/>
        </w:rPr>
      </w:pPr>
      <w:r w:rsidRPr="00C96521">
        <w:rPr>
          <w:rFonts w:cs="Arial"/>
          <w:color w:val="212121"/>
          <w:sz w:val="20"/>
          <w:szCs w:val="20"/>
          <w:lang w:val="en-GB" w:eastAsia="ja-JP"/>
        </w:rPr>
        <w:t>Hervé LORMÉE</w:t>
      </w:r>
      <w:r w:rsidRPr="00C96521">
        <w:rPr>
          <w:rFonts w:cs="Arial"/>
          <w:color w:val="212121"/>
          <w:sz w:val="20"/>
          <w:szCs w:val="20"/>
          <w:vertAlign w:val="superscript"/>
          <w:lang w:val="en-GB" w:eastAsia="ja-JP"/>
        </w:rPr>
        <w:t>1</w:t>
      </w:r>
      <w:r w:rsidRPr="00C96521">
        <w:rPr>
          <w:rFonts w:cs="Arial"/>
          <w:color w:val="212121"/>
          <w:sz w:val="20"/>
          <w:szCs w:val="20"/>
          <w:lang w:val="en-GB" w:eastAsia="ja-JP"/>
        </w:rPr>
        <w:t>, Lara MORENO</w:t>
      </w:r>
      <w:r w:rsidRPr="00C96521">
        <w:rPr>
          <w:rFonts w:cs="Arial"/>
          <w:color w:val="212121"/>
          <w:sz w:val="20"/>
          <w:szCs w:val="20"/>
          <w:vertAlign w:val="superscript"/>
          <w:lang w:val="en-GB" w:eastAsia="ja-JP"/>
        </w:rPr>
        <w:t>2</w:t>
      </w:r>
      <w:r w:rsidRPr="00C96521">
        <w:rPr>
          <w:rFonts w:cs="Arial"/>
          <w:color w:val="212121"/>
          <w:sz w:val="20"/>
          <w:szCs w:val="20"/>
          <w:lang w:val="en-GB" w:eastAsia="ja-JP"/>
        </w:rPr>
        <w:t>, Carles CARBONERAS</w:t>
      </w:r>
      <w:r w:rsidRPr="00C96521">
        <w:rPr>
          <w:rFonts w:cs="Arial"/>
          <w:color w:val="212121"/>
          <w:sz w:val="20"/>
          <w:szCs w:val="20"/>
          <w:vertAlign w:val="superscript"/>
          <w:lang w:val="en-GB" w:eastAsia="ja-JP"/>
        </w:rPr>
        <w:t>3</w:t>
      </w:r>
      <w:r w:rsidRPr="00C96521">
        <w:rPr>
          <w:rFonts w:cs="Arial"/>
          <w:color w:val="212121"/>
          <w:sz w:val="20"/>
          <w:szCs w:val="20"/>
          <w:lang w:val="en-GB" w:eastAsia="ja-JP"/>
        </w:rPr>
        <w:t>, Will PEACH</w:t>
      </w:r>
      <w:r w:rsidRPr="00C96521">
        <w:rPr>
          <w:rFonts w:cs="Arial"/>
          <w:color w:val="212121"/>
          <w:sz w:val="20"/>
          <w:szCs w:val="20"/>
          <w:vertAlign w:val="superscript"/>
          <w:lang w:val="en-GB" w:eastAsia="ja-JP"/>
        </w:rPr>
        <w:t>3</w:t>
      </w:r>
      <w:r w:rsidRPr="00C96521">
        <w:rPr>
          <w:rFonts w:cs="Arial"/>
          <w:color w:val="212121"/>
          <w:sz w:val="20"/>
          <w:szCs w:val="20"/>
          <w:lang w:val="en-GB" w:eastAsia="ja-JP"/>
        </w:rPr>
        <w:t>, Christophe BARBRAUD</w:t>
      </w:r>
      <w:r w:rsidRPr="00C96521">
        <w:rPr>
          <w:rFonts w:cs="Arial"/>
          <w:color w:val="212121"/>
          <w:sz w:val="20"/>
          <w:szCs w:val="20"/>
          <w:vertAlign w:val="superscript"/>
          <w:lang w:val="en-GB" w:eastAsia="ja-JP"/>
        </w:rPr>
        <w:t>4</w:t>
      </w:r>
      <w:r w:rsidRPr="00C96521">
        <w:rPr>
          <w:rFonts w:cs="Arial"/>
          <w:color w:val="212121"/>
          <w:sz w:val="20"/>
          <w:szCs w:val="20"/>
          <w:lang w:val="en-GB" w:eastAsia="ja-JP"/>
        </w:rPr>
        <w:t> and Cyril ERAUD</w:t>
      </w:r>
      <w:r w:rsidRPr="00C96521">
        <w:rPr>
          <w:rFonts w:cs="Arial"/>
          <w:color w:val="212121"/>
          <w:sz w:val="20"/>
          <w:szCs w:val="20"/>
          <w:vertAlign w:val="superscript"/>
          <w:lang w:val="en-GB" w:eastAsia="ja-JP"/>
        </w:rPr>
        <w:t>1</w:t>
      </w:r>
      <w:r w:rsidRPr="00C96521">
        <w:rPr>
          <w:rFonts w:cs="Arial"/>
          <w:color w:val="212121"/>
          <w:sz w:val="20"/>
          <w:szCs w:val="20"/>
          <w:lang w:val="en-GB" w:eastAsia="ja-JP"/>
        </w:rPr>
        <w:t>.</w:t>
      </w:r>
    </w:p>
    <w:p w14:paraId="060E0FBA" w14:textId="77777777" w:rsidR="00C96521" w:rsidRPr="00C96521" w:rsidRDefault="00C96521" w:rsidP="00C96521">
      <w:pPr>
        <w:widowControl/>
        <w:shd w:val="clear" w:color="auto" w:fill="FFFFFF"/>
        <w:autoSpaceDE/>
        <w:autoSpaceDN/>
        <w:adjustRightInd/>
        <w:jc w:val="both"/>
        <w:rPr>
          <w:rFonts w:cs="Arial"/>
          <w:color w:val="212121"/>
          <w:sz w:val="20"/>
          <w:szCs w:val="20"/>
          <w:lang w:val="en-GB" w:eastAsia="ja-JP"/>
        </w:rPr>
      </w:pPr>
      <w:r w:rsidRPr="00C96521">
        <w:rPr>
          <w:rFonts w:cs="Arial"/>
          <w:color w:val="212121"/>
          <w:sz w:val="20"/>
          <w:szCs w:val="20"/>
          <w:lang w:val="en-GB" w:eastAsia="ja-JP"/>
        </w:rPr>
        <w:t> </w:t>
      </w:r>
    </w:p>
    <w:p w14:paraId="647E1182" w14:textId="77777777" w:rsidR="00C96521" w:rsidRPr="00890F11" w:rsidRDefault="00C96521" w:rsidP="00C96521">
      <w:pPr>
        <w:widowControl/>
        <w:shd w:val="clear" w:color="auto" w:fill="FFFFFF"/>
        <w:autoSpaceDE/>
        <w:autoSpaceDN/>
        <w:adjustRightInd/>
        <w:rPr>
          <w:rFonts w:cs="Arial"/>
          <w:color w:val="212121"/>
          <w:sz w:val="20"/>
          <w:szCs w:val="20"/>
          <w:lang w:val="fr-FR" w:eastAsia="ja-JP"/>
        </w:rPr>
      </w:pPr>
      <w:r w:rsidRPr="00890F11">
        <w:rPr>
          <w:rFonts w:cs="Arial"/>
          <w:color w:val="212121"/>
          <w:sz w:val="20"/>
          <w:szCs w:val="20"/>
          <w:vertAlign w:val="superscript"/>
          <w:lang w:val="fr-FR" w:eastAsia="ja-JP"/>
        </w:rPr>
        <w:t>1</w:t>
      </w:r>
      <w:r w:rsidRPr="00890F11">
        <w:rPr>
          <w:rFonts w:cs="Arial"/>
          <w:color w:val="212121"/>
          <w:sz w:val="20"/>
          <w:szCs w:val="20"/>
          <w:lang w:val="fr-FR" w:eastAsia="ja-JP"/>
        </w:rPr>
        <w:t>Office National de la Chasse et de la Faune Sauvage, 79360 Villiers en Bois, France.</w:t>
      </w:r>
    </w:p>
    <w:p w14:paraId="5372983E" w14:textId="555797A4" w:rsidR="00C96521" w:rsidRPr="00890F11" w:rsidRDefault="00C96521" w:rsidP="00C96521">
      <w:pPr>
        <w:widowControl/>
        <w:shd w:val="clear" w:color="auto" w:fill="FFFFFF"/>
        <w:autoSpaceDE/>
        <w:autoSpaceDN/>
        <w:adjustRightInd/>
        <w:rPr>
          <w:rFonts w:cs="Arial"/>
          <w:color w:val="212121"/>
          <w:sz w:val="20"/>
          <w:szCs w:val="20"/>
          <w:lang w:val="es-ES" w:eastAsia="ja-JP"/>
        </w:rPr>
      </w:pPr>
      <w:r w:rsidRPr="00890F11">
        <w:rPr>
          <w:rFonts w:cs="Arial"/>
          <w:color w:val="212121"/>
          <w:sz w:val="20"/>
          <w:szCs w:val="20"/>
          <w:vertAlign w:val="superscript"/>
          <w:lang w:val="es-ES" w:eastAsia="ja-JP"/>
        </w:rPr>
        <w:t>2</w:t>
      </w:r>
      <w:r w:rsidRPr="00890F11">
        <w:rPr>
          <w:rFonts w:cs="Arial"/>
          <w:color w:val="212121"/>
          <w:sz w:val="20"/>
          <w:szCs w:val="20"/>
          <w:lang w:val="es-ES" w:eastAsia="ja-JP"/>
        </w:rPr>
        <w:t xml:space="preserve">Instituto de </w:t>
      </w:r>
      <w:r w:rsidR="007910C0" w:rsidRPr="00890F11">
        <w:rPr>
          <w:rFonts w:cs="Arial"/>
          <w:color w:val="212121"/>
          <w:sz w:val="20"/>
          <w:szCs w:val="20"/>
          <w:lang w:val="es-ES" w:eastAsia="ja-JP"/>
        </w:rPr>
        <w:t>Investigación</w:t>
      </w:r>
      <w:r w:rsidRPr="00890F11">
        <w:rPr>
          <w:rFonts w:cs="Arial"/>
          <w:color w:val="212121"/>
          <w:sz w:val="20"/>
          <w:szCs w:val="20"/>
          <w:lang w:val="es-ES" w:eastAsia="ja-JP"/>
        </w:rPr>
        <w:t xml:space="preserve"> en Recursos </w:t>
      </w:r>
      <w:r w:rsidR="007910C0" w:rsidRPr="00890F11">
        <w:rPr>
          <w:rFonts w:cs="Arial"/>
          <w:color w:val="212121"/>
          <w:sz w:val="20"/>
          <w:szCs w:val="20"/>
          <w:lang w:val="es-ES" w:eastAsia="ja-JP"/>
        </w:rPr>
        <w:t>Cinegéticos</w:t>
      </w:r>
      <w:r w:rsidRPr="00890F11">
        <w:rPr>
          <w:rFonts w:cs="Arial"/>
          <w:color w:val="212121"/>
          <w:sz w:val="20"/>
          <w:szCs w:val="20"/>
          <w:lang w:val="es-ES" w:eastAsia="ja-JP"/>
        </w:rPr>
        <w:t>, Ronda de Toledo s/n, 13005 Ciudad Real,</w:t>
      </w:r>
      <w:r w:rsidRPr="00890F11">
        <w:rPr>
          <w:rFonts w:ascii="Times New Roman" w:hAnsi="Times New Roman"/>
          <w:sz w:val="24"/>
          <w:lang w:val="es-ES" w:eastAsia="ja-JP"/>
        </w:rPr>
        <w:t> </w:t>
      </w:r>
      <w:r w:rsidRPr="00890F11">
        <w:rPr>
          <w:rFonts w:cs="Arial"/>
          <w:color w:val="212121"/>
          <w:sz w:val="20"/>
          <w:szCs w:val="20"/>
          <w:lang w:val="es-ES" w:eastAsia="ja-JP"/>
        </w:rPr>
        <w:t>Spain.</w:t>
      </w:r>
    </w:p>
    <w:p w14:paraId="6E477191" w14:textId="77777777" w:rsidR="00C96521" w:rsidRPr="00C96521" w:rsidRDefault="00C96521" w:rsidP="00C96521">
      <w:pPr>
        <w:widowControl/>
        <w:shd w:val="clear" w:color="auto" w:fill="FFFFFF"/>
        <w:autoSpaceDE/>
        <w:autoSpaceDN/>
        <w:adjustRightInd/>
        <w:rPr>
          <w:rFonts w:cs="Arial"/>
          <w:color w:val="212121"/>
          <w:sz w:val="20"/>
          <w:szCs w:val="20"/>
          <w:lang w:val="en-GB" w:eastAsia="ja-JP"/>
        </w:rPr>
      </w:pPr>
      <w:r w:rsidRPr="00C96521">
        <w:rPr>
          <w:rFonts w:cs="Arial"/>
          <w:color w:val="212121"/>
          <w:sz w:val="20"/>
          <w:szCs w:val="20"/>
          <w:vertAlign w:val="superscript"/>
          <w:lang w:val="en-GB" w:eastAsia="ja-JP"/>
        </w:rPr>
        <w:t>3</w:t>
      </w:r>
      <w:r w:rsidRPr="00C96521">
        <w:rPr>
          <w:rFonts w:cs="Arial"/>
          <w:color w:val="212121"/>
          <w:sz w:val="20"/>
          <w:szCs w:val="20"/>
          <w:lang w:val="en-GB" w:eastAsia="ja-JP"/>
        </w:rPr>
        <w:t>RSPB,</w:t>
      </w:r>
      <w:r w:rsidRPr="00C96521">
        <w:rPr>
          <w:rFonts w:ascii="Times New Roman" w:hAnsi="Times New Roman"/>
          <w:sz w:val="24"/>
          <w:lang w:val="en-GB" w:eastAsia="ja-JP"/>
        </w:rPr>
        <w:t> </w:t>
      </w:r>
      <w:r w:rsidRPr="00C96521">
        <w:rPr>
          <w:rFonts w:cs="Arial"/>
          <w:color w:val="212121"/>
          <w:sz w:val="20"/>
          <w:szCs w:val="20"/>
          <w:lang w:val="en-GB" w:eastAsia="ja-JP"/>
        </w:rPr>
        <w:t>The Lodge, Sandy, Bedfordshire SG19 2DL, UK.</w:t>
      </w:r>
    </w:p>
    <w:p w14:paraId="45DCA8DC" w14:textId="096E6C63" w:rsidR="00C96521" w:rsidRPr="00890F11" w:rsidRDefault="00C96521" w:rsidP="00C96521">
      <w:pPr>
        <w:widowControl/>
        <w:shd w:val="clear" w:color="auto" w:fill="FFFFFF"/>
        <w:autoSpaceDE/>
        <w:autoSpaceDN/>
        <w:adjustRightInd/>
        <w:rPr>
          <w:rFonts w:cs="Arial"/>
          <w:color w:val="212121"/>
          <w:sz w:val="20"/>
          <w:szCs w:val="20"/>
          <w:lang w:val="fr-FR" w:eastAsia="ja-JP"/>
        </w:rPr>
      </w:pPr>
      <w:r w:rsidRPr="00890F11">
        <w:rPr>
          <w:rFonts w:cs="Arial"/>
          <w:color w:val="212121"/>
          <w:sz w:val="20"/>
          <w:szCs w:val="20"/>
          <w:vertAlign w:val="superscript"/>
          <w:lang w:val="fr-FR" w:eastAsia="ja-JP"/>
        </w:rPr>
        <w:t>4</w:t>
      </w:r>
      <w:r w:rsidRPr="00890F11">
        <w:rPr>
          <w:rFonts w:cs="Arial"/>
          <w:color w:val="212121"/>
          <w:sz w:val="20"/>
          <w:szCs w:val="20"/>
          <w:lang w:val="fr-FR" w:eastAsia="ja-JP"/>
        </w:rPr>
        <w:t>Centre d’</w:t>
      </w:r>
      <w:r w:rsidR="007910C0">
        <w:rPr>
          <w:rFonts w:cs="Arial"/>
          <w:color w:val="212121"/>
          <w:sz w:val="20"/>
          <w:szCs w:val="20"/>
          <w:lang w:val="fr-FR" w:eastAsia="ja-JP"/>
        </w:rPr>
        <w:t>É</w:t>
      </w:r>
      <w:r w:rsidRPr="00890F11">
        <w:rPr>
          <w:rFonts w:cs="Arial"/>
          <w:color w:val="212121"/>
          <w:sz w:val="20"/>
          <w:szCs w:val="20"/>
          <w:lang w:val="fr-FR" w:eastAsia="ja-JP"/>
        </w:rPr>
        <w:t>tudes Biologiques de Chizé, UMR 7372 Centre National de la Recherche Scientifique, Université La Rochelle, 79360 Villiers en Bois, France.</w:t>
      </w:r>
    </w:p>
    <w:p w14:paraId="3D46CA07" w14:textId="77777777" w:rsidR="00C96521" w:rsidRPr="00890F11" w:rsidRDefault="00C96521" w:rsidP="00C96521">
      <w:pPr>
        <w:widowControl/>
        <w:autoSpaceDE/>
        <w:autoSpaceDN/>
        <w:adjustRightInd/>
        <w:spacing w:line="276" w:lineRule="auto"/>
        <w:jc w:val="both"/>
        <w:rPr>
          <w:rFonts w:eastAsia="MS Mincho" w:cs="Arial"/>
          <w:sz w:val="20"/>
          <w:szCs w:val="20"/>
          <w:lang w:val="fr-FR" w:eastAsia="ja-JP"/>
        </w:rPr>
      </w:pPr>
    </w:p>
    <w:p w14:paraId="5FC13AAB" w14:textId="77777777" w:rsidR="00C96521" w:rsidRPr="00890F11" w:rsidRDefault="00C96521" w:rsidP="00C96521">
      <w:pPr>
        <w:widowControl/>
        <w:autoSpaceDE/>
        <w:autoSpaceDN/>
        <w:adjustRightInd/>
        <w:spacing w:line="276" w:lineRule="auto"/>
        <w:rPr>
          <w:rFonts w:eastAsia="MS Mincho" w:cs="Arial"/>
          <w:sz w:val="20"/>
          <w:szCs w:val="20"/>
          <w:lang w:val="fr-FR" w:eastAsia="ja-JP"/>
        </w:rPr>
      </w:pPr>
    </w:p>
    <w:p w14:paraId="12F4A0F1"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The main objective of this approach is to estimate a maximum harvestable population of turtle doves using the western flyway (P), based on the methodology proposed by Niel and Lebreton (2005) and to compare the estimated values of P though a range of scenario with the most recent estimate of hunting bags for the western flyway.</w:t>
      </w:r>
    </w:p>
    <w:p w14:paraId="4DCF09D4"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1AB8E069" w14:textId="77777777" w:rsidR="00C96521" w:rsidRPr="00C96521" w:rsidRDefault="00C96521" w:rsidP="00C96521">
      <w:pPr>
        <w:widowControl/>
        <w:autoSpaceDE/>
        <w:autoSpaceDN/>
        <w:adjustRightInd/>
        <w:spacing w:line="276" w:lineRule="auto"/>
        <w:rPr>
          <w:rFonts w:eastAsia="MS Mincho" w:cs="Arial"/>
          <w:b/>
          <w:sz w:val="20"/>
          <w:szCs w:val="20"/>
          <w:lang w:val="en-GB" w:eastAsia="ja-JP"/>
        </w:rPr>
      </w:pPr>
      <w:r w:rsidRPr="00C96521">
        <w:rPr>
          <w:rFonts w:eastAsia="MS Mincho" w:cs="Arial"/>
          <w:b/>
          <w:sz w:val="20"/>
          <w:szCs w:val="20"/>
          <w:lang w:val="en-GB" w:eastAsia="ja-JP"/>
        </w:rPr>
        <w:t>Area of analysis</w:t>
      </w:r>
    </w:p>
    <w:p w14:paraId="4185E02E"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47F61BDA" w14:textId="71F273BC" w:rsidR="00965D7D"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xml:space="preserve">Marx </w:t>
      </w:r>
      <w:r w:rsidRPr="00C96521">
        <w:rPr>
          <w:rFonts w:eastAsia="MS Mincho" w:cs="Arial"/>
          <w:i/>
          <w:sz w:val="20"/>
          <w:szCs w:val="20"/>
          <w:lang w:val="en-GB" w:eastAsia="ja-JP"/>
        </w:rPr>
        <w:t>et al</w:t>
      </w:r>
      <w:r w:rsidRPr="00C96521">
        <w:rPr>
          <w:rFonts w:eastAsia="MS Mincho" w:cs="Arial"/>
          <w:sz w:val="20"/>
          <w:szCs w:val="20"/>
          <w:lang w:val="en-GB" w:eastAsia="ja-JP"/>
        </w:rPr>
        <w:t xml:space="preserve"> (2016) was used to assign countries to the western or central flyway. No information was available for Switzerland, but it has been included in the western flyway. Italy falls within the central flyway according to Marx </w:t>
      </w:r>
      <w:r w:rsidRPr="00C96521">
        <w:rPr>
          <w:rFonts w:eastAsia="MS Mincho" w:cs="Arial"/>
          <w:i/>
          <w:sz w:val="20"/>
          <w:szCs w:val="20"/>
          <w:lang w:val="en-GB" w:eastAsia="ja-JP"/>
        </w:rPr>
        <w:t>et al</w:t>
      </w:r>
      <w:r w:rsidRPr="00C96521">
        <w:rPr>
          <w:rFonts w:eastAsia="MS Mincho" w:cs="Arial"/>
          <w:sz w:val="20"/>
          <w:szCs w:val="20"/>
          <w:lang w:val="en-GB" w:eastAsia="ja-JP"/>
        </w:rPr>
        <w:t xml:space="preserve"> (2016), and for the initial analysis, it was not included. Population sizes can be found in Table 2.</w:t>
      </w:r>
    </w:p>
    <w:p w14:paraId="7D4ED8AC" w14:textId="77777777" w:rsidR="00965D7D" w:rsidRDefault="00965D7D">
      <w:pPr>
        <w:widowControl/>
        <w:autoSpaceDE/>
        <w:autoSpaceDN/>
        <w:adjustRightInd/>
        <w:rPr>
          <w:rFonts w:eastAsia="MS Mincho" w:cs="Arial"/>
          <w:sz w:val="20"/>
          <w:szCs w:val="20"/>
          <w:lang w:val="en-GB" w:eastAsia="ja-JP"/>
        </w:rPr>
      </w:pPr>
      <w:r>
        <w:rPr>
          <w:rFonts w:eastAsia="MS Mincho" w:cs="Arial"/>
          <w:sz w:val="20"/>
          <w:szCs w:val="20"/>
          <w:lang w:val="en-GB" w:eastAsia="ja-JP"/>
        </w:rPr>
        <w:br w:type="page"/>
      </w:r>
    </w:p>
    <w:p w14:paraId="14ECBE85" w14:textId="77777777" w:rsidR="00C96521" w:rsidRPr="00C96521" w:rsidRDefault="00C96521" w:rsidP="00C96521">
      <w:pPr>
        <w:widowControl/>
        <w:autoSpaceDE/>
        <w:autoSpaceDN/>
        <w:adjustRightInd/>
        <w:spacing w:line="276" w:lineRule="auto"/>
        <w:rPr>
          <w:rFonts w:eastAsia="MS Mincho" w:cs="Arial"/>
          <w:i/>
          <w:sz w:val="20"/>
          <w:szCs w:val="20"/>
          <w:lang w:val="en-GB" w:eastAsia="ja-JP"/>
        </w:rPr>
      </w:pPr>
      <w:r w:rsidRPr="00C96521">
        <w:rPr>
          <w:rFonts w:eastAsia="MS Mincho" w:cs="Arial"/>
          <w:i/>
          <w:sz w:val="20"/>
          <w:szCs w:val="20"/>
          <w:lang w:val="en-GB" w:eastAsia="ja-JP"/>
        </w:rPr>
        <w:t>Table 7. Base data for sustainable hunting model analyses</w:t>
      </w:r>
    </w:p>
    <w:p w14:paraId="5955B50E"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tbl>
      <w:tblPr>
        <w:tblW w:w="9977" w:type="dxa"/>
        <w:tblInd w:w="-72" w:type="dxa"/>
        <w:tblCellMar>
          <w:left w:w="70" w:type="dxa"/>
          <w:right w:w="70" w:type="dxa"/>
        </w:tblCellMar>
        <w:tblLook w:val="0000" w:firstRow="0" w:lastRow="0" w:firstColumn="0" w:lastColumn="0" w:noHBand="0" w:noVBand="0"/>
      </w:tblPr>
      <w:tblGrid>
        <w:gridCol w:w="1083"/>
        <w:gridCol w:w="852"/>
        <w:gridCol w:w="852"/>
        <w:gridCol w:w="755"/>
        <w:gridCol w:w="860"/>
        <w:gridCol w:w="843"/>
        <w:gridCol w:w="851"/>
        <w:gridCol w:w="1134"/>
        <w:gridCol w:w="1134"/>
        <w:gridCol w:w="850"/>
        <w:gridCol w:w="763"/>
      </w:tblGrid>
      <w:tr w:rsidR="00C96521" w:rsidRPr="00C96521" w14:paraId="6C6DFFD5" w14:textId="77777777" w:rsidTr="00C96521">
        <w:trPr>
          <w:trHeight w:val="690"/>
        </w:trPr>
        <w:tc>
          <w:tcPr>
            <w:tcW w:w="1083" w:type="dxa"/>
            <w:tcBorders>
              <w:top w:val="single" w:sz="8" w:space="0" w:color="C0C0C0"/>
              <w:left w:val="single" w:sz="8" w:space="0" w:color="C0C0C0"/>
              <w:bottom w:val="single" w:sz="8" w:space="0" w:color="C0C0C0"/>
              <w:right w:val="single" w:sz="8" w:space="0" w:color="C0C0C0"/>
            </w:tcBorders>
            <w:shd w:val="clear" w:color="auto" w:fill="CCCCFF"/>
          </w:tcPr>
          <w:p w14:paraId="480FB187"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Country</w:t>
            </w:r>
          </w:p>
        </w:tc>
        <w:tc>
          <w:tcPr>
            <w:tcW w:w="852" w:type="dxa"/>
            <w:tcBorders>
              <w:top w:val="single" w:sz="8" w:space="0" w:color="C0C0C0"/>
              <w:left w:val="nil"/>
              <w:bottom w:val="single" w:sz="8" w:space="0" w:color="C0C0C0"/>
              <w:right w:val="single" w:sz="8" w:space="0" w:color="C0C0C0"/>
            </w:tcBorders>
            <w:shd w:val="clear" w:color="auto" w:fill="CCCCFF"/>
          </w:tcPr>
          <w:p w14:paraId="1D1A60E9"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Pop size (pairs) min</w:t>
            </w:r>
          </w:p>
        </w:tc>
        <w:tc>
          <w:tcPr>
            <w:tcW w:w="852" w:type="dxa"/>
            <w:tcBorders>
              <w:top w:val="single" w:sz="8" w:space="0" w:color="C0C0C0"/>
              <w:left w:val="nil"/>
              <w:bottom w:val="single" w:sz="8" w:space="0" w:color="C0C0C0"/>
              <w:right w:val="single" w:sz="8" w:space="0" w:color="C0C0C0"/>
            </w:tcBorders>
            <w:shd w:val="clear" w:color="auto" w:fill="CCCCFF"/>
          </w:tcPr>
          <w:p w14:paraId="18048E75"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Pop size (pairs) max</w:t>
            </w:r>
          </w:p>
        </w:tc>
        <w:tc>
          <w:tcPr>
            <w:tcW w:w="755" w:type="dxa"/>
            <w:tcBorders>
              <w:top w:val="single" w:sz="8" w:space="0" w:color="C0C0C0"/>
              <w:left w:val="nil"/>
              <w:bottom w:val="single" w:sz="8" w:space="0" w:color="C0C0C0"/>
              <w:right w:val="single" w:sz="8" w:space="0" w:color="C0C0C0"/>
            </w:tcBorders>
            <w:shd w:val="clear" w:color="auto" w:fill="CCCCFF"/>
          </w:tcPr>
          <w:p w14:paraId="01D9E0BF"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Year(s) of estimate</w:t>
            </w:r>
          </w:p>
        </w:tc>
        <w:tc>
          <w:tcPr>
            <w:tcW w:w="860" w:type="dxa"/>
            <w:tcBorders>
              <w:top w:val="single" w:sz="8" w:space="0" w:color="C0C0C0"/>
              <w:left w:val="nil"/>
              <w:bottom w:val="single" w:sz="8" w:space="0" w:color="C0C0C0"/>
              <w:right w:val="single" w:sz="8" w:space="0" w:color="C0C0C0"/>
            </w:tcBorders>
            <w:shd w:val="clear" w:color="auto" w:fill="CCCCFF"/>
          </w:tcPr>
          <w:p w14:paraId="1E8FA261"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Year of reference (1)</w:t>
            </w:r>
          </w:p>
        </w:tc>
        <w:tc>
          <w:tcPr>
            <w:tcW w:w="843" w:type="dxa"/>
            <w:tcBorders>
              <w:top w:val="single" w:sz="8" w:space="0" w:color="C0C0C0"/>
              <w:left w:val="nil"/>
              <w:bottom w:val="single" w:sz="8" w:space="0" w:color="C0C0C0"/>
              <w:right w:val="single" w:sz="8" w:space="0" w:color="C0C0C0"/>
            </w:tcBorders>
            <w:shd w:val="clear" w:color="auto" w:fill="CCCCFF"/>
          </w:tcPr>
          <w:p w14:paraId="0755366A"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Multiplic-ative trend slope (2)</w:t>
            </w:r>
          </w:p>
        </w:tc>
        <w:tc>
          <w:tcPr>
            <w:tcW w:w="851" w:type="dxa"/>
            <w:tcBorders>
              <w:top w:val="single" w:sz="8" w:space="0" w:color="C0C0C0"/>
              <w:left w:val="nil"/>
              <w:bottom w:val="single" w:sz="8" w:space="0" w:color="C0C0C0"/>
              <w:right w:val="single" w:sz="8" w:space="0" w:color="C0C0C0"/>
            </w:tcBorders>
            <w:shd w:val="clear" w:color="auto" w:fill="CCCCFF"/>
          </w:tcPr>
          <w:p w14:paraId="6B153C73"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Multiplic-</w:t>
            </w:r>
          </w:p>
          <w:p w14:paraId="28BCED9B"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ative trend slope period (3)</w:t>
            </w:r>
          </w:p>
        </w:tc>
        <w:tc>
          <w:tcPr>
            <w:tcW w:w="1134" w:type="dxa"/>
            <w:tcBorders>
              <w:top w:val="single" w:sz="8" w:space="0" w:color="C0C0C0"/>
              <w:left w:val="nil"/>
              <w:bottom w:val="single" w:sz="8" w:space="0" w:color="C0C0C0"/>
              <w:right w:val="single" w:sz="8" w:space="0" w:color="C0C0C0"/>
            </w:tcBorders>
            <w:shd w:val="clear" w:color="auto" w:fill="CCCCFF"/>
          </w:tcPr>
          <w:p w14:paraId="72F42773"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Time elapsed (in years) between year of reference and 2016 (4)</w:t>
            </w:r>
          </w:p>
        </w:tc>
        <w:tc>
          <w:tcPr>
            <w:tcW w:w="1134" w:type="dxa"/>
            <w:tcBorders>
              <w:top w:val="single" w:sz="8" w:space="0" w:color="C0C0C0"/>
              <w:left w:val="nil"/>
              <w:bottom w:val="single" w:sz="8" w:space="0" w:color="C0C0C0"/>
              <w:right w:val="single" w:sz="8" w:space="0" w:color="C0C0C0"/>
            </w:tcBorders>
            <w:shd w:val="clear" w:color="auto" w:fill="CCCCFF"/>
          </w:tcPr>
          <w:p w14:paraId="1B9A664F"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 xml:space="preserve">[multiplicative trend </w:t>
            </w:r>
          </w:p>
          <w:p w14:paraId="0D539E2C"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slope]</w:t>
            </w:r>
          </w:p>
          <w:p w14:paraId="5BE7BDAC" w14:textId="77777777" w:rsidR="00C96521" w:rsidRPr="00C96521" w:rsidRDefault="00C96521" w:rsidP="00C96521">
            <w:pPr>
              <w:widowControl/>
              <w:autoSpaceDE/>
              <w:autoSpaceDN/>
              <w:adjustRightInd/>
              <w:spacing w:line="276" w:lineRule="auto"/>
              <w:rPr>
                <w:rFonts w:eastAsia="MS Mincho" w:cs="Arial"/>
                <w:sz w:val="16"/>
                <w:szCs w:val="16"/>
                <w:vertAlign w:val="superscript"/>
                <w:lang w:val="en-GB" w:eastAsia="ja-JP"/>
              </w:rPr>
            </w:pPr>
            <w:r w:rsidRPr="00C96521">
              <w:rPr>
                <w:rFonts w:eastAsia="MS Mincho" w:cs="Arial"/>
                <w:sz w:val="16"/>
                <w:szCs w:val="16"/>
                <w:vertAlign w:val="superscript"/>
                <w:lang w:val="en-GB" w:eastAsia="ja-JP"/>
              </w:rPr>
              <w:t xml:space="preserve">time elapsed </w:t>
            </w:r>
          </w:p>
          <w:p w14:paraId="64645875"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(5)</w:t>
            </w:r>
          </w:p>
        </w:tc>
        <w:tc>
          <w:tcPr>
            <w:tcW w:w="850" w:type="dxa"/>
            <w:tcBorders>
              <w:top w:val="single" w:sz="8" w:space="0" w:color="C0C0C0"/>
              <w:left w:val="nil"/>
              <w:bottom w:val="single" w:sz="8" w:space="0" w:color="C0C0C0"/>
              <w:right w:val="single" w:sz="8" w:space="0" w:color="C0C0C0"/>
            </w:tcBorders>
            <w:shd w:val="clear" w:color="auto" w:fill="CCCCFF"/>
          </w:tcPr>
          <w:p w14:paraId="78A26CB2"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Pop size in 2016 (pairs) min</w:t>
            </w:r>
          </w:p>
          <w:p w14:paraId="0A30F3F6"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(6)</w:t>
            </w:r>
          </w:p>
        </w:tc>
        <w:tc>
          <w:tcPr>
            <w:tcW w:w="763" w:type="dxa"/>
            <w:tcBorders>
              <w:top w:val="single" w:sz="8" w:space="0" w:color="C0C0C0"/>
              <w:left w:val="nil"/>
              <w:bottom w:val="single" w:sz="8" w:space="0" w:color="C0C0C0"/>
              <w:right w:val="single" w:sz="8" w:space="0" w:color="C0C0C0"/>
            </w:tcBorders>
            <w:shd w:val="clear" w:color="auto" w:fill="CCCCFF"/>
          </w:tcPr>
          <w:p w14:paraId="130BCB42"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Pop size in 2016 (pairs) max</w:t>
            </w:r>
          </w:p>
          <w:p w14:paraId="468160DE"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(6)</w:t>
            </w:r>
          </w:p>
        </w:tc>
      </w:tr>
      <w:tr w:rsidR="00C96521" w:rsidRPr="00C96521" w14:paraId="7A5AA43C" w14:textId="77777777" w:rsidTr="00C96521">
        <w:trPr>
          <w:trHeight w:val="270"/>
        </w:trPr>
        <w:tc>
          <w:tcPr>
            <w:tcW w:w="1083" w:type="dxa"/>
            <w:tcBorders>
              <w:top w:val="nil"/>
              <w:left w:val="single" w:sz="8" w:space="0" w:color="C0C0C0"/>
              <w:bottom w:val="single" w:sz="8" w:space="0" w:color="C0C0C0"/>
              <w:right w:val="single" w:sz="8" w:space="0" w:color="C0C0C0"/>
            </w:tcBorders>
            <w:shd w:val="clear" w:color="auto" w:fill="auto"/>
          </w:tcPr>
          <w:p w14:paraId="52FC90C1"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 xml:space="preserve">Belgium </w:t>
            </w:r>
          </w:p>
        </w:tc>
        <w:tc>
          <w:tcPr>
            <w:tcW w:w="852" w:type="dxa"/>
            <w:tcBorders>
              <w:top w:val="nil"/>
              <w:left w:val="nil"/>
              <w:bottom w:val="single" w:sz="8" w:space="0" w:color="C0C0C0"/>
              <w:right w:val="single" w:sz="8" w:space="0" w:color="C0C0C0"/>
            </w:tcBorders>
            <w:shd w:val="clear" w:color="auto" w:fill="auto"/>
          </w:tcPr>
          <w:p w14:paraId="3E4A180D"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3,000</w:t>
            </w:r>
          </w:p>
        </w:tc>
        <w:tc>
          <w:tcPr>
            <w:tcW w:w="852" w:type="dxa"/>
            <w:tcBorders>
              <w:top w:val="nil"/>
              <w:left w:val="nil"/>
              <w:bottom w:val="single" w:sz="8" w:space="0" w:color="C0C0C0"/>
              <w:right w:val="single" w:sz="8" w:space="0" w:color="C0C0C0"/>
            </w:tcBorders>
            <w:shd w:val="clear" w:color="auto" w:fill="auto"/>
          </w:tcPr>
          <w:p w14:paraId="3B897FB1"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4,500</w:t>
            </w:r>
          </w:p>
        </w:tc>
        <w:tc>
          <w:tcPr>
            <w:tcW w:w="755" w:type="dxa"/>
            <w:tcBorders>
              <w:top w:val="nil"/>
              <w:left w:val="nil"/>
              <w:bottom w:val="single" w:sz="8" w:space="0" w:color="C0C0C0"/>
              <w:right w:val="single" w:sz="8" w:space="0" w:color="C0C0C0"/>
            </w:tcBorders>
            <w:shd w:val="clear" w:color="auto" w:fill="auto"/>
          </w:tcPr>
          <w:p w14:paraId="24F48264"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2000-2002</w:t>
            </w:r>
          </w:p>
        </w:tc>
        <w:tc>
          <w:tcPr>
            <w:tcW w:w="860" w:type="dxa"/>
            <w:tcBorders>
              <w:top w:val="nil"/>
              <w:left w:val="nil"/>
              <w:bottom w:val="single" w:sz="8" w:space="0" w:color="C0C0C0"/>
              <w:right w:val="single" w:sz="8" w:space="0" w:color="C0C0C0"/>
            </w:tcBorders>
            <w:shd w:val="clear" w:color="auto" w:fill="auto"/>
          </w:tcPr>
          <w:p w14:paraId="533B0F0B"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2001</w:t>
            </w:r>
          </w:p>
        </w:tc>
        <w:tc>
          <w:tcPr>
            <w:tcW w:w="843" w:type="dxa"/>
            <w:tcBorders>
              <w:top w:val="nil"/>
              <w:left w:val="nil"/>
              <w:bottom w:val="single" w:sz="8" w:space="0" w:color="C0C0C0"/>
              <w:right w:val="single" w:sz="8" w:space="0" w:color="C0C0C0"/>
            </w:tcBorders>
            <w:shd w:val="clear" w:color="auto" w:fill="auto"/>
          </w:tcPr>
          <w:p w14:paraId="1BBCF53C"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0.9091</w:t>
            </w:r>
          </w:p>
        </w:tc>
        <w:tc>
          <w:tcPr>
            <w:tcW w:w="851" w:type="dxa"/>
            <w:tcBorders>
              <w:top w:val="nil"/>
              <w:left w:val="nil"/>
              <w:bottom w:val="single" w:sz="8" w:space="0" w:color="C0C0C0"/>
              <w:right w:val="single" w:sz="8" w:space="0" w:color="C0C0C0"/>
            </w:tcBorders>
            <w:shd w:val="clear" w:color="auto" w:fill="auto"/>
          </w:tcPr>
          <w:p w14:paraId="3B18C947"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90-14</w:t>
            </w:r>
          </w:p>
        </w:tc>
        <w:tc>
          <w:tcPr>
            <w:tcW w:w="1134" w:type="dxa"/>
            <w:tcBorders>
              <w:top w:val="nil"/>
              <w:left w:val="nil"/>
              <w:bottom w:val="single" w:sz="8" w:space="0" w:color="C0C0C0"/>
              <w:right w:val="single" w:sz="8" w:space="0" w:color="C0C0C0"/>
            </w:tcBorders>
            <w:shd w:val="clear" w:color="auto" w:fill="auto"/>
          </w:tcPr>
          <w:p w14:paraId="40EE7166"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15</w:t>
            </w:r>
          </w:p>
        </w:tc>
        <w:tc>
          <w:tcPr>
            <w:tcW w:w="1134" w:type="dxa"/>
            <w:tcBorders>
              <w:top w:val="nil"/>
              <w:left w:val="nil"/>
              <w:bottom w:val="single" w:sz="8" w:space="0" w:color="C0C0C0"/>
              <w:right w:val="single" w:sz="8" w:space="0" w:color="C0C0C0"/>
            </w:tcBorders>
            <w:shd w:val="clear" w:color="auto" w:fill="auto"/>
          </w:tcPr>
          <w:p w14:paraId="16813045"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0.2394</w:t>
            </w:r>
          </w:p>
        </w:tc>
        <w:tc>
          <w:tcPr>
            <w:tcW w:w="850" w:type="dxa"/>
            <w:tcBorders>
              <w:top w:val="nil"/>
              <w:left w:val="nil"/>
              <w:bottom w:val="single" w:sz="8" w:space="0" w:color="C0C0C0"/>
              <w:right w:val="single" w:sz="8" w:space="0" w:color="C0C0C0"/>
            </w:tcBorders>
            <w:shd w:val="clear" w:color="auto" w:fill="auto"/>
          </w:tcPr>
          <w:p w14:paraId="75259537"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718</w:t>
            </w:r>
          </w:p>
        </w:tc>
        <w:tc>
          <w:tcPr>
            <w:tcW w:w="763" w:type="dxa"/>
            <w:tcBorders>
              <w:top w:val="nil"/>
              <w:left w:val="nil"/>
              <w:bottom w:val="single" w:sz="8" w:space="0" w:color="C0C0C0"/>
              <w:right w:val="single" w:sz="8" w:space="0" w:color="C0C0C0"/>
            </w:tcBorders>
            <w:shd w:val="clear" w:color="auto" w:fill="auto"/>
          </w:tcPr>
          <w:p w14:paraId="3DDA4A21"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1077</w:t>
            </w:r>
          </w:p>
        </w:tc>
      </w:tr>
      <w:tr w:rsidR="00C96521" w:rsidRPr="00C96521" w14:paraId="53BA4437" w14:textId="77777777" w:rsidTr="00C96521">
        <w:trPr>
          <w:trHeight w:val="270"/>
        </w:trPr>
        <w:tc>
          <w:tcPr>
            <w:tcW w:w="1083" w:type="dxa"/>
            <w:tcBorders>
              <w:top w:val="nil"/>
              <w:left w:val="single" w:sz="8" w:space="0" w:color="C0C0C0"/>
              <w:bottom w:val="single" w:sz="8" w:space="0" w:color="C0C0C0"/>
              <w:right w:val="single" w:sz="8" w:space="0" w:color="C0C0C0"/>
            </w:tcBorders>
            <w:shd w:val="clear" w:color="auto" w:fill="auto"/>
          </w:tcPr>
          <w:p w14:paraId="025B803F"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 xml:space="preserve">Denmark </w:t>
            </w:r>
          </w:p>
        </w:tc>
        <w:tc>
          <w:tcPr>
            <w:tcW w:w="852" w:type="dxa"/>
            <w:tcBorders>
              <w:top w:val="nil"/>
              <w:left w:val="nil"/>
              <w:bottom w:val="single" w:sz="8" w:space="0" w:color="C0C0C0"/>
              <w:right w:val="single" w:sz="8" w:space="0" w:color="C0C0C0"/>
            </w:tcBorders>
            <w:shd w:val="clear" w:color="auto" w:fill="auto"/>
          </w:tcPr>
          <w:p w14:paraId="0B539A7A"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100</w:t>
            </w:r>
          </w:p>
        </w:tc>
        <w:tc>
          <w:tcPr>
            <w:tcW w:w="852" w:type="dxa"/>
            <w:tcBorders>
              <w:top w:val="nil"/>
              <w:left w:val="nil"/>
              <w:bottom w:val="single" w:sz="8" w:space="0" w:color="C0C0C0"/>
              <w:right w:val="single" w:sz="8" w:space="0" w:color="C0C0C0"/>
            </w:tcBorders>
            <w:shd w:val="clear" w:color="auto" w:fill="auto"/>
          </w:tcPr>
          <w:p w14:paraId="2159E688"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150</w:t>
            </w:r>
          </w:p>
        </w:tc>
        <w:tc>
          <w:tcPr>
            <w:tcW w:w="755" w:type="dxa"/>
            <w:tcBorders>
              <w:top w:val="nil"/>
              <w:left w:val="nil"/>
              <w:bottom w:val="single" w:sz="8" w:space="0" w:color="C0C0C0"/>
              <w:right w:val="single" w:sz="8" w:space="0" w:color="C0C0C0"/>
            </w:tcBorders>
            <w:shd w:val="clear" w:color="auto" w:fill="auto"/>
          </w:tcPr>
          <w:p w14:paraId="10EDC053"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2010-2011</w:t>
            </w:r>
          </w:p>
        </w:tc>
        <w:tc>
          <w:tcPr>
            <w:tcW w:w="860" w:type="dxa"/>
            <w:tcBorders>
              <w:top w:val="nil"/>
              <w:left w:val="nil"/>
              <w:bottom w:val="single" w:sz="8" w:space="0" w:color="C0C0C0"/>
              <w:right w:val="single" w:sz="8" w:space="0" w:color="C0C0C0"/>
            </w:tcBorders>
            <w:shd w:val="clear" w:color="auto" w:fill="auto"/>
          </w:tcPr>
          <w:p w14:paraId="0BF7DAFA"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2011</w:t>
            </w:r>
          </w:p>
        </w:tc>
        <w:tc>
          <w:tcPr>
            <w:tcW w:w="843" w:type="dxa"/>
            <w:tcBorders>
              <w:top w:val="nil"/>
              <w:left w:val="nil"/>
              <w:bottom w:val="single" w:sz="8" w:space="0" w:color="C0C0C0"/>
              <w:right w:val="single" w:sz="8" w:space="0" w:color="C0C0C0"/>
            </w:tcBorders>
            <w:shd w:val="clear" w:color="auto" w:fill="auto"/>
          </w:tcPr>
          <w:p w14:paraId="3E986819"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w:t>
            </w:r>
          </w:p>
        </w:tc>
        <w:tc>
          <w:tcPr>
            <w:tcW w:w="851" w:type="dxa"/>
            <w:tcBorders>
              <w:top w:val="nil"/>
              <w:left w:val="nil"/>
              <w:bottom w:val="single" w:sz="8" w:space="0" w:color="C0C0C0"/>
              <w:right w:val="single" w:sz="8" w:space="0" w:color="C0C0C0"/>
            </w:tcBorders>
            <w:shd w:val="clear" w:color="auto" w:fill="auto"/>
          </w:tcPr>
          <w:p w14:paraId="77DE5CE9"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 </w:t>
            </w:r>
          </w:p>
        </w:tc>
        <w:tc>
          <w:tcPr>
            <w:tcW w:w="1134" w:type="dxa"/>
            <w:tcBorders>
              <w:top w:val="nil"/>
              <w:left w:val="nil"/>
              <w:bottom w:val="single" w:sz="8" w:space="0" w:color="C0C0C0"/>
              <w:right w:val="single" w:sz="8" w:space="0" w:color="C0C0C0"/>
            </w:tcBorders>
            <w:shd w:val="clear" w:color="auto" w:fill="auto"/>
          </w:tcPr>
          <w:p w14:paraId="289F464A"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5</w:t>
            </w:r>
          </w:p>
        </w:tc>
        <w:tc>
          <w:tcPr>
            <w:tcW w:w="1134" w:type="dxa"/>
            <w:tcBorders>
              <w:top w:val="nil"/>
              <w:left w:val="nil"/>
              <w:bottom w:val="single" w:sz="8" w:space="0" w:color="C0C0C0"/>
              <w:right w:val="single" w:sz="8" w:space="0" w:color="C0C0C0"/>
            </w:tcBorders>
            <w:shd w:val="clear" w:color="auto" w:fill="auto"/>
          </w:tcPr>
          <w:p w14:paraId="0158513D"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1.0000</w:t>
            </w:r>
          </w:p>
        </w:tc>
        <w:tc>
          <w:tcPr>
            <w:tcW w:w="850" w:type="dxa"/>
            <w:tcBorders>
              <w:top w:val="nil"/>
              <w:left w:val="nil"/>
              <w:bottom w:val="single" w:sz="8" w:space="0" w:color="C0C0C0"/>
              <w:right w:val="single" w:sz="8" w:space="0" w:color="C0C0C0"/>
            </w:tcBorders>
            <w:shd w:val="clear" w:color="auto" w:fill="auto"/>
          </w:tcPr>
          <w:p w14:paraId="34314829"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100</w:t>
            </w:r>
          </w:p>
        </w:tc>
        <w:tc>
          <w:tcPr>
            <w:tcW w:w="763" w:type="dxa"/>
            <w:tcBorders>
              <w:top w:val="nil"/>
              <w:left w:val="nil"/>
              <w:bottom w:val="single" w:sz="8" w:space="0" w:color="C0C0C0"/>
              <w:right w:val="single" w:sz="8" w:space="0" w:color="C0C0C0"/>
            </w:tcBorders>
            <w:shd w:val="clear" w:color="auto" w:fill="auto"/>
          </w:tcPr>
          <w:p w14:paraId="61AA0CCF"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150</w:t>
            </w:r>
          </w:p>
        </w:tc>
      </w:tr>
      <w:tr w:rsidR="00C96521" w:rsidRPr="00C96521" w14:paraId="4B81DB99" w14:textId="77777777" w:rsidTr="00C96521">
        <w:trPr>
          <w:trHeight w:val="270"/>
        </w:trPr>
        <w:tc>
          <w:tcPr>
            <w:tcW w:w="1083" w:type="dxa"/>
            <w:tcBorders>
              <w:top w:val="nil"/>
              <w:left w:val="single" w:sz="8" w:space="0" w:color="C0C0C0"/>
              <w:bottom w:val="single" w:sz="8" w:space="0" w:color="C0C0C0"/>
              <w:right w:val="single" w:sz="8" w:space="0" w:color="C0C0C0"/>
            </w:tcBorders>
            <w:shd w:val="clear" w:color="auto" w:fill="auto"/>
          </w:tcPr>
          <w:p w14:paraId="2BD7E06D"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 xml:space="preserve">France </w:t>
            </w:r>
          </w:p>
        </w:tc>
        <w:tc>
          <w:tcPr>
            <w:tcW w:w="852" w:type="dxa"/>
            <w:tcBorders>
              <w:top w:val="nil"/>
              <w:left w:val="nil"/>
              <w:bottom w:val="single" w:sz="8" w:space="0" w:color="C0C0C0"/>
              <w:right w:val="single" w:sz="8" w:space="0" w:color="C0C0C0"/>
            </w:tcBorders>
            <w:shd w:val="clear" w:color="auto" w:fill="auto"/>
          </w:tcPr>
          <w:p w14:paraId="13C98566"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396,985</w:t>
            </w:r>
          </w:p>
        </w:tc>
        <w:tc>
          <w:tcPr>
            <w:tcW w:w="852" w:type="dxa"/>
            <w:tcBorders>
              <w:top w:val="nil"/>
              <w:left w:val="nil"/>
              <w:bottom w:val="single" w:sz="8" w:space="0" w:color="C0C0C0"/>
              <w:right w:val="single" w:sz="8" w:space="0" w:color="C0C0C0"/>
            </w:tcBorders>
            <w:shd w:val="clear" w:color="auto" w:fill="auto"/>
          </w:tcPr>
          <w:p w14:paraId="350F5EB1"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481,007</w:t>
            </w:r>
          </w:p>
        </w:tc>
        <w:tc>
          <w:tcPr>
            <w:tcW w:w="755" w:type="dxa"/>
            <w:tcBorders>
              <w:top w:val="nil"/>
              <w:left w:val="nil"/>
              <w:bottom w:val="single" w:sz="8" w:space="0" w:color="C0C0C0"/>
              <w:right w:val="single" w:sz="8" w:space="0" w:color="C0C0C0"/>
            </w:tcBorders>
            <w:shd w:val="clear" w:color="auto" w:fill="auto"/>
          </w:tcPr>
          <w:p w14:paraId="29B06E77"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2009</w:t>
            </w:r>
          </w:p>
        </w:tc>
        <w:tc>
          <w:tcPr>
            <w:tcW w:w="860" w:type="dxa"/>
            <w:tcBorders>
              <w:top w:val="nil"/>
              <w:left w:val="nil"/>
              <w:bottom w:val="single" w:sz="8" w:space="0" w:color="C0C0C0"/>
              <w:right w:val="single" w:sz="8" w:space="0" w:color="C0C0C0"/>
            </w:tcBorders>
            <w:shd w:val="clear" w:color="auto" w:fill="auto"/>
          </w:tcPr>
          <w:p w14:paraId="708A8D9D"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2009</w:t>
            </w:r>
          </w:p>
        </w:tc>
        <w:tc>
          <w:tcPr>
            <w:tcW w:w="843" w:type="dxa"/>
            <w:tcBorders>
              <w:top w:val="nil"/>
              <w:left w:val="nil"/>
              <w:bottom w:val="single" w:sz="8" w:space="0" w:color="C0C0C0"/>
              <w:right w:val="single" w:sz="8" w:space="0" w:color="C0C0C0"/>
            </w:tcBorders>
            <w:shd w:val="clear" w:color="auto" w:fill="auto"/>
          </w:tcPr>
          <w:p w14:paraId="0E67BDB1"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0.9798</w:t>
            </w:r>
          </w:p>
        </w:tc>
        <w:tc>
          <w:tcPr>
            <w:tcW w:w="851" w:type="dxa"/>
            <w:tcBorders>
              <w:top w:val="nil"/>
              <w:left w:val="nil"/>
              <w:bottom w:val="single" w:sz="8" w:space="0" w:color="C0C0C0"/>
              <w:right w:val="single" w:sz="8" w:space="0" w:color="C0C0C0"/>
            </w:tcBorders>
            <w:shd w:val="clear" w:color="auto" w:fill="auto"/>
          </w:tcPr>
          <w:p w14:paraId="3CE4FA4E"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89-14</w:t>
            </w:r>
          </w:p>
        </w:tc>
        <w:tc>
          <w:tcPr>
            <w:tcW w:w="1134" w:type="dxa"/>
            <w:tcBorders>
              <w:top w:val="nil"/>
              <w:left w:val="nil"/>
              <w:bottom w:val="single" w:sz="8" w:space="0" w:color="C0C0C0"/>
              <w:right w:val="single" w:sz="8" w:space="0" w:color="C0C0C0"/>
            </w:tcBorders>
            <w:shd w:val="clear" w:color="auto" w:fill="auto"/>
          </w:tcPr>
          <w:p w14:paraId="3763555B"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7</w:t>
            </w:r>
          </w:p>
        </w:tc>
        <w:tc>
          <w:tcPr>
            <w:tcW w:w="1134" w:type="dxa"/>
            <w:tcBorders>
              <w:top w:val="nil"/>
              <w:left w:val="nil"/>
              <w:bottom w:val="single" w:sz="8" w:space="0" w:color="C0C0C0"/>
              <w:right w:val="single" w:sz="8" w:space="0" w:color="C0C0C0"/>
            </w:tcBorders>
            <w:shd w:val="clear" w:color="auto" w:fill="auto"/>
          </w:tcPr>
          <w:p w14:paraId="78CE67C9"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0.8669</w:t>
            </w:r>
          </w:p>
        </w:tc>
        <w:tc>
          <w:tcPr>
            <w:tcW w:w="850" w:type="dxa"/>
            <w:tcBorders>
              <w:top w:val="nil"/>
              <w:left w:val="nil"/>
              <w:bottom w:val="single" w:sz="8" w:space="0" w:color="C0C0C0"/>
              <w:right w:val="single" w:sz="8" w:space="0" w:color="C0C0C0"/>
            </w:tcBorders>
            <w:shd w:val="clear" w:color="auto" w:fill="auto"/>
          </w:tcPr>
          <w:p w14:paraId="21708128"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344141</w:t>
            </w:r>
          </w:p>
        </w:tc>
        <w:tc>
          <w:tcPr>
            <w:tcW w:w="763" w:type="dxa"/>
            <w:tcBorders>
              <w:top w:val="nil"/>
              <w:left w:val="nil"/>
              <w:bottom w:val="single" w:sz="8" w:space="0" w:color="C0C0C0"/>
              <w:right w:val="single" w:sz="8" w:space="0" w:color="C0C0C0"/>
            </w:tcBorders>
            <w:shd w:val="clear" w:color="auto" w:fill="auto"/>
          </w:tcPr>
          <w:p w14:paraId="7417AE2D"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416978</w:t>
            </w:r>
          </w:p>
        </w:tc>
      </w:tr>
      <w:tr w:rsidR="00C96521" w:rsidRPr="00C96521" w14:paraId="2A8550B4" w14:textId="77777777" w:rsidTr="00C96521">
        <w:trPr>
          <w:trHeight w:val="270"/>
        </w:trPr>
        <w:tc>
          <w:tcPr>
            <w:tcW w:w="1083" w:type="dxa"/>
            <w:tcBorders>
              <w:top w:val="nil"/>
              <w:left w:val="single" w:sz="8" w:space="0" w:color="C0C0C0"/>
              <w:bottom w:val="single" w:sz="8" w:space="0" w:color="C0C0C0"/>
              <w:right w:val="single" w:sz="8" w:space="0" w:color="C0C0C0"/>
            </w:tcBorders>
            <w:shd w:val="clear" w:color="auto" w:fill="auto"/>
          </w:tcPr>
          <w:p w14:paraId="4FD2621C"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 xml:space="preserve">Germany </w:t>
            </w:r>
          </w:p>
        </w:tc>
        <w:tc>
          <w:tcPr>
            <w:tcW w:w="852" w:type="dxa"/>
            <w:tcBorders>
              <w:top w:val="nil"/>
              <w:left w:val="nil"/>
              <w:bottom w:val="single" w:sz="8" w:space="0" w:color="C0C0C0"/>
              <w:right w:val="single" w:sz="8" w:space="0" w:color="C0C0C0"/>
            </w:tcBorders>
            <w:shd w:val="clear" w:color="auto" w:fill="auto"/>
          </w:tcPr>
          <w:p w14:paraId="550AAABB"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25,000</w:t>
            </w:r>
          </w:p>
        </w:tc>
        <w:tc>
          <w:tcPr>
            <w:tcW w:w="852" w:type="dxa"/>
            <w:tcBorders>
              <w:top w:val="nil"/>
              <w:left w:val="nil"/>
              <w:bottom w:val="single" w:sz="8" w:space="0" w:color="C0C0C0"/>
              <w:right w:val="single" w:sz="8" w:space="0" w:color="C0C0C0"/>
            </w:tcBorders>
            <w:shd w:val="clear" w:color="auto" w:fill="auto"/>
          </w:tcPr>
          <w:p w14:paraId="1544AA9E"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45,000</w:t>
            </w:r>
          </w:p>
        </w:tc>
        <w:tc>
          <w:tcPr>
            <w:tcW w:w="755" w:type="dxa"/>
            <w:tcBorders>
              <w:top w:val="nil"/>
              <w:left w:val="nil"/>
              <w:bottom w:val="single" w:sz="8" w:space="0" w:color="C0C0C0"/>
              <w:right w:val="single" w:sz="8" w:space="0" w:color="C0C0C0"/>
            </w:tcBorders>
            <w:shd w:val="clear" w:color="auto" w:fill="auto"/>
          </w:tcPr>
          <w:p w14:paraId="06522B58"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2005-2009</w:t>
            </w:r>
          </w:p>
        </w:tc>
        <w:tc>
          <w:tcPr>
            <w:tcW w:w="860" w:type="dxa"/>
            <w:tcBorders>
              <w:top w:val="nil"/>
              <w:left w:val="nil"/>
              <w:bottom w:val="single" w:sz="8" w:space="0" w:color="C0C0C0"/>
              <w:right w:val="single" w:sz="8" w:space="0" w:color="C0C0C0"/>
            </w:tcBorders>
            <w:shd w:val="clear" w:color="auto" w:fill="auto"/>
          </w:tcPr>
          <w:p w14:paraId="19558E70"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2007</w:t>
            </w:r>
          </w:p>
        </w:tc>
        <w:tc>
          <w:tcPr>
            <w:tcW w:w="843" w:type="dxa"/>
            <w:tcBorders>
              <w:top w:val="nil"/>
              <w:left w:val="nil"/>
              <w:bottom w:val="single" w:sz="8" w:space="0" w:color="C0C0C0"/>
              <w:right w:val="single" w:sz="8" w:space="0" w:color="C0C0C0"/>
            </w:tcBorders>
            <w:shd w:val="clear" w:color="auto" w:fill="auto"/>
          </w:tcPr>
          <w:p w14:paraId="02460C66"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0.9576</w:t>
            </w:r>
          </w:p>
        </w:tc>
        <w:tc>
          <w:tcPr>
            <w:tcW w:w="851" w:type="dxa"/>
            <w:tcBorders>
              <w:top w:val="nil"/>
              <w:left w:val="nil"/>
              <w:bottom w:val="single" w:sz="8" w:space="0" w:color="C0C0C0"/>
              <w:right w:val="single" w:sz="8" w:space="0" w:color="C0C0C0"/>
            </w:tcBorders>
            <w:shd w:val="clear" w:color="auto" w:fill="auto"/>
          </w:tcPr>
          <w:p w14:paraId="545650E3"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89-14</w:t>
            </w:r>
          </w:p>
        </w:tc>
        <w:tc>
          <w:tcPr>
            <w:tcW w:w="1134" w:type="dxa"/>
            <w:tcBorders>
              <w:top w:val="nil"/>
              <w:left w:val="nil"/>
              <w:bottom w:val="single" w:sz="8" w:space="0" w:color="C0C0C0"/>
              <w:right w:val="single" w:sz="8" w:space="0" w:color="C0C0C0"/>
            </w:tcBorders>
            <w:shd w:val="clear" w:color="auto" w:fill="auto"/>
          </w:tcPr>
          <w:p w14:paraId="0E69F846"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9</w:t>
            </w:r>
          </w:p>
        </w:tc>
        <w:tc>
          <w:tcPr>
            <w:tcW w:w="1134" w:type="dxa"/>
            <w:tcBorders>
              <w:top w:val="nil"/>
              <w:left w:val="nil"/>
              <w:bottom w:val="single" w:sz="8" w:space="0" w:color="C0C0C0"/>
              <w:right w:val="single" w:sz="8" w:space="0" w:color="C0C0C0"/>
            </w:tcBorders>
            <w:shd w:val="clear" w:color="auto" w:fill="auto"/>
          </w:tcPr>
          <w:p w14:paraId="12665DD0"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0.6771</w:t>
            </w:r>
          </w:p>
        </w:tc>
        <w:tc>
          <w:tcPr>
            <w:tcW w:w="850" w:type="dxa"/>
            <w:tcBorders>
              <w:top w:val="nil"/>
              <w:left w:val="nil"/>
              <w:bottom w:val="single" w:sz="8" w:space="0" w:color="C0C0C0"/>
              <w:right w:val="single" w:sz="8" w:space="0" w:color="C0C0C0"/>
            </w:tcBorders>
            <w:shd w:val="clear" w:color="auto" w:fill="auto"/>
          </w:tcPr>
          <w:p w14:paraId="7C29B9DE"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16928</w:t>
            </w:r>
          </w:p>
        </w:tc>
        <w:tc>
          <w:tcPr>
            <w:tcW w:w="763" w:type="dxa"/>
            <w:tcBorders>
              <w:top w:val="nil"/>
              <w:left w:val="nil"/>
              <w:bottom w:val="single" w:sz="8" w:space="0" w:color="C0C0C0"/>
              <w:right w:val="single" w:sz="8" w:space="0" w:color="C0C0C0"/>
            </w:tcBorders>
            <w:shd w:val="clear" w:color="auto" w:fill="auto"/>
          </w:tcPr>
          <w:p w14:paraId="67CC7A86"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30470</w:t>
            </w:r>
          </w:p>
        </w:tc>
      </w:tr>
      <w:tr w:rsidR="00C96521" w:rsidRPr="00C96521" w14:paraId="556A1ECF" w14:textId="77777777" w:rsidTr="00C96521">
        <w:trPr>
          <w:trHeight w:val="270"/>
        </w:trPr>
        <w:tc>
          <w:tcPr>
            <w:tcW w:w="1083" w:type="dxa"/>
            <w:tcBorders>
              <w:top w:val="nil"/>
              <w:left w:val="single" w:sz="8" w:space="0" w:color="C0C0C0"/>
              <w:bottom w:val="single" w:sz="8" w:space="0" w:color="C0C0C0"/>
              <w:right w:val="single" w:sz="8" w:space="0" w:color="C0C0C0"/>
            </w:tcBorders>
            <w:shd w:val="clear" w:color="auto" w:fill="auto"/>
          </w:tcPr>
          <w:p w14:paraId="5775E40E"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 xml:space="preserve">Italy </w:t>
            </w:r>
          </w:p>
        </w:tc>
        <w:tc>
          <w:tcPr>
            <w:tcW w:w="852" w:type="dxa"/>
            <w:tcBorders>
              <w:top w:val="nil"/>
              <w:left w:val="nil"/>
              <w:bottom w:val="single" w:sz="8" w:space="0" w:color="C0C0C0"/>
              <w:right w:val="single" w:sz="8" w:space="0" w:color="C0C0C0"/>
            </w:tcBorders>
            <w:shd w:val="clear" w:color="auto" w:fill="auto"/>
          </w:tcPr>
          <w:p w14:paraId="60BABEAE"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150,000</w:t>
            </w:r>
          </w:p>
        </w:tc>
        <w:tc>
          <w:tcPr>
            <w:tcW w:w="852" w:type="dxa"/>
            <w:tcBorders>
              <w:top w:val="nil"/>
              <w:left w:val="nil"/>
              <w:bottom w:val="single" w:sz="8" w:space="0" w:color="C0C0C0"/>
              <w:right w:val="single" w:sz="8" w:space="0" w:color="C0C0C0"/>
            </w:tcBorders>
            <w:shd w:val="clear" w:color="auto" w:fill="auto"/>
          </w:tcPr>
          <w:p w14:paraId="773211FE"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300,000</w:t>
            </w:r>
          </w:p>
        </w:tc>
        <w:tc>
          <w:tcPr>
            <w:tcW w:w="755" w:type="dxa"/>
            <w:tcBorders>
              <w:top w:val="nil"/>
              <w:left w:val="nil"/>
              <w:bottom w:val="single" w:sz="8" w:space="0" w:color="C0C0C0"/>
              <w:right w:val="single" w:sz="8" w:space="0" w:color="C0C0C0"/>
            </w:tcBorders>
            <w:shd w:val="clear" w:color="auto" w:fill="auto"/>
          </w:tcPr>
          <w:p w14:paraId="56E935FB"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2015</w:t>
            </w:r>
          </w:p>
        </w:tc>
        <w:tc>
          <w:tcPr>
            <w:tcW w:w="860" w:type="dxa"/>
            <w:tcBorders>
              <w:top w:val="nil"/>
              <w:left w:val="nil"/>
              <w:bottom w:val="single" w:sz="8" w:space="0" w:color="C0C0C0"/>
              <w:right w:val="single" w:sz="8" w:space="0" w:color="C0C0C0"/>
            </w:tcBorders>
            <w:shd w:val="clear" w:color="auto" w:fill="auto"/>
          </w:tcPr>
          <w:p w14:paraId="4BC8D000"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2015</w:t>
            </w:r>
          </w:p>
        </w:tc>
        <w:tc>
          <w:tcPr>
            <w:tcW w:w="843" w:type="dxa"/>
            <w:tcBorders>
              <w:top w:val="nil"/>
              <w:left w:val="nil"/>
              <w:bottom w:val="single" w:sz="8" w:space="0" w:color="C0C0C0"/>
              <w:right w:val="single" w:sz="8" w:space="0" w:color="C0C0C0"/>
            </w:tcBorders>
            <w:shd w:val="clear" w:color="auto" w:fill="auto"/>
          </w:tcPr>
          <w:p w14:paraId="71E06677"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1.0025</w:t>
            </w:r>
          </w:p>
        </w:tc>
        <w:tc>
          <w:tcPr>
            <w:tcW w:w="851" w:type="dxa"/>
            <w:tcBorders>
              <w:top w:val="nil"/>
              <w:left w:val="nil"/>
              <w:bottom w:val="single" w:sz="8" w:space="0" w:color="C0C0C0"/>
              <w:right w:val="single" w:sz="8" w:space="0" w:color="C0C0C0"/>
            </w:tcBorders>
            <w:shd w:val="clear" w:color="auto" w:fill="auto"/>
          </w:tcPr>
          <w:p w14:paraId="48C7D499"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00-14</w:t>
            </w:r>
          </w:p>
        </w:tc>
        <w:tc>
          <w:tcPr>
            <w:tcW w:w="1134" w:type="dxa"/>
            <w:tcBorders>
              <w:top w:val="nil"/>
              <w:left w:val="nil"/>
              <w:bottom w:val="single" w:sz="8" w:space="0" w:color="C0C0C0"/>
              <w:right w:val="single" w:sz="8" w:space="0" w:color="C0C0C0"/>
            </w:tcBorders>
            <w:shd w:val="clear" w:color="auto" w:fill="auto"/>
          </w:tcPr>
          <w:p w14:paraId="3533C4AE"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w:t>
            </w:r>
          </w:p>
        </w:tc>
        <w:tc>
          <w:tcPr>
            <w:tcW w:w="1134" w:type="dxa"/>
            <w:tcBorders>
              <w:top w:val="nil"/>
              <w:left w:val="nil"/>
              <w:bottom w:val="single" w:sz="8" w:space="0" w:color="C0C0C0"/>
              <w:right w:val="single" w:sz="8" w:space="0" w:color="C0C0C0"/>
            </w:tcBorders>
            <w:shd w:val="clear" w:color="auto" w:fill="auto"/>
          </w:tcPr>
          <w:p w14:paraId="1E0D0B8C"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1.0025</w:t>
            </w:r>
          </w:p>
        </w:tc>
        <w:tc>
          <w:tcPr>
            <w:tcW w:w="850" w:type="dxa"/>
            <w:tcBorders>
              <w:top w:val="nil"/>
              <w:left w:val="nil"/>
              <w:bottom w:val="single" w:sz="8" w:space="0" w:color="C0C0C0"/>
              <w:right w:val="single" w:sz="8" w:space="0" w:color="C0C0C0"/>
            </w:tcBorders>
            <w:shd w:val="clear" w:color="auto" w:fill="auto"/>
          </w:tcPr>
          <w:p w14:paraId="7580C682"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150375</w:t>
            </w:r>
          </w:p>
        </w:tc>
        <w:tc>
          <w:tcPr>
            <w:tcW w:w="763" w:type="dxa"/>
            <w:tcBorders>
              <w:top w:val="nil"/>
              <w:left w:val="nil"/>
              <w:bottom w:val="single" w:sz="8" w:space="0" w:color="C0C0C0"/>
              <w:right w:val="single" w:sz="8" w:space="0" w:color="C0C0C0"/>
            </w:tcBorders>
            <w:shd w:val="clear" w:color="auto" w:fill="auto"/>
          </w:tcPr>
          <w:p w14:paraId="684C6275"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300750</w:t>
            </w:r>
          </w:p>
        </w:tc>
      </w:tr>
      <w:tr w:rsidR="00C96521" w:rsidRPr="00C96521" w14:paraId="4830F091" w14:textId="77777777" w:rsidTr="00C96521">
        <w:trPr>
          <w:trHeight w:val="270"/>
        </w:trPr>
        <w:tc>
          <w:tcPr>
            <w:tcW w:w="1083" w:type="dxa"/>
            <w:tcBorders>
              <w:top w:val="nil"/>
              <w:left w:val="single" w:sz="8" w:space="0" w:color="C0C0C0"/>
              <w:bottom w:val="single" w:sz="8" w:space="0" w:color="C0C0C0"/>
              <w:right w:val="single" w:sz="8" w:space="0" w:color="C0C0C0"/>
            </w:tcBorders>
            <w:shd w:val="clear" w:color="auto" w:fill="auto"/>
          </w:tcPr>
          <w:p w14:paraId="632CD226"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 xml:space="preserve">Netherlands </w:t>
            </w:r>
          </w:p>
        </w:tc>
        <w:tc>
          <w:tcPr>
            <w:tcW w:w="852" w:type="dxa"/>
            <w:tcBorders>
              <w:top w:val="nil"/>
              <w:left w:val="nil"/>
              <w:bottom w:val="single" w:sz="8" w:space="0" w:color="C0C0C0"/>
              <w:right w:val="single" w:sz="8" w:space="0" w:color="C0C0C0"/>
            </w:tcBorders>
            <w:shd w:val="clear" w:color="auto" w:fill="auto"/>
          </w:tcPr>
          <w:p w14:paraId="4986EBAC"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4,763</w:t>
            </w:r>
          </w:p>
        </w:tc>
        <w:tc>
          <w:tcPr>
            <w:tcW w:w="852" w:type="dxa"/>
            <w:tcBorders>
              <w:top w:val="nil"/>
              <w:left w:val="nil"/>
              <w:bottom w:val="single" w:sz="8" w:space="0" w:color="C0C0C0"/>
              <w:right w:val="single" w:sz="8" w:space="0" w:color="C0C0C0"/>
            </w:tcBorders>
            <w:shd w:val="clear" w:color="auto" w:fill="auto"/>
          </w:tcPr>
          <w:p w14:paraId="580C0697"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5,715</w:t>
            </w:r>
          </w:p>
        </w:tc>
        <w:tc>
          <w:tcPr>
            <w:tcW w:w="755" w:type="dxa"/>
            <w:tcBorders>
              <w:top w:val="nil"/>
              <w:left w:val="nil"/>
              <w:bottom w:val="single" w:sz="8" w:space="0" w:color="C0C0C0"/>
              <w:right w:val="single" w:sz="8" w:space="0" w:color="C0C0C0"/>
            </w:tcBorders>
            <w:shd w:val="clear" w:color="auto" w:fill="auto"/>
          </w:tcPr>
          <w:p w14:paraId="6065B847"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2008-2011</w:t>
            </w:r>
          </w:p>
        </w:tc>
        <w:tc>
          <w:tcPr>
            <w:tcW w:w="860" w:type="dxa"/>
            <w:tcBorders>
              <w:top w:val="nil"/>
              <w:left w:val="nil"/>
              <w:bottom w:val="single" w:sz="8" w:space="0" w:color="C0C0C0"/>
              <w:right w:val="single" w:sz="8" w:space="0" w:color="C0C0C0"/>
            </w:tcBorders>
            <w:shd w:val="clear" w:color="auto" w:fill="auto"/>
          </w:tcPr>
          <w:p w14:paraId="395B6B70"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2010</w:t>
            </w:r>
          </w:p>
        </w:tc>
        <w:tc>
          <w:tcPr>
            <w:tcW w:w="843" w:type="dxa"/>
            <w:tcBorders>
              <w:top w:val="nil"/>
              <w:left w:val="nil"/>
              <w:bottom w:val="single" w:sz="8" w:space="0" w:color="C0C0C0"/>
              <w:right w:val="single" w:sz="8" w:space="0" w:color="C0C0C0"/>
            </w:tcBorders>
            <w:shd w:val="clear" w:color="auto" w:fill="auto"/>
          </w:tcPr>
          <w:p w14:paraId="033573E5"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0.9269</w:t>
            </w:r>
          </w:p>
        </w:tc>
        <w:tc>
          <w:tcPr>
            <w:tcW w:w="851" w:type="dxa"/>
            <w:tcBorders>
              <w:top w:val="nil"/>
              <w:left w:val="nil"/>
              <w:bottom w:val="single" w:sz="8" w:space="0" w:color="C0C0C0"/>
              <w:right w:val="single" w:sz="8" w:space="0" w:color="C0C0C0"/>
            </w:tcBorders>
            <w:shd w:val="clear" w:color="auto" w:fill="auto"/>
          </w:tcPr>
          <w:p w14:paraId="34ABC141"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84-14</w:t>
            </w:r>
          </w:p>
        </w:tc>
        <w:tc>
          <w:tcPr>
            <w:tcW w:w="1134" w:type="dxa"/>
            <w:tcBorders>
              <w:top w:val="nil"/>
              <w:left w:val="nil"/>
              <w:bottom w:val="single" w:sz="8" w:space="0" w:color="C0C0C0"/>
              <w:right w:val="single" w:sz="8" w:space="0" w:color="C0C0C0"/>
            </w:tcBorders>
            <w:shd w:val="clear" w:color="auto" w:fill="auto"/>
          </w:tcPr>
          <w:p w14:paraId="3C21A2C6"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6</w:t>
            </w:r>
          </w:p>
        </w:tc>
        <w:tc>
          <w:tcPr>
            <w:tcW w:w="1134" w:type="dxa"/>
            <w:tcBorders>
              <w:top w:val="nil"/>
              <w:left w:val="nil"/>
              <w:bottom w:val="single" w:sz="8" w:space="0" w:color="C0C0C0"/>
              <w:right w:val="single" w:sz="8" w:space="0" w:color="C0C0C0"/>
            </w:tcBorders>
            <w:shd w:val="clear" w:color="auto" w:fill="auto"/>
          </w:tcPr>
          <w:p w14:paraId="716E4D55"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0.6342</w:t>
            </w:r>
          </w:p>
        </w:tc>
        <w:tc>
          <w:tcPr>
            <w:tcW w:w="850" w:type="dxa"/>
            <w:tcBorders>
              <w:top w:val="nil"/>
              <w:left w:val="nil"/>
              <w:bottom w:val="single" w:sz="8" w:space="0" w:color="C0C0C0"/>
              <w:right w:val="single" w:sz="8" w:space="0" w:color="C0C0C0"/>
            </w:tcBorders>
            <w:shd w:val="clear" w:color="auto" w:fill="auto"/>
          </w:tcPr>
          <w:p w14:paraId="2F99BA0E"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3020</w:t>
            </w:r>
          </w:p>
        </w:tc>
        <w:tc>
          <w:tcPr>
            <w:tcW w:w="763" w:type="dxa"/>
            <w:tcBorders>
              <w:top w:val="nil"/>
              <w:left w:val="nil"/>
              <w:bottom w:val="single" w:sz="8" w:space="0" w:color="C0C0C0"/>
              <w:right w:val="single" w:sz="8" w:space="0" w:color="C0C0C0"/>
            </w:tcBorders>
            <w:shd w:val="clear" w:color="auto" w:fill="auto"/>
          </w:tcPr>
          <w:p w14:paraId="37836E73"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3624</w:t>
            </w:r>
          </w:p>
        </w:tc>
      </w:tr>
      <w:tr w:rsidR="00C96521" w:rsidRPr="00C96521" w14:paraId="640B1D20" w14:textId="77777777" w:rsidTr="00C96521">
        <w:trPr>
          <w:trHeight w:val="270"/>
        </w:trPr>
        <w:tc>
          <w:tcPr>
            <w:tcW w:w="1083" w:type="dxa"/>
            <w:tcBorders>
              <w:top w:val="nil"/>
              <w:left w:val="single" w:sz="8" w:space="0" w:color="C0C0C0"/>
              <w:bottom w:val="single" w:sz="8" w:space="0" w:color="C0C0C0"/>
              <w:right w:val="single" w:sz="8" w:space="0" w:color="C0C0C0"/>
            </w:tcBorders>
            <w:shd w:val="clear" w:color="auto" w:fill="auto"/>
          </w:tcPr>
          <w:p w14:paraId="1889CCC2"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 xml:space="preserve">Portugal </w:t>
            </w:r>
          </w:p>
        </w:tc>
        <w:tc>
          <w:tcPr>
            <w:tcW w:w="852" w:type="dxa"/>
            <w:tcBorders>
              <w:top w:val="nil"/>
              <w:left w:val="nil"/>
              <w:bottom w:val="single" w:sz="8" w:space="0" w:color="C0C0C0"/>
              <w:right w:val="single" w:sz="8" w:space="0" w:color="C0C0C0"/>
            </w:tcBorders>
            <w:shd w:val="clear" w:color="auto" w:fill="auto"/>
          </w:tcPr>
          <w:p w14:paraId="7980FF65"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10,000</w:t>
            </w:r>
          </w:p>
        </w:tc>
        <w:tc>
          <w:tcPr>
            <w:tcW w:w="852" w:type="dxa"/>
            <w:tcBorders>
              <w:top w:val="nil"/>
              <w:left w:val="nil"/>
              <w:bottom w:val="single" w:sz="8" w:space="0" w:color="C0C0C0"/>
              <w:right w:val="single" w:sz="8" w:space="0" w:color="C0C0C0"/>
            </w:tcBorders>
            <w:shd w:val="clear" w:color="auto" w:fill="auto"/>
          </w:tcPr>
          <w:p w14:paraId="64D2CC7C"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50,000</w:t>
            </w:r>
          </w:p>
        </w:tc>
        <w:tc>
          <w:tcPr>
            <w:tcW w:w="755" w:type="dxa"/>
            <w:tcBorders>
              <w:top w:val="nil"/>
              <w:left w:val="nil"/>
              <w:bottom w:val="single" w:sz="8" w:space="0" w:color="C0C0C0"/>
              <w:right w:val="single" w:sz="8" w:space="0" w:color="C0C0C0"/>
            </w:tcBorders>
            <w:shd w:val="clear" w:color="auto" w:fill="auto"/>
          </w:tcPr>
          <w:p w14:paraId="05FBA890"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2008-2012</w:t>
            </w:r>
          </w:p>
        </w:tc>
        <w:tc>
          <w:tcPr>
            <w:tcW w:w="860" w:type="dxa"/>
            <w:tcBorders>
              <w:top w:val="nil"/>
              <w:left w:val="nil"/>
              <w:bottom w:val="single" w:sz="8" w:space="0" w:color="C0C0C0"/>
              <w:right w:val="single" w:sz="8" w:space="0" w:color="C0C0C0"/>
            </w:tcBorders>
            <w:shd w:val="clear" w:color="auto" w:fill="auto"/>
          </w:tcPr>
          <w:p w14:paraId="227E44ED"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2010</w:t>
            </w:r>
          </w:p>
        </w:tc>
        <w:tc>
          <w:tcPr>
            <w:tcW w:w="843" w:type="dxa"/>
            <w:tcBorders>
              <w:top w:val="nil"/>
              <w:left w:val="nil"/>
              <w:bottom w:val="single" w:sz="8" w:space="0" w:color="C0C0C0"/>
              <w:right w:val="single" w:sz="8" w:space="0" w:color="C0C0C0"/>
            </w:tcBorders>
            <w:shd w:val="clear" w:color="auto" w:fill="auto"/>
          </w:tcPr>
          <w:p w14:paraId="6126FCCE"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0.9013</w:t>
            </w:r>
          </w:p>
        </w:tc>
        <w:tc>
          <w:tcPr>
            <w:tcW w:w="851" w:type="dxa"/>
            <w:tcBorders>
              <w:top w:val="nil"/>
              <w:left w:val="nil"/>
              <w:bottom w:val="single" w:sz="8" w:space="0" w:color="C0C0C0"/>
              <w:right w:val="single" w:sz="8" w:space="0" w:color="C0C0C0"/>
            </w:tcBorders>
            <w:shd w:val="clear" w:color="auto" w:fill="auto"/>
          </w:tcPr>
          <w:p w14:paraId="2FBD5A55"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1984-14</w:t>
            </w:r>
          </w:p>
        </w:tc>
        <w:tc>
          <w:tcPr>
            <w:tcW w:w="1134" w:type="dxa"/>
            <w:tcBorders>
              <w:top w:val="nil"/>
              <w:left w:val="nil"/>
              <w:bottom w:val="single" w:sz="8" w:space="0" w:color="C0C0C0"/>
              <w:right w:val="single" w:sz="8" w:space="0" w:color="C0C0C0"/>
            </w:tcBorders>
            <w:shd w:val="clear" w:color="auto" w:fill="auto"/>
          </w:tcPr>
          <w:p w14:paraId="0E3F2D26"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6</w:t>
            </w:r>
          </w:p>
        </w:tc>
        <w:tc>
          <w:tcPr>
            <w:tcW w:w="1134" w:type="dxa"/>
            <w:tcBorders>
              <w:top w:val="nil"/>
              <w:left w:val="nil"/>
              <w:bottom w:val="single" w:sz="8" w:space="0" w:color="C0C0C0"/>
              <w:right w:val="single" w:sz="8" w:space="0" w:color="C0C0C0"/>
            </w:tcBorders>
            <w:shd w:val="clear" w:color="auto" w:fill="auto"/>
          </w:tcPr>
          <w:p w14:paraId="28B3BC1C"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0.5361</w:t>
            </w:r>
          </w:p>
        </w:tc>
        <w:tc>
          <w:tcPr>
            <w:tcW w:w="850" w:type="dxa"/>
            <w:tcBorders>
              <w:top w:val="nil"/>
              <w:left w:val="nil"/>
              <w:bottom w:val="single" w:sz="8" w:space="0" w:color="C0C0C0"/>
              <w:right w:val="single" w:sz="8" w:space="0" w:color="C0C0C0"/>
            </w:tcBorders>
            <w:shd w:val="clear" w:color="auto" w:fill="auto"/>
          </w:tcPr>
          <w:p w14:paraId="12444595"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5361</w:t>
            </w:r>
          </w:p>
        </w:tc>
        <w:tc>
          <w:tcPr>
            <w:tcW w:w="763" w:type="dxa"/>
            <w:tcBorders>
              <w:top w:val="nil"/>
              <w:left w:val="nil"/>
              <w:bottom w:val="single" w:sz="8" w:space="0" w:color="C0C0C0"/>
              <w:right w:val="single" w:sz="8" w:space="0" w:color="C0C0C0"/>
            </w:tcBorders>
            <w:shd w:val="clear" w:color="auto" w:fill="auto"/>
          </w:tcPr>
          <w:p w14:paraId="602E1C93"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26803</w:t>
            </w:r>
          </w:p>
        </w:tc>
      </w:tr>
      <w:tr w:rsidR="00C96521" w:rsidRPr="00C96521" w14:paraId="1FFEBD46" w14:textId="77777777" w:rsidTr="00C96521">
        <w:trPr>
          <w:trHeight w:val="270"/>
        </w:trPr>
        <w:tc>
          <w:tcPr>
            <w:tcW w:w="1083" w:type="dxa"/>
            <w:tcBorders>
              <w:top w:val="nil"/>
              <w:left w:val="single" w:sz="8" w:space="0" w:color="C0C0C0"/>
              <w:bottom w:val="single" w:sz="8" w:space="0" w:color="C0C0C0"/>
              <w:right w:val="single" w:sz="8" w:space="0" w:color="C0C0C0"/>
            </w:tcBorders>
            <w:shd w:val="clear" w:color="auto" w:fill="auto"/>
          </w:tcPr>
          <w:p w14:paraId="196939C8"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 xml:space="preserve">Spain </w:t>
            </w:r>
          </w:p>
        </w:tc>
        <w:tc>
          <w:tcPr>
            <w:tcW w:w="852" w:type="dxa"/>
            <w:tcBorders>
              <w:top w:val="nil"/>
              <w:left w:val="nil"/>
              <w:bottom w:val="single" w:sz="8" w:space="0" w:color="C0C0C0"/>
              <w:right w:val="single" w:sz="8" w:space="0" w:color="C0C0C0"/>
            </w:tcBorders>
            <w:shd w:val="clear" w:color="auto" w:fill="auto"/>
          </w:tcPr>
          <w:p w14:paraId="74DA695F"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1,370,000</w:t>
            </w:r>
          </w:p>
        </w:tc>
        <w:tc>
          <w:tcPr>
            <w:tcW w:w="852" w:type="dxa"/>
            <w:tcBorders>
              <w:top w:val="nil"/>
              <w:left w:val="nil"/>
              <w:bottom w:val="single" w:sz="8" w:space="0" w:color="C0C0C0"/>
              <w:right w:val="single" w:sz="8" w:space="0" w:color="C0C0C0"/>
            </w:tcBorders>
            <w:shd w:val="clear" w:color="auto" w:fill="auto"/>
          </w:tcPr>
          <w:p w14:paraId="7A0958CB"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2,285,000</w:t>
            </w:r>
          </w:p>
        </w:tc>
        <w:tc>
          <w:tcPr>
            <w:tcW w:w="755" w:type="dxa"/>
            <w:tcBorders>
              <w:top w:val="nil"/>
              <w:left w:val="nil"/>
              <w:bottom w:val="single" w:sz="8" w:space="0" w:color="C0C0C0"/>
              <w:right w:val="single" w:sz="8" w:space="0" w:color="C0C0C0"/>
            </w:tcBorders>
            <w:shd w:val="clear" w:color="auto" w:fill="auto"/>
          </w:tcPr>
          <w:p w14:paraId="53A06A8B"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2004-2006</w:t>
            </w:r>
          </w:p>
        </w:tc>
        <w:tc>
          <w:tcPr>
            <w:tcW w:w="860" w:type="dxa"/>
            <w:tcBorders>
              <w:top w:val="nil"/>
              <w:left w:val="nil"/>
              <w:bottom w:val="single" w:sz="8" w:space="0" w:color="C0C0C0"/>
              <w:right w:val="single" w:sz="8" w:space="0" w:color="C0C0C0"/>
            </w:tcBorders>
            <w:shd w:val="clear" w:color="auto" w:fill="auto"/>
          </w:tcPr>
          <w:p w14:paraId="4C2427A5"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2005</w:t>
            </w:r>
          </w:p>
        </w:tc>
        <w:tc>
          <w:tcPr>
            <w:tcW w:w="843" w:type="dxa"/>
            <w:tcBorders>
              <w:top w:val="nil"/>
              <w:left w:val="nil"/>
              <w:bottom w:val="single" w:sz="8" w:space="0" w:color="C0C0C0"/>
              <w:right w:val="single" w:sz="8" w:space="0" w:color="C0C0C0"/>
            </w:tcBorders>
            <w:shd w:val="clear" w:color="auto" w:fill="auto"/>
          </w:tcPr>
          <w:p w14:paraId="2211B3EB"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0.9814</w:t>
            </w:r>
          </w:p>
        </w:tc>
        <w:tc>
          <w:tcPr>
            <w:tcW w:w="851" w:type="dxa"/>
            <w:tcBorders>
              <w:top w:val="nil"/>
              <w:left w:val="nil"/>
              <w:bottom w:val="single" w:sz="8" w:space="0" w:color="C0C0C0"/>
              <w:right w:val="single" w:sz="8" w:space="0" w:color="C0C0C0"/>
            </w:tcBorders>
            <w:shd w:val="clear" w:color="auto" w:fill="auto"/>
          </w:tcPr>
          <w:p w14:paraId="1C300315"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98-14</w:t>
            </w:r>
          </w:p>
        </w:tc>
        <w:tc>
          <w:tcPr>
            <w:tcW w:w="1134" w:type="dxa"/>
            <w:tcBorders>
              <w:top w:val="nil"/>
              <w:left w:val="nil"/>
              <w:bottom w:val="single" w:sz="8" w:space="0" w:color="C0C0C0"/>
              <w:right w:val="single" w:sz="8" w:space="0" w:color="C0C0C0"/>
            </w:tcBorders>
            <w:shd w:val="clear" w:color="auto" w:fill="auto"/>
          </w:tcPr>
          <w:p w14:paraId="78F305C1"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11</w:t>
            </w:r>
          </w:p>
        </w:tc>
        <w:tc>
          <w:tcPr>
            <w:tcW w:w="1134" w:type="dxa"/>
            <w:tcBorders>
              <w:top w:val="nil"/>
              <w:left w:val="nil"/>
              <w:bottom w:val="single" w:sz="8" w:space="0" w:color="C0C0C0"/>
              <w:right w:val="single" w:sz="8" w:space="0" w:color="C0C0C0"/>
            </w:tcBorders>
            <w:shd w:val="clear" w:color="auto" w:fill="auto"/>
          </w:tcPr>
          <w:p w14:paraId="1E30C81C"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0.8134</w:t>
            </w:r>
          </w:p>
        </w:tc>
        <w:tc>
          <w:tcPr>
            <w:tcW w:w="850" w:type="dxa"/>
            <w:tcBorders>
              <w:top w:val="nil"/>
              <w:left w:val="nil"/>
              <w:bottom w:val="single" w:sz="8" w:space="0" w:color="C0C0C0"/>
              <w:right w:val="single" w:sz="8" w:space="0" w:color="C0C0C0"/>
            </w:tcBorders>
            <w:shd w:val="clear" w:color="auto" w:fill="auto"/>
          </w:tcPr>
          <w:p w14:paraId="50798B8D"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1114364</w:t>
            </w:r>
          </w:p>
        </w:tc>
        <w:tc>
          <w:tcPr>
            <w:tcW w:w="763" w:type="dxa"/>
            <w:tcBorders>
              <w:top w:val="nil"/>
              <w:left w:val="nil"/>
              <w:bottom w:val="single" w:sz="8" w:space="0" w:color="C0C0C0"/>
              <w:right w:val="single" w:sz="8" w:space="0" w:color="C0C0C0"/>
            </w:tcBorders>
            <w:shd w:val="clear" w:color="auto" w:fill="auto"/>
          </w:tcPr>
          <w:p w14:paraId="61EB6E99"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1858629</w:t>
            </w:r>
          </w:p>
        </w:tc>
      </w:tr>
      <w:tr w:rsidR="00C96521" w:rsidRPr="00C96521" w14:paraId="0404342B" w14:textId="77777777" w:rsidTr="00C96521">
        <w:trPr>
          <w:trHeight w:val="270"/>
        </w:trPr>
        <w:tc>
          <w:tcPr>
            <w:tcW w:w="1083" w:type="dxa"/>
            <w:tcBorders>
              <w:top w:val="nil"/>
              <w:left w:val="single" w:sz="8" w:space="0" w:color="C0C0C0"/>
              <w:bottom w:val="single" w:sz="8" w:space="0" w:color="C0C0C0"/>
              <w:right w:val="single" w:sz="8" w:space="0" w:color="C0C0C0"/>
            </w:tcBorders>
            <w:shd w:val="clear" w:color="auto" w:fill="auto"/>
          </w:tcPr>
          <w:p w14:paraId="0AAFEA2B"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 xml:space="preserve">Switzerland </w:t>
            </w:r>
          </w:p>
        </w:tc>
        <w:tc>
          <w:tcPr>
            <w:tcW w:w="852" w:type="dxa"/>
            <w:tcBorders>
              <w:top w:val="nil"/>
              <w:left w:val="nil"/>
              <w:bottom w:val="single" w:sz="8" w:space="0" w:color="C0C0C0"/>
              <w:right w:val="single" w:sz="8" w:space="0" w:color="C0C0C0"/>
            </w:tcBorders>
            <w:shd w:val="clear" w:color="auto" w:fill="auto"/>
          </w:tcPr>
          <w:p w14:paraId="19B72EE4"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1,000</w:t>
            </w:r>
          </w:p>
        </w:tc>
        <w:tc>
          <w:tcPr>
            <w:tcW w:w="852" w:type="dxa"/>
            <w:tcBorders>
              <w:top w:val="nil"/>
              <w:left w:val="nil"/>
              <w:bottom w:val="single" w:sz="8" w:space="0" w:color="C0C0C0"/>
              <w:right w:val="single" w:sz="8" w:space="0" w:color="C0C0C0"/>
            </w:tcBorders>
            <w:shd w:val="clear" w:color="auto" w:fill="auto"/>
          </w:tcPr>
          <w:p w14:paraId="238EAE4E"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2,500</w:t>
            </w:r>
          </w:p>
        </w:tc>
        <w:tc>
          <w:tcPr>
            <w:tcW w:w="755" w:type="dxa"/>
            <w:tcBorders>
              <w:top w:val="nil"/>
              <w:left w:val="nil"/>
              <w:bottom w:val="single" w:sz="8" w:space="0" w:color="C0C0C0"/>
              <w:right w:val="single" w:sz="8" w:space="0" w:color="C0C0C0"/>
            </w:tcBorders>
            <w:shd w:val="clear" w:color="auto" w:fill="auto"/>
          </w:tcPr>
          <w:p w14:paraId="33C1B922"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1993-1996</w:t>
            </w:r>
          </w:p>
        </w:tc>
        <w:tc>
          <w:tcPr>
            <w:tcW w:w="860" w:type="dxa"/>
            <w:tcBorders>
              <w:top w:val="nil"/>
              <w:left w:val="nil"/>
              <w:bottom w:val="single" w:sz="8" w:space="0" w:color="C0C0C0"/>
              <w:right w:val="single" w:sz="8" w:space="0" w:color="C0C0C0"/>
            </w:tcBorders>
            <w:shd w:val="clear" w:color="auto" w:fill="auto"/>
          </w:tcPr>
          <w:p w14:paraId="29E81C2E"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1995</w:t>
            </w:r>
          </w:p>
        </w:tc>
        <w:tc>
          <w:tcPr>
            <w:tcW w:w="843" w:type="dxa"/>
            <w:tcBorders>
              <w:top w:val="nil"/>
              <w:left w:val="nil"/>
              <w:bottom w:val="single" w:sz="8" w:space="0" w:color="C0C0C0"/>
              <w:right w:val="single" w:sz="8" w:space="0" w:color="C0C0C0"/>
            </w:tcBorders>
            <w:shd w:val="clear" w:color="auto" w:fill="auto"/>
          </w:tcPr>
          <w:p w14:paraId="488DC77C"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0.9469</w:t>
            </w:r>
          </w:p>
        </w:tc>
        <w:tc>
          <w:tcPr>
            <w:tcW w:w="851" w:type="dxa"/>
            <w:tcBorders>
              <w:top w:val="nil"/>
              <w:left w:val="nil"/>
              <w:bottom w:val="single" w:sz="8" w:space="0" w:color="C0C0C0"/>
              <w:right w:val="single" w:sz="8" w:space="0" w:color="C0C0C0"/>
            </w:tcBorders>
            <w:shd w:val="clear" w:color="auto" w:fill="auto"/>
          </w:tcPr>
          <w:p w14:paraId="022AB16C"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99-14</w:t>
            </w:r>
          </w:p>
        </w:tc>
        <w:tc>
          <w:tcPr>
            <w:tcW w:w="1134" w:type="dxa"/>
            <w:tcBorders>
              <w:top w:val="nil"/>
              <w:left w:val="nil"/>
              <w:bottom w:val="single" w:sz="8" w:space="0" w:color="C0C0C0"/>
              <w:right w:val="single" w:sz="8" w:space="0" w:color="C0C0C0"/>
            </w:tcBorders>
            <w:shd w:val="clear" w:color="auto" w:fill="auto"/>
          </w:tcPr>
          <w:p w14:paraId="3AE539C0"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21</w:t>
            </w:r>
          </w:p>
        </w:tc>
        <w:tc>
          <w:tcPr>
            <w:tcW w:w="1134" w:type="dxa"/>
            <w:tcBorders>
              <w:top w:val="nil"/>
              <w:left w:val="nil"/>
              <w:bottom w:val="single" w:sz="8" w:space="0" w:color="C0C0C0"/>
              <w:right w:val="single" w:sz="8" w:space="0" w:color="C0C0C0"/>
            </w:tcBorders>
            <w:shd w:val="clear" w:color="auto" w:fill="auto"/>
          </w:tcPr>
          <w:p w14:paraId="06E55977"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0.3180</w:t>
            </w:r>
          </w:p>
        </w:tc>
        <w:tc>
          <w:tcPr>
            <w:tcW w:w="850" w:type="dxa"/>
            <w:tcBorders>
              <w:top w:val="nil"/>
              <w:left w:val="nil"/>
              <w:bottom w:val="single" w:sz="8" w:space="0" w:color="C0C0C0"/>
              <w:right w:val="single" w:sz="8" w:space="0" w:color="C0C0C0"/>
            </w:tcBorders>
            <w:shd w:val="clear" w:color="auto" w:fill="auto"/>
          </w:tcPr>
          <w:p w14:paraId="27A5E520"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318</w:t>
            </w:r>
          </w:p>
        </w:tc>
        <w:tc>
          <w:tcPr>
            <w:tcW w:w="763" w:type="dxa"/>
            <w:tcBorders>
              <w:top w:val="nil"/>
              <w:left w:val="nil"/>
              <w:bottom w:val="single" w:sz="8" w:space="0" w:color="C0C0C0"/>
              <w:right w:val="single" w:sz="8" w:space="0" w:color="C0C0C0"/>
            </w:tcBorders>
            <w:shd w:val="clear" w:color="auto" w:fill="auto"/>
          </w:tcPr>
          <w:p w14:paraId="2253CDA0"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795</w:t>
            </w:r>
          </w:p>
        </w:tc>
      </w:tr>
      <w:tr w:rsidR="00C96521" w:rsidRPr="00C96521" w14:paraId="55F5CC65" w14:textId="77777777" w:rsidTr="00C96521">
        <w:trPr>
          <w:trHeight w:val="270"/>
        </w:trPr>
        <w:tc>
          <w:tcPr>
            <w:tcW w:w="1083" w:type="dxa"/>
            <w:tcBorders>
              <w:top w:val="nil"/>
              <w:left w:val="single" w:sz="8" w:space="0" w:color="C0C0C0"/>
              <w:bottom w:val="single" w:sz="8" w:space="0" w:color="C0C0C0"/>
              <w:right w:val="single" w:sz="8" w:space="0" w:color="C0C0C0"/>
            </w:tcBorders>
            <w:shd w:val="clear" w:color="auto" w:fill="auto"/>
          </w:tcPr>
          <w:p w14:paraId="3051FC36"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UK</w:t>
            </w:r>
          </w:p>
        </w:tc>
        <w:tc>
          <w:tcPr>
            <w:tcW w:w="852" w:type="dxa"/>
            <w:tcBorders>
              <w:top w:val="nil"/>
              <w:left w:val="nil"/>
              <w:bottom w:val="single" w:sz="8" w:space="0" w:color="C0C0C0"/>
              <w:right w:val="single" w:sz="8" w:space="0" w:color="C0C0C0"/>
            </w:tcBorders>
            <w:shd w:val="clear" w:color="auto" w:fill="auto"/>
          </w:tcPr>
          <w:p w14:paraId="54456BFF"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5,300</w:t>
            </w:r>
          </w:p>
        </w:tc>
        <w:tc>
          <w:tcPr>
            <w:tcW w:w="852" w:type="dxa"/>
            <w:tcBorders>
              <w:top w:val="nil"/>
              <w:left w:val="nil"/>
              <w:bottom w:val="single" w:sz="8" w:space="0" w:color="C0C0C0"/>
              <w:right w:val="single" w:sz="8" w:space="0" w:color="C0C0C0"/>
            </w:tcBorders>
            <w:shd w:val="clear" w:color="auto" w:fill="auto"/>
          </w:tcPr>
          <w:p w14:paraId="064D0150"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5,300</w:t>
            </w:r>
          </w:p>
        </w:tc>
        <w:tc>
          <w:tcPr>
            <w:tcW w:w="755" w:type="dxa"/>
            <w:tcBorders>
              <w:top w:val="nil"/>
              <w:left w:val="nil"/>
              <w:bottom w:val="single" w:sz="8" w:space="0" w:color="C0C0C0"/>
              <w:right w:val="single" w:sz="8" w:space="0" w:color="C0C0C0"/>
            </w:tcBorders>
            <w:shd w:val="clear" w:color="auto" w:fill="auto"/>
          </w:tcPr>
          <w:p w14:paraId="53380E36"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1999-2016</w:t>
            </w:r>
          </w:p>
        </w:tc>
        <w:tc>
          <w:tcPr>
            <w:tcW w:w="860" w:type="dxa"/>
            <w:tcBorders>
              <w:top w:val="nil"/>
              <w:left w:val="nil"/>
              <w:bottom w:val="single" w:sz="8" w:space="0" w:color="C0C0C0"/>
              <w:right w:val="single" w:sz="8" w:space="0" w:color="C0C0C0"/>
            </w:tcBorders>
            <w:shd w:val="clear" w:color="auto" w:fill="auto"/>
          </w:tcPr>
          <w:p w14:paraId="288617A4"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2015</w:t>
            </w:r>
          </w:p>
        </w:tc>
        <w:tc>
          <w:tcPr>
            <w:tcW w:w="843" w:type="dxa"/>
            <w:tcBorders>
              <w:top w:val="nil"/>
              <w:left w:val="nil"/>
              <w:bottom w:val="single" w:sz="8" w:space="0" w:color="C0C0C0"/>
              <w:right w:val="single" w:sz="8" w:space="0" w:color="C0C0C0"/>
            </w:tcBorders>
            <w:shd w:val="clear" w:color="auto" w:fill="auto"/>
          </w:tcPr>
          <w:p w14:paraId="3B45C93E"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0.9373</w:t>
            </w:r>
          </w:p>
        </w:tc>
        <w:tc>
          <w:tcPr>
            <w:tcW w:w="851" w:type="dxa"/>
            <w:tcBorders>
              <w:top w:val="nil"/>
              <w:left w:val="nil"/>
              <w:bottom w:val="single" w:sz="8" w:space="0" w:color="C0C0C0"/>
              <w:right w:val="single" w:sz="8" w:space="0" w:color="C0C0C0"/>
            </w:tcBorders>
            <w:shd w:val="clear" w:color="auto" w:fill="auto"/>
          </w:tcPr>
          <w:p w14:paraId="7F46211E"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66-14</w:t>
            </w:r>
          </w:p>
        </w:tc>
        <w:tc>
          <w:tcPr>
            <w:tcW w:w="1134" w:type="dxa"/>
            <w:tcBorders>
              <w:top w:val="nil"/>
              <w:left w:val="nil"/>
              <w:bottom w:val="single" w:sz="8" w:space="0" w:color="C0C0C0"/>
              <w:right w:val="single" w:sz="8" w:space="0" w:color="C0C0C0"/>
            </w:tcBorders>
            <w:shd w:val="clear" w:color="auto" w:fill="auto"/>
          </w:tcPr>
          <w:p w14:paraId="407174AF"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1</w:t>
            </w:r>
          </w:p>
        </w:tc>
        <w:tc>
          <w:tcPr>
            <w:tcW w:w="1134" w:type="dxa"/>
            <w:tcBorders>
              <w:top w:val="nil"/>
              <w:left w:val="nil"/>
              <w:bottom w:val="single" w:sz="8" w:space="0" w:color="C0C0C0"/>
              <w:right w:val="single" w:sz="8" w:space="0" w:color="C0C0C0"/>
            </w:tcBorders>
            <w:shd w:val="clear" w:color="auto" w:fill="auto"/>
          </w:tcPr>
          <w:p w14:paraId="5B962FEB"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0.9373</w:t>
            </w:r>
          </w:p>
        </w:tc>
        <w:tc>
          <w:tcPr>
            <w:tcW w:w="850" w:type="dxa"/>
            <w:tcBorders>
              <w:top w:val="nil"/>
              <w:left w:val="nil"/>
              <w:bottom w:val="single" w:sz="8" w:space="0" w:color="C0C0C0"/>
              <w:right w:val="single" w:sz="8" w:space="0" w:color="C0C0C0"/>
            </w:tcBorders>
            <w:shd w:val="clear" w:color="auto" w:fill="auto"/>
          </w:tcPr>
          <w:p w14:paraId="2BB93C1D"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4968</w:t>
            </w:r>
          </w:p>
        </w:tc>
        <w:tc>
          <w:tcPr>
            <w:tcW w:w="763" w:type="dxa"/>
            <w:tcBorders>
              <w:top w:val="nil"/>
              <w:left w:val="nil"/>
              <w:bottom w:val="single" w:sz="8" w:space="0" w:color="C0C0C0"/>
              <w:right w:val="single" w:sz="8" w:space="0" w:color="C0C0C0"/>
            </w:tcBorders>
            <w:shd w:val="clear" w:color="auto" w:fill="auto"/>
          </w:tcPr>
          <w:p w14:paraId="7C43F408" w14:textId="77777777" w:rsidR="00C96521" w:rsidRPr="00C96521" w:rsidRDefault="00C96521" w:rsidP="00C96521">
            <w:pPr>
              <w:widowControl/>
              <w:autoSpaceDE/>
              <w:autoSpaceDN/>
              <w:adjustRightInd/>
              <w:spacing w:line="276" w:lineRule="auto"/>
              <w:rPr>
                <w:rFonts w:eastAsia="MS Mincho" w:cs="Arial"/>
                <w:sz w:val="16"/>
                <w:szCs w:val="16"/>
                <w:lang w:val="en-GB" w:eastAsia="ja-JP"/>
              </w:rPr>
            </w:pPr>
            <w:r w:rsidRPr="00C96521">
              <w:rPr>
                <w:rFonts w:eastAsia="MS Mincho" w:cs="Arial"/>
                <w:sz w:val="16"/>
                <w:szCs w:val="16"/>
                <w:lang w:val="en-GB" w:eastAsia="ja-JP"/>
              </w:rPr>
              <w:t>4968</w:t>
            </w:r>
          </w:p>
        </w:tc>
      </w:tr>
    </w:tbl>
    <w:p w14:paraId="51AF1156" w14:textId="77777777" w:rsidR="00C96521" w:rsidRPr="00C96521" w:rsidRDefault="00C96521" w:rsidP="00C96521">
      <w:pPr>
        <w:widowControl/>
        <w:autoSpaceDE/>
        <w:autoSpaceDN/>
        <w:adjustRightInd/>
        <w:spacing w:line="276" w:lineRule="auto"/>
        <w:ind w:left="360" w:hanging="360"/>
        <w:rPr>
          <w:rFonts w:eastAsia="MS Mincho" w:cs="Arial"/>
          <w:i/>
          <w:sz w:val="16"/>
          <w:szCs w:val="16"/>
          <w:lang w:val="en-GB" w:eastAsia="ja-JP"/>
        </w:rPr>
      </w:pPr>
      <w:r w:rsidRPr="00C96521">
        <w:rPr>
          <w:rFonts w:eastAsia="MS Mincho" w:cs="Arial"/>
          <w:i/>
          <w:sz w:val="16"/>
          <w:szCs w:val="16"/>
          <w:lang w:val="en-GB" w:eastAsia="ja-JP"/>
        </w:rPr>
        <w:t>(1) the median year within the period over which the population size was estimated</w:t>
      </w:r>
    </w:p>
    <w:p w14:paraId="4438F77E" w14:textId="77777777" w:rsidR="00C96521" w:rsidRPr="00C96521" w:rsidRDefault="00C96521" w:rsidP="00C96521">
      <w:pPr>
        <w:widowControl/>
        <w:autoSpaceDE/>
        <w:autoSpaceDN/>
        <w:adjustRightInd/>
        <w:spacing w:line="276" w:lineRule="auto"/>
        <w:ind w:left="360" w:hanging="360"/>
        <w:rPr>
          <w:rFonts w:eastAsia="MS Mincho" w:cs="Arial"/>
          <w:i/>
          <w:sz w:val="16"/>
          <w:szCs w:val="16"/>
          <w:lang w:val="en-GB" w:eastAsia="ja-JP"/>
        </w:rPr>
      </w:pPr>
      <w:r w:rsidRPr="00C96521">
        <w:rPr>
          <w:rFonts w:eastAsia="MS Mincho" w:cs="Arial"/>
          <w:i/>
          <w:sz w:val="16"/>
          <w:szCs w:val="16"/>
          <w:lang w:val="en-GB" w:eastAsia="ja-JP"/>
        </w:rPr>
        <w:t>(2) as given in Figures 12 to 14</w:t>
      </w:r>
    </w:p>
    <w:p w14:paraId="587B8226" w14:textId="77777777" w:rsidR="00C96521" w:rsidRPr="00C96521" w:rsidRDefault="00C96521" w:rsidP="00C96521">
      <w:pPr>
        <w:widowControl/>
        <w:autoSpaceDE/>
        <w:autoSpaceDN/>
        <w:adjustRightInd/>
        <w:spacing w:line="276" w:lineRule="auto"/>
        <w:ind w:left="360" w:hanging="360"/>
        <w:rPr>
          <w:rFonts w:eastAsia="MS Mincho" w:cs="Arial"/>
          <w:i/>
          <w:sz w:val="16"/>
          <w:szCs w:val="16"/>
          <w:lang w:val="en-GB" w:eastAsia="ja-JP"/>
        </w:rPr>
      </w:pPr>
      <w:r w:rsidRPr="00C96521">
        <w:rPr>
          <w:rFonts w:eastAsia="MS Mincho" w:cs="Arial"/>
          <w:i/>
          <w:sz w:val="16"/>
          <w:szCs w:val="16"/>
          <w:lang w:val="en-GB" w:eastAsia="ja-JP"/>
        </w:rPr>
        <w:t>(3) period over which the slope was calculated (given in legends of Figures 12 to 14)</w:t>
      </w:r>
    </w:p>
    <w:p w14:paraId="153CE2CB" w14:textId="77777777" w:rsidR="00C96521" w:rsidRPr="00C96521" w:rsidRDefault="00C96521" w:rsidP="00C96521">
      <w:pPr>
        <w:widowControl/>
        <w:autoSpaceDE/>
        <w:autoSpaceDN/>
        <w:adjustRightInd/>
        <w:spacing w:line="276" w:lineRule="auto"/>
        <w:ind w:left="360" w:hanging="360"/>
        <w:rPr>
          <w:rFonts w:eastAsia="MS Mincho" w:cs="Arial"/>
          <w:i/>
          <w:sz w:val="16"/>
          <w:szCs w:val="16"/>
          <w:lang w:val="en-GB" w:eastAsia="ja-JP"/>
        </w:rPr>
      </w:pPr>
      <w:r w:rsidRPr="00C96521">
        <w:rPr>
          <w:rFonts w:eastAsia="MS Mincho" w:cs="Arial"/>
          <w:i/>
          <w:sz w:val="16"/>
          <w:szCs w:val="16"/>
          <w:lang w:val="en-GB" w:eastAsia="ja-JP"/>
        </w:rPr>
        <w:t>(4) time elapsed (in years) between median year and 2016</w:t>
      </w:r>
    </w:p>
    <w:p w14:paraId="5BD54A4E" w14:textId="77777777" w:rsidR="00C96521" w:rsidRPr="00C96521" w:rsidRDefault="00C96521" w:rsidP="00C96521">
      <w:pPr>
        <w:widowControl/>
        <w:autoSpaceDE/>
        <w:autoSpaceDN/>
        <w:adjustRightInd/>
        <w:spacing w:line="276" w:lineRule="auto"/>
        <w:ind w:left="360" w:rightChars="-45" w:right="-81" w:hanging="360"/>
        <w:rPr>
          <w:rFonts w:eastAsia="MS Mincho" w:cs="Arial"/>
          <w:i/>
          <w:sz w:val="16"/>
          <w:szCs w:val="16"/>
          <w:vertAlign w:val="superscript"/>
          <w:lang w:val="en-GB" w:eastAsia="ja-JP"/>
        </w:rPr>
      </w:pPr>
      <w:r w:rsidRPr="00C96521">
        <w:rPr>
          <w:rFonts w:eastAsia="MS Mincho" w:cs="Arial"/>
          <w:i/>
          <w:sz w:val="16"/>
          <w:szCs w:val="16"/>
          <w:lang w:val="en-GB" w:eastAsia="ja-JP"/>
        </w:rPr>
        <w:t>(5) rate of change in population size during the period of concern, calculated as: multiplicative slope</w:t>
      </w:r>
      <w:r w:rsidRPr="00C96521">
        <w:rPr>
          <w:rFonts w:eastAsia="MS Mincho" w:cs="Arial"/>
          <w:i/>
          <w:sz w:val="16"/>
          <w:szCs w:val="16"/>
          <w:vertAlign w:val="superscript"/>
          <w:lang w:val="en-GB" w:eastAsia="ja-JP"/>
        </w:rPr>
        <w:t>[number of years elapsed]</w:t>
      </w:r>
    </w:p>
    <w:p w14:paraId="209073E5" w14:textId="77777777" w:rsidR="00C96521" w:rsidRPr="00C96521" w:rsidRDefault="00C96521" w:rsidP="00C96521">
      <w:pPr>
        <w:widowControl/>
        <w:autoSpaceDE/>
        <w:autoSpaceDN/>
        <w:adjustRightInd/>
        <w:spacing w:line="276" w:lineRule="auto"/>
        <w:ind w:left="360" w:hanging="360"/>
        <w:rPr>
          <w:rFonts w:eastAsia="MS Mincho" w:cs="Arial"/>
          <w:i/>
          <w:sz w:val="16"/>
          <w:szCs w:val="16"/>
          <w:lang w:val="en-GB" w:eastAsia="ja-JP"/>
        </w:rPr>
      </w:pPr>
      <w:r w:rsidRPr="00C96521">
        <w:rPr>
          <w:rFonts w:eastAsia="MS Mincho" w:cs="Arial"/>
          <w:i/>
          <w:sz w:val="16"/>
          <w:szCs w:val="16"/>
          <w:lang w:val="en-GB" w:eastAsia="ja-JP"/>
        </w:rPr>
        <w:t xml:space="preserve">(6) population size in 2016, calculated as: initial population size </w:t>
      </w:r>
      <w:r w:rsidRPr="00C96521">
        <w:rPr>
          <w:rFonts w:eastAsia="MS Mincho" w:cs="Arial"/>
          <w:i/>
          <w:sz w:val="16"/>
          <w:szCs w:val="16"/>
          <w:lang w:val="en-GB" w:eastAsia="ja-JP"/>
        </w:rPr>
        <w:sym w:font="Symbol" w:char="F0B4"/>
      </w:r>
      <w:r w:rsidRPr="00C96521">
        <w:rPr>
          <w:rFonts w:eastAsia="MS Mincho" w:cs="Arial"/>
          <w:i/>
          <w:sz w:val="16"/>
          <w:szCs w:val="16"/>
          <w:lang w:val="en-GB" w:eastAsia="ja-JP"/>
        </w:rPr>
        <w:t xml:space="preserve"> rate of change</w:t>
      </w:r>
    </w:p>
    <w:p w14:paraId="60BADEB2"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7BFE4FF1"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xml:space="preserve">Some publications (Escandell 2011, Spina and Volponi 2008) present recovery maps in which it appears that some birds ringed in islands located east of Spain (for example, the Balearic Islands and Colombretes) are recovered in Italy during spring migration, and some birds ringed in Italy are recovered in western Europe (France, Spain, Portugal), although it is not known if ringing occurred during the breeding period and/or during migration. These observations suggest that at least a part of the Italian population may use the western flyway during both spring and autumn migrations, so making those birds available for hunting on the western flyway. </w:t>
      </w:r>
    </w:p>
    <w:p w14:paraId="664DC55D"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50996184" w14:textId="0CF50B19"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In a second scenario, Italy was partly included by adding the area located north of a line from La Spezia to Bologna (alpine chain excluded), as most of the recoveries located in western Europe of doves ringed in Italy were from this area. No data are available to on the percentage of the Italian turtle-dove breeding population in this region. As it accounts for 21</w:t>
      </w:r>
      <w:r w:rsidR="007910C0">
        <w:rPr>
          <w:rFonts w:eastAsia="MS Mincho" w:cs="Arial"/>
          <w:sz w:val="20"/>
          <w:szCs w:val="20"/>
          <w:lang w:val="en-GB" w:eastAsia="ja-JP"/>
        </w:rPr>
        <w:t xml:space="preserve"> per cent</w:t>
      </w:r>
      <w:r w:rsidR="007910C0" w:rsidRPr="00C96521">
        <w:rPr>
          <w:rFonts w:eastAsia="MS Mincho" w:cs="Arial"/>
          <w:sz w:val="20"/>
          <w:szCs w:val="20"/>
          <w:lang w:val="en-GB" w:eastAsia="ja-JP"/>
        </w:rPr>
        <w:t xml:space="preserve"> </w:t>
      </w:r>
      <w:r w:rsidRPr="00C96521">
        <w:rPr>
          <w:rFonts w:eastAsia="MS Mincho" w:cs="Arial"/>
          <w:sz w:val="20"/>
          <w:szCs w:val="20"/>
          <w:lang w:val="en-GB" w:eastAsia="ja-JP"/>
        </w:rPr>
        <w:t>of the national area, this same ratio was used.</w:t>
      </w:r>
    </w:p>
    <w:p w14:paraId="273EF1E7"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34D2E271" w14:textId="3CD0C770"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Based on the Migration Atlas Spina and Volponi (2008), a hypothesis was used that among all birds ringed and recovered in Italy, those recovered in the northern part of the country were more likely to contribute to the hunting bag associated with the western flyway. Using this hypothesis, and as the vast majority of recoveries in Italy are obtained through hunting, a rough calculation based on the map showing national recoveries showed 19 recoveries out of 102 above the Spezia-Bologna line, leading to an estimate of 18.6</w:t>
      </w:r>
      <w:r w:rsidR="007910C0">
        <w:rPr>
          <w:rFonts w:eastAsia="MS Mincho" w:cs="Arial"/>
          <w:sz w:val="20"/>
          <w:szCs w:val="20"/>
          <w:lang w:val="en-GB" w:eastAsia="ja-JP"/>
        </w:rPr>
        <w:t xml:space="preserve"> per cent</w:t>
      </w:r>
      <w:r w:rsidR="007910C0" w:rsidRPr="00C96521">
        <w:rPr>
          <w:rFonts w:eastAsia="MS Mincho" w:cs="Arial"/>
          <w:sz w:val="20"/>
          <w:szCs w:val="20"/>
          <w:lang w:val="en-GB" w:eastAsia="ja-JP"/>
        </w:rPr>
        <w:t xml:space="preserve"> </w:t>
      </w:r>
      <w:r w:rsidRPr="00C96521">
        <w:rPr>
          <w:rFonts w:eastAsia="MS Mincho" w:cs="Arial"/>
          <w:sz w:val="20"/>
          <w:szCs w:val="20"/>
          <w:lang w:val="en-GB" w:eastAsia="ja-JP"/>
        </w:rPr>
        <w:t xml:space="preserve">of the national hunting bag. </w:t>
      </w:r>
    </w:p>
    <w:p w14:paraId="1945D362"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26CB1146" w14:textId="77777777" w:rsidR="00C96521" w:rsidRPr="00C96521" w:rsidRDefault="00C96521" w:rsidP="00C96521">
      <w:pPr>
        <w:widowControl/>
        <w:autoSpaceDE/>
        <w:autoSpaceDN/>
        <w:adjustRightInd/>
        <w:spacing w:line="276" w:lineRule="auto"/>
        <w:rPr>
          <w:rFonts w:eastAsia="MS Mincho" w:cs="Arial"/>
          <w:b/>
          <w:sz w:val="20"/>
          <w:szCs w:val="20"/>
          <w:lang w:val="en-GB" w:eastAsia="ja-JP"/>
        </w:rPr>
      </w:pPr>
      <w:r w:rsidRPr="00C96521">
        <w:rPr>
          <w:rFonts w:eastAsia="MS Mincho" w:cs="Arial"/>
          <w:b/>
          <w:sz w:val="20"/>
          <w:szCs w:val="20"/>
          <w:lang w:val="en-GB" w:eastAsia="ja-JP"/>
        </w:rPr>
        <w:t>Method</w:t>
      </w:r>
    </w:p>
    <w:p w14:paraId="57626685"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7503F014"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The aim was to estimate the maximum harvestable population allowed by population growth.</w:t>
      </w:r>
    </w:p>
    <w:p w14:paraId="331E2175"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25F65874" w14:textId="77777777" w:rsidR="00C96521" w:rsidRPr="00C96521" w:rsidRDefault="00C96521" w:rsidP="00C96521">
      <w:pPr>
        <w:widowControl/>
        <w:autoSpaceDE/>
        <w:autoSpaceDN/>
        <w:adjustRightInd/>
        <w:spacing w:line="276" w:lineRule="auto"/>
        <w:rPr>
          <w:rFonts w:eastAsia="MS Mincho"/>
          <w:b/>
          <w:sz w:val="20"/>
          <w:szCs w:val="22"/>
          <w:lang w:val="en-GB" w:eastAsia="ja-JP"/>
        </w:rPr>
      </w:pPr>
      <w:r w:rsidRPr="00C96521">
        <w:rPr>
          <w:rFonts w:eastAsia="MS Mincho" w:cs="Arial"/>
          <w:sz w:val="20"/>
          <w:szCs w:val="20"/>
          <w:lang w:val="en-GB" w:eastAsia="ja-JP"/>
        </w:rPr>
        <w:t xml:space="preserve">It can be estimated as: </w:t>
      </w:r>
      <w:r w:rsidRPr="00C96521">
        <w:rPr>
          <w:rFonts w:eastAsia="MS Mincho"/>
          <w:b/>
          <w:sz w:val="20"/>
          <w:szCs w:val="22"/>
          <w:lang w:val="en-GB" w:eastAsia="ja-JP"/>
        </w:rPr>
        <w:t>P = Nb(λ</w:t>
      </w:r>
      <w:r w:rsidRPr="00C96521">
        <w:rPr>
          <w:rFonts w:eastAsia="MS Mincho"/>
          <w:b/>
          <w:sz w:val="20"/>
          <w:szCs w:val="22"/>
          <w:vertAlign w:val="subscript"/>
          <w:lang w:val="en-GB" w:eastAsia="ja-JP"/>
        </w:rPr>
        <w:t>max</w:t>
      </w:r>
      <w:r w:rsidRPr="00C96521">
        <w:rPr>
          <w:rFonts w:eastAsia="MS Mincho"/>
          <w:b/>
          <w:sz w:val="20"/>
          <w:szCs w:val="22"/>
          <w:lang w:val="en-GB" w:eastAsia="ja-JP"/>
        </w:rPr>
        <w:t xml:space="preserve"> – 1) </w:t>
      </w:r>
    </w:p>
    <w:p w14:paraId="76AC1089"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42035307"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b/>
          <w:sz w:val="20"/>
          <w:szCs w:val="20"/>
          <w:lang w:val="en-GB" w:eastAsia="ja-JP"/>
        </w:rPr>
        <w:t>P</w:t>
      </w:r>
      <w:r w:rsidRPr="00C96521">
        <w:rPr>
          <w:rFonts w:eastAsia="MS Mincho" w:cs="Arial"/>
          <w:sz w:val="20"/>
          <w:szCs w:val="20"/>
          <w:lang w:val="en-GB" w:eastAsia="ja-JP"/>
        </w:rPr>
        <w:t xml:space="preserve"> - potential maximum harvestable population fraction</w:t>
      </w:r>
    </w:p>
    <w:p w14:paraId="149505BE"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340A0777" w14:textId="4A69549F"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b/>
          <w:sz w:val="20"/>
          <w:szCs w:val="20"/>
          <w:lang w:val="en-GB" w:eastAsia="ja-JP"/>
        </w:rPr>
        <w:t>N</w:t>
      </w:r>
      <w:r w:rsidRPr="00C96521">
        <w:rPr>
          <w:rFonts w:eastAsia="MS Mincho" w:cs="Arial"/>
          <w:sz w:val="20"/>
          <w:szCs w:val="20"/>
          <w:lang w:val="en-GB" w:eastAsia="ja-JP"/>
        </w:rPr>
        <w:t xml:space="preserve"> - total population size, before the hunting season starts. Total population size includes adults and juveniles produced in the relevant year. To estimate the 2016 adult population size, the most recent estimates available for </w:t>
      </w:r>
      <w:r w:rsidR="007910C0">
        <w:rPr>
          <w:rFonts w:eastAsia="MS Mincho" w:cs="Arial"/>
          <w:sz w:val="20"/>
          <w:szCs w:val="20"/>
          <w:lang w:val="en-GB" w:eastAsia="ja-JP"/>
        </w:rPr>
        <w:t>T</w:t>
      </w:r>
      <w:r w:rsidRPr="00C96521">
        <w:rPr>
          <w:rFonts w:eastAsia="MS Mincho" w:cs="Arial"/>
          <w:sz w:val="20"/>
          <w:szCs w:val="20"/>
          <w:lang w:val="en-GB" w:eastAsia="ja-JP"/>
        </w:rPr>
        <w:t xml:space="preserve">urtle </w:t>
      </w:r>
      <w:r w:rsidR="007910C0">
        <w:rPr>
          <w:rFonts w:eastAsia="MS Mincho" w:cs="Arial"/>
          <w:sz w:val="20"/>
          <w:szCs w:val="20"/>
          <w:lang w:val="en-GB" w:eastAsia="ja-JP"/>
        </w:rPr>
        <w:t>D</w:t>
      </w:r>
      <w:r w:rsidR="007910C0" w:rsidRPr="00C96521">
        <w:rPr>
          <w:rFonts w:eastAsia="MS Mincho" w:cs="Arial"/>
          <w:sz w:val="20"/>
          <w:szCs w:val="20"/>
          <w:lang w:val="en-GB" w:eastAsia="ja-JP"/>
        </w:rPr>
        <w:t xml:space="preserve">ove </w:t>
      </w:r>
      <w:r w:rsidRPr="00C96521">
        <w:rPr>
          <w:rFonts w:eastAsia="MS Mincho" w:cs="Arial"/>
          <w:sz w:val="20"/>
          <w:szCs w:val="20"/>
          <w:lang w:val="en-GB" w:eastAsia="ja-JP"/>
        </w:rPr>
        <w:t>population size in each of the countries were corrected by the yearly multiplicative trend slope. To estimate the juvenile population size, the breeding population (in pairs; all adults were considered to breed, which may not be the case) was multiplied by a productivity estimate (number of flying juveniles produced per pair per year). Two different estimates were used as lower and upper intervals: 1.3 (calculated in the 1990s in the UK by Browne and Aebischer 2004) and 2.71 (calculated in Spain by Fontoura and Dias 1995).</w:t>
      </w:r>
    </w:p>
    <w:p w14:paraId="7FCD37F8"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7EE919D4"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b/>
          <w:sz w:val="20"/>
          <w:szCs w:val="20"/>
          <w:lang w:val="en-GB" w:eastAsia="ja-JP"/>
        </w:rPr>
        <w:t>b</w:t>
      </w:r>
      <w:r w:rsidRPr="00C96521">
        <w:rPr>
          <w:rFonts w:eastAsia="MS Mincho" w:cs="Arial"/>
          <w:sz w:val="20"/>
          <w:szCs w:val="20"/>
          <w:lang w:val="en-GB" w:eastAsia="ja-JP"/>
        </w:rPr>
        <w:t xml:space="preserve"> - correction factor accounting for the effect of density on demographic performance. Initially, Wade (1998) recommended setting </w:t>
      </w:r>
      <w:r w:rsidRPr="00C96521">
        <w:rPr>
          <w:rFonts w:eastAsia="MS Mincho" w:cs="Arial"/>
          <w:b/>
          <w:sz w:val="20"/>
          <w:szCs w:val="20"/>
          <w:lang w:val="en-GB" w:eastAsia="ja-JP"/>
        </w:rPr>
        <w:t xml:space="preserve">b </w:t>
      </w:r>
      <w:r w:rsidRPr="00C96521">
        <w:rPr>
          <w:rFonts w:eastAsia="MS Mincho" w:cs="Arial"/>
          <w:sz w:val="20"/>
          <w:szCs w:val="20"/>
          <w:lang w:val="en-GB" w:eastAsia="ja-JP"/>
        </w:rPr>
        <w:t>at the default value of 0.5. However, more recently, Dillingham and Fletcher (2008) suggested that, without further information, it may be reasonable to use a value of 0.1 for threatened or endangered species (0.5 for Least Concern species). 0.1 is used in this model.</w:t>
      </w:r>
    </w:p>
    <w:p w14:paraId="4F90DA38"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03106818"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b/>
          <w:sz w:val="20"/>
          <w:szCs w:val="20"/>
          <w:lang w:val="en-GB" w:eastAsia="ja-JP"/>
        </w:rPr>
        <w:t>λ</w:t>
      </w:r>
      <w:r w:rsidRPr="00C96521">
        <w:rPr>
          <w:rFonts w:eastAsia="MS Mincho" w:cs="Arial"/>
          <w:b/>
          <w:sz w:val="20"/>
          <w:szCs w:val="20"/>
          <w:vertAlign w:val="subscript"/>
          <w:lang w:val="en-GB" w:eastAsia="ja-JP"/>
        </w:rPr>
        <w:t>max</w:t>
      </w:r>
      <w:r w:rsidRPr="00C96521">
        <w:rPr>
          <w:rFonts w:eastAsia="MS Mincho" w:cs="Arial"/>
          <w:sz w:val="20"/>
          <w:szCs w:val="20"/>
          <w:lang w:val="en-GB" w:eastAsia="ja-JP"/>
        </w:rPr>
        <w:t xml:space="preserve"> - maximal growth rate.</w:t>
      </w:r>
    </w:p>
    <w:p w14:paraId="27761AB7"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78EBA895"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03AF65A0"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b/>
          <w:sz w:val="20"/>
          <w:szCs w:val="20"/>
          <w:lang w:val="en-GB" w:eastAsia="ja-JP"/>
        </w:rPr>
        <w:t>λ</w:t>
      </w:r>
      <w:r w:rsidRPr="00C96521">
        <w:rPr>
          <w:rFonts w:eastAsia="MS Mincho" w:cs="Arial"/>
          <w:b/>
          <w:sz w:val="20"/>
          <w:szCs w:val="20"/>
          <w:vertAlign w:val="subscript"/>
          <w:lang w:val="en-GB" w:eastAsia="ja-JP"/>
        </w:rPr>
        <w:t>max</w:t>
      </w:r>
      <w:r w:rsidRPr="00C96521">
        <w:rPr>
          <w:rFonts w:eastAsia="MS Mincho" w:cs="Arial"/>
          <w:sz w:val="20"/>
          <w:szCs w:val="20"/>
          <w:lang w:val="en-GB" w:eastAsia="ja-JP"/>
        </w:rPr>
        <w:t xml:space="preserve"> is estimated following Niel and Lebreton (2005) by solving numerically:</w:t>
      </w:r>
    </w:p>
    <w:p w14:paraId="7ADA6A96"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2837F6ED" w14:textId="77777777" w:rsidR="00C96521" w:rsidRPr="00C96521" w:rsidRDefault="00C96521" w:rsidP="00C96521">
      <w:pPr>
        <w:widowControl/>
        <w:autoSpaceDE/>
        <w:autoSpaceDN/>
        <w:adjustRightInd/>
        <w:spacing w:line="276" w:lineRule="auto"/>
        <w:ind w:left="708" w:firstLine="708"/>
        <w:rPr>
          <w:rFonts w:eastAsia="MS Mincho"/>
          <w:b/>
          <w:sz w:val="20"/>
          <w:szCs w:val="22"/>
          <w:lang w:val="en-GB" w:eastAsia="ja-JP"/>
        </w:rPr>
      </w:pPr>
      <w:r w:rsidRPr="00C96521">
        <w:rPr>
          <w:rFonts w:eastAsia="MS Mincho"/>
          <w:b/>
          <w:sz w:val="20"/>
          <w:szCs w:val="22"/>
          <w:lang w:val="en-GB" w:eastAsia="ja-JP"/>
        </w:rPr>
        <w:t>λ</w:t>
      </w:r>
      <w:r w:rsidRPr="00C96521">
        <w:rPr>
          <w:rFonts w:eastAsia="MS Mincho"/>
          <w:b/>
          <w:sz w:val="20"/>
          <w:szCs w:val="22"/>
          <w:vertAlign w:val="subscript"/>
          <w:lang w:val="en-GB" w:eastAsia="ja-JP"/>
        </w:rPr>
        <w:t>max</w:t>
      </w:r>
      <w:r w:rsidRPr="00C96521">
        <w:rPr>
          <w:rFonts w:eastAsia="MS Mincho"/>
          <w:b/>
          <w:sz w:val="20"/>
          <w:szCs w:val="22"/>
          <w:lang w:val="en-GB" w:eastAsia="ja-JP"/>
        </w:rPr>
        <w:t xml:space="preserve"> = exp([a + So/( λ</w:t>
      </w:r>
      <w:r w:rsidRPr="00C96521">
        <w:rPr>
          <w:rFonts w:eastAsia="MS Mincho"/>
          <w:b/>
          <w:sz w:val="20"/>
          <w:szCs w:val="22"/>
          <w:vertAlign w:val="subscript"/>
          <w:lang w:val="en-GB" w:eastAsia="ja-JP"/>
        </w:rPr>
        <w:t>max</w:t>
      </w:r>
      <w:r w:rsidRPr="00C96521">
        <w:rPr>
          <w:rFonts w:eastAsia="MS Mincho"/>
          <w:b/>
          <w:sz w:val="20"/>
          <w:szCs w:val="22"/>
          <w:lang w:val="en-GB" w:eastAsia="ja-JP"/>
        </w:rPr>
        <w:t>- So)]</w:t>
      </w:r>
      <w:r w:rsidRPr="00C96521">
        <w:rPr>
          <w:rFonts w:eastAsia="MS Mincho"/>
          <w:b/>
          <w:sz w:val="20"/>
          <w:szCs w:val="22"/>
          <w:vertAlign w:val="superscript"/>
          <w:lang w:val="en-GB" w:eastAsia="ja-JP"/>
        </w:rPr>
        <w:t>-1</w:t>
      </w:r>
      <w:r w:rsidRPr="00C96521">
        <w:rPr>
          <w:rFonts w:eastAsia="MS Mincho"/>
          <w:b/>
          <w:sz w:val="20"/>
          <w:szCs w:val="22"/>
          <w:lang w:val="en-GB" w:eastAsia="ja-JP"/>
        </w:rPr>
        <w:t>)</w:t>
      </w:r>
    </w:p>
    <w:p w14:paraId="0608B473" w14:textId="77777777" w:rsidR="00C96521" w:rsidRPr="00C96521" w:rsidRDefault="00C96521" w:rsidP="00C96521">
      <w:pPr>
        <w:widowControl/>
        <w:autoSpaceDE/>
        <w:autoSpaceDN/>
        <w:adjustRightInd/>
        <w:spacing w:line="276" w:lineRule="auto"/>
        <w:ind w:left="708" w:firstLine="708"/>
        <w:rPr>
          <w:rFonts w:eastAsia="MS Mincho"/>
          <w:sz w:val="20"/>
          <w:szCs w:val="22"/>
          <w:lang w:val="en-GB" w:eastAsia="ja-JP"/>
        </w:rPr>
      </w:pPr>
    </w:p>
    <w:p w14:paraId="16FF44CB" w14:textId="09340A9A"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b/>
          <w:sz w:val="20"/>
          <w:szCs w:val="20"/>
          <w:lang w:val="en-GB" w:eastAsia="ja-JP"/>
        </w:rPr>
        <w:t>a</w:t>
      </w:r>
      <w:r w:rsidRPr="00C96521">
        <w:rPr>
          <w:rFonts w:eastAsia="MS Mincho" w:cs="Arial"/>
          <w:sz w:val="20"/>
          <w:szCs w:val="20"/>
          <w:lang w:val="en-GB" w:eastAsia="ja-JP"/>
        </w:rPr>
        <w:t xml:space="preserve"> - average age at first reproduction. In the absence of published data, it was considered that 100</w:t>
      </w:r>
      <w:r w:rsidR="007910C0">
        <w:rPr>
          <w:rFonts w:eastAsia="MS Mincho" w:cs="Arial"/>
          <w:sz w:val="20"/>
          <w:szCs w:val="20"/>
          <w:lang w:val="en-GB" w:eastAsia="ja-JP"/>
        </w:rPr>
        <w:t xml:space="preserve"> per cent</w:t>
      </w:r>
      <w:r w:rsidR="007910C0" w:rsidRPr="00C96521">
        <w:rPr>
          <w:rFonts w:eastAsia="MS Mincho" w:cs="Arial"/>
          <w:sz w:val="20"/>
          <w:szCs w:val="20"/>
          <w:lang w:val="en-GB" w:eastAsia="ja-JP"/>
        </w:rPr>
        <w:t xml:space="preserve"> </w:t>
      </w:r>
      <w:r w:rsidRPr="00C96521">
        <w:rPr>
          <w:rFonts w:eastAsia="MS Mincho" w:cs="Arial"/>
          <w:sz w:val="20"/>
          <w:szCs w:val="20"/>
          <w:lang w:val="en-GB" w:eastAsia="ja-JP"/>
        </w:rPr>
        <w:t xml:space="preserve">of birds first breed at one year. </w:t>
      </w:r>
    </w:p>
    <w:p w14:paraId="59FEEF3E"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242D1303"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b/>
          <w:sz w:val="20"/>
          <w:szCs w:val="20"/>
          <w:lang w:val="en-GB" w:eastAsia="ja-JP"/>
        </w:rPr>
        <w:t>So</w:t>
      </w:r>
      <w:r w:rsidRPr="00C96521">
        <w:rPr>
          <w:rFonts w:eastAsia="MS Mincho" w:cs="Arial"/>
          <w:sz w:val="20"/>
          <w:szCs w:val="20"/>
          <w:lang w:val="en-GB" w:eastAsia="ja-JP"/>
        </w:rPr>
        <w:t xml:space="preserve"> - adult survival rate. Estimates of survival rates are available for France and the UK.</w:t>
      </w:r>
    </w:p>
    <w:p w14:paraId="703F2CBC"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42A40F8C"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xml:space="preserve">For France, apparent adult survival rates came from a study at the CMR station located on Oléron Island (France, south-west) and monitored since 1998. The model accounted for transience effect on survival (due to permanent emigration), considering a distinct survival rate for transient and resident individuals. Both these survival rates could vary between year but recapture probability </w:t>
      </w:r>
      <w:r w:rsidRPr="00C96521">
        <w:rPr>
          <w:rFonts w:eastAsia="MS Mincho" w:cs="Arial"/>
          <w:b/>
          <w:sz w:val="20"/>
          <w:szCs w:val="20"/>
          <w:lang w:val="en-GB" w:eastAsia="ja-JP"/>
        </w:rPr>
        <w:t>p</w:t>
      </w:r>
      <w:r w:rsidRPr="00C96521">
        <w:rPr>
          <w:rFonts w:eastAsia="MS Mincho" w:cs="Arial"/>
          <w:sz w:val="20"/>
          <w:szCs w:val="20"/>
          <w:lang w:val="en-GB" w:eastAsia="ja-JP"/>
        </w:rPr>
        <w:t xml:space="preserve"> held constant (model</w:t>
      </w:r>
      <w:r w:rsidRPr="00C96521">
        <w:rPr>
          <w:rFonts w:eastAsia="MS Mincho" w:cs="Arial"/>
          <w:b/>
          <w:sz w:val="20"/>
          <w:szCs w:val="20"/>
          <w:lang w:val="en-GB" w:eastAsia="ja-JP"/>
        </w:rPr>
        <w:t xml:space="preserve"> ϕtp</w:t>
      </w:r>
      <w:r w:rsidRPr="00C96521">
        <w:rPr>
          <w:rFonts w:eastAsia="MS Mincho" w:cs="Arial"/>
          <w:sz w:val="20"/>
          <w:szCs w:val="20"/>
          <w:lang w:val="en-GB" w:eastAsia="ja-JP"/>
        </w:rPr>
        <w:t xml:space="preserve">). An average value of </w:t>
      </w:r>
      <w:r w:rsidRPr="00C96521">
        <w:rPr>
          <w:rFonts w:eastAsia="MS Mincho" w:cs="Arial"/>
          <w:b/>
          <w:sz w:val="20"/>
          <w:szCs w:val="20"/>
          <w:lang w:val="en-GB" w:eastAsia="ja-JP"/>
        </w:rPr>
        <w:t>So</w:t>
      </w:r>
      <w:r w:rsidRPr="00C96521">
        <w:rPr>
          <w:rFonts w:eastAsia="MS Mincho" w:cs="Arial"/>
          <w:sz w:val="20"/>
          <w:szCs w:val="20"/>
          <w:lang w:val="en-GB" w:eastAsia="ja-JP"/>
        </w:rPr>
        <w:t xml:space="preserve"> for resident individuals was used with Mark software (“Output/Specific model output/Variance components/Real parameter estimates”), set to </w:t>
      </w:r>
      <w:r w:rsidRPr="00C96521">
        <w:rPr>
          <w:rFonts w:eastAsia="MS Mincho" w:cs="Arial"/>
          <w:b/>
          <w:sz w:val="20"/>
          <w:szCs w:val="20"/>
          <w:lang w:val="en-GB" w:eastAsia="ja-JP"/>
        </w:rPr>
        <w:t>So</w:t>
      </w:r>
      <w:r w:rsidRPr="00C96521">
        <w:rPr>
          <w:rFonts w:eastAsia="MS Mincho" w:cs="Arial"/>
          <w:sz w:val="20"/>
          <w:szCs w:val="20"/>
          <w:lang w:val="en-GB" w:eastAsia="ja-JP"/>
        </w:rPr>
        <w:t xml:space="preserve"> = 0.593.</w:t>
      </w:r>
    </w:p>
    <w:p w14:paraId="2AF55364"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208CDB87"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xml:space="preserve">As apparent survival rate is likely to underestimates true survival, an alternative approach was also applied by using the averaged upper 95% interval confidence of resident survival rates obtained through the same model (from 1998 to 2016). From this, </w:t>
      </w:r>
      <w:r w:rsidRPr="00C96521">
        <w:rPr>
          <w:rFonts w:eastAsia="MS Mincho" w:cs="Arial"/>
          <w:b/>
          <w:sz w:val="20"/>
          <w:szCs w:val="20"/>
          <w:lang w:val="en-GB" w:eastAsia="ja-JP"/>
        </w:rPr>
        <w:t>So</w:t>
      </w:r>
      <w:r w:rsidRPr="00C96521">
        <w:rPr>
          <w:rFonts w:eastAsia="MS Mincho" w:cs="Arial"/>
          <w:sz w:val="20"/>
          <w:szCs w:val="20"/>
          <w:lang w:val="en-GB" w:eastAsia="ja-JP"/>
        </w:rPr>
        <w:t xml:space="preserve"> = 0.748. </w:t>
      </w:r>
    </w:p>
    <w:p w14:paraId="56CE865C"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4C0559BA"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xml:space="preserve">For UK, survival estimates found in Siriwardena </w:t>
      </w:r>
      <w:r w:rsidRPr="00C96521">
        <w:rPr>
          <w:rFonts w:eastAsia="MS Mincho" w:cs="Arial"/>
          <w:i/>
          <w:sz w:val="20"/>
          <w:szCs w:val="20"/>
          <w:lang w:val="en-GB" w:eastAsia="ja-JP"/>
        </w:rPr>
        <w:t>et al</w:t>
      </w:r>
      <w:r w:rsidRPr="00C96521">
        <w:rPr>
          <w:rFonts w:eastAsia="MS Mincho" w:cs="Arial"/>
          <w:sz w:val="20"/>
          <w:szCs w:val="20"/>
          <w:lang w:val="en-GB" w:eastAsia="ja-JP"/>
        </w:rPr>
        <w:t xml:space="preserve"> (1999) were used, obtained through ring recoveries data (and so being a more realistic representation of true survival rate). Two adult survival rates were given, one when the population was considered as stable, </w:t>
      </w:r>
      <w:r w:rsidRPr="00C96521">
        <w:rPr>
          <w:rFonts w:eastAsia="MS Mincho" w:cs="Arial"/>
          <w:b/>
          <w:sz w:val="20"/>
          <w:szCs w:val="20"/>
          <w:lang w:val="en-GB" w:eastAsia="ja-JP"/>
        </w:rPr>
        <w:t>So</w:t>
      </w:r>
      <w:r w:rsidRPr="00C96521">
        <w:rPr>
          <w:rFonts w:eastAsia="MS Mincho" w:cs="Arial"/>
          <w:sz w:val="20"/>
          <w:szCs w:val="20"/>
          <w:lang w:val="en-GB" w:eastAsia="ja-JP"/>
        </w:rPr>
        <w:t xml:space="preserve"> = 0.623, and one when the population was declining, and set to 52.5%. As an intermediate approach compared to France, I used the value of </w:t>
      </w:r>
      <w:r w:rsidRPr="00C96521">
        <w:rPr>
          <w:rFonts w:eastAsia="MS Mincho" w:cs="Arial"/>
          <w:b/>
          <w:sz w:val="20"/>
          <w:szCs w:val="20"/>
          <w:lang w:val="en-GB" w:eastAsia="ja-JP"/>
        </w:rPr>
        <w:t xml:space="preserve">So </w:t>
      </w:r>
      <w:r w:rsidRPr="00C96521">
        <w:rPr>
          <w:rFonts w:eastAsia="MS Mincho" w:cs="Arial"/>
          <w:sz w:val="20"/>
          <w:szCs w:val="20"/>
          <w:lang w:val="en-GB" w:eastAsia="ja-JP"/>
        </w:rPr>
        <w:t>= 0.623.</w:t>
      </w:r>
    </w:p>
    <w:p w14:paraId="04501A67"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10118F21" w14:textId="75E57EEF"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xml:space="preserve">The potential maximum harvestable population fraction (P) according to different group of hypotheses were estimated. In the first group of scenarios, Italy was not included, while in a second group, data were included as previously described. In each group, productivity and adult survival could have different values. There were </w:t>
      </w:r>
      <w:r w:rsidR="007910C0">
        <w:rPr>
          <w:rFonts w:eastAsia="MS Mincho" w:cs="Arial"/>
          <w:sz w:val="20"/>
          <w:szCs w:val="20"/>
          <w:lang w:val="en-GB" w:eastAsia="ja-JP"/>
        </w:rPr>
        <w:t>six</w:t>
      </w:r>
      <w:r w:rsidR="007910C0" w:rsidRPr="00C96521">
        <w:rPr>
          <w:rFonts w:eastAsia="MS Mincho" w:cs="Arial"/>
          <w:sz w:val="20"/>
          <w:szCs w:val="20"/>
          <w:lang w:val="en-GB" w:eastAsia="ja-JP"/>
        </w:rPr>
        <w:t xml:space="preserve"> </w:t>
      </w:r>
      <w:r w:rsidRPr="00C96521">
        <w:rPr>
          <w:rFonts w:eastAsia="MS Mincho" w:cs="Arial"/>
          <w:sz w:val="20"/>
          <w:szCs w:val="20"/>
          <w:lang w:val="en-GB" w:eastAsia="ja-JP"/>
        </w:rPr>
        <w:t>different scenarios in each group (Figure 19).</w:t>
      </w:r>
    </w:p>
    <w:p w14:paraId="0CAC90D3" w14:textId="77777777" w:rsidR="00C96521" w:rsidRPr="00C96521" w:rsidRDefault="00C96521" w:rsidP="00C96521">
      <w:pPr>
        <w:widowControl/>
        <w:autoSpaceDE/>
        <w:autoSpaceDN/>
        <w:adjustRightInd/>
        <w:spacing w:line="276" w:lineRule="auto"/>
        <w:ind w:firstLine="708"/>
        <w:rPr>
          <w:rFonts w:eastAsia="MS Mincho"/>
          <w:sz w:val="20"/>
          <w:szCs w:val="22"/>
          <w:lang w:val="en-GB" w:eastAsia="ja-JP"/>
        </w:rPr>
      </w:pPr>
    </w:p>
    <w:p w14:paraId="533CAC18" w14:textId="77777777" w:rsidR="00C96521" w:rsidRPr="00C96521" w:rsidRDefault="00C96521" w:rsidP="00C96521">
      <w:pPr>
        <w:widowControl/>
        <w:autoSpaceDE/>
        <w:autoSpaceDN/>
        <w:adjustRightInd/>
        <w:spacing w:line="276" w:lineRule="auto"/>
        <w:ind w:firstLine="708"/>
        <w:rPr>
          <w:rFonts w:eastAsia="MS Mincho"/>
          <w:sz w:val="20"/>
          <w:szCs w:val="22"/>
          <w:lang w:val="en-GB" w:eastAsia="ja-JP"/>
        </w:rPr>
      </w:pPr>
    </w:p>
    <w:p w14:paraId="59A2EC75" w14:textId="77777777" w:rsidR="00C96521" w:rsidRPr="00C96521" w:rsidRDefault="00C96521" w:rsidP="00C96521">
      <w:pPr>
        <w:widowControl/>
        <w:autoSpaceDE/>
        <w:autoSpaceDN/>
        <w:adjustRightInd/>
        <w:spacing w:before="120" w:line="276" w:lineRule="auto"/>
        <w:rPr>
          <w:rFonts w:eastAsia="MS Mincho"/>
          <w:i/>
          <w:sz w:val="20"/>
          <w:szCs w:val="20"/>
          <w:lang w:val="en-GB" w:eastAsia="ja-JP"/>
        </w:rPr>
      </w:pPr>
      <w:r w:rsidRPr="00C96521">
        <w:rPr>
          <w:rFonts w:eastAsia="MS Mincho"/>
          <w:i/>
          <w:sz w:val="22"/>
          <w:szCs w:val="22"/>
          <w:lang w:val="en-GB" w:eastAsia="ja-JP"/>
        </w:rPr>
        <w:br w:type="page"/>
      </w:r>
      <w:r w:rsidRPr="00C96521">
        <w:rPr>
          <w:rFonts w:eastAsia="MS Mincho"/>
          <w:i/>
          <w:sz w:val="20"/>
          <w:szCs w:val="20"/>
          <w:lang w:val="en-GB" w:eastAsia="ja-JP"/>
        </w:rPr>
        <w:t xml:space="preserve"> </w:t>
      </w:r>
    </w:p>
    <w:p w14:paraId="58F605B4" w14:textId="270EA014" w:rsidR="00C96521" w:rsidRPr="00CB5111" w:rsidRDefault="00C96521" w:rsidP="00CB5111">
      <w:pPr>
        <w:widowControl/>
        <w:autoSpaceDE/>
        <w:autoSpaceDN/>
        <w:adjustRightInd/>
        <w:spacing w:line="276" w:lineRule="auto"/>
        <w:ind w:firstLine="708"/>
        <w:rPr>
          <w:rFonts w:eastAsia="MS Mincho"/>
          <w:sz w:val="20"/>
          <w:szCs w:val="20"/>
          <w:lang w:val="en-GB" w:eastAsia="ja-JP"/>
        </w:rPr>
      </w:pPr>
      <w:r w:rsidRPr="00C96521">
        <w:rPr>
          <w:rFonts w:eastAsia="MS Mincho"/>
          <w:noProof/>
          <w:sz w:val="20"/>
          <w:szCs w:val="20"/>
        </w:rPr>
        <mc:AlternateContent>
          <mc:Choice Requires="wpc">
            <w:drawing>
              <wp:anchor distT="0" distB="0" distL="114300" distR="114300" simplePos="0" relativeHeight="251660800" behindDoc="0" locked="0" layoutInCell="1" allowOverlap="1" wp14:anchorId="79916F28" wp14:editId="5B623E7A">
                <wp:simplePos x="0" y="0"/>
                <wp:positionH relativeFrom="column">
                  <wp:posOffset>228600</wp:posOffset>
                </wp:positionH>
                <wp:positionV relativeFrom="paragraph">
                  <wp:posOffset>81280</wp:posOffset>
                </wp:positionV>
                <wp:extent cx="5143500" cy="4895850"/>
                <wp:effectExtent l="0" t="11430" r="3175" b="7620"/>
                <wp:wrapSquare wrapText="bothSides"/>
                <wp:docPr id="102" name="Canvas 1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 name="Rectangle 104"/>
                        <wps:cNvSpPr>
                          <a:spLocks noChangeArrowheads="1"/>
                        </wps:cNvSpPr>
                        <wps:spPr bwMode="auto">
                          <a:xfrm>
                            <a:off x="249238" y="0"/>
                            <a:ext cx="4824413" cy="4895850"/>
                          </a:xfrm>
                          <a:prstGeom prst="rect">
                            <a:avLst/>
                          </a:prstGeom>
                          <a:solidFill>
                            <a:srgbClr val="EAEAEA"/>
                          </a:solidFill>
                          <a:ln w="9525">
                            <a:solidFill>
                              <a:srgbClr val="000000"/>
                            </a:solidFill>
                            <a:miter lim="800000"/>
                            <a:headEnd/>
                            <a:tailEnd/>
                          </a:ln>
                        </wps:spPr>
                        <wps:bodyPr rot="0" vert="horz" wrap="square" lIns="91440" tIns="45720" rIns="91440" bIns="45720" anchor="ctr" anchorCtr="0" upright="1">
                          <a:noAutofit/>
                        </wps:bodyPr>
                      </wps:wsp>
                      <wps:wsp>
                        <wps:cNvPr id="12" name="Rectangle 105"/>
                        <wps:cNvSpPr>
                          <a:spLocks noChangeArrowheads="1"/>
                        </wps:cNvSpPr>
                        <wps:spPr bwMode="auto">
                          <a:xfrm>
                            <a:off x="2119313" y="71438"/>
                            <a:ext cx="2811463" cy="194468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6" name="Text Box 106"/>
                        <wps:cNvSpPr txBox="1">
                          <a:spLocks noChangeArrowheads="1"/>
                        </wps:cNvSpPr>
                        <wps:spPr bwMode="auto">
                          <a:xfrm>
                            <a:off x="1905000" y="115888"/>
                            <a:ext cx="3238500" cy="228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BBE0E3"/>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BD9ADD6" w14:textId="77777777" w:rsidR="00B44B0D" w:rsidRPr="008D569D" w:rsidRDefault="00B44B0D" w:rsidP="00C96521">
                              <w:pPr>
                                <w:jc w:val="center"/>
                                <w:rPr>
                                  <w:rFonts w:cs="Arial"/>
                                  <w:b/>
                                  <w:bCs/>
                                  <w:color w:val="000000"/>
                                  <w:szCs w:val="18"/>
                                  <w:vertAlign w:val="subscript"/>
                                </w:rPr>
                              </w:pPr>
                              <w:r>
                                <w:rPr>
                                  <w:rFonts w:cs="Arial"/>
                                  <w:b/>
                                  <w:bCs/>
                                  <w:color w:val="000000"/>
                                  <w:szCs w:val="18"/>
                                </w:rPr>
                                <w:t xml:space="preserve">Step 2: post breeding </w:t>
                              </w:r>
                              <w:r w:rsidRPr="008D569D">
                                <w:rPr>
                                  <w:rFonts w:cs="Arial"/>
                                  <w:b/>
                                  <w:bCs/>
                                  <w:color w:val="000000"/>
                                  <w:szCs w:val="18"/>
                                </w:rPr>
                                <w:t>population size in 2016</w:t>
                              </w:r>
                            </w:p>
                          </w:txbxContent>
                        </wps:txbx>
                        <wps:bodyPr rot="0" vert="horz" wrap="square" lIns="91440" tIns="45720" rIns="91440" bIns="45720" anchor="t" anchorCtr="0" upright="1">
                          <a:noAutofit/>
                        </wps:bodyPr>
                      </wps:wsp>
                      <wps:wsp>
                        <wps:cNvPr id="23" name="Rectangle 107"/>
                        <wps:cNvSpPr>
                          <a:spLocks noChangeArrowheads="1"/>
                        </wps:cNvSpPr>
                        <wps:spPr bwMode="auto">
                          <a:xfrm>
                            <a:off x="706438" y="2068513"/>
                            <a:ext cx="3887788" cy="277018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4" name="Rectangle 108"/>
                        <wps:cNvSpPr>
                          <a:spLocks noChangeArrowheads="1"/>
                        </wps:cNvSpPr>
                        <wps:spPr bwMode="auto">
                          <a:xfrm>
                            <a:off x="341313" y="71438"/>
                            <a:ext cx="1733550" cy="194468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5" name="Text Box 109"/>
                        <wps:cNvSpPr txBox="1">
                          <a:spLocks noChangeArrowheads="1"/>
                        </wps:cNvSpPr>
                        <wps:spPr bwMode="auto">
                          <a:xfrm>
                            <a:off x="0" y="139700"/>
                            <a:ext cx="2303463" cy="228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8EEBBE3" w14:textId="77777777" w:rsidR="00B44B0D" w:rsidRDefault="00B44B0D" w:rsidP="00C96521">
                              <w:pPr>
                                <w:jc w:val="center"/>
                                <w:rPr>
                                  <w:rFonts w:cs="Arial"/>
                                  <w:b/>
                                  <w:bCs/>
                                  <w:color w:val="000000"/>
                                  <w:szCs w:val="18"/>
                                  <w:vertAlign w:val="subscript"/>
                                </w:rPr>
                              </w:pPr>
                              <w:r>
                                <w:rPr>
                                  <w:rFonts w:cs="Arial"/>
                                  <w:b/>
                                  <w:bCs/>
                                  <w:color w:val="000000"/>
                                  <w:szCs w:val="18"/>
                                </w:rPr>
                                <w:t xml:space="preserve">Step 1: </w:t>
                              </w:r>
                              <w:r>
                                <w:rPr>
                                  <w:rFonts w:cs="Arial"/>
                                  <w:b/>
                                  <w:bCs/>
                                  <w:color w:val="000000"/>
                                  <w:szCs w:val="18"/>
                                  <w:lang w:val="el-GR"/>
                                </w:rPr>
                                <w:t>λ</w:t>
                              </w:r>
                              <w:r>
                                <w:rPr>
                                  <w:rFonts w:cs="Arial"/>
                                  <w:b/>
                                  <w:bCs/>
                                  <w:color w:val="000000"/>
                                  <w:szCs w:val="18"/>
                                  <w:vertAlign w:val="subscript"/>
                                </w:rPr>
                                <w:t>max</w:t>
                              </w:r>
                            </w:p>
                          </w:txbxContent>
                        </wps:txbx>
                        <wps:bodyPr rot="0" vert="horz" wrap="square" lIns="91440" tIns="45720" rIns="91440" bIns="45720" anchor="t" anchorCtr="0" upright="1">
                          <a:noAutofit/>
                        </wps:bodyPr>
                      </wps:wsp>
                      <wps:wsp>
                        <wps:cNvPr id="28" name="Text Box 110"/>
                        <wps:cNvSpPr txBox="1">
                          <a:spLocks noChangeArrowheads="1"/>
                        </wps:cNvSpPr>
                        <wps:spPr bwMode="auto">
                          <a:xfrm>
                            <a:off x="896938" y="2087563"/>
                            <a:ext cx="3384550" cy="228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BBE0E3"/>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9AAE8CD" w14:textId="77777777" w:rsidR="00B44B0D" w:rsidRDefault="00B44B0D" w:rsidP="00C96521">
                              <w:pPr>
                                <w:jc w:val="center"/>
                                <w:rPr>
                                  <w:rFonts w:cs="Arial"/>
                                  <w:b/>
                                  <w:bCs/>
                                  <w:color w:val="000000"/>
                                  <w:szCs w:val="18"/>
                                  <w:vertAlign w:val="subscript"/>
                                </w:rPr>
                              </w:pPr>
                              <w:r>
                                <w:rPr>
                                  <w:rFonts w:cs="Arial"/>
                                  <w:b/>
                                  <w:bCs/>
                                  <w:color w:val="000000"/>
                                  <w:szCs w:val="18"/>
                                </w:rPr>
                                <w:t>Step 3: estimation of P</w:t>
                              </w:r>
                            </w:p>
                          </w:txbxContent>
                        </wps:txbx>
                        <wps:bodyPr rot="0" vert="horz" wrap="square" lIns="91440" tIns="45720" rIns="91440" bIns="45720" anchor="t" anchorCtr="0" upright="1">
                          <a:noAutofit/>
                        </wps:bodyPr>
                      </wps:wsp>
                      <wps:wsp>
                        <wps:cNvPr id="30" name="Text Box 111"/>
                        <wps:cNvSpPr txBox="1">
                          <a:spLocks noChangeArrowheads="1"/>
                        </wps:cNvSpPr>
                        <wps:spPr bwMode="auto">
                          <a:xfrm>
                            <a:off x="427038" y="415925"/>
                            <a:ext cx="469900" cy="238125"/>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BBE0E3"/>
                                </a:solidFill>
                              </a14:hiddenFill>
                            </a:ext>
                          </a:extLst>
                        </wps:spPr>
                        <wps:txbx>
                          <w:txbxContent>
                            <w:p w14:paraId="2CB1EBB2" w14:textId="77777777" w:rsidR="00B44B0D" w:rsidRDefault="00B44B0D" w:rsidP="00C96521">
                              <w:pPr>
                                <w:jc w:val="center"/>
                                <w:rPr>
                                  <w:rFonts w:cs="Arial"/>
                                  <w:color w:val="000000"/>
                                  <w:szCs w:val="18"/>
                                </w:rPr>
                              </w:pPr>
                              <w:r>
                                <w:rPr>
                                  <w:rFonts w:cs="Arial"/>
                                  <w:color w:val="000000"/>
                                  <w:szCs w:val="18"/>
                                </w:rPr>
                                <w:t>So1</w:t>
                              </w:r>
                            </w:p>
                          </w:txbxContent>
                        </wps:txbx>
                        <wps:bodyPr rot="0" vert="horz" wrap="square" lIns="91440" tIns="45720" rIns="91440" bIns="45720" anchor="t" anchorCtr="0" upright="1">
                          <a:noAutofit/>
                        </wps:bodyPr>
                      </wps:wsp>
                      <wps:wsp>
                        <wps:cNvPr id="35" name="Text Box 112"/>
                        <wps:cNvSpPr txBox="1">
                          <a:spLocks noChangeArrowheads="1"/>
                        </wps:cNvSpPr>
                        <wps:spPr bwMode="auto">
                          <a:xfrm>
                            <a:off x="969963" y="415925"/>
                            <a:ext cx="469900" cy="238125"/>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BBE0E3"/>
                                </a:solidFill>
                              </a14:hiddenFill>
                            </a:ext>
                          </a:extLst>
                        </wps:spPr>
                        <wps:txbx>
                          <w:txbxContent>
                            <w:p w14:paraId="40ABE2CE" w14:textId="77777777" w:rsidR="00B44B0D" w:rsidRDefault="00B44B0D" w:rsidP="00C96521">
                              <w:pPr>
                                <w:jc w:val="center"/>
                                <w:rPr>
                                  <w:rFonts w:cs="Arial"/>
                                  <w:color w:val="000000"/>
                                  <w:szCs w:val="18"/>
                                </w:rPr>
                              </w:pPr>
                              <w:r>
                                <w:rPr>
                                  <w:rFonts w:cs="Arial"/>
                                  <w:color w:val="000000"/>
                                  <w:szCs w:val="18"/>
                                </w:rPr>
                                <w:t>So2</w:t>
                              </w:r>
                            </w:p>
                          </w:txbxContent>
                        </wps:txbx>
                        <wps:bodyPr rot="0" vert="horz" wrap="square" lIns="91440" tIns="45720" rIns="91440" bIns="45720" anchor="t" anchorCtr="0" upright="1">
                          <a:noAutofit/>
                        </wps:bodyPr>
                      </wps:wsp>
                      <wps:wsp>
                        <wps:cNvPr id="36" name="Text Box 113"/>
                        <wps:cNvSpPr txBox="1">
                          <a:spLocks noChangeArrowheads="1"/>
                        </wps:cNvSpPr>
                        <wps:spPr bwMode="auto">
                          <a:xfrm>
                            <a:off x="1492250" y="414338"/>
                            <a:ext cx="469900" cy="238125"/>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BBE0E3"/>
                                </a:solidFill>
                              </a14:hiddenFill>
                            </a:ext>
                          </a:extLst>
                        </wps:spPr>
                        <wps:txbx>
                          <w:txbxContent>
                            <w:p w14:paraId="1D28DC31" w14:textId="77777777" w:rsidR="00B44B0D" w:rsidRDefault="00B44B0D" w:rsidP="00C96521">
                              <w:pPr>
                                <w:jc w:val="center"/>
                                <w:rPr>
                                  <w:rFonts w:cs="Arial"/>
                                  <w:color w:val="000000"/>
                                  <w:szCs w:val="18"/>
                                </w:rPr>
                              </w:pPr>
                              <w:r>
                                <w:rPr>
                                  <w:rFonts w:cs="Arial"/>
                                  <w:color w:val="000000"/>
                                  <w:szCs w:val="18"/>
                                </w:rPr>
                                <w:t>So3</w:t>
                              </w:r>
                            </w:p>
                          </w:txbxContent>
                        </wps:txbx>
                        <wps:bodyPr rot="0" vert="horz" wrap="square" lIns="91440" tIns="45720" rIns="91440" bIns="45720" anchor="t" anchorCtr="0" upright="1">
                          <a:noAutofit/>
                        </wps:bodyPr>
                      </wps:wsp>
                      <wps:wsp>
                        <wps:cNvPr id="37" name="Text Box 114"/>
                        <wps:cNvSpPr txBox="1">
                          <a:spLocks noChangeArrowheads="1"/>
                        </wps:cNvSpPr>
                        <wps:spPr bwMode="auto">
                          <a:xfrm>
                            <a:off x="465138" y="987425"/>
                            <a:ext cx="1406525" cy="238125"/>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BBE0E3"/>
                                </a:solidFill>
                              </a14:hiddenFill>
                            </a:ext>
                          </a:extLst>
                        </wps:spPr>
                        <wps:txbx>
                          <w:txbxContent>
                            <w:p w14:paraId="43941818" w14:textId="77777777" w:rsidR="00B44B0D" w:rsidRDefault="00B44B0D" w:rsidP="00C96521">
                              <w:pPr>
                                <w:jc w:val="center"/>
                                <w:rPr>
                                  <w:rFonts w:cs="Arial"/>
                                  <w:color w:val="000000"/>
                                  <w:szCs w:val="18"/>
                                </w:rPr>
                              </w:pPr>
                              <w:r>
                                <w:rPr>
                                  <w:rFonts w:cs="Arial"/>
                                  <w:color w:val="000000"/>
                                  <w:szCs w:val="18"/>
                                </w:rPr>
                                <w:t>a</w:t>
                              </w:r>
                            </w:p>
                          </w:txbxContent>
                        </wps:txbx>
                        <wps:bodyPr rot="0" vert="horz" wrap="square" lIns="91440" tIns="45720" rIns="91440" bIns="45720" anchor="t" anchorCtr="0" upright="1">
                          <a:noAutofit/>
                        </wps:bodyPr>
                      </wps:wsp>
                      <wps:wsp>
                        <wps:cNvPr id="38" name="Text Box 115"/>
                        <wps:cNvSpPr txBox="1">
                          <a:spLocks noChangeArrowheads="1"/>
                        </wps:cNvSpPr>
                        <wps:spPr bwMode="auto">
                          <a:xfrm>
                            <a:off x="455613" y="1589088"/>
                            <a:ext cx="457200" cy="238125"/>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BBE0E3"/>
                                </a:solidFill>
                              </a14:hiddenFill>
                            </a:ext>
                          </a:extLst>
                        </wps:spPr>
                        <wps:txbx>
                          <w:txbxContent>
                            <w:p w14:paraId="236D37D2" w14:textId="77777777" w:rsidR="00B44B0D" w:rsidRDefault="00B44B0D" w:rsidP="00C96521">
                              <w:pPr>
                                <w:rPr>
                                  <w:rFonts w:cs="Arial"/>
                                  <w:color w:val="000000"/>
                                  <w:szCs w:val="18"/>
                                  <w:vertAlign w:val="subscript"/>
                                </w:rPr>
                              </w:pPr>
                              <w:r>
                                <w:rPr>
                                  <w:rFonts w:cs="Arial"/>
                                  <w:color w:val="000000"/>
                                  <w:szCs w:val="18"/>
                                  <w:lang w:val="el-GR"/>
                                </w:rPr>
                                <w:t>λ</w:t>
                              </w:r>
                              <w:r>
                                <w:rPr>
                                  <w:rFonts w:cs="Arial"/>
                                  <w:color w:val="000000"/>
                                  <w:szCs w:val="18"/>
                                  <w:vertAlign w:val="subscript"/>
                                </w:rPr>
                                <w:t>max1</w:t>
                              </w:r>
                            </w:p>
                          </w:txbxContent>
                        </wps:txbx>
                        <wps:bodyPr rot="0" vert="horz" wrap="square" lIns="91440" tIns="45720" rIns="91440" bIns="45720" anchor="t" anchorCtr="0" upright="1">
                          <a:noAutofit/>
                        </wps:bodyPr>
                      </wps:wsp>
                      <wps:wsp>
                        <wps:cNvPr id="39" name="Text Box 116"/>
                        <wps:cNvSpPr txBox="1">
                          <a:spLocks noChangeArrowheads="1"/>
                        </wps:cNvSpPr>
                        <wps:spPr bwMode="auto">
                          <a:xfrm>
                            <a:off x="979488" y="1584325"/>
                            <a:ext cx="457200" cy="238125"/>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BBE0E3"/>
                                </a:solidFill>
                              </a14:hiddenFill>
                            </a:ext>
                          </a:extLst>
                        </wps:spPr>
                        <wps:txbx>
                          <w:txbxContent>
                            <w:p w14:paraId="30034ABB" w14:textId="77777777" w:rsidR="00B44B0D" w:rsidRDefault="00B44B0D" w:rsidP="00C96521">
                              <w:pPr>
                                <w:rPr>
                                  <w:rFonts w:cs="Arial"/>
                                  <w:color w:val="000000"/>
                                  <w:szCs w:val="18"/>
                                  <w:vertAlign w:val="subscript"/>
                                </w:rPr>
                              </w:pPr>
                              <w:r>
                                <w:rPr>
                                  <w:rFonts w:cs="Arial"/>
                                  <w:color w:val="000000"/>
                                  <w:szCs w:val="18"/>
                                  <w:lang w:val="el-GR"/>
                                </w:rPr>
                                <w:t>λ</w:t>
                              </w:r>
                              <w:r>
                                <w:rPr>
                                  <w:rFonts w:cs="Arial"/>
                                  <w:color w:val="000000"/>
                                  <w:szCs w:val="18"/>
                                  <w:vertAlign w:val="subscript"/>
                                </w:rPr>
                                <w:t>max2</w:t>
                              </w:r>
                            </w:p>
                          </w:txbxContent>
                        </wps:txbx>
                        <wps:bodyPr rot="0" vert="horz" wrap="square" lIns="91440" tIns="45720" rIns="91440" bIns="45720" anchor="t" anchorCtr="0" upright="1">
                          <a:noAutofit/>
                        </wps:bodyPr>
                      </wps:wsp>
                      <wps:wsp>
                        <wps:cNvPr id="42" name="Text Box 117"/>
                        <wps:cNvSpPr txBox="1">
                          <a:spLocks noChangeArrowheads="1"/>
                        </wps:cNvSpPr>
                        <wps:spPr bwMode="auto">
                          <a:xfrm>
                            <a:off x="1498600" y="1589088"/>
                            <a:ext cx="457200" cy="238125"/>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BBE0E3"/>
                                </a:solidFill>
                              </a14:hiddenFill>
                            </a:ext>
                          </a:extLst>
                        </wps:spPr>
                        <wps:txbx>
                          <w:txbxContent>
                            <w:p w14:paraId="0956C0CD" w14:textId="77777777" w:rsidR="00B44B0D" w:rsidRDefault="00B44B0D" w:rsidP="00C96521">
                              <w:pPr>
                                <w:rPr>
                                  <w:rFonts w:cs="Arial"/>
                                  <w:color w:val="000000"/>
                                  <w:szCs w:val="18"/>
                                  <w:vertAlign w:val="subscript"/>
                                </w:rPr>
                              </w:pPr>
                              <w:r>
                                <w:rPr>
                                  <w:rFonts w:cs="Arial"/>
                                  <w:color w:val="000000"/>
                                  <w:szCs w:val="18"/>
                                  <w:lang w:val="el-GR"/>
                                </w:rPr>
                                <w:t>λ</w:t>
                              </w:r>
                              <w:r>
                                <w:rPr>
                                  <w:rFonts w:cs="Arial"/>
                                  <w:color w:val="000000"/>
                                  <w:szCs w:val="18"/>
                                  <w:vertAlign w:val="subscript"/>
                                </w:rPr>
                                <w:t>max3</w:t>
                              </w:r>
                            </w:p>
                          </w:txbxContent>
                        </wps:txbx>
                        <wps:bodyPr rot="0" vert="horz" wrap="square" lIns="91440" tIns="45720" rIns="91440" bIns="45720" anchor="t" anchorCtr="0" upright="1">
                          <a:noAutofit/>
                        </wps:bodyPr>
                      </wps:wsp>
                      <wps:wsp>
                        <wps:cNvPr id="43" name="Text Box 118"/>
                        <wps:cNvSpPr txBox="1">
                          <a:spLocks noChangeArrowheads="1"/>
                        </wps:cNvSpPr>
                        <wps:spPr bwMode="auto">
                          <a:xfrm>
                            <a:off x="2263775" y="409575"/>
                            <a:ext cx="2447925" cy="238125"/>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BBE0E3"/>
                                </a:solidFill>
                              </a14:hiddenFill>
                            </a:ext>
                          </a:extLst>
                        </wps:spPr>
                        <wps:txbx>
                          <w:txbxContent>
                            <w:p w14:paraId="602F3C48" w14:textId="77777777" w:rsidR="00B44B0D" w:rsidRDefault="00B44B0D" w:rsidP="00C96521">
                              <w:pPr>
                                <w:jc w:val="center"/>
                                <w:rPr>
                                  <w:rFonts w:cs="Arial"/>
                                  <w:color w:val="000000"/>
                                  <w:szCs w:val="18"/>
                                </w:rPr>
                              </w:pPr>
                              <w:r>
                                <w:rPr>
                                  <w:rFonts w:cs="Arial"/>
                                  <w:color w:val="000000"/>
                                  <w:szCs w:val="18"/>
                                </w:rPr>
                                <w:t>N pre-breeding (N)</w:t>
                              </w:r>
                            </w:p>
                          </w:txbxContent>
                        </wps:txbx>
                        <wps:bodyPr rot="0" vert="horz" wrap="square" lIns="91440" tIns="45720" rIns="91440" bIns="45720" anchor="t" anchorCtr="0" upright="1">
                          <a:noAutofit/>
                        </wps:bodyPr>
                      </wps:wsp>
                      <wps:wsp>
                        <wps:cNvPr id="44" name="Text Box 119"/>
                        <wps:cNvSpPr txBox="1">
                          <a:spLocks noChangeArrowheads="1"/>
                        </wps:cNvSpPr>
                        <wps:spPr bwMode="auto">
                          <a:xfrm>
                            <a:off x="2406650" y="998538"/>
                            <a:ext cx="1081088" cy="238125"/>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BBE0E3"/>
                                </a:solidFill>
                              </a14:hiddenFill>
                            </a:ext>
                          </a:extLst>
                        </wps:spPr>
                        <wps:txbx>
                          <w:txbxContent>
                            <w:p w14:paraId="0F287EC2" w14:textId="77777777" w:rsidR="00B44B0D" w:rsidRDefault="00B44B0D" w:rsidP="00C96521">
                              <w:pPr>
                                <w:rPr>
                                  <w:rFonts w:cs="Arial"/>
                                  <w:color w:val="000000"/>
                                  <w:szCs w:val="18"/>
                                  <w:vertAlign w:val="subscript"/>
                                </w:rPr>
                              </w:pPr>
                              <w:r>
                                <w:rPr>
                                  <w:rFonts w:cs="Arial"/>
                                  <w:color w:val="000000"/>
                                  <w:szCs w:val="18"/>
                                </w:rPr>
                                <w:t>Productivity1</w:t>
                              </w:r>
                            </w:p>
                          </w:txbxContent>
                        </wps:txbx>
                        <wps:bodyPr rot="0" vert="horz" wrap="square" lIns="91440" tIns="45720" rIns="91440" bIns="45720" anchor="t" anchorCtr="0" upright="1">
                          <a:noAutofit/>
                        </wps:bodyPr>
                      </wps:wsp>
                      <wps:wsp>
                        <wps:cNvPr id="45" name="Text Box 120"/>
                        <wps:cNvSpPr txBox="1">
                          <a:spLocks noChangeArrowheads="1"/>
                        </wps:cNvSpPr>
                        <wps:spPr bwMode="auto">
                          <a:xfrm>
                            <a:off x="3632200" y="993775"/>
                            <a:ext cx="1079500" cy="238125"/>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BBE0E3"/>
                                </a:solidFill>
                              </a14:hiddenFill>
                            </a:ext>
                          </a:extLst>
                        </wps:spPr>
                        <wps:txbx>
                          <w:txbxContent>
                            <w:p w14:paraId="1F93A1D5" w14:textId="77777777" w:rsidR="00B44B0D" w:rsidRDefault="00B44B0D" w:rsidP="00C96521">
                              <w:pPr>
                                <w:rPr>
                                  <w:rFonts w:cs="Arial"/>
                                  <w:color w:val="000000"/>
                                  <w:szCs w:val="18"/>
                                  <w:vertAlign w:val="subscript"/>
                                </w:rPr>
                              </w:pPr>
                              <w:r>
                                <w:rPr>
                                  <w:rFonts w:cs="Arial"/>
                                  <w:color w:val="000000"/>
                                  <w:szCs w:val="18"/>
                                </w:rPr>
                                <w:t>Productivity2</w:t>
                              </w:r>
                            </w:p>
                          </w:txbxContent>
                        </wps:txbx>
                        <wps:bodyPr rot="0" vert="horz" wrap="square" lIns="91440" tIns="45720" rIns="91440" bIns="45720" anchor="t" anchorCtr="0" upright="1">
                          <a:noAutofit/>
                        </wps:bodyPr>
                      </wps:wsp>
                      <wps:wsp>
                        <wps:cNvPr id="46" name="Text Box 121"/>
                        <wps:cNvSpPr txBox="1">
                          <a:spLocks noChangeArrowheads="1"/>
                        </wps:cNvSpPr>
                        <wps:spPr bwMode="auto">
                          <a:xfrm>
                            <a:off x="2190750" y="1617663"/>
                            <a:ext cx="1285875" cy="238125"/>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BBE0E3"/>
                                </a:solidFill>
                              </a14:hiddenFill>
                            </a:ext>
                          </a:extLst>
                        </wps:spPr>
                        <wps:txbx>
                          <w:txbxContent>
                            <w:p w14:paraId="7DB43B8C" w14:textId="77777777" w:rsidR="00B44B0D" w:rsidRDefault="00B44B0D" w:rsidP="00C96521">
                              <w:pPr>
                                <w:jc w:val="center"/>
                                <w:rPr>
                                  <w:rFonts w:cs="Arial"/>
                                  <w:color w:val="000000"/>
                                  <w:szCs w:val="18"/>
                                  <w:vertAlign w:val="subscript"/>
                                </w:rPr>
                              </w:pPr>
                              <w:r>
                                <w:rPr>
                                  <w:rFonts w:cs="Arial"/>
                                  <w:color w:val="000000"/>
                                  <w:szCs w:val="18"/>
                                </w:rPr>
                                <w:t>N post-breeding (N1)</w:t>
                              </w:r>
                            </w:p>
                          </w:txbxContent>
                        </wps:txbx>
                        <wps:bodyPr rot="0" vert="horz" wrap="square" lIns="91440" tIns="45720" rIns="91440" bIns="45720" anchor="t" anchorCtr="0" upright="1">
                          <a:noAutofit/>
                        </wps:bodyPr>
                      </wps:wsp>
                      <wps:wsp>
                        <wps:cNvPr id="47" name="Text Box 122"/>
                        <wps:cNvSpPr txBox="1">
                          <a:spLocks noChangeArrowheads="1"/>
                        </wps:cNvSpPr>
                        <wps:spPr bwMode="auto">
                          <a:xfrm>
                            <a:off x="3536950" y="1612900"/>
                            <a:ext cx="1319213" cy="238125"/>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BBE0E3"/>
                                </a:solidFill>
                              </a14:hiddenFill>
                            </a:ext>
                          </a:extLst>
                        </wps:spPr>
                        <wps:txbx>
                          <w:txbxContent>
                            <w:p w14:paraId="065D5B88" w14:textId="77777777" w:rsidR="00B44B0D" w:rsidRDefault="00B44B0D" w:rsidP="00C96521">
                              <w:pPr>
                                <w:jc w:val="center"/>
                                <w:rPr>
                                  <w:rFonts w:cs="Arial"/>
                                  <w:color w:val="000000"/>
                                  <w:szCs w:val="18"/>
                                  <w:vertAlign w:val="subscript"/>
                                </w:rPr>
                              </w:pPr>
                              <w:r>
                                <w:rPr>
                                  <w:rFonts w:cs="Arial"/>
                                  <w:color w:val="000000"/>
                                  <w:szCs w:val="18"/>
                                </w:rPr>
                                <w:t>N post-breeding (N2)</w:t>
                              </w:r>
                            </w:p>
                          </w:txbxContent>
                        </wps:txbx>
                        <wps:bodyPr rot="0" vert="horz" wrap="square" lIns="91440" tIns="45720" rIns="91440" bIns="45720" anchor="t" anchorCtr="0" upright="1">
                          <a:noAutofit/>
                        </wps:bodyPr>
                      </wps:wsp>
                      <wps:wsp>
                        <wps:cNvPr id="48" name="Text Box 123"/>
                        <wps:cNvSpPr txBox="1">
                          <a:spLocks noChangeArrowheads="1"/>
                        </wps:cNvSpPr>
                        <wps:spPr bwMode="auto">
                          <a:xfrm>
                            <a:off x="1338263" y="2319338"/>
                            <a:ext cx="2447925" cy="852488"/>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BBE0E3"/>
                                </a:solidFill>
                              </a14:hiddenFill>
                            </a:ext>
                          </a:extLst>
                        </wps:spPr>
                        <wps:txbx>
                          <w:txbxContent>
                            <w:p w14:paraId="468D12A6" w14:textId="77777777" w:rsidR="00B44B0D" w:rsidRDefault="00B44B0D" w:rsidP="00C96521">
                              <w:pPr>
                                <w:jc w:val="center"/>
                                <w:rPr>
                                  <w:rFonts w:cs="Arial"/>
                                  <w:color w:val="000000"/>
                                  <w:szCs w:val="18"/>
                                </w:rPr>
                              </w:pPr>
                              <w:r>
                                <w:rPr>
                                  <w:rFonts w:cs="Arial"/>
                                  <w:color w:val="000000"/>
                                  <w:szCs w:val="18"/>
                                </w:rPr>
                                <w:t>B</w:t>
                              </w:r>
                            </w:p>
                            <w:p w14:paraId="2D114485" w14:textId="77777777" w:rsidR="00B44B0D" w:rsidRDefault="00B44B0D" w:rsidP="00C96521">
                              <w:pPr>
                                <w:jc w:val="center"/>
                                <w:rPr>
                                  <w:rFonts w:cs="Arial"/>
                                  <w:color w:val="000000"/>
                                  <w:szCs w:val="18"/>
                                </w:rPr>
                              </w:pPr>
                            </w:p>
                            <w:p w14:paraId="0A7E7078" w14:textId="77777777" w:rsidR="00B44B0D" w:rsidRDefault="00B44B0D" w:rsidP="00C96521">
                              <w:pPr>
                                <w:jc w:val="center"/>
                                <w:rPr>
                                  <w:rFonts w:cs="Arial"/>
                                  <w:color w:val="000000"/>
                                  <w:szCs w:val="18"/>
                                </w:rPr>
                              </w:pPr>
                            </w:p>
                            <w:p w14:paraId="2FAD7061" w14:textId="77777777" w:rsidR="00B44B0D" w:rsidRDefault="00B44B0D" w:rsidP="00C96521">
                              <w:pPr>
                                <w:jc w:val="center"/>
                                <w:rPr>
                                  <w:rFonts w:cs="Arial"/>
                                  <w:color w:val="000000"/>
                                  <w:szCs w:val="18"/>
                                </w:rPr>
                              </w:pPr>
                            </w:p>
                          </w:txbxContent>
                        </wps:txbx>
                        <wps:bodyPr rot="0" vert="horz" wrap="square" lIns="91440" tIns="45720" rIns="91440" bIns="45720" anchor="t" anchorCtr="0" upright="1">
                          <a:noAutofit/>
                        </wps:bodyPr>
                      </wps:wsp>
                      <wps:wsp>
                        <wps:cNvPr id="49" name="Line 124"/>
                        <wps:cNvCnPr>
                          <a:cxnSpLocks noChangeShapeType="1"/>
                        </wps:cNvCnPr>
                        <wps:spPr bwMode="auto">
                          <a:xfrm>
                            <a:off x="681038" y="715963"/>
                            <a:ext cx="0" cy="252413"/>
                          </a:xfrm>
                          <a:prstGeom prst="line">
                            <a:avLst/>
                          </a:prstGeom>
                          <a:noFill/>
                          <a:ln w="158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0" name="Line 125"/>
                        <wps:cNvCnPr>
                          <a:cxnSpLocks noChangeShapeType="1"/>
                        </wps:cNvCnPr>
                        <wps:spPr bwMode="auto">
                          <a:xfrm>
                            <a:off x="1150938" y="719138"/>
                            <a:ext cx="0" cy="252413"/>
                          </a:xfrm>
                          <a:prstGeom prst="line">
                            <a:avLst/>
                          </a:prstGeom>
                          <a:noFill/>
                          <a:ln w="158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1" name="Line 126"/>
                        <wps:cNvCnPr>
                          <a:cxnSpLocks noChangeShapeType="1"/>
                        </wps:cNvCnPr>
                        <wps:spPr bwMode="auto">
                          <a:xfrm>
                            <a:off x="1689100" y="715963"/>
                            <a:ext cx="0" cy="252413"/>
                          </a:xfrm>
                          <a:prstGeom prst="line">
                            <a:avLst/>
                          </a:prstGeom>
                          <a:noFill/>
                          <a:ln w="158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2" name="Text Box 127"/>
                        <wps:cNvSpPr txBox="1">
                          <a:spLocks noChangeArrowheads="1"/>
                        </wps:cNvSpPr>
                        <wps:spPr bwMode="auto">
                          <a:xfrm>
                            <a:off x="1390650" y="2947988"/>
                            <a:ext cx="576263" cy="228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BBE0E3"/>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BBD0957" w14:textId="77777777" w:rsidR="00B44B0D" w:rsidRDefault="00B44B0D" w:rsidP="00C96521">
                              <w:pPr>
                                <w:rPr>
                                  <w:rFonts w:cs="Arial"/>
                                  <w:color w:val="000000"/>
                                  <w:szCs w:val="18"/>
                                  <w:vertAlign w:val="subscript"/>
                                </w:rPr>
                              </w:pPr>
                              <w:r>
                                <w:rPr>
                                  <w:rFonts w:cs="Arial"/>
                                  <w:color w:val="000000"/>
                                  <w:szCs w:val="18"/>
                                  <w:lang w:val="el-GR"/>
                                </w:rPr>
                                <w:t>λ</w:t>
                              </w:r>
                              <w:r>
                                <w:rPr>
                                  <w:rFonts w:cs="Arial"/>
                                  <w:color w:val="000000"/>
                                  <w:szCs w:val="18"/>
                                  <w:vertAlign w:val="subscript"/>
                                </w:rPr>
                                <w:t>max1</w:t>
                              </w:r>
                            </w:p>
                          </w:txbxContent>
                        </wps:txbx>
                        <wps:bodyPr rot="0" vert="horz" wrap="square" lIns="91440" tIns="45720" rIns="91440" bIns="45720" anchor="t" anchorCtr="0" upright="1">
                          <a:noAutofit/>
                        </wps:bodyPr>
                      </wps:wsp>
                      <wps:wsp>
                        <wps:cNvPr id="53" name="Text Box 128"/>
                        <wps:cNvSpPr txBox="1">
                          <a:spLocks noChangeArrowheads="1"/>
                        </wps:cNvSpPr>
                        <wps:spPr bwMode="auto">
                          <a:xfrm>
                            <a:off x="2359025" y="2943225"/>
                            <a:ext cx="576263" cy="228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BBE0E3"/>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E1C08C1" w14:textId="77777777" w:rsidR="00B44B0D" w:rsidRDefault="00B44B0D" w:rsidP="00C96521">
                              <w:pPr>
                                <w:rPr>
                                  <w:rFonts w:cs="Arial"/>
                                  <w:color w:val="000000"/>
                                  <w:szCs w:val="18"/>
                                  <w:vertAlign w:val="subscript"/>
                                </w:rPr>
                              </w:pPr>
                              <w:r>
                                <w:rPr>
                                  <w:rFonts w:cs="Arial"/>
                                  <w:color w:val="000000"/>
                                  <w:szCs w:val="18"/>
                                  <w:lang w:val="el-GR"/>
                                </w:rPr>
                                <w:t>λ</w:t>
                              </w:r>
                              <w:r>
                                <w:rPr>
                                  <w:rFonts w:cs="Arial"/>
                                  <w:color w:val="000000"/>
                                  <w:szCs w:val="18"/>
                                  <w:vertAlign w:val="subscript"/>
                                </w:rPr>
                                <w:t>max2</w:t>
                              </w:r>
                            </w:p>
                          </w:txbxContent>
                        </wps:txbx>
                        <wps:bodyPr rot="0" vert="horz" wrap="square" lIns="91440" tIns="45720" rIns="91440" bIns="45720" anchor="t" anchorCtr="0" upright="1">
                          <a:noAutofit/>
                        </wps:bodyPr>
                      </wps:wsp>
                      <wps:wsp>
                        <wps:cNvPr id="54" name="Text Box 129"/>
                        <wps:cNvSpPr txBox="1">
                          <a:spLocks noChangeArrowheads="1"/>
                        </wps:cNvSpPr>
                        <wps:spPr bwMode="auto">
                          <a:xfrm>
                            <a:off x="3282950" y="2943225"/>
                            <a:ext cx="576263" cy="228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BBE0E3"/>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48885CA" w14:textId="77777777" w:rsidR="00B44B0D" w:rsidRDefault="00B44B0D" w:rsidP="00C96521">
                              <w:pPr>
                                <w:rPr>
                                  <w:rFonts w:cs="Arial"/>
                                  <w:color w:val="000000"/>
                                  <w:szCs w:val="18"/>
                                  <w:vertAlign w:val="subscript"/>
                                </w:rPr>
                              </w:pPr>
                              <w:r>
                                <w:rPr>
                                  <w:rFonts w:cs="Arial"/>
                                  <w:color w:val="000000"/>
                                  <w:szCs w:val="18"/>
                                  <w:lang w:val="el-GR"/>
                                </w:rPr>
                                <w:t>λ</w:t>
                              </w:r>
                              <w:r>
                                <w:rPr>
                                  <w:rFonts w:cs="Arial"/>
                                  <w:color w:val="000000"/>
                                  <w:szCs w:val="18"/>
                                  <w:vertAlign w:val="subscript"/>
                                </w:rPr>
                                <w:t>max3</w:t>
                              </w:r>
                            </w:p>
                          </w:txbxContent>
                        </wps:txbx>
                        <wps:bodyPr rot="0" vert="horz" wrap="square" lIns="91440" tIns="45720" rIns="91440" bIns="45720" anchor="t" anchorCtr="0" upright="1">
                          <a:noAutofit/>
                        </wps:bodyPr>
                      </wps:wsp>
                      <wps:wsp>
                        <wps:cNvPr id="55" name="Text Box 130"/>
                        <wps:cNvSpPr txBox="1">
                          <a:spLocks noChangeArrowheads="1"/>
                        </wps:cNvSpPr>
                        <wps:spPr bwMode="auto">
                          <a:xfrm>
                            <a:off x="3900488" y="3789363"/>
                            <a:ext cx="593725" cy="37465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BBE0E3"/>
                                </a:solidFill>
                              </a14:hiddenFill>
                            </a:ext>
                          </a:extLst>
                        </wps:spPr>
                        <wps:txbx>
                          <w:txbxContent>
                            <w:p w14:paraId="648180A1" w14:textId="77777777" w:rsidR="00B44B0D" w:rsidRDefault="00B44B0D" w:rsidP="00C96521">
                              <w:pPr>
                                <w:jc w:val="center"/>
                                <w:rPr>
                                  <w:rFonts w:cs="Arial"/>
                                  <w:color w:val="000000"/>
                                  <w:szCs w:val="18"/>
                                </w:rPr>
                              </w:pPr>
                              <w:r>
                                <w:rPr>
                                  <w:rFonts w:cs="Arial"/>
                                  <w:color w:val="000000"/>
                                  <w:szCs w:val="18"/>
                                </w:rPr>
                                <w:t xml:space="preserve">N2; </w:t>
                              </w:r>
                              <w:r>
                                <w:rPr>
                                  <w:rFonts w:cs="Arial"/>
                                  <w:color w:val="000000"/>
                                  <w:szCs w:val="18"/>
                                  <w:lang w:val="el-GR"/>
                                </w:rPr>
                                <w:t>λ</w:t>
                              </w:r>
                              <w:r>
                                <w:rPr>
                                  <w:rFonts w:cs="Arial"/>
                                  <w:color w:val="000000"/>
                                  <w:szCs w:val="18"/>
                                </w:rPr>
                                <w:t>max3</w:t>
                              </w:r>
                            </w:p>
                          </w:txbxContent>
                        </wps:txbx>
                        <wps:bodyPr rot="0" vert="horz" wrap="square" lIns="91440" tIns="45720" rIns="91440" bIns="45720" anchor="t" anchorCtr="0" upright="1">
                          <a:noAutofit/>
                        </wps:bodyPr>
                      </wps:wsp>
                      <wps:wsp>
                        <wps:cNvPr id="56" name="AutoShape 131"/>
                        <wps:cNvCnPr>
                          <a:cxnSpLocks noChangeShapeType="1"/>
                          <a:stCxn id="52" idx="2"/>
                          <a:endCxn id="70" idx="0"/>
                        </wps:cNvCnPr>
                        <wps:spPr bwMode="auto">
                          <a:xfrm flipH="1">
                            <a:off x="1091406" y="3176588"/>
                            <a:ext cx="587375" cy="612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7" name="AutoShape 132"/>
                        <wps:cNvCnPr>
                          <a:cxnSpLocks noChangeShapeType="1"/>
                          <a:stCxn id="53" idx="2"/>
                          <a:endCxn id="72" idx="0"/>
                        </wps:cNvCnPr>
                        <wps:spPr bwMode="auto">
                          <a:xfrm flipH="1">
                            <a:off x="1674813" y="3171825"/>
                            <a:ext cx="972344" cy="615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8" name="AutoShape 133"/>
                        <wps:cNvCnPr>
                          <a:cxnSpLocks noChangeShapeType="1"/>
                          <a:stCxn id="54" idx="2"/>
                          <a:endCxn id="55" idx="0"/>
                        </wps:cNvCnPr>
                        <wps:spPr bwMode="auto">
                          <a:xfrm>
                            <a:off x="3571081" y="3171825"/>
                            <a:ext cx="627063" cy="6175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9" name="Line 134"/>
                        <wps:cNvCnPr>
                          <a:cxnSpLocks noChangeShapeType="1"/>
                        </wps:cNvCnPr>
                        <wps:spPr bwMode="auto">
                          <a:xfrm>
                            <a:off x="681038" y="1293813"/>
                            <a:ext cx="0" cy="252413"/>
                          </a:xfrm>
                          <a:prstGeom prst="line">
                            <a:avLst/>
                          </a:prstGeom>
                          <a:noFill/>
                          <a:ln w="158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0" name="Line 135"/>
                        <wps:cNvCnPr>
                          <a:cxnSpLocks noChangeShapeType="1"/>
                        </wps:cNvCnPr>
                        <wps:spPr bwMode="auto">
                          <a:xfrm>
                            <a:off x="1150938" y="1296988"/>
                            <a:ext cx="0" cy="252413"/>
                          </a:xfrm>
                          <a:prstGeom prst="line">
                            <a:avLst/>
                          </a:prstGeom>
                          <a:noFill/>
                          <a:ln w="158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1" name="Line 136"/>
                        <wps:cNvCnPr>
                          <a:cxnSpLocks noChangeShapeType="1"/>
                        </wps:cNvCnPr>
                        <wps:spPr bwMode="auto">
                          <a:xfrm>
                            <a:off x="1704975" y="1293813"/>
                            <a:ext cx="0" cy="252413"/>
                          </a:xfrm>
                          <a:prstGeom prst="line">
                            <a:avLst/>
                          </a:prstGeom>
                          <a:noFill/>
                          <a:ln w="158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2" name="Line 137"/>
                        <wps:cNvCnPr>
                          <a:cxnSpLocks noChangeShapeType="1"/>
                        </wps:cNvCnPr>
                        <wps:spPr bwMode="auto">
                          <a:xfrm>
                            <a:off x="3054350" y="703263"/>
                            <a:ext cx="0" cy="252413"/>
                          </a:xfrm>
                          <a:prstGeom prst="line">
                            <a:avLst/>
                          </a:prstGeom>
                          <a:noFill/>
                          <a:ln w="158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3" name="Line 138"/>
                        <wps:cNvCnPr>
                          <a:cxnSpLocks noChangeShapeType="1"/>
                        </wps:cNvCnPr>
                        <wps:spPr bwMode="auto">
                          <a:xfrm>
                            <a:off x="3990975" y="700088"/>
                            <a:ext cx="0" cy="252413"/>
                          </a:xfrm>
                          <a:prstGeom prst="line">
                            <a:avLst/>
                          </a:prstGeom>
                          <a:noFill/>
                          <a:ln w="158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4" name="Line 139"/>
                        <wps:cNvCnPr>
                          <a:cxnSpLocks noChangeShapeType="1"/>
                        </wps:cNvCnPr>
                        <wps:spPr bwMode="auto">
                          <a:xfrm>
                            <a:off x="3055938" y="1298575"/>
                            <a:ext cx="0" cy="252413"/>
                          </a:xfrm>
                          <a:prstGeom prst="line">
                            <a:avLst/>
                          </a:prstGeom>
                          <a:noFill/>
                          <a:ln w="158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5" name="Line 140"/>
                        <wps:cNvCnPr>
                          <a:cxnSpLocks noChangeShapeType="1"/>
                        </wps:cNvCnPr>
                        <wps:spPr bwMode="auto">
                          <a:xfrm>
                            <a:off x="3992563" y="1295400"/>
                            <a:ext cx="0" cy="252413"/>
                          </a:xfrm>
                          <a:prstGeom prst="line">
                            <a:avLst/>
                          </a:prstGeom>
                          <a:noFill/>
                          <a:ln w="158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6" name="Text Box 141"/>
                        <wps:cNvSpPr txBox="1">
                          <a:spLocks noChangeArrowheads="1"/>
                        </wps:cNvSpPr>
                        <wps:spPr bwMode="auto">
                          <a:xfrm>
                            <a:off x="2051050" y="2679700"/>
                            <a:ext cx="430213" cy="228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BBE0E3"/>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730900E" w14:textId="77777777" w:rsidR="00B44B0D" w:rsidRDefault="00B44B0D" w:rsidP="00C96521">
                              <w:pPr>
                                <w:rPr>
                                  <w:rFonts w:cs="Arial"/>
                                  <w:color w:val="000000"/>
                                  <w:szCs w:val="18"/>
                                </w:rPr>
                              </w:pPr>
                              <w:r>
                                <w:rPr>
                                  <w:rFonts w:cs="Arial"/>
                                  <w:color w:val="000000"/>
                                  <w:szCs w:val="18"/>
                                </w:rPr>
                                <w:t>N1</w:t>
                              </w:r>
                            </w:p>
                          </w:txbxContent>
                        </wps:txbx>
                        <wps:bodyPr rot="0" vert="horz" wrap="square" lIns="91440" tIns="45720" rIns="91440" bIns="45720" anchor="t" anchorCtr="0" upright="1">
                          <a:noAutofit/>
                        </wps:bodyPr>
                      </wps:wsp>
                      <wps:wsp>
                        <wps:cNvPr id="67" name="Text Box 142"/>
                        <wps:cNvSpPr txBox="1">
                          <a:spLocks noChangeArrowheads="1"/>
                        </wps:cNvSpPr>
                        <wps:spPr bwMode="auto">
                          <a:xfrm>
                            <a:off x="2841625" y="2674938"/>
                            <a:ext cx="431800" cy="228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BBE0E3"/>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D1354AE" w14:textId="77777777" w:rsidR="00B44B0D" w:rsidRDefault="00B44B0D" w:rsidP="00C96521">
                              <w:pPr>
                                <w:rPr>
                                  <w:rFonts w:cs="Arial"/>
                                  <w:color w:val="000000"/>
                                  <w:szCs w:val="18"/>
                                </w:rPr>
                              </w:pPr>
                              <w:r>
                                <w:rPr>
                                  <w:rFonts w:cs="Arial"/>
                                  <w:color w:val="000000"/>
                                  <w:szCs w:val="18"/>
                                </w:rPr>
                                <w:t>N2</w:t>
                              </w:r>
                            </w:p>
                          </w:txbxContent>
                        </wps:txbx>
                        <wps:bodyPr rot="0" vert="horz" wrap="square" lIns="91440" tIns="45720" rIns="91440" bIns="45720" anchor="t" anchorCtr="0" upright="1">
                          <a:noAutofit/>
                        </wps:bodyPr>
                      </wps:wsp>
                      <wps:wsp>
                        <wps:cNvPr id="68" name="Text Box 143"/>
                        <wps:cNvSpPr txBox="1">
                          <a:spLocks noChangeArrowheads="1"/>
                        </wps:cNvSpPr>
                        <wps:spPr bwMode="auto">
                          <a:xfrm>
                            <a:off x="3260725" y="3792538"/>
                            <a:ext cx="593725" cy="37465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BBE0E3"/>
                                </a:solidFill>
                              </a14:hiddenFill>
                            </a:ext>
                          </a:extLst>
                        </wps:spPr>
                        <wps:txbx>
                          <w:txbxContent>
                            <w:p w14:paraId="69A4911E" w14:textId="77777777" w:rsidR="00B44B0D" w:rsidRDefault="00B44B0D" w:rsidP="00C96521">
                              <w:pPr>
                                <w:jc w:val="center"/>
                                <w:rPr>
                                  <w:rFonts w:cs="Arial"/>
                                  <w:color w:val="000000"/>
                                  <w:szCs w:val="18"/>
                                </w:rPr>
                              </w:pPr>
                              <w:r>
                                <w:rPr>
                                  <w:rFonts w:cs="Arial"/>
                                  <w:color w:val="000000"/>
                                  <w:szCs w:val="18"/>
                                </w:rPr>
                                <w:t xml:space="preserve">N2; </w:t>
                              </w:r>
                              <w:r>
                                <w:rPr>
                                  <w:rFonts w:cs="Arial"/>
                                  <w:color w:val="000000"/>
                                  <w:szCs w:val="18"/>
                                  <w:lang w:val="el-GR"/>
                                </w:rPr>
                                <w:t>λ</w:t>
                              </w:r>
                              <w:r>
                                <w:rPr>
                                  <w:rFonts w:cs="Arial"/>
                                  <w:color w:val="000000"/>
                                  <w:szCs w:val="18"/>
                                </w:rPr>
                                <w:t>max2</w:t>
                              </w:r>
                            </w:p>
                          </w:txbxContent>
                        </wps:txbx>
                        <wps:bodyPr rot="0" vert="horz" wrap="square" lIns="91440" tIns="45720" rIns="91440" bIns="45720" anchor="t" anchorCtr="0" upright="1">
                          <a:noAutofit/>
                        </wps:bodyPr>
                      </wps:wsp>
                      <wps:wsp>
                        <wps:cNvPr id="69" name="Text Box 144"/>
                        <wps:cNvSpPr txBox="1">
                          <a:spLocks noChangeArrowheads="1"/>
                        </wps:cNvSpPr>
                        <wps:spPr bwMode="auto">
                          <a:xfrm>
                            <a:off x="2625725" y="3792538"/>
                            <a:ext cx="593725" cy="37465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BBE0E3"/>
                                </a:solidFill>
                              </a14:hiddenFill>
                            </a:ext>
                          </a:extLst>
                        </wps:spPr>
                        <wps:txbx>
                          <w:txbxContent>
                            <w:p w14:paraId="69601A1E" w14:textId="77777777" w:rsidR="00B44B0D" w:rsidRDefault="00B44B0D" w:rsidP="00C96521">
                              <w:pPr>
                                <w:jc w:val="center"/>
                                <w:rPr>
                                  <w:rFonts w:cs="Arial"/>
                                  <w:color w:val="000000"/>
                                  <w:szCs w:val="18"/>
                                </w:rPr>
                              </w:pPr>
                              <w:r>
                                <w:rPr>
                                  <w:rFonts w:cs="Arial"/>
                                  <w:color w:val="000000"/>
                                  <w:szCs w:val="18"/>
                                </w:rPr>
                                <w:t xml:space="preserve">N2; </w:t>
                              </w:r>
                              <w:r>
                                <w:rPr>
                                  <w:rFonts w:cs="Arial"/>
                                  <w:color w:val="000000"/>
                                  <w:szCs w:val="18"/>
                                  <w:lang w:val="el-GR"/>
                                </w:rPr>
                                <w:t>λ</w:t>
                              </w:r>
                              <w:r>
                                <w:rPr>
                                  <w:rFonts w:cs="Arial"/>
                                  <w:color w:val="000000"/>
                                  <w:szCs w:val="18"/>
                                </w:rPr>
                                <w:t>max1</w:t>
                              </w:r>
                            </w:p>
                          </w:txbxContent>
                        </wps:txbx>
                        <wps:bodyPr rot="0" vert="horz" wrap="square" lIns="91440" tIns="45720" rIns="91440" bIns="45720" anchor="t" anchorCtr="0" upright="1">
                          <a:noAutofit/>
                        </wps:bodyPr>
                      </wps:wsp>
                      <wps:wsp>
                        <wps:cNvPr id="70" name="Text Box 145"/>
                        <wps:cNvSpPr txBox="1">
                          <a:spLocks noChangeArrowheads="1"/>
                        </wps:cNvSpPr>
                        <wps:spPr bwMode="auto">
                          <a:xfrm>
                            <a:off x="825500" y="3789363"/>
                            <a:ext cx="531813" cy="37465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BBE0E3"/>
                                </a:solidFill>
                              </a14:hiddenFill>
                            </a:ext>
                          </a:extLst>
                        </wps:spPr>
                        <wps:txbx>
                          <w:txbxContent>
                            <w:p w14:paraId="26D6D228" w14:textId="77777777" w:rsidR="00B44B0D" w:rsidRDefault="00B44B0D" w:rsidP="00C96521">
                              <w:pPr>
                                <w:jc w:val="center"/>
                                <w:rPr>
                                  <w:rFonts w:cs="Arial"/>
                                  <w:color w:val="000000"/>
                                  <w:szCs w:val="18"/>
                                </w:rPr>
                              </w:pPr>
                              <w:r>
                                <w:rPr>
                                  <w:rFonts w:cs="Arial"/>
                                  <w:color w:val="000000"/>
                                  <w:szCs w:val="18"/>
                                </w:rPr>
                                <w:t xml:space="preserve">N1; </w:t>
                              </w:r>
                              <w:r>
                                <w:rPr>
                                  <w:rFonts w:cs="Arial"/>
                                  <w:color w:val="000000"/>
                                  <w:szCs w:val="18"/>
                                  <w:lang w:val="el-GR"/>
                                </w:rPr>
                                <w:t>λ</w:t>
                              </w:r>
                              <w:r>
                                <w:rPr>
                                  <w:rFonts w:cs="Arial"/>
                                  <w:color w:val="000000"/>
                                  <w:szCs w:val="18"/>
                                </w:rPr>
                                <w:t>max1</w:t>
                              </w:r>
                            </w:p>
                          </w:txbxContent>
                        </wps:txbx>
                        <wps:bodyPr rot="0" vert="horz" wrap="square" lIns="91440" tIns="45720" rIns="91440" bIns="45720" anchor="t" anchorCtr="0" upright="1">
                          <a:noAutofit/>
                        </wps:bodyPr>
                      </wps:wsp>
                      <wps:wsp>
                        <wps:cNvPr id="71" name="Text Box 146"/>
                        <wps:cNvSpPr txBox="1">
                          <a:spLocks noChangeArrowheads="1"/>
                        </wps:cNvSpPr>
                        <wps:spPr bwMode="auto">
                          <a:xfrm>
                            <a:off x="1978025" y="3787775"/>
                            <a:ext cx="531813" cy="37465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BBE0E3"/>
                                </a:solidFill>
                              </a14:hiddenFill>
                            </a:ext>
                          </a:extLst>
                        </wps:spPr>
                        <wps:txbx>
                          <w:txbxContent>
                            <w:p w14:paraId="1A491988" w14:textId="77777777" w:rsidR="00B44B0D" w:rsidRDefault="00B44B0D" w:rsidP="00C96521">
                              <w:pPr>
                                <w:jc w:val="center"/>
                                <w:rPr>
                                  <w:rFonts w:cs="Arial"/>
                                  <w:color w:val="000000"/>
                                  <w:szCs w:val="18"/>
                                </w:rPr>
                              </w:pPr>
                              <w:r>
                                <w:rPr>
                                  <w:rFonts w:cs="Arial"/>
                                  <w:color w:val="000000"/>
                                  <w:szCs w:val="18"/>
                                </w:rPr>
                                <w:t xml:space="preserve">N1; </w:t>
                              </w:r>
                              <w:r>
                                <w:rPr>
                                  <w:rFonts w:cs="Arial"/>
                                  <w:color w:val="000000"/>
                                  <w:szCs w:val="18"/>
                                  <w:lang w:val="el-GR"/>
                                </w:rPr>
                                <w:t>λ</w:t>
                              </w:r>
                              <w:r>
                                <w:rPr>
                                  <w:rFonts w:cs="Arial"/>
                                  <w:color w:val="000000"/>
                                  <w:szCs w:val="18"/>
                                </w:rPr>
                                <w:t>max3</w:t>
                              </w:r>
                            </w:p>
                          </w:txbxContent>
                        </wps:txbx>
                        <wps:bodyPr rot="0" vert="horz" wrap="square" lIns="91440" tIns="45720" rIns="91440" bIns="45720" anchor="t" anchorCtr="0" upright="1">
                          <a:noAutofit/>
                        </wps:bodyPr>
                      </wps:wsp>
                      <wps:wsp>
                        <wps:cNvPr id="72" name="Text Box 147"/>
                        <wps:cNvSpPr txBox="1">
                          <a:spLocks noChangeArrowheads="1"/>
                        </wps:cNvSpPr>
                        <wps:spPr bwMode="auto">
                          <a:xfrm>
                            <a:off x="1408113" y="3787775"/>
                            <a:ext cx="531813" cy="37465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BBE0E3"/>
                                </a:solidFill>
                              </a14:hiddenFill>
                            </a:ext>
                          </a:extLst>
                        </wps:spPr>
                        <wps:txbx>
                          <w:txbxContent>
                            <w:p w14:paraId="01653773" w14:textId="77777777" w:rsidR="00B44B0D" w:rsidRDefault="00B44B0D" w:rsidP="00C96521">
                              <w:pPr>
                                <w:jc w:val="center"/>
                                <w:rPr>
                                  <w:rFonts w:cs="Arial"/>
                                  <w:color w:val="000000"/>
                                  <w:szCs w:val="18"/>
                                </w:rPr>
                              </w:pPr>
                              <w:r>
                                <w:rPr>
                                  <w:rFonts w:cs="Arial"/>
                                  <w:color w:val="000000"/>
                                  <w:szCs w:val="18"/>
                                </w:rPr>
                                <w:t xml:space="preserve">N1; </w:t>
                              </w:r>
                              <w:r>
                                <w:rPr>
                                  <w:rFonts w:cs="Arial"/>
                                  <w:color w:val="000000"/>
                                  <w:szCs w:val="18"/>
                                  <w:lang w:val="el-GR"/>
                                </w:rPr>
                                <w:t>λ</w:t>
                              </w:r>
                              <w:r>
                                <w:rPr>
                                  <w:rFonts w:cs="Arial"/>
                                  <w:color w:val="000000"/>
                                  <w:szCs w:val="18"/>
                                </w:rPr>
                                <w:t>max2</w:t>
                              </w:r>
                            </w:p>
                          </w:txbxContent>
                        </wps:txbx>
                        <wps:bodyPr rot="0" vert="horz" wrap="square" lIns="91440" tIns="45720" rIns="91440" bIns="45720" anchor="t" anchorCtr="0" upright="1">
                          <a:noAutofit/>
                        </wps:bodyPr>
                      </wps:wsp>
                      <wps:wsp>
                        <wps:cNvPr id="73" name="AutoShape 148"/>
                        <wps:cNvCnPr>
                          <a:cxnSpLocks noChangeShapeType="1"/>
                          <a:stCxn id="54" idx="2"/>
                          <a:endCxn id="71" idx="0"/>
                        </wps:cNvCnPr>
                        <wps:spPr bwMode="auto">
                          <a:xfrm flipH="1">
                            <a:off x="2243931" y="3171825"/>
                            <a:ext cx="1327150" cy="615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4" name="AutoShape 149"/>
                        <wps:cNvCnPr>
                          <a:cxnSpLocks noChangeShapeType="1"/>
                          <a:stCxn id="52" idx="2"/>
                          <a:endCxn id="69" idx="0"/>
                        </wps:cNvCnPr>
                        <wps:spPr bwMode="auto">
                          <a:xfrm>
                            <a:off x="1678781" y="3176588"/>
                            <a:ext cx="1243806" cy="615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5" name="AutoShape 150"/>
                        <wps:cNvCnPr>
                          <a:cxnSpLocks noChangeShapeType="1"/>
                          <a:stCxn id="53" idx="2"/>
                          <a:endCxn id="68" idx="0"/>
                        </wps:cNvCnPr>
                        <wps:spPr bwMode="auto">
                          <a:xfrm>
                            <a:off x="2647156" y="3171825"/>
                            <a:ext cx="910431" cy="6207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6" name="Text Box 151"/>
                        <wps:cNvSpPr txBox="1">
                          <a:spLocks noChangeArrowheads="1"/>
                        </wps:cNvSpPr>
                        <wps:spPr bwMode="auto">
                          <a:xfrm>
                            <a:off x="896938" y="4519613"/>
                            <a:ext cx="374650" cy="238125"/>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BBE0E3"/>
                                </a:solidFill>
                              </a14:hiddenFill>
                            </a:ext>
                          </a:extLst>
                        </wps:spPr>
                        <wps:txbx>
                          <w:txbxContent>
                            <w:p w14:paraId="230CDD5E" w14:textId="77777777" w:rsidR="00B44B0D" w:rsidRDefault="00B44B0D" w:rsidP="00C96521">
                              <w:pPr>
                                <w:jc w:val="center"/>
                                <w:rPr>
                                  <w:rFonts w:cs="Arial"/>
                                  <w:color w:val="000000"/>
                                  <w:szCs w:val="18"/>
                                </w:rPr>
                              </w:pPr>
                              <w:r>
                                <w:rPr>
                                  <w:rFonts w:cs="Arial"/>
                                  <w:color w:val="000000"/>
                                  <w:szCs w:val="18"/>
                                </w:rPr>
                                <w:t>P1</w:t>
                              </w:r>
                            </w:p>
                          </w:txbxContent>
                        </wps:txbx>
                        <wps:bodyPr rot="0" vert="horz" wrap="square" lIns="91440" tIns="45720" rIns="91440" bIns="45720" anchor="t" anchorCtr="0" upright="1">
                          <a:noAutofit/>
                        </wps:bodyPr>
                      </wps:wsp>
                      <wps:wsp>
                        <wps:cNvPr id="77" name="Text Box 152"/>
                        <wps:cNvSpPr txBox="1">
                          <a:spLocks noChangeArrowheads="1"/>
                        </wps:cNvSpPr>
                        <wps:spPr bwMode="auto">
                          <a:xfrm>
                            <a:off x="1506538" y="4513263"/>
                            <a:ext cx="374650" cy="238125"/>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BBE0E3"/>
                                </a:solidFill>
                              </a14:hiddenFill>
                            </a:ext>
                          </a:extLst>
                        </wps:spPr>
                        <wps:txbx>
                          <w:txbxContent>
                            <w:p w14:paraId="3F952788" w14:textId="77777777" w:rsidR="00B44B0D" w:rsidRDefault="00B44B0D" w:rsidP="00C96521">
                              <w:pPr>
                                <w:jc w:val="center"/>
                                <w:rPr>
                                  <w:rFonts w:cs="Arial"/>
                                  <w:color w:val="000000"/>
                                  <w:szCs w:val="18"/>
                                </w:rPr>
                              </w:pPr>
                              <w:r>
                                <w:rPr>
                                  <w:rFonts w:cs="Arial"/>
                                  <w:color w:val="000000"/>
                                  <w:szCs w:val="18"/>
                                </w:rPr>
                                <w:t>P2</w:t>
                              </w:r>
                            </w:p>
                          </w:txbxContent>
                        </wps:txbx>
                        <wps:bodyPr rot="0" vert="horz" wrap="square" lIns="91440" tIns="45720" rIns="91440" bIns="45720" anchor="t" anchorCtr="0" upright="1">
                          <a:noAutofit/>
                        </wps:bodyPr>
                      </wps:wsp>
                      <wps:wsp>
                        <wps:cNvPr id="78" name="Text Box 153"/>
                        <wps:cNvSpPr txBox="1">
                          <a:spLocks noChangeArrowheads="1"/>
                        </wps:cNvSpPr>
                        <wps:spPr bwMode="auto">
                          <a:xfrm>
                            <a:off x="2087563" y="4529138"/>
                            <a:ext cx="374650" cy="238125"/>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BBE0E3"/>
                                </a:solidFill>
                              </a14:hiddenFill>
                            </a:ext>
                          </a:extLst>
                        </wps:spPr>
                        <wps:txbx>
                          <w:txbxContent>
                            <w:p w14:paraId="581A5D37" w14:textId="77777777" w:rsidR="00B44B0D" w:rsidRDefault="00B44B0D" w:rsidP="00C96521">
                              <w:pPr>
                                <w:jc w:val="center"/>
                                <w:rPr>
                                  <w:rFonts w:cs="Arial"/>
                                  <w:color w:val="000000"/>
                                  <w:szCs w:val="18"/>
                                </w:rPr>
                              </w:pPr>
                              <w:r>
                                <w:rPr>
                                  <w:rFonts w:cs="Arial"/>
                                  <w:color w:val="000000"/>
                                  <w:szCs w:val="18"/>
                                </w:rPr>
                                <w:t>P3</w:t>
                              </w:r>
                            </w:p>
                          </w:txbxContent>
                        </wps:txbx>
                        <wps:bodyPr rot="0" vert="horz" wrap="square" lIns="91440" tIns="45720" rIns="91440" bIns="45720" anchor="t" anchorCtr="0" upright="1">
                          <a:noAutofit/>
                        </wps:bodyPr>
                      </wps:wsp>
                      <wps:wsp>
                        <wps:cNvPr id="79" name="Text Box 154"/>
                        <wps:cNvSpPr txBox="1">
                          <a:spLocks noChangeArrowheads="1"/>
                        </wps:cNvSpPr>
                        <wps:spPr bwMode="auto">
                          <a:xfrm>
                            <a:off x="2711450" y="4525963"/>
                            <a:ext cx="374650" cy="238125"/>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BBE0E3"/>
                                </a:solidFill>
                              </a14:hiddenFill>
                            </a:ext>
                          </a:extLst>
                        </wps:spPr>
                        <wps:txbx>
                          <w:txbxContent>
                            <w:p w14:paraId="0676F02F" w14:textId="77777777" w:rsidR="00B44B0D" w:rsidRDefault="00B44B0D" w:rsidP="00C96521">
                              <w:pPr>
                                <w:jc w:val="center"/>
                                <w:rPr>
                                  <w:rFonts w:cs="Arial"/>
                                  <w:color w:val="000000"/>
                                  <w:szCs w:val="18"/>
                                </w:rPr>
                              </w:pPr>
                              <w:r>
                                <w:rPr>
                                  <w:rFonts w:cs="Arial"/>
                                  <w:color w:val="000000"/>
                                  <w:szCs w:val="18"/>
                                </w:rPr>
                                <w:t>P4</w:t>
                              </w:r>
                            </w:p>
                          </w:txbxContent>
                        </wps:txbx>
                        <wps:bodyPr rot="0" vert="horz" wrap="square" lIns="91440" tIns="45720" rIns="91440" bIns="45720" anchor="t" anchorCtr="0" upright="1">
                          <a:noAutofit/>
                        </wps:bodyPr>
                      </wps:wsp>
                      <wps:wsp>
                        <wps:cNvPr id="80" name="Text Box 155"/>
                        <wps:cNvSpPr txBox="1">
                          <a:spLocks noChangeArrowheads="1"/>
                        </wps:cNvSpPr>
                        <wps:spPr bwMode="auto">
                          <a:xfrm>
                            <a:off x="3332163" y="4525963"/>
                            <a:ext cx="374650" cy="238125"/>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BBE0E3"/>
                                </a:solidFill>
                              </a14:hiddenFill>
                            </a:ext>
                          </a:extLst>
                        </wps:spPr>
                        <wps:txbx>
                          <w:txbxContent>
                            <w:p w14:paraId="1BE8EF74" w14:textId="77777777" w:rsidR="00B44B0D" w:rsidRDefault="00B44B0D" w:rsidP="00C96521">
                              <w:pPr>
                                <w:jc w:val="center"/>
                                <w:rPr>
                                  <w:rFonts w:cs="Arial"/>
                                  <w:color w:val="000000"/>
                                  <w:szCs w:val="18"/>
                                </w:rPr>
                              </w:pPr>
                              <w:r>
                                <w:rPr>
                                  <w:rFonts w:cs="Arial"/>
                                  <w:color w:val="000000"/>
                                  <w:szCs w:val="18"/>
                                </w:rPr>
                                <w:t>P5</w:t>
                              </w:r>
                            </w:p>
                          </w:txbxContent>
                        </wps:txbx>
                        <wps:bodyPr rot="0" vert="horz" wrap="square" lIns="91440" tIns="45720" rIns="91440" bIns="45720" anchor="t" anchorCtr="0" upright="1">
                          <a:noAutofit/>
                        </wps:bodyPr>
                      </wps:wsp>
                      <wps:wsp>
                        <wps:cNvPr id="81" name="Text Box 156"/>
                        <wps:cNvSpPr txBox="1">
                          <a:spLocks noChangeArrowheads="1"/>
                        </wps:cNvSpPr>
                        <wps:spPr bwMode="auto">
                          <a:xfrm>
                            <a:off x="3946525" y="4522788"/>
                            <a:ext cx="374650" cy="238125"/>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BBE0E3"/>
                                </a:solidFill>
                              </a14:hiddenFill>
                            </a:ext>
                          </a:extLst>
                        </wps:spPr>
                        <wps:txbx>
                          <w:txbxContent>
                            <w:p w14:paraId="5236E758" w14:textId="77777777" w:rsidR="00B44B0D" w:rsidRDefault="00B44B0D" w:rsidP="00C96521">
                              <w:pPr>
                                <w:jc w:val="center"/>
                                <w:rPr>
                                  <w:rFonts w:cs="Arial"/>
                                  <w:color w:val="000000"/>
                                  <w:szCs w:val="18"/>
                                </w:rPr>
                              </w:pPr>
                              <w:r>
                                <w:rPr>
                                  <w:rFonts w:cs="Arial"/>
                                  <w:color w:val="000000"/>
                                  <w:szCs w:val="18"/>
                                </w:rPr>
                                <w:t>P6</w:t>
                              </w:r>
                            </w:p>
                          </w:txbxContent>
                        </wps:txbx>
                        <wps:bodyPr rot="0" vert="horz" wrap="square" lIns="91440" tIns="45720" rIns="91440" bIns="45720" anchor="t" anchorCtr="0" upright="1">
                          <a:noAutofit/>
                        </wps:bodyPr>
                      </wps:wsp>
                      <wps:wsp>
                        <wps:cNvPr id="82" name="Line 157"/>
                        <wps:cNvCnPr>
                          <a:cxnSpLocks noChangeShapeType="1"/>
                        </wps:cNvCnPr>
                        <wps:spPr bwMode="auto">
                          <a:xfrm>
                            <a:off x="1046163" y="4210050"/>
                            <a:ext cx="0" cy="252413"/>
                          </a:xfrm>
                          <a:prstGeom prst="line">
                            <a:avLst/>
                          </a:prstGeom>
                          <a:noFill/>
                          <a:ln w="158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3" name="Line 158"/>
                        <wps:cNvCnPr>
                          <a:cxnSpLocks noChangeShapeType="1"/>
                        </wps:cNvCnPr>
                        <wps:spPr bwMode="auto">
                          <a:xfrm>
                            <a:off x="1708150" y="4217988"/>
                            <a:ext cx="0" cy="252413"/>
                          </a:xfrm>
                          <a:prstGeom prst="line">
                            <a:avLst/>
                          </a:prstGeom>
                          <a:noFill/>
                          <a:ln w="158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4" name="Line 159"/>
                        <wps:cNvCnPr>
                          <a:cxnSpLocks noChangeShapeType="1"/>
                        </wps:cNvCnPr>
                        <wps:spPr bwMode="auto">
                          <a:xfrm>
                            <a:off x="2284413" y="4219575"/>
                            <a:ext cx="0" cy="252413"/>
                          </a:xfrm>
                          <a:prstGeom prst="line">
                            <a:avLst/>
                          </a:prstGeom>
                          <a:noFill/>
                          <a:ln w="158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5" name="Line 160"/>
                        <wps:cNvCnPr>
                          <a:cxnSpLocks noChangeShapeType="1"/>
                        </wps:cNvCnPr>
                        <wps:spPr bwMode="auto">
                          <a:xfrm>
                            <a:off x="2924175" y="4217988"/>
                            <a:ext cx="0" cy="252413"/>
                          </a:xfrm>
                          <a:prstGeom prst="line">
                            <a:avLst/>
                          </a:prstGeom>
                          <a:noFill/>
                          <a:ln w="158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6" name="Line 161"/>
                        <wps:cNvCnPr>
                          <a:cxnSpLocks noChangeShapeType="1"/>
                        </wps:cNvCnPr>
                        <wps:spPr bwMode="auto">
                          <a:xfrm>
                            <a:off x="3529013" y="4210050"/>
                            <a:ext cx="0" cy="252413"/>
                          </a:xfrm>
                          <a:prstGeom prst="line">
                            <a:avLst/>
                          </a:prstGeom>
                          <a:noFill/>
                          <a:ln w="158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7" name="Line 162"/>
                        <wps:cNvCnPr>
                          <a:cxnSpLocks noChangeShapeType="1"/>
                        </wps:cNvCnPr>
                        <wps:spPr bwMode="auto">
                          <a:xfrm>
                            <a:off x="4157663" y="4210050"/>
                            <a:ext cx="0" cy="252413"/>
                          </a:xfrm>
                          <a:prstGeom prst="line">
                            <a:avLst/>
                          </a:prstGeom>
                          <a:noFill/>
                          <a:ln w="1587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9916F28" id="Canvas 102" o:spid="_x0000_s1028" editas="canvas" style="position:absolute;left:0;text-align:left;margin-left:18pt;margin-top:6.4pt;width:405pt;height:385.5pt;z-index:251660800" coordsize="51435,48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lCWYQwAAICiAAAOAAAAZHJzL2Uyb0RvYy54bWzsnW1z2soVx993pt9Bw3ti7YMelgm5k2C7&#10;7Uza3mnSDyCDMExBokKOnXb63fvfXWm1CBFjri3sm3USBxAIPfx09uz5n3P0/peH9cr7lhbbZZ6N&#10;B+SdP/DSbJrPltntePDPr9fDeOBtyySbJas8S8eD7+l28MuHP/7h/f1mlNJ8ka9maeFhJdl2dL8Z&#10;DxZluRldXGyni3SdbN/lmzTDwnlerJMST4vbi1mR3GPt69UF9f3w4j4vZpsin6bbLV691AsHH9T6&#10;5/N0Wv59Pt+mpbcaD7BtpfpdqN838vfFh/fJ6LZINovltNqM5IStWCfLDF9qVnWZlIl3Vyz3VrVe&#10;Tot8m8/Ld9N8fZHP58tpqvYBe0P81t5MkuxbslU7M8XRqTcQj55xvTe3cruz/Hq5WuFoXGDtI/ma&#10;/P8e5yfFi/cbnJ3txpyn7W/7/i+LZJOq3dqOpn/79mvhLWfjgRh4WbIGI//AWUuy21XqEZ/LMyS/&#10;Hu/7svm1kNu63XzOp//aelk+WeB96ceiyO8XaTLDZhH5fuyD9QH5ZIuPejf3f81nWH9yV+bqZD3M&#10;i7VcIU6D9zAeUC4oA6/fDRjpQ+lNsYTHlHPCBt4Uy3gsgjhQ6Fwko3odm2Jb/inN1558MB4U2Af1&#10;Hcm3z9tSblMyqt+i9iFfLWfykKsnxe3NZFV43xJQevVR/lG7gV2137bKvHscpoAGas07y7b2Knz1&#10;07WK9bLE5bZarseD2LwpGcmDd5XNsJnJqEyWK/0Ym7zKqqMpD6A+ETf57DsOZpHrawnXPh4s8uI/&#10;A+8e19F4sP33XVKkA2/1lwwnRBDO5YWnnvAgonhS2Etu7CVJNsWqxoNpWQw8/WRS6sv1blMsbxf4&#10;LqL2Pss/4jTOl+rYylOst6vaXMDaE7WEdmEb9IktIYJJOMFmRDgIVuexZpfGhPCwYpcIzsNYveMl&#10;2L1WP13gOXZfI7thze5XScun/AEWN2yh65UPWFBfdi9le4nwAxgkBTEhQawZTUY1xQyWGW/QFpjS&#10;OMRjbVVPNMBmwNNGzh4B61fw3bDd0ibKrVCj+X+FL67iq5gPOQ2vhtyfzYYfryd8GF6TKLhkl5PJ&#10;JflfcwFWHyKU+5+oGF6HcTTkcx4MReTHQ5+ITyL0ueCX1+pDuCbrL1VjWGN1y4ebBzVK0vr09GKH&#10;yzdihSns277zENXHqgfnIfJDaXqlEaZ+GAcwyDtmmMVxFIFq5ULQKPKJM8POhdCXNO+CVw3SO47s&#10;y3m+DM7tYQ+CRIwFcHgVus6DcN5vM2fDVKSyu5YHIVpmtx8PovIdGEbWalpf+w6U+cx4wD+z76CG&#10;pGau9MJzuDfjO2BQ1r5DwzBRCFnWtx+GYxEK40TEUYBp264TwWJuLPHPTLIJCzkv2IqgMdjAPZJV&#10;RKx3kjmN/IpkTgKBcWIHZB4KYWZzLCZ6+ekhiZ3Z3FmiZM3M7aTp4hEzPxNTcszbzHd4IIjJgbbe&#10;mYfxFjLQJmPEjvnHQyRHMG+CUY55m/mOuJ2ON/TOPIFmQuXcUEHPWTv67Ax9Ky54BPQmbOWgt6GP&#10;Opwb4wdWEb5+3HQeIrynY30ijnjbuSHcD6VIp0N9zrtR4udjcW0T7nLQ29B3zU2NI9gv9EEQVjFC&#10;6DPCbys0StutgoQQa5xLf4SlN5EyB70NvckEsQIyxhPsFXoRCS5FG3g3gJ6ztql30D/dvWlia456&#10;i3puEkks6o0r2Cv1cOqVwF5h72z9o2r/EbaemECcw97G3ij3FvbGGewVe0pDFkXw2+Vc1hcBHu4E&#10;LZEDGMlIpvPr6ySXY7A3sTiHvY290fwt7I072C/2mK6GVQhHiDhoh3CIH+MvnCCZ/Oo8e5iEY7B3&#10;WmtXjjfviNYjI/gc0XoWMooKAmXthVCGf8faEz8STcahm9Aeh70JyDlrb1v7joA9Nf5gv9YembZR&#10;Ze1JSKKwnWNAaBwg9cCZe5PKe4y5NzE5x73NfUfMnhqHsFfuWcBC2HMdygkJlekHu/aeEUFlgNO5&#10;OVUK+zHcm7Cc497mviNsjxT1c7g5BJIs5rWKewrE9xTanVltHFAZ78SG4uQ/R2XF7zQXh5jAnOPe&#10;5t5E7j8vM5RvUuMOwtZPMl2+OX3IvrQqOFVB6NfvGxRnKq+oLuDUH5FJDUcVcIaYqFa6bIQEnLZn&#10;U4tTYFxnSxxmfIXN/1H55l6+GdQB+Ew/ruw8XJZZ5HdV9WVHJaZXqgNTFktVFIsyy/Fgnc5QYJmi&#10;5Fo+0perrNV8sSw0jbn8Ink2+iuvlCO2TmmsiDKOVi9EoRTNrzNyIyKk6o9joDP8ZGGwQ+qxOrjD&#10;TsTZkCItpIwP0w9SYSxIFXdwVuqU0spXiFSHdkeNi9DrPIcwgewjPc+hAoJFO08jiELlD6ppzk9c&#10;SEuMyORcOMuFCzr0OGoOVa8oUxYIX+ptUncQSL5oZ184lHVNODHCkUPZRrlDY6PmUPWKMqMxraNP&#10;DmX0VDjY3sCIQQ5lG+UO3QzVXpiL9J7xD//Cr3PiWBQL6Gi7c6IAYlqdJcEi5Eqr7Tw8136sVdLe&#10;XLv3DkgvNqtuunoYMchhb2NvdDPZ7ElFiTx0KrC4f0JQCe0TyslDplouBHDYlzPZ86tiN5vViyL4&#10;zmqRxra6vo6JRHnz1XLz57pTTtVUjPjogIWmOtKJYZDb0NqmdbnEEavlNugSMgFJx3MOhF+3ZZHI&#10;RliTPMvQZCwvdD+sA33GnvficXGq7La7eV1glC6bVFvqOpVU+OOHSK0hfiZSw4jHVYY/SCVx290W&#10;EWUcPpWcOYaIrz5m2B2pP8qZ0Ib+DBFVo03ZpNri1KmkAo0DpAZwX06zqTLYWllSFkQyFa22pPt8&#10;hqg5l0qX5jOqEtkOOx6Oz1fJZ0tDYmfTkJAkgLSvlnfrIv5vL+If4qTZIhI7n4gEpsK9kKxj6g0y&#10;1VKRWM8qUoS2kXLaAF/M2alnbrlyLtcsNDKSFruZLSE9wSs7MX2C+QFnlXSE7j1SJXJi93I8OL7p&#10;6+tTJqU/vDP02VJOD0ihzVNtptCXb69o3I18b3DkM7JKZaVsSaUHpPwAEeaqJpuiXkkHzFxOzps2&#10;U0bf0EzhlgGNttEDUwJ1ndJUam8q4O3kcGen3qCdMuJBU2LJbe3gi7wpSC/d7akfEPS3V3zRMNpv&#10;UcuZ39Qe/MRJOU1xiNPBLB0sNOqChbItLvSIcsxJWCflQDGQQ/HOLIEzglvLVGU0PzPKJqTuULZR&#10;NvKDhbI5VD0n5YS+ylTAqM9kZ4c2yi6T4endfZqSD4e9jb1RNSzsbWWjRwsO8+2wf56wTpPAYyQF&#10;h72FvUymaXckRw+IZm7XH/ZIZ1DtHJSx70pbg99Sl/+6tDWcocPBzIZ6I3o46m3qjTZkGXtzqHr1&#10;cYiI4jqHHtmaUZVe1kTLAof97o3bjsHe6DIOext7I19Z2JtD1S/2HJlCdS6bw/6I+xUeg73Rjhz2&#10;NvZGYrMS6rg5VuD+CQHsnSTlwwl1EUaY0xLqOpOUKeUM95A9nFpHGEWtahXVcbmfx90C9PAlpa8f&#10;6WP1W00fGenORvVE/W4H1ToVeT+fPsTM9zRUrdxPEsKIN7mf+1n0aDXBYplm75KT37IOKDOa9HzR&#10;AlTnme8UYiSjI7qI7AAKI30gOTlERPI3A0pDDgNpyjz2k5NR84/IeMUn9SOdVwoT4co8Dt5D+RUa&#10;0A5NMTiPpmjdK5AHRMh7M+zoMFUMw7Uze0Kz4qY62Hm4tofbIT+igu4cUTw4oaHUaWSmBrDfT1J0&#10;2D9ds2kqiR32NvYdUiXaY5wDe+rru8Fq7Ol+IyqH/QnYm4HbYW9j3yFVBmeSKiNCeJU3xXFLtb2W&#10;fg77E7A3I7fD3sI+7pAqUbd6DmvPGKOkSkd12F89T/SamZHbYW9j36FVIo5xFuwFmsVUqYXAnkbt&#10;VhnO2p9g7c3I7bC3sTdapS44QP+OBvkn6DUnltohGBgaC0/RDlTHOBtZvk6gdb2KZ8OP1xM+DK+P&#10;Zl+DjtPZs7oSGyGwYupEDfBUpiJo3rWzTMl+50/H1NsrYomNYlcxdaJYdyJTlMZcNktXcQdK9u+J&#10;55h6g0wZkU0zhfYYfY59VKD/ftW6gDs79fvogB0bYaxiysTWnpb/cqKdYgFu6NPYKedPPZTeXbF8&#10;niT3s/lTRnaqmDKBq16Y4gT9pesojPPRX9xO4dKfjvBPZZ7fFslmsZxeJmViP1c+/Sil+SJfzdLi&#10;w/8BAAD//wMAUEsDBBQABgAIAAAAIQBIxY614AAAAAkBAAAPAAAAZHJzL2Rvd25yZXYueG1sTI/B&#10;TsMwEETvSPyDtUhcEHVoUYlCnAoClegBJAKIqxMviSFeh9htw9+zPcFxZ0az8/LV5HqxwzFYTwou&#10;ZgkIpMYbS62C15f1eQoiRE1G955QwQ8GWBXHR7nOjN/TM+6q2AouoZBpBV2MQyZlaDp0Osz8gMTe&#10;hx+djnyOrTSj3nO56+U8SZbSaUv8odMDlh02X9XWKSjrb1ud3T90pXy8e998vtn17VOl1OnJdHMN&#10;IuIU/8JwmM/ToeBNtd+SCaJXsFgySmR9zgTsp5cHoVZwlS5SkEUu/xMUvwAAAP//AwBQSwECLQAU&#10;AAYACAAAACEAtoM4kv4AAADhAQAAEwAAAAAAAAAAAAAAAAAAAAAAW0NvbnRlbnRfVHlwZXNdLnht&#10;bFBLAQItABQABgAIAAAAIQA4/SH/1gAAAJQBAAALAAAAAAAAAAAAAAAAAC8BAABfcmVscy8ucmVs&#10;c1BLAQItABQABgAIAAAAIQAaelCWYQwAAICiAAAOAAAAAAAAAAAAAAAAAC4CAABkcnMvZTJvRG9j&#10;LnhtbFBLAQItABQABgAIAAAAIQBIxY614AAAAAkBAAAPAAAAAAAAAAAAAAAAALsOAABkcnMvZG93&#10;bnJldi54bWxQSwUGAAAAAAQABADzAAAAyA8AAAAA&#10;">
                <v:shape id="_x0000_s1029" type="#_x0000_t75" style="position:absolute;width:51435;height:48958;visibility:visible;mso-wrap-style:square">
                  <v:fill o:detectmouseclick="t"/>
                  <v:path o:connecttype="none"/>
                </v:shape>
                <v:rect id="Rectangle 104" o:spid="_x0000_s1030" style="position:absolute;left:2492;width:48244;height:48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JbgwAAAANoAAAAPAAAAZHJzL2Rvd25yZXYueG1sRI/NqsIw&#10;FIT3gu8QjuBOU+9CbDWK/4gb8ecBDs2xLTYnpcmt9T79jSC4HGbmG2a2aE0pGqpdYVnBaBiBIE6t&#10;LjhTcLvuBhMQziNrLC2Tghc5WMy7nRkm2j75TM3FZyJA2CWoIPe+SqR0aU4G3dBWxMG729qgD7LO&#10;pK7xGeCmlD9RNJYGCw4LOVa0zil9XH6NgtXG/p3YFnGz3B5xdDT7ePzYK9XvtcspCE+t/4Y/7YNW&#10;EMP7SrgBcv4PAAD//wMAUEsBAi0AFAAGAAgAAAAhANvh9svuAAAAhQEAABMAAAAAAAAAAAAAAAAA&#10;AAAAAFtDb250ZW50X1R5cGVzXS54bWxQSwECLQAUAAYACAAAACEAWvQsW78AAAAVAQAACwAAAAAA&#10;AAAAAAAAAAAfAQAAX3JlbHMvLnJlbHNQSwECLQAUAAYACAAAACEA8ziW4MAAAADaAAAADwAAAAAA&#10;AAAAAAAAAAAHAgAAZHJzL2Rvd25yZXYueG1sUEsFBgAAAAADAAMAtwAAAPQCAAAAAA==&#10;" fillcolor="#eaeaea"/>
                <v:rect id="Rectangle 105" o:spid="_x0000_s1031" style="position:absolute;left:21193;top:714;width:28114;height:19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Po0wgAAANsAAAAPAAAAZHJzL2Rvd25yZXYueG1sRE9Na8JA&#10;EL0X/A/LCF6K2dRDKdGNhKJUaQ9N9NLbkJ1mQ7OzIbvG9N93C4K3ebzP2Wwn24mRBt86VvCUpCCI&#10;a6dbbhScT/vlCwgfkDV2jknBL3nY5rOHDWbaXbmksQqNiCHsM1RgQugzKX1tyKJPXE8cuW83WAwR&#10;Do3UA15juO3kKk2fpcWWY4PBnl4N1T/VxSr4ch9uV6T01pvTMYyPRfn+WZVKLeZTsQYRaAp38c19&#10;0HH+Cv5/iQfI/A8AAP//AwBQSwECLQAUAAYACAAAACEA2+H2y+4AAACFAQAAEwAAAAAAAAAAAAAA&#10;AAAAAAAAW0NvbnRlbnRfVHlwZXNdLnhtbFBLAQItABQABgAIAAAAIQBa9CxbvwAAABUBAAALAAAA&#10;AAAAAAAAAAAAAB8BAABfcmVscy8ucmVsc1BLAQItABQABgAIAAAAIQCpDPo0wgAAANsAAAAPAAAA&#10;AAAAAAAAAAAAAAcCAABkcnMvZG93bnJldi54bWxQSwUGAAAAAAMAAwC3AAAA9gIAAAAA&#10;"/>
                <v:shape id="Text Box 106" o:spid="_x0000_s1032" type="#_x0000_t202" style="position:absolute;left:19050;top:1158;width:3238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4BD9ADD6" w14:textId="77777777" w:rsidR="00B44B0D" w:rsidRPr="008D569D" w:rsidRDefault="00B44B0D" w:rsidP="00C96521">
                        <w:pPr>
                          <w:jc w:val="center"/>
                          <w:rPr>
                            <w:rFonts w:cs="Arial"/>
                            <w:b/>
                            <w:bCs/>
                            <w:color w:val="000000"/>
                            <w:szCs w:val="18"/>
                            <w:vertAlign w:val="subscript"/>
                          </w:rPr>
                        </w:pPr>
                        <w:r>
                          <w:rPr>
                            <w:rFonts w:cs="Arial"/>
                            <w:b/>
                            <w:bCs/>
                            <w:color w:val="000000"/>
                            <w:szCs w:val="18"/>
                          </w:rPr>
                          <w:t xml:space="preserve">Step 2: post breeding </w:t>
                        </w:r>
                        <w:r w:rsidRPr="008D569D">
                          <w:rPr>
                            <w:rFonts w:cs="Arial"/>
                            <w:b/>
                            <w:bCs/>
                            <w:color w:val="000000"/>
                            <w:szCs w:val="18"/>
                          </w:rPr>
                          <w:t>population size in 2016</w:t>
                        </w:r>
                      </w:p>
                    </w:txbxContent>
                  </v:textbox>
                </v:shape>
                <v:rect id="Rectangle 107" o:spid="_x0000_s1033" style="position:absolute;left:7064;top:20685;width:38878;height:27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JUSxAAAANsAAAAPAAAAZHJzL2Rvd25yZXYueG1sRI9Ba8JA&#10;FITvQv/D8gq9iG6qIBJdJZSWtujBRC/eHtnXbGj2bchuY/rvXUHwOMzMN8x6O9hG9NT52rGC12kC&#10;grh0uuZKwen4MVmC8AFZY+OYFPyTh+3mabTGVLsL59QXoRIRwj5FBSaENpXSl4Ys+qlriaP34zqL&#10;IcqukrrDS4TbRs6SZCEt1hwXDLb0Zqj8Lf6sgrPbu/csoc/WHL9DP87y3aHIlXp5HrIViEBDeITv&#10;7S+tYDaH25f4A+TmCgAA//8DAFBLAQItABQABgAIAAAAIQDb4fbL7gAAAIUBAAATAAAAAAAAAAAA&#10;AAAAAAAAAABbQ29udGVudF9UeXBlc10ueG1sUEsBAi0AFAAGAAgAAAAhAFr0LFu/AAAAFQEAAAsA&#10;AAAAAAAAAAAAAAAAHwEAAF9yZWxzLy5yZWxzUEsBAi0AFAAGAAgAAAAhAAgslRLEAAAA2wAAAA8A&#10;AAAAAAAAAAAAAAAABwIAAGRycy9kb3ducmV2LnhtbFBLBQYAAAAAAwADALcAAAD4AgAAAAA=&#10;"/>
                <v:rect id="Rectangle 108" o:spid="_x0000_s1034" style="position:absolute;left:3413;top:714;width:17335;height:19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Q1mxAAAANsAAAAPAAAAZHJzL2Rvd25yZXYueG1sRI9Ba8JA&#10;FITvQv/D8gq9iG4qIhJdJZSWtujBRC/eHtnXbGj2bchuY/rvXUHwOMzMN8x6O9hG9NT52rGC12kC&#10;grh0uuZKwen4MVmC8AFZY+OYFPyTh+3mabTGVLsL59QXoRIRwj5FBSaENpXSl4Ys+qlriaP34zqL&#10;IcqukrrDS4TbRs6SZCEt1hwXDLb0Zqj8Lf6sgrPbu/csoc/WHL9DP87y3aHIlXp5HrIViEBDeITv&#10;7S+tYDaH25f4A+TmCgAA//8DAFBLAQItABQABgAIAAAAIQDb4fbL7gAAAIUBAAATAAAAAAAAAAAA&#10;AAAAAAAAAABbQ29udGVudF9UeXBlc10ueG1sUEsBAi0AFAAGAAgAAAAhAFr0LFu/AAAAFQEAAAsA&#10;AAAAAAAAAAAAAAAAHwEAAF9yZWxzLy5yZWxzUEsBAi0AFAAGAAgAAAAhAIfFDWbEAAAA2wAAAA8A&#10;AAAAAAAAAAAAAAAABwIAAGRycy9kb3ducmV2LnhtbFBLBQYAAAAAAwADALcAAAD4AgAAAAA=&#10;"/>
                <v:shape id="Text Box 109" o:spid="_x0000_s1035" type="#_x0000_t202" style="position:absolute;top:1397;width:2303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78EEBBE3" w14:textId="77777777" w:rsidR="00B44B0D" w:rsidRDefault="00B44B0D" w:rsidP="00C96521">
                        <w:pPr>
                          <w:jc w:val="center"/>
                          <w:rPr>
                            <w:rFonts w:cs="Arial"/>
                            <w:b/>
                            <w:bCs/>
                            <w:color w:val="000000"/>
                            <w:szCs w:val="18"/>
                            <w:vertAlign w:val="subscript"/>
                          </w:rPr>
                        </w:pPr>
                        <w:r>
                          <w:rPr>
                            <w:rFonts w:cs="Arial"/>
                            <w:b/>
                            <w:bCs/>
                            <w:color w:val="000000"/>
                            <w:szCs w:val="18"/>
                          </w:rPr>
                          <w:t xml:space="preserve">Step 1: </w:t>
                        </w:r>
                        <w:r>
                          <w:rPr>
                            <w:rFonts w:cs="Arial"/>
                            <w:b/>
                            <w:bCs/>
                            <w:color w:val="000000"/>
                            <w:szCs w:val="18"/>
                            <w:lang w:val="el-GR"/>
                          </w:rPr>
                          <w:t>λ</w:t>
                        </w:r>
                        <w:r>
                          <w:rPr>
                            <w:rFonts w:cs="Arial"/>
                            <w:b/>
                            <w:bCs/>
                            <w:color w:val="000000"/>
                            <w:szCs w:val="18"/>
                            <w:vertAlign w:val="subscript"/>
                          </w:rPr>
                          <w:t>max</w:t>
                        </w:r>
                      </w:p>
                    </w:txbxContent>
                  </v:textbox>
                </v:shape>
                <v:shape id="Text Box 110" o:spid="_x0000_s1036" type="#_x0000_t202" style="position:absolute;left:8969;top:20875;width:3384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79AAE8CD" w14:textId="77777777" w:rsidR="00B44B0D" w:rsidRDefault="00B44B0D" w:rsidP="00C96521">
                        <w:pPr>
                          <w:jc w:val="center"/>
                          <w:rPr>
                            <w:rFonts w:cs="Arial"/>
                            <w:b/>
                            <w:bCs/>
                            <w:color w:val="000000"/>
                            <w:szCs w:val="18"/>
                            <w:vertAlign w:val="subscript"/>
                          </w:rPr>
                        </w:pPr>
                        <w:r>
                          <w:rPr>
                            <w:rFonts w:cs="Arial"/>
                            <w:b/>
                            <w:bCs/>
                            <w:color w:val="000000"/>
                            <w:szCs w:val="18"/>
                          </w:rPr>
                          <w:t>Step 3: estimation of P</w:t>
                        </w:r>
                      </w:p>
                    </w:txbxContent>
                  </v:textbox>
                </v:shape>
                <v:shape id="Text Box 111" o:spid="_x0000_s1037" type="#_x0000_t202" style="position:absolute;left:4270;top:4159;width:4699;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aJaxAAAANsAAAAPAAAAZHJzL2Rvd25yZXYueG1sRI9Nb8Iw&#10;DIbvk/gPkZF2G+moNEZHQAg2aUfW8XH1GtNWa5yqyaDw6/FhEkfr9fv48WzRu0adqAu1ZwPPowQU&#10;ceFtzaWB7ffH0yuoEJEtNp7JwIUCLOaDhxlm1p/5i055LJVAOGRooIqxzbQORUUOw8i3xJIdfecw&#10;ytiV2nZ4Frhr9DhJXrTDmuVChS2tKip+8z8nGuPDNl1vcppM8Cddv1930+O+MeZx2C/fQEXq4335&#10;v/1pDaRiL78IAPT8BgAA//8DAFBLAQItABQABgAIAAAAIQDb4fbL7gAAAIUBAAATAAAAAAAAAAAA&#10;AAAAAAAAAABbQ29udGVudF9UeXBlc10ueG1sUEsBAi0AFAAGAAgAAAAhAFr0LFu/AAAAFQEAAAsA&#10;AAAAAAAAAAAAAAAAHwEAAF9yZWxzLy5yZWxzUEsBAi0AFAAGAAgAAAAhAK8FolrEAAAA2wAAAA8A&#10;AAAAAAAAAAAAAAAABwIAAGRycy9kb3ducmV2LnhtbFBLBQYAAAAAAwADALcAAAD4AgAAAAA=&#10;" filled="f">
                  <v:textbox>
                    <w:txbxContent>
                      <w:p w14:paraId="2CB1EBB2" w14:textId="77777777" w:rsidR="00B44B0D" w:rsidRDefault="00B44B0D" w:rsidP="00C96521">
                        <w:pPr>
                          <w:jc w:val="center"/>
                          <w:rPr>
                            <w:rFonts w:cs="Arial"/>
                            <w:color w:val="000000"/>
                            <w:szCs w:val="18"/>
                          </w:rPr>
                        </w:pPr>
                        <w:r>
                          <w:rPr>
                            <w:rFonts w:cs="Arial"/>
                            <w:color w:val="000000"/>
                            <w:szCs w:val="18"/>
                          </w:rPr>
                          <w:t>So1</w:t>
                        </w:r>
                      </w:p>
                    </w:txbxContent>
                  </v:textbox>
                </v:shape>
                <v:shape id="Text Box 112" o:spid="_x0000_s1038" type="#_x0000_t202" style="position:absolute;left:9699;top:4159;width:4699;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CxQAAANsAAAAPAAAAZHJzL2Rvd25yZXYueG1sRI9Lb8Iw&#10;EITvlfofrK3ErTglKo80BlUFpB4hvK7bePNQ43UUG0j76+tKSBxHs/PNTrroTSMu1LnasoKXYQSC&#10;OLe65lLBfrd+noJwHlljY5kU/JCDxfzxIcVE2ytv6ZL5UgQIuwQVVN63iZQur8igG9qWOHiF7Qz6&#10;ILtS6g6vAW4aOYqisTRYc2iosKWPivLv7GzCG6PTPl5uMppM8Ctern4Ps+LYKDV46t/fQHjq/f34&#10;lv7UCuJX+N8SACDnfwAAAP//AwBQSwECLQAUAAYACAAAACEA2+H2y+4AAACFAQAAEwAAAAAAAAAA&#10;AAAAAAAAAAAAW0NvbnRlbnRfVHlwZXNdLnhtbFBLAQItABQABgAIAAAAIQBa9CxbvwAAABUBAAAL&#10;AAAAAAAAAAAAAAAAAB8BAABfcmVscy8ucmVsc1BLAQItABQABgAIAAAAIQC/cgHCxQAAANsAAAAP&#10;AAAAAAAAAAAAAAAAAAcCAABkcnMvZG93bnJldi54bWxQSwUGAAAAAAMAAwC3AAAA+QIAAAAA&#10;" filled="f">
                  <v:textbox>
                    <w:txbxContent>
                      <w:p w14:paraId="40ABE2CE" w14:textId="77777777" w:rsidR="00B44B0D" w:rsidRDefault="00B44B0D" w:rsidP="00C96521">
                        <w:pPr>
                          <w:jc w:val="center"/>
                          <w:rPr>
                            <w:rFonts w:cs="Arial"/>
                            <w:color w:val="000000"/>
                            <w:szCs w:val="18"/>
                          </w:rPr>
                        </w:pPr>
                        <w:r>
                          <w:rPr>
                            <w:rFonts w:cs="Arial"/>
                            <w:color w:val="000000"/>
                            <w:szCs w:val="18"/>
                          </w:rPr>
                          <w:t>So2</w:t>
                        </w:r>
                      </w:p>
                    </w:txbxContent>
                  </v:textbox>
                </v:shape>
                <v:shape id="Text Box 113" o:spid="_x0000_s1039" type="#_x0000_t202" style="position:absolute;left:14922;top:4143;width:4699;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J+1xAAAANsAAAAPAAAAZHJzL2Rvd25yZXYueG1sRI/NbsIw&#10;EITvlfoO1lbqDZwSiZ+AQVUpEscSAlyXeEmixusoNhD69BgJqcfR7HyzM1t0phYXal1lWcFHPwJB&#10;nFtdcaEg2656YxDOI2usLZOCGzlYzF9fZphoe+UNXVJfiABhl6CC0vsmkdLlJRl0fdsQB+9kW4M+&#10;yLaQusVrgJtaDqJoKA1WHBpKbOirpPw3PZvwxuCQxcuflEYjPMbL77/d5LSvlXp/6z6nIDx1/v/4&#10;mV5rBfEQHlsCAOT8DgAA//8DAFBLAQItABQABgAIAAAAIQDb4fbL7gAAAIUBAAATAAAAAAAAAAAA&#10;AAAAAAAAAABbQ29udGVudF9UeXBlc10ueG1sUEsBAi0AFAAGAAgAAAAhAFr0LFu/AAAAFQEAAAsA&#10;AAAAAAAAAAAAAAAAHwEAAF9yZWxzLy5yZWxzUEsBAi0AFAAGAAgAAAAhAE+gn7XEAAAA2wAAAA8A&#10;AAAAAAAAAAAAAAAABwIAAGRycy9kb3ducmV2LnhtbFBLBQYAAAAAAwADALcAAAD4AgAAAAA=&#10;" filled="f">
                  <v:textbox>
                    <w:txbxContent>
                      <w:p w14:paraId="1D28DC31" w14:textId="77777777" w:rsidR="00B44B0D" w:rsidRDefault="00B44B0D" w:rsidP="00C96521">
                        <w:pPr>
                          <w:jc w:val="center"/>
                          <w:rPr>
                            <w:rFonts w:cs="Arial"/>
                            <w:color w:val="000000"/>
                            <w:szCs w:val="18"/>
                          </w:rPr>
                        </w:pPr>
                        <w:r>
                          <w:rPr>
                            <w:rFonts w:cs="Arial"/>
                            <w:color w:val="000000"/>
                            <w:szCs w:val="18"/>
                          </w:rPr>
                          <w:t>So3</w:t>
                        </w:r>
                      </w:p>
                    </w:txbxContent>
                  </v:textbox>
                </v:shape>
                <v:shape id="Text Box 114" o:spid="_x0000_s1040" type="#_x0000_t202" style="position:absolute;left:4651;top:9874;width:14065;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DouxAAAANsAAAAPAAAAZHJzL2Rvd25yZXYueG1sRI9Ba8JA&#10;EIXvgv9hGaG3utGAaaOrSG2hRxttvY7ZMQlmZ0N2q9Ff7wqCx8eb9715s0VnanGi1lWWFYyGEQji&#10;3OqKCwXbzdfrGwjnkTXWlknBhRws5v3eDFNtz/xDp8wXIkDYpaig9L5JpXR5SQbd0DbEwTvY1qAP&#10;si2kbvEc4KaW4yiaSIMVh4YSG/ooKT9m/ya8Md5t49U6oyTBfbz6vP6+H/5qpV4G3XIKwlPnn8eP&#10;9LdWECdw3xIAIOc3AAAA//8DAFBLAQItABQABgAIAAAAIQDb4fbL7gAAAIUBAAATAAAAAAAAAAAA&#10;AAAAAAAAAABbQ29udGVudF9UeXBlc10ueG1sUEsBAi0AFAAGAAgAAAAhAFr0LFu/AAAAFQEAAAsA&#10;AAAAAAAAAAAAAAAAHwEAAF9yZWxzLy5yZWxzUEsBAi0AFAAGAAgAAAAhACDsOi7EAAAA2wAAAA8A&#10;AAAAAAAAAAAAAAAABwIAAGRycy9kb3ducmV2LnhtbFBLBQYAAAAAAwADALcAAAD4AgAAAAA=&#10;" filled="f">
                  <v:textbox>
                    <w:txbxContent>
                      <w:p w14:paraId="43941818" w14:textId="77777777" w:rsidR="00B44B0D" w:rsidRDefault="00B44B0D" w:rsidP="00C96521">
                        <w:pPr>
                          <w:jc w:val="center"/>
                          <w:rPr>
                            <w:rFonts w:cs="Arial"/>
                            <w:color w:val="000000"/>
                            <w:szCs w:val="18"/>
                          </w:rPr>
                        </w:pPr>
                        <w:r>
                          <w:rPr>
                            <w:rFonts w:cs="Arial"/>
                            <w:color w:val="000000"/>
                            <w:szCs w:val="18"/>
                          </w:rPr>
                          <w:t>a</w:t>
                        </w:r>
                      </w:p>
                    </w:txbxContent>
                  </v:textbox>
                </v:shape>
                <v:shape id="Text Box 115" o:spid="_x0000_s1041" type="#_x0000_t202" style="position:absolute;left:4556;top:15890;width:4572;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65cxAAAANsAAAAPAAAAZHJzL2Rvd25yZXYueG1sRI9Nb8Iw&#10;DIbvk/gPkZF2G+moNEZHQAg2aUfW8XH1GtNWa5yqyaDw6/FhEkfr9fv48WzRu0adqAu1ZwPPowQU&#10;ceFtzaWB7ffH0yuoEJEtNp7JwIUCLOaDhxlm1p/5i055LJVAOGRooIqxzbQORUUOw8i3xJIdfecw&#10;ytiV2nZ4Frhr9DhJXrTDmuVChS2tKip+8z8nGuPDNl1vcppM8Cddv1930+O+MeZx2C/fQEXq4335&#10;v/1pDaQiK78IAPT8BgAA//8DAFBLAQItABQABgAIAAAAIQDb4fbL7gAAAIUBAAATAAAAAAAAAAAA&#10;AAAAAAAAAABbQ29udGVudF9UeXBlc10ueG1sUEsBAi0AFAAGAAgAAAAhAFr0LFu/AAAAFQEAAAsA&#10;AAAAAAAAAAAAAAAAHwEAAF9yZWxzLy5yZWxzUEsBAi0AFAAGAAgAAAAhAFFzrlzEAAAA2wAAAA8A&#10;AAAAAAAAAAAAAAAABwIAAGRycy9kb3ducmV2LnhtbFBLBQYAAAAAAwADALcAAAD4AgAAAAA=&#10;" filled="f">
                  <v:textbox>
                    <w:txbxContent>
                      <w:p w14:paraId="236D37D2" w14:textId="77777777" w:rsidR="00B44B0D" w:rsidRDefault="00B44B0D" w:rsidP="00C96521">
                        <w:pPr>
                          <w:rPr>
                            <w:rFonts w:cs="Arial"/>
                            <w:color w:val="000000"/>
                            <w:szCs w:val="18"/>
                            <w:vertAlign w:val="subscript"/>
                          </w:rPr>
                        </w:pPr>
                        <w:r>
                          <w:rPr>
                            <w:rFonts w:cs="Arial"/>
                            <w:color w:val="000000"/>
                            <w:szCs w:val="18"/>
                            <w:lang w:val="el-GR"/>
                          </w:rPr>
                          <w:t>λ</w:t>
                        </w:r>
                        <w:r>
                          <w:rPr>
                            <w:rFonts w:cs="Arial"/>
                            <w:color w:val="000000"/>
                            <w:szCs w:val="18"/>
                            <w:vertAlign w:val="subscript"/>
                          </w:rPr>
                          <w:t>max1</w:t>
                        </w:r>
                      </w:p>
                    </w:txbxContent>
                  </v:textbox>
                </v:shape>
                <v:shape id="Text Box 116" o:spid="_x0000_s1042" type="#_x0000_t202" style="position:absolute;left:9794;top:15843;width:4572;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HxAAAANsAAAAPAAAAZHJzL2Rvd25yZXYueG1sRI/NbsIw&#10;EITvSLyDtZV6K06JxE/AIARU6pGGtFyXeEki4nUUuxB4+roSEsfR7HyzM192phYXal1lWcH7IAJB&#10;nFtdcaEg23+8TUA4j6yxtkwKbuRguej35phoe+UvuqS+EAHCLkEFpfdNIqXLSzLoBrYhDt7JtgZ9&#10;kG0hdYvXADe1HEbRSBqsODSU2NC6pPyc/prwxvCQxZtdSuMxHuPN9v49Pf3USr2+dKsZCE+dfx4/&#10;0p9aQTyF/y0BAHLxBwAA//8DAFBLAQItABQABgAIAAAAIQDb4fbL7gAAAIUBAAATAAAAAAAAAAAA&#10;AAAAAAAAAABbQ29udGVudF9UeXBlc10ueG1sUEsBAi0AFAAGAAgAAAAhAFr0LFu/AAAAFQEAAAsA&#10;AAAAAAAAAAAAAAAAHwEAAF9yZWxzLy5yZWxzUEsBAi0AFAAGAAgAAAAhAD4/C8fEAAAA2wAAAA8A&#10;AAAAAAAAAAAAAAAABwIAAGRycy9kb3ducmV2LnhtbFBLBQYAAAAAAwADALcAAAD4AgAAAAA=&#10;" filled="f">
                  <v:textbox>
                    <w:txbxContent>
                      <w:p w14:paraId="30034ABB" w14:textId="77777777" w:rsidR="00B44B0D" w:rsidRDefault="00B44B0D" w:rsidP="00C96521">
                        <w:pPr>
                          <w:rPr>
                            <w:rFonts w:cs="Arial"/>
                            <w:color w:val="000000"/>
                            <w:szCs w:val="18"/>
                            <w:vertAlign w:val="subscript"/>
                          </w:rPr>
                        </w:pPr>
                        <w:r>
                          <w:rPr>
                            <w:rFonts w:cs="Arial"/>
                            <w:color w:val="000000"/>
                            <w:szCs w:val="18"/>
                            <w:lang w:val="el-GR"/>
                          </w:rPr>
                          <w:t>λ</w:t>
                        </w:r>
                        <w:r>
                          <w:rPr>
                            <w:rFonts w:cs="Arial"/>
                            <w:color w:val="000000"/>
                            <w:szCs w:val="18"/>
                            <w:vertAlign w:val="subscript"/>
                          </w:rPr>
                          <w:t>max2</w:t>
                        </w:r>
                      </w:p>
                    </w:txbxContent>
                  </v:textbox>
                </v:shape>
                <v:shape id="Text Box 117" o:spid="_x0000_s1043" type="#_x0000_t202" style="position:absolute;left:14986;top:15890;width:4572;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erLxQAAANsAAAAPAAAAZHJzL2Rvd25yZXYueG1sRI/NbsIw&#10;EITvSH0HaytxA6ehKm2KQYgfiWNJgV638ZJEjddRbJKUp8dIlXoczc43O7NFbyrRUuNKywqexhEI&#10;4szqknMFh8/t6BWE88gaK8uk4JccLOYPgxkm2na8pzb1uQgQdgkqKLyvEyldVpBBN7Y1cfDOtjHo&#10;g2xyqRvsAtxUMo6iF2mw5NBQYE2rgrKf9GLCG/HXYbL+SGk6xe/JenM9vp1PlVLDx375DsJT7/+P&#10;/9I7reA5hvuWAAA5vwEAAP//AwBQSwECLQAUAAYACAAAACEA2+H2y+4AAACFAQAAEwAAAAAAAAAA&#10;AAAAAAAAAAAAW0NvbnRlbnRfVHlwZXNdLnhtbFBLAQItABQABgAIAAAAIQBa9CxbvwAAABUBAAAL&#10;AAAAAAAAAAAAAAAAAB8BAABfcmVscy8ucmVsc1BLAQItABQABgAIAAAAIQBonerLxQAAANsAAAAP&#10;AAAAAAAAAAAAAAAAAAcCAABkcnMvZG93bnJldi54bWxQSwUGAAAAAAMAAwC3AAAA+QIAAAAA&#10;" filled="f">
                  <v:textbox>
                    <w:txbxContent>
                      <w:p w14:paraId="0956C0CD" w14:textId="77777777" w:rsidR="00B44B0D" w:rsidRDefault="00B44B0D" w:rsidP="00C96521">
                        <w:pPr>
                          <w:rPr>
                            <w:rFonts w:cs="Arial"/>
                            <w:color w:val="000000"/>
                            <w:szCs w:val="18"/>
                            <w:vertAlign w:val="subscript"/>
                          </w:rPr>
                        </w:pPr>
                        <w:r>
                          <w:rPr>
                            <w:rFonts w:cs="Arial"/>
                            <w:color w:val="000000"/>
                            <w:szCs w:val="18"/>
                            <w:lang w:val="el-GR"/>
                          </w:rPr>
                          <w:t>λ</w:t>
                        </w:r>
                        <w:r>
                          <w:rPr>
                            <w:rFonts w:cs="Arial"/>
                            <w:color w:val="000000"/>
                            <w:szCs w:val="18"/>
                            <w:vertAlign w:val="subscript"/>
                          </w:rPr>
                          <w:t>max3</w:t>
                        </w:r>
                      </w:p>
                    </w:txbxContent>
                  </v:textbox>
                </v:shape>
                <v:shape id="Text Box 118" o:spid="_x0000_s1044" type="#_x0000_t202" style="position:absolute;left:22637;top:4095;width:24480;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U9QxQAAANsAAAAPAAAAZHJzL2Rvd25yZXYueG1sRI9Lb8Iw&#10;EITvlfofrK3ErTglFY80BlUFpB4hvK7bePNQ43UUG0j76+tKSBxHs/PNTrroTSMu1LnasoKXYQSC&#10;OLe65lLBfrd+noJwHlljY5kU/JCDxfzxIcVE2ytv6ZL5UgQIuwQVVN63iZQur8igG9qWOHiF7Qz6&#10;ILtS6g6vAW4aOYqisTRYc2iosKWPivLv7GzCG6PTPl5uMppM8Ctern4Ps+LYKDV46t/fQHjq/f34&#10;lv7UCl5j+N8SACDnfwAAAP//AwBQSwECLQAUAAYACAAAACEA2+H2y+4AAACFAQAAEwAAAAAAAAAA&#10;AAAAAAAAAAAAW0NvbnRlbnRfVHlwZXNdLnhtbFBLAQItABQABgAIAAAAIQBa9CxbvwAAABUBAAAL&#10;AAAAAAAAAAAAAAAAAB8BAABfcmVscy8ucmVsc1BLAQItABQABgAIAAAAIQAH0U9QxQAAANsAAAAP&#10;AAAAAAAAAAAAAAAAAAcCAABkcnMvZG93bnJldi54bWxQSwUGAAAAAAMAAwC3AAAA+QIAAAAA&#10;" filled="f">
                  <v:textbox>
                    <w:txbxContent>
                      <w:p w14:paraId="602F3C48" w14:textId="77777777" w:rsidR="00B44B0D" w:rsidRDefault="00B44B0D" w:rsidP="00C96521">
                        <w:pPr>
                          <w:jc w:val="center"/>
                          <w:rPr>
                            <w:rFonts w:cs="Arial"/>
                            <w:color w:val="000000"/>
                            <w:szCs w:val="18"/>
                          </w:rPr>
                        </w:pPr>
                        <w:r>
                          <w:rPr>
                            <w:rFonts w:cs="Arial"/>
                            <w:color w:val="000000"/>
                            <w:szCs w:val="18"/>
                          </w:rPr>
                          <w:t>N pre-breeding (N)</w:t>
                        </w:r>
                      </w:p>
                    </w:txbxContent>
                  </v:textbox>
                </v:shape>
                <v:shape id="Text Box 119" o:spid="_x0000_s1045" type="#_x0000_t202" style="position:absolute;left:24066;top:9985;width:10811;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NckxQAAANsAAAAPAAAAZHJzL2Rvd25yZXYueG1sRI9Lb8Iw&#10;EITvlfgP1iJxKw4PQRtwEAIq9UgDLdcl3jxEvI5iA2l/fV2pEsfR7Hyzs1x1phY3al1lWcFoGIEg&#10;zqyuuFBwPLw9v4BwHlljbZkUfJODVdJ7WmKs7Z0/6Jb6QgQIuxgVlN43sZQuK8mgG9qGOHi5bQ36&#10;INtC6hbvAW5qOY6imTRYcWgosaFNSdklvZrwxvh0nGz3Kc3neJ5sdz+fr/lXrdSg360XIDx1/nH8&#10;n37XCqZT+NsSACCTXwAAAP//AwBQSwECLQAUAAYACAAAACEA2+H2y+4AAACFAQAAEwAAAAAAAAAA&#10;AAAAAAAAAAAAW0NvbnRlbnRfVHlwZXNdLnhtbFBLAQItABQABgAIAAAAIQBa9CxbvwAAABUBAAAL&#10;AAAAAAAAAAAAAAAAAB8BAABfcmVscy8ucmVsc1BLAQItABQABgAIAAAAIQCIONckxQAAANsAAAAP&#10;AAAAAAAAAAAAAAAAAAcCAABkcnMvZG93bnJldi54bWxQSwUGAAAAAAMAAwC3AAAA+QIAAAAA&#10;" filled="f">
                  <v:textbox>
                    <w:txbxContent>
                      <w:p w14:paraId="0F287EC2" w14:textId="77777777" w:rsidR="00B44B0D" w:rsidRDefault="00B44B0D" w:rsidP="00C96521">
                        <w:pPr>
                          <w:rPr>
                            <w:rFonts w:cs="Arial"/>
                            <w:color w:val="000000"/>
                            <w:szCs w:val="18"/>
                            <w:vertAlign w:val="subscript"/>
                          </w:rPr>
                        </w:pPr>
                        <w:r>
                          <w:rPr>
                            <w:rFonts w:cs="Arial"/>
                            <w:color w:val="000000"/>
                            <w:szCs w:val="18"/>
                          </w:rPr>
                          <w:t>Productivity1</w:t>
                        </w:r>
                      </w:p>
                    </w:txbxContent>
                  </v:textbox>
                </v:shape>
                <v:shape id="Text Box 120" o:spid="_x0000_s1046" type="#_x0000_t202" style="position:absolute;left:36322;top:9937;width:10795;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HK/xAAAANsAAAAPAAAAZHJzL2Rvd25yZXYueG1sRI9Lb8Iw&#10;EITvSPwHayv1Bk6hvAIGVaWVOLbhdV3iJYmI11HsQuDX10hIHEez883ObNGYUpypdoVlBW/dCARx&#10;anXBmYLN+rszBuE8ssbSMim4koPFvN2aYazthX/pnPhMBAi7GBXk3lexlC7NyaDr2oo4eEdbG/RB&#10;1pnUNV4C3JSyF0VDabDg0JBjRZ85pafkz4Q3evtNf/mT0GiEh/7y67adHHelUq8vzccUhKfGP48f&#10;6ZVW8D6A+5YAADn/BwAA//8DAFBLAQItABQABgAIAAAAIQDb4fbL7gAAAIUBAAATAAAAAAAAAAAA&#10;AAAAAAAAAABbQ29udGVudF9UeXBlc10ueG1sUEsBAi0AFAAGAAgAAAAhAFr0LFu/AAAAFQEAAAsA&#10;AAAAAAAAAAAAAAAAHwEAAF9yZWxzLy5yZWxzUEsBAi0AFAAGAAgAAAAhAOd0cr/EAAAA2wAAAA8A&#10;AAAAAAAAAAAAAAAABwIAAGRycy9kb3ducmV2LnhtbFBLBQYAAAAAAwADALcAAAD4AgAAAAA=&#10;" filled="f">
                  <v:textbox>
                    <w:txbxContent>
                      <w:p w14:paraId="1F93A1D5" w14:textId="77777777" w:rsidR="00B44B0D" w:rsidRDefault="00B44B0D" w:rsidP="00C96521">
                        <w:pPr>
                          <w:rPr>
                            <w:rFonts w:cs="Arial"/>
                            <w:color w:val="000000"/>
                            <w:szCs w:val="18"/>
                            <w:vertAlign w:val="subscript"/>
                          </w:rPr>
                        </w:pPr>
                        <w:r>
                          <w:rPr>
                            <w:rFonts w:cs="Arial"/>
                            <w:color w:val="000000"/>
                            <w:szCs w:val="18"/>
                          </w:rPr>
                          <w:t>Productivity2</w:t>
                        </w:r>
                      </w:p>
                    </w:txbxContent>
                  </v:textbox>
                </v:shape>
                <v:shape id="Text Box 121" o:spid="_x0000_s1047" type="#_x0000_t202" style="position:absolute;left:21907;top:16176;width:12859;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uzIxAAAANsAAAAPAAAAZHJzL2Rvd25yZXYueG1sRI/BbsIw&#10;EETvSPyDtUi9EQeooA0YhAqVeqSBlusSL0lEvI5iAylfj5EqcRzNzpud2aI1lbhQ40rLCgZRDII4&#10;s7rkXMFu+9l/A+E8ssbKMin4IweLebczw0TbK3/TJfW5CBB2CSoovK8TKV1WkEEX2Zo4eEfbGPRB&#10;NrnUDV4D3FRyGMdjabDk0FBgTR8FZaf0bMIbw/1utNqkNJngYbRa337ej7+VUi+9djkF4an1z+P/&#10;9JdW8DqGx5YAADm/AwAA//8DAFBLAQItABQABgAIAAAAIQDb4fbL7gAAAIUBAAATAAAAAAAAAAAA&#10;AAAAAAAAAABbQ29udGVudF9UeXBlc10ueG1sUEsBAi0AFAAGAAgAAAAhAFr0LFu/AAAAFQEAAAsA&#10;AAAAAAAAAAAAAAAAHwEAAF9yZWxzLy5yZWxzUEsBAi0AFAAGAAgAAAAhABem7MjEAAAA2wAAAA8A&#10;AAAAAAAAAAAAAAAABwIAAGRycy9kb3ducmV2LnhtbFBLBQYAAAAAAwADALcAAAD4AgAAAAA=&#10;" filled="f">
                  <v:textbox>
                    <w:txbxContent>
                      <w:p w14:paraId="7DB43B8C" w14:textId="77777777" w:rsidR="00B44B0D" w:rsidRDefault="00B44B0D" w:rsidP="00C96521">
                        <w:pPr>
                          <w:jc w:val="center"/>
                          <w:rPr>
                            <w:rFonts w:cs="Arial"/>
                            <w:color w:val="000000"/>
                            <w:szCs w:val="18"/>
                            <w:vertAlign w:val="subscript"/>
                          </w:rPr>
                        </w:pPr>
                        <w:r>
                          <w:rPr>
                            <w:rFonts w:cs="Arial"/>
                            <w:color w:val="000000"/>
                            <w:szCs w:val="18"/>
                          </w:rPr>
                          <w:t>N post-breeding (N1)</w:t>
                        </w:r>
                      </w:p>
                    </w:txbxContent>
                  </v:textbox>
                </v:shape>
                <v:shape id="Text Box 122" o:spid="_x0000_s1048" type="#_x0000_t202" style="position:absolute;left:35369;top:16129;width:13192;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klTxAAAANsAAAAPAAAAZHJzL2Rvd25yZXYueG1sRI9Lb8Iw&#10;EITvSP0P1iL1Bg4PNZBiUFVaiWMJr+s2XpKo8TqKXQj8eoyExHE0O9/szBatqcSJGldaVjDoRyCI&#10;M6tLzhVsN9+9CQjnkTVWlknBhRws5i+dGSbannlNp9TnIkDYJaig8L5OpHRZQQZd39bEwTvaxqAP&#10;ssmlbvAc4KaSwyh6kwZLDg0F1vRZUPaX/pvwxvCwHS1/Uopj/B0tv6676XFfKfXabT/eQXhq/fP4&#10;kV5pBeMY7lsCAOT8BgAA//8DAFBLAQItABQABgAIAAAAIQDb4fbL7gAAAIUBAAATAAAAAAAAAAAA&#10;AAAAAAAAAABbQ29udGVudF9UeXBlc10ueG1sUEsBAi0AFAAGAAgAAAAhAFr0LFu/AAAAFQEAAAsA&#10;AAAAAAAAAAAAAAAAHwEAAF9yZWxzLy5yZWxzUEsBAi0AFAAGAAgAAAAhAHjqSVPEAAAA2wAAAA8A&#10;AAAAAAAAAAAAAAAABwIAAGRycy9kb3ducmV2LnhtbFBLBQYAAAAAAwADALcAAAD4AgAAAAA=&#10;" filled="f">
                  <v:textbox>
                    <w:txbxContent>
                      <w:p w14:paraId="065D5B88" w14:textId="77777777" w:rsidR="00B44B0D" w:rsidRDefault="00B44B0D" w:rsidP="00C96521">
                        <w:pPr>
                          <w:jc w:val="center"/>
                          <w:rPr>
                            <w:rFonts w:cs="Arial"/>
                            <w:color w:val="000000"/>
                            <w:szCs w:val="18"/>
                            <w:vertAlign w:val="subscript"/>
                          </w:rPr>
                        </w:pPr>
                        <w:r>
                          <w:rPr>
                            <w:rFonts w:cs="Arial"/>
                            <w:color w:val="000000"/>
                            <w:szCs w:val="18"/>
                          </w:rPr>
                          <w:t>N post-breeding (N2)</w:t>
                        </w:r>
                      </w:p>
                    </w:txbxContent>
                  </v:textbox>
                </v:shape>
                <v:shape id="Text Box 123" o:spid="_x0000_s1049" type="#_x0000_t202" style="position:absolute;left:13382;top:23193;width:24479;height:8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d0hxAAAANsAAAAPAAAAZHJzL2Rvd25yZXYueG1sRI9Nb8Iw&#10;DIbvk/gPkSftNtIBGlshIMSHxHHrgF1NY9qKxqmaDAq/fj5M2tF6/T5+PJ13rlYXakPl2cBLPwFF&#10;nHtbcWFg97V5fgMVIrLF2jMZuFGA+az3MMXU+it/0iWLhRIIhxQNlDE2qdYhL8lh6PuGWLKTbx1G&#10;GdtC2xavAne1HiTJq3ZYsVwosaFlSfk5+3GiMfjeDVcfGY3HeByu1vf9++lQG/P02C0moCJ18X/5&#10;r721BkYiK78IAPTsFwAA//8DAFBLAQItABQABgAIAAAAIQDb4fbL7gAAAIUBAAATAAAAAAAAAAAA&#10;AAAAAAAAAABbQ29udGVudF9UeXBlc10ueG1sUEsBAi0AFAAGAAgAAAAhAFr0LFu/AAAAFQEAAAsA&#10;AAAAAAAAAAAAAAAAHwEAAF9yZWxzLy5yZWxzUEsBAi0AFAAGAAgAAAAhAAl13SHEAAAA2wAAAA8A&#10;AAAAAAAAAAAAAAAABwIAAGRycy9kb3ducmV2LnhtbFBLBQYAAAAAAwADALcAAAD4AgAAAAA=&#10;" filled="f">
                  <v:textbox>
                    <w:txbxContent>
                      <w:p w14:paraId="468D12A6" w14:textId="77777777" w:rsidR="00B44B0D" w:rsidRDefault="00B44B0D" w:rsidP="00C96521">
                        <w:pPr>
                          <w:jc w:val="center"/>
                          <w:rPr>
                            <w:rFonts w:cs="Arial"/>
                            <w:color w:val="000000"/>
                            <w:szCs w:val="18"/>
                          </w:rPr>
                        </w:pPr>
                        <w:r>
                          <w:rPr>
                            <w:rFonts w:cs="Arial"/>
                            <w:color w:val="000000"/>
                            <w:szCs w:val="18"/>
                          </w:rPr>
                          <w:t>B</w:t>
                        </w:r>
                      </w:p>
                      <w:p w14:paraId="2D114485" w14:textId="77777777" w:rsidR="00B44B0D" w:rsidRDefault="00B44B0D" w:rsidP="00C96521">
                        <w:pPr>
                          <w:jc w:val="center"/>
                          <w:rPr>
                            <w:rFonts w:cs="Arial"/>
                            <w:color w:val="000000"/>
                            <w:szCs w:val="18"/>
                          </w:rPr>
                        </w:pPr>
                      </w:p>
                      <w:p w14:paraId="0A7E7078" w14:textId="77777777" w:rsidR="00B44B0D" w:rsidRDefault="00B44B0D" w:rsidP="00C96521">
                        <w:pPr>
                          <w:jc w:val="center"/>
                          <w:rPr>
                            <w:rFonts w:cs="Arial"/>
                            <w:color w:val="000000"/>
                            <w:szCs w:val="18"/>
                          </w:rPr>
                        </w:pPr>
                      </w:p>
                      <w:p w14:paraId="2FAD7061" w14:textId="77777777" w:rsidR="00B44B0D" w:rsidRDefault="00B44B0D" w:rsidP="00C96521">
                        <w:pPr>
                          <w:jc w:val="center"/>
                          <w:rPr>
                            <w:rFonts w:cs="Arial"/>
                            <w:color w:val="000000"/>
                            <w:szCs w:val="18"/>
                          </w:rPr>
                        </w:pPr>
                      </w:p>
                    </w:txbxContent>
                  </v:textbox>
                </v:shape>
                <v:line id="Line 124" o:spid="_x0000_s1050" style="position:absolute;visibility:visible;mso-wrap-style:square" from="6810,7159" to="6810,9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mrkwQAAANsAAAAPAAAAZHJzL2Rvd25yZXYueG1sRI/RisIw&#10;FETfBf8hXME3TXVF3GqU3QXB9UldP+DSXJtic1OSaOvfbwTBx2FmzjCrTWdrcScfKscKJuMMBHHh&#10;dMWlgvPfdrQAESKyxtoxKXhQgM2631thrl3LR7qfYikShEOOCkyMTS5lKAxZDGPXECfv4rzFmKQv&#10;pfbYJrit5TTL5tJixWnBYEM/horr6WYVaK7b349v5y+zyfmx35aLg2mDUsNB97UEEamL7/CrvdMK&#10;Zp/w/JJ+gFz/AwAA//8DAFBLAQItABQABgAIAAAAIQDb4fbL7gAAAIUBAAATAAAAAAAAAAAAAAAA&#10;AAAAAABbQ29udGVudF9UeXBlc10ueG1sUEsBAi0AFAAGAAgAAAAhAFr0LFu/AAAAFQEAAAsAAAAA&#10;AAAAAAAAAAAAHwEAAF9yZWxzLy5yZWxzUEsBAi0AFAAGAAgAAAAhALJyauTBAAAA2wAAAA8AAAAA&#10;AAAAAAAAAAAABwIAAGRycy9kb3ducmV2LnhtbFBLBQYAAAAAAwADALcAAAD1AgAAAAA=&#10;" strokeweight="1.25pt">
                  <v:stroke endarrow="block"/>
                </v:line>
                <v:line id="Line 125" o:spid="_x0000_s1051" style="position:absolute;visibility:visible;mso-wrap-style:square" from="11509,7191" to="11509,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VWkwAAAANsAAAAPAAAAZHJzL2Rvd25yZXYueG1sRE/dasIw&#10;FL4f+A7hCLubaecmpRqLCsK2q6l9gENzbIrNSUkyW99+uRjs8uP731ST7cWdfOgcK8gXGQjixumO&#10;WwX15fhSgAgRWWPvmBQ8KEC1nT1tsNRu5BPdz7EVKYRDiQpMjEMpZWgMWQwLNxAn7uq8xZigb6X2&#10;OKZw28vXLFtJix2nBoMDHQw1t/OPVaC5Hz+Xe+evb3n9+Dq2xbcZg1LP82m3BhFpiv/iP/eHVvCe&#10;1qcv6QfI7S8AAAD//wMAUEsBAi0AFAAGAAgAAAAhANvh9svuAAAAhQEAABMAAAAAAAAAAAAAAAAA&#10;AAAAAFtDb250ZW50X1R5cGVzXS54bWxQSwECLQAUAAYACAAAACEAWvQsW78AAAAVAQAACwAAAAAA&#10;AAAAAAAAAAAfAQAAX3JlbHMvLnJlbHNQSwECLQAUAAYACAAAACEAppFVpMAAAADbAAAADwAAAAAA&#10;AAAAAAAAAAAHAgAAZHJzL2Rvd25yZXYueG1sUEsFBgAAAAADAAMAtwAAAPQCAAAAAA==&#10;" strokeweight="1.25pt">
                  <v:stroke endarrow="block"/>
                </v:line>
                <v:line id="Line 126" o:spid="_x0000_s1052" style="position:absolute;visibility:visible;mso-wrap-style:square" from="16891,7159" to="16891,9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fA/wgAAANsAAAAPAAAAZHJzL2Rvd25yZXYueG1sRI/RagIx&#10;FETfC/5DuAXfanarFdkaxQqC+lStH3DZXDdLNzdLEt31740g+DjMzBlmvuxtI67kQ+1YQT7KQBCX&#10;TtdcKTj9bT5mIEJE1tg4JgU3CrBcDN7mWGjX8YGux1iJBOFQoAITY1tIGUpDFsPItcTJOztvMSbp&#10;K6k9dgluG/mZZVNpsea0YLCltaHy/3ixCjQ33W784/x5kp9u+001+zVdUGr43q++QUTq4yv8bG+1&#10;gq8cHl/SD5CLOwAAAP//AwBQSwECLQAUAAYACAAAACEA2+H2y+4AAACFAQAAEwAAAAAAAAAAAAAA&#10;AAAAAAAAW0NvbnRlbnRfVHlwZXNdLnhtbFBLAQItABQABgAIAAAAIQBa9CxbvwAAABUBAAALAAAA&#10;AAAAAAAAAAAAAB8BAABfcmVscy8ucmVsc1BLAQItABQABgAIAAAAIQDJ3fA/wgAAANsAAAAPAAAA&#10;AAAAAAAAAAAAAAcCAABkcnMvZG93bnJldi54bWxQSwUGAAAAAAMAAwC3AAAA9gIAAAAA&#10;" strokeweight="1.25pt">
                  <v:stroke endarrow="block"/>
                </v:line>
                <v:shape id="Text Box 127" o:spid="_x0000_s1053" type="#_x0000_t202" style="position:absolute;left:13906;top:29479;width:576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2BBD0957" w14:textId="77777777" w:rsidR="00B44B0D" w:rsidRDefault="00B44B0D" w:rsidP="00C96521">
                        <w:pPr>
                          <w:rPr>
                            <w:rFonts w:cs="Arial"/>
                            <w:color w:val="000000"/>
                            <w:szCs w:val="18"/>
                            <w:vertAlign w:val="subscript"/>
                          </w:rPr>
                        </w:pPr>
                        <w:r>
                          <w:rPr>
                            <w:rFonts w:cs="Arial"/>
                            <w:color w:val="000000"/>
                            <w:szCs w:val="18"/>
                            <w:lang w:val="el-GR"/>
                          </w:rPr>
                          <w:t>λ</w:t>
                        </w:r>
                        <w:r>
                          <w:rPr>
                            <w:rFonts w:cs="Arial"/>
                            <w:color w:val="000000"/>
                            <w:szCs w:val="18"/>
                            <w:vertAlign w:val="subscript"/>
                          </w:rPr>
                          <w:t>max1</w:t>
                        </w:r>
                      </w:p>
                    </w:txbxContent>
                  </v:textbox>
                </v:shape>
                <v:shape id="Text Box 128" o:spid="_x0000_s1054" type="#_x0000_t202" style="position:absolute;left:23590;top:29432;width:576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0E1C08C1" w14:textId="77777777" w:rsidR="00B44B0D" w:rsidRDefault="00B44B0D" w:rsidP="00C96521">
                        <w:pPr>
                          <w:rPr>
                            <w:rFonts w:cs="Arial"/>
                            <w:color w:val="000000"/>
                            <w:szCs w:val="18"/>
                            <w:vertAlign w:val="subscript"/>
                          </w:rPr>
                        </w:pPr>
                        <w:r>
                          <w:rPr>
                            <w:rFonts w:cs="Arial"/>
                            <w:color w:val="000000"/>
                            <w:szCs w:val="18"/>
                            <w:lang w:val="el-GR"/>
                          </w:rPr>
                          <w:t>λ</w:t>
                        </w:r>
                        <w:r>
                          <w:rPr>
                            <w:rFonts w:cs="Arial"/>
                            <w:color w:val="000000"/>
                            <w:szCs w:val="18"/>
                            <w:vertAlign w:val="subscript"/>
                          </w:rPr>
                          <w:t>max2</w:t>
                        </w:r>
                      </w:p>
                    </w:txbxContent>
                  </v:textbox>
                </v:shape>
                <v:shape id="Text Box 129" o:spid="_x0000_s1055" type="#_x0000_t202" style="position:absolute;left:32829;top:29432;width:576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648885CA" w14:textId="77777777" w:rsidR="00B44B0D" w:rsidRDefault="00B44B0D" w:rsidP="00C96521">
                        <w:pPr>
                          <w:rPr>
                            <w:rFonts w:cs="Arial"/>
                            <w:color w:val="000000"/>
                            <w:szCs w:val="18"/>
                            <w:vertAlign w:val="subscript"/>
                          </w:rPr>
                        </w:pPr>
                        <w:r>
                          <w:rPr>
                            <w:rFonts w:cs="Arial"/>
                            <w:color w:val="000000"/>
                            <w:szCs w:val="18"/>
                            <w:lang w:val="el-GR"/>
                          </w:rPr>
                          <w:t>λ</w:t>
                        </w:r>
                        <w:r>
                          <w:rPr>
                            <w:rFonts w:cs="Arial"/>
                            <w:color w:val="000000"/>
                            <w:szCs w:val="18"/>
                            <w:vertAlign w:val="subscript"/>
                          </w:rPr>
                          <w:t>max3</w:t>
                        </w:r>
                      </w:p>
                    </w:txbxContent>
                  </v:textbox>
                </v:shape>
                <v:shape id="Text Box 130" o:spid="_x0000_s1056" type="#_x0000_t202" style="position:absolute;left:39004;top:37893;width:5938;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eRixAAAANsAAAAPAAAAZHJzL2Rvd25yZXYueG1sRI/NbsIw&#10;EITvlXgHa5G4FQcQ0AYchIBKPdJAy3WJNz8iXkexgbRPX1eqxHE0O9/sLFedqcWNWldZVjAaRiCI&#10;M6srLhQcD2/PLyCcR9ZYWyYF3+RglfSelhhre+cPuqW+EAHCLkYFpfdNLKXLSjLohrYhDl5uW4M+&#10;yLaQusV7gJtajqNoJg1WHBpKbGhTUnZJrya8MT4dJ9t9SvM5nifb3c/na/5VKzXod+sFCE+dfxz/&#10;p9+1gukU/rYEAMjkFwAA//8DAFBLAQItABQABgAIAAAAIQDb4fbL7gAAAIUBAAATAAAAAAAAAAAA&#10;AAAAAAAAAABbQ29udGVudF9UeXBlc10ueG1sUEsBAi0AFAAGAAgAAAAhAFr0LFu/AAAAFQEAAAsA&#10;AAAAAAAAAAAAAAAAHwEAAF9yZWxzLy5yZWxzUEsBAi0AFAAGAAgAAAAhAGKt5GLEAAAA2wAAAA8A&#10;AAAAAAAAAAAAAAAABwIAAGRycy9kb3ducmV2LnhtbFBLBQYAAAAAAwADALcAAAD4AgAAAAA=&#10;" filled="f">
                  <v:textbox>
                    <w:txbxContent>
                      <w:p w14:paraId="648180A1" w14:textId="77777777" w:rsidR="00B44B0D" w:rsidRDefault="00B44B0D" w:rsidP="00C96521">
                        <w:pPr>
                          <w:jc w:val="center"/>
                          <w:rPr>
                            <w:rFonts w:cs="Arial"/>
                            <w:color w:val="000000"/>
                            <w:szCs w:val="18"/>
                          </w:rPr>
                        </w:pPr>
                        <w:r>
                          <w:rPr>
                            <w:rFonts w:cs="Arial"/>
                            <w:color w:val="000000"/>
                            <w:szCs w:val="18"/>
                          </w:rPr>
                          <w:t xml:space="preserve">N2; </w:t>
                        </w:r>
                        <w:r>
                          <w:rPr>
                            <w:rFonts w:cs="Arial"/>
                            <w:color w:val="000000"/>
                            <w:szCs w:val="18"/>
                            <w:lang w:val="el-GR"/>
                          </w:rPr>
                          <w:t>λ</w:t>
                        </w:r>
                        <w:r>
                          <w:rPr>
                            <w:rFonts w:cs="Arial"/>
                            <w:color w:val="000000"/>
                            <w:szCs w:val="18"/>
                          </w:rPr>
                          <w:t>max3</w:t>
                        </w:r>
                      </w:p>
                    </w:txbxContent>
                  </v:textbox>
                </v:shape>
                <v:shapetype id="_x0000_t32" coordsize="21600,21600" o:spt="32" o:oned="t" path="m,l21600,21600e" filled="f">
                  <v:path arrowok="t" fillok="f" o:connecttype="none"/>
                  <o:lock v:ext="edit" shapetype="t"/>
                </v:shapetype>
                <v:shape id="AutoShape 131" o:spid="_x0000_s1057" type="#_x0000_t32" style="position:absolute;left:10914;top:31765;width:5873;height:61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ZR0wQAAANsAAAAPAAAAZHJzL2Rvd25yZXYueG1sRI9Pi8Iw&#10;FMTvwn6H8Bb2pukKilSjqLAgexH/gB4fzbMNNi+liU399kZY2OMwM79hFqve1qKj1hvHCr5HGQji&#10;wmnDpYLz6Wc4A+EDssbaMSl4kofV8mOwwFy7yAfqjqEUCcI+RwVVCE0upS8qsuhHriFO3s21FkOS&#10;bSl1izHBbS3HWTaVFg2nhQob2lZU3I8Pq8DEvema3TZufi9XryOZ58QZpb4++/UcRKA+/If/2jut&#10;YDKF95f0A+TyBQAA//8DAFBLAQItABQABgAIAAAAIQDb4fbL7gAAAIUBAAATAAAAAAAAAAAAAAAA&#10;AAAAAABbQ29udGVudF9UeXBlc10ueG1sUEsBAi0AFAAGAAgAAAAhAFr0LFu/AAAAFQEAAAsAAAAA&#10;AAAAAAAAAAAAHwEAAF9yZWxzLy5yZWxzUEsBAi0AFAAGAAgAAAAhAMG1lHTBAAAA2wAAAA8AAAAA&#10;AAAAAAAAAAAABwIAAGRycy9kb3ducmV2LnhtbFBLBQYAAAAAAwADALcAAAD1AgAAAAA=&#10;">
                  <v:stroke endarrow="block"/>
                </v:shape>
                <v:shape id="AutoShape 132" o:spid="_x0000_s1058" type="#_x0000_t32" style="position:absolute;left:16748;top:31718;width:9723;height:61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vwwAAANsAAAAPAAAAZHJzL2Rvd25yZXYueG1sRI9PawIx&#10;FMTvhX6H8AreutkWtLIapRUE8VL8A3p8bJ67wc3Lsomb9ds3gtDjMDO/YebLwTaip84bxwo+shwE&#10;cem04UrB8bB+n4LwAVlj45gU3MnDcvH6MsdCu8g76vehEgnCvkAFdQhtIaUva7LoM9cSJ+/iOosh&#10;ya6SusOY4LaRn3k+kRYNp4UaW1rVVF73N6vAxF/Tt5tV/Nmezl5HMvexM0qN3obvGYhAQ/gPP9sb&#10;rWD8BY8v6QfIxR8AAAD//wMAUEsBAi0AFAAGAAgAAAAhANvh9svuAAAAhQEAABMAAAAAAAAAAAAA&#10;AAAAAAAAAFtDb250ZW50X1R5cGVzXS54bWxQSwECLQAUAAYACAAAACEAWvQsW78AAAAVAQAACwAA&#10;AAAAAAAAAAAAAAAfAQAAX3JlbHMvLnJlbHNQSwECLQAUAAYACAAAACEArvkx78MAAADbAAAADwAA&#10;AAAAAAAAAAAAAAAHAgAAZHJzL2Rvd25yZXYueG1sUEsFBgAAAAADAAMAtwAAAPcCAAAAAA==&#10;">
                  <v:stroke endarrow="block"/>
                </v:shape>
                <v:shape id="AutoShape 133" o:spid="_x0000_s1059" type="#_x0000_t32" style="position:absolute;left:35710;top:31718;width:6271;height:6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V2/wQAAANsAAAAPAAAAZHJzL2Rvd25yZXYueG1sRE/LisIw&#10;FN0L8w/hDrjT1AFF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LcdXb/BAAAA2wAAAA8AAAAA&#10;AAAAAAAAAAAABwIAAGRycy9kb3ducmV2LnhtbFBLBQYAAAAAAwADALcAAAD1AgAAAAA=&#10;">
                  <v:stroke endarrow="block"/>
                </v:shape>
                <v:line id="Line 134" o:spid="_x0000_s1060" style="position:absolute;visibility:visible;mso-wrap-style:square" from="6810,12938" to="6810,15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w5wgAAANsAAAAPAAAAZHJzL2Rvd25yZXYueG1sRI/RagIx&#10;FETfBf8hXKFvmlWr2K1RrCBUn3TrB1w2183Szc2SpO76941Q6OMwM2eY9ba3jbiTD7VjBdNJBoK4&#10;dLrmSsH16zBegQgRWWPjmBQ8KMB2MxysMdeu4wvdi1iJBOGQowITY5tLGUpDFsPEtcTJuzlvMSbp&#10;K6k9dgluGznLsqW0WHNaMNjS3lD5XfxYBZqb7jj/cP72Or0+TodqdTZdUOpl1O/eQUTq43/4r/2p&#10;FSze4Pkl/QC5+QUAAP//AwBQSwECLQAUAAYACAAAACEA2+H2y+4AAACFAQAAEwAAAAAAAAAAAAAA&#10;AAAAAAAAW0NvbnRlbnRfVHlwZXNdLnhtbFBLAQItABQABgAIAAAAIQBa9CxbvwAAABUBAAALAAAA&#10;AAAAAAAAAAAAAB8BAABfcmVscy8ucmVsc1BLAQItABQABgAIAAAAIQA3q/w5wgAAANsAAAAPAAAA&#10;AAAAAAAAAAAAAAcCAABkcnMvZG93bnJldi54bWxQSwUGAAAAAAMAAwC3AAAA9gIAAAAA&#10;" strokeweight="1.25pt">
                  <v:stroke endarrow="block"/>
                </v:line>
                <v:line id="Line 135" o:spid="_x0000_s1061" style="position:absolute;visibility:visible;mso-wrap-style:square" from="11509,12969" to="11509,1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8ZvgAAANsAAAAPAAAAZHJzL2Rvd25yZXYueG1sRE/LisIw&#10;FN0L8w/hCrPTVEdEOqbFEYTRla8PuDTXpkxzU5KMrX9vFoLLw3mvy8G24k4+NI4VzKYZCOLK6YZr&#10;BdfLbrICESKyxtYxKXhQgLL4GK0x167nE93PsRYphEOOCkyMXS5lqAxZDFPXESfu5rzFmKCvpfbY&#10;p3DbynmWLaXFhlODwY62hqq/879VoLnt918/zt8Ws+vjsKtXR9MHpT7Hw+YbRKQhvsUv969WsEzr&#10;05f0A2TxBAAA//8DAFBLAQItABQABgAIAAAAIQDb4fbL7gAAAIUBAAATAAAAAAAAAAAAAAAAAAAA&#10;AABbQ29udGVudF9UeXBlc10ueG1sUEsBAi0AFAAGAAgAAAAhAFr0LFu/AAAAFQEAAAsAAAAAAAAA&#10;AAAAAAAAHwEAAF9yZWxzLy5yZWxzUEsBAi0AFAAGAAgAAAAhAGj9nxm+AAAA2wAAAA8AAAAAAAAA&#10;AAAAAAAABwIAAGRycy9kb3ducmV2LnhtbFBLBQYAAAAAAwADALcAAADyAgAAAAA=&#10;" strokeweight="1.25pt">
                  <v:stroke endarrow="block"/>
                </v:line>
                <v:line id="Line 136" o:spid="_x0000_s1062" style="position:absolute;visibility:visible;mso-wrap-style:square" from="17049,12938" to="17049,15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TqCwgAAANsAAAAPAAAAZHJzL2Rvd25yZXYueG1sRI/BasMw&#10;EETvgf6D2EJviey2GONECW0h0PaUOPmAxdpYptbKSGps/31VCOQ4zMwbZrObbC+u5EPnWEG+ykAQ&#10;N0533Co4n/bLEkSIyBp7x6RgpgC77cNig5V2Ix/pWsdWJAiHChWYGIdKytAYshhWbiBO3sV5izFJ&#10;30rtcUxw28vnLCukxY7TgsGBPgw1P/WvVaC5H79e3p2/vObn+XvflgczBqWeHqe3NYhIU7yHb+1P&#10;raDI4f9L+gFy+wcAAP//AwBQSwECLQAUAAYACAAAACEA2+H2y+4AAACFAQAAEwAAAAAAAAAAAAAA&#10;AAAAAAAAW0NvbnRlbnRfVHlwZXNdLnhtbFBLAQItABQABgAIAAAAIQBa9CxbvwAAABUBAAALAAAA&#10;AAAAAAAAAAAAAB8BAABfcmVscy8ucmVsc1BLAQItABQABgAIAAAAIQAHsTqCwgAAANsAAAAPAAAA&#10;AAAAAAAAAAAAAAcCAABkcnMvZG93bnJldi54bWxQSwUGAAAAAAMAAwC3AAAA9gIAAAAA&#10;" strokeweight="1.25pt">
                  <v:stroke endarrow="block"/>
                </v:line>
                <v:line id="Line 137" o:spid="_x0000_s1063" style="position:absolute;visibility:visible;mso-wrap-style:square" from="30543,7032" to="30543,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6T1wgAAANsAAAAPAAAAZHJzL2Rvd25yZXYueG1sRI/NasMw&#10;EITvhbyD2EBvjey0hOBGMUkh0PbUOnmAxdpYptbKSKp/3r4qBHIcZuYbZldOthMD+dA6VpCvMhDE&#10;tdMtNwou59PTFkSIyBo7x6RgpgDlfvGww0K7kb9pqGIjEoRDgQpMjH0hZagNWQwr1xMn7+q8xZik&#10;b6T2OCa47eQ6yzbSYstpwWBPb4bqn+rXKtDcjR/PR+evL/ll/jw12y8zBqUel9PhFUSkKd7Dt/a7&#10;VrBZw/+X9APk/g8AAP//AwBQSwECLQAUAAYACAAAACEA2+H2y+4AAACFAQAAEwAAAAAAAAAAAAAA&#10;AAAAAAAAW0NvbnRlbnRfVHlwZXNdLnhtbFBLAQItABQABgAIAAAAIQBa9CxbvwAAABUBAAALAAAA&#10;AAAAAAAAAAAAAB8BAABfcmVscy8ucmVsc1BLAQItABQABgAIAAAAIQD3Y6T1wgAAANsAAAAPAAAA&#10;AAAAAAAAAAAAAAcCAABkcnMvZG93bnJldi54bWxQSwUGAAAAAAMAAwC3AAAA9gIAAAAA&#10;" strokeweight="1.25pt">
                  <v:stroke endarrow="block"/>
                </v:line>
                <v:line id="Line 138" o:spid="_x0000_s1064" style="position:absolute;visibility:visible;mso-wrap-style:square" from="39909,7000" to="39909,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wFuwgAAANsAAAAPAAAAZHJzL2Rvd25yZXYueG1sRI/NasMw&#10;EITvgb6D2EJviZy4hOBGCW3A0PbUOnmAxdpYptbKSKp/3r4qBHIcZuYbZn+cbCcG8qF1rGC9ykAQ&#10;10633Ci4nMvlDkSIyBo7x6RgpgDHw8Nij4V2I3/TUMVGJAiHAhWYGPtCylAbshhWridO3tV5izFJ&#10;30jtcUxw28lNlm2lxZbTgsGeTobqn+rXKtDcjR/5m/PX5/Vl/iyb3ZcZg1JPj9PrC4hIU7yHb+13&#10;rWCbw/+X9APk4Q8AAP//AwBQSwECLQAUAAYACAAAACEA2+H2y+4AAACFAQAAEwAAAAAAAAAAAAAA&#10;AAAAAAAAW0NvbnRlbnRfVHlwZXNdLnhtbFBLAQItABQABgAIAAAAIQBa9CxbvwAAABUBAAALAAAA&#10;AAAAAAAAAAAAAB8BAABfcmVscy8ucmVsc1BLAQItABQABgAIAAAAIQCYLwFuwgAAANsAAAAPAAAA&#10;AAAAAAAAAAAAAAcCAABkcnMvZG93bnJldi54bWxQSwUGAAAAAAMAAwC3AAAA9gIAAAAA&#10;" strokeweight="1.25pt">
                  <v:stroke endarrow="block"/>
                </v:line>
                <v:line id="Line 139" o:spid="_x0000_s1065" style="position:absolute;visibility:visible;mso-wrap-style:square" from="30559,12985" to="30559,15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pkawQAAANsAAAAPAAAAZHJzL2Rvd25yZXYueG1sRI/disIw&#10;FITvBd8hHME7Tf1BpBpFBcHdq131AQ7NsSk2JyWJtr79ZkHwcpiZb5j1trO1eJIPlWMFk3EGgrhw&#10;uuJSwfVyHC1BhIissXZMCl4UYLvp99aYa9fyLz3PsRQJwiFHBSbGJpcyFIYshrFriJN3c95iTNKX&#10;UntsE9zWcpplC2mx4rRgsKGDoeJ+flgFmuv2a7Z3/jafXF/fx3L5Y9qg1HDQ7VYgInXxE363T1rB&#10;Yg7/X9IPkJs/AAAA//8DAFBLAQItABQABgAIAAAAIQDb4fbL7gAAAIUBAAATAAAAAAAAAAAAAAAA&#10;AAAAAABbQ29udGVudF9UeXBlc10ueG1sUEsBAi0AFAAGAAgAAAAhAFr0LFu/AAAAFQEAAAsAAAAA&#10;AAAAAAAAAAAAHwEAAF9yZWxzLy5yZWxzUEsBAi0AFAAGAAgAAAAhABfGmRrBAAAA2wAAAA8AAAAA&#10;AAAAAAAAAAAABwIAAGRycy9kb3ducmV2LnhtbFBLBQYAAAAAAwADALcAAAD1AgAAAAA=&#10;" strokeweight="1.25pt">
                  <v:stroke endarrow="block"/>
                </v:line>
                <v:line id="Line 140" o:spid="_x0000_s1066" style="position:absolute;visibility:visible;mso-wrap-style:square" from="39925,12954" to="39925,15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jyBwQAAANsAAAAPAAAAZHJzL2Rvd25yZXYueG1sRI/RisIw&#10;FETfBf8hXGHfNNVVka5RVBB0n9T1Ay7NtSk2NyWJtv69WVjYx2FmzjDLdWdr8SQfKscKxqMMBHHh&#10;dMWlguvPfrgAESKyxtoxKXhRgPWq31tirl3LZ3peYikShEOOCkyMTS5lKAxZDCPXECfv5rzFmKQv&#10;pfbYJrit5STL5tJixWnBYEM7Q8X98rAKNNft8XPr/G06vr6+9+XiZNqg1Meg23yBiNTF//Bf+6AV&#10;zGfw+yX9ALl6AwAA//8DAFBLAQItABQABgAIAAAAIQDb4fbL7gAAAIUBAAATAAAAAAAAAAAAAAAA&#10;AAAAAABbQ29udGVudF9UeXBlc10ueG1sUEsBAi0AFAAGAAgAAAAhAFr0LFu/AAAAFQEAAAsAAAAA&#10;AAAAAAAAAAAAHwEAAF9yZWxzLy5yZWxzUEsBAi0AFAAGAAgAAAAhAHiKPIHBAAAA2wAAAA8AAAAA&#10;AAAAAAAAAAAABwIAAGRycy9kb3ducmV2LnhtbFBLBQYAAAAAAwADALcAAAD1AgAAAAA=&#10;" strokeweight="1.25pt">
                  <v:stroke endarrow="block"/>
                </v:line>
                <v:shape id="Text Box 141" o:spid="_x0000_s1067" type="#_x0000_t202" style="position:absolute;left:20510;top:26797;width:430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5730900E" w14:textId="77777777" w:rsidR="00B44B0D" w:rsidRDefault="00B44B0D" w:rsidP="00C96521">
                        <w:pPr>
                          <w:rPr>
                            <w:rFonts w:cs="Arial"/>
                            <w:color w:val="000000"/>
                            <w:szCs w:val="18"/>
                          </w:rPr>
                        </w:pPr>
                        <w:r>
                          <w:rPr>
                            <w:rFonts w:cs="Arial"/>
                            <w:color w:val="000000"/>
                            <w:szCs w:val="18"/>
                          </w:rPr>
                          <w:t>N1</w:t>
                        </w:r>
                      </w:p>
                    </w:txbxContent>
                  </v:textbox>
                </v:shape>
                <v:shape id="Text Box 142" o:spid="_x0000_s1068" type="#_x0000_t202" style="position:absolute;left:28416;top:26749;width:431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7D1354AE" w14:textId="77777777" w:rsidR="00B44B0D" w:rsidRDefault="00B44B0D" w:rsidP="00C96521">
                        <w:pPr>
                          <w:rPr>
                            <w:rFonts w:cs="Arial"/>
                            <w:color w:val="000000"/>
                            <w:szCs w:val="18"/>
                          </w:rPr>
                        </w:pPr>
                        <w:r>
                          <w:rPr>
                            <w:rFonts w:cs="Arial"/>
                            <w:color w:val="000000"/>
                            <w:szCs w:val="18"/>
                          </w:rPr>
                          <w:t>N2</w:t>
                        </w:r>
                      </w:p>
                    </w:txbxContent>
                  </v:textbox>
                </v:shape>
                <v:shape id="Text Box 143" o:spid="_x0000_s1069" type="#_x0000_t202" style="position:absolute;left:32607;top:37925;width:5937;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IFBxAAAANsAAAAPAAAAZHJzL2Rvd25yZXYueG1sRI/LbsJA&#10;DEX3SP2HkSt1B5OCxCMwoAqo1GWb8tiajEkiMp4oM4XA19eLSl1a1/f4eLHqXK2u1IbKs4HXQQKK&#10;OPe24sLA7vu9PwUVIrLF2jMZuFOA1fKpt8DU+ht/0TWLhRIIhxQNlDE2qdYhL8lhGPiGWLKzbx1G&#10;GdtC2xZvAne1HibJWDusWC6U2NC6pPyS/TjRGB53o81nRpMJnkab7WM/Ox9qY16eu7c5qEhd/F/+&#10;a39YA2ORlV8EAHr5CwAA//8DAFBLAQItABQABgAIAAAAIQDb4fbL7gAAAIUBAAATAAAAAAAAAAAA&#10;AAAAAAAAAABbQ29udGVudF9UeXBlc10ueG1sUEsBAi0AFAAGAAgAAAAhAFr0LFu/AAAAFQEAAAsA&#10;AAAAAAAAAAAAAAAAHwEAAF9yZWxzLy5yZWxzUEsBAi0AFAAGAAgAAAAhAELAgUHEAAAA2wAAAA8A&#10;AAAAAAAAAAAAAAAABwIAAGRycy9kb3ducmV2LnhtbFBLBQYAAAAAAwADALcAAAD4AgAAAAA=&#10;" filled="f">
                  <v:textbox>
                    <w:txbxContent>
                      <w:p w14:paraId="69A4911E" w14:textId="77777777" w:rsidR="00B44B0D" w:rsidRDefault="00B44B0D" w:rsidP="00C96521">
                        <w:pPr>
                          <w:jc w:val="center"/>
                          <w:rPr>
                            <w:rFonts w:cs="Arial"/>
                            <w:color w:val="000000"/>
                            <w:szCs w:val="18"/>
                          </w:rPr>
                        </w:pPr>
                        <w:r>
                          <w:rPr>
                            <w:rFonts w:cs="Arial"/>
                            <w:color w:val="000000"/>
                            <w:szCs w:val="18"/>
                          </w:rPr>
                          <w:t xml:space="preserve">N2; </w:t>
                        </w:r>
                        <w:r>
                          <w:rPr>
                            <w:rFonts w:cs="Arial"/>
                            <w:color w:val="000000"/>
                            <w:szCs w:val="18"/>
                            <w:lang w:val="el-GR"/>
                          </w:rPr>
                          <w:t>λ</w:t>
                        </w:r>
                        <w:r>
                          <w:rPr>
                            <w:rFonts w:cs="Arial"/>
                            <w:color w:val="000000"/>
                            <w:szCs w:val="18"/>
                          </w:rPr>
                          <w:t>max2</w:t>
                        </w:r>
                      </w:p>
                    </w:txbxContent>
                  </v:textbox>
                </v:shape>
                <v:shape id="Text Box 144" o:spid="_x0000_s1070" type="#_x0000_t202" style="position:absolute;left:26257;top:37925;width:5937;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CTaxQAAANsAAAAPAAAAZHJzL2Rvd25yZXYueG1sRI/NbsIw&#10;EITvlXgHa5F6Kw5B4ifFRAiK1CNNob1u4yWJiNdRbJKUp68rVepxNDvf7KzTwdSio9ZVlhVMJxEI&#10;4tzqigsFp/fD0xKE88gaa8uk4JscpJvRwxoTbXt+oy7zhQgQdgkqKL1vEildXpJBN7ENcfAutjXo&#10;g2wLqVvsA9zUMo6iuTRYcWgosaFdSfk1u5nwRvx5mu2PGS0W+DXbv9zPq8tHrdTjeNg+g/A0+P/j&#10;v/SrVjBfwe+WAAC5+QEAAP//AwBQSwECLQAUAAYACAAAACEA2+H2y+4AAACFAQAAEwAAAAAAAAAA&#10;AAAAAAAAAAAAW0NvbnRlbnRfVHlwZXNdLnhtbFBLAQItABQABgAIAAAAIQBa9CxbvwAAABUBAAAL&#10;AAAAAAAAAAAAAAAAAB8BAABfcmVscy8ucmVsc1BLAQItABQABgAIAAAAIQAtjCTaxQAAANsAAAAP&#10;AAAAAAAAAAAAAAAAAAcCAABkcnMvZG93bnJldi54bWxQSwUGAAAAAAMAAwC3AAAA+QIAAAAA&#10;" filled="f">
                  <v:textbox>
                    <w:txbxContent>
                      <w:p w14:paraId="69601A1E" w14:textId="77777777" w:rsidR="00B44B0D" w:rsidRDefault="00B44B0D" w:rsidP="00C96521">
                        <w:pPr>
                          <w:jc w:val="center"/>
                          <w:rPr>
                            <w:rFonts w:cs="Arial"/>
                            <w:color w:val="000000"/>
                            <w:szCs w:val="18"/>
                          </w:rPr>
                        </w:pPr>
                        <w:r>
                          <w:rPr>
                            <w:rFonts w:cs="Arial"/>
                            <w:color w:val="000000"/>
                            <w:szCs w:val="18"/>
                          </w:rPr>
                          <w:t xml:space="preserve">N2; </w:t>
                        </w:r>
                        <w:r>
                          <w:rPr>
                            <w:rFonts w:cs="Arial"/>
                            <w:color w:val="000000"/>
                            <w:szCs w:val="18"/>
                            <w:lang w:val="el-GR"/>
                          </w:rPr>
                          <w:t>λ</w:t>
                        </w:r>
                        <w:r>
                          <w:rPr>
                            <w:rFonts w:cs="Arial"/>
                            <w:color w:val="000000"/>
                            <w:szCs w:val="18"/>
                          </w:rPr>
                          <w:t>max1</w:t>
                        </w:r>
                      </w:p>
                    </w:txbxContent>
                  </v:textbox>
                </v:shape>
                <v:shape id="Text Box 145" o:spid="_x0000_s1071" type="#_x0000_t202" style="position:absolute;left:8255;top:37893;width:5318;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xuaxAAAANsAAAAPAAAAZHJzL2Rvd25yZXYueG1sRI/BbsIw&#10;DIbvk3iHyEi7jXQgUdYREIJN4sgK265eY9pqjVM1GRSeHh8mcbR+/58/z5e9a9SJulB7NvA8SkAR&#10;F97WXBo47N+fZqBCRLbYeCYDFwqwXAwe5phZf+YPOuWxVALhkKGBKsY20zoUFTkMI98SS3b0ncMo&#10;Y1dq2+FZ4K7R4ySZaoc1y4UKW1pXVPzmf040xt+HyWaXU5riz2Tzdv18OX41xjwO+9UrqEh9vC//&#10;t7fWQCr28osAQC9uAAAA//8DAFBLAQItABQABgAIAAAAIQDb4fbL7gAAAIUBAAATAAAAAAAAAAAA&#10;AAAAAAAAAABbQ29udGVudF9UeXBlc10ueG1sUEsBAi0AFAAGAAgAAAAhAFr0LFu/AAAAFQEAAAsA&#10;AAAAAAAAAAAAAAAAHwEAAF9yZWxzLy5yZWxzUEsBAi0AFAAGAAgAAAAhADlvG5rEAAAA2wAAAA8A&#10;AAAAAAAAAAAAAAAABwIAAGRycy9kb3ducmV2LnhtbFBLBQYAAAAAAwADALcAAAD4AgAAAAA=&#10;" filled="f">
                  <v:textbox>
                    <w:txbxContent>
                      <w:p w14:paraId="26D6D228" w14:textId="77777777" w:rsidR="00B44B0D" w:rsidRDefault="00B44B0D" w:rsidP="00C96521">
                        <w:pPr>
                          <w:jc w:val="center"/>
                          <w:rPr>
                            <w:rFonts w:cs="Arial"/>
                            <w:color w:val="000000"/>
                            <w:szCs w:val="18"/>
                          </w:rPr>
                        </w:pPr>
                        <w:r>
                          <w:rPr>
                            <w:rFonts w:cs="Arial"/>
                            <w:color w:val="000000"/>
                            <w:szCs w:val="18"/>
                          </w:rPr>
                          <w:t xml:space="preserve">N1; </w:t>
                        </w:r>
                        <w:r>
                          <w:rPr>
                            <w:rFonts w:cs="Arial"/>
                            <w:color w:val="000000"/>
                            <w:szCs w:val="18"/>
                            <w:lang w:val="el-GR"/>
                          </w:rPr>
                          <w:t>λ</w:t>
                        </w:r>
                        <w:r>
                          <w:rPr>
                            <w:rFonts w:cs="Arial"/>
                            <w:color w:val="000000"/>
                            <w:szCs w:val="18"/>
                          </w:rPr>
                          <w:t>max1</w:t>
                        </w:r>
                      </w:p>
                    </w:txbxContent>
                  </v:textbox>
                </v:shape>
                <v:shape id="Text Box 146" o:spid="_x0000_s1072" type="#_x0000_t202" style="position:absolute;left:19780;top:37877;width:5318;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74BxQAAANsAAAAPAAAAZHJzL2Rvd25yZXYueG1sRI/NbsIw&#10;EITvSH0Hayv1Bg4gkTbFQRVQqceSpnDdxpsfNV5HsQuhT4+RkDiOZuebneVqMK04Uu8aywqmkwgE&#10;cWF1w5WC/Ot9/AzCeWSNrWVScCYHq/RhtMRE2xPv6Jj5SgQIuwQV1N53iZSuqMmgm9iOOHil7Q36&#10;IPtK6h5PAW5aOYuihTTYcGiosaN1TcVv9mfCG7NDPt98ZhTH+DPfbP+/X8p9q9TT4/D2CsLT4O/H&#10;t/SHVhBP4bolAECmFwAAAP//AwBQSwECLQAUAAYACAAAACEA2+H2y+4AAACFAQAAEwAAAAAAAAAA&#10;AAAAAAAAAAAAW0NvbnRlbnRfVHlwZXNdLnhtbFBLAQItABQABgAIAAAAIQBa9CxbvwAAABUBAAAL&#10;AAAAAAAAAAAAAAAAAB8BAABfcmVscy8ucmVsc1BLAQItABQABgAIAAAAIQBWI74BxQAAANsAAAAP&#10;AAAAAAAAAAAAAAAAAAcCAABkcnMvZG93bnJldi54bWxQSwUGAAAAAAMAAwC3AAAA+QIAAAAA&#10;" filled="f">
                  <v:textbox>
                    <w:txbxContent>
                      <w:p w14:paraId="1A491988" w14:textId="77777777" w:rsidR="00B44B0D" w:rsidRDefault="00B44B0D" w:rsidP="00C96521">
                        <w:pPr>
                          <w:jc w:val="center"/>
                          <w:rPr>
                            <w:rFonts w:cs="Arial"/>
                            <w:color w:val="000000"/>
                            <w:szCs w:val="18"/>
                          </w:rPr>
                        </w:pPr>
                        <w:r>
                          <w:rPr>
                            <w:rFonts w:cs="Arial"/>
                            <w:color w:val="000000"/>
                            <w:szCs w:val="18"/>
                          </w:rPr>
                          <w:t xml:space="preserve">N1; </w:t>
                        </w:r>
                        <w:r>
                          <w:rPr>
                            <w:rFonts w:cs="Arial"/>
                            <w:color w:val="000000"/>
                            <w:szCs w:val="18"/>
                            <w:lang w:val="el-GR"/>
                          </w:rPr>
                          <w:t>λ</w:t>
                        </w:r>
                        <w:r>
                          <w:rPr>
                            <w:rFonts w:cs="Arial"/>
                            <w:color w:val="000000"/>
                            <w:szCs w:val="18"/>
                          </w:rPr>
                          <w:t>max3</w:t>
                        </w:r>
                      </w:p>
                    </w:txbxContent>
                  </v:textbox>
                </v:shape>
                <v:shape id="Text Box 147" o:spid="_x0000_s1073" type="#_x0000_t202" style="position:absolute;left:14081;top:37877;width:5318;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SB2xAAAANsAAAAPAAAAZHJzL2Rvd25yZXYueG1sRI9Ba8JA&#10;EIXvgv9hGaG3ujGCaaOrSG2hRxttvY7ZMQlmZ0N2q9Ff7wqCx8eb9715s0VnanGi1lWWFYyGEQji&#10;3OqKCwXbzdfrGwjnkTXWlknBhRws5v3eDFNtz/xDp8wXIkDYpaig9L5JpXR5SQbd0DbEwTvY1qAP&#10;si2kbvEc4KaWcRRNpMGKQ0OJDX2UlB+zfxPeiHfb8WqdUZLgfrz6vP6+H/5qpV4G3XIKwlPnn8eP&#10;9LdWkMRw3xIAIOc3AAAA//8DAFBLAQItABQABgAIAAAAIQDb4fbL7gAAAIUBAAATAAAAAAAAAAAA&#10;AAAAAAAAAABbQ29udGVudF9UeXBlc10ueG1sUEsBAi0AFAAGAAgAAAAhAFr0LFu/AAAAFQEAAAsA&#10;AAAAAAAAAAAAAAAAHwEAAF9yZWxzLy5yZWxzUEsBAi0AFAAGAAgAAAAhAKbxIHbEAAAA2wAAAA8A&#10;AAAAAAAAAAAAAAAABwIAAGRycy9kb3ducmV2LnhtbFBLBQYAAAAAAwADALcAAAD4AgAAAAA=&#10;" filled="f">
                  <v:textbox>
                    <w:txbxContent>
                      <w:p w14:paraId="01653773" w14:textId="77777777" w:rsidR="00B44B0D" w:rsidRDefault="00B44B0D" w:rsidP="00C96521">
                        <w:pPr>
                          <w:jc w:val="center"/>
                          <w:rPr>
                            <w:rFonts w:cs="Arial"/>
                            <w:color w:val="000000"/>
                            <w:szCs w:val="18"/>
                          </w:rPr>
                        </w:pPr>
                        <w:r>
                          <w:rPr>
                            <w:rFonts w:cs="Arial"/>
                            <w:color w:val="000000"/>
                            <w:szCs w:val="18"/>
                          </w:rPr>
                          <w:t xml:space="preserve">N1; </w:t>
                        </w:r>
                        <w:r>
                          <w:rPr>
                            <w:rFonts w:cs="Arial"/>
                            <w:color w:val="000000"/>
                            <w:szCs w:val="18"/>
                            <w:lang w:val="el-GR"/>
                          </w:rPr>
                          <w:t>λ</w:t>
                        </w:r>
                        <w:r>
                          <w:rPr>
                            <w:rFonts w:cs="Arial"/>
                            <w:color w:val="000000"/>
                            <w:szCs w:val="18"/>
                          </w:rPr>
                          <w:t>max2</w:t>
                        </w:r>
                      </w:p>
                    </w:txbxContent>
                  </v:textbox>
                </v:shape>
                <v:shape id="AutoShape 148" o:spid="_x0000_s1074" type="#_x0000_t32" style="position:absolute;left:22439;top:31718;width:13271;height:61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2uMwgAAANsAAAAPAAAAZHJzL2Rvd25yZXYueG1sRI9BawIx&#10;FITvgv8hPKE3zVqpytYoKgjSi6iFenxsXneDm5dlk27Wf98IhR6HmfmGWW16W4uOWm8cK5hOMhDE&#10;hdOGSwWf18N4CcIHZI21Y1LwIA+b9XCwwly7yGfqLqEUCcI+RwVVCE0upS8qsugnriFO3rdrLYYk&#10;21LqFmOC21q+ZtlcWjScFipsaF9Rcb/8WAUmnkzXHPdx9/F18zqSebw5o9TLqN++gwjUh//wX/uo&#10;FSxm8PySfoBc/wIAAP//AwBQSwECLQAUAAYACAAAACEA2+H2y+4AAACFAQAAEwAAAAAAAAAAAAAA&#10;AAAAAAAAW0NvbnRlbnRfVHlwZXNdLnhtbFBLAQItABQABgAIAAAAIQBa9CxbvwAAABUBAAALAAAA&#10;AAAAAAAAAAAAAB8BAABfcmVscy8ucmVsc1BLAQItABQABgAIAAAAIQCad2uMwgAAANsAAAAPAAAA&#10;AAAAAAAAAAAAAAcCAABkcnMvZG93bnJldi54bWxQSwUGAAAAAAMAAwC3AAAA9gIAAAAA&#10;">
                  <v:stroke endarrow="block"/>
                </v:shape>
                <v:shape id="AutoShape 149" o:spid="_x0000_s1075" type="#_x0000_t32" style="position:absolute;left:16787;top:31765;width:12438;height:6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QvaxgAAANsAAAAPAAAAZHJzL2Rvd25yZXYueG1sRI9Pa8JA&#10;FMTvBb/D8oTe6sZSWo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feUL2sYAAADbAAAA&#10;DwAAAAAAAAAAAAAAAAAHAgAAZHJzL2Rvd25yZXYueG1sUEsFBgAAAAADAAMAtwAAAPoCAAAAAA==&#10;">
                  <v:stroke endarrow="block"/>
                </v:shape>
                <v:shape id="AutoShape 150" o:spid="_x0000_s1076" type="#_x0000_t32" style="position:absolute;left:26471;top:31718;width:9104;height:62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a5BxgAAANsAAAAPAAAAZHJzL2Rvd25yZXYueG1sRI9Pa8JA&#10;FMTvBb/D8oTe6sZCW4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EqmuQcYAAADbAAAA&#10;DwAAAAAAAAAAAAAAAAAHAgAAZHJzL2Rvd25yZXYueG1sUEsFBgAAAAADAAMAtwAAAPoCAAAAAA==&#10;">
                  <v:stroke endarrow="block"/>
                </v:shape>
                <v:shape id="Text Box 151" o:spid="_x0000_s1077" type="#_x0000_t202" style="position:absolute;left:8969;top:45196;width:374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iZ1xAAAANsAAAAPAAAAZHJzL2Rvd25yZXYueG1sRI9Lb8Iw&#10;EITvlfgP1iJxKw4gEQgYhHhIPbbhdV3iJYmI11FsIO2vrysh9TianW925svWVOJBjSstKxj0IxDE&#10;mdUl5woO+937BITzyBory6TgmxwsF523OSbaPvmLHqnPRYCwS1BB4X2dSOmyggy6vq2Jg3e1jUEf&#10;ZJNL3eAzwE0lh1E0lgZLDg0F1rQuKLuldxPeGJ4Po81nSnGMl9Fm+3OcXk+VUr1uu5qB8NT6/+NX&#10;+kMriMfwtyUAQC5+AQAA//8DAFBLAQItABQABgAIAAAAIQDb4fbL7gAAAIUBAAATAAAAAAAAAAAA&#10;AAAAAAAAAABbQ29udGVudF9UeXBlc10ueG1sUEsBAi0AFAAGAAgAAAAhAFr0LFu/AAAAFQEAAAsA&#10;AAAAAAAAAAAAAAAAHwEAAF9yZWxzLy5yZWxzUEsBAi0AFAAGAAgAAAAhANnKJnXEAAAA2wAAAA8A&#10;AAAAAAAAAAAAAAAABwIAAGRycy9kb3ducmV2LnhtbFBLBQYAAAAAAwADALcAAAD4AgAAAAA=&#10;" filled="f">
                  <v:textbox>
                    <w:txbxContent>
                      <w:p w14:paraId="230CDD5E" w14:textId="77777777" w:rsidR="00B44B0D" w:rsidRDefault="00B44B0D" w:rsidP="00C96521">
                        <w:pPr>
                          <w:jc w:val="center"/>
                          <w:rPr>
                            <w:rFonts w:cs="Arial"/>
                            <w:color w:val="000000"/>
                            <w:szCs w:val="18"/>
                          </w:rPr>
                        </w:pPr>
                        <w:r>
                          <w:rPr>
                            <w:rFonts w:cs="Arial"/>
                            <w:color w:val="000000"/>
                            <w:szCs w:val="18"/>
                          </w:rPr>
                          <w:t>P1</w:t>
                        </w:r>
                      </w:p>
                    </w:txbxContent>
                  </v:textbox>
                </v:shape>
                <v:shape id="Text Box 152" o:spid="_x0000_s1078" type="#_x0000_t202" style="position:absolute;left:15065;top:45132;width:374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oPuxAAAANsAAAAPAAAAZHJzL2Rvd25yZXYueG1sRI/NbsIw&#10;EITvSH0Hayv1Bk5BIiVgUMWPxBFSCtclXpKIeB3FLgSeHiNV4jianW92JrPWVOJCjSstK/jsRSCI&#10;M6tLzhXsflbdLxDOI2usLJOCGzmYTd86E0y0vfKWLqnPRYCwS1BB4X2dSOmyggy6nq2Jg3eyjUEf&#10;ZJNL3eA1wE0l+1E0lAZLDg0F1jQvKDunfya80T/sBotNSnGMx8Fief8dnfaVUh/v7fcYhKfWv47/&#10;02utII7huSUAQE4fAAAA//8DAFBLAQItABQABgAIAAAAIQDb4fbL7gAAAIUBAAATAAAAAAAAAAAA&#10;AAAAAAAAAABbQ29udGVudF9UeXBlc10ueG1sUEsBAi0AFAAGAAgAAAAhAFr0LFu/AAAAFQEAAAsA&#10;AAAAAAAAAAAAAAAAHwEAAF9yZWxzLy5yZWxzUEsBAi0AFAAGAAgAAAAhALaGg+7EAAAA2wAAAA8A&#10;AAAAAAAAAAAAAAAABwIAAGRycy9kb3ducmV2LnhtbFBLBQYAAAAAAwADALcAAAD4AgAAAAA=&#10;" filled="f">
                  <v:textbox>
                    <w:txbxContent>
                      <w:p w14:paraId="3F952788" w14:textId="77777777" w:rsidR="00B44B0D" w:rsidRDefault="00B44B0D" w:rsidP="00C96521">
                        <w:pPr>
                          <w:jc w:val="center"/>
                          <w:rPr>
                            <w:rFonts w:cs="Arial"/>
                            <w:color w:val="000000"/>
                            <w:szCs w:val="18"/>
                          </w:rPr>
                        </w:pPr>
                        <w:r>
                          <w:rPr>
                            <w:rFonts w:cs="Arial"/>
                            <w:color w:val="000000"/>
                            <w:szCs w:val="18"/>
                          </w:rPr>
                          <w:t>P2</w:t>
                        </w:r>
                      </w:p>
                    </w:txbxContent>
                  </v:textbox>
                </v:shape>
                <v:shape id="Text Box 153" o:spid="_x0000_s1079" type="#_x0000_t202" style="position:absolute;left:20875;top:45291;width:374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RecxAAAANsAAAAPAAAAZHJzL2Rvd25yZXYueG1sRI/BbsIw&#10;DIbvk3iHyEi7jXQgUdYREIJN4sgK265eY9pqjVM1GRSeHh8mcbR+/58/z5e9a9SJulB7NvA8SkAR&#10;F97WXBo47N+fZqBCRLbYeCYDFwqwXAwe5phZf+YPOuWxVALhkKGBKsY20zoUFTkMI98SS3b0ncMo&#10;Y1dq2+FZ4K7R4ySZaoc1y4UKW1pXVPzmf040xt+HyWaXU5riz2Tzdv18OX41xjwO+9UrqEh9vC//&#10;t7fWQCqy8osAQC9uAAAA//8DAFBLAQItABQABgAIAAAAIQDb4fbL7gAAAIUBAAATAAAAAAAAAAAA&#10;AAAAAAAAAABbQ29udGVudF9UeXBlc10ueG1sUEsBAi0AFAAGAAgAAAAhAFr0LFu/AAAAFQEAAAsA&#10;AAAAAAAAAAAAAAAAHwEAAF9yZWxzLy5yZWxzUEsBAi0AFAAGAAgAAAAhAMcZF5zEAAAA2wAAAA8A&#10;AAAAAAAAAAAAAAAABwIAAGRycy9kb3ducmV2LnhtbFBLBQYAAAAAAwADALcAAAD4AgAAAAA=&#10;" filled="f">
                  <v:textbox>
                    <w:txbxContent>
                      <w:p w14:paraId="581A5D37" w14:textId="77777777" w:rsidR="00B44B0D" w:rsidRDefault="00B44B0D" w:rsidP="00C96521">
                        <w:pPr>
                          <w:jc w:val="center"/>
                          <w:rPr>
                            <w:rFonts w:cs="Arial"/>
                            <w:color w:val="000000"/>
                            <w:szCs w:val="18"/>
                          </w:rPr>
                        </w:pPr>
                        <w:r>
                          <w:rPr>
                            <w:rFonts w:cs="Arial"/>
                            <w:color w:val="000000"/>
                            <w:szCs w:val="18"/>
                          </w:rPr>
                          <w:t>P3</w:t>
                        </w:r>
                      </w:p>
                    </w:txbxContent>
                  </v:textbox>
                </v:shape>
                <v:shape id="Text Box 154" o:spid="_x0000_s1080" type="#_x0000_t202" style="position:absolute;left:27114;top:45259;width:374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bIHxAAAANsAAAAPAAAAZHJzL2Rvd25yZXYueG1sRI9Ba8JA&#10;EIXvgv9hmUJvdVMFo9FVpLbQo41pvY7ZMQlmZ0N2q9Ff7wqCx8eb971582VnanGi1lWWFbwPIhDE&#10;udUVFwqy7dfbBITzyBpry6TgQg6Wi35vjom2Z/6hU+oLESDsElRQet8kUrq8JINuYBvi4B1sa9AH&#10;2RZSt3gOcFPLYRSNpcGKQ0OJDX2UlB/TfxPeGO6y0XqTUhzjfrT+vP5OD3+1Uq8v3WoGwlPnn8eP&#10;9LdWEE/hviUAQC5uAAAA//8DAFBLAQItABQABgAIAAAAIQDb4fbL7gAAAIUBAAATAAAAAAAAAAAA&#10;AAAAAAAAAABbQ29udGVudF9UeXBlc10ueG1sUEsBAi0AFAAGAAgAAAAhAFr0LFu/AAAAFQEAAAsA&#10;AAAAAAAAAAAAAAAAHwEAAF9yZWxzLy5yZWxzUEsBAi0AFAAGAAgAAAAhAKhVsgfEAAAA2wAAAA8A&#10;AAAAAAAAAAAAAAAABwIAAGRycy9kb3ducmV2LnhtbFBLBQYAAAAAAwADALcAAAD4AgAAAAA=&#10;" filled="f">
                  <v:textbox>
                    <w:txbxContent>
                      <w:p w14:paraId="0676F02F" w14:textId="77777777" w:rsidR="00B44B0D" w:rsidRDefault="00B44B0D" w:rsidP="00C96521">
                        <w:pPr>
                          <w:jc w:val="center"/>
                          <w:rPr>
                            <w:rFonts w:cs="Arial"/>
                            <w:color w:val="000000"/>
                            <w:szCs w:val="18"/>
                          </w:rPr>
                        </w:pPr>
                        <w:r>
                          <w:rPr>
                            <w:rFonts w:cs="Arial"/>
                            <w:color w:val="000000"/>
                            <w:szCs w:val="18"/>
                          </w:rPr>
                          <w:t>P4</w:t>
                        </w:r>
                      </w:p>
                    </w:txbxContent>
                  </v:textbox>
                </v:shape>
                <v:shape id="Text Box 155" o:spid="_x0000_s1081" type="#_x0000_t202" style="position:absolute;left:33321;top:45259;width:374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mu9xAAAANsAAAAPAAAAZHJzL2Rvd25yZXYueG1sRI/BbsIw&#10;DIbvSLxDZCRukALSYB0BTYNJO7KOwdVrTFvROFWTQeHp8WHSjtbv//Pn5bpztbpQGyrPBibjBBRx&#10;7m3FhYH91/toASpEZIu1ZzJwowDrVb+3xNT6K3/SJYuFEgiHFA2UMTap1iEvyWEY+4ZYspNvHUYZ&#10;20LbFq8Cd7WeJsmTdlixXCixobeS8nP260RjetzPNruM5nP8mW229+/n06E2ZjjoXl9AReri//Jf&#10;+8MaWIi9/CIA0KsHAAAA//8DAFBLAQItABQABgAIAAAAIQDb4fbL7gAAAIUBAAATAAAAAAAAAAAA&#10;AAAAAAAAAABbQ29udGVudF9UeXBlc10ueG1sUEsBAi0AFAAGAAgAAAAhAFr0LFu/AAAAFQEAAAsA&#10;AAAAAAAAAAAAAAAAHwEAAF9yZWxzLy5yZWxzUEsBAi0AFAAGAAgAAAAhAAy6a73EAAAA2wAAAA8A&#10;AAAAAAAAAAAAAAAABwIAAGRycy9kb3ducmV2LnhtbFBLBQYAAAAAAwADALcAAAD4AgAAAAA=&#10;" filled="f">
                  <v:textbox>
                    <w:txbxContent>
                      <w:p w14:paraId="1BE8EF74" w14:textId="77777777" w:rsidR="00B44B0D" w:rsidRDefault="00B44B0D" w:rsidP="00C96521">
                        <w:pPr>
                          <w:jc w:val="center"/>
                          <w:rPr>
                            <w:rFonts w:cs="Arial"/>
                            <w:color w:val="000000"/>
                            <w:szCs w:val="18"/>
                          </w:rPr>
                        </w:pPr>
                        <w:r>
                          <w:rPr>
                            <w:rFonts w:cs="Arial"/>
                            <w:color w:val="000000"/>
                            <w:szCs w:val="18"/>
                          </w:rPr>
                          <w:t>P5</w:t>
                        </w:r>
                      </w:p>
                    </w:txbxContent>
                  </v:textbox>
                </v:shape>
                <v:shape id="Text Box 156" o:spid="_x0000_s1082" type="#_x0000_t202" style="position:absolute;left:39465;top:45227;width:3746;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s4mxQAAANsAAAAPAAAAZHJzL2Rvd25yZXYueG1sRI9Ba8JA&#10;EIXvhf6HZQq9NRsVTIyuUmoLHmua6nXMjkkwOxuyW43+erdQ6PHx5n1v3mI1mFacqXeNZQWjKAZB&#10;XFrdcKWg+Pp4SUE4j6yxtUwKruRgtXx8WGCm7YW3dM59JQKEXYYKau+7TEpX1mTQRbYjDt7R9gZ9&#10;kH0ldY+XADetHMfxVBpsODTU2NFbTeUp/zHhjfG+mKw/c0oSPEzW77fv2XHXKvX8NLzOQXga/P/x&#10;X3qjFaQj+N0SACCXdwAAAP//AwBQSwECLQAUAAYACAAAACEA2+H2y+4AAACFAQAAEwAAAAAAAAAA&#10;AAAAAAAAAAAAW0NvbnRlbnRfVHlwZXNdLnhtbFBLAQItABQABgAIAAAAIQBa9CxbvwAAABUBAAAL&#10;AAAAAAAAAAAAAAAAAB8BAABfcmVscy8ucmVsc1BLAQItABQABgAIAAAAIQBj9s4mxQAAANsAAAAP&#10;AAAAAAAAAAAAAAAAAAcCAABkcnMvZG93bnJldi54bWxQSwUGAAAAAAMAAwC3AAAA+QIAAAAA&#10;" filled="f">
                  <v:textbox>
                    <w:txbxContent>
                      <w:p w14:paraId="5236E758" w14:textId="77777777" w:rsidR="00B44B0D" w:rsidRDefault="00B44B0D" w:rsidP="00C96521">
                        <w:pPr>
                          <w:jc w:val="center"/>
                          <w:rPr>
                            <w:rFonts w:cs="Arial"/>
                            <w:color w:val="000000"/>
                            <w:szCs w:val="18"/>
                          </w:rPr>
                        </w:pPr>
                        <w:r>
                          <w:rPr>
                            <w:rFonts w:cs="Arial"/>
                            <w:color w:val="000000"/>
                            <w:szCs w:val="18"/>
                          </w:rPr>
                          <w:t>P6</w:t>
                        </w:r>
                      </w:p>
                    </w:txbxContent>
                  </v:textbox>
                </v:shape>
                <v:line id="Line 157" o:spid="_x0000_s1083" style="position:absolute;visibility:visible;mso-wrap-style:square" from="10461,42100" to="10461,4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0IPwQAAANsAAAAPAAAAZHJzL2Rvd25yZXYueG1sRI/RisIw&#10;FETfBf8hXGHfNNUVKdUo7oKgPu2qH3Bprk2xuSlJtPXvzcKCj8PMnGFWm9424kE+1I4VTCcZCOLS&#10;6ZorBZfzbpyDCBFZY+OYFDwpwGY9HKyw0K7jX3qcYiUShEOBCkyMbSFlKA1ZDBPXEifv6rzFmKSv&#10;pPbYJbht5CzLFtJizWnBYEvfhsrb6W4VaG66w+eX89f59PI87qr8x3RBqY9Rv12CiNTHd/i/vdcK&#10;8hn8fUk/QK5fAAAA//8DAFBLAQItABQABgAIAAAAIQDb4fbL7gAAAIUBAAATAAAAAAAAAAAAAAAA&#10;AAAAAABbQ29udGVudF9UeXBlc10ueG1sUEsBAi0AFAAGAAgAAAAhAFr0LFu/AAAAFQEAAAsAAAAA&#10;AAAAAAAAAAAAHwEAAF9yZWxzLy5yZWxzUEsBAi0AFAAGAAgAAAAhAEdvQg/BAAAA2wAAAA8AAAAA&#10;AAAAAAAAAAAABwIAAGRycy9kb3ducmV2LnhtbFBLBQYAAAAAAwADALcAAAD1AgAAAAA=&#10;" strokeweight="1.25pt">
                  <v:stroke endarrow="block"/>
                </v:line>
                <v:line id="Line 158" o:spid="_x0000_s1084" style="position:absolute;visibility:visible;mso-wrap-style:square" from="17081,42179" to="17081,44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eUwQAAANsAAAAPAAAAZHJzL2Rvd25yZXYueG1sRI/RisIw&#10;FETfF/yHcAXf1lRdllKNooKg++SqH3Bprk2xuSlJtPXvzYKwj8PMnGEWq9424kE+1I4VTMYZCOLS&#10;6ZorBZfz7jMHESKyxsYxKXhSgNVy8LHAQruOf+lxipVIEA4FKjAxtoWUoTRkMYxdS5y8q/MWY5K+&#10;ktpjl+C2kdMs+5YWa04LBlvaGipvp7tVoLnpDrON89evyeX5s6vyo+mCUqNhv56DiNTH//C7vdcK&#10;8hn8fUk/QC5fAAAA//8DAFBLAQItABQABgAIAAAAIQDb4fbL7gAAAIUBAAATAAAAAAAAAAAAAAAA&#10;AAAAAABbQ29udGVudF9UeXBlc10ueG1sUEsBAi0AFAAGAAgAAAAhAFr0LFu/AAAAFQEAAAsAAAAA&#10;AAAAAAAAAAAAHwEAAF9yZWxzLy5yZWxzUEsBAi0AFAAGAAgAAAAhACgj55TBAAAA2wAAAA8AAAAA&#10;AAAAAAAAAAAABwIAAGRycy9kb3ducmV2LnhtbFBLBQYAAAAAAwADALcAAAD1AgAAAAA=&#10;" strokeweight="1.25pt">
                  <v:stroke endarrow="block"/>
                </v:line>
                <v:line id="Line 159" o:spid="_x0000_s1085" style="position:absolute;visibility:visible;mso-wrap-style:square" from="22844,42195" to="22844,44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n/gwQAAANsAAAAPAAAAZHJzL2Rvd25yZXYueG1sRI/disIw&#10;FITvF3yHcATv1tQfltI1igqC7pW6PsChOTbF5qQk0da3N8LCXg4z8w2zWPW2EQ/yoXasYDLOQBCX&#10;TtdcKbj87j5zECEia2wck4InBVgtBx8LLLTr+ESPc6xEgnAoUIGJsS2kDKUhi2HsWuLkXZ23GJP0&#10;ldQeuwS3jZxm2Ze0WHNaMNjS1lB5O9+tAs1Nd5htnL/OJ5fnz67Kj6YLSo2G/fobRKQ+/of/2nut&#10;IJ/D+0v6AXL5AgAA//8DAFBLAQItABQABgAIAAAAIQDb4fbL7gAAAIUBAAATAAAAAAAAAAAAAAAA&#10;AAAAAABbQ29udGVudF9UeXBlc10ueG1sUEsBAi0AFAAGAAgAAAAhAFr0LFu/AAAAFQEAAAsAAAAA&#10;AAAAAAAAAAAAHwEAAF9yZWxzLy5yZWxzUEsBAi0AFAAGAAgAAAAhAKfKf+DBAAAA2wAAAA8AAAAA&#10;AAAAAAAAAAAABwIAAGRycy9kb3ducmV2LnhtbFBLBQYAAAAAAwADALcAAAD1AgAAAAA=&#10;" strokeweight="1.25pt">
                  <v:stroke endarrow="block"/>
                </v:line>
                <v:line id="Line 160" o:spid="_x0000_s1086" style="position:absolute;visibility:visible;mso-wrap-style:square" from="29241,42179" to="29241,44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p7wwAAANsAAAAPAAAAZHJzL2Rvd25yZXYueG1sRI/BasMw&#10;EETvgf6D2EJviZw0Kca1EppCoMkpdfMBi7W2TK2VkdTY+fuqUMhxmJk3TLmbbC+u5EPnWMFykYEg&#10;rp3uuFVw+TrMcxAhImvsHZOCGwXYbR9mJRbajfxJ1yq2IkE4FKjAxDgUUobakMWwcANx8hrnLcYk&#10;fSu1xzHBbS9XWfYiLXacFgwO9G6o/q5+rALN/Xh83jvfrJeX2+nQ5mczBqWeHqe3VxCRpngP/7c/&#10;tIJ8A39f0g+Q218AAAD//wMAUEsBAi0AFAAGAAgAAAAhANvh9svuAAAAhQEAABMAAAAAAAAAAAAA&#10;AAAAAAAAAFtDb250ZW50X1R5cGVzXS54bWxQSwECLQAUAAYACAAAACEAWvQsW78AAAAVAQAACwAA&#10;AAAAAAAAAAAAAAAfAQAAX3JlbHMvLnJlbHNQSwECLQAUAAYACAAAACEAyIbae8MAAADbAAAADwAA&#10;AAAAAAAAAAAAAAAHAgAAZHJzL2Rvd25yZXYueG1sUEsFBgAAAAADAAMAtwAAAPcCAAAAAA==&#10;" strokeweight="1.25pt">
                  <v:stroke endarrow="block"/>
                </v:line>
                <v:line id="Line 161" o:spid="_x0000_s1087" style="position:absolute;visibility:visible;mso-wrap-style:square" from="35290,42100" to="35290,4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EQMwQAAANsAAAAPAAAAZHJzL2Rvd25yZXYueG1sRI/disIw&#10;FITvF3yHcATv1tQfpHSNooKgXu26PsChOTbF5qQk0da3N8LCXg4z8w2zXPe2EQ/yoXasYDLOQBCX&#10;TtdcKbj87j9zECEia2wck4InBVivBh9LLLTr+Ice51iJBOFQoAITY1tIGUpDFsPYtcTJuzpvMSbp&#10;K6k9dgluGznNsoW0WHNaMNjSzlB5O9+tAs1Nd5xtnb/OJ5fnaV/l36YLSo2G/eYLRKQ+/of/2get&#10;IF/A+0v6AXL1AgAA//8DAFBLAQItABQABgAIAAAAIQDb4fbL7gAAAIUBAAATAAAAAAAAAAAAAAAA&#10;AAAAAABbQ29udGVudF9UeXBlc10ueG1sUEsBAi0AFAAGAAgAAAAhAFr0LFu/AAAAFQEAAAsAAAAA&#10;AAAAAAAAAAAAHwEAAF9yZWxzLy5yZWxzUEsBAi0AFAAGAAgAAAAhADhURAzBAAAA2wAAAA8AAAAA&#10;AAAAAAAAAAAABwIAAGRycy9kb3ducmV2LnhtbFBLBQYAAAAAAwADALcAAAD1AgAAAAA=&#10;" strokeweight="1.25pt">
                  <v:stroke endarrow="block"/>
                </v:line>
                <v:line id="Line 162" o:spid="_x0000_s1088" style="position:absolute;visibility:visible;mso-wrap-style:square" from="41576,42100" to="41576,4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OGXwwAAANsAAAAPAAAAZHJzL2Rvd25yZXYueG1sRI/BasMw&#10;EETvgf6D2EJviZw0pMa1EppCoMkpdfMBi7W2TK2VkdTY+fuqUMhxmJk3TLmbbC+u5EPnWMFykYEg&#10;rp3uuFVw+TrMcxAhImvsHZOCGwXYbR9mJRbajfxJ1yq2IkE4FKjAxDgUUobakMWwcANx8hrnLcYk&#10;fSu1xzHBbS9XWbaRFjtOCwYHejdUf1c/VoHmfjw+751v1svL7XRo87MZg1JPj9PbK4hIU7yH/9sf&#10;WkH+An9f0g+Q218AAAD//wMAUEsBAi0AFAAGAAgAAAAhANvh9svuAAAAhQEAABMAAAAAAAAAAAAA&#10;AAAAAAAAAFtDb250ZW50X1R5cGVzXS54bWxQSwECLQAUAAYACAAAACEAWvQsW78AAAAVAQAACwAA&#10;AAAAAAAAAAAAAAAfAQAAX3JlbHMvLnJlbHNQSwECLQAUAAYACAAAACEAVxjhl8MAAADbAAAADwAA&#10;AAAAAAAAAAAAAAAHAgAAZHJzL2Rvd25yZXYueG1sUEsFBgAAAAADAAMAtwAAAPcCAAAAAA==&#10;" strokeweight="1.25pt">
                  <v:stroke endarrow="block"/>
                </v:line>
                <w10:wrap type="square"/>
              </v:group>
            </w:pict>
          </mc:Fallback>
        </mc:AlternateContent>
      </w:r>
    </w:p>
    <w:p w14:paraId="7145A4AD" w14:textId="77777777" w:rsidR="00C96521" w:rsidRPr="00C96521" w:rsidRDefault="00C96521" w:rsidP="00C96521">
      <w:pPr>
        <w:widowControl/>
        <w:autoSpaceDE/>
        <w:autoSpaceDN/>
        <w:adjustRightInd/>
        <w:spacing w:line="276" w:lineRule="auto"/>
        <w:rPr>
          <w:rFonts w:eastAsia="MS Mincho"/>
          <w:i/>
          <w:sz w:val="20"/>
          <w:szCs w:val="20"/>
          <w:lang w:val="en-GB" w:eastAsia="ja-JP"/>
        </w:rPr>
      </w:pPr>
      <w:r w:rsidRPr="00C96521">
        <w:rPr>
          <w:rFonts w:eastAsia="MS Mincho"/>
          <w:i/>
          <w:sz w:val="20"/>
          <w:szCs w:val="20"/>
          <w:lang w:val="en-GB" w:eastAsia="ja-JP"/>
        </w:rPr>
        <w:t>Figure 19. The three steps required to estimate the Potential maximum harvestable population fraction (P). Three values are used for survival S and hence λ</w:t>
      </w:r>
      <w:r w:rsidRPr="00C96521">
        <w:rPr>
          <w:rFonts w:eastAsia="MS Mincho"/>
          <w:i/>
          <w:sz w:val="20"/>
          <w:szCs w:val="20"/>
          <w:vertAlign w:val="subscript"/>
          <w:lang w:val="en-GB" w:eastAsia="ja-JP"/>
        </w:rPr>
        <w:t>max</w:t>
      </w:r>
      <w:r w:rsidRPr="00C96521">
        <w:rPr>
          <w:rFonts w:eastAsia="MS Mincho"/>
          <w:i/>
          <w:sz w:val="20"/>
          <w:szCs w:val="20"/>
          <w:lang w:val="en-GB" w:eastAsia="ja-JP"/>
        </w:rPr>
        <w:t>, two values are used for productivity, leading to six different scenarios. Other parameters remain constant (a: age at 1</w:t>
      </w:r>
      <w:r w:rsidRPr="00C96521">
        <w:rPr>
          <w:rFonts w:eastAsia="MS Mincho"/>
          <w:i/>
          <w:sz w:val="20"/>
          <w:szCs w:val="20"/>
          <w:vertAlign w:val="superscript"/>
          <w:lang w:val="en-GB" w:eastAsia="ja-JP"/>
        </w:rPr>
        <w:t>st</w:t>
      </w:r>
      <w:r w:rsidRPr="00C96521">
        <w:rPr>
          <w:rFonts w:eastAsia="MS Mincho"/>
          <w:i/>
          <w:sz w:val="20"/>
          <w:szCs w:val="20"/>
          <w:lang w:val="en-GB" w:eastAsia="ja-JP"/>
        </w:rPr>
        <w:t xml:space="preserve"> breeding, b: correction factor).</w:t>
      </w:r>
    </w:p>
    <w:p w14:paraId="17CB7C55" w14:textId="3AC942DE" w:rsidR="00C96521" w:rsidRDefault="00C96521" w:rsidP="00C96521">
      <w:pPr>
        <w:widowControl/>
        <w:autoSpaceDE/>
        <w:autoSpaceDN/>
        <w:adjustRightInd/>
        <w:spacing w:line="276" w:lineRule="auto"/>
        <w:rPr>
          <w:rFonts w:eastAsia="MS Mincho" w:cs="Arial"/>
          <w:sz w:val="20"/>
          <w:szCs w:val="20"/>
          <w:lang w:val="en-GB" w:eastAsia="ja-JP"/>
        </w:rPr>
      </w:pPr>
    </w:p>
    <w:p w14:paraId="561714F7" w14:textId="13E997E6" w:rsidR="00CB5111" w:rsidRDefault="00CB5111" w:rsidP="00C96521">
      <w:pPr>
        <w:widowControl/>
        <w:autoSpaceDE/>
        <w:autoSpaceDN/>
        <w:adjustRightInd/>
        <w:spacing w:line="276" w:lineRule="auto"/>
        <w:rPr>
          <w:rFonts w:eastAsia="MS Mincho" w:cs="Arial"/>
          <w:sz w:val="20"/>
          <w:szCs w:val="20"/>
          <w:lang w:val="en-GB" w:eastAsia="ja-JP"/>
        </w:rPr>
      </w:pPr>
    </w:p>
    <w:p w14:paraId="037512D9" w14:textId="77777777" w:rsidR="00CB5111" w:rsidRPr="00C96521" w:rsidRDefault="00CB5111" w:rsidP="00C96521">
      <w:pPr>
        <w:widowControl/>
        <w:autoSpaceDE/>
        <w:autoSpaceDN/>
        <w:adjustRightInd/>
        <w:spacing w:line="276" w:lineRule="auto"/>
        <w:rPr>
          <w:rFonts w:eastAsia="MS Mincho" w:cs="Arial"/>
          <w:sz w:val="20"/>
          <w:szCs w:val="20"/>
          <w:lang w:val="en-GB" w:eastAsia="ja-JP"/>
        </w:rPr>
      </w:pPr>
    </w:p>
    <w:p w14:paraId="746D898A" w14:textId="734ACF88"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xml:space="preserve">P1 is the potential maximum harvestable population fraction that could be performed in conditions that are the most conservative for </w:t>
      </w:r>
      <w:r w:rsidR="007910C0">
        <w:rPr>
          <w:rFonts w:eastAsia="MS Mincho"/>
          <w:sz w:val="20"/>
          <w:szCs w:val="22"/>
          <w:lang w:val="en-GB" w:eastAsia="ja-JP"/>
        </w:rPr>
        <w:t>T</w:t>
      </w:r>
      <w:r w:rsidR="007910C0" w:rsidRPr="00C96521">
        <w:rPr>
          <w:rFonts w:eastAsia="MS Mincho"/>
          <w:sz w:val="20"/>
          <w:szCs w:val="22"/>
          <w:lang w:val="en-GB" w:eastAsia="ja-JP"/>
        </w:rPr>
        <w:t>urtle</w:t>
      </w:r>
      <w:r w:rsidR="007910C0">
        <w:rPr>
          <w:rFonts w:eastAsia="MS Mincho"/>
          <w:sz w:val="20"/>
          <w:szCs w:val="22"/>
          <w:lang w:val="en-GB" w:eastAsia="ja-JP"/>
        </w:rPr>
        <w:t xml:space="preserve"> D</w:t>
      </w:r>
      <w:r w:rsidR="007910C0" w:rsidRPr="00C96521">
        <w:rPr>
          <w:rFonts w:eastAsia="MS Mincho"/>
          <w:sz w:val="20"/>
          <w:szCs w:val="22"/>
          <w:lang w:val="en-GB" w:eastAsia="ja-JP"/>
        </w:rPr>
        <w:t xml:space="preserve">ove </w:t>
      </w:r>
      <w:r w:rsidRPr="00C96521">
        <w:rPr>
          <w:rFonts w:eastAsia="MS Mincho" w:cs="Arial"/>
          <w:sz w:val="20"/>
          <w:szCs w:val="20"/>
          <w:lang w:val="en-GB" w:eastAsia="ja-JP"/>
        </w:rPr>
        <w:t>populations (lowest λ</w:t>
      </w:r>
      <w:r w:rsidRPr="00C96521">
        <w:rPr>
          <w:rFonts w:eastAsia="MS Mincho" w:cs="Arial"/>
          <w:sz w:val="20"/>
          <w:szCs w:val="20"/>
          <w:vertAlign w:val="subscript"/>
          <w:lang w:val="en-GB" w:eastAsia="ja-JP"/>
        </w:rPr>
        <w:t>max</w:t>
      </w:r>
      <w:r w:rsidRPr="00C96521">
        <w:rPr>
          <w:rFonts w:eastAsia="MS Mincho" w:cs="Arial"/>
          <w:sz w:val="20"/>
          <w:szCs w:val="20"/>
          <w:lang w:val="en-GB" w:eastAsia="ja-JP"/>
        </w:rPr>
        <w:t xml:space="preserve">, post-breeding population calculated with the lowest productivity value). P6 gives the potential maximum harvestable population fraction that could be performed in conditions that are the least conservative for </w:t>
      </w:r>
      <w:r w:rsidR="007910C0">
        <w:rPr>
          <w:rFonts w:eastAsia="MS Mincho"/>
          <w:sz w:val="20"/>
          <w:szCs w:val="22"/>
          <w:lang w:val="en-GB" w:eastAsia="ja-JP"/>
        </w:rPr>
        <w:t>T</w:t>
      </w:r>
      <w:r w:rsidR="007910C0" w:rsidRPr="00C96521">
        <w:rPr>
          <w:rFonts w:eastAsia="MS Mincho"/>
          <w:sz w:val="20"/>
          <w:szCs w:val="22"/>
          <w:lang w:val="en-GB" w:eastAsia="ja-JP"/>
        </w:rPr>
        <w:t>urtle</w:t>
      </w:r>
      <w:r w:rsidR="007910C0">
        <w:rPr>
          <w:rFonts w:eastAsia="MS Mincho"/>
          <w:sz w:val="20"/>
          <w:szCs w:val="22"/>
          <w:lang w:val="en-GB" w:eastAsia="ja-JP"/>
        </w:rPr>
        <w:t xml:space="preserve"> D</w:t>
      </w:r>
      <w:r w:rsidR="007910C0" w:rsidRPr="00C96521">
        <w:rPr>
          <w:rFonts w:eastAsia="MS Mincho"/>
          <w:sz w:val="20"/>
          <w:szCs w:val="22"/>
          <w:lang w:val="en-GB" w:eastAsia="ja-JP"/>
        </w:rPr>
        <w:t xml:space="preserve">ove </w:t>
      </w:r>
      <w:r w:rsidRPr="00C96521">
        <w:rPr>
          <w:rFonts w:eastAsia="MS Mincho" w:cs="Arial"/>
          <w:sz w:val="20"/>
          <w:szCs w:val="20"/>
          <w:lang w:val="en-GB" w:eastAsia="ja-JP"/>
        </w:rPr>
        <w:t>populations (highest λ</w:t>
      </w:r>
      <w:r w:rsidRPr="00C96521">
        <w:rPr>
          <w:rFonts w:eastAsia="MS Mincho" w:cs="Arial"/>
          <w:sz w:val="20"/>
          <w:szCs w:val="20"/>
          <w:vertAlign w:val="subscript"/>
          <w:lang w:val="en-GB" w:eastAsia="ja-JP"/>
        </w:rPr>
        <w:t>max</w:t>
      </w:r>
      <w:r w:rsidRPr="00C96521">
        <w:rPr>
          <w:rFonts w:eastAsia="MS Mincho" w:cs="Arial"/>
          <w:sz w:val="20"/>
          <w:szCs w:val="20"/>
          <w:lang w:val="en-GB" w:eastAsia="ja-JP"/>
        </w:rPr>
        <w:t>, post-breeding population calculated with the highest productivity value).</w:t>
      </w:r>
    </w:p>
    <w:p w14:paraId="294269F9" w14:textId="4161512B" w:rsidR="00C96521" w:rsidRDefault="00C96521" w:rsidP="00C96521">
      <w:pPr>
        <w:widowControl/>
        <w:autoSpaceDE/>
        <w:autoSpaceDN/>
        <w:adjustRightInd/>
        <w:spacing w:line="276" w:lineRule="auto"/>
        <w:rPr>
          <w:rFonts w:eastAsia="MS Mincho" w:cs="Arial"/>
          <w:b/>
          <w:sz w:val="20"/>
          <w:szCs w:val="20"/>
          <w:lang w:val="en-GB" w:eastAsia="ja-JP"/>
        </w:rPr>
      </w:pPr>
    </w:p>
    <w:p w14:paraId="4D73C127" w14:textId="77777777" w:rsidR="00CB5111" w:rsidRPr="00C96521" w:rsidRDefault="00CB5111" w:rsidP="00C96521">
      <w:pPr>
        <w:widowControl/>
        <w:autoSpaceDE/>
        <w:autoSpaceDN/>
        <w:adjustRightInd/>
        <w:spacing w:line="276" w:lineRule="auto"/>
        <w:rPr>
          <w:rFonts w:eastAsia="MS Mincho" w:cs="Arial"/>
          <w:b/>
          <w:sz w:val="20"/>
          <w:szCs w:val="20"/>
          <w:lang w:val="en-GB" w:eastAsia="ja-JP"/>
        </w:rPr>
      </w:pPr>
    </w:p>
    <w:p w14:paraId="73E82C3A" w14:textId="77777777" w:rsidR="00C96521" w:rsidRPr="00C96521" w:rsidRDefault="00C96521" w:rsidP="00C96521">
      <w:pPr>
        <w:widowControl/>
        <w:autoSpaceDE/>
        <w:autoSpaceDN/>
        <w:adjustRightInd/>
        <w:spacing w:line="276" w:lineRule="auto"/>
        <w:rPr>
          <w:rFonts w:eastAsia="MS Mincho" w:cs="Arial"/>
          <w:b/>
          <w:sz w:val="20"/>
          <w:szCs w:val="20"/>
          <w:lang w:val="en-GB" w:eastAsia="ja-JP"/>
        </w:rPr>
      </w:pPr>
      <w:r w:rsidRPr="00C96521">
        <w:rPr>
          <w:rFonts w:eastAsia="MS Mincho" w:cs="Arial"/>
          <w:b/>
          <w:sz w:val="20"/>
          <w:szCs w:val="20"/>
          <w:lang w:val="en-GB" w:eastAsia="ja-JP"/>
        </w:rPr>
        <w:t>Results</w:t>
      </w:r>
    </w:p>
    <w:p w14:paraId="2CF5A4CF"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66C056DD" w14:textId="77777777" w:rsidR="00C96521" w:rsidRPr="00C96521" w:rsidRDefault="00C96521" w:rsidP="00C96521">
      <w:pPr>
        <w:widowControl/>
        <w:autoSpaceDE/>
        <w:autoSpaceDN/>
        <w:adjustRightInd/>
        <w:spacing w:line="276" w:lineRule="auto"/>
        <w:rPr>
          <w:rFonts w:eastAsia="MS Mincho" w:cs="Arial"/>
          <w:b/>
          <w:i/>
          <w:sz w:val="20"/>
          <w:szCs w:val="20"/>
          <w:lang w:val="en-GB" w:eastAsia="ja-JP"/>
        </w:rPr>
      </w:pPr>
      <w:r w:rsidRPr="00C96521">
        <w:rPr>
          <w:rFonts w:eastAsia="MS Mincho" w:cs="Arial"/>
          <w:b/>
          <w:i/>
          <w:sz w:val="20"/>
          <w:szCs w:val="20"/>
          <w:lang w:val="en-GB" w:eastAsia="ja-JP"/>
        </w:rPr>
        <w:t>Estimates of population size from western flyway potentially targeted by hunting:</w:t>
      </w:r>
    </w:p>
    <w:p w14:paraId="7BD148EE" w14:textId="77777777" w:rsidR="00C96521" w:rsidRPr="00C96521" w:rsidRDefault="00C96521" w:rsidP="00C96521">
      <w:pPr>
        <w:widowControl/>
        <w:autoSpaceDE/>
        <w:autoSpaceDN/>
        <w:adjustRightInd/>
        <w:spacing w:line="276" w:lineRule="auto"/>
        <w:ind w:firstLine="708"/>
        <w:rPr>
          <w:rFonts w:eastAsia="MS Mincho" w:cs="Arial"/>
          <w:sz w:val="20"/>
          <w:szCs w:val="20"/>
          <w:lang w:val="en-GB" w:eastAsia="ja-JP"/>
        </w:rPr>
      </w:pPr>
    </w:p>
    <w:p w14:paraId="26E7BAD7" w14:textId="77777777" w:rsidR="00C96521" w:rsidRPr="00C96521" w:rsidRDefault="00C96521" w:rsidP="00C96521">
      <w:pPr>
        <w:widowControl/>
        <w:shd w:val="clear" w:color="auto" w:fill="E6E6E6"/>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Group 1: Italy not included in population size</w:t>
      </w:r>
    </w:p>
    <w:p w14:paraId="22F77EA2"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0BC1CCFE"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xml:space="preserve">Using the information in Table 7, the adult population size N in 2016 = 1,489,918-2,343,495 breeding pairs </w:t>
      </w:r>
      <w:r w:rsidRPr="00C96521">
        <w:rPr>
          <w:rFonts w:eastAsia="MS Mincho" w:cs="Arial"/>
          <w:sz w:val="20"/>
          <w:szCs w:val="20"/>
          <w:lang w:val="en-GB" w:eastAsia="ja-JP"/>
        </w:rPr>
        <w:sym w:font="Symbol" w:char="F0B4"/>
      </w:r>
      <w:r w:rsidRPr="00C96521">
        <w:rPr>
          <w:rFonts w:eastAsia="MS Mincho" w:cs="Arial"/>
          <w:sz w:val="20"/>
          <w:szCs w:val="20"/>
          <w:lang w:val="en-GB" w:eastAsia="ja-JP"/>
        </w:rPr>
        <w:t xml:space="preserve"> 2 = 2,979,836-4,686,990 birds.</w:t>
      </w:r>
    </w:p>
    <w:p w14:paraId="24E1F255" w14:textId="77777777" w:rsidR="00C96521" w:rsidRPr="00C96521" w:rsidRDefault="00C96521" w:rsidP="00C96521">
      <w:pPr>
        <w:widowControl/>
        <w:autoSpaceDE/>
        <w:autoSpaceDN/>
        <w:adjustRightInd/>
        <w:spacing w:line="276" w:lineRule="auto"/>
        <w:ind w:firstLine="708"/>
        <w:rPr>
          <w:rFonts w:eastAsia="MS Mincho" w:cs="Arial"/>
          <w:sz w:val="20"/>
          <w:szCs w:val="20"/>
          <w:lang w:val="en-GB" w:eastAsia="ja-JP"/>
        </w:rPr>
      </w:pPr>
    </w:p>
    <w:p w14:paraId="0B1A7A5A" w14:textId="77777777" w:rsidR="00C96521" w:rsidRPr="00C96521" w:rsidRDefault="00C96521" w:rsidP="00C96521">
      <w:pPr>
        <w:widowControl/>
        <w:shd w:val="clear" w:color="auto" w:fill="E6E6E6"/>
        <w:autoSpaceDE/>
        <w:autoSpaceDN/>
        <w:adjustRightInd/>
        <w:spacing w:line="276" w:lineRule="auto"/>
        <w:rPr>
          <w:rFonts w:eastAsia="MS Mincho" w:cs="Arial"/>
          <w:i/>
          <w:sz w:val="20"/>
          <w:szCs w:val="20"/>
          <w:lang w:val="en-GB" w:eastAsia="ja-JP"/>
        </w:rPr>
      </w:pPr>
      <w:r w:rsidRPr="00C96521">
        <w:rPr>
          <w:rFonts w:eastAsia="MS Mincho" w:cs="Arial"/>
          <w:i/>
          <w:sz w:val="20"/>
          <w:szCs w:val="20"/>
          <w:lang w:val="en-GB" w:eastAsia="ja-JP"/>
        </w:rPr>
        <w:sym w:font="Wingdings" w:char="F09F"/>
      </w:r>
      <w:r w:rsidRPr="00C96521">
        <w:rPr>
          <w:rFonts w:eastAsia="MS Mincho" w:cs="Arial"/>
          <w:i/>
          <w:sz w:val="20"/>
          <w:szCs w:val="20"/>
          <w:lang w:val="en-GB" w:eastAsia="ja-JP"/>
        </w:rPr>
        <w:t xml:space="preserve"> Hypothesis 1: post-breeding population N1 (productivity rate = 1.3) </w:t>
      </w:r>
    </w:p>
    <w:p w14:paraId="11D48F83"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22924CA3"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Applying a productivity rate of 1.3 would lead to a juvenile population of 1,936,893-3,046,543.</w:t>
      </w:r>
    </w:p>
    <w:p w14:paraId="6192DDF5"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5A59EA8D"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The total population before hunting, calculated as twice the number of breeding pairs plus the number of juveniles produced = N + N1 = 4,916,729-7,733,533 birds.</w:t>
      </w:r>
    </w:p>
    <w:p w14:paraId="4688084D" w14:textId="77777777" w:rsidR="00C96521" w:rsidRPr="00C96521" w:rsidRDefault="00C96521" w:rsidP="00C96521">
      <w:pPr>
        <w:widowControl/>
        <w:autoSpaceDE/>
        <w:autoSpaceDN/>
        <w:adjustRightInd/>
        <w:spacing w:line="276" w:lineRule="auto"/>
        <w:ind w:left="1416" w:hanging="696"/>
        <w:rPr>
          <w:rFonts w:eastAsia="MS Mincho" w:cs="Arial"/>
          <w:sz w:val="20"/>
          <w:szCs w:val="20"/>
          <w:u w:val="single"/>
          <w:lang w:val="en-GB" w:eastAsia="ja-JP"/>
        </w:rPr>
      </w:pPr>
    </w:p>
    <w:p w14:paraId="6BB34D15" w14:textId="77777777" w:rsidR="00C96521" w:rsidRPr="00C96521" w:rsidRDefault="00C96521" w:rsidP="00C96521">
      <w:pPr>
        <w:widowControl/>
        <w:shd w:val="clear" w:color="auto" w:fill="E6E6E6"/>
        <w:autoSpaceDE/>
        <w:autoSpaceDN/>
        <w:adjustRightInd/>
        <w:spacing w:line="276" w:lineRule="auto"/>
        <w:rPr>
          <w:rFonts w:eastAsia="MS Mincho" w:cs="Arial"/>
          <w:i/>
          <w:sz w:val="20"/>
          <w:szCs w:val="20"/>
          <w:lang w:val="en-GB" w:eastAsia="ja-JP"/>
        </w:rPr>
      </w:pPr>
      <w:r w:rsidRPr="00C96521">
        <w:rPr>
          <w:rFonts w:eastAsia="MS Mincho" w:cs="Arial"/>
          <w:i/>
          <w:sz w:val="20"/>
          <w:szCs w:val="20"/>
          <w:lang w:val="en-GB" w:eastAsia="ja-JP"/>
        </w:rPr>
        <w:sym w:font="Wingdings" w:char="F09F"/>
      </w:r>
      <w:r w:rsidRPr="00C96521">
        <w:rPr>
          <w:rFonts w:eastAsia="MS Mincho" w:cs="Arial"/>
          <w:i/>
          <w:sz w:val="20"/>
          <w:szCs w:val="20"/>
          <w:lang w:val="en-GB" w:eastAsia="ja-JP"/>
        </w:rPr>
        <w:t xml:space="preserve"> Hypothesis 2: post-breeding population N2 (productivity rate = 2.71) </w:t>
      </w:r>
    </w:p>
    <w:p w14:paraId="58A11A09" w14:textId="77777777" w:rsidR="00C96521" w:rsidRPr="00C96521" w:rsidRDefault="00C96521" w:rsidP="00C96521">
      <w:pPr>
        <w:widowControl/>
        <w:autoSpaceDE/>
        <w:autoSpaceDN/>
        <w:adjustRightInd/>
        <w:spacing w:line="276" w:lineRule="auto"/>
        <w:rPr>
          <w:rFonts w:eastAsia="MS Mincho" w:cs="Arial"/>
          <w:sz w:val="20"/>
          <w:szCs w:val="20"/>
          <w:u w:val="single"/>
          <w:lang w:val="en-GB" w:eastAsia="ja-JP"/>
        </w:rPr>
      </w:pPr>
    </w:p>
    <w:p w14:paraId="3770AB67"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Applying a productivity rate of 2.71 would lead to a juvenile population of 4,037,677-6,350,871.</w:t>
      </w:r>
    </w:p>
    <w:p w14:paraId="786C69FA"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722A9AAC"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The total population before hunting, calculated as twice the number of breeding pairs plus the number of juveniles produced = N + N2 = 7,017,513-11,037,861 birds.</w:t>
      </w:r>
    </w:p>
    <w:p w14:paraId="677CA641"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3402E980" w14:textId="77777777" w:rsidR="00C96521" w:rsidRPr="00C96521" w:rsidRDefault="00C96521" w:rsidP="00C96521">
      <w:pPr>
        <w:widowControl/>
        <w:shd w:val="clear" w:color="auto" w:fill="E6E6E6"/>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Group 2: Italy partially included in population size</w:t>
      </w:r>
    </w:p>
    <w:p w14:paraId="6EC49DD4"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07E7AF0D" w14:textId="749AD57E"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21</w:t>
      </w:r>
      <w:r w:rsidR="007910C0">
        <w:rPr>
          <w:rFonts w:eastAsia="MS Mincho" w:cs="Arial"/>
          <w:sz w:val="20"/>
          <w:szCs w:val="20"/>
          <w:lang w:val="en-GB" w:eastAsia="ja-JP"/>
        </w:rPr>
        <w:t xml:space="preserve"> per cent</w:t>
      </w:r>
      <w:r w:rsidR="007910C0" w:rsidRPr="00C96521">
        <w:rPr>
          <w:rFonts w:eastAsia="MS Mincho" w:cs="Arial"/>
          <w:sz w:val="20"/>
          <w:szCs w:val="20"/>
          <w:lang w:val="en-GB" w:eastAsia="ja-JP"/>
        </w:rPr>
        <w:t xml:space="preserve"> </w:t>
      </w:r>
      <w:r w:rsidRPr="00C96521">
        <w:rPr>
          <w:rFonts w:eastAsia="MS Mincho" w:cs="Arial"/>
          <w:sz w:val="20"/>
          <w:szCs w:val="20"/>
          <w:lang w:val="en-GB" w:eastAsia="ja-JP"/>
        </w:rPr>
        <w:t>of the Italian population in 2016 = 31,579-63,157 pairs.</w:t>
      </w:r>
    </w:p>
    <w:p w14:paraId="5E3341E3"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6F739C32"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xml:space="preserve">The adult population size N in 2016 = 1,521,497-2,406,652 breeding pairs </w:t>
      </w:r>
      <w:r w:rsidRPr="00C96521">
        <w:rPr>
          <w:rFonts w:eastAsia="MS Mincho" w:cs="Arial"/>
          <w:sz w:val="20"/>
          <w:szCs w:val="20"/>
          <w:lang w:val="en-GB" w:eastAsia="ja-JP"/>
        </w:rPr>
        <w:sym w:font="Symbol" w:char="F0B4"/>
      </w:r>
      <w:r w:rsidRPr="00C96521">
        <w:rPr>
          <w:rFonts w:eastAsia="MS Mincho" w:cs="Arial"/>
          <w:sz w:val="20"/>
          <w:szCs w:val="20"/>
          <w:lang w:val="en-GB" w:eastAsia="ja-JP"/>
        </w:rPr>
        <w:t xml:space="preserve"> 2 = 3,042,993-4,813,304 birds.</w:t>
      </w:r>
    </w:p>
    <w:p w14:paraId="413C183C" w14:textId="77777777" w:rsidR="00C96521" w:rsidRPr="00C96521" w:rsidRDefault="00C96521" w:rsidP="00C96521">
      <w:pPr>
        <w:widowControl/>
        <w:autoSpaceDE/>
        <w:autoSpaceDN/>
        <w:adjustRightInd/>
        <w:spacing w:line="276" w:lineRule="auto"/>
        <w:ind w:firstLine="708"/>
        <w:rPr>
          <w:rFonts w:eastAsia="MS Mincho" w:cs="Arial"/>
          <w:sz w:val="20"/>
          <w:szCs w:val="20"/>
          <w:lang w:val="en-GB" w:eastAsia="ja-JP"/>
        </w:rPr>
      </w:pPr>
    </w:p>
    <w:p w14:paraId="397A8931" w14:textId="77777777" w:rsidR="00C96521" w:rsidRPr="00C96521" w:rsidRDefault="00C96521" w:rsidP="00C96521">
      <w:pPr>
        <w:widowControl/>
        <w:shd w:val="clear" w:color="auto" w:fill="E6E6E6"/>
        <w:autoSpaceDE/>
        <w:autoSpaceDN/>
        <w:adjustRightInd/>
        <w:spacing w:line="276" w:lineRule="auto"/>
        <w:rPr>
          <w:rFonts w:eastAsia="MS Mincho" w:cs="Arial"/>
          <w:i/>
          <w:sz w:val="20"/>
          <w:szCs w:val="20"/>
          <w:lang w:val="en-GB" w:eastAsia="ja-JP"/>
        </w:rPr>
      </w:pPr>
      <w:r w:rsidRPr="00C96521">
        <w:rPr>
          <w:rFonts w:eastAsia="MS Mincho" w:cs="Arial"/>
          <w:i/>
          <w:sz w:val="20"/>
          <w:szCs w:val="20"/>
          <w:lang w:val="en-GB" w:eastAsia="ja-JP"/>
        </w:rPr>
        <w:sym w:font="Wingdings" w:char="F09F"/>
      </w:r>
      <w:r w:rsidRPr="00C96521">
        <w:rPr>
          <w:rFonts w:eastAsia="MS Mincho" w:cs="Arial"/>
          <w:i/>
          <w:sz w:val="20"/>
          <w:szCs w:val="20"/>
          <w:lang w:val="en-GB" w:eastAsia="ja-JP"/>
        </w:rPr>
        <w:t xml:space="preserve"> Hypothesis 1: post-breeding population N1 (productivity rate = 1.3) </w:t>
      </w:r>
    </w:p>
    <w:p w14:paraId="2CEDFD03"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41101842"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xml:space="preserve">Applying a productivity rate of 1.3 would lead to a juvenile population of 1,977,946-3,128,648. </w:t>
      </w:r>
    </w:p>
    <w:p w14:paraId="217F7059"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3105CE0A"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The total population before hunting, calculated as twice the number of breeding pairs plus the number of juveniles produced = N + N1 = 5,020,940-7,941,952 birds.</w:t>
      </w:r>
    </w:p>
    <w:p w14:paraId="46BE28F4" w14:textId="77777777" w:rsidR="00C96521" w:rsidRPr="00C96521" w:rsidRDefault="00C96521" w:rsidP="00C96521">
      <w:pPr>
        <w:widowControl/>
        <w:autoSpaceDE/>
        <w:autoSpaceDN/>
        <w:adjustRightInd/>
        <w:spacing w:line="276" w:lineRule="auto"/>
        <w:ind w:left="1416" w:hanging="696"/>
        <w:rPr>
          <w:rFonts w:eastAsia="MS Mincho" w:cs="Arial"/>
          <w:sz w:val="20"/>
          <w:szCs w:val="20"/>
          <w:u w:val="single"/>
          <w:lang w:val="en-GB" w:eastAsia="ja-JP"/>
        </w:rPr>
      </w:pPr>
    </w:p>
    <w:p w14:paraId="0835F1E2" w14:textId="77777777" w:rsidR="00C96521" w:rsidRPr="00C96521" w:rsidRDefault="00C96521" w:rsidP="00C96521">
      <w:pPr>
        <w:widowControl/>
        <w:shd w:val="clear" w:color="auto" w:fill="E6E6E6"/>
        <w:autoSpaceDE/>
        <w:autoSpaceDN/>
        <w:adjustRightInd/>
        <w:spacing w:line="276" w:lineRule="auto"/>
        <w:rPr>
          <w:rFonts w:eastAsia="MS Mincho" w:cs="Arial"/>
          <w:i/>
          <w:sz w:val="20"/>
          <w:szCs w:val="20"/>
          <w:lang w:val="en-GB" w:eastAsia="ja-JP"/>
        </w:rPr>
      </w:pPr>
      <w:r w:rsidRPr="00C96521">
        <w:rPr>
          <w:rFonts w:eastAsia="MS Mincho" w:cs="Arial"/>
          <w:i/>
          <w:sz w:val="20"/>
          <w:szCs w:val="20"/>
          <w:lang w:val="en-GB" w:eastAsia="ja-JP"/>
        </w:rPr>
        <w:sym w:font="Wingdings" w:char="F09F"/>
      </w:r>
      <w:r w:rsidRPr="00C96521">
        <w:rPr>
          <w:rFonts w:eastAsia="MS Mincho" w:cs="Arial"/>
          <w:i/>
          <w:sz w:val="20"/>
          <w:szCs w:val="20"/>
          <w:lang w:val="en-GB" w:eastAsia="ja-JP"/>
        </w:rPr>
        <w:t xml:space="preserve"> Hypothesis 2: post-breeding population N2 (productivity rate = 2.71) </w:t>
      </w:r>
    </w:p>
    <w:p w14:paraId="188D2B65" w14:textId="77777777" w:rsidR="00C96521" w:rsidRPr="00C96521" w:rsidRDefault="00C96521" w:rsidP="00C96521">
      <w:pPr>
        <w:widowControl/>
        <w:autoSpaceDE/>
        <w:autoSpaceDN/>
        <w:adjustRightInd/>
        <w:spacing w:line="276" w:lineRule="auto"/>
        <w:rPr>
          <w:rFonts w:eastAsia="MS Mincho" w:cs="Arial"/>
          <w:sz w:val="20"/>
          <w:szCs w:val="20"/>
          <w:u w:val="single"/>
          <w:lang w:val="en-GB" w:eastAsia="ja-JP"/>
        </w:rPr>
      </w:pPr>
    </w:p>
    <w:p w14:paraId="7AC66F52"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Applying a productivity rate of 2.71 would lead to a juvenile population of 4,123,257-6,522,027.</w:t>
      </w:r>
    </w:p>
    <w:p w14:paraId="29A98E62"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68C80729"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The total population before hunting, calculated as twice the number of breeding pairs plus the number of juveniles produced =</w:t>
      </w:r>
      <w:r w:rsidRPr="00C96521">
        <w:rPr>
          <w:rFonts w:eastAsia="MS Mincho" w:cs="Arial"/>
          <w:sz w:val="20"/>
          <w:szCs w:val="20"/>
          <w:lang w:val="en-GB" w:eastAsia="ja-JP"/>
        </w:rPr>
        <w:tab/>
        <w:t>N + N2 = 7,166,251-11,335,331 birds.</w:t>
      </w:r>
    </w:p>
    <w:p w14:paraId="5CC7AD9F" w14:textId="77777777" w:rsidR="00C96521" w:rsidRPr="00C96521" w:rsidRDefault="00C96521" w:rsidP="00C96521">
      <w:pPr>
        <w:widowControl/>
        <w:autoSpaceDE/>
        <w:autoSpaceDN/>
        <w:adjustRightInd/>
        <w:spacing w:line="276" w:lineRule="auto"/>
        <w:rPr>
          <w:rFonts w:eastAsia="MS Mincho" w:cs="Arial"/>
          <w:i/>
          <w:sz w:val="20"/>
          <w:szCs w:val="20"/>
          <w:lang w:val="en-GB" w:eastAsia="ja-JP"/>
        </w:rPr>
      </w:pPr>
    </w:p>
    <w:p w14:paraId="735CA505" w14:textId="77777777" w:rsidR="00C96521" w:rsidRPr="00C96521" w:rsidRDefault="00C96521" w:rsidP="00C96521">
      <w:pPr>
        <w:widowControl/>
        <w:autoSpaceDE/>
        <w:autoSpaceDN/>
        <w:adjustRightInd/>
        <w:spacing w:line="276" w:lineRule="auto"/>
        <w:rPr>
          <w:rFonts w:eastAsia="MS Mincho" w:cs="Arial"/>
          <w:b/>
          <w:i/>
          <w:sz w:val="20"/>
          <w:szCs w:val="20"/>
          <w:lang w:val="en-GB" w:eastAsia="ja-JP"/>
        </w:rPr>
      </w:pPr>
      <w:r w:rsidRPr="00C96521">
        <w:rPr>
          <w:rFonts w:eastAsia="MS Mincho" w:cs="Arial"/>
          <w:b/>
          <w:i/>
          <w:sz w:val="20"/>
          <w:szCs w:val="20"/>
          <w:lang w:val="en-GB" w:eastAsia="ja-JP"/>
        </w:rPr>
        <w:t>Estimates of λ</w:t>
      </w:r>
      <w:r w:rsidRPr="00C96521">
        <w:rPr>
          <w:rFonts w:eastAsia="MS Mincho" w:cs="Arial"/>
          <w:b/>
          <w:i/>
          <w:sz w:val="20"/>
          <w:szCs w:val="20"/>
          <w:vertAlign w:val="subscript"/>
          <w:lang w:val="en-GB" w:eastAsia="ja-JP"/>
        </w:rPr>
        <w:t>max</w:t>
      </w:r>
    </w:p>
    <w:p w14:paraId="44339F1C"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0B6BDD67"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xml:space="preserve">For </w:t>
      </w:r>
      <w:r w:rsidRPr="00C96521">
        <w:rPr>
          <w:rFonts w:eastAsia="MS Mincho" w:cs="Arial"/>
          <w:b/>
          <w:sz w:val="20"/>
          <w:szCs w:val="20"/>
          <w:lang w:val="en-GB" w:eastAsia="ja-JP"/>
        </w:rPr>
        <w:t>So</w:t>
      </w:r>
      <w:r w:rsidRPr="00C96521">
        <w:rPr>
          <w:rFonts w:eastAsia="MS Mincho" w:cs="Arial"/>
          <w:sz w:val="20"/>
          <w:szCs w:val="20"/>
          <w:lang w:val="en-GB" w:eastAsia="ja-JP"/>
        </w:rPr>
        <w:t xml:space="preserve"> = 0.748, λ</w:t>
      </w:r>
      <w:r w:rsidRPr="00C96521">
        <w:rPr>
          <w:rFonts w:eastAsia="MS Mincho" w:cs="Arial"/>
          <w:sz w:val="20"/>
          <w:szCs w:val="20"/>
          <w:vertAlign w:val="subscript"/>
          <w:lang w:val="en-GB" w:eastAsia="ja-JP"/>
        </w:rPr>
        <w:t>max1</w:t>
      </w:r>
      <w:r w:rsidRPr="00C96521">
        <w:rPr>
          <w:rFonts w:eastAsia="MS Mincho" w:cs="Arial"/>
          <w:sz w:val="20"/>
          <w:szCs w:val="20"/>
          <w:lang w:val="en-GB" w:eastAsia="ja-JP"/>
        </w:rPr>
        <w:t xml:space="preserve"> = 1.79.</w:t>
      </w:r>
    </w:p>
    <w:p w14:paraId="44195EEE"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xml:space="preserve">For </w:t>
      </w:r>
      <w:r w:rsidRPr="00C96521">
        <w:rPr>
          <w:rFonts w:eastAsia="MS Mincho" w:cs="Arial"/>
          <w:b/>
          <w:sz w:val="20"/>
          <w:szCs w:val="20"/>
          <w:lang w:val="en-GB" w:eastAsia="ja-JP"/>
        </w:rPr>
        <w:t>So</w:t>
      </w:r>
      <w:r w:rsidRPr="00C96521">
        <w:rPr>
          <w:rFonts w:eastAsia="MS Mincho" w:cs="Arial"/>
          <w:sz w:val="20"/>
          <w:szCs w:val="20"/>
          <w:lang w:val="en-GB" w:eastAsia="ja-JP"/>
        </w:rPr>
        <w:t xml:space="preserve"> = 0.623, λ</w:t>
      </w:r>
      <w:r w:rsidRPr="00C96521">
        <w:rPr>
          <w:rFonts w:eastAsia="MS Mincho" w:cs="Arial"/>
          <w:sz w:val="20"/>
          <w:szCs w:val="20"/>
          <w:vertAlign w:val="subscript"/>
          <w:lang w:val="en-GB" w:eastAsia="ja-JP"/>
        </w:rPr>
        <w:t>max2</w:t>
      </w:r>
      <w:r w:rsidRPr="00C96521">
        <w:rPr>
          <w:rFonts w:eastAsia="MS Mincho" w:cs="Arial"/>
          <w:sz w:val="20"/>
          <w:szCs w:val="20"/>
          <w:lang w:val="en-GB" w:eastAsia="ja-JP"/>
        </w:rPr>
        <w:t xml:space="preserve"> = 1.98.</w:t>
      </w:r>
    </w:p>
    <w:p w14:paraId="1C5BB83D"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xml:space="preserve">For </w:t>
      </w:r>
      <w:r w:rsidRPr="00C96521">
        <w:rPr>
          <w:rFonts w:eastAsia="MS Mincho" w:cs="Arial"/>
          <w:b/>
          <w:sz w:val="20"/>
          <w:szCs w:val="20"/>
          <w:lang w:val="en-GB" w:eastAsia="ja-JP"/>
        </w:rPr>
        <w:t>So</w:t>
      </w:r>
      <w:r w:rsidRPr="00C96521">
        <w:rPr>
          <w:rFonts w:eastAsia="MS Mincho" w:cs="Arial"/>
          <w:sz w:val="20"/>
          <w:szCs w:val="20"/>
          <w:lang w:val="en-GB" w:eastAsia="ja-JP"/>
        </w:rPr>
        <w:t xml:space="preserve"> = 0.593, λ</w:t>
      </w:r>
      <w:r w:rsidRPr="00C96521">
        <w:rPr>
          <w:rFonts w:eastAsia="MS Mincho" w:cs="Arial"/>
          <w:sz w:val="20"/>
          <w:szCs w:val="20"/>
          <w:vertAlign w:val="subscript"/>
          <w:lang w:val="en-GB" w:eastAsia="ja-JP"/>
        </w:rPr>
        <w:t>max3</w:t>
      </w:r>
      <w:r w:rsidRPr="00C96521">
        <w:rPr>
          <w:rFonts w:eastAsia="MS Mincho" w:cs="Arial"/>
          <w:sz w:val="20"/>
          <w:szCs w:val="20"/>
          <w:lang w:val="en-GB" w:eastAsia="ja-JP"/>
        </w:rPr>
        <w:t xml:space="preserve"> = 2.03.</w:t>
      </w:r>
    </w:p>
    <w:p w14:paraId="05B7C598"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76240BFE" w14:textId="77777777" w:rsidR="00C96521" w:rsidRPr="00C96521" w:rsidRDefault="00C96521" w:rsidP="00C96521">
      <w:pPr>
        <w:widowControl/>
        <w:autoSpaceDE/>
        <w:autoSpaceDN/>
        <w:adjustRightInd/>
        <w:spacing w:line="276" w:lineRule="auto"/>
        <w:rPr>
          <w:rFonts w:eastAsia="MS Mincho" w:cs="Arial"/>
          <w:b/>
          <w:i/>
          <w:sz w:val="20"/>
          <w:szCs w:val="20"/>
          <w:lang w:val="en-GB" w:eastAsia="ja-JP"/>
        </w:rPr>
      </w:pPr>
      <w:r w:rsidRPr="00C96521">
        <w:rPr>
          <w:rFonts w:eastAsia="MS Mincho" w:cs="Arial"/>
          <w:b/>
          <w:i/>
          <w:sz w:val="20"/>
          <w:szCs w:val="20"/>
          <w:lang w:val="en-GB" w:eastAsia="ja-JP"/>
        </w:rPr>
        <w:t>Calculation of P</w:t>
      </w:r>
    </w:p>
    <w:p w14:paraId="5FECFCD1"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21ABCD59" w14:textId="77777777" w:rsidR="00C96521" w:rsidRPr="00C96521" w:rsidRDefault="00C96521" w:rsidP="00C96521">
      <w:pPr>
        <w:widowControl/>
        <w:shd w:val="clear" w:color="auto" w:fill="E6E6E6"/>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Group 1: Italy excluded</w:t>
      </w:r>
    </w:p>
    <w:p w14:paraId="56F186A1" w14:textId="77777777" w:rsidR="00C96521" w:rsidRPr="00C96521" w:rsidRDefault="00C96521" w:rsidP="00C96521">
      <w:pPr>
        <w:widowControl/>
        <w:shd w:val="clear" w:color="auto" w:fill="E6E6E6"/>
        <w:autoSpaceDE/>
        <w:autoSpaceDN/>
        <w:adjustRightInd/>
        <w:spacing w:line="276" w:lineRule="auto"/>
        <w:rPr>
          <w:rFonts w:eastAsia="MS Mincho" w:cs="Arial"/>
          <w:i/>
          <w:sz w:val="20"/>
          <w:szCs w:val="20"/>
          <w:lang w:val="en-GB" w:eastAsia="ja-JP"/>
        </w:rPr>
      </w:pPr>
      <w:r w:rsidRPr="00C96521">
        <w:rPr>
          <w:rFonts w:eastAsia="MS Mincho" w:cs="Arial"/>
          <w:i/>
          <w:sz w:val="20"/>
          <w:szCs w:val="20"/>
          <w:lang w:val="en-GB" w:eastAsia="ja-JP"/>
        </w:rPr>
        <w:sym w:font="Wingdings" w:char="F09F"/>
      </w:r>
      <w:r w:rsidRPr="00C96521">
        <w:rPr>
          <w:rFonts w:eastAsia="MS Mincho" w:cs="Arial"/>
          <w:i/>
          <w:sz w:val="20"/>
          <w:szCs w:val="20"/>
          <w:lang w:val="en-GB" w:eastAsia="ja-JP"/>
        </w:rPr>
        <w:t xml:space="preserve"> Hypothesis 1: post-breeding population N1 (productivity rate = 1.3) </w:t>
      </w:r>
    </w:p>
    <w:p w14:paraId="0AC6AA47"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027F2CD4"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max1</w:t>
      </w:r>
      <w:r w:rsidRPr="00C96521">
        <w:rPr>
          <w:rFonts w:eastAsia="MS Mincho" w:cs="Arial"/>
          <w:sz w:val="20"/>
          <w:szCs w:val="20"/>
          <w:lang w:val="en-GB" w:eastAsia="ja-JP"/>
        </w:rPr>
        <w:t xml:space="preserve"> (1.79), P = 388,422-610,949</w:t>
      </w:r>
    </w:p>
    <w:p w14:paraId="63E77BFB"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max2</w:t>
      </w:r>
      <w:r w:rsidRPr="00C96521">
        <w:rPr>
          <w:rFonts w:eastAsia="MS Mincho" w:cs="Arial"/>
          <w:sz w:val="20"/>
          <w:szCs w:val="20"/>
          <w:lang w:val="en-GB" w:eastAsia="ja-JP"/>
        </w:rPr>
        <w:t xml:space="preserve"> (1.98), P = 481,839-757,886</w:t>
      </w:r>
    </w:p>
    <w:p w14:paraId="428C4A84"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max3</w:t>
      </w:r>
      <w:r w:rsidRPr="00C96521">
        <w:rPr>
          <w:rFonts w:eastAsia="MS Mincho" w:cs="Arial"/>
          <w:sz w:val="20"/>
          <w:szCs w:val="20"/>
          <w:lang w:val="en-GB" w:eastAsia="ja-JP"/>
        </w:rPr>
        <w:t xml:space="preserve"> (2.03), P = 506,423-796,554</w:t>
      </w:r>
    </w:p>
    <w:p w14:paraId="1B137DE0"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55D0BEA2" w14:textId="77777777" w:rsidR="00C96521" w:rsidRPr="00C96521" w:rsidRDefault="00C96521" w:rsidP="00C96521">
      <w:pPr>
        <w:widowControl/>
        <w:shd w:val="clear" w:color="auto" w:fill="E6E6E6"/>
        <w:autoSpaceDE/>
        <w:autoSpaceDN/>
        <w:adjustRightInd/>
        <w:spacing w:line="276" w:lineRule="auto"/>
        <w:rPr>
          <w:rFonts w:eastAsia="MS Mincho" w:cs="Arial"/>
          <w:i/>
          <w:sz w:val="20"/>
          <w:szCs w:val="20"/>
          <w:lang w:val="en-GB" w:eastAsia="ja-JP"/>
        </w:rPr>
      </w:pPr>
      <w:r w:rsidRPr="00C96521">
        <w:rPr>
          <w:rFonts w:eastAsia="MS Mincho" w:cs="Arial"/>
          <w:i/>
          <w:sz w:val="20"/>
          <w:szCs w:val="20"/>
          <w:lang w:val="en-GB" w:eastAsia="ja-JP"/>
        </w:rPr>
        <w:sym w:font="Wingdings" w:char="F09F"/>
      </w:r>
      <w:r w:rsidRPr="00C96521">
        <w:rPr>
          <w:rFonts w:eastAsia="MS Mincho" w:cs="Arial"/>
          <w:i/>
          <w:sz w:val="20"/>
          <w:szCs w:val="20"/>
          <w:lang w:val="en-GB" w:eastAsia="ja-JP"/>
        </w:rPr>
        <w:t xml:space="preserve"> Hypothesis 2: post-breeding population N2 (productivity rate = 2.71) </w:t>
      </w:r>
    </w:p>
    <w:p w14:paraId="442E38E6"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3C49A68C"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max1</w:t>
      </w:r>
      <w:r w:rsidRPr="00C96521">
        <w:rPr>
          <w:rFonts w:eastAsia="MS Mincho" w:cs="Arial"/>
          <w:sz w:val="20"/>
          <w:szCs w:val="20"/>
          <w:lang w:val="en-GB" w:eastAsia="ja-JP"/>
        </w:rPr>
        <w:t xml:space="preserve"> (1.79), P = 554,383-871,991</w:t>
      </w:r>
    </w:p>
    <w:p w14:paraId="70871E46"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max2</w:t>
      </w:r>
      <w:r w:rsidRPr="00C96521">
        <w:rPr>
          <w:rFonts w:eastAsia="MS Mincho" w:cs="Arial"/>
          <w:sz w:val="20"/>
          <w:szCs w:val="20"/>
          <w:lang w:val="en-GB" w:eastAsia="ja-JP"/>
        </w:rPr>
        <w:t xml:space="preserve"> (1.98), P = 687,716-1,081,710</w:t>
      </w:r>
    </w:p>
    <w:p w14:paraId="0AA16655"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max3</w:t>
      </w:r>
      <w:r w:rsidRPr="00C96521">
        <w:rPr>
          <w:rFonts w:eastAsia="MS Mincho" w:cs="Arial"/>
          <w:sz w:val="20"/>
          <w:szCs w:val="20"/>
          <w:lang w:val="en-GB" w:eastAsia="ja-JP"/>
        </w:rPr>
        <w:t xml:space="preserve"> (2.03), P = 722,804-1,136,900</w:t>
      </w:r>
    </w:p>
    <w:p w14:paraId="6CDF8AF1"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56E22501" w14:textId="77777777" w:rsidR="00C96521" w:rsidRPr="00C96521" w:rsidRDefault="00C96521" w:rsidP="00C96521">
      <w:pPr>
        <w:widowControl/>
        <w:shd w:val="clear" w:color="auto" w:fill="E6E6E6"/>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Group 2: Italy partially included</w:t>
      </w:r>
    </w:p>
    <w:p w14:paraId="3CB26F1B" w14:textId="77777777" w:rsidR="00C96521" w:rsidRPr="00C96521" w:rsidRDefault="00C96521" w:rsidP="00C96521">
      <w:pPr>
        <w:widowControl/>
        <w:shd w:val="clear" w:color="auto" w:fill="E6E6E6"/>
        <w:autoSpaceDE/>
        <w:autoSpaceDN/>
        <w:adjustRightInd/>
        <w:spacing w:line="276" w:lineRule="auto"/>
        <w:rPr>
          <w:rFonts w:eastAsia="MS Mincho" w:cs="Arial"/>
          <w:i/>
          <w:sz w:val="20"/>
          <w:szCs w:val="20"/>
          <w:lang w:val="en-GB" w:eastAsia="ja-JP"/>
        </w:rPr>
      </w:pPr>
      <w:r w:rsidRPr="00C96521">
        <w:rPr>
          <w:rFonts w:eastAsia="MS Mincho" w:cs="Arial"/>
          <w:i/>
          <w:sz w:val="20"/>
          <w:szCs w:val="20"/>
          <w:lang w:val="en-GB" w:eastAsia="ja-JP"/>
        </w:rPr>
        <w:sym w:font="Wingdings" w:char="F09F"/>
      </w:r>
      <w:r w:rsidRPr="00C96521">
        <w:rPr>
          <w:rFonts w:eastAsia="MS Mincho" w:cs="Arial"/>
          <w:i/>
          <w:sz w:val="20"/>
          <w:szCs w:val="20"/>
          <w:lang w:val="en-GB" w:eastAsia="ja-JP"/>
        </w:rPr>
        <w:t xml:space="preserve"> Hypothesis 1: post-breeding population N1 (productivity rate = 1.3) </w:t>
      </w:r>
    </w:p>
    <w:p w14:paraId="245D2D30"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259B3DC4"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max1</w:t>
      </w:r>
      <w:r w:rsidRPr="00C96521">
        <w:rPr>
          <w:rFonts w:eastAsia="MS Mincho" w:cs="Arial"/>
          <w:sz w:val="20"/>
          <w:szCs w:val="20"/>
          <w:lang w:val="en-GB" w:eastAsia="ja-JP"/>
        </w:rPr>
        <w:t xml:space="preserve"> (1.79), P = 396,654-627,414</w:t>
      </w:r>
    </w:p>
    <w:p w14:paraId="4F9D4BF0"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max2</w:t>
      </w:r>
      <w:r w:rsidRPr="00C96521">
        <w:rPr>
          <w:rFonts w:eastAsia="MS Mincho" w:cs="Arial"/>
          <w:sz w:val="20"/>
          <w:szCs w:val="20"/>
          <w:lang w:val="en-GB" w:eastAsia="ja-JP"/>
        </w:rPr>
        <w:t xml:space="preserve"> (1.98), P = 492,052-778,311</w:t>
      </w:r>
    </w:p>
    <w:p w14:paraId="607717D1"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max3</w:t>
      </w:r>
      <w:r w:rsidRPr="00C96521">
        <w:rPr>
          <w:rFonts w:eastAsia="MS Mincho" w:cs="Arial"/>
          <w:sz w:val="20"/>
          <w:szCs w:val="20"/>
          <w:lang w:val="en-GB" w:eastAsia="ja-JP"/>
        </w:rPr>
        <w:t xml:space="preserve"> (2.03), P = 517,157-818,021</w:t>
      </w:r>
    </w:p>
    <w:p w14:paraId="53D9A0C4"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5EF951FF" w14:textId="77777777" w:rsidR="00C96521" w:rsidRPr="00C96521" w:rsidRDefault="00C96521" w:rsidP="00C96521">
      <w:pPr>
        <w:widowControl/>
        <w:shd w:val="clear" w:color="auto" w:fill="E6E6E6"/>
        <w:autoSpaceDE/>
        <w:autoSpaceDN/>
        <w:adjustRightInd/>
        <w:spacing w:line="276" w:lineRule="auto"/>
        <w:rPr>
          <w:rFonts w:eastAsia="MS Mincho" w:cs="Arial"/>
          <w:i/>
          <w:sz w:val="20"/>
          <w:szCs w:val="20"/>
          <w:lang w:val="en-GB" w:eastAsia="ja-JP"/>
        </w:rPr>
      </w:pPr>
      <w:r w:rsidRPr="00C96521">
        <w:rPr>
          <w:rFonts w:eastAsia="MS Mincho" w:cs="Arial"/>
          <w:i/>
          <w:sz w:val="20"/>
          <w:szCs w:val="20"/>
          <w:lang w:val="en-GB" w:eastAsia="ja-JP"/>
        </w:rPr>
        <w:sym w:font="Wingdings" w:char="F09F"/>
      </w:r>
      <w:r w:rsidRPr="00C96521">
        <w:rPr>
          <w:rFonts w:eastAsia="MS Mincho" w:cs="Arial"/>
          <w:i/>
          <w:sz w:val="20"/>
          <w:szCs w:val="20"/>
          <w:lang w:val="en-GB" w:eastAsia="ja-JP"/>
        </w:rPr>
        <w:t xml:space="preserve"> Hypothesis 2: post-breeding population N2 (productivity rate = 2.71) </w:t>
      </w:r>
    </w:p>
    <w:p w14:paraId="1DCB98D4"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26B2B3CA"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max1</w:t>
      </w:r>
      <w:r w:rsidRPr="00C96521">
        <w:rPr>
          <w:rFonts w:eastAsia="MS Mincho" w:cs="Arial"/>
          <w:sz w:val="20"/>
          <w:szCs w:val="20"/>
          <w:lang w:val="en-GB" w:eastAsia="ja-JP"/>
        </w:rPr>
        <w:t xml:space="preserve"> (1.79), P = 566,134-895,491</w:t>
      </w:r>
    </w:p>
    <w:p w14:paraId="30A81DC2"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max2</w:t>
      </w:r>
      <w:r w:rsidRPr="00C96521">
        <w:rPr>
          <w:rFonts w:eastAsia="MS Mincho" w:cs="Arial"/>
          <w:sz w:val="20"/>
          <w:szCs w:val="20"/>
          <w:lang w:val="en-GB" w:eastAsia="ja-JP"/>
        </w:rPr>
        <w:t xml:space="preserve"> (1.98), P = 702,293-1,110,862</w:t>
      </w:r>
    </w:p>
    <w:p w14:paraId="3C8A58FE"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max3</w:t>
      </w:r>
      <w:r w:rsidRPr="00C96521">
        <w:rPr>
          <w:rFonts w:eastAsia="MS Mincho" w:cs="Arial"/>
          <w:sz w:val="20"/>
          <w:szCs w:val="20"/>
          <w:lang w:val="en-GB" w:eastAsia="ja-JP"/>
        </w:rPr>
        <w:t xml:space="preserve"> (2.03), P = 738,124-1,167,539</w:t>
      </w:r>
    </w:p>
    <w:p w14:paraId="2284E6FC"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5F9E1BCD" w14:textId="77777777" w:rsidR="00C96521" w:rsidRPr="00C96521" w:rsidRDefault="00C96521" w:rsidP="00C96521">
      <w:pPr>
        <w:widowControl/>
        <w:autoSpaceDE/>
        <w:autoSpaceDN/>
        <w:adjustRightInd/>
        <w:spacing w:line="276" w:lineRule="auto"/>
        <w:rPr>
          <w:rFonts w:eastAsia="MS Mincho" w:cs="Arial"/>
          <w:b/>
          <w:sz w:val="20"/>
          <w:szCs w:val="20"/>
          <w:lang w:val="en-GB" w:eastAsia="ja-JP"/>
        </w:rPr>
      </w:pPr>
      <w:r w:rsidRPr="00C96521">
        <w:rPr>
          <w:rFonts w:eastAsia="MS Mincho" w:cs="Arial"/>
          <w:b/>
          <w:sz w:val="20"/>
          <w:szCs w:val="20"/>
          <w:lang w:val="en-GB" w:eastAsia="ja-JP"/>
        </w:rPr>
        <w:t>Estimation of European hunting bag obtained on turtle doves using the western flyway</w:t>
      </w:r>
    </w:p>
    <w:p w14:paraId="4F9D6189"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63B3AB58"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According to Table 4, the number of birds bagged is:</w:t>
      </w:r>
    </w:p>
    <w:p w14:paraId="7EC1425B"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571B92C5"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xml:space="preserve">France </w:t>
      </w:r>
      <w:r w:rsidRPr="00C96521">
        <w:rPr>
          <w:rFonts w:eastAsia="MS Mincho" w:cs="Arial"/>
          <w:sz w:val="20"/>
          <w:szCs w:val="20"/>
          <w:lang w:val="en-GB" w:eastAsia="ja-JP"/>
        </w:rPr>
        <w:tab/>
      </w:r>
      <w:r w:rsidRPr="00C96521">
        <w:rPr>
          <w:rFonts w:eastAsia="MS Mincho" w:cs="Arial"/>
          <w:sz w:val="20"/>
          <w:szCs w:val="20"/>
          <w:lang w:val="en-GB" w:eastAsia="ja-JP"/>
        </w:rPr>
        <w:tab/>
        <w:t>91,704 (2013-2014 hunting season)</w:t>
      </w:r>
    </w:p>
    <w:p w14:paraId="57DA7731"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xml:space="preserve">Italy </w:t>
      </w:r>
      <w:r w:rsidRPr="00C96521">
        <w:rPr>
          <w:rFonts w:eastAsia="MS Mincho" w:cs="Arial"/>
          <w:sz w:val="20"/>
          <w:szCs w:val="20"/>
          <w:lang w:val="en-GB" w:eastAsia="ja-JP"/>
        </w:rPr>
        <w:tab/>
      </w:r>
      <w:r w:rsidRPr="00C96521">
        <w:rPr>
          <w:rFonts w:eastAsia="MS Mincho" w:cs="Arial"/>
          <w:sz w:val="20"/>
          <w:szCs w:val="20"/>
          <w:lang w:val="en-GB" w:eastAsia="ja-JP"/>
        </w:rPr>
        <w:tab/>
        <w:t>305,590 (annually)</w:t>
      </w:r>
    </w:p>
    <w:p w14:paraId="731B74A8"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xml:space="preserve">Portugal </w:t>
      </w:r>
      <w:r w:rsidRPr="00C96521">
        <w:rPr>
          <w:rFonts w:eastAsia="MS Mincho" w:cs="Arial"/>
          <w:sz w:val="20"/>
          <w:szCs w:val="20"/>
          <w:lang w:val="en-GB" w:eastAsia="ja-JP"/>
        </w:rPr>
        <w:tab/>
        <w:t>109,815 (2013-2014 hunting season)</w:t>
      </w:r>
    </w:p>
    <w:p w14:paraId="7F573369"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xml:space="preserve">Spain </w:t>
      </w:r>
      <w:r w:rsidRPr="00C96521">
        <w:rPr>
          <w:rFonts w:eastAsia="MS Mincho" w:cs="Arial"/>
          <w:sz w:val="20"/>
          <w:szCs w:val="20"/>
          <w:lang w:val="en-GB" w:eastAsia="ja-JP"/>
        </w:rPr>
        <w:tab/>
      </w:r>
      <w:r w:rsidRPr="00C96521">
        <w:rPr>
          <w:rFonts w:eastAsia="MS Mincho" w:cs="Arial"/>
          <w:sz w:val="20"/>
          <w:szCs w:val="20"/>
          <w:lang w:val="en-GB" w:eastAsia="ja-JP"/>
        </w:rPr>
        <w:tab/>
        <w:t xml:space="preserve">832,840 (averaged over 2006 to 2014 hunting seasons, Beatriz Arroyo </w:t>
      </w:r>
      <w:r w:rsidRPr="00C96521">
        <w:rPr>
          <w:rFonts w:eastAsia="MS Mincho" w:cs="Arial"/>
          <w:i/>
          <w:sz w:val="20"/>
          <w:szCs w:val="20"/>
          <w:lang w:val="en-GB" w:eastAsia="ja-JP"/>
        </w:rPr>
        <w:t>pers comm</w:t>
      </w:r>
      <w:r w:rsidRPr="00C96521">
        <w:rPr>
          <w:rFonts w:eastAsia="MS Mincho" w:cs="Arial"/>
          <w:sz w:val="20"/>
          <w:szCs w:val="20"/>
          <w:lang w:val="en-GB" w:eastAsia="ja-JP"/>
        </w:rPr>
        <w:t>)</w:t>
      </w:r>
    </w:p>
    <w:p w14:paraId="4F5C3004"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1EAAE072"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Total (without Italy)</w:t>
      </w:r>
      <w:r w:rsidRPr="00C96521">
        <w:rPr>
          <w:rFonts w:eastAsia="MS Mincho" w:cs="Arial"/>
          <w:sz w:val="20"/>
          <w:szCs w:val="20"/>
          <w:lang w:val="en-GB" w:eastAsia="ja-JP"/>
        </w:rPr>
        <w:tab/>
        <w:t>1,034,359</w:t>
      </w:r>
    </w:p>
    <w:p w14:paraId="1C714AD6"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Total (with 18.6% Italy)</w:t>
      </w:r>
      <w:r w:rsidRPr="00C96521">
        <w:rPr>
          <w:rFonts w:eastAsia="MS Mincho" w:cs="Arial"/>
          <w:sz w:val="20"/>
          <w:szCs w:val="20"/>
          <w:lang w:val="en-GB" w:eastAsia="ja-JP"/>
        </w:rPr>
        <w:tab/>
        <w:t>1,091,199</w:t>
      </w:r>
    </w:p>
    <w:p w14:paraId="4150A9EA"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4E935C5C"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xml:space="preserve">A comparison between P and the number of birds effectively bagged shows if the number of birds taken exceeds P or falls below it (Table 8). </w:t>
      </w:r>
    </w:p>
    <w:p w14:paraId="064B13E9"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094786FF" w14:textId="77777777" w:rsidR="00C96521" w:rsidRPr="00C96521" w:rsidRDefault="00C96521" w:rsidP="00C96521">
      <w:pPr>
        <w:widowControl/>
        <w:autoSpaceDE/>
        <w:autoSpaceDN/>
        <w:adjustRightInd/>
        <w:spacing w:line="276" w:lineRule="auto"/>
        <w:rPr>
          <w:rFonts w:eastAsia="MS Mincho" w:cs="Arial"/>
          <w:i/>
          <w:sz w:val="20"/>
          <w:szCs w:val="20"/>
          <w:lang w:val="en-GB" w:eastAsia="ja-JP"/>
        </w:rPr>
      </w:pPr>
      <w:r w:rsidRPr="00C96521">
        <w:rPr>
          <w:rFonts w:eastAsia="MS Mincho" w:cs="Arial"/>
          <w:i/>
          <w:sz w:val="20"/>
          <w:szCs w:val="20"/>
          <w:lang w:val="en-GB" w:eastAsia="ja-JP"/>
        </w:rPr>
        <w:t>Table 8. Comparison of the different scenarios leading to estimates of P and the hunting bag estimate for the western flyway.</w:t>
      </w:r>
    </w:p>
    <w:p w14:paraId="1812A4B4"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tbl>
      <w:tblPr>
        <w:tblW w:w="9180" w:type="dxa"/>
        <w:tblInd w:w="108" w:type="dxa"/>
        <w:tblLayout w:type="fixed"/>
        <w:tblLook w:val="01E0" w:firstRow="1" w:lastRow="1" w:firstColumn="1" w:lastColumn="1" w:noHBand="0" w:noVBand="0"/>
      </w:tblPr>
      <w:tblGrid>
        <w:gridCol w:w="1440"/>
        <w:gridCol w:w="1440"/>
        <w:gridCol w:w="900"/>
        <w:gridCol w:w="2340"/>
        <w:gridCol w:w="1620"/>
        <w:gridCol w:w="1440"/>
      </w:tblGrid>
      <w:tr w:rsidR="00C96521" w:rsidRPr="00C96521" w14:paraId="2420B4B3" w14:textId="77777777" w:rsidTr="00C96521">
        <w:tc>
          <w:tcPr>
            <w:tcW w:w="1440" w:type="dxa"/>
            <w:tcBorders>
              <w:top w:val="single" w:sz="18" w:space="0" w:color="auto"/>
              <w:bottom w:val="single" w:sz="2" w:space="0" w:color="auto"/>
            </w:tcBorders>
            <w:shd w:val="clear" w:color="auto" w:fill="E6E6E6"/>
            <w:vAlign w:val="center"/>
          </w:tcPr>
          <w:p w14:paraId="1E454C7C" w14:textId="77777777" w:rsidR="00C96521" w:rsidRPr="00C96521" w:rsidRDefault="00C96521" w:rsidP="00C96521">
            <w:pPr>
              <w:widowControl/>
              <w:autoSpaceDE/>
              <w:autoSpaceDN/>
              <w:adjustRightInd/>
              <w:spacing w:before="120" w:after="120" w:line="276" w:lineRule="auto"/>
              <w:rPr>
                <w:rFonts w:eastAsia="MS Mincho" w:cs="Arial"/>
                <w:b/>
                <w:sz w:val="20"/>
                <w:szCs w:val="20"/>
                <w:lang w:val="en-GB" w:eastAsia="ja-JP"/>
              </w:rPr>
            </w:pPr>
            <w:r w:rsidRPr="00C96521">
              <w:rPr>
                <w:rFonts w:eastAsia="MS Mincho" w:cs="Arial"/>
                <w:b/>
                <w:sz w:val="20"/>
                <w:szCs w:val="20"/>
                <w:lang w:val="en-GB" w:eastAsia="ja-JP"/>
              </w:rPr>
              <w:t>Group</w:t>
            </w:r>
          </w:p>
        </w:tc>
        <w:tc>
          <w:tcPr>
            <w:tcW w:w="1440" w:type="dxa"/>
            <w:tcBorders>
              <w:top w:val="single" w:sz="18" w:space="0" w:color="auto"/>
              <w:bottom w:val="single" w:sz="2" w:space="0" w:color="auto"/>
            </w:tcBorders>
            <w:shd w:val="clear" w:color="auto" w:fill="E6E6E6"/>
            <w:vAlign w:val="center"/>
          </w:tcPr>
          <w:p w14:paraId="6393E246" w14:textId="77777777" w:rsidR="00C96521" w:rsidRPr="00C96521" w:rsidRDefault="00C96521" w:rsidP="00C96521">
            <w:pPr>
              <w:widowControl/>
              <w:autoSpaceDE/>
              <w:autoSpaceDN/>
              <w:adjustRightInd/>
              <w:spacing w:before="120" w:after="120" w:line="276" w:lineRule="auto"/>
              <w:rPr>
                <w:rFonts w:eastAsia="MS Mincho" w:cs="Arial"/>
                <w:b/>
                <w:sz w:val="20"/>
                <w:szCs w:val="20"/>
                <w:lang w:val="en-GB" w:eastAsia="ja-JP"/>
              </w:rPr>
            </w:pPr>
            <w:r w:rsidRPr="00C96521">
              <w:rPr>
                <w:rFonts w:eastAsia="MS Mincho" w:cs="Arial"/>
                <w:b/>
                <w:sz w:val="20"/>
                <w:szCs w:val="20"/>
                <w:lang w:val="en-GB" w:eastAsia="ja-JP"/>
              </w:rPr>
              <w:t>Productivity</w:t>
            </w:r>
          </w:p>
        </w:tc>
        <w:tc>
          <w:tcPr>
            <w:tcW w:w="900" w:type="dxa"/>
            <w:tcBorders>
              <w:top w:val="single" w:sz="18" w:space="0" w:color="auto"/>
              <w:bottom w:val="single" w:sz="2" w:space="0" w:color="auto"/>
            </w:tcBorders>
            <w:shd w:val="clear" w:color="auto" w:fill="E6E6E6"/>
            <w:vAlign w:val="center"/>
          </w:tcPr>
          <w:p w14:paraId="3B5C7E3B" w14:textId="77777777" w:rsidR="00C96521" w:rsidRPr="00C96521" w:rsidRDefault="00C96521" w:rsidP="00C96521">
            <w:pPr>
              <w:widowControl/>
              <w:autoSpaceDE/>
              <w:autoSpaceDN/>
              <w:adjustRightInd/>
              <w:spacing w:before="120" w:after="120" w:line="276" w:lineRule="auto"/>
              <w:rPr>
                <w:rFonts w:eastAsia="MS Mincho" w:cs="Arial"/>
                <w:b/>
                <w:sz w:val="20"/>
                <w:szCs w:val="20"/>
                <w:lang w:val="en-GB" w:eastAsia="ja-JP"/>
              </w:rPr>
            </w:pPr>
            <w:r w:rsidRPr="00C96521">
              <w:rPr>
                <w:rFonts w:eastAsia="MS Mincho" w:cs="Arial"/>
                <w:b/>
                <w:sz w:val="20"/>
                <w:szCs w:val="20"/>
                <w:lang w:val="en-GB" w:eastAsia="ja-JP"/>
              </w:rPr>
              <w:t>λ</w:t>
            </w:r>
            <w:r w:rsidRPr="00C96521">
              <w:rPr>
                <w:rFonts w:eastAsia="MS Mincho" w:cs="Arial"/>
                <w:b/>
                <w:sz w:val="20"/>
                <w:szCs w:val="20"/>
                <w:vertAlign w:val="subscript"/>
                <w:lang w:val="en-GB" w:eastAsia="ja-JP"/>
              </w:rPr>
              <w:t>max</w:t>
            </w:r>
          </w:p>
        </w:tc>
        <w:tc>
          <w:tcPr>
            <w:tcW w:w="2340" w:type="dxa"/>
            <w:tcBorders>
              <w:top w:val="single" w:sz="18" w:space="0" w:color="auto"/>
              <w:bottom w:val="single" w:sz="2" w:space="0" w:color="auto"/>
            </w:tcBorders>
            <w:shd w:val="clear" w:color="auto" w:fill="E6E6E6"/>
            <w:vAlign w:val="center"/>
          </w:tcPr>
          <w:p w14:paraId="66637F5D" w14:textId="77777777" w:rsidR="00C96521" w:rsidRPr="00C96521" w:rsidRDefault="00C96521" w:rsidP="00C96521">
            <w:pPr>
              <w:widowControl/>
              <w:autoSpaceDE/>
              <w:autoSpaceDN/>
              <w:adjustRightInd/>
              <w:spacing w:before="120" w:after="120" w:line="276" w:lineRule="auto"/>
              <w:rPr>
                <w:rFonts w:eastAsia="MS Mincho" w:cs="Arial"/>
                <w:b/>
                <w:sz w:val="20"/>
                <w:szCs w:val="20"/>
                <w:lang w:val="en-GB" w:eastAsia="ja-JP"/>
              </w:rPr>
            </w:pPr>
            <w:r w:rsidRPr="00C96521">
              <w:rPr>
                <w:rFonts w:eastAsia="MS Mincho" w:cs="Arial"/>
                <w:b/>
                <w:sz w:val="20"/>
                <w:szCs w:val="20"/>
                <w:lang w:val="en-GB" w:eastAsia="ja-JP"/>
              </w:rPr>
              <w:t>P range</w:t>
            </w:r>
          </w:p>
        </w:tc>
        <w:tc>
          <w:tcPr>
            <w:tcW w:w="1620" w:type="dxa"/>
            <w:tcBorders>
              <w:top w:val="single" w:sz="18" w:space="0" w:color="auto"/>
              <w:bottom w:val="single" w:sz="2" w:space="0" w:color="auto"/>
            </w:tcBorders>
            <w:shd w:val="clear" w:color="auto" w:fill="E6E6E6"/>
            <w:vAlign w:val="center"/>
          </w:tcPr>
          <w:p w14:paraId="1219FC23" w14:textId="77777777" w:rsidR="00C96521" w:rsidRPr="00C96521" w:rsidRDefault="00C96521" w:rsidP="00C96521">
            <w:pPr>
              <w:widowControl/>
              <w:autoSpaceDE/>
              <w:autoSpaceDN/>
              <w:adjustRightInd/>
              <w:spacing w:before="120" w:after="120" w:line="276" w:lineRule="auto"/>
              <w:rPr>
                <w:rFonts w:eastAsia="MS Mincho" w:cs="Arial"/>
                <w:b/>
                <w:sz w:val="20"/>
                <w:szCs w:val="20"/>
                <w:lang w:val="en-GB" w:eastAsia="ja-JP"/>
              </w:rPr>
            </w:pPr>
            <w:r w:rsidRPr="00C96521">
              <w:rPr>
                <w:rFonts w:eastAsia="MS Mincho" w:cs="Arial"/>
                <w:b/>
                <w:sz w:val="20"/>
                <w:szCs w:val="20"/>
                <w:lang w:val="en-GB" w:eastAsia="ja-JP"/>
              </w:rPr>
              <w:t xml:space="preserve">Ratio </w:t>
            </w:r>
          </w:p>
          <w:p w14:paraId="09EA8D08" w14:textId="77777777" w:rsidR="00C96521" w:rsidRPr="00C96521" w:rsidRDefault="00C96521" w:rsidP="00C96521">
            <w:pPr>
              <w:widowControl/>
              <w:autoSpaceDE/>
              <w:autoSpaceDN/>
              <w:adjustRightInd/>
              <w:spacing w:before="120" w:after="120" w:line="276" w:lineRule="auto"/>
              <w:rPr>
                <w:rFonts w:eastAsia="MS Mincho" w:cs="Arial"/>
                <w:b/>
                <w:sz w:val="20"/>
                <w:szCs w:val="20"/>
                <w:lang w:val="en-GB" w:eastAsia="ja-JP"/>
              </w:rPr>
            </w:pPr>
            <w:r w:rsidRPr="00C96521">
              <w:rPr>
                <w:rFonts w:eastAsia="MS Mincho" w:cs="Arial"/>
                <w:b/>
                <w:sz w:val="20"/>
                <w:szCs w:val="20"/>
                <w:lang w:val="en-GB" w:eastAsia="ja-JP"/>
              </w:rPr>
              <w:t>P/hunting bag</w:t>
            </w:r>
          </w:p>
        </w:tc>
        <w:tc>
          <w:tcPr>
            <w:tcW w:w="1440" w:type="dxa"/>
            <w:tcBorders>
              <w:top w:val="single" w:sz="18" w:space="0" w:color="auto"/>
              <w:bottom w:val="single" w:sz="2" w:space="0" w:color="auto"/>
            </w:tcBorders>
            <w:shd w:val="clear" w:color="auto" w:fill="E6E6E6"/>
            <w:vAlign w:val="center"/>
          </w:tcPr>
          <w:p w14:paraId="063115DF" w14:textId="77777777" w:rsidR="00C96521" w:rsidRPr="00C96521" w:rsidRDefault="00C96521" w:rsidP="00C96521">
            <w:pPr>
              <w:widowControl/>
              <w:autoSpaceDE/>
              <w:autoSpaceDN/>
              <w:adjustRightInd/>
              <w:spacing w:before="120" w:after="120" w:line="276" w:lineRule="auto"/>
              <w:rPr>
                <w:rFonts w:eastAsia="MS Mincho" w:cs="Arial"/>
                <w:b/>
                <w:sz w:val="20"/>
                <w:szCs w:val="20"/>
                <w:lang w:val="en-GB" w:eastAsia="ja-JP"/>
              </w:rPr>
            </w:pPr>
            <w:r w:rsidRPr="00C96521">
              <w:rPr>
                <w:rFonts w:eastAsia="MS Mincho" w:cs="Arial"/>
                <w:b/>
                <w:sz w:val="20"/>
                <w:szCs w:val="20"/>
                <w:lang w:val="en-GB" w:eastAsia="ja-JP"/>
              </w:rPr>
              <w:t>Scenario Number</w:t>
            </w:r>
          </w:p>
        </w:tc>
      </w:tr>
      <w:tr w:rsidR="00C96521" w:rsidRPr="00C96521" w14:paraId="64AF7A7E" w14:textId="77777777" w:rsidTr="00C96521">
        <w:tc>
          <w:tcPr>
            <w:tcW w:w="1440" w:type="dxa"/>
            <w:vMerge w:val="restart"/>
            <w:tcBorders>
              <w:top w:val="single" w:sz="2" w:space="0" w:color="auto"/>
            </w:tcBorders>
            <w:vAlign w:val="center"/>
          </w:tcPr>
          <w:p w14:paraId="15C102B5" w14:textId="77777777" w:rsidR="00C96521" w:rsidRPr="00C96521" w:rsidRDefault="00C96521" w:rsidP="00C96521">
            <w:pPr>
              <w:widowControl/>
              <w:autoSpaceDE/>
              <w:autoSpaceDN/>
              <w:adjustRightInd/>
              <w:spacing w:before="120" w:line="276" w:lineRule="auto"/>
              <w:rPr>
                <w:rFonts w:eastAsia="MS Mincho" w:cs="Arial"/>
                <w:sz w:val="20"/>
                <w:szCs w:val="20"/>
                <w:lang w:val="en-GB" w:eastAsia="ja-JP"/>
              </w:rPr>
            </w:pPr>
            <w:r w:rsidRPr="00C96521">
              <w:rPr>
                <w:rFonts w:eastAsia="MS Mincho" w:cs="Arial"/>
                <w:sz w:val="20"/>
                <w:szCs w:val="20"/>
                <w:lang w:val="en-GB" w:eastAsia="ja-JP"/>
              </w:rPr>
              <w:t>Italy excluded</w:t>
            </w:r>
          </w:p>
        </w:tc>
        <w:tc>
          <w:tcPr>
            <w:tcW w:w="1440" w:type="dxa"/>
            <w:vMerge w:val="restart"/>
            <w:tcBorders>
              <w:top w:val="single" w:sz="2" w:space="0" w:color="auto"/>
            </w:tcBorders>
            <w:vAlign w:val="center"/>
          </w:tcPr>
          <w:p w14:paraId="28919EC4" w14:textId="77777777" w:rsidR="00C96521" w:rsidRPr="00C96521" w:rsidRDefault="00C96521" w:rsidP="00C96521">
            <w:pPr>
              <w:widowControl/>
              <w:autoSpaceDE/>
              <w:autoSpaceDN/>
              <w:adjustRightInd/>
              <w:spacing w:before="120" w:line="276" w:lineRule="auto"/>
              <w:rPr>
                <w:rFonts w:eastAsia="MS Mincho" w:cs="Arial"/>
                <w:sz w:val="20"/>
                <w:szCs w:val="20"/>
                <w:lang w:val="en-GB" w:eastAsia="ja-JP"/>
              </w:rPr>
            </w:pPr>
            <w:r w:rsidRPr="00C96521">
              <w:rPr>
                <w:rFonts w:eastAsia="MS Mincho" w:cs="Arial"/>
                <w:sz w:val="20"/>
                <w:szCs w:val="20"/>
                <w:lang w:val="en-GB" w:eastAsia="ja-JP"/>
              </w:rPr>
              <w:t xml:space="preserve">Low </w:t>
            </w:r>
          </w:p>
        </w:tc>
        <w:tc>
          <w:tcPr>
            <w:tcW w:w="900" w:type="dxa"/>
            <w:tcBorders>
              <w:top w:val="single" w:sz="2" w:space="0" w:color="auto"/>
            </w:tcBorders>
          </w:tcPr>
          <w:p w14:paraId="758483D7" w14:textId="77777777" w:rsidR="00C96521" w:rsidRPr="00C96521" w:rsidRDefault="00C96521" w:rsidP="00C96521">
            <w:pPr>
              <w:widowControl/>
              <w:autoSpaceDE/>
              <w:autoSpaceDN/>
              <w:adjustRightInd/>
              <w:spacing w:before="120" w:after="120"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w:t>
            </w:r>
            <w:r w:rsidRPr="00C96521">
              <w:rPr>
                <w:rFonts w:eastAsia="MS Mincho" w:cs="Arial"/>
                <w:sz w:val="20"/>
                <w:szCs w:val="20"/>
                <w:lang w:val="en-GB" w:eastAsia="ja-JP"/>
              </w:rPr>
              <w:t>1</w:t>
            </w:r>
          </w:p>
        </w:tc>
        <w:tc>
          <w:tcPr>
            <w:tcW w:w="2340" w:type="dxa"/>
            <w:tcBorders>
              <w:top w:val="single" w:sz="2" w:space="0" w:color="auto"/>
            </w:tcBorders>
          </w:tcPr>
          <w:p w14:paraId="77C2C99C" w14:textId="77777777" w:rsidR="00C96521" w:rsidRPr="00C96521" w:rsidRDefault="00C96521" w:rsidP="00C96521">
            <w:pPr>
              <w:widowControl/>
              <w:autoSpaceDE/>
              <w:autoSpaceDN/>
              <w:adjustRightInd/>
              <w:spacing w:before="120" w:after="120" w:line="276" w:lineRule="auto"/>
              <w:rPr>
                <w:rFonts w:eastAsia="MS Mincho" w:cs="Arial"/>
                <w:sz w:val="20"/>
                <w:szCs w:val="20"/>
                <w:lang w:val="en-GB" w:eastAsia="ja-JP"/>
              </w:rPr>
            </w:pPr>
            <w:r w:rsidRPr="00C96521">
              <w:rPr>
                <w:rFonts w:eastAsia="MS Mincho" w:cs="Arial"/>
                <w:sz w:val="20"/>
                <w:szCs w:val="20"/>
                <w:lang w:val="en-GB" w:eastAsia="ja-JP"/>
              </w:rPr>
              <w:t>[388 422 – 610 949]</w:t>
            </w:r>
          </w:p>
        </w:tc>
        <w:tc>
          <w:tcPr>
            <w:tcW w:w="1620" w:type="dxa"/>
            <w:tcBorders>
              <w:top w:val="single" w:sz="2" w:space="0" w:color="auto"/>
            </w:tcBorders>
            <w:shd w:val="clear" w:color="auto" w:fill="FF6600"/>
          </w:tcPr>
          <w:p w14:paraId="06BD6547" w14:textId="77777777" w:rsidR="00C96521" w:rsidRPr="00C96521" w:rsidRDefault="00C96521" w:rsidP="00C96521">
            <w:pPr>
              <w:widowControl/>
              <w:autoSpaceDE/>
              <w:autoSpaceDN/>
              <w:adjustRightInd/>
              <w:spacing w:before="120" w:after="120" w:line="276" w:lineRule="auto"/>
              <w:rPr>
                <w:rFonts w:eastAsia="MS Mincho" w:cs="Arial"/>
                <w:sz w:val="20"/>
                <w:szCs w:val="20"/>
                <w:lang w:val="en-GB" w:eastAsia="ja-JP"/>
              </w:rPr>
            </w:pPr>
            <w:r w:rsidRPr="00C96521">
              <w:rPr>
                <w:rFonts w:eastAsia="MS Mincho" w:cs="Arial"/>
                <w:sz w:val="20"/>
                <w:szCs w:val="20"/>
                <w:lang w:val="en-GB" w:eastAsia="ja-JP"/>
              </w:rPr>
              <w:t>&gt; P by 69.3%</w:t>
            </w:r>
          </w:p>
        </w:tc>
        <w:tc>
          <w:tcPr>
            <w:tcW w:w="1440" w:type="dxa"/>
            <w:tcBorders>
              <w:top w:val="single" w:sz="2" w:space="0" w:color="auto"/>
            </w:tcBorders>
            <w:shd w:val="clear" w:color="auto" w:fill="FF6600"/>
          </w:tcPr>
          <w:p w14:paraId="2AE31528" w14:textId="77777777" w:rsidR="00C96521" w:rsidRPr="00C96521" w:rsidRDefault="00C96521" w:rsidP="00C96521">
            <w:pPr>
              <w:widowControl/>
              <w:autoSpaceDE/>
              <w:autoSpaceDN/>
              <w:adjustRightInd/>
              <w:spacing w:before="120" w:after="120" w:line="276" w:lineRule="auto"/>
              <w:rPr>
                <w:rFonts w:eastAsia="MS Mincho" w:cs="Arial"/>
                <w:sz w:val="20"/>
                <w:szCs w:val="20"/>
                <w:lang w:val="en-GB" w:eastAsia="ja-JP"/>
              </w:rPr>
            </w:pPr>
            <w:r w:rsidRPr="00C96521">
              <w:rPr>
                <w:rFonts w:eastAsia="MS Mincho" w:cs="Arial"/>
                <w:sz w:val="20"/>
                <w:szCs w:val="20"/>
                <w:lang w:val="en-GB" w:eastAsia="ja-JP"/>
              </w:rPr>
              <w:t>1</w:t>
            </w:r>
          </w:p>
        </w:tc>
      </w:tr>
      <w:tr w:rsidR="00C96521" w:rsidRPr="00C96521" w14:paraId="0F34950C" w14:textId="77777777" w:rsidTr="00C96521">
        <w:tc>
          <w:tcPr>
            <w:tcW w:w="1440" w:type="dxa"/>
            <w:vMerge/>
            <w:vAlign w:val="center"/>
          </w:tcPr>
          <w:p w14:paraId="3AFB213F" w14:textId="77777777" w:rsidR="00C96521" w:rsidRPr="00C96521" w:rsidRDefault="00C96521" w:rsidP="00C96521">
            <w:pPr>
              <w:widowControl/>
              <w:autoSpaceDE/>
              <w:autoSpaceDN/>
              <w:adjustRightInd/>
              <w:spacing w:before="120" w:line="276" w:lineRule="auto"/>
              <w:rPr>
                <w:rFonts w:eastAsia="MS Mincho" w:cs="Arial"/>
                <w:sz w:val="20"/>
                <w:szCs w:val="20"/>
                <w:lang w:val="en-GB" w:eastAsia="ja-JP"/>
              </w:rPr>
            </w:pPr>
          </w:p>
        </w:tc>
        <w:tc>
          <w:tcPr>
            <w:tcW w:w="1440" w:type="dxa"/>
            <w:vMerge/>
            <w:vAlign w:val="center"/>
          </w:tcPr>
          <w:p w14:paraId="4F372FD3" w14:textId="77777777" w:rsidR="00C96521" w:rsidRPr="00C96521" w:rsidRDefault="00C96521" w:rsidP="00C96521">
            <w:pPr>
              <w:widowControl/>
              <w:autoSpaceDE/>
              <w:autoSpaceDN/>
              <w:adjustRightInd/>
              <w:spacing w:before="120" w:line="276" w:lineRule="auto"/>
              <w:rPr>
                <w:rFonts w:eastAsia="MS Mincho" w:cs="Arial"/>
                <w:sz w:val="20"/>
                <w:szCs w:val="20"/>
                <w:lang w:val="en-GB" w:eastAsia="ja-JP"/>
              </w:rPr>
            </w:pPr>
          </w:p>
        </w:tc>
        <w:tc>
          <w:tcPr>
            <w:tcW w:w="900" w:type="dxa"/>
          </w:tcPr>
          <w:p w14:paraId="13328580"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w:t>
            </w:r>
            <w:r w:rsidRPr="00C96521">
              <w:rPr>
                <w:rFonts w:eastAsia="MS Mincho" w:cs="Arial"/>
                <w:sz w:val="20"/>
                <w:szCs w:val="20"/>
                <w:lang w:val="en-GB" w:eastAsia="ja-JP"/>
              </w:rPr>
              <w:t xml:space="preserve"> 2</w:t>
            </w:r>
          </w:p>
        </w:tc>
        <w:tc>
          <w:tcPr>
            <w:tcW w:w="2340" w:type="dxa"/>
          </w:tcPr>
          <w:p w14:paraId="14383CCB"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[481 839 – 757 886]</w:t>
            </w:r>
          </w:p>
        </w:tc>
        <w:tc>
          <w:tcPr>
            <w:tcW w:w="1620" w:type="dxa"/>
            <w:shd w:val="clear" w:color="auto" w:fill="FF6600"/>
          </w:tcPr>
          <w:p w14:paraId="4C81018D"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&gt; P by 36.5%</w:t>
            </w:r>
          </w:p>
        </w:tc>
        <w:tc>
          <w:tcPr>
            <w:tcW w:w="1440" w:type="dxa"/>
            <w:shd w:val="clear" w:color="auto" w:fill="FF6600"/>
          </w:tcPr>
          <w:p w14:paraId="0C2554D8"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2</w:t>
            </w:r>
          </w:p>
        </w:tc>
      </w:tr>
      <w:tr w:rsidR="00C96521" w:rsidRPr="00C96521" w14:paraId="106AE4B4" w14:textId="77777777" w:rsidTr="00C96521">
        <w:tc>
          <w:tcPr>
            <w:tcW w:w="1440" w:type="dxa"/>
            <w:vMerge/>
            <w:vAlign w:val="center"/>
          </w:tcPr>
          <w:p w14:paraId="6F46B823" w14:textId="77777777" w:rsidR="00C96521" w:rsidRPr="00C96521" w:rsidRDefault="00C96521" w:rsidP="00C96521">
            <w:pPr>
              <w:widowControl/>
              <w:autoSpaceDE/>
              <w:autoSpaceDN/>
              <w:adjustRightInd/>
              <w:spacing w:before="120" w:line="276" w:lineRule="auto"/>
              <w:rPr>
                <w:rFonts w:eastAsia="MS Mincho" w:cs="Arial"/>
                <w:sz w:val="20"/>
                <w:szCs w:val="20"/>
                <w:lang w:val="en-GB" w:eastAsia="ja-JP"/>
              </w:rPr>
            </w:pPr>
          </w:p>
        </w:tc>
        <w:tc>
          <w:tcPr>
            <w:tcW w:w="1440" w:type="dxa"/>
            <w:vMerge/>
            <w:vAlign w:val="center"/>
          </w:tcPr>
          <w:p w14:paraId="0712FB33" w14:textId="77777777" w:rsidR="00C96521" w:rsidRPr="00C96521" w:rsidRDefault="00C96521" w:rsidP="00C96521">
            <w:pPr>
              <w:widowControl/>
              <w:autoSpaceDE/>
              <w:autoSpaceDN/>
              <w:adjustRightInd/>
              <w:spacing w:before="120" w:line="276" w:lineRule="auto"/>
              <w:rPr>
                <w:rFonts w:eastAsia="MS Mincho" w:cs="Arial"/>
                <w:sz w:val="20"/>
                <w:szCs w:val="20"/>
                <w:lang w:val="en-GB" w:eastAsia="ja-JP"/>
              </w:rPr>
            </w:pPr>
          </w:p>
        </w:tc>
        <w:tc>
          <w:tcPr>
            <w:tcW w:w="900" w:type="dxa"/>
          </w:tcPr>
          <w:p w14:paraId="7E3B76F7"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w:t>
            </w:r>
            <w:r w:rsidRPr="00C96521">
              <w:rPr>
                <w:rFonts w:eastAsia="MS Mincho" w:cs="Arial"/>
                <w:sz w:val="20"/>
                <w:szCs w:val="20"/>
                <w:lang w:val="en-GB" w:eastAsia="ja-JP"/>
              </w:rPr>
              <w:t xml:space="preserve"> 3</w:t>
            </w:r>
          </w:p>
        </w:tc>
        <w:tc>
          <w:tcPr>
            <w:tcW w:w="2340" w:type="dxa"/>
          </w:tcPr>
          <w:p w14:paraId="4A4FDEB6"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[506 423 – 796 554]</w:t>
            </w:r>
          </w:p>
        </w:tc>
        <w:tc>
          <w:tcPr>
            <w:tcW w:w="1620" w:type="dxa"/>
            <w:shd w:val="clear" w:color="auto" w:fill="FF6600"/>
          </w:tcPr>
          <w:p w14:paraId="751FC50E"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&gt; P by 29.9%</w:t>
            </w:r>
          </w:p>
        </w:tc>
        <w:tc>
          <w:tcPr>
            <w:tcW w:w="1440" w:type="dxa"/>
            <w:shd w:val="clear" w:color="auto" w:fill="FF6600"/>
          </w:tcPr>
          <w:p w14:paraId="5ED79B3A"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3</w:t>
            </w:r>
          </w:p>
        </w:tc>
      </w:tr>
      <w:tr w:rsidR="00C96521" w:rsidRPr="00C96521" w14:paraId="30E510F7" w14:textId="77777777" w:rsidTr="00C96521">
        <w:tc>
          <w:tcPr>
            <w:tcW w:w="1440" w:type="dxa"/>
            <w:vMerge/>
            <w:vAlign w:val="center"/>
          </w:tcPr>
          <w:p w14:paraId="6FD47EB1" w14:textId="77777777" w:rsidR="00C96521" w:rsidRPr="00C96521" w:rsidRDefault="00C96521" w:rsidP="00C96521">
            <w:pPr>
              <w:widowControl/>
              <w:autoSpaceDE/>
              <w:autoSpaceDN/>
              <w:adjustRightInd/>
              <w:spacing w:before="120" w:line="276" w:lineRule="auto"/>
              <w:rPr>
                <w:rFonts w:eastAsia="MS Mincho" w:cs="Arial"/>
                <w:sz w:val="20"/>
                <w:szCs w:val="20"/>
                <w:lang w:val="en-GB" w:eastAsia="ja-JP"/>
              </w:rPr>
            </w:pPr>
          </w:p>
        </w:tc>
        <w:tc>
          <w:tcPr>
            <w:tcW w:w="1440" w:type="dxa"/>
            <w:vMerge w:val="restart"/>
            <w:vAlign w:val="center"/>
          </w:tcPr>
          <w:p w14:paraId="460D3A12" w14:textId="77777777" w:rsidR="00C96521" w:rsidRPr="00C96521" w:rsidRDefault="00C96521" w:rsidP="00C96521">
            <w:pPr>
              <w:widowControl/>
              <w:autoSpaceDE/>
              <w:autoSpaceDN/>
              <w:adjustRightInd/>
              <w:spacing w:before="120" w:line="276" w:lineRule="auto"/>
              <w:rPr>
                <w:rFonts w:eastAsia="MS Mincho" w:cs="Arial"/>
                <w:sz w:val="20"/>
                <w:szCs w:val="20"/>
                <w:lang w:val="en-GB" w:eastAsia="ja-JP"/>
              </w:rPr>
            </w:pPr>
            <w:r w:rsidRPr="00C96521">
              <w:rPr>
                <w:rFonts w:eastAsia="MS Mincho" w:cs="Arial"/>
                <w:sz w:val="20"/>
                <w:szCs w:val="20"/>
                <w:lang w:val="en-GB" w:eastAsia="ja-JP"/>
              </w:rPr>
              <w:t xml:space="preserve">High </w:t>
            </w:r>
          </w:p>
        </w:tc>
        <w:tc>
          <w:tcPr>
            <w:tcW w:w="900" w:type="dxa"/>
          </w:tcPr>
          <w:p w14:paraId="0479A26E"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w:t>
            </w:r>
            <w:r w:rsidRPr="00C96521">
              <w:rPr>
                <w:rFonts w:eastAsia="MS Mincho" w:cs="Arial"/>
                <w:sz w:val="20"/>
                <w:szCs w:val="20"/>
                <w:lang w:val="en-GB" w:eastAsia="ja-JP"/>
              </w:rPr>
              <w:t>1</w:t>
            </w:r>
          </w:p>
        </w:tc>
        <w:tc>
          <w:tcPr>
            <w:tcW w:w="2340" w:type="dxa"/>
          </w:tcPr>
          <w:p w14:paraId="4958F9ED"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[554 383 – 871 991]</w:t>
            </w:r>
          </w:p>
        </w:tc>
        <w:tc>
          <w:tcPr>
            <w:tcW w:w="1620" w:type="dxa"/>
            <w:shd w:val="clear" w:color="auto" w:fill="FF6600"/>
          </w:tcPr>
          <w:p w14:paraId="7578DA20"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&gt; P by 18.6%</w:t>
            </w:r>
          </w:p>
        </w:tc>
        <w:tc>
          <w:tcPr>
            <w:tcW w:w="1440" w:type="dxa"/>
            <w:shd w:val="clear" w:color="auto" w:fill="FF6600"/>
          </w:tcPr>
          <w:p w14:paraId="38550672"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4</w:t>
            </w:r>
          </w:p>
        </w:tc>
      </w:tr>
      <w:tr w:rsidR="00C96521" w:rsidRPr="00C96521" w14:paraId="0437DB5A" w14:textId="77777777" w:rsidTr="00C96521">
        <w:tc>
          <w:tcPr>
            <w:tcW w:w="1440" w:type="dxa"/>
            <w:vMerge/>
          </w:tcPr>
          <w:p w14:paraId="5EC8AD7E"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tc>
        <w:tc>
          <w:tcPr>
            <w:tcW w:w="1440" w:type="dxa"/>
            <w:vMerge/>
            <w:vAlign w:val="center"/>
          </w:tcPr>
          <w:p w14:paraId="53B4ABD7"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tc>
        <w:tc>
          <w:tcPr>
            <w:tcW w:w="900" w:type="dxa"/>
          </w:tcPr>
          <w:p w14:paraId="5531349D"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w:t>
            </w:r>
            <w:r w:rsidRPr="00C96521">
              <w:rPr>
                <w:rFonts w:eastAsia="MS Mincho" w:cs="Arial"/>
                <w:sz w:val="20"/>
                <w:szCs w:val="20"/>
                <w:lang w:val="en-GB" w:eastAsia="ja-JP"/>
              </w:rPr>
              <w:t xml:space="preserve"> 2</w:t>
            </w:r>
          </w:p>
        </w:tc>
        <w:tc>
          <w:tcPr>
            <w:tcW w:w="2340" w:type="dxa"/>
          </w:tcPr>
          <w:p w14:paraId="5BBC5F3F"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[687 716 – 1 081 710]</w:t>
            </w:r>
          </w:p>
        </w:tc>
        <w:tc>
          <w:tcPr>
            <w:tcW w:w="1620" w:type="dxa"/>
            <w:shd w:val="clear" w:color="auto" w:fill="99CC00"/>
          </w:tcPr>
          <w:p w14:paraId="649EE986"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&lt; P by 4.4%</w:t>
            </w:r>
          </w:p>
        </w:tc>
        <w:tc>
          <w:tcPr>
            <w:tcW w:w="1440" w:type="dxa"/>
            <w:shd w:val="clear" w:color="auto" w:fill="99CC00"/>
          </w:tcPr>
          <w:p w14:paraId="3F719A43"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5</w:t>
            </w:r>
          </w:p>
        </w:tc>
      </w:tr>
      <w:tr w:rsidR="00C96521" w:rsidRPr="00C96521" w14:paraId="2B1B1B7C" w14:textId="77777777" w:rsidTr="00C96521">
        <w:tc>
          <w:tcPr>
            <w:tcW w:w="1440" w:type="dxa"/>
            <w:vMerge/>
            <w:tcBorders>
              <w:bottom w:val="single" w:sz="2" w:space="0" w:color="auto"/>
            </w:tcBorders>
          </w:tcPr>
          <w:p w14:paraId="6DE6CB75"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tc>
        <w:tc>
          <w:tcPr>
            <w:tcW w:w="1440" w:type="dxa"/>
            <w:vMerge/>
            <w:tcBorders>
              <w:bottom w:val="single" w:sz="2" w:space="0" w:color="auto"/>
            </w:tcBorders>
            <w:vAlign w:val="center"/>
          </w:tcPr>
          <w:p w14:paraId="4A183772"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tc>
        <w:tc>
          <w:tcPr>
            <w:tcW w:w="900" w:type="dxa"/>
            <w:tcBorders>
              <w:bottom w:val="single" w:sz="2" w:space="0" w:color="auto"/>
            </w:tcBorders>
          </w:tcPr>
          <w:p w14:paraId="1E13F8A4"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w:t>
            </w:r>
            <w:r w:rsidRPr="00C96521">
              <w:rPr>
                <w:rFonts w:eastAsia="MS Mincho" w:cs="Arial"/>
                <w:sz w:val="20"/>
                <w:szCs w:val="20"/>
                <w:lang w:val="en-GB" w:eastAsia="ja-JP"/>
              </w:rPr>
              <w:t xml:space="preserve"> 3</w:t>
            </w:r>
          </w:p>
        </w:tc>
        <w:tc>
          <w:tcPr>
            <w:tcW w:w="2340" w:type="dxa"/>
            <w:tcBorders>
              <w:bottom w:val="single" w:sz="2" w:space="0" w:color="auto"/>
            </w:tcBorders>
          </w:tcPr>
          <w:p w14:paraId="7F367873"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[722 804 – 1 136 900]</w:t>
            </w:r>
          </w:p>
        </w:tc>
        <w:tc>
          <w:tcPr>
            <w:tcW w:w="1620" w:type="dxa"/>
            <w:tcBorders>
              <w:bottom w:val="single" w:sz="2" w:space="0" w:color="auto"/>
            </w:tcBorders>
            <w:shd w:val="clear" w:color="auto" w:fill="99CC00"/>
          </w:tcPr>
          <w:p w14:paraId="67B7E1EA"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 xml:space="preserve">&lt; P by 9% </w:t>
            </w:r>
          </w:p>
        </w:tc>
        <w:tc>
          <w:tcPr>
            <w:tcW w:w="1440" w:type="dxa"/>
            <w:tcBorders>
              <w:bottom w:val="single" w:sz="2" w:space="0" w:color="auto"/>
            </w:tcBorders>
            <w:shd w:val="clear" w:color="auto" w:fill="99CC00"/>
          </w:tcPr>
          <w:p w14:paraId="1462BDE1"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6</w:t>
            </w:r>
          </w:p>
        </w:tc>
      </w:tr>
      <w:tr w:rsidR="00C96521" w:rsidRPr="00C96521" w14:paraId="19D65476" w14:textId="77777777" w:rsidTr="00C96521">
        <w:tc>
          <w:tcPr>
            <w:tcW w:w="1440" w:type="dxa"/>
            <w:vMerge w:val="restart"/>
            <w:tcBorders>
              <w:top w:val="single" w:sz="2" w:space="0" w:color="auto"/>
              <w:bottom w:val="single" w:sz="18" w:space="0" w:color="auto"/>
            </w:tcBorders>
            <w:vAlign w:val="center"/>
          </w:tcPr>
          <w:p w14:paraId="49FA271B" w14:textId="77777777" w:rsidR="00C96521" w:rsidRPr="00C96521" w:rsidRDefault="00C96521" w:rsidP="00C96521">
            <w:pPr>
              <w:widowControl/>
              <w:autoSpaceDE/>
              <w:autoSpaceDN/>
              <w:adjustRightInd/>
              <w:spacing w:before="120" w:line="276" w:lineRule="auto"/>
              <w:rPr>
                <w:rFonts w:eastAsia="MS Mincho" w:cs="Arial"/>
                <w:sz w:val="20"/>
                <w:szCs w:val="20"/>
                <w:lang w:val="en-GB" w:eastAsia="ja-JP"/>
              </w:rPr>
            </w:pPr>
            <w:r w:rsidRPr="00C96521">
              <w:rPr>
                <w:rFonts w:eastAsia="MS Mincho" w:cs="Arial"/>
                <w:sz w:val="20"/>
                <w:szCs w:val="20"/>
                <w:lang w:val="en-GB" w:eastAsia="ja-JP"/>
              </w:rPr>
              <w:t>Italy partially included</w:t>
            </w:r>
          </w:p>
        </w:tc>
        <w:tc>
          <w:tcPr>
            <w:tcW w:w="1440" w:type="dxa"/>
            <w:vMerge w:val="restart"/>
            <w:tcBorders>
              <w:top w:val="single" w:sz="2" w:space="0" w:color="auto"/>
            </w:tcBorders>
            <w:vAlign w:val="center"/>
          </w:tcPr>
          <w:p w14:paraId="1CBB2674" w14:textId="77777777" w:rsidR="00C96521" w:rsidRPr="00C96521" w:rsidRDefault="00C96521" w:rsidP="00C96521">
            <w:pPr>
              <w:widowControl/>
              <w:autoSpaceDE/>
              <w:autoSpaceDN/>
              <w:adjustRightInd/>
              <w:spacing w:before="120" w:line="276" w:lineRule="auto"/>
              <w:rPr>
                <w:rFonts w:eastAsia="MS Mincho" w:cs="Arial"/>
                <w:sz w:val="20"/>
                <w:szCs w:val="20"/>
                <w:lang w:val="en-GB" w:eastAsia="ja-JP"/>
              </w:rPr>
            </w:pPr>
            <w:r w:rsidRPr="00C96521">
              <w:rPr>
                <w:rFonts w:eastAsia="MS Mincho" w:cs="Arial"/>
                <w:sz w:val="20"/>
                <w:szCs w:val="20"/>
                <w:lang w:val="en-GB" w:eastAsia="ja-JP"/>
              </w:rPr>
              <w:t xml:space="preserve">Low </w:t>
            </w:r>
          </w:p>
        </w:tc>
        <w:tc>
          <w:tcPr>
            <w:tcW w:w="900" w:type="dxa"/>
            <w:tcBorders>
              <w:top w:val="single" w:sz="2" w:space="0" w:color="auto"/>
            </w:tcBorders>
          </w:tcPr>
          <w:p w14:paraId="52BEFC58" w14:textId="77777777" w:rsidR="00C96521" w:rsidRPr="00C96521" w:rsidRDefault="00C96521" w:rsidP="00C96521">
            <w:pPr>
              <w:widowControl/>
              <w:autoSpaceDE/>
              <w:autoSpaceDN/>
              <w:adjustRightInd/>
              <w:spacing w:before="120" w:after="120"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w:t>
            </w:r>
            <w:r w:rsidRPr="00C96521">
              <w:rPr>
                <w:rFonts w:eastAsia="MS Mincho" w:cs="Arial"/>
                <w:sz w:val="20"/>
                <w:szCs w:val="20"/>
                <w:lang w:val="en-GB" w:eastAsia="ja-JP"/>
              </w:rPr>
              <w:t>1</w:t>
            </w:r>
          </w:p>
        </w:tc>
        <w:tc>
          <w:tcPr>
            <w:tcW w:w="2340" w:type="dxa"/>
            <w:tcBorders>
              <w:top w:val="single" w:sz="2" w:space="0" w:color="auto"/>
            </w:tcBorders>
          </w:tcPr>
          <w:p w14:paraId="03E38B66" w14:textId="77777777" w:rsidR="00C96521" w:rsidRPr="00C96521" w:rsidRDefault="00C96521" w:rsidP="00C96521">
            <w:pPr>
              <w:widowControl/>
              <w:autoSpaceDE/>
              <w:autoSpaceDN/>
              <w:adjustRightInd/>
              <w:spacing w:before="120" w:after="120" w:line="276" w:lineRule="auto"/>
              <w:rPr>
                <w:rFonts w:eastAsia="MS Mincho" w:cs="Arial"/>
                <w:sz w:val="20"/>
                <w:szCs w:val="20"/>
                <w:lang w:val="en-GB" w:eastAsia="ja-JP"/>
              </w:rPr>
            </w:pPr>
            <w:r w:rsidRPr="00C96521">
              <w:rPr>
                <w:rFonts w:eastAsia="MS Mincho" w:cs="Arial"/>
                <w:sz w:val="20"/>
                <w:szCs w:val="20"/>
                <w:lang w:val="en-GB" w:eastAsia="ja-JP"/>
              </w:rPr>
              <w:t>[396 654 – 627 414]</w:t>
            </w:r>
          </w:p>
        </w:tc>
        <w:tc>
          <w:tcPr>
            <w:tcW w:w="1620" w:type="dxa"/>
            <w:tcBorders>
              <w:top w:val="single" w:sz="2" w:space="0" w:color="auto"/>
            </w:tcBorders>
            <w:shd w:val="clear" w:color="auto" w:fill="FF6600"/>
          </w:tcPr>
          <w:p w14:paraId="4B6769D9" w14:textId="77777777" w:rsidR="00C96521" w:rsidRPr="00C96521" w:rsidRDefault="00C96521" w:rsidP="00C96521">
            <w:pPr>
              <w:widowControl/>
              <w:autoSpaceDE/>
              <w:autoSpaceDN/>
              <w:adjustRightInd/>
              <w:spacing w:before="120" w:after="120" w:line="276" w:lineRule="auto"/>
              <w:rPr>
                <w:rFonts w:eastAsia="MS Mincho" w:cs="Arial"/>
                <w:sz w:val="20"/>
                <w:szCs w:val="20"/>
                <w:lang w:val="en-GB" w:eastAsia="ja-JP"/>
              </w:rPr>
            </w:pPr>
            <w:r w:rsidRPr="00C96521">
              <w:rPr>
                <w:rFonts w:eastAsia="MS Mincho" w:cs="Arial"/>
                <w:sz w:val="20"/>
                <w:szCs w:val="20"/>
                <w:lang w:val="en-GB" w:eastAsia="ja-JP"/>
              </w:rPr>
              <w:t>&gt; P by 73.9%</w:t>
            </w:r>
          </w:p>
        </w:tc>
        <w:tc>
          <w:tcPr>
            <w:tcW w:w="1440" w:type="dxa"/>
            <w:tcBorders>
              <w:top w:val="single" w:sz="2" w:space="0" w:color="auto"/>
            </w:tcBorders>
            <w:shd w:val="clear" w:color="auto" w:fill="FF6600"/>
          </w:tcPr>
          <w:p w14:paraId="59548099" w14:textId="77777777" w:rsidR="00C96521" w:rsidRPr="00C96521" w:rsidRDefault="00C96521" w:rsidP="00C96521">
            <w:pPr>
              <w:widowControl/>
              <w:autoSpaceDE/>
              <w:autoSpaceDN/>
              <w:adjustRightInd/>
              <w:spacing w:before="120" w:after="120" w:line="276" w:lineRule="auto"/>
              <w:rPr>
                <w:rFonts w:eastAsia="MS Mincho" w:cs="Arial"/>
                <w:sz w:val="20"/>
                <w:szCs w:val="20"/>
                <w:lang w:val="en-GB" w:eastAsia="ja-JP"/>
              </w:rPr>
            </w:pPr>
            <w:r w:rsidRPr="00C96521">
              <w:rPr>
                <w:rFonts w:eastAsia="MS Mincho" w:cs="Arial"/>
                <w:sz w:val="20"/>
                <w:szCs w:val="20"/>
                <w:lang w:val="en-GB" w:eastAsia="ja-JP"/>
              </w:rPr>
              <w:t>7</w:t>
            </w:r>
          </w:p>
        </w:tc>
      </w:tr>
      <w:tr w:rsidR="00C96521" w:rsidRPr="00C96521" w14:paraId="0D7C4FC7" w14:textId="77777777" w:rsidTr="00C96521">
        <w:tc>
          <w:tcPr>
            <w:tcW w:w="1440" w:type="dxa"/>
            <w:vMerge/>
            <w:tcBorders>
              <w:bottom w:val="single" w:sz="18" w:space="0" w:color="auto"/>
            </w:tcBorders>
          </w:tcPr>
          <w:p w14:paraId="4E72F567"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tc>
        <w:tc>
          <w:tcPr>
            <w:tcW w:w="1440" w:type="dxa"/>
            <w:vMerge/>
            <w:vAlign w:val="center"/>
          </w:tcPr>
          <w:p w14:paraId="2B3D55A6"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tc>
        <w:tc>
          <w:tcPr>
            <w:tcW w:w="900" w:type="dxa"/>
          </w:tcPr>
          <w:p w14:paraId="6B0B83FD"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w:t>
            </w:r>
            <w:r w:rsidRPr="00C96521">
              <w:rPr>
                <w:rFonts w:eastAsia="MS Mincho" w:cs="Arial"/>
                <w:sz w:val="20"/>
                <w:szCs w:val="20"/>
                <w:lang w:val="en-GB" w:eastAsia="ja-JP"/>
              </w:rPr>
              <w:t xml:space="preserve"> 2</w:t>
            </w:r>
          </w:p>
        </w:tc>
        <w:tc>
          <w:tcPr>
            <w:tcW w:w="2340" w:type="dxa"/>
          </w:tcPr>
          <w:p w14:paraId="33D37413"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[492 052 – 778 311]</w:t>
            </w:r>
          </w:p>
        </w:tc>
        <w:tc>
          <w:tcPr>
            <w:tcW w:w="1620" w:type="dxa"/>
            <w:shd w:val="clear" w:color="auto" w:fill="FF6600"/>
          </w:tcPr>
          <w:p w14:paraId="5218DDC9"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&gt; P by 40.2%</w:t>
            </w:r>
          </w:p>
        </w:tc>
        <w:tc>
          <w:tcPr>
            <w:tcW w:w="1440" w:type="dxa"/>
            <w:shd w:val="clear" w:color="auto" w:fill="FF6600"/>
          </w:tcPr>
          <w:p w14:paraId="1F013C8A"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8</w:t>
            </w:r>
          </w:p>
        </w:tc>
      </w:tr>
      <w:tr w:rsidR="00C96521" w:rsidRPr="00C96521" w14:paraId="4BBFEB82" w14:textId="77777777" w:rsidTr="00C96521">
        <w:tc>
          <w:tcPr>
            <w:tcW w:w="1440" w:type="dxa"/>
            <w:vMerge/>
            <w:tcBorders>
              <w:bottom w:val="single" w:sz="18" w:space="0" w:color="auto"/>
            </w:tcBorders>
          </w:tcPr>
          <w:p w14:paraId="750D505E"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tc>
        <w:tc>
          <w:tcPr>
            <w:tcW w:w="1440" w:type="dxa"/>
            <w:vMerge/>
            <w:vAlign w:val="center"/>
          </w:tcPr>
          <w:p w14:paraId="1AD12681"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tc>
        <w:tc>
          <w:tcPr>
            <w:tcW w:w="900" w:type="dxa"/>
          </w:tcPr>
          <w:p w14:paraId="64BEDC2E"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w:t>
            </w:r>
            <w:r w:rsidRPr="00C96521">
              <w:rPr>
                <w:rFonts w:eastAsia="MS Mincho" w:cs="Arial"/>
                <w:sz w:val="20"/>
                <w:szCs w:val="20"/>
                <w:lang w:val="en-GB" w:eastAsia="ja-JP"/>
              </w:rPr>
              <w:t xml:space="preserve"> 3</w:t>
            </w:r>
          </w:p>
        </w:tc>
        <w:tc>
          <w:tcPr>
            <w:tcW w:w="2340" w:type="dxa"/>
          </w:tcPr>
          <w:p w14:paraId="0911CF32"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[517 157 – 818 021]</w:t>
            </w:r>
          </w:p>
        </w:tc>
        <w:tc>
          <w:tcPr>
            <w:tcW w:w="1620" w:type="dxa"/>
            <w:shd w:val="clear" w:color="auto" w:fill="FF6600"/>
          </w:tcPr>
          <w:p w14:paraId="0B4655A8"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&gt; P by 33.4%</w:t>
            </w:r>
          </w:p>
        </w:tc>
        <w:tc>
          <w:tcPr>
            <w:tcW w:w="1440" w:type="dxa"/>
            <w:shd w:val="clear" w:color="auto" w:fill="FF6600"/>
          </w:tcPr>
          <w:p w14:paraId="2450D31E"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9</w:t>
            </w:r>
          </w:p>
        </w:tc>
      </w:tr>
      <w:tr w:rsidR="00C96521" w:rsidRPr="00C96521" w14:paraId="37D98390" w14:textId="77777777" w:rsidTr="00C96521">
        <w:tc>
          <w:tcPr>
            <w:tcW w:w="1440" w:type="dxa"/>
            <w:vMerge/>
            <w:tcBorders>
              <w:bottom w:val="single" w:sz="18" w:space="0" w:color="auto"/>
            </w:tcBorders>
            <w:vAlign w:val="center"/>
          </w:tcPr>
          <w:p w14:paraId="1CBAAA41" w14:textId="77777777" w:rsidR="00C96521" w:rsidRPr="00C96521" w:rsidRDefault="00C96521" w:rsidP="00C96521">
            <w:pPr>
              <w:widowControl/>
              <w:autoSpaceDE/>
              <w:autoSpaceDN/>
              <w:adjustRightInd/>
              <w:spacing w:before="120" w:after="120" w:line="276" w:lineRule="auto"/>
              <w:rPr>
                <w:rFonts w:eastAsia="MS Mincho" w:cs="Arial"/>
                <w:sz w:val="20"/>
                <w:szCs w:val="20"/>
                <w:lang w:val="en-GB" w:eastAsia="ja-JP"/>
              </w:rPr>
            </w:pPr>
          </w:p>
        </w:tc>
        <w:tc>
          <w:tcPr>
            <w:tcW w:w="1440" w:type="dxa"/>
            <w:vMerge w:val="restart"/>
            <w:vAlign w:val="center"/>
          </w:tcPr>
          <w:p w14:paraId="402232CA" w14:textId="77777777" w:rsidR="00C96521" w:rsidRPr="00C96521" w:rsidRDefault="00C96521" w:rsidP="00C96521">
            <w:pPr>
              <w:widowControl/>
              <w:autoSpaceDE/>
              <w:autoSpaceDN/>
              <w:adjustRightInd/>
              <w:spacing w:before="120" w:line="276" w:lineRule="auto"/>
              <w:rPr>
                <w:rFonts w:eastAsia="MS Mincho" w:cs="Arial"/>
                <w:sz w:val="20"/>
                <w:szCs w:val="20"/>
                <w:lang w:val="en-GB" w:eastAsia="ja-JP"/>
              </w:rPr>
            </w:pPr>
            <w:r w:rsidRPr="00C96521">
              <w:rPr>
                <w:rFonts w:eastAsia="MS Mincho" w:cs="Arial"/>
                <w:sz w:val="20"/>
                <w:szCs w:val="20"/>
                <w:lang w:val="en-GB" w:eastAsia="ja-JP"/>
              </w:rPr>
              <w:t xml:space="preserve">High </w:t>
            </w:r>
          </w:p>
        </w:tc>
        <w:tc>
          <w:tcPr>
            <w:tcW w:w="900" w:type="dxa"/>
          </w:tcPr>
          <w:p w14:paraId="7B034B8B"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w:t>
            </w:r>
            <w:r w:rsidRPr="00C96521">
              <w:rPr>
                <w:rFonts w:eastAsia="MS Mincho" w:cs="Arial"/>
                <w:sz w:val="20"/>
                <w:szCs w:val="20"/>
                <w:lang w:val="en-GB" w:eastAsia="ja-JP"/>
              </w:rPr>
              <w:t>1</w:t>
            </w:r>
          </w:p>
        </w:tc>
        <w:tc>
          <w:tcPr>
            <w:tcW w:w="2340" w:type="dxa"/>
          </w:tcPr>
          <w:p w14:paraId="4875FD5F"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[566 134 – 895 491]</w:t>
            </w:r>
          </w:p>
        </w:tc>
        <w:tc>
          <w:tcPr>
            <w:tcW w:w="1620" w:type="dxa"/>
            <w:shd w:val="clear" w:color="auto" w:fill="FF6600"/>
          </w:tcPr>
          <w:p w14:paraId="7185F24F"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&gt; P by 21.9%</w:t>
            </w:r>
          </w:p>
        </w:tc>
        <w:tc>
          <w:tcPr>
            <w:tcW w:w="1440" w:type="dxa"/>
            <w:shd w:val="clear" w:color="auto" w:fill="FF6600"/>
          </w:tcPr>
          <w:p w14:paraId="3AADC7DF"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10</w:t>
            </w:r>
          </w:p>
        </w:tc>
      </w:tr>
      <w:tr w:rsidR="00C96521" w:rsidRPr="00C96521" w14:paraId="532278E6" w14:textId="77777777" w:rsidTr="00C96521">
        <w:tc>
          <w:tcPr>
            <w:tcW w:w="1440" w:type="dxa"/>
            <w:vMerge/>
            <w:tcBorders>
              <w:bottom w:val="single" w:sz="18" w:space="0" w:color="auto"/>
            </w:tcBorders>
          </w:tcPr>
          <w:p w14:paraId="2E990514"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tc>
        <w:tc>
          <w:tcPr>
            <w:tcW w:w="1440" w:type="dxa"/>
            <w:vMerge/>
          </w:tcPr>
          <w:p w14:paraId="3F649AF8"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tc>
        <w:tc>
          <w:tcPr>
            <w:tcW w:w="900" w:type="dxa"/>
          </w:tcPr>
          <w:p w14:paraId="1199F99B"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w:t>
            </w:r>
            <w:r w:rsidRPr="00C96521">
              <w:rPr>
                <w:rFonts w:eastAsia="MS Mincho" w:cs="Arial"/>
                <w:sz w:val="20"/>
                <w:szCs w:val="20"/>
                <w:lang w:val="en-GB" w:eastAsia="ja-JP"/>
              </w:rPr>
              <w:t xml:space="preserve"> 2</w:t>
            </w:r>
          </w:p>
        </w:tc>
        <w:tc>
          <w:tcPr>
            <w:tcW w:w="2340" w:type="dxa"/>
          </w:tcPr>
          <w:p w14:paraId="5B097D28"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[702 293 – 1 110 862]</w:t>
            </w:r>
          </w:p>
        </w:tc>
        <w:tc>
          <w:tcPr>
            <w:tcW w:w="1620" w:type="dxa"/>
            <w:shd w:val="clear" w:color="auto" w:fill="99CC00"/>
          </w:tcPr>
          <w:p w14:paraId="16135D2C"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&lt; P by 1.8%</w:t>
            </w:r>
          </w:p>
        </w:tc>
        <w:tc>
          <w:tcPr>
            <w:tcW w:w="1440" w:type="dxa"/>
            <w:shd w:val="clear" w:color="auto" w:fill="99CC00"/>
          </w:tcPr>
          <w:p w14:paraId="7FEA1B33"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11</w:t>
            </w:r>
          </w:p>
        </w:tc>
      </w:tr>
      <w:tr w:rsidR="00C96521" w:rsidRPr="00C96521" w14:paraId="430295F6" w14:textId="77777777" w:rsidTr="00C96521">
        <w:tc>
          <w:tcPr>
            <w:tcW w:w="1440" w:type="dxa"/>
            <w:vMerge/>
            <w:tcBorders>
              <w:bottom w:val="single" w:sz="18" w:space="0" w:color="auto"/>
            </w:tcBorders>
          </w:tcPr>
          <w:p w14:paraId="6C84F5AE"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tc>
        <w:tc>
          <w:tcPr>
            <w:tcW w:w="1440" w:type="dxa"/>
            <w:vMerge/>
            <w:tcBorders>
              <w:bottom w:val="single" w:sz="18" w:space="0" w:color="auto"/>
            </w:tcBorders>
          </w:tcPr>
          <w:p w14:paraId="43D20427"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p>
        </w:tc>
        <w:tc>
          <w:tcPr>
            <w:tcW w:w="900" w:type="dxa"/>
            <w:tcBorders>
              <w:bottom w:val="single" w:sz="18" w:space="0" w:color="auto"/>
            </w:tcBorders>
          </w:tcPr>
          <w:p w14:paraId="6AF63464"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λ</w:t>
            </w:r>
            <w:r w:rsidRPr="00C96521">
              <w:rPr>
                <w:rFonts w:eastAsia="MS Mincho" w:cs="Arial"/>
                <w:sz w:val="20"/>
                <w:szCs w:val="20"/>
                <w:vertAlign w:val="subscript"/>
                <w:lang w:val="en-GB" w:eastAsia="ja-JP"/>
              </w:rPr>
              <w:t>max</w:t>
            </w:r>
            <w:r w:rsidRPr="00C96521">
              <w:rPr>
                <w:rFonts w:eastAsia="MS Mincho" w:cs="Arial"/>
                <w:sz w:val="20"/>
                <w:szCs w:val="20"/>
                <w:lang w:val="en-GB" w:eastAsia="ja-JP"/>
              </w:rPr>
              <w:t xml:space="preserve"> 3</w:t>
            </w:r>
          </w:p>
        </w:tc>
        <w:tc>
          <w:tcPr>
            <w:tcW w:w="2340" w:type="dxa"/>
            <w:tcBorders>
              <w:bottom w:val="single" w:sz="18" w:space="0" w:color="auto"/>
            </w:tcBorders>
          </w:tcPr>
          <w:p w14:paraId="0244D392"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[738 124 – 1 167 539]</w:t>
            </w:r>
          </w:p>
        </w:tc>
        <w:tc>
          <w:tcPr>
            <w:tcW w:w="1620" w:type="dxa"/>
            <w:tcBorders>
              <w:bottom w:val="single" w:sz="18" w:space="0" w:color="auto"/>
            </w:tcBorders>
            <w:shd w:val="clear" w:color="auto" w:fill="99CC00"/>
          </w:tcPr>
          <w:p w14:paraId="2575499A"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&lt; P by 6.5%</w:t>
            </w:r>
          </w:p>
        </w:tc>
        <w:tc>
          <w:tcPr>
            <w:tcW w:w="1440" w:type="dxa"/>
            <w:tcBorders>
              <w:bottom w:val="single" w:sz="18" w:space="0" w:color="auto"/>
            </w:tcBorders>
            <w:shd w:val="clear" w:color="auto" w:fill="99CC00"/>
          </w:tcPr>
          <w:p w14:paraId="1F957051" w14:textId="77777777" w:rsidR="00C96521" w:rsidRPr="00C96521" w:rsidRDefault="00C96521" w:rsidP="00C96521">
            <w:pPr>
              <w:widowControl/>
              <w:autoSpaceDE/>
              <w:autoSpaceDN/>
              <w:adjustRightInd/>
              <w:spacing w:after="120" w:line="276" w:lineRule="auto"/>
              <w:rPr>
                <w:rFonts w:eastAsia="MS Mincho" w:cs="Arial"/>
                <w:sz w:val="20"/>
                <w:szCs w:val="20"/>
                <w:lang w:val="en-GB" w:eastAsia="ja-JP"/>
              </w:rPr>
            </w:pPr>
            <w:r w:rsidRPr="00C96521">
              <w:rPr>
                <w:rFonts w:eastAsia="MS Mincho" w:cs="Arial"/>
                <w:sz w:val="20"/>
                <w:szCs w:val="20"/>
                <w:lang w:val="en-GB" w:eastAsia="ja-JP"/>
              </w:rPr>
              <w:t>12</w:t>
            </w:r>
          </w:p>
        </w:tc>
      </w:tr>
    </w:tbl>
    <w:p w14:paraId="553FE398"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0F0B2746" w14:textId="53262C29"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For 8 out of 12 scenarios, the hunting bag exceeds the value of P by more than 15</w:t>
      </w:r>
      <w:r w:rsidR="007910C0">
        <w:rPr>
          <w:rFonts w:eastAsia="MS Mincho" w:cs="Arial"/>
          <w:sz w:val="20"/>
          <w:szCs w:val="20"/>
          <w:lang w:val="en-GB" w:eastAsia="ja-JP"/>
        </w:rPr>
        <w:t xml:space="preserve"> per cent</w:t>
      </w:r>
      <w:r w:rsidR="007910C0" w:rsidRPr="00C96521">
        <w:rPr>
          <w:rFonts w:eastAsia="MS Mincho" w:cs="Arial"/>
          <w:sz w:val="20"/>
          <w:szCs w:val="20"/>
          <w:lang w:val="en-GB" w:eastAsia="ja-JP"/>
        </w:rPr>
        <w:t xml:space="preserve"> </w:t>
      </w:r>
      <w:r w:rsidRPr="00C96521">
        <w:rPr>
          <w:rFonts w:eastAsia="MS Mincho" w:cs="Arial"/>
          <w:sz w:val="20"/>
          <w:szCs w:val="20"/>
          <w:lang w:val="en-GB" w:eastAsia="ja-JP"/>
        </w:rPr>
        <w:t>(scenarios 1 to 4 and 7 to 10). The only cases in which hunting take falls below P are scenarios where productivity reaches its maximum value, and λ</w:t>
      </w:r>
      <w:r w:rsidRPr="00C96521">
        <w:rPr>
          <w:rFonts w:eastAsia="MS Mincho" w:cs="Arial"/>
          <w:sz w:val="20"/>
          <w:szCs w:val="20"/>
          <w:vertAlign w:val="subscript"/>
          <w:lang w:val="en-GB" w:eastAsia="ja-JP"/>
        </w:rPr>
        <w:t>max</w:t>
      </w:r>
      <w:r w:rsidRPr="00C96521">
        <w:rPr>
          <w:rFonts w:eastAsia="MS Mincho" w:cs="Arial"/>
          <w:sz w:val="20"/>
          <w:szCs w:val="20"/>
          <w:lang w:val="en-GB" w:eastAsia="ja-JP"/>
        </w:rPr>
        <w:t xml:space="preserve"> is intermediate or very high. In those cases where the hunting take is below P, the difference is always below 9</w:t>
      </w:r>
      <w:r w:rsidR="007910C0">
        <w:rPr>
          <w:rFonts w:eastAsia="MS Mincho" w:cs="Arial"/>
          <w:sz w:val="20"/>
          <w:szCs w:val="20"/>
          <w:lang w:val="en-GB" w:eastAsia="ja-JP"/>
        </w:rPr>
        <w:t xml:space="preserve"> per cent</w:t>
      </w:r>
      <w:r w:rsidR="007910C0" w:rsidRPr="00C96521">
        <w:rPr>
          <w:rFonts w:eastAsia="MS Mincho" w:cs="Arial"/>
          <w:sz w:val="20"/>
          <w:szCs w:val="20"/>
          <w:lang w:val="en-GB" w:eastAsia="ja-JP"/>
        </w:rPr>
        <w:t xml:space="preserve">. </w:t>
      </w:r>
      <w:r w:rsidRPr="00C96521">
        <w:rPr>
          <w:rFonts w:eastAsia="MS Mincho" w:cs="Arial"/>
          <w:sz w:val="20"/>
          <w:szCs w:val="20"/>
          <w:lang w:val="en-GB" w:eastAsia="ja-JP"/>
        </w:rPr>
        <w:t>Both of these last scenarios (6 and 12) had λ</w:t>
      </w:r>
      <w:r w:rsidRPr="00C96521">
        <w:rPr>
          <w:rFonts w:eastAsia="MS Mincho" w:cs="Arial"/>
          <w:sz w:val="20"/>
          <w:szCs w:val="20"/>
          <w:vertAlign w:val="subscript"/>
          <w:lang w:val="en-GB" w:eastAsia="ja-JP"/>
        </w:rPr>
        <w:t>max</w:t>
      </w:r>
      <w:r w:rsidRPr="00C96521">
        <w:rPr>
          <w:rFonts w:eastAsia="MS Mincho" w:cs="Arial"/>
          <w:sz w:val="20"/>
          <w:szCs w:val="20"/>
          <w:lang w:val="en-GB" w:eastAsia="ja-JP"/>
        </w:rPr>
        <w:t xml:space="preserve"> set to its maximum value (2.03), which is likely not to be realistic for a species such as the turtle-dove. Consequently, hunting take would be lower than P only for scenarios 5 and 11, such difference being always below 5%. Hunting take is lower than P only when considering the upper interval values for P. It is never the case when considering the lower interval values. </w:t>
      </w:r>
    </w:p>
    <w:p w14:paraId="39EE4EDE"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xml:space="preserve"> </w:t>
      </w:r>
    </w:p>
    <w:p w14:paraId="06547B76" w14:textId="2A0AA3EE"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xml:space="preserve">It appears, therefore, that the number of birds hunted within the western flyway is higher than the </w:t>
      </w:r>
      <w:r w:rsidR="007910C0">
        <w:rPr>
          <w:rFonts w:eastAsia="MS Mincho"/>
          <w:sz w:val="20"/>
          <w:szCs w:val="22"/>
          <w:lang w:val="en-GB" w:eastAsia="ja-JP"/>
        </w:rPr>
        <w:t>T</w:t>
      </w:r>
      <w:r w:rsidR="007910C0" w:rsidRPr="00C96521">
        <w:rPr>
          <w:rFonts w:eastAsia="MS Mincho"/>
          <w:sz w:val="20"/>
          <w:szCs w:val="22"/>
          <w:lang w:val="en-GB" w:eastAsia="ja-JP"/>
        </w:rPr>
        <w:t>urtle</w:t>
      </w:r>
      <w:r w:rsidR="007910C0">
        <w:rPr>
          <w:rFonts w:eastAsia="MS Mincho"/>
          <w:sz w:val="20"/>
          <w:szCs w:val="22"/>
          <w:lang w:val="en-GB" w:eastAsia="ja-JP"/>
        </w:rPr>
        <w:t xml:space="preserve"> D</w:t>
      </w:r>
      <w:r w:rsidR="007910C0" w:rsidRPr="00C96521">
        <w:rPr>
          <w:rFonts w:eastAsia="MS Mincho"/>
          <w:sz w:val="20"/>
          <w:szCs w:val="22"/>
          <w:lang w:val="en-GB" w:eastAsia="ja-JP"/>
        </w:rPr>
        <w:t xml:space="preserve">ove </w:t>
      </w:r>
      <w:r w:rsidRPr="00C96521">
        <w:rPr>
          <w:rFonts w:eastAsia="MS Mincho" w:cs="Arial"/>
          <w:sz w:val="20"/>
          <w:szCs w:val="20"/>
          <w:lang w:val="en-GB" w:eastAsia="ja-JP"/>
        </w:rPr>
        <w:t xml:space="preserve">population is able to sustain (whether Italy is included or not). </w:t>
      </w:r>
    </w:p>
    <w:p w14:paraId="7211050D"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11FBC3DA"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This conclusion is further supported by additional information:</w:t>
      </w:r>
    </w:p>
    <w:p w14:paraId="02954D0E" w14:textId="1BF04A38"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the maximal growth rate calculated through national monitoring schemes are notably weaker than λ</w:t>
      </w:r>
      <w:r w:rsidRPr="00C96521">
        <w:rPr>
          <w:rFonts w:eastAsia="MS Mincho" w:cs="Arial"/>
          <w:sz w:val="20"/>
          <w:szCs w:val="20"/>
          <w:vertAlign w:val="subscript"/>
          <w:lang w:val="en-GB" w:eastAsia="ja-JP"/>
        </w:rPr>
        <w:t>max</w:t>
      </w:r>
      <w:r w:rsidRPr="00C96521">
        <w:rPr>
          <w:rFonts w:eastAsia="MS Mincho" w:cs="Arial"/>
          <w:sz w:val="20"/>
          <w:szCs w:val="20"/>
          <w:lang w:val="en-GB" w:eastAsia="ja-JP"/>
        </w:rPr>
        <w:t xml:space="preserve"> calculated through the use of demographic invariants (Spain 1.3139, 21 years</w:t>
      </w:r>
      <w:r w:rsidR="007910C0">
        <w:rPr>
          <w:rFonts w:eastAsia="MS Mincho" w:cs="Arial"/>
          <w:sz w:val="20"/>
          <w:szCs w:val="20"/>
          <w:lang w:val="en-GB" w:eastAsia="ja-JP"/>
        </w:rPr>
        <w:t>’</w:t>
      </w:r>
      <w:r w:rsidRPr="00C96521">
        <w:rPr>
          <w:rFonts w:eastAsia="MS Mincho" w:cs="Arial"/>
          <w:sz w:val="20"/>
          <w:szCs w:val="20"/>
          <w:lang w:val="en-GB" w:eastAsia="ja-JP"/>
        </w:rPr>
        <w:t xml:space="preserve"> data; France 1.2134, 26 years</w:t>
      </w:r>
      <w:r w:rsidR="007910C0">
        <w:rPr>
          <w:rFonts w:eastAsia="MS Mincho" w:cs="Arial"/>
          <w:sz w:val="20"/>
          <w:szCs w:val="20"/>
          <w:lang w:val="en-GB" w:eastAsia="ja-JP"/>
        </w:rPr>
        <w:t>’</w:t>
      </w:r>
      <w:r w:rsidRPr="00C96521">
        <w:rPr>
          <w:rFonts w:eastAsia="MS Mincho" w:cs="Arial"/>
          <w:sz w:val="20"/>
          <w:szCs w:val="20"/>
          <w:lang w:val="en-GB" w:eastAsia="ja-JP"/>
        </w:rPr>
        <w:t xml:space="preserve"> data; UK 1.2525,49 years</w:t>
      </w:r>
      <w:r w:rsidR="007910C0">
        <w:rPr>
          <w:rFonts w:eastAsia="MS Mincho" w:cs="Arial"/>
          <w:sz w:val="20"/>
          <w:szCs w:val="20"/>
          <w:lang w:val="en-GB" w:eastAsia="ja-JP"/>
        </w:rPr>
        <w:t>’</w:t>
      </w:r>
      <w:r w:rsidRPr="00C96521">
        <w:rPr>
          <w:rFonts w:eastAsia="MS Mincho" w:cs="Arial"/>
          <w:sz w:val="20"/>
          <w:szCs w:val="20"/>
          <w:lang w:val="en-GB" w:eastAsia="ja-JP"/>
        </w:rPr>
        <w:t xml:space="preserve"> data (Will Peach </w:t>
      </w:r>
      <w:r w:rsidRPr="00C96521">
        <w:rPr>
          <w:rFonts w:eastAsia="MS Mincho" w:cs="Arial"/>
          <w:i/>
          <w:sz w:val="20"/>
          <w:szCs w:val="20"/>
          <w:lang w:val="en-GB" w:eastAsia="ja-JP"/>
        </w:rPr>
        <w:t>pers comm</w:t>
      </w:r>
      <w:r w:rsidRPr="00C96521">
        <w:rPr>
          <w:rFonts w:eastAsia="MS Mincho" w:cs="Arial"/>
          <w:sz w:val="20"/>
          <w:szCs w:val="20"/>
          <w:lang w:val="en-GB" w:eastAsia="ja-JP"/>
        </w:rPr>
        <w:t>); it should be noted that λ</w:t>
      </w:r>
      <w:r w:rsidRPr="00C96521">
        <w:rPr>
          <w:rFonts w:eastAsia="MS Mincho" w:cs="Arial"/>
          <w:sz w:val="20"/>
          <w:szCs w:val="20"/>
          <w:vertAlign w:val="subscript"/>
          <w:lang w:val="en-GB" w:eastAsia="ja-JP"/>
        </w:rPr>
        <w:t>max</w:t>
      </w:r>
      <w:r w:rsidRPr="00C96521">
        <w:rPr>
          <w:rFonts w:eastAsia="MS Mincho" w:cs="Arial"/>
          <w:sz w:val="20"/>
          <w:szCs w:val="20"/>
          <w:lang w:val="en-GB" w:eastAsia="ja-JP"/>
        </w:rPr>
        <w:t xml:space="preserve"> obtained through national schemes already includes additive mortality related to hunting;</w:t>
      </w:r>
    </w:p>
    <w:p w14:paraId="34B9B0CF"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r w:rsidRPr="00C96521">
        <w:rPr>
          <w:rFonts w:eastAsia="MS Mincho" w:cs="Arial"/>
          <w:sz w:val="20"/>
          <w:szCs w:val="20"/>
          <w:lang w:val="en-GB" w:eastAsia="ja-JP"/>
        </w:rPr>
        <w:t xml:space="preserve">- this analysis has not taken into account the number of turtle doves killed by hunters in Africa while overwintering, and so the overall hunting bag size could be substantially higher. </w:t>
      </w:r>
    </w:p>
    <w:p w14:paraId="52C0BACF"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46CB7E3A" w14:textId="77777777" w:rsidR="00C96521" w:rsidRPr="00C96521" w:rsidRDefault="00C96521" w:rsidP="00C96521">
      <w:pPr>
        <w:widowControl/>
        <w:autoSpaceDE/>
        <w:autoSpaceDN/>
        <w:adjustRightInd/>
        <w:spacing w:line="276" w:lineRule="auto"/>
        <w:rPr>
          <w:rFonts w:eastAsia="MS Mincho" w:cs="Arial"/>
          <w:sz w:val="20"/>
          <w:szCs w:val="20"/>
          <w:lang w:val="en-GB" w:eastAsia="ja-JP"/>
        </w:rPr>
      </w:pPr>
    </w:p>
    <w:p w14:paraId="07B6478C" w14:textId="77777777" w:rsidR="00C96521" w:rsidRPr="00C96521" w:rsidRDefault="00C96521" w:rsidP="00C96521">
      <w:pPr>
        <w:widowControl/>
        <w:autoSpaceDE/>
        <w:autoSpaceDN/>
        <w:adjustRightInd/>
        <w:spacing w:line="276" w:lineRule="auto"/>
        <w:rPr>
          <w:rFonts w:eastAsia="MS Mincho"/>
          <w:color w:val="FF0000"/>
          <w:sz w:val="20"/>
          <w:szCs w:val="22"/>
          <w:lang w:val="en-GB" w:eastAsia="ja-JP"/>
        </w:rPr>
      </w:pPr>
    </w:p>
    <w:p w14:paraId="76E37C7B"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p w14:paraId="102B647C" w14:textId="77777777" w:rsidR="00C96521" w:rsidRPr="00C96521" w:rsidRDefault="00C96521" w:rsidP="00C96521">
      <w:pPr>
        <w:widowControl/>
        <w:autoSpaceDE/>
        <w:autoSpaceDN/>
        <w:adjustRightInd/>
        <w:spacing w:line="276" w:lineRule="auto"/>
        <w:rPr>
          <w:rFonts w:eastAsia="MS Gothic"/>
          <w:b/>
          <w:bCs/>
          <w:color w:val="365F91"/>
          <w:sz w:val="32"/>
          <w:szCs w:val="28"/>
          <w:lang w:val="en-GB" w:eastAsia="ja-JP"/>
        </w:rPr>
      </w:pPr>
      <w:r w:rsidRPr="00C96521">
        <w:rPr>
          <w:rFonts w:eastAsia="MS Mincho"/>
          <w:sz w:val="20"/>
          <w:szCs w:val="22"/>
          <w:lang w:val="en-GB" w:eastAsia="ja-JP"/>
        </w:rPr>
        <w:br w:type="page"/>
      </w:r>
    </w:p>
    <w:p w14:paraId="6BBAAECE" w14:textId="77777777" w:rsidR="00C96521" w:rsidRPr="00C96521" w:rsidRDefault="00C96521" w:rsidP="00C96521">
      <w:pPr>
        <w:keepNext/>
        <w:keepLines/>
        <w:widowControl/>
        <w:autoSpaceDE/>
        <w:autoSpaceDN/>
        <w:adjustRightInd/>
        <w:spacing w:before="480" w:line="276" w:lineRule="auto"/>
        <w:outlineLvl w:val="0"/>
        <w:rPr>
          <w:rFonts w:eastAsia="MS Gothic"/>
          <w:b/>
          <w:bCs/>
          <w:color w:val="365F91"/>
          <w:sz w:val="32"/>
          <w:szCs w:val="28"/>
          <w:lang w:val="en-GB" w:eastAsia="ja-JP"/>
        </w:rPr>
      </w:pPr>
      <w:bookmarkStart w:id="39" w:name="_Toc478646924"/>
      <w:r w:rsidRPr="00C96521">
        <w:rPr>
          <w:rFonts w:eastAsia="MS Gothic"/>
          <w:b/>
          <w:bCs/>
          <w:color w:val="365F91"/>
          <w:sz w:val="32"/>
          <w:szCs w:val="28"/>
          <w:lang w:val="en-GB" w:eastAsia="ja-JP"/>
        </w:rPr>
        <w:t>Annex 5: REFERENCES</w:t>
      </w:r>
      <w:bookmarkEnd w:id="39"/>
    </w:p>
    <w:p w14:paraId="73D0F2CB"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31FF4D8F"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ADAMIAN MS and KLEM D (1997)</w:t>
      </w:r>
      <w:r w:rsidRPr="00C96521">
        <w:rPr>
          <w:rFonts w:eastAsia="MS Mincho" w:cs="Arial"/>
          <w:szCs w:val="18"/>
          <w:lang w:val="en-GB" w:eastAsia="ja-JP"/>
        </w:rPr>
        <w:t xml:space="preserve"> </w:t>
      </w:r>
      <w:r w:rsidRPr="00C96521">
        <w:rPr>
          <w:rFonts w:eastAsia="MS Mincho" w:cs="Arial"/>
          <w:i/>
          <w:szCs w:val="18"/>
          <w:lang w:val="en-GB" w:eastAsia="ja-JP"/>
        </w:rPr>
        <w:t>A Field Guide to Birds of Armenia</w:t>
      </w:r>
      <w:r w:rsidRPr="00C96521">
        <w:rPr>
          <w:rFonts w:eastAsia="MS Mincho" w:cs="Arial"/>
          <w:szCs w:val="18"/>
          <w:lang w:val="en-GB" w:eastAsia="ja-JP"/>
        </w:rPr>
        <w:t>. American University of Armenia, Yerevan.</w:t>
      </w:r>
    </w:p>
    <w:p w14:paraId="2A4F2B83"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3A44FBC9" w14:textId="7AFD6836"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 xml:space="preserve">AEBISCHER NJ (2002) </w:t>
      </w:r>
      <w:r w:rsidRPr="00C96521">
        <w:rPr>
          <w:rFonts w:eastAsia="MS Mincho" w:cs="Arial"/>
          <w:szCs w:val="18"/>
          <w:lang w:val="en-GB" w:eastAsia="ja-JP"/>
        </w:rPr>
        <w:t>Turtle</w:t>
      </w:r>
      <w:r w:rsidR="007910C0">
        <w:rPr>
          <w:rFonts w:eastAsia="MS Mincho" w:cs="Arial"/>
          <w:szCs w:val="18"/>
          <w:lang w:val="en-GB" w:eastAsia="ja-JP"/>
        </w:rPr>
        <w:t xml:space="preserve"> D</w:t>
      </w:r>
      <w:r w:rsidRPr="00C96521">
        <w:rPr>
          <w:rFonts w:eastAsia="MS Mincho" w:cs="Arial"/>
          <w:szCs w:val="18"/>
          <w:lang w:val="en-GB" w:eastAsia="ja-JP"/>
        </w:rPr>
        <w:t xml:space="preserve">dove </w:t>
      </w:r>
      <w:r w:rsidRPr="00C96521">
        <w:rPr>
          <w:rFonts w:eastAsia="MS Mincho" w:cs="Arial"/>
          <w:i/>
          <w:szCs w:val="18"/>
          <w:lang w:val="en-GB" w:eastAsia="ja-JP"/>
        </w:rPr>
        <w:t>Streptopelia turtur</w:t>
      </w:r>
      <w:r w:rsidRPr="00C96521">
        <w:rPr>
          <w:rFonts w:eastAsia="MS Mincho" w:cs="Arial"/>
          <w:szCs w:val="18"/>
          <w:lang w:val="en-GB" w:eastAsia="ja-JP"/>
        </w:rPr>
        <w:t xml:space="preserve">. In: WERNHAM CV, TOMS MP, MARCHANT JH, CLARK JA, SIRIWADERNA GM and BAILLIE SR (eds) </w:t>
      </w:r>
      <w:r w:rsidRPr="00C96521">
        <w:rPr>
          <w:rFonts w:eastAsia="MS Mincho" w:cs="Arial"/>
          <w:i/>
          <w:szCs w:val="18"/>
          <w:lang w:val="en-GB" w:eastAsia="ja-JP"/>
        </w:rPr>
        <w:t>The Migration Atlas: movements of the Birds of Britain and Ireland</w:t>
      </w:r>
      <w:r w:rsidRPr="00C96521">
        <w:rPr>
          <w:rFonts w:eastAsia="MS Mincho" w:cs="Arial"/>
          <w:szCs w:val="18"/>
          <w:lang w:val="en-GB" w:eastAsia="ja-JP"/>
        </w:rPr>
        <w:t>. T &amp; AD Poyser, London. pp 420-422.</w:t>
      </w:r>
    </w:p>
    <w:p w14:paraId="037C1488"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4A2C55F6"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AGENDA.GE (2015)</w:t>
      </w:r>
      <w:r w:rsidRPr="00C96521">
        <w:rPr>
          <w:rFonts w:eastAsia="MS Mincho" w:cs="Arial"/>
          <w:szCs w:val="18"/>
          <w:lang w:val="en-GB" w:eastAsia="ja-JP"/>
        </w:rPr>
        <w:t xml:space="preserve"> </w:t>
      </w:r>
      <w:r w:rsidRPr="00C96521">
        <w:rPr>
          <w:rFonts w:eastAsia="MS Mincho" w:cs="Arial"/>
          <w:i/>
          <w:szCs w:val="18"/>
          <w:lang w:val="en-GB" w:eastAsia="ja-JP"/>
        </w:rPr>
        <w:t>Georgia’s bird hunting season begins tomorrow.</w:t>
      </w:r>
      <w:r w:rsidRPr="00C96521">
        <w:rPr>
          <w:rFonts w:eastAsia="MS Mincho" w:cs="Arial"/>
          <w:szCs w:val="18"/>
          <w:lang w:val="en-GB" w:eastAsia="ja-JP"/>
        </w:rPr>
        <w:t xml:space="preserve"> http://agenda.ge/news/40710/eng (last accessed 25</w:t>
      </w:r>
      <w:r w:rsidRPr="00C96521">
        <w:rPr>
          <w:rFonts w:eastAsia="MS Mincho" w:cs="Arial"/>
          <w:szCs w:val="18"/>
          <w:vertAlign w:val="superscript"/>
          <w:lang w:val="en-GB" w:eastAsia="ja-JP"/>
        </w:rPr>
        <w:t>th</w:t>
      </w:r>
      <w:r w:rsidRPr="00C96521">
        <w:rPr>
          <w:rFonts w:eastAsia="MS Mincho" w:cs="Arial"/>
          <w:szCs w:val="18"/>
          <w:lang w:val="en-GB" w:eastAsia="ja-JP"/>
        </w:rPr>
        <w:t xml:space="preserve"> November 2016)</w:t>
      </w:r>
    </w:p>
    <w:p w14:paraId="21EA8CD2"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3E290E95" w14:textId="77777777" w:rsidR="00C96521" w:rsidRPr="00890F11" w:rsidRDefault="00C96521" w:rsidP="00C96521">
      <w:pPr>
        <w:widowControl/>
        <w:autoSpaceDE/>
        <w:autoSpaceDN/>
        <w:adjustRightInd/>
        <w:spacing w:line="276" w:lineRule="auto"/>
        <w:rPr>
          <w:rFonts w:eastAsia="MS Mincho" w:cs="Arial"/>
          <w:szCs w:val="18"/>
          <w:lang w:val="fr-FR" w:eastAsia="ja-JP"/>
        </w:rPr>
      </w:pPr>
      <w:r w:rsidRPr="00C96521">
        <w:rPr>
          <w:rFonts w:eastAsia="MS Mincho" w:cs="Arial"/>
          <w:b/>
          <w:bCs/>
          <w:szCs w:val="18"/>
          <w:lang w:val="en-GB" w:eastAsia="ja-JP"/>
        </w:rPr>
        <w:t>ALLEN B, KRETSCHMER B, BALDOCK D, MENADUE H, NANNI S and TUCKER G (2014)</w:t>
      </w:r>
      <w:r w:rsidRPr="00C96521">
        <w:rPr>
          <w:rFonts w:eastAsia="MS Mincho" w:cs="Arial"/>
          <w:szCs w:val="18"/>
          <w:lang w:val="en-GB" w:eastAsia="ja-JP"/>
        </w:rPr>
        <w:t xml:space="preserve"> </w:t>
      </w:r>
      <w:r w:rsidRPr="00C96521">
        <w:rPr>
          <w:rFonts w:eastAsia="MS Mincho" w:cs="Arial"/>
          <w:i/>
          <w:szCs w:val="18"/>
          <w:lang w:val="en-GB" w:eastAsia="ja-JP"/>
        </w:rPr>
        <w:t>Space for energy crops – assessing the potential contribution to Europe’s energy future</w:t>
      </w:r>
      <w:r w:rsidRPr="00C96521">
        <w:rPr>
          <w:rFonts w:eastAsia="MS Mincho" w:cs="Arial"/>
          <w:szCs w:val="18"/>
          <w:lang w:val="en-GB" w:eastAsia="ja-JP"/>
        </w:rPr>
        <w:t xml:space="preserve">. Report produced for BirdLife Europe, European Environmental Bureau and Transport and Environment. </w:t>
      </w:r>
      <w:r w:rsidRPr="00890F11">
        <w:rPr>
          <w:rFonts w:eastAsia="MS Mincho" w:cs="Arial"/>
          <w:szCs w:val="18"/>
          <w:lang w:val="fr-FR" w:eastAsia="ja-JP"/>
        </w:rPr>
        <w:t>IEEP, London.</w:t>
      </w:r>
    </w:p>
    <w:p w14:paraId="4821501B" w14:textId="77777777" w:rsidR="00C96521" w:rsidRPr="00890F11" w:rsidRDefault="00C96521" w:rsidP="00C96521">
      <w:pPr>
        <w:widowControl/>
        <w:autoSpaceDE/>
        <w:autoSpaceDN/>
        <w:adjustRightInd/>
        <w:spacing w:line="276" w:lineRule="auto"/>
        <w:rPr>
          <w:rFonts w:eastAsia="MS Mincho" w:cs="Arial"/>
          <w:szCs w:val="18"/>
          <w:lang w:val="fr-FR" w:eastAsia="ja-JP"/>
        </w:rPr>
      </w:pPr>
    </w:p>
    <w:p w14:paraId="410AFDD1" w14:textId="77777777" w:rsidR="00C96521" w:rsidRPr="00890F11" w:rsidRDefault="00C96521" w:rsidP="00C96521">
      <w:pPr>
        <w:widowControl/>
        <w:autoSpaceDE/>
        <w:autoSpaceDN/>
        <w:adjustRightInd/>
        <w:spacing w:line="276" w:lineRule="auto"/>
        <w:rPr>
          <w:rFonts w:eastAsia="MS Mincho" w:cs="Arial"/>
          <w:szCs w:val="18"/>
          <w:lang w:val="fr-FR" w:eastAsia="ja-JP"/>
        </w:rPr>
      </w:pPr>
      <w:r w:rsidRPr="00890F11">
        <w:rPr>
          <w:rFonts w:eastAsia="MS Mincho" w:cs="Arial"/>
          <w:b/>
          <w:bCs/>
          <w:szCs w:val="18"/>
          <w:lang w:val="fr-FR" w:eastAsia="ja-JP"/>
        </w:rPr>
        <w:t>ARNAUDUC J-P, ANSTETT L and BOOS M (2011)</w:t>
      </w:r>
      <w:r w:rsidRPr="00890F11">
        <w:rPr>
          <w:rFonts w:eastAsia="MS Mincho" w:cs="Arial"/>
          <w:szCs w:val="18"/>
          <w:lang w:val="fr-FR" w:eastAsia="ja-JP"/>
        </w:rPr>
        <w:t xml:space="preserve"> Les prélèvements de colombidés par la chasse en France. </w:t>
      </w:r>
      <w:r w:rsidRPr="00890F11">
        <w:rPr>
          <w:rFonts w:eastAsia="MS Mincho" w:cs="Arial"/>
          <w:i/>
          <w:szCs w:val="18"/>
          <w:lang w:val="fr-FR" w:eastAsia="ja-JP"/>
        </w:rPr>
        <w:t>Faune Sauvage</w:t>
      </w:r>
      <w:r w:rsidRPr="00890F11">
        <w:rPr>
          <w:rFonts w:eastAsia="MS Mincho" w:cs="Arial"/>
          <w:szCs w:val="18"/>
          <w:lang w:val="fr-FR" w:eastAsia="ja-JP"/>
        </w:rPr>
        <w:t xml:space="preserve"> 293: 45-49.</w:t>
      </w:r>
    </w:p>
    <w:p w14:paraId="5DB804E1" w14:textId="77777777" w:rsidR="00C96521" w:rsidRPr="00890F11" w:rsidRDefault="00C96521" w:rsidP="00C96521">
      <w:pPr>
        <w:widowControl/>
        <w:autoSpaceDE/>
        <w:autoSpaceDN/>
        <w:adjustRightInd/>
        <w:spacing w:line="276" w:lineRule="auto"/>
        <w:rPr>
          <w:rFonts w:eastAsia="MS Mincho" w:cs="Arial"/>
          <w:b/>
          <w:bCs/>
          <w:szCs w:val="18"/>
          <w:lang w:val="fr-FR" w:eastAsia="ja-JP"/>
        </w:rPr>
      </w:pPr>
    </w:p>
    <w:p w14:paraId="77A0104A" w14:textId="77777777" w:rsidR="00C96521" w:rsidRPr="00890F11" w:rsidRDefault="00C96521" w:rsidP="00C96521">
      <w:pPr>
        <w:widowControl/>
        <w:autoSpaceDE/>
        <w:autoSpaceDN/>
        <w:adjustRightInd/>
        <w:spacing w:line="276" w:lineRule="auto"/>
        <w:rPr>
          <w:rFonts w:eastAsia="MS Mincho" w:cs="Arial"/>
          <w:szCs w:val="18"/>
          <w:lang w:val="fr-FR" w:eastAsia="ja-JP"/>
        </w:rPr>
      </w:pPr>
      <w:r w:rsidRPr="00890F11">
        <w:rPr>
          <w:rFonts w:eastAsia="MS Mincho" w:cs="Arial"/>
          <w:b/>
          <w:bCs/>
          <w:szCs w:val="18"/>
          <w:lang w:val="fr-FR" w:eastAsia="ja-JP"/>
        </w:rPr>
        <w:t>AUBINEAU J and BOUTIN JM</w:t>
      </w:r>
      <w:r w:rsidRPr="00890F11">
        <w:rPr>
          <w:rFonts w:eastAsia="MS Mincho" w:cs="Arial"/>
          <w:szCs w:val="18"/>
          <w:lang w:val="fr-FR" w:eastAsia="ja-JP"/>
        </w:rPr>
        <w:t xml:space="preserve"> </w:t>
      </w:r>
      <w:r w:rsidRPr="00890F11">
        <w:rPr>
          <w:rFonts w:eastAsia="MS Mincho" w:cs="Arial"/>
          <w:b/>
          <w:bCs/>
          <w:szCs w:val="18"/>
          <w:lang w:val="fr-FR" w:eastAsia="ja-JP"/>
        </w:rPr>
        <w:t xml:space="preserve">(1998) </w:t>
      </w:r>
      <w:r w:rsidRPr="00890F11">
        <w:rPr>
          <w:rFonts w:eastAsia="MS Mincho" w:cs="Arial"/>
          <w:szCs w:val="18"/>
          <w:lang w:val="fr-FR" w:eastAsia="ja-JP"/>
        </w:rPr>
        <w:t xml:space="preserve">L’impact des modalités de gestion du maillage bocager sur les colombidés nicheurs dans l’ouest de la France. </w:t>
      </w:r>
      <w:r w:rsidRPr="00890F11">
        <w:rPr>
          <w:rFonts w:eastAsia="MS Mincho" w:cs="Arial"/>
          <w:i/>
          <w:iCs/>
          <w:szCs w:val="18"/>
          <w:lang w:val="fr-FR" w:eastAsia="ja-JP"/>
        </w:rPr>
        <w:t xml:space="preserve">Gibier Faune Sauvage </w:t>
      </w:r>
      <w:r w:rsidRPr="00890F11">
        <w:rPr>
          <w:rFonts w:eastAsia="MS Mincho" w:cs="Arial"/>
          <w:szCs w:val="18"/>
          <w:lang w:val="fr-FR" w:eastAsia="ja-JP"/>
        </w:rPr>
        <w:t>15(1): 55-63.</w:t>
      </w:r>
    </w:p>
    <w:p w14:paraId="529DDDF1" w14:textId="77777777" w:rsidR="00C96521" w:rsidRPr="00890F11" w:rsidRDefault="00C96521" w:rsidP="00C96521">
      <w:pPr>
        <w:widowControl/>
        <w:autoSpaceDE/>
        <w:autoSpaceDN/>
        <w:adjustRightInd/>
        <w:spacing w:line="276" w:lineRule="auto"/>
        <w:rPr>
          <w:rFonts w:eastAsia="MS Mincho" w:cs="Arial"/>
          <w:szCs w:val="18"/>
          <w:lang w:val="fr-FR" w:eastAsia="ja-JP"/>
        </w:rPr>
      </w:pPr>
    </w:p>
    <w:p w14:paraId="0D585885" w14:textId="77777777" w:rsidR="00C96521" w:rsidRPr="00890F11" w:rsidRDefault="00C96521" w:rsidP="00C96521">
      <w:pPr>
        <w:widowControl/>
        <w:autoSpaceDE/>
        <w:autoSpaceDN/>
        <w:adjustRightInd/>
        <w:spacing w:line="276" w:lineRule="auto"/>
        <w:rPr>
          <w:rFonts w:eastAsia="MS Mincho" w:cs="Arial"/>
          <w:szCs w:val="18"/>
          <w:lang w:val="fr-FR" w:eastAsia="ja-JP"/>
        </w:rPr>
      </w:pPr>
      <w:r w:rsidRPr="00890F11">
        <w:rPr>
          <w:rFonts w:eastAsia="MS Mincho" w:cs="Arial"/>
          <w:b/>
          <w:bCs/>
          <w:szCs w:val="18"/>
          <w:lang w:val="fr-FR" w:eastAsia="ja-JP"/>
        </w:rPr>
        <w:t>AUBRY P, ANSTETT L, FERRAND Y, REITZ F, KLEIN F, RUETTE S, SARASA M, ARNAUDUC J-P and MIGOT P (2016)</w:t>
      </w:r>
      <w:r w:rsidRPr="00890F11">
        <w:rPr>
          <w:rFonts w:eastAsia="MS Mincho" w:cs="Arial"/>
          <w:szCs w:val="18"/>
          <w:lang w:val="fr-FR" w:eastAsia="ja-JP"/>
        </w:rPr>
        <w:t xml:space="preserve"> Enquête nationale sur les tableaux de chasse à tir. Saison 2013-2014 Résultats nationaux. </w:t>
      </w:r>
      <w:r w:rsidRPr="00890F11">
        <w:rPr>
          <w:rFonts w:eastAsia="MS Mincho" w:cs="Arial"/>
          <w:i/>
          <w:szCs w:val="18"/>
          <w:lang w:val="fr-FR" w:eastAsia="ja-JP"/>
        </w:rPr>
        <w:t>Faune Sauvage</w:t>
      </w:r>
      <w:r w:rsidRPr="00890F11">
        <w:rPr>
          <w:rFonts w:eastAsia="MS Mincho" w:cs="Arial"/>
          <w:szCs w:val="18"/>
          <w:lang w:val="fr-FR" w:eastAsia="ja-JP"/>
        </w:rPr>
        <w:t xml:space="preserve"> 310 (supplement Jan-Mar 2016): 1-8.</w:t>
      </w:r>
    </w:p>
    <w:p w14:paraId="1148A45C" w14:textId="77777777" w:rsidR="00C96521" w:rsidRPr="00890F11" w:rsidRDefault="00C96521" w:rsidP="00C96521">
      <w:pPr>
        <w:widowControl/>
        <w:autoSpaceDE/>
        <w:autoSpaceDN/>
        <w:adjustRightInd/>
        <w:spacing w:line="276" w:lineRule="auto"/>
        <w:rPr>
          <w:rFonts w:eastAsia="MS Mincho" w:cs="Arial"/>
          <w:b/>
          <w:szCs w:val="18"/>
          <w:lang w:val="fr-FR" w:eastAsia="ja-JP"/>
        </w:rPr>
      </w:pPr>
    </w:p>
    <w:p w14:paraId="2AD6202F" w14:textId="77777777" w:rsidR="00C96521" w:rsidRPr="00890F11" w:rsidRDefault="00C96521" w:rsidP="00C96521">
      <w:pPr>
        <w:widowControl/>
        <w:autoSpaceDE/>
        <w:autoSpaceDN/>
        <w:adjustRightInd/>
        <w:spacing w:line="276" w:lineRule="auto"/>
        <w:rPr>
          <w:rFonts w:eastAsia="MS Mincho" w:cs="Arial"/>
          <w:b/>
          <w:szCs w:val="18"/>
          <w:lang w:val="fr-FR" w:eastAsia="ja-JP"/>
        </w:rPr>
      </w:pPr>
      <w:r w:rsidRPr="00890F11">
        <w:rPr>
          <w:rFonts w:eastAsia="MS Mincho" w:cs="Arial"/>
          <w:b/>
          <w:szCs w:val="18"/>
          <w:lang w:val="fr-FR" w:eastAsia="ja-JP"/>
        </w:rPr>
        <w:t>AUNINŠ A (2015)</w:t>
      </w:r>
      <w:r w:rsidRPr="00890F11">
        <w:rPr>
          <w:rFonts w:eastAsia="MS Mincho" w:cs="Arial"/>
          <w:szCs w:val="18"/>
          <w:lang w:val="fr-FR" w:eastAsia="ja-JP"/>
        </w:rPr>
        <w:t xml:space="preserve"> </w:t>
      </w:r>
      <w:r w:rsidRPr="00890F11">
        <w:rPr>
          <w:rFonts w:eastAsia="MS Mincho" w:cs="Arial"/>
          <w:i/>
          <w:szCs w:val="18"/>
          <w:lang w:val="fr-FR" w:eastAsia="ja-JP"/>
        </w:rPr>
        <w:t>Latvijas ligzdojošo putnu uzskaites: parasto putnu skaita pārmaiņas 2005–2014</w:t>
      </w:r>
      <w:r w:rsidRPr="00890F11">
        <w:rPr>
          <w:rFonts w:eastAsia="MS Mincho" w:cs="Arial"/>
          <w:szCs w:val="18"/>
          <w:lang w:val="fr-FR" w:eastAsia="ja-JP"/>
        </w:rPr>
        <w:t>. Putni dabā 2015/1.</w:t>
      </w:r>
    </w:p>
    <w:p w14:paraId="739D7ED7" w14:textId="77777777" w:rsidR="00C96521" w:rsidRPr="00890F11" w:rsidRDefault="00C96521" w:rsidP="00C96521">
      <w:pPr>
        <w:widowControl/>
        <w:autoSpaceDE/>
        <w:autoSpaceDN/>
        <w:adjustRightInd/>
        <w:spacing w:line="276" w:lineRule="auto"/>
        <w:rPr>
          <w:rFonts w:eastAsia="MS Mincho" w:cs="Arial"/>
          <w:b/>
          <w:szCs w:val="18"/>
          <w:lang w:val="fr-FR" w:eastAsia="ja-JP"/>
        </w:rPr>
      </w:pPr>
    </w:p>
    <w:p w14:paraId="7C180127"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890F11">
        <w:rPr>
          <w:rFonts w:eastAsia="MS Mincho" w:cs="Arial"/>
          <w:b/>
          <w:szCs w:val="18"/>
          <w:lang w:val="fr-FR" w:eastAsia="ja-JP"/>
        </w:rPr>
        <w:t>BACON L (2012)</w:t>
      </w:r>
      <w:r w:rsidRPr="00890F11">
        <w:rPr>
          <w:rFonts w:eastAsia="MS Mincho" w:cs="Arial"/>
          <w:szCs w:val="18"/>
          <w:lang w:val="fr-FR" w:eastAsia="ja-JP"/>
        </w:rPr>
        <w:t xml:space="preserve"> </w:t>
      </w:r>
      <w:r w:rsidRPr="00890F11">
        <w:rPr>
          <w:rFonts w:eastAsia="MS Mincho" w:cs="Arial"/>
          <w:i/>
          <w:szCs w:val="18"/>
          <w:lang w:val="fr-FR" w:eastAsia="ja-JP"/>
        </w:rPr>
        <w:t>Estimation de la taille de la population de tourterelle des bois nicheuse en France</w:t>
      </w:r>
      <w:r w:rsidRPr="00890F11">
        <w:rPr>
          <w:rFonts w:eastAsia="MS Mincho" w:cs="Arial"/>
          <w:szCs w:val="18"/>
          <w:lang w:val="fr-FR" w:eastAsia="ja-JP"/>
        </w:rPr>
        <w:t xml:space="preserve">. </w:t>
      </w:r>
      <w:r w:rsidRPr="00C96521">
        <w:rPr>
          <w:rFonts w:eastAsia="MS Mincho" w:cs="Arial"/>
          <w:szCs w:val="18"/>
          <w:lang w:val="en-GB" w:eastAsia="ja-JP"/>
        </w:rPr>
        <w:t>Master1 IEGB, Université Montpellier, Montpellier.</w:t>
      </w:r>
    </w:p>
    <w:p w14:paraId="3FF12988"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21D323B2"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 xml:space="preserve">BAKALOUDIS DE, VLACHOS CG, CHATZINIKOS E, BONTZORLOS V and PAPAKOSTA M (2009) </w:t>
      </w:r>
      <w:r w:rsidRPr="00C96521">
        <w:rPr>
          <w:rFonts w:eastAsia="MS Mincho" w:cs="Arial"/>
          <w:szCs w:val="18"/>
          <w:lang w:val="en-GB" w:eastAsia="ja-JP"/>
        </w:rPr>
        <w:t>Breeding habitat preferences of the turtle-dove (</w:t>
      </w:r>
      <w:r w:rsidRPr="00C96521">
        <w:rPr>
          <w:rFonts w:eastAsia="MS Mincho" w:cs="Arial"/>
          <w:i/>
          <w:szCs w:val="18"/>
          <w:lang w:val="en-GB" w:eastAsia="ja-JP"/>
        </w:rPr>
        <w:t>Streptopelia turtur</w:t>
      </w:r>
      <w:r w:rsidRPr="00C96521">
        <w:rPr>
          <w:rFonts w:eastAsia="MS Mincho" w:cs="Arial"/>
          <w:szCs w:val="18"/>
          <w:lang w:val="en-GB" w:eastAsia="ja-JP"/>
        </w:rPr>
        <w:t xml:space="preserve">) in the Dadia-Soufli National Park and its implications for management. </w:t>
      </w:r>
      <w:r w:rsidRPr="00C96521">
        <w:rPr>
          <w:rFonts w:eastAsia="MS Mincho" w:cs="Arial"/>
          <w:i/>
          <w:szCs w:val="18"/>
          <w:lang w:val="en-GB" w:eastAsia="ja-JP"/>
        </w:rPr>
        <w:t>European Journal of Wildlife Research</w:t>
      </w:r>
      <w:r w:rsidRPr="00C96521">
        <w:rPr>
          <w:rFonts w:eastAsia="MS Mincho" w:cs="Arial"/>
          <w:szCs w:val="18"/>
          <w:lang w:val="en-GB" w:eastAsia="ja-JP"/>
        </w:rPr>
        <w:t xml:space="preserve"> 55: 597-602.</w:t>
      </w:r>
    </w:p>
    <w:p w14:paraId="3C0D1C9C"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5E0F684F"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BAKER DJ, FREEMAN SN, GRICE PV and SIRIWARDENA GM (2012)</w:t>
      </w:r>
      <w:r w:rsidRPr="00C96521">
        <w:rPr>
          <w:rFonts w:eastAsia="MS Mincho" w:cs="Arial"/>
          <w:szCs w:val="18"/>
          <w:lang w:val="en-GB" w:eastAsia="ja-JP"/>
        </w:rPr>
        <w:t xml:space="preserve"> Landscape-scale responses of birds to agri-environment management: a test of the English Environmental Stewardship scheme. </w:t>
      </w:r>
      <w:r w:rsidRPr="00C96521">
        <w:rPr>
          <w:rFonts w:eastAsia="MS Mincho" w:cs="Arial"/>
          <w:i/>
          <w:szCs w:val="18"/>
          <w:lang w:val="en-GB" w:eastAsia="ja-JP"/>
        </w:rPr>
        <w:t>Journal of Applied Ecology</w:t>
      </w:r>
      <w:r w:rsidRPr="00C96521">
        <w:rPr>
          <w:rFonts w:eastAsia="MS Mincho" w:cs="Arial"/>
          <w:szCs w:val="18"/>
          <w:lang w:val="en-GB" w:eastAsia="ja-JP"/>
        </w:rPr>
        <w:t xml:space="preserve"> 49(4): 871-882.</w:t>
      </w:r>
    </w:p>
    <w:p w14:paraId="10217E29"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6FF1AE1A"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C96521">
        <w:rPr>
          <w:rFonts w:eastAsia="MS Mincho" w:cs="Arial"/>
          <w:b/>
          <w:szCs w:val="18"/>
          <w:lang w:val="en-GB" w:eastAsia="ja-JP"/>
        </w:rPr>
        <w:t>BALMORI A (2004)</w:t>
      </w:r>
      <w:r w:rsidRPr="00C96521">
        <w:rPr>
          <w:rFonts w:eastAsia="MS Mincho" w:cs="Arial"/>
          <w:szCs w:val="18"/>
          <w:lang w:val="en-GB" w:eastAsia="ja-JP"/>
        </w:rPr>
        <w:t xml:space="preserve"> Tórtola Común </w:t>
      </w:r>
      <w:r w:rsidRPr="00C96521">
        <w:rPr>
          <w:rFonts w:eastAsia="MS Mincho" w:cs="Arial"/>
          <w:i/>
          <w:szCs w:val="18"/>
          <w:lang w:val="en-GB" w:eastAsia="ja-JP"/>
        </w:rPr>
        <w:t>Streptopelia turtur</w:t>
      </w:r>
      <w:r w:rsidRPr="00C96521">
        <w:rPr>
          <w:rFonts w:eastAsia="MS Mincho" w:cs="Arial"/>
          <w:szCs w:val="18"/>
          <w:lang w:val="en-GB" w:eastAsia="ja-JP"/>
        </w:rPr>
        <w:t xml:space="preserve">. </w:t>
      </w:r>
      <w:r w:rsidRPr="00890F11">
        <w:rPr>
          <w:rFonts w:eastAsia="MS Mincho" w:cs="Arial"/>
          <w:szCs w:val="18"/>
          <w:lang w:val="es-ES" w:eastAsia="ja-JP"/>
        </w:rPr>
        <w:t xml:space="preserve">In: MADROÑO A, GONZÁLEZ A and ATIENZA JC (eds) </w:t>
      </w:r>
      <w:r w:rsidRPr="00890F11">
        <w:rPr>
          <w:rFonts w:eastAsia="MS Mincho" w:cs="Arial"/>
          <w:i/>
          <w:szCs w:val="18"/>
          <w:lang w:val="es-ES" w:eastAsia="ja-JP"/>
        </w:rPr>
        <w:t>Libro Rojo de las aves de España</w:t>
      </w:r>
      <w:r w:rsidRPr="00890F11">
        <w:rPr>
          <w:rFonts w:eastAsia="MS Mincho" w:cs="Arial"/>
          <w:szCs w:val="18"/>
          <w:lang w:val="es-ES" w:eastAsia="ja-JP"/>
        </w:rPr>
        <w:t>. Dirección General para la Biodiversidad. SEO/BirdLife, Madrid. pp 281–285.</w:t>
      </w:r>
    </w:p>
    <w:p w14:paraId="25B11907" w14:textId="77777777" w:rsidR="00C96521" w:rsidRPr="00890F11" w:rsidRDefault="00C96521" w:rsidP="00C96521">
      <w:pPr>
        <w:widowControl/>
        <w:autoSpaceDE/>
        <w:autoSpaceDN/>
        <w:adjustRightInd/>
        <w:spacing w:line="276" w:lineRule="auto"/>
        <w:rPr>
          <w:rFonts w:eastAsia="MS Mincho" w:cs="Arial"/>
          <w:b/>
          <w:szCs w:val="18"/>
          <w:lang w:val="es-ES" w:eastAsia="ja-JP"/>
        </w:rPr>
      </w:pPr>
    </w:p>
    <w:p w14:paraId="1619E581" w14:textId="77777777" w:rsidR="00C96521" w:rsidRPr="00C96521" w:rsidRDefault="00C96521" w:rsidP="00C96521">
      <w:pPr>
        <w:widowControl/>
        <w:autoSpaceDE/>
        <w:autoSpaceDN/>
        <w:adjustRightInd/>
        <w:spacing w:line="276" w:lineRule="auto"/>
        <w:rPr>
          <w:rFonts w:eastAsia="MS Mincho" w:cs="Arial"/>
          <w:b/>
          <w:szCs w:val="18"/>
          <w:lang w:val="en-GB" w:eastAsia="ja-JP"/>
        </w:rPr>
      </w:pPr>
      <w:r w:rsidRPr="00890F11">
        <w:rPr>
          <w:rFonts w:eastAsia="MS Mincho" w:cs="Arial"/>
          <w:b/>
          <w:szCs w:val="18"/>
          <w:lang w:val="es-ES" w:eastAsia="ja-JP"/>
        </w:rPr>
        <w:t>BAPTISTA LF, TRAIL PW, HORBLIT HM, BOESMAN P, SHARPE CJ and KIRWAN GM (2016)</w:t>
      </w:r>
      <w:r w:rsidRPr="00890F11">
        <w:rPr>
          <w:rFonts w:eastAsia="MS Mincho" w:cs="Arial"/>
          <w:color w:val="3D3C3C"/>
          <w:szCs w:val="18"/>
          <w:shd w:val="clear" w:color="auto" w:fill="FFFFFF"/>
          <w:lang w:val="es-ES" w:eastAsia="ja-JP"/>
        </w:rPr>
        <w:t xml:space="preserve"> </w:t>
      </w:r>
      <w:r w:rsidRPr="00890F11">
        <w:rPr>
          <w:rFonts w:eastAsia="MS Mincho" w:cs="Arial"/>
          <w:szCs w:val="18"/>
          <w:lang w:val="es-ES" w:eastAsia="ja-JP"/>
        </w:rPr>
        <w:t xml:space="preserve">European Turtle-dove (Streptopelia turtur). </w:t>
      </w:r>
      <w:r w:rsidRPr="00C96521">
        <w:rPr>
          <w:rFonts w:eastAsia="MS Mincho" w:cs="Arial"/>
          <w:szCs w:val="18"/>
          <w:lang w:val="en-GB" w:eastAsia="ja-JP"/>
        </w:rPr>
        <w:t>In: del HOYO J, ELLIOTT A, SARGATAL J, CHRISTIE DA and de JUANA E (eds) </w:t>
      </w:r>
      <w:r w:rsidRPr="00C96521">
        <w:rPr>
          <w:rFonts w:eastAsia="MS Mincho" w:cs="Arial"/>
          <w:i/>
          <w:szCs w:val="18"/>
          <w:lang w:val="en-GB" w:eastAsia="ja-JP"/>
        </w:rPr>
        <w:t>Handbook of the Birds of the World</w:t>
      </w:r>
      <w:r w:rsidRPr="00C96521">
        <w:rPr>
          <w:rFonts w:eastAsia="MS Mincho" w:cs="Arial"/>
          <w:szCs w:val="18"/>
          <w:lang w:val="en-GB" w:eastAsia="ja-JP"/>
        </w:rPr>
        <w:t>. Lynx Edicions, Barcelona.</w:t>
      </w:r>
    </w:p>
    <w:p w14:paraId="7A865609"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0E9F7EC0"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BARLOW C, WACHER T and DISLEY T (1997)</w:t>
      </w:r>
      <w:r w:rsidRPr="00C96521">
        <w:rPr>
          <w:rFonts w:eastAsia="MS Mincho" w:cs="Arial"/>
          <w:szCs w:val="18"/>
          <w:lang w:val="en-GB" w:eastAsia="ja-JP"/>
        </w:rPr>
        <w:t xml:space="preserve"> </w:t>
      </w:r>
      <w:r w:rsidRPr="00C96521">
        <w:rPr>
          <w:rFonts w:eastAsia="MS Mincho" w:cs="Arial"/>
          <w:i/>
          <w:szCs w:val="18"/>
          <w:lang w:val="en-GB" w:eastAsia="ja-JP"/>
        </w:rPr>
        <w:t>A Field Guide to Birds of The Gambia and Senegal</w:t>
      </w:r>
      <w:r w:rsidRPr="00C96521">
        <w:rPr>
          <w:rFonts w:eastAsia="MS Mincho" w:cs="Arial"/>
          <w:szCs w:val="18"/>
          <w:lang w:val="en-GB" w:eastAsia="ja-JP"/>
        </w:rPr>
        <w:t xml:space="preserve">. Pica Press, Robertsbridge. </w:t>
      </w:r>
    </w:p>
    <w:p w14:paraId="17CE3962"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5D7C2FD4"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BARR CJ and GILLESPIE MK (2000)</w:t>
      </w:r>
      <w:r w:rsidRPr="00C96521">
        <w:rPr>
          <w:rFonts w:eastAsia="MS Mincho" w:cs="Arial"/>
          <w:szCs w:val="18"/>
          <w:lang w:val="en-GB" w:eastAsia="ja-JP"/>
        </w:rPr>
        <w:t xml:space="preserve"> Estimating hedgerow length and pattern characteristics in Great Britain using Countryside Survey data. </w:t>
      </w:r>
      <w:r w:rsidRPr="00C96521">
        <w:rPr>
          <w:rFonts w:eastAsia="MS Mincho" w:cs="Arial"/>
          <w:i/>
          <w:iCs/>
          <w:szCs w:val="18"/>
          <w:lang w:val="en-GB" w:eastAsia="ja-JP"/>
        </w:rPr>
        <w:t>Journal of Environmental Management</w:t>
      </w:r>
      <w:r w:rsidRPr="00C96521">
        <w:rPr>
          <w:rFonts w:eastAsia="MS Mincho" w:cs="Arial"/>
          <w:szCs w:val="18"/>
          <w:lang w:val="en-GB" w:eastAsia="ja-JP"/>
        </w:rPr>
        <w:t xml:space="preserve"> 60: 23-32</w:t>
      </w:r>
    </w:p>
    <w:p w14:paraId="0043BFF2"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422757EB"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 xml:space="preserve">BARLOW C, WACHER T and DISLEY T (1997) </w:t>
      </w:r>
      <w:r w:rsidRPr="00C96521">
        <w:rPr>
          <w:rFonts w:eastAsia="MS Mincho" w:cs="Arial"/>
          <w:i/>
          <w:szCs w:val="18"/>
          <w:lang w:val="en-GB" w:eastAsia="ja-JP"/>
        </w:rPr>
        <w:t>A Field Guide to Birds of The Gambia and Senegal</w:t>
      </w:r>
      <w:r w:rsidRPr="00C96521">
        <w:rPr>
          <w:rFonts w:eastAsia="MS Mincho" w:cs="Arial"/>
          <w:szCs w:val="18"/>
          <w:lang w:val="en-GB" w:eastAsia="ja-JP"/>
        </w:rPr>
        <w:t>. Pica Press, Robertsbridge.</w:t>
      </w:r>
    </w:p>
    <w:p w14:paraId="7A64A444"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01FEC163"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BATUMI RAPTOR COUNT (2015 onwards</w:t>
      </w:r>
      <w:r w:rsidRPr="00C96521">
        <w:rPr>
          <w:rFonts w:eastAsia="MS Mincho" w:cs="Arial"/>
          <w:szCs w:val="18"/>
          <w:lang w:val="en-GB" w:eastAsia="ja-JP"/>
        </w:rPr>
        <w:t xml:space="preserve">) </w:t>
      </w:r>
      <w:hyperlink r:id="rId54" w:history="1">
        <w:r w:rsidRPr="00C96521">
          <w:rPr>
            <w:rFonts w:eastAsia="MS Mincho" w:cs="Arial"/>
            <w:szCs w:val="18"/>
            <w:lang w:val="en-GB" w:eastAsia="ja-JP"/>
          </w:rPr>
          <w:t>http://www.batumiraptorcount.org/raptor-migration/migration-count-data</w:t>
        </w:r>
      </w:hyperlink>
      <w:r w:rsidRPr="00C96521">
        <w:rPr>
          <w:rFonts w:eastAsia="MS Mincho" w:cs="Arial"/>
          <w:szCs w:val="18"/>
          <w:lang w:val="en-GB" w:eastAsia="ja-JP"/>
        </w:rPr>
        <w:t xml:space="preserve"> (last accessed 24th October 2016).</w:t>
      </w:r>
    </w:p>
    <w:p w14:paraId="254DB009"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3066FE2C"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BELIK VP (2005)</w:t>
      </w:r>
      <w:r w:rsidRPr="00C96521">
        <w:rPr>
          <w:rFonts w:eastAsia="MS Mincho" w:cs="Arial"/>
          <w:szCs w:val="18"/>
          <w:lang w:val="en-GB" w:eastAsia="ja-JP"/>
        </w:rPr>
        <w:t xml:space="preserve"> Cadastre of breeding avifauna of South Russia. </w:t>
      </w:r>
      <w:r w:rsidRPr="00C96521">
        <w:rPr>
          <w:rFonts w:eastAsia="MS Mincho" w:cs="Arial"/>
          <w:i/>
          <w:szCs w:val="18"/>
          <w:lang w:val="en-GB" w:eastAsia="ja-JP"/>
        </w:rPr>
        <w:t>Strepet</w:t>
      </w:r>
      <w:r w:rsidRPr="00C96521">
        <w:rPr>
          <w:rFonts w:eastAsia="MS Mincho" w:cs="Arial"/>
          <w:szCs w:val="18"/>
          <w:lang w:val="en-GB" w:eastAsia="ja-JP"/>
        </w:rPr>
        <w:t xml:space="preserve"> 3 (1-2): 5-37. [in Russian]</w:t>
      </w:r>
    </w:p>
    <w:p w14:paraId="7A31B19A"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 xml:space="preserve">BELIK VP (2014) </w:t>
      </w:r>
      <w:r w:rsidRPr="00C96521">
        <w:rPr>
          <w:rFonts w:eastAsia="MS Mincho" w:cs="Arial"/>
          <w:szCs w:val="18"/>
          <w:lang w:val="en-GB" w:eastAsia="ja-JP"/>
        </w:rPr>
        <w:t xml:space="preserve">Woodpigeon and turtle-dove in the steppes of Don basin. </w:t>
      </w:r>
      <w:r w:rsidRPr="00C96521">
        <w:rPr>
          <w:rFonts w:eastAsia="MS Mincho" w:cs="Arial"/>
          <w:i/>
          <w:szCs w:val="18"/>
          <w:lang w:val="en-GB" w:eastAsia="ja-JP"/>
        </w:rPr>
        <w:t>Caucasian Ornithological Bulletin 5</w:t>
      </w:r>
      <w:r w:rsidRPr="00C96521">
        <w:rPr>
          <w:rFonts w:eastAsia="MS Mincho" w:cs="Arial"/>
          <w:szCs w:val="18"/>
          <w:lang w:val="en-GB" w:eastAsia="ja-JP"/>
        </w:rPr>
        <w:t>: 14-42. [in Russian]</w:t>
      </w:r>
    </w:p>
    <w:p w14:paraId="5F77560F"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002D53B2"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 xml:space="preserve">BELIK VP, POLIVANOV VM, TILBA PA, DZHAMIRZOEV GS, MUZAEV VM, BUKREEVA OM, RUSANOV GM, REUTSKIY ND, MOSEJKIN VN, CHERNOBAY VF, KHOKHLOV AN, IL’YKH MP, MNATSEKANOV RA and KOMAROVA YU E (2003) </w:t>
      </w:r>
      <w:r w:rsidRPr="00C96521">
        <w:rPr>
          <w:rFonts w:eastAsia="MS Mincho" w:cs="Arial"/>
          <w:szCs w:val="18"/>
          <w:lang w:val="en-GB" w:eastAsia="ja-JP"/>
        </w:rPr>
        <w:t xml:space="preserve">Recent population trends of breeding birds in the Southern Russia. – </w:t>
      </w:r>
      <w:r w:rsidRPr="00C96521">
        <w:rPr>
          <w:rFonts w:eastAsia="MS Mincho" w:cs="Arial"/>
          <w:i/>
          <w:szCs w:val="18"/>
          <w:lang w:val="en-GB" w:eastAsia="ja-JP"/>
        </w:rPr>
        <w:t>Strepet</w:t>
      </w:r>
      <w:r w:rsidRPr="00C96521">
        <w:rPr>
          <w:rFonts w:eastAsia="MS Mincho" w:cs="Arial"/>
          <w:szCs w:val="18"/>
          <w:lang w:val="en-GB" w:eastAsia="ja-JP"/>
        </w:rPr>
        <w:t xml:space="preserve"> 1: 10-30. [in Russian]</w:t>
      </w:r>
    </w:p>
    <w:p w14:paraId="65F089C3"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57E1DD39"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BIODIVERSITE WALLONIE (2016)</w:t>
      </w:r>
      <w:r w:rsidRPr="00C96521">
        <w:rPr>
          <w:rFonts w:eastAsia="MS Mincho" w:cs="Arial"/>
          <w:szCs w:val="18"/>
          <w:lang w:val="en-GB" w:eastAsia="ja-JP"/>
        </w:rPr>
        <w:t xml:space="preserve"> </w:t>
      </w:r>
      <w:r w:rsidRPr="00C96521">
        <w:rPr>
          <w:rFonts w:eastAsia="MS Mincho" w:cs="Arial"/>
          <w:i/>
          <w:szCs w:val="18"/>
          <w:lang w:val="en-GB" w:eastAsia="ja-JP"/>
        </w:rPr>
        <w:t>Tourterelle des bois (</w:t>
      </w:r>
      <w:r w:rsidRPr="00C96521">
        <w:rPr>
          <w:rFonts w:eastAsia="MS Mincho" w:cs="Arial"/>
          <w:szCs w:val="18"/>
          <w:lang w:val="en-GB" w:eastAsia="ja-JP"/>
        </w:rPr>
        <w:t>Streptopelia turtur</w:t>
      </w:r>
      <w:r w:rsidRPr="00C96521">
        <w:rPr>
          <w:rFonts w:eastAsia="MS Mincho" w:cs="Arial"/>
          <w:i/>
          <w:szCs w:val="18"/>
          <w:lang w:val="en-GB" w:eastAsia="ja-JP"/>
        </w:rPr>
        <w:t>)</w:t>
      </w:r>
      <w:r w:rsidRPr="00C96521">
        <w:rPr>
          <w:rFonts w:eastAsia="MS Mincho" w:cs="Arial"/>
          <w:szCs w:val="18"/>
          <w:lang w:val="en-GB" w:eastAsia="ja-JP"/>
        </w:rPr>
        <w:t xml:space="preserve"> http://biodiversite.wallonie.be/fr/streptopelia-turtur.html?IDD=50334168&amp;IDC=310 (last accessed 28</w:t>
      </w:r>
      <w:r w:rsidRPr="00C96521">
        <w:rPr>
          <w:rFonts w:eastAsia="MS Mincho" w:cs="Arial"/>
          <w:szCs w:val="18"/>
          <w:vertAlign w:val="superscript"/>
          <w:lang w:val="en-GB" w:eastAsia="ja-JP"/>
        </w:rPr>
        <w:t>th</w:t>
      </w:r>
      <w:r w:rsidRPr="00C96521">
        <w:rPr>
          <w:rFonts w:eastAsia="MS Mincho" w:cs="Arial"/>
          <w:szCs w:val="18"/>
          <w:lang w:val="en-GB" w:eastAsia="ja-JP"/>
        </w:rPr>
        <w:t xml:space="preserve"> October 2016)</w:t>
      </w:r>
    </w:p>
    <w:p w14:paraId="0EF0C4B4"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45B6DD92"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BIRDLIFE CYPRUS (2016)</w:t>
      </w:r>
      <w:r w:rsidRPr="00C96521">
        <w:rPr>
          <w:rFonts w:eastAsia="MS Mincho" w:cs="Arial"/>
          <w:szCs w:val="18"/>
          <w:lang w:val="en-GB" w:eastAsia="ja-JP"/>
        </w:rPr>
        <w:t xml:space="preserve"> BirdLife Cyprus note regarding the consultation on the proposed amendments to the Protection and Management of Wild Birds and Game Law Ν.152(Ι)/2003 [Letter written September 2, 2016 to Head of the Game and Fauna Service, Mr Pantelis Hadjiyerou]. http://www.birdlifecyprus.org/upload/2016_09_02_BirdLifeCyprusletter_Consultation_Huntinglawproposal_Final.pdf (last accessed 2</w:t>
      </w:r>
      <w:r w:rsidRPr="00C96521">
        <w:rPr>
          <w:rFonts w:eastAsia="MS Mincho" w:cs="Arial"/>
          <w:szCs w:val="18"/>
          <w:vertAlign w:val="superscript"/>
          <w:lang w:val="en-GB" w:eastAsia="ja-JP"/>
        </w:rPr>
        <w:t>nd</w:t>
      </w:r>
      <w:r w:rsidRPr="00C96521">
        <w:rPr>
          <w:rFonts w:eastAsia="MS Mincho" w:cs="Arial"/>
          <w:szCs w:val="18"/>
          <w:lang w:val="en-GB" w:eastAsia="ja-JP"/>
        </w:rPr>
        <w:t xml:space="preserve"> December 2016).</w:t>
      </w:r>
    </w:p>
    <w:p w14:paraId="135EFC03"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3DF6CDFD"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BIRDLIFE INTERNATIONAL (2004)</w:t>
      </w:r>
      <w:r w:rsidRPr="00C96521">
        <w:rPr>
          <w:rFonts w:eastAsia="MS Mincho" w:cs="Arial"/>
          <w:bCs/>
          <w:szCs w:val="18"/>
          <w:lang w:val="en-GB" w:eastAsia="ja-JP"/>
        </w:rPr>
        <w:t xml:space="preserve"> </w:t>
      </w:r>
      <w:r w:rsidRPr="00C96521">
        <w:rPr>
          <w:rFonts w:eastAsia="MS Mincho" w:cs="Arial"/>
          <w:i/>
          <w:szCs w:val="18"/>
          <w:lang w:val="en-GB" w:eastAsia="ja-JP"/>
        </w:rPr>
        <w:t>Birds in Europe: population estimates, trends and conservation status</w:t>
      </w:r>
      <w:r w:rsidRPr="00C96521">
        <w:rPr>
          <w:rFonts w:eastAsia="MS Mincho" w:cs="Arial"/>
          <w:szCs w:val="18"/>
          <w:lang w:val="en-GB" w:eastAsia="ja-JP"/>
        </w:rPr>
        <w:t xml:space="preserve">. </w:t>
      </w:r>
      <w:r w:rsidRPr="00C96521">
        <w:rPr>
          <w:rFonts w:eastAsia="MS Mincho" w:cs="Arial"/>
          <w:i/>
          <w:iCs/>
          <w:szCs w:val="18"/>
          <w:lang w:val="en-GB" w:eastAsia="ja-JP"/>
        </w:rPr>
        <w:t>BirdLife Conservation series</w:t>
      </w:r>
      <w:r w:rsidRPr="00C96521">
        <w:rPr>
          <w:rFonts w:eastAsia="MS Mincho" w:cs="Arial"/>
          <w:i/>
          <w:szCs w:val="18"/>
          <w:lang w:val="en-GB" w:eastAsia="ja-JP"/>
        </w:rPr>
        <w:t xml:space="preserve"> 12</w:t>
      </w:r>
      <w:r w:rsidRPr="00C96521">
        <w:rPr>
          <w:rFonts w:eastAsia="MS Mincho" w:cs="Arial"/>
          <w:szCs w:val="18"/>
          <w:lang w:val="en-GB" w:eastAsia="ja-JP"/>
        </w:rPr>
        <w:t>. BirdLife International, Cambridge.</w:t>
      </w:r>
    </w:p>
    <w:p w14:paraId="40494704"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563631B4"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BIRDLIFE INTERNATIONAL (2014a)</w:t>
      </w:r>
      <w:r w:rsidRPr="00C96521">
        <w:rPr>
          <w:rFonts w:eastAsia="MS Mincho" w:cs="Arial"/>
          <w:b/>
          <w:szCs w:val="18"/>
          <w:lang w:val="en-GB" w:eastAsia="ja-JP"/>
        </w:rPr>
        <w:t xml:space="preserve"> </w:t>
      </w:r>
      <w:r w:rsidRPr="00C96521">
        <w:rPr>
          <w:rFonts w:eastAsia="MS Mincho" w:cs="Arial"/>
          <w:i/>
          <w:szCs w:val="18"/>
          <w:lang w:val="en-GB" w:eastAsia="ja-JP"/>
        </w:rPr>
        <w:t>Summary of National Hunting Regulations: Albania.</w:t>
      </w:r>
      <w:r w:rsidRPr="00C96521">
        <w:rPr>
          <w:rFonts w:eastAsia="MS Mincho" w:cs="Arial"/>
          <w:szCs w:val="18"/>
          <w:lang w:val="en-GB" w:eastAsia="ja-JP"/>
        </w:rPr>
        <w:t xml:space="preserve"> http://datazone.birdlife.org/userfiles/file/hunting/HuntingRegulations_Albania.pdf (last accessed 25th November 2016).</w:t>
      </w:r>
    </w:p>
    <w:p w14:paraId="781DAAA4"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25285722"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BIRDLIFE INTERNATIONAL (2014b)</w:t>
      </w:r>
      <w:r w:rsidRPr="00C96521">
        <w:rPr>
          <w:rFonts w:eastAsia="MS Mincho" w:cs="Arial"/>
          <w:b/>
          <w:szCs w:val="18"/>
          <w:lang w:val="en-GB" w:eastAsia="ja-JP"/>
        </w:rPr>
        <w:t xml:space="preserve"> </w:t>
      </w:r>
      <w:r w:rsidRPr="00C96521">
        <w:rPr>
          <w:rFonts w:eastAsia="MS Mincho" w:cs="Arial"/>
          <w:i/>
          <w:szCs w:val="18"/>
          <w:lang w:val="en-GB" w:eastAsia="ja-JP"/>
        </w:rPr>
        <w:t>Summary of National Hunting Regulations: Bosnia-Herzegovina.</w:t>
      </w:r>
      <w:r w:rsidRPr="00C96521">
        <w:rPr>
          <w:rFonts w:eastAsia="MS Mincho" w:cs="Arial"/>
          <w:szCs w:val="18"/>
          <w:lang w:val="en-GB" w:eastAsia="ja-JP"/>
        </w:rPr>
        <w:t xml:space="preserve"> http://datazone.birdlife.org/userfiles/file/hunting/HuntingRegulations_Bosnia.pdf (last accessed 25th November 2016).</w:t>
      </w:r>
    </w:p>
    <w:p w14:paraId="17A36914"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7302E0CE"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BIRDLIFE INTERNATIONAL (2014c)</w:t>
      </w:r>
      <w:r w:rsidRPr="00C96521">
        <w:rPr>
          <w:rFonts w:eastAsia="MS Mincho" w:cs="Arial"/>
          <w:b/>
          <w:szCs w:val="18"/>
          <w:lang w:val="en-GB" w:eastAsia="ja-JP"/>
        </w:rPr>
        <w:t xml:space="preserve"> </w:t>
      </w:r>
      <w:r w:rsidRPr="00C96521">
        <w:rPr>
          <w:rFonts w:eastAsia="MS Mincho" w:cs="Arial"/>
          <w:i/>
          <w:szCs w:val="18"/>
          <w:lang w:val="en-GB" w:eastAsia="ja-JP"/>
        </w:rPr>
        <w:t>Summary of National Hunting Regulations: Egypt.</w:t>
      </w:r>
      <w:r w:rsidRPr="00C96521">
        <w:rPr>
          <w:rFonts w:eastAsia="MS Mincho" w:cs="Arial"/>
          <w:szCs w:val="18"/>
          <w:lang w:val="en-GB" w:eastAsia="ja-JP"/>
        </w:rPr>
        <w:t xml:space="preserve"> http://datazone.birdlife.org/userfiles/file/hunting/HuntingRegulations_Egypt.pdf (last accessed 25th November 2016).</w:t>
      </w:r>
    </w:p>
    <w:p w14:paraId="5077360C"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086143E7"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BIRDLIFE INTERNATIONAL (2014d)</w:t>
      </w:r>
      <w:r w:rsidRPr="00C96521">
        <w:rPr>
          <w:rFonts w:eastAsia="MS Mincho" w:cs="Arial"/>
          <w:b/>
          <w:szCs w:val="18"/>
          <w:lang w:val="en-GB" w:eastAsia="ja-JP"/>
        </w:rPr>
        <w:t xml:space="preserve"> </w:t>
      </w:r>
      <w:r w:rsidRPr="00C96521">
        <w:rPr>
          <w:rFonts w:eastAsia="MS Mincho" w:cs="Arial"/>
          <w:i/>
          <w:szCs w:val="18"/>
          <w:lang w:val="en-GB" w:eastAsia="ja-JP"/>
        </w:rPr>
        <w:t>Summary of National Hunting Regulations: Israel.</w:t>
      </w:r>
      <w:r w:rsidRPr="00C96521">
        <w:rPr>
          <w:rFonts w:eastAsia="MS Mincho" w:cs="Arial"/>
          <w:szCs w:val="18"/>
          <w:lang w:val="en-GB" w:eastAsia="ja-JP"/>
        </w:rPr>
        <w:t xml:space="preserve"> http://datazone.birdlife.org/userfiles/file/hunting/HuntingRegulations_Israel.pdf (last accessed 25th November 2016).</w:t>
      </w:r>
    </w:p>
    <w:p w14:paraId="1676AAB8"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6180185A"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BIRDLIFE INTERNATIONAL (2014e)</w:t>
      </w:r>
      <w:r w:rsidRPr="00C96521">
        <w:rPr>
          <w:rFonts w:eastAsia="MS Mincho" w:cs="Arial"/>
          <w:b/>
          <w:szCs w:val="18"/>
          <w:lang w:val="en-GB" w:eastAsia="ja-JP"/>
        </w:rPr>
        <w:t xml:space="preserve"> </w:t>
      </w:r>
      <w:r w:rsidRPr="00C96521">
        <w:rPr>
          <w:rFonts w:eastAsia="MS Mincho" w:cs="Arial"/>
          <w:i/>
          <w:szCs w:val="18"/>
          <w:lang w:val="en-GB" w:eastAsia="ja-JP"/>
        </w:rPr>
        <w:t>Summary of National Hunting Regulations: Lebanon.</w:t>
      </w:r>
      <w:r w:rsidRPr="00C96521">
        <w:rPr>
          <w:rFonts w:eastAsia="MS Mincho" w:cs="Arial"/>
          <w:szCs w:val="18"/>
          <w:lang w:val="en-GB" w:eastAsia="ja-JP"/>
        </w:rPr>
        <w:t xml:space="preserve"> http://datazone.birdlife.org/userfiles/file/hunting/HuntingRegulations_Lebanon.pdf (last accessed 25th November 2016).</w:t>
      </w:r>
    </w:p>
    <w:p w14:paraId="0A3327CA"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678A23DB"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BIRDLIFE INTERNATIONAL (2014f)</w:t>
      </w:r>
      <w:r w:rsidRPr="00C96521">
        <w:rPr>
          <w:rFonts w:eastAsia="MS Mincho" w:cs="Arial"/>
          <w:b/>
          <w:szCs w:val="18"/>
          <w:lang w:val="en-GB" w:eastAsia="ja-JP"/>
        </w:rPr>
        <w:t xml:space="preserve"> </w:t>
      </w:r>
      <w:r w:rsidRPr="00C96521">
        <w:rPr>
          <w:rFonts w:eastAsia="MS Mincho" w:cs="Arial"/>
          <w:i/>
          <w:szCs w:val="18"/>
          <w:lang w:val="en-GB" w:eastAsia="ja-JP"/>
        </w:rPr>
        <w:t>Summary of National Hunting Regulations: Libya.</w:t>
      </w:r>
      <w:r w:rsidRPr="00C96521">
        <w:rPr>
          <w:rFonts w:eastAsia="MS Mincho" w:cs="Arial"/>
          <w:szCs w:val="18"/>
          <w:lang w:val="en-GB" w:eastAsia="ja-JP"/>
        </w:rPr>
        <w:t xml:space="preserve"> http://datazone.birdlife.org/userfiles/file/hunting/HuntingRegulations_Libya.pdf (last accessed 25th November 2016).</w:t>
      </w:r>
    </w:p>
    <w:p w14:paraId="398E8098"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2AE8209C"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BIRDLIFE INTERNATIONAL (2014g)</w:t>
      </w:r>
      <w:r w:rsidRPr="00C96521">
        <w:rPr>
          <w:rFonts w:eastAsia="MS Mincho" w:cs="Arial"/>
          <w:b/>
          <w:szCs w:val="18"/>
          <w:lang w:val="en-GB" w:eastAsia="ja-JP"/>
        </w:rPr>
        <w:t xml:space="preserve"> </w:t>
      </w:r>
      <w:r w:rsidRPr="00C96521">
        <w:rPr>
          <w:rFonts w:eastAsia="MS Mincho" w:cs="Arial"/>
          <w:i/>
          <w:szCs w:val="18"/>
          <w:lang w:val="en-GB" w:eastAsia="ja-JP"/>
        </w:rPr>
        <w:t>Summary of National Hunting Regulations: Macedonia.</w:t>
      </w:r>
      <w:r w:rsidRPr="00C96521">
        <w:rPr>
          <w:rFonts w:eastAsia="MS Mincho" w:cs="Arial"/>
          <w:szCs w:val="18"/>
          <w:lang w:val="en-GB" w:eastAsia="ja-JP"/>
        </w:rPr>
        <w:t xml:space="preserve"> http://datazone.birdlife.org/userfiles/file/hunting/HuntingRegulations_Macedonia.pdf (last accessed 25th November 2016).</w:t>
      </w:r>
    </w:p>
    <w:p w14:paraId="2637CEE6"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4609194F"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BIRDLIFE INTERNATIONAL (2014h)</w:t>
      </w:r>
      <w:r w:rsidRPr="00C96521">
        <w:rPr>
          <w:rFonts w:eastAsia="MS Mincho" w:cs="Arial"/>
          <w:b/>
          <w:szCs w:val="18"/>
          <w:lang w:val="en-GB" w:eastAsia="ja-JP"/>
        </w:rPr>
        <w:t xml:space="preserve"> </w:t>
      </w:r>
      <w:r w:rsidRPr="00C96521">
        <w:rPr>
          <w:rFonts w:eastAsia="MS Mincho" w:cs="Arial"/>
          <w:i/>
          <w:szCs w:val="18"/>
          <w:lang w:val="en-GB" w:eastAsia="ja-JP"/>
        </w:rPr>
        <w:t>Summary of National Hunting Regulations: Montenegro.</w:t>
      </w:r>
      <w:r w:rsidRPr="00C96521">
        <w:rPr>
          <w:rFonts w:eastAsia="MS Mincho" w:cs="Arial"/>
          <w:szCs w:val="18"/>
          <w:lang w:val="en-GB" w:eastAsia="ja-JP"/>
        </w:rPr>
        <w:t xml:space="preserve"> http://datazone.birdlife.org/userfiles/file/hunting/HuntingRegulations_Montenegro.pdf (last accessed 25th November 2016).</w:t>
      </w:r>
    </w:p>
    <w:p w14:paraId="661CB7AD"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76BF48BA"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BIRDLIFE INTERNATIONAL (2014i)</w:t>
      </w:r>
      <w:r w:rsidRPr="00C96521">
        <w:rPr>
          <w:rFonts w:eastAsia="MS Mincho" w:cs="Arial"/>
          <w:b/>
          <w:szCs w:val="18"/>
          <w:lang w:val="en-GB" w:eastAsia="ja-JP"/>
        </w:rPr>
        <w:t xml:space="preserve"> </w:t>
      </w:r>
      <w:r w:rsidRPr="00C96521">
        <w:rPr>
          <w:rFonts w:eastAsia="MS Mincho" w:cs="Arial"/>
          <w:i/>
          <w:szCs w:val="18"/>
          <w:lang w:val="en-GB" w:eastAsia="ja-JP"/>
        </w:rPr>
        <w:t>Summary of National Hunting Regulations: Morocco.</w:t>
      </w:r>
      <w:r w:rsidRPr="00C96521">
        <w:rPr>
          <w:rFonts w:eastAsia="MS Mincho" w:cs="Arial"/>
          <w:szCs w:val="18"/>
          <w:lang w:val="en-GB" w:eastAsia="ja-JP"/>
        </w:rPr>
        <w:t xml:space="preserve"> http://datazone.birdlife.org/userfiles/file/hunting/HuntingRegulations_Morocco.pdf (last accessed 25th November 2016).</w:t>
      </w:r>
    </w:p>
    <w:p w14:paraId="23560274"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35A8F1C9"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BIRDLIFE INTERNATIONAL (2014j)</w:t>
      </w:r>
      <w:r w:rsidRPr="00C96521">
        <w:rPr>
          <w:rFonts w:eastAsia="MS Mincho" w:cs="Arial"/>
          <w:b/>
          <w:szCs w:val="18"/>
          <w:lang w:val="en-GB" w:eastAsia="ja-JP"/>
        </w:rPr>
        <w:t xml:space="preserve"> </w:t>
      </w:r>
      <w:r w:rsidRPr="00C96521">
        <w:rPr>
          <w:rFonts w:eastAsia="MS Mincho" w:cs="Arial"/>
          <w:i/>
          <w:szCs w:val="18"/>
          <w:lang w:val="en-GB" w:eastAsia="ja-JP"/>
        </w:rPr>
        <w:t>Summary of National Hunting Regulations: Palestine.</w:t>
      </w:r>
      <w:r w:rsidRPr="00C96521">
        <w:rPr>
          <w:rFonts w:eastAsia="MS Mincho" w:cs="Arial"/>
          <w:szCs w:val="18"/>
          <w:lang w:val="en-GB" w:eastAsia="ja-JP"/>
        </w:rPr>
        <w:t xml:space="preserve"> http://datazone.birdlife.org/userfiles/file/hunting/HuntingRegulations_Palestine.pdf (last accessed 8th December 2016).</w:t>
      </w:r>
    </w:p>
    <w:p w14:paraId="2D507719"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02F5D413"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BIRDLIFE INTERNATIONAL (2014k)</w:t>
      </w:r>
      <w:r w:rsidRPr="00C96521">
        <w:rPr>
          <w:rFonts w:eastAsia="MS Mincho" w:cs="Arial"/>
          <w:b/>
          <w:szCs w:val="18"/>
          <w:lang w:val="en-GB" w:eastAsia="ja-JP"/>
        </w:rPr>
        <w:t xml:space="preserve"> </w:t>
      </w:r>
      <w:r w:rsidRPr="00C96521">
        <w:rPr>
          <w:rFonts w:eastAsia="MS Mincho" w:cs="Arial"/>
          <w:i/>
          <w:szCs w:val="18"/>
          <w:lang w:val="en-GB" w:eastAsia="ja-JP"/>
        </w:rPr>
        <w:t>Summary of National Hunting Regulations: Serbia.</w:t>
      </w:r>
      <w:r w:rsidRPr="00C96521">
        <w:rPr>
          <w:rFonts w:eastAsia="MS Mincho" w:cs="Arial"/>
          <w:szCs w:val="18"/>
          <w:lang w:val="en-GB" w:eastAsia="ja-JP"/>
        </w:rPr>
        <w:t xml:space="preserve"> http://datazone.birdlife.org/userfiles/file/hunting/HuntingRegulations_Serbia.pdf (last accessed 25th November 2016).</w:t>
      </w:r>
    </w:p>
    <w:p w14:paraId="2BD59626"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3BEE00F4"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BIRDLIFE INTERNATIONAL (2014l)</w:t>
      </w:r>
      <w:r w:rsidRPr="00C96521">
        <w:rPr>
          <w:rFonts w:eastAsia="MS Mincho" w:cs="Arial"/>
          <w:b/>
          <w:szCs w:val="18"/>
          <w:lang w:val="en-GB" w:eastAsia="ja-JP"/>
        </w:rPr>
        <w:t xml:space="preserve"> </w:t>
      </w:r>
      <w:r w:rsidRPr="00C96521">
        <w:rPr>
          <w:rFonts w:eastAsia="MS Mincho" w:cs="Arial"/>
          <w:i/>
          <w:szCs w:val="18"/>
          <w:lang w:val="en-GB" w:eastAsia="ja-JP"/>
        </w:rPr>
        <w:t>Summary of National Hunting Regulations: Syria.</w:t>
      </w:r>
      <w:r w:rsidRPr="00C96521">
        <w:rPr>
          <w:rFonts w:eastAsia="MS Mincho" w:cs="Arial"/>
          <w:szCs w:val="18"/>
          <w:lang w:val="en-GB" w:eastAsia="ja-JP"/>
        </w:rPr>
        <w:t xml:space="preserve"> http://datazone.birdlife.org/userfiles/file/hunting/HuntingRegulations_Syria.pdf (last accessed 25th November 2016).</w:t>
      </w:r>
    </w:p>
    <w:p w14:paraId="34A7769E"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177E6D68"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BIRDLIFE INTERNATIONAL (2014m)</w:t>
      </w:r>
      <w:r w:rsidRPr="00C96521">
        <w:rPr>
          <w:rFonts w:eastAsia="MS Mincho" w:cs="Arial"/>
          <w:b/>
          <w:szCs w:val="18"/>
          <w:lang w:val="en-GB" w:eastAsia="ja-JP"/>
        </w:rPr>
        <w:t xml:space="preserve"> </w:t>
      </w:r>
      <w:r w:rsidRPr="00C96521">
        <w:rPr>
          <w:rFonts w:eastAsia="MS Mincho" w:cs="Arial"/>
          <w:i/>
          <w:szCs w:val="18"/>
          <w:lang w:val="en-GB" w:eastAsia="ja-JP"/>
        </w:rPr>
        <w:t>Summary of National Hunting Regulations: Tunisia.</w:t>
      </w:r>
      <w:r w:rsidRPr="00C96521">
        <w:rPr>
          <w:rFonts w:eastAsia="MS Mincho" w:cs="Arial"/>
          <w:szCs w:val="18"/>
          <w:lang w:val="en-GB" w:eastAsia="ja-JP"/>
        </w:rPr>
        <w:t xml:space="preserve"> http://datazone.birdlife.org/userfiles/file/hunting/HuntingRegulations_Tunisia.pdf (last accessed 25th November 2016).</w:t>
      </w:r>
    </w:p>
    <w:p w14:paraId="6837F8BC"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464E28DA"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BIRDLIFE INTERNATIONAL (2014n)</w:t>
      </w:r>
      <w:r w:rsidRPr="00C96521">
        <w:rPr>
          <w:rFonts w:eastAsia="MS Mincho" w:cs="Arial"/>
          <w:b/>
          <w:szCs w:val="18"/>
          <w:lang w:val="en-GB" w:eastAsia="ja-JP"/>
        </w:rPr>
        <w:t xml:space="preserve"> </w:t>
      </w:r>
      <w:r w:rsidRPr="00C96521">
        <w:rPr>
          <w:rFonts w:eastAsia="MS Mincho" w:cs="Arial"/>
          <w:i/>
          <w:szCs w:val="18"/>
          <w:lang w:val="en-GB" w:eastAsia="ja-JP"/>
        </w:rPr>
        <w:t>Summary of National Hunting Regulations: Turkey.</w:t>
      </w:r>
      <w:r w:rsidRPr="00C96521">
        <w:rPr>
          <w:rFonts w:eastAsia="MS Mincho" w:cs="Arial"/>
          <w:szCs w:val="18"/>
          <w:lang w:val="en-GB" w:eastAsia="ja-JP"/>
        </w:rPr>
        <w:t xml:space="preserve"> http://datazone.birdlife.org/userfiles/file/hunting/HuntingRegulations_Turkey.pdf (last accessed 25th November 2016).</w:t>
      </w:r>
    </w:p>
    <w:p w14:paraId="3F8203E5"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79DC33B7"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BIRDLIFE INTERNATIONAL (2015)</w:t>
      </w:r>
      <w:r w:rsidRPr="00C96521">
        <w:rPr>
          <w:rFonts w:eastAsia="MS Mincho" w:cs="Arial"/>
          <w:szCs w:val="18"/>
          <w:lang w:val="en-GB" w:eastAsia="ja-JP"/>
        </w:rPr>
        <w:t xml:space="preserve"> </w:t>
      </w:r>
      <w:r w:rsidRPr="00C96521">
        <w:rPr>
          <w:rFonts w:eastAsia="MS Mincho" w:cs="Arial"/>
          <w:i/>
          <w:szCs w:val="18"/>
          <w:lang w:val="en-GB" w:eastAsia="ja-JP"/>
        </w:rPr>
        <w:t>Streptopelia turtur.</w:t>
      </w:r>
      <w:r w:rsidRPr="00C96521">
        <w:rPr>
          <w:rFonts w:eastAsia="MS Mincho" w:cs="Arial"/>
          <w:szCs w:val="18"/>
          <w:lang w:val="en-GB" w:eastAsia="ja-JP"/>
        </w:rPr>
        <w:t xml:space="preserve"> </w:t>
      </w:r>
      <w:r w:rsidRPr="00C96521">
        <w:rPr>
          <w:rFonts w:eastAsia="MS Mincho" w:cs="Arial"/>
          <w:i/>
          <w:szCs w:val="18"/>
          <w:lang w:val="en-GB" w:eastAsia="ja-JP"/>
        </w:rPr>
        <w:t>European Red List of Birds</w:t>
      </w:r>
      <w:r w:rsidRPr="00C96521">
        <w:rPr>
          <w:rFonts w:eastAsia="MS Mincho" w:cs="Arial"/>
          <w:szCs w:val="18"/>
          <w:lang w:val="en-GB" w:eastAsia="ja-JP"/>
        </w:rPr>
        <w:t>. Office for Official Publications of the European Communities, Luxembourg. http://www.iucnredlist.org/details/22690419/1 (last accessed 29th November 2016).</w:t>
      </w:r>
    </w:p>
    <w:p w14:paraId="0FB8F748"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45F34C1D"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BIRDLIFE INTERNATIONAL (2016)</w:t>
      </w:r>
      <w:r w:rsidRPr="00C96521">
        <w:rPr>
          <w:rFonts w:eastAsia="MS Mincho" w:cs="Arial"/>
          <w:szCs w:val="18"/>
          <w:lang w:val="en-GB" w:eastAsia="ja-JP"/>
        </w:rPr>
        <w:t xml:space="preserve"> </w:t>
      </w:r>
      <w:r w:rsidRPr="00C96521">
        <w:rPr>
          <w:rFonts w:eastAsia="MS Mincho" w:cs="Arial"/>
          <w:i/>
          <w:szCs w:val="18"/>
          <w:lang w:val="en-GB" w:eastAsia="ja-JP"/>
        </w:rPr>
        <w:t xml:space="preserve">Data Zone factsheet for Turtle-dove </w:t>
      </w:r>
      <w:r w:rsidRPr="00C96521">
        <w:rPr>
          <w:rFonts w:eastAsia="MS Mincho" w:cs="Arial"/>
          <w:szCs w:val="18"/>
          <w:lang w:val="en-GB" w:eastAsia="ja-JP"/>
        </w:rPr>
        <w:t>Streptopelia turtur</w:t>
      </w:r>
      <w:r w:rsidRPr="00C96521">
        <w:rPr>
          <w:rFonts w:eastAsia="MS Mincho" w:cs="Arial"/>
          <w:i/>
          <w:szCs w:val="18"/>
          <w:lang w:val="en-GB" w:eastAsia="ja-JP"/>
        </w:rPr>
        <w:t>.</w:t>
      </w:r>
      <w:r w:rsidRPr="00C96521">
        <w:rPr>
          <w:rFonts w:eastAsia="MS Mincho" w:cs="Arial"/>
          <w:szCs w:val="18"/>
          <w:lang w:val="en-GB" w:eastAsia="ja-JP"/>
        </w:rPr>
        <w:t xml:space="preserve"> http://www.birdlife.org/datazone/species/factsheet/22690419 (last accessed 5th September 2016).</w:t>
      </w:r>
    </w:p>
    <w:p w14:paraId="21BBCEE7"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3CFD29A4"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BOUTIN JM (2001)</w:t>
      </w:r>
      <w:r w:rsidRPr="00C96521">
        <w:rPr>
          <w:rFonts w:eastAsia="MS Mincho" w:cs="Arial"/>
          <w:bCs/>
          <w:szCs w:val="18"/>
          <w:lang w:val="en-GB" w:eastAsia="ja-JP"/>
        </w:rPr>
        <w:t xml:space="preserve"> </w:t>
      </w:r>
      <w:r w:rsidRPr="00C96521">
        <w:rPr>
          <w:rFonts w:eastAsia="MS Mincho" w:cs="Arial"/>
          <w:szCs w:val="18"/>
          <w:lang w:val="en-GB" w:eastAsia="ja-JP"/>
        </w:rPr>
        <w:t>Elements for a Turtle-dove (</w:t>
      </w:r>
      <w:r w:rsidRPr="00C96521">
        <w:rPr>
          <w:rFonts w:eastAsia="MS Mincho" w:cs="Arial"/>
          <w:i/>
          <w:szCs w:val="18"/>
          <w:lang w:val="en-GB" w:eastAsia="ja-JP"/>
        </w:rPr>
        <w:t>Streptopelia turtur</w:t>
      </w:r>
      <w:r w:rsidRPr="00C96521">
        <w:rPr>
          <w:rFonts w:eastAsia="MS Mincho" w:cs="Arial"/>
          <w:szCs w:val="18"/>
          <w:lang w:val="en-GB" w:eastAsia="ja-JP"/>
        </w:rPr>
        <w:t xml:space="preserve">) management plan. </w:t>
      </w:r>
      <w:r w:rsidRPr="00C96521">
        <w:rPr>
          <w:rFonts w:eastAsia="MS Mincho" w:cs="Arial"/>
          <w:i/>
          <w:iCs/>
          <w:szCs w:val="18"/>
          <w:lang w:val="en-GB" w:eastAsia="ja-JP"/>
        </w:rPr>
        <w:t xml:space="preserve">Game and Wildlife Science </w:t>
      </w:r>
      <w:r w:rsidRPr="00C96521">
        <w:rPr>
          <w:rFonts w:eastAsia="MS Mincho" w:cs="Arial"/>
          <w:szCs w:val="18"/>
          <w:lang w:val="en-GB" w:eastAsia="ja-JP"/>
        </w:rPr>
        <w:t>18: 87-112.</w:t>
      </w:r>
    </w:p>
    <w:p w14:paraId="57335B7B"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684974E4" w14:textId="77777777" w:rsidR="00C96521" w:rsidRPr="00890F11" w:rsidRDefault="00C96521" w:rsidP="00C96521">
      <w:pPr>
        <w:widowControl/>
        <w:autoSpaceDE/>
        <w:autoSpaceDN/>
        <w:adjustRightInd/>
        <w:spacing w:line="276" w:lineRule="auto"/>
        <w:rPr>
          <w:rFonts w:eastAsia="MS Mincho" w:cs="Arial"/>
          <w:szCs w:val="18"/>
          <w:lang w:val="fr-FR" w:eastAsia="ja-JP"/>
        </w:rPr>
      </w:pPr>
      <w:r w:rsidRPr="00890F11">
        <w:rPr>
          <w:rFonts w:eastAsia="MS Mincho" w:cs="Arial"/>
          <w:b/>
          <w:bCs/>
          <w:szCs w:val="18"/>
          <w:lang w:val="fr-FR" w:eastAsia="ja-JP"/>
        </w:rPr>
        <w:t>BOUTIN JM, BARBIER L and ROUX D (2001)</w:t>
      </w:r>
      <w:r w:rsidRPr="00890F11">
        <w:rPr>
          <w:rFonts w:eastAsia="MS Mincho" w:cs="Arial"/>
          <w:szCs w:val="18"/>
          <w:lang w:val="fr-FR" w:eastAsia="ja-JP"/>
        </w:rPr>
        <w:t xml:space="preserve"> Suivi des effectifs nicheurs d’Alaudidés, Colombidés et Turdidés en France: le programme ACT. </w:t>
      </w:r>
      <w:r w:rsidRPr="00890F11">
        <w:rPr>
          <w:rFonts w:eastAsia="MS Mincho" w:cs="Arial"/>
          <w:i/>
          <w:iCs/>
          <w:szCs w:val="18"/>
          <w:lang w:val="fr-FR" w:eastAsia="ja-JP"/>
        </w:rPr>
        <w:t xml:space="preserve">Alauda </w:t>
      </w:r>
      <w:r w:rsidRPr="00890F11">
        <w:rPr>
          <w:rFonts w:eastAsia="MS Mincho" w:cs="Arial"/>
          <w:szCs w:val="18"/>
          <w:lang w:val="fr-FR" w:eastAsia="ja-JP"/>
        </w:rPr>
        <w:t>69(1): 53-61.</w:t>
      </w:r>
    </w:p>
    <w:p w14:paraId="65164EA7" w14:textId="77777777" w:rsidR="00C96521" w:rsidRPr="00890F11" w:rsidRDefault="00C96521" w:rsidP="00C96521">
      <w:pPr>
        <w:widowControl/>
        <w:autoSpaceDE/>
        <w:autoSpaceDN/>
        <w:adjustRightInd/>
        <w:spacing w:line="276" w:lineRule="auto"/>
        <w:rPr>
          <w:rFonts w:eastAsia="MS Mincho" w:cs="Arial"/>
          <w:szCs w:val="18"/>
          <w:lang w:val="fr-FR" w:eastAsia="ja-JP"/>
        </w:rPr>
      </w:pPr>
    </w:p>
    <w:p w14:paraId="23D4583A" w14:textId="77777777" w:rsidR="00C96521" w:rsidRPr="008C00B8" w:rsidRDefault="00C96521" w:rsidP="00C96521">
      <w:pPr>
        <w:widowControl/>
        <w:autoSpaceDE/>
        <w:autoSpaceDN/>
        <w:adjustRightInd/>
        <w:spacing w:line="276" w:lineRule="auto"/>
        <w:rPr>
          <w:rFonts w:eastAsia="MS Mincho" w:cs="Arial"/>
          <w:szCs w:val="18"/>
          <w:lang w:val="fr-FR" w:eastAsia="ja-JP"/>
        </w:rPr>
      </w:pPr>
      <w:r w:rsidRPr="00890F11">
        <w:rPr>
          <w:rFonts w:eastAsia="MS Mincho" w:cs="Arial"/>
          <w:b/>
          <w:szCs w:val="18"/>
          <w:lang w:val="fr-FR" w:eastAsia="ja-JP"/>
        </w:rPr>
        <w:t>BOUTIN JM and TESSON JL (2000)</w:t>
      </w:r>
      <w:r w:rsidRPr="00890F11">
        <w:rPr>
          <w:rFonts w:eastAsia="MS Mincho" w:cs="Arial"/>
          <w:szCs w:val="18"/>
          <w:lang w:val="fr-FR" w:eastAsia="ja-JP"/>
        </w:rPr>
        <w:t xml:space="preserve"> La tourterelle des bois et la tourterelle turque. In: </w:t>
      </w:r>
      <w:r w:rsidRPr="00890F11">
        <w:rPr>
          <w:rFonts w:eastAsia="MS Mincho" w:cs="Arial"/>
          <w:i/>
          <w:szCs w:val="18"/>
          <w:lang w:val="fr-FR" w:eastAsia="ja-JP"/>
        </w:rPr>
        <w:t>Enquête nationale sur les tableaux de chasse à tir – Saison 1998/1999</w:t>
      </w:r>
      <w:r w:rsidRPr="00890F11">
        <w:rPr>
          <w:rFonts w:eastAsia="MS Mincho" w:cs="Arial"/>
          <w:szCs w:val="18"/>
          <w:lang w:val="fr-FR" w:eastAsia="ja-JP"/>
        </w:rPr>
        <w:t xml:space="preserve">. </w:t>
      </w:r>
      <w:r w:rsidRPr="008C00B8">
        <w:rPr>
          <w:rFonts w:eastAsia="MS Mincho" w:cs="Arial"/>
          <w:i/>
          <w:szCs w:val="18"/>
          <w:lang w:val="fr-FR" w:eastAsia="ja-JP"/>
        </w:rPr>
        <w:t>Faune Sauvage Cahiers Techniques</w:t>
      </w:r>
      <w:r w:rsidRPr="008C00B8">
        <w:rPr>
          <w:rFonts w:eastAsia="MS Mincho" w:cs="Arial"/>
          <w:szCs w:val="18"/>
          <w:lang w:val="fr-FR" w:eastAsia="ja-JP"/>
        </w:rPr>
        <w:t xml:space="preserve"> 251. pp 70-81.</w:t>
      </w:r>
    </w:p>
    <w:p w14:paraId="244970B4" w14:textId="77777777" w:rsidR="00C96521" w:rsidRPr="008C00B8" w:rsidRDefault="00C96521" w:rsidP="00C96521">
      <w:pPr>
        <w:widowControl/>
        <w:autoSpaceDE/>
        <w:autoSpaceDN/>
        <w:adjustRightInd/>
        <w:spacing w:line="276" w:lineRule="auto"/>
        <w:rPr>
          <w:rFonts w:eastAsia="MS Mincho" w:cs="Arial"/>
          <w:szCs w:val="18"/>
          <w:lang w:val="fr-FR" w:eastAsia="ja-JP"/>
        </w:rPr>
      </w:pPr>
    </w:p>
    <w:p w14:paraId="307575BE" w14:textId="77777777" w:rsidR="00C96521" w:rsidRPr="008C00B8" w:rsidRDefault="00C96521" w:rsidP="00C96521">
      <w:pPr>
        <w:widowControl/>
        <w:autoSpaceDE/>
        <w:autoSpaceDN/>
        <w:adjustRightInd/>
        <w:spacing w:line="276" w:lineRule="auto"/>
        <w:rPr>
          <w:rFonts w:eastAsia="MS Mincho" w:cs="Arial"/>
          <w:szCs w:val="18"/>
          <w:lang w:val="fr-FR" w:eastAsia="ja-JP"/>
        </w:rPr>
      </w:pPr>
      <w:r w:rsidRPr="008C00B8">
        <w:rPr>
          <w:rFonts w:eastAsia="MS Mincho" w:cs="Arial"/>
          <w:b/>
          <w:szCs w:val="18"/>
          <w:lang w:val="fr-FR" w:eastAsia="ja-JP"/>
        </w:rPr>
        <w:t>BRICHETTI P and FRACASSO G (2006)</w:t>
      </w:r>
      <w:r w:rsidRPr="008C00B8">
        <w:rPr>
          <w:rFonts w:eastAsia="MS Mincho" w:cs="Arial"/>
          <w:szCs w:val="18"/>
          <w:lang w:val="fr-FR" w:eastAsia="ja-JP"/>
        </w:rPr>
        <w:t xml:space="preserve"> </w:t>
      </w:r>
      <w:r w:rsidRPr="008C00B8">
        <w:rPr>
          <w:rFonts w:eastAsia="MS Mincho" w:cs="Arial"/>
          <w:i/>
          <w:szCs w:val="18"/>
          <w:lang w:val="fr-FR" w:eastAsia="ja-JP"/>
        </w:rPr>
        <w:t>Ornitologia italiana. Vol. 3 – Stercorariidae-Caprimulgidae</w:t>
      </w:r>
      <w:r w:rsidRPr="008C00B8">
        <w:rPr>
          <w:rFonts w:eastAsia="MS Mincho" w:cs="Arial"/>
          <w:szCs w:val="18"/>
          <w:lang w:val="fr-FR" w:eastAsia="ja-JP"/>
        </w:rPr>
        <w:t>. Alberto Perdisa Editore, Bologna.</w:t>
      </w:r>
    </w:p>
    <w:p w14:paraId="2532D763" w14:textId="77777777" w:rsidR="00C96521" w:rsidRPr="008C00B8" w:rsidRDefault="00C96521" w:rsidP="00C96521">
      <w:pPr>
        <w:widowControl/>
        <w:autoSpaceDE/>
        <w:autoSpaceDN/>
        <w:adjustRightInd/>
        <w:spacing w:line="276" w:lineRule="auto"/>
        <w:rPr>
          <w:rFonts w:eastAsia="MS Mincho" w:cs="Arial"/>
          <w:szCs w:val="18"/>
          <w:lang w:val="fr-FR" w:eastAsia="ja-JP"/>
        </w:rPr>
      </w:pPr>
    </w:p>
    <w:p w14:paraId="2A7DB0E1" w14:textId="77777777" w:rsidR="00C96521" w:rsidRPr="00C96521" w:rsidRDefault="00C96521" w:rsidP="00C96521">
      <w:pPr>
        <w:widowControl/>
        <w:autoSpaceDE/>
        <w:autoSpaceDN/>
        <w:adjustRightInd/>
        <w:spacing w:line="276" w:lineRule="auto"/>
        <w:rPr>
          <w:rFonts w:eastAsia="MS Mincho" w:cs="Arial"/>
          <w:b/>
          <w:szCs w:val="18"/>
          <w:lang w:val="en-GB" w:eastAsia="ja-JP"/>
        </w:rPr>
      </w:pPr>
      <w:r w:rsidRPr="00C96521">
        <w:rPr>
          <w:rFonts w:eastAsia="MS Mincho" w:cs="Arial"/>
          <w:b/>
          <w:szCs w:val="18"/>
          <w:lang w:val="en-GB" w:eastAsia="ja-JP"/>
        </w:rPr>
        <w:t xml:space="preserve">BRIGHT JA, MORRIS AJ, FIELD RH, COOKE AI, GRICE PV, WALKER LK, FERN J and PEACH WJ (2015) </w:t>
      </w:r>
      <w:r w:rsidRPr="00C96521">
        <w:rPr>
          <w:rFonts w:eastAsia="MS Mincho" w:cs="Arial"/>
          <w:szCs w:val="18"/>
          <w:lang w:val="en-GB" w:eastAsia="ja-JP"/>
        </w:rPr>
        <w:t xml:space="preserve">Higher-tier Agri-Environment Scheme enhances breeding densities of some priority farmland birds in England. </w:t>
      </w:r>
      <w:r w:rsidRPr="00C96521">
        <w:rPr>
          <w:rFonts w:eastAsia="MS Mincho" w:cs="Arial"/>
          <w:i/>
          <w:szCs w:val="18"/>
          <w:lang w:val="en-GB" w:eastAsia="ja-JP"/>
        </w:rPr>
        <w:t>Agriculture, Ecosystems and Environment</w:t>
      </w:r>
      <w:r w:rsidRPr="00C96521">
        <w:rPr>
          <w:rFonts w:eastAsia="MS Mincho" w:cs="Arial"/>
          <w:szCs w:val="18"/>
          <w:lang w:val="en-GB" w:eastAsia="ja-JP"/>
        </w:rPr>
        <w:t xml:space="preserve"> 203: 69-79.</w:t>
      </w:r>
    </w:p>
    <w:p w14:paraId="32F77F41"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5BD9C072"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van den BRINK H, van DIJK A, van OS B, and VENEMA P (1996)</w:t>
      </w:r>
      <w:r w:rsidRPr="00C96521">
        <w:rPr>
          <w:rFonts w:eastAsia="MS Mincho" w:cs="Arial"/>
          <w:szCs w:val="18"/>
          <w:lang w:val="en-GB" w:eastAsia="ja-JP"/>
        </w:rPr>
        <w:t xml:space="preserve"> </w:t>
      </w:r>
      <w:r w:rsidRPr="00C96521">
        <w:rPr>
          <w:rFonts w:eastAsia="MS Mincho" w:cs="Arial"/>
          <w:i/>
          <w:szCs w:val="18"/>
          <w:lang w:val="en-GB" w:eastAsia="ja-JP"/>
        </w:rPr>
        <w:t>Broedvogels van Drenthe</w:t>
      </w:r>
      <w:r w:rsidRPr="00C96521">
        <w:rPr>
          <w:rFonts w:eastAsia="MS Mincho" w:cs="Arial"/>
          <w:szCs w:val="18"/>
          <w:lang w:val="en-GB" w:eastAsia="ja-JP"/>
        </w:rPr>
        <w:t>. Van Gorcum, Assen.</w:t>
      </w:r>
    </w:p>
    <w:p w14:paraId="4BB8BB77"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08FCAD35" w14:textId="77777777" w:rsidR="00C96521" w:rsidRPr="00C96521" w:rsidRDefault="00C96521" w:rsidP="00C96521">
      <w:pPr>
        <w:widowControl/>
        <w:autoSpaceDE/>
        <w:autoSpaceDN/>
        <w:adjustRightInd/>
        <w:spacing w:line="276" w:lineRule="auto"/>
        <w:rPr>
          <w:rFonts w:eastAsia="MS Mincho" w:cs="Arial"/>
          <w:color w:val="000000"/>
          <w:szCs w:val="18"/>
          <w:lang w:val="en-GB" w:eastAsia="ja-JP"/>
        </w:rPr>
      </w:pPr>
      <w:r w:rsidRPr="00C96521">
        <w:rPr>
          <w:rFonts w:eastAsia="MS Mincho" w:cs="Arial"/>
          <w:b/>
          <w:bCs/>
          <w:szCs w:val="18"/>
          <w:lang w:val="en-GB" w:eastAsia="ja-JP"/>
        </w:rPr>
        <w:t>BROCHET A-L, VAN DEN BOSSCHE W, JBOUR S, NDANG’ANG’A PK, JONES VR, ABDOU WALI, AL-HMOUD AR, ASSWAD NG, ATIENZA JC, ATRASH I, BARBARA N, BENSUSAN K, BINO T, CELADA C, CHERKAOUI SI, COSTA J, DECEUNINCK B, ETAYEB KS, FELTRUP-AZAFZAF C, FIGELJ J, GUSTIN M, KMECL P, KOCEVSKI V, KORBETI M, KOTROŠAN D, MULA LAGUNA J, LATTUADA M, LEITÃO D, LOPES P, LÓPEZ-JIMÉNEZ N, LUCIĆ V, MICOL T, MOALI A, PERLMAN Y, PILUDU N, PORTOLOU D, PUTILIN K, QUAINTENNE G, RAMADAN-JARADI G, RUŽIĆ M, SANDOR A, SARAJLI N, SAVELJIĆ D, SHELDON RD, SHIALIS T, TSIOPELAS N, VARGAS F, THOMPSON C, BRUNNER A, GRIMMETT R and BUTCHART SHM (2016)</w:t>
      </w:r>
      <w:r w:rsidRPr="00C96521">
        <w:rPr>
          <w:rFonts w:eastAsia="MS Mincho" w:cs="Arial"/>
          <w:color w:val="000000"/>
          <w:szCs w:val="18"/>
          <w:lang w:val="en-GB" w:eastAsia="ja-JP"/>
        </w:rPr>
        <w:t xml:space="preserve"> </w:t>
      </w:r>
      <w:r w:rsidRPr="00C96521">
        <w:rPr>
          <w:rFonts w:eastAsia="MS Mincho" w:cs="Arial"/>
          <w:szCs w:val="18"/>
          <w:lang w:val="en-GB" w:eastAsia="ja-JP"/>
        </w:rPr>
        <w:t>Preliminary assessment of the scope and scale of illegal killing and taking of birds in the Mediterranean, </w:t>
      </w:r>
      <w:r w:rsidRPr="00C96521">
        <w:rPr>
          <w:rFonts w:eastAsia="MS Mincho" w:cs="Arial"/>
          <w:i/>
          <w:szCs w:val="18"/>
          <w:lang w:val="en-GB" w:eastAsia="ja-JP"/>
        </w:rPr>
        <w:t>Bird Conservation International</w:t>
      </w:r>
      <w:r w:rsidRPr="00C96521">
        <w:rPr>
          <w:rFonts w:eastAsia="MS Mincho" w:cs="Arial"/>
          <w:szCs w:val="18"/>
          <w:lang w:val="en-GB" w:eastAsia="ja-JP"/>
        </w:rPr>
        <w:t xml:space="preserve"> 26(1): 1–28.</w:t>
      </w:r>
    </w:p>
    <w:p w14:paraId="608D9016"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31DD80EC"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 xml:space="preserve">BROUWER J (2014) </w:t>
      </w:r>
      <w:r w:rsidRPr="00C96521">
        <w:rPr>
          <w:rFonts w:eastAsia="MS Mincho" w:cs="Arial"/>
          <w:szCs w:val="18"/>
          <w:lang w:val="en-GB" w:eastAsia="ja-JP"/>
        </w:rPr>
        <w:t xml:space="preserve">Are the Most Valuable Resources in Dryland Areas Isolated Wetlands? </w:t>
      </w:r>
      <w:r w:rsidRPr="00C96521">
        <w:rPr>
          <w:rFonts w:eastAsia="MS Mincho" w:cs="Arial"/>
          <w:i/>
          <w:szCs w:val="18"/>
          <w:lang w:val="en-GB" w:eastAsia="ja-JP"/>
        </w:rPr>
        <w:t>Planet@Risk</w:t>
      </w:r>
      <w:r w:rsidRPr="00C96521">
        <w:rPr>
          <w:rFonts w:eastAsia="MS Mincho" w:cs="Arial"/>
          <w:szCs w:val="18"/>
          <w:lang w:val="en-GB" w:eastAsia="ja-JP"/>
        </w:rPr>
        <w:t xml:space="preserve"> 2(1): 47-56.</w:t>
      </w:r>
    </w:p>
    <w:p w14:paraId="19A7AAEA"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505489EE"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BROWNE SJ and AEBISCHER N (2003a)</w:t>
      </w:r>
      <w:r w:rsidRPr="00C96521">
        <w:rPr>
          <w:rFonts w:eastAsia="MS Mincho" w:cs="Arial"/>
          <w:bCs/>
          <w:szCs w:val="18"/>
          <w:lang w:val="en-GB" w:eastAsia="ja-JP"/>
        </w:rPr>
        <w:t xml:space="preserve"> </w:t>
      </w:r>
      <w:r w:rsidRPr="00C96521">
        <w:rPr>
          <w:rFonts w:eastAsia="MS Mincho" w:cs="Arial"/>
          <w:szCs w:val="18"/>
          <w:lang w:val="en-GB" w:eastAsia="ja-JP"/>
        </w:rPr>
        <w:t xml:space="preserve">Habitat use, foraging ecology and diet of Turtle-doves </w:t>
      </w:r>
      <w:r w:rsidRPr="00C96521">
        <w:rPr>
          <w:rFonts w:eastAsia="MS Mincho" w:cs="Arial"/>
          <w:i/>
          <w:iCs/>
          <w:szCs w:val="18"/>
          <w:lang w:val="en-GB" w:eastAsia="ja-JP"/>
        </w:rPr>
        <w:t xml:space="preserve">Streptopelia turtur </w:t>
      </w:r>
      <w:r w:rsidRPr="00C96521">
        <w:rPr>
          <w:rFonts w:eastAsia="MS Mincho" w:cs="Arial"/>
          <w:szCs w:val="18"/>
          <w:lang w:val="en-GB" w:eastAsia="ja-JP"/>
        </w:rPr>
        <w:t xml:space="preserve">in Britain. </w:t>
      </w:r>
      <w:r w:rsidRPr="00C96521">
        <w:rPr>
          <w:rFonts w:eastAsia="MS Mincho" w:cs="Arial"/>
          <w:i/>
          <w:iCs/>
          <w:szCs w:val="18"/>
          <w:lang w:val="en-GB" w:eastAsia="ja-JP"/>
        </w:rPr>
        <w:t>Ibis</w:t>
      </w:r>
      <w:r w:rsidRPr="00C96521">
        <w:rPr>
          <w:rFonts w:eastAsia="MS Mincho" w:cs="Arial"/>
          <w:szCs w:val="18"/>
          <w:lang w:val="en-GB" w:eastAsia="ja-JP"/>
        </w:rPr>
        <w:t xml:space="preserve"> 145: 572-582.</w:t>
      </w:r>
    </w:p>
    <w:p w14:paraId="563C4EC5"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62A6B734"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BROWNE SJ and AEBISCHER N (2003b)</w:t>
      </w:r>
      <w:r w:rsidRPr="00C96521">
        <w:rPr>
          <w:rFonts w:eastAsia="MS Mincho" w:cs="Arial"/>
          <w:szCs w:val="18"/>
          <w:lang w:val="en-GB" w:eastAsia="ja-JP"/>
        </w:rPr>
        <w:t xml:space="preserve"> Temporal changes in the migration phenology of turtle-doves </w:t>
      </w:r>
      <w:r w:rsidRPr="00C96521">
        <w:rPr>
          <w:rFonts w:eastAsia="MS Mincho" w:cs="Arial"/>
          <w:i/>
          <w:szCs w:val="18"/>
          <w:lang w:val="en-GB" w:eastAsia="ja-JP"/>
        </w:rPr>
        <w:t>Streptopelia turtur</w:t>
      </w:r>
      <w:r w:rsidRPr="00C96521">
        <w:rPr>
          <w:rFonts w:eastAsia="MS Mincho" w:cs="Arial"/>
          <w:szCs w:val="18"/>
          <w:lang w:val="en-GB" w:eastAsia="ja-JP"/>
        </w:rPr>
        <w:t xml:space="preserve"> in Britain, based on sightings from coastal bird observatories. </w:t>
      </w:r>
      <w:r w:rsidRPr="00C96521">
        <w:rPr>
          <w:rFonts w:eastAsia="MS Mincho" w:cs="Arial"/>
          <w:i/>
          <w:szCs w:val="18"/>
          <w:lang w:val="en-GB" w:eastAsia="ja-JP"/>
        </w:rPr>
        <w:t>Journal of Avian Biology</w:t>
      </w:r>
      <w:r w:rsidRPr="00C96521">
        <w:rPr>
          <w:rFonts w:eastAsia="MS Mincho" w:cs="Arial"/>
          <w:szCs w:val="18"/>
          <w:lang w:val="en-GB" w:eastAsia="ja-JP"/>
        </w:rPr>
        <w:t xml:space="preserve"> 34 (1): 65-71.</w:t>
      </w:r>
    </w:p>
    <w:p w14:paraId="30CF255A"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15D8B0E9"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BROWNE SJ and AEBISCHER N</w:t>
      </w:r>
      <w:r w:rsidRPr="00C96521">
        <w:rPr>
          <w:rFonts w:eastAsia="MS Mincho" w:cs="Arial"/>
          <w:bCs/>
          <w:szCs w:val="18"/>
          <w:lang w:val="en-GB" w:eastAsia="ja-JP"/>
        </w:rPr>
        <w:t xml:space="preserve"> </w:t>
      </w:r>
      <w:r w:rsidRPr="00C96521">
        <w:rPr>
          <w:rFonts w:eastAsia="MS Mincho" w:cs="Arial"/>
          <w:b/>
          <w:bCs/>
          <w:szCs w:val="18"/>
          <w:lang w:val="en-GB" w:eastAsia="ja-JP"/>
        </w:rPr>
        <w:t>(2004)</w:t>
      </w:r>
      <w:r w:rsidRPr="00C96521">
        <w:rPr>
          <w:rFonts w:eastAsia="MS Mincho" w:cs="Arial"/>
          <w:bCs/>
          <w:szCs w:val="18"/>
          <w:lang w:val="en-GB" w:eastAsia="ja-JP"/>
        </w:rPr>
        <w:t xml:space="preserve"> </w:t>
      </w:r>
      <w:r w:rsidRPr="00C96521">
        <w:rPr>
          <w:rFonts w:eastAsia="MS Mincho" w:cs="Arial"/>
          <w:szCs w:val="18"/>
          <w:lang w:val="en-GB" w:eastAsia="ja-JP"/>
        </w:rPr>
        <w:t xml:space="preserve">Temporal changes in the breeding ecology of European Turtle-doves </w:t>
      </w:r>
      <w:r w:rsidRPr="00C96521">
        <w:rPr>
          <w:rFonts w:eastAsia="MS Mincho" w:cs="Arial"/>
          <w:i/>
          <w:iCs/>
          <w:szCs w:val="18"/>
          <w:lang w:val="en-GB" w:eastAsia="ja-JP"/>
        </w:rPr>
        <w:t xml:space="preserve">Streptopelia turtur </w:t>
      </w:r>
      <w:r w:rsidRPr="00C96521">
        <w:rPr>
          <w:rFonts w:eastAsia="MS Mincho" w:cs="Arial"/>
          <w:szCs w:val="18"/>
          <w:lang w:val="en-GB" w:eastAsia="ja-JP"/>
        </w:rPr>
        <w:t xml:space="preserve">in Britain, and implications for conservation. </w:t>
      </w:r>
      <w:r w:rsidRPr="00C96521">
        <w:rPr>
          <w:rFonts w:eastAsia="MS Mincho" w:cs="Arial"/>
          <w:i/>
          <w:iCs/>
          <w:szCs w:val="18"/>
          <w:lang w:val="en-GB" w:eastAsia="ja-JP"/>
        </w:rPr>
        <w:t>Ibis</w:t>
      </w:r>
      <w:r w:rsidRPr="00C96521">
        <w:rPr>
          <w:rFonts w:eastAsia="MS Mincho" w:cs="Arial"/>
          <w:szCs w:val="18"/>
          <w:lang w:val="en-GB" w:eastAsia="ja-JP"/>
        </w:rPr>
        <w:t xml:space="preserve"> 146: 125-137. </w:t>
      </w:r>
    </w:p>
    <w:p w14:paraId="35078B80"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7D7F7175"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BROWNE SJ and AEBISCHER N (2005)</w:t>
      </w:r>
      <w:r w:rsidRPr="00C96521">
        <w:rPr>
          <w:rFonts w:eastAsia="MS Mincho" w:cs="Arial"/>
          <w:bCs/>
          <w:szCs w:val="18"/>
          <w:lang w:val="en-GB" w:eastAsia="ja-JP"/>
        </w:rPr>
        <w:t xml:space="preserve"> </w:t>
      </w:r>
      <w:r w:rsidRPr="00C96521">
        <w:rPr>
          <w:rFonts w:eastAsia="MS Mincho" w:cs="Arial"/>
          <w:szCs w:val="18"/>
          <w:lang w:val="en-GB" w:eastAsia="ja-JP"/>
        </w:rPr>
        <w:t xml:space="preserve">Studies of West Palearctic birds: Turtle-dove. </w:t>
      </w:r>
      <w:r w:rsidRPr="00C96521">
        <w:rPr>
          <w:rFonts w:eastAsia="MS Mincho" w:cs="Arial"/>
          <w:i/>
          <w:iCs/>
          <w:szCs w:val="18"/>
          <w:lang w:val="en-GB" w:eastAsia="ja-JP"/>
        </w:rPr>
        <w:t>British Birds</w:t>
      </w:r>
      <w:r w:rsidRPr="00C96521">
        <w:rPr>
          <w:rFonts w:eastAsia="MS Mincho" w:cs="Arial"/>
          <w:szCs w:val="18"/>
          <w:lang w:val="en-GB" w:eastAsia="ja-JP"/>
        </w:rPr>
        <w:t xml:space="preserve"> 98: 58-72.</w:t>
      </w:r>
    </w:p>
    <w:p w14:paraId="1D308C0B"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6A794342"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BROWNE SJ, AEBISCHER N and CRICK H (2005)</w:t>
      </w:r>
      <w:r w:rsidRPr="00C96521">
        <w:rPr>
          <w:rFonts w:eastAsia="MS Mincho" w:cs="Arial"/>
          <w:bCs/>
          <w:szCs w:val="18"/>
          <w:lang w:val="en-GB" w:eastAsia="ja-JP"/>
        </w:rPr>
        <w:t xml:space="preserve"> </w:t>
      </w:r>
      <w:r w:rsidRPr="00C96521">
        <w:rPr>
          <w:rFonts w:eastAsia="MS Mincho" w:cs="Arial"/>
          <w:szCs w:val="18"/>
          <w:lang w:val="en-GB" w:eastAsia="ja-JP"/>
        </w:rPr>
        <w:t xml:space="preserve">Breeding ecology of Turtle-doves </w:t>
      </w:r>
      <w:r w:rsidRPr="00C96521">
        <w:rPr>
          <w:rFonts w:eastAsia="MS Mincho" w:cs="Arial"/>
          <w:i/>
          <w:iCs/>
          <w:szCs w:val="18"/>
          <w:lang w:val="en-GB" w:eastAsia="ja-JP"/>
        </w:rPr>
        <w:t xml:space="preserve">Streptopelia turtur </w:t>
      </w:r>
      <w:r w:rsidRPr="00C96521">
        <w:rPr>
          <w:rFonts w:eastAsia="MS Mincho" w:cs="Arial"/>
          <w:szCs w:val="18"/>
          <w:lang w:val="en-GB" w:eastAsia="ja-JP"/>
        </w:rPr>
        <w:t xml:space="preserve">in Britain during the period 1941-2000: an analysis of BTO nest records cards. </w:t>
      </w:r>
      <w:r w:rsidRPr="00C96521">
        <w:rPr>
          <w:rFonts w:eastAsia="MS Mincho" w:cs="Arial"/>
          <w:i/>
          <w:iCs/>
          <w:szCs w:val="18"/>
          <w:lang w:val="en-GB" w:eastAsia="ja-JP"/>
        </w:rPr>
        <w:t xml:space="preserve">Bird Study </w:t>
      </w:r>
      <w:r w:rsidRPr="00C96521">
        <w:rPr>
          <w:rFonts w:eastAsia="MS Mincho" w:cs="Arial"/>
          <w:szCs w:val="18"/>
          <w:lang w:val="en-GB" w:eastAsia="ja-JP"/>
        </w:rPr>
        <w:t>52: 1-9.</w:t>
      </w:r>
    </w:p>
    <w:p w14:paraId="49161CD5"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705CF9C2"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BROWNE SJ, AEBISCHER NJ, YFANTIS G and MARCHANT JH (2004)</w:t>
      </w:r>
      <w:r w:rsidRPr="00C96521">
        <w:rPr>
          <w:rFonts w:eastAsia="MS Mincho" w:cs="Arial"/>
          <w:szCs w:val="18"/>
          <w:lang w:val="en-GB" w:eastAsia="ja-JP"/>
        </w:rPr>
        <w:t xml:space="preserve"> Habitat availability and use by Turtle-doves </w:t>
      </w:r>
      <w:r w:rsidRPr="00C96521">
        <w:rPr>
          <w:rFonts w:eastAsia="MS Mincho" w:cs="Arial"/>
          <w:i/>
          <w:szCs w:val="18"/>
          <w:lang w:val="en-GB" w:eastAsia="ja-JP"/>
        </w:rPr>
        <w:t>Streptopelia turtur</w:t>
      </w:r>
      <w:r w:rsidRPr="00C96521">
        <w:rPr>
          <w:rFonts w:eastAsia="MS Mincho" w:cs="Arial"/>
          <w:szCs w:val="18"/>
          <w:lang w:val="en-GB" w:eastAsia="ja-JP"/>
        </w:rPr>
        <w:t xml:space="preserve"> between 1965 and 1995: an analysis of Common Birds Census data. </w:t>
      </w:r>
      <w:r w:rsidRPr="00C96521">
        <w:rPr>
          <w:rFonts w:eastAsia="MS Mincho" w:cs="Arial"/>
          <w:i/>
          <w:szCs w:val="18"/>
          <w:lang w:val="en-GB" w:eastAsia="ja-JP"/>
        </w:rPr>
        <w:t>Bird Study</w:t>
      </w:r>
      <w:r w:rsidRPr="00C96521">
        <w:rPr>
          <w:rFonts w:eastAsia="MS Mincho" w:cs="Arial"/>
          <w:szCs w:val="18"/>
          <w:lang w:val="en-GB" w:eastAsia="ja-JP"/>
        </w:rPr>
        <w:t xml:space="preserve"> 51, 1-11.</w:t>
      </w:r>
    </w:p>
    <w:p w14:paraId="39E67446"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59077161"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BTO (2016)</w:t>
      </w:r>
      <w:r w:rsidRPr="00C96521">
        <w:rPr>
          <w:rFonts w:eastAsia="MS Mincho" w:cs="Arial"/>
          <w:szCs w:val="18"/>
          <w:lang w:val="en-GB" w:eastAsia="ja-JP"/>
        </w:rPr>
        <w:t xml:space="preserve"> </w:t>
      </w:r>
      <w:r w:rsidRPr="00C96521">
        <w:rPr>
          <w:rFonts w:eastAsia="MS Mincho" w:cs="Arial"/>
          <w:i/>
          <w:szCs w:val="18"/>
          <w:lang w:val="en-GB" w:eastAsia="ja-JP"/>
        </w:rPr>
        <w:t>Bird Atlas Mapstore</w:t>
      </w:r>
      <w:r w:rsidRPr="00C96521">
        <w:rPr>
          <w:rFonts w:eastAsia="MS Mincho" w:cs="Arial"/>
          <w:szCs w:val="18"/>
          <w:lang w:val="en-GB" w:eastAsia="ja-JP"/>
        </w:rPr>
        <w:t>. http://app.bto.org/mapstore/StoreServlet?id=272 (last accessed 28</w:t>
      </w:r>
      <w:r w:rsidRPr="00C96521">
        <w:rPr>
          <w:rFonts w:eastAsia="MS Mincho" w:cs="Arial"/>
          <w:szCs w:val="18"/>
          <w:vertAlign w:val="superscript"/>
          <w:lang w:val="en-GB" w:eastAsia="ja-JP"/>
        </w:rPr>
        <w:t>th</w:t>
      </w:r>
      <w:r w:rsidRPr="00C96521">
        <w:rPr>
          <w:rFonts w:eastAsia="MS Mincho" w:cs="Arial"/>
          <w:szCs w:val="18"/>
          <w:lang w:val="en-GB" w:eastAsia="ja-JP"/>
        </w:rPr>
        <w:t xml:space="preserve"> October 2016)</w:t>
      </w:r>
    </w:p>
    <w:p w14:paraId="0D9568D0" w14:textId="77777777" w:rsidR="00C96521" w:rsidRPr="00C96521" w:rsidRDefault="00C96521" w:rsidP="00C96521">
      <w:pPr>
        <w:widowControl/>
        <w:spacing w:line="276" w:lineRule="auto"/>
        <w:rPr>
          <w:rFonts w:eastAsia="MS Mincho" w:cs="Arial"/>
          <w:b/>
          <w:szCs w:val="18"/>
          <w:lang w:val="en-GB" w:eastAsia="ja-JP"/>
        </w:rPr>
      </w:pPr>
    </w:p>
    <w:p w14:paraId="37E2AD7C"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de BURUAGA MS, ONRUBIA A, FERNÁNDEZ-GARCÍA JM, CAMPO MA, CANALES F and UNAMUNO JM (2012)</w:t>
      </w:r>
      <w:r w:rsidRPr="00C96521">
        <w:rPr>
          <w:rFonts w:eastAsia="MS Mincho" w:cs="Arial"/>
          <w:szCs w:val="18"/>
          <w:lang w:val="en-GB" w:eastAsia="ja-JP"/>
        </w:rPr>
        <w:t xml:space="preserve"> Breeding habitat use and conservation status of the turtle-dove </w:t>
      </w:r>
      <w:r w:rsidRPr="00C96521">
        <w:rPr>
          <w:rFonts w:eastAsia="MS Mincho" w:cs="Arial"/>
          <w:i/>
          <w:szCs w:val="18"/>
          <w:lang w:val="en-GB" w:eastAsia="ja-JP"/>
        </w:rPr>
        <w:t>Streptopelia turtur</w:t>
      </w:r>
      <w:r w:rsidRPr="00C96521">
        <w:rPr>
          <w:rFonts w:eastAsia="MS Mincho" w:cs="Arial"/>
          <w:szCs w:val="18"/>
          <w:lang w:val="en-GB" w:eastAsia="ja-JP"/>
        </w:rPr>
        <w:t xml:space="preserve"> in northern Spain. </w:t>
      </w:r>
      <w:r w:rsidRPr="00C96521">
        <w:rPr>
          <w:rFonts w:eastAsia="MS Mincho" w:cs="Arial"/>
          <w:i/>
          <w:szCs w:val="18"/>
          <w:lang w:val="en-GB" w:eastAsia="ja-JP"/>
        </w:rPr>
        <w:t>Ardeola</w:t>
      </w:r>
      <w:r w:rsidRPr="00C96521">
        <w:rPr>
          <w:rFonts w:eastAsia="MS Mincho" w:cs="Arial"/>
          <w:szCs w:val="18"/>
          <w:lang w:val="en-GB" w:eastAsia="ja-JP"/>
        </w:rPr>
        <w:t xml:space="preserve"> 59(2): 291-300.</w:t>
      </w:r>
    </w:p>
    <w:p w14:paraId="0E263130"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6A39A852"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bCs/>
          <w:szCs w:val="18"/>
          <w:lang w:val="en-GB" w:eastAsia="ja-JP"/>
        </w:rPr>
        <w:t>CALDERON L, CAMPAGNA L, WILKE T, LORMEE H, ERAUD C, DUNN JC, ROCHA G, ZEHTINDJIEV P, BAKALOUDIS DE, METZGER B, CECERE JG, MARX M and QUILLFELDT P (2016)</w:t>
      </w:r>
      <w:r w:rsidRPr="00C96521">
        <w:rPr>
          <w:rFonts w:eastAsia="MS Mincho" w:cs="Arial"/>
          <w:szCs w:val="18"/>
          <w:lang w:val="en-GB" w:eastAsia="ja-JP"/>
        </w:rPr>
        <w:t xml:space="preserve"> Genomic evidence of demographic fluctuations and lack of genetic structure across flyways in a long distance migrant, the European turtle-dove. </w:t>
      </w:r>
      <w:r w:rsidRPr="00C96521">
        <w:rPr>
          <w:rFonts w:eastAsia="MS Mincho" w:cs="Arial"/>
          <w:i/>
          <w:szCs w:val="18"/>
          <w:lang w:val="en-GB" w:eastAsia="ja-JP"/>
        </w:rPr>
        <w:t>BMC Evolutionary Biology</w:t>
      </w:r>
      <w:r w:rsidRPr="00C96521">
        <w:rPr>
          <w:rFonts w:eastAsia="MS Mincho" w:cs="Arial"/>
          <w:szCs w:val="18"/>
          <w:lang w:val="en-GB" w:eastAsia="ja-JP"/>
        </w:rPr>
        <w:t>, 16(237): 1-11.</w:t>
      </w:r>
    </w:p>
    <w:p w14:paraId="40FB403C"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01DC0D9A"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CALLADINE JR, BUNER F and AEBISCHER NJ (1997)</w:t>
      </w:r>
      <w:r w:rsidRPr="00C96521">
        <w:rPr>
          <w:rFonts w:eastAsia="MS Mincho" w:cs="Arial"/>
          <w:bCs/>
          <w:szCs w:val="18"/>
          <w:lang w:val="en-GB" w:eastAsia="ja-JP"/>
        </w:rPr>
        <w:t xml:space="preserve"> </w:t>
      </w:r>
      <w:r w:rsidRPr="00C96521">
        <w:rPr>
          <w:rFonts w:eastAsia="MS Mincho" w:cs="Arial"/>
          <w:i/>
          <w:szCs w:val="18"/>
          <w:lang w:val="en-GB" w:eastAsia="ja-JP"/>
        </w:rPr>
        <w:t>The summer ecology and habitat use of the Turtle-dove. A pilot study</w:t>
      </w:r>
      <w:r w:rsidRPr="00C96521">
        <w:rPr>
          <w:rFonts w:eastAsia="MS Mincho" w:cs="Arial"/>
          <w:szCs w:val="18"/>
          <w:lang w:val="en-GB" w:eastAsia="ja-JP"/>
        </w:rPr>
        <w:t xml:space="preserve">. </w:t>
      </w:r>
      <w:r w:rsidRPr="00C96521">
        <w:rPr>
          <w:rFonts w:eastAsia="MS Mincho" w:cs="Arial"/>
          <w:iCs/>
          <w:szCs w:val="18"/>
          <w:lang w:val="en-GB" w:eastAsia="ja-JP"/>
        </w:rPr>
        <w:t>English Nature Research Reports</w:t>
      </w:r>
      <w:r w:rsidRPr="00C96521">
        <w:rPr>
          <w:rFonts w:eastAsia="MS Mincho" w:cs="Arial"/>
          <w:szCs w:val="18"/>
          <w:lang w:val="en-GB" w:eastAsia="ja-JP"/>
        </w:rPr>
        <w:t xml:space="preserve"> 219. English Nature, Peterborough.</w:t>
      </w:r>
    </w:p>
    <w:p w14:paraId="72026B37"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61D80582" w14:textId="77777777" w:rsidR="00C96521" w:rsidRPr="00B44B0D" w:rsidRDefault="00C96521" w:rsidP="00C96521">
      <w:pPr>
        <w:widowControl/>
        <w:autoSpaceDE/>
        <w:autoSpaceDN/>
        <w:adjustRightInd/>
        <w:spacing w:line="276" w:lineRule="auto"/>
        <w:rPr>
          <w:rFonts w:eastAsia="MS Mincho" w:cs="Arial"/>
          <w:szCs w:val="18"/>
          <w:lang w:eastAsia="ja-JP"/>
        </w:rPr>
      </w:pPr>
      <w:r w:rsidRPr="00890F11">
        <w:rPr>
          <w:rFonts w:eastAsia="MS Mincho" w:cs="Arial"/>
          <w:b/>
          <w:szCs w:val="18"/>
          <w:lang w:val="es-ES" w:eastAsia="ja-JP"/>
        </w:rPr>
        <w:t>CARVALHO M. and DIAS S (2001)</w:t>
      </w:r>
      <w:r w:rsidRPr="00890F11">
        <w:rPr>
          <w:rFonts w:eastAsia="MS Mincho" w:cs="Arial"/>
          <w:szCs w:val="18"/>
          <w:lang w:val="es-ES" w:eastAsia="ja-JP"/>
        </w:rPr>
        <w:t xml:space="preserve"> </w:t>
      </w:r>
      <w:r w:rsidRPr="00890F11">
        <w:rPr>
          <w:rFonts w:eastAsia="MS Mincho" w:cs="Arial"/>
          <w:i/>
          <w:szCs w:val="18"/>
          <w:lang w:val="es-ES" w:eastAsia="ja-JP"/>
        </w:rPr>
        <w:t>Análise dos quadros de caça de columbídeos na região de Cape (Guiné-Bissau) – contributo para a sua gestão cinegética</w:t>
      </w:r>
      <w:r w:rsidRPr="00890F11">
        <w:rPr>
          <w:rFonts w:eastAsia="MS Mincho" w:cs="Arial"/>
          <w:szCs w:val="18"/>
          <w:lang w:val="es-ES" w:eastAsia="ja-JP"/>
        </w:rPr>
        <w:t xml:space="preserve">. In </w:t>
      </w:r>
      <w:r w:rsidRPr="00890F11">
        <w:rPr>
          <w:rFonts w:eastAsia="MS Mincho" w:cs="Arial"/>
          <w:i/>
          <w:szCs w:val="18"/>
          <w:lang w:val="es-ES" w:eastAsia="ja-JP"/>
        </w:rPr>
        <w:t>Livro de resumos do III Congresso Ornitologia da Sociedade Portuguesa para o Estudo das Aves</w:t>
      </w:r>
      <w:r w:rsidRPr="00890F11">
        <w:rPr>
          <w:rFonts w:eastAsia="MS Mincho" w:cs="Arial"/>
          <w:szCs w:val="18"/>
          <w:lang w:val="es-ES" w:eastAsia="ja-JP"/>
        </w:rPr>
        <w:t xml:space="preserve">. pp 23. </w:t>
      </w:r>
      <w:r w:rsidRPr="00B44B0D">
        <w:rPr>
          <w:rFonts w:eastAsia="MS Mincho" w:cs="Arial"/>
          <w:szCs w:val="18"/>
          <w:lang w:eastAsia="ja-JP"/>
        </w:rPr>
        <w:t>SPEA, Castelo Branco.</w:t>
      </w:r>
    </w:p>
    <w:p w14:paraId="3758259E" w14:textId="77777777" w:rsidR="00C96521" w:rsidRPr="00B44B0D" w:rsidRDefault="00C96521" w:rsidP="00C96521">
      <w:pPr>
        <w:widowControl/>
        <w:autoSpaceDE/>
        <w:autoSpaceDN/>
        <w:adjustRightInd/>
        <w:spacing w:line="276" w:lineRule="auto"/>
        <w:rPr>
          <w:rFonts w:eastAsia="MS Mincho" w:cs="Arial"/>
          <w:b/>
          <w:szCs w:val="18"/>
          <w:lang w:eastAsia="ja-JP"/>
        </w:rPr>
      </w:pPr>
    </w:p>
    <w:p w14:paraId="4BA7ECA0" w14:textId="77777777" w:rsidR="00C96521" w:rsidRPr="00890F11" w:rsidRDefault="00C96521" w:rsidP="00C96521">
      <w:pPr>
        <w:widowControl/>
        <w:autoSpaceDE/>
        <w:autoSpaceDN/>
        <w:adjustRightInd/>
        <w:spacing w:line="276" w:lineRule="auto"/>
        <w:rPr>
          <w:rFonts w:eastAsia="MS Mincho" w:cs="Arial"/>
          <w:szCs w:val="18"/>
          <w:lang w:val="fr-FR" w:eastAsia="ja-JP"/>
        </w:rPr>
      </w:pPr>
      <w:r w:rsidRPr="00C96521">
        <w:rPr>
          <w:rFonts w:eastAsia="MS Mincho" w:cs="Arial"/>
          <w:b/>
          <w:szCs w:val="18"/>
          <w:lang w:val="en-GB" w:eastAsia="ja-JP"/>
        </w:rPr>
        <w:t>CARVALHO M and DIAS S (2003)</w:t>
      </w:r>
      <w:r w:rsidRPr="00C96521">
        <w:rPr>
          <w:rFonts w:eastAsia="MS Mincho" w:cs="Arial"/>
          <w:szCs w:val="18"/>
          <w:lang w:val="en-GB" w:eastAsia="ja-JP"/>
        </w:rPr>
        <w:t xml:space="preserve"> </w:t>
      </w:r>
      <w:r w:rsidRPr="00C96521">
        <w:rPr>
          <w:rFonts w:eastAsia="MS Mincho" w:cs="Arial"/>
          <w:i/>
          <w:szCs w:val="18"/>
          <w:lang w:val="en-GB" w:eastAsia="ja-JP"/>
        </w:rPr>
        <w:t xml:space="preserve">Game </w:t>
      </w:r>
      <w:r w:rsidRPr="00C96521">
        <w:rPr>
          <w:rFonts w:eastAsia="MS Mincho" w:cs="Arial"/>
          <w:szCs w:val="18"/>
          <w:lang w:val="en-GB" w:eastAsia="ja-JP"/>
        </w:rPr>
        <w:t>Columbidae</w:t>
      </w:r>
      <w:r w:rsidRPr="00C96521">
        <w:rPr>
          <w:rFonts w:eastAsia="MS Mincho" w:cs="Arial"/>
          <w:i/>
          <w:szCs w:val="18"/>
          <w:lang w:val="en-GB" w:eastAsia="ja-JP"/>
        </w:rPr>
        <w:t xml:space="preserve"> in Guinea- Bissau</w:t>
      </w:r>
      <w:r w:rsidRPr="00C96521">
        <w:rPr>
          <w:rFonts w:eastAsia="MS Mincho" w:cs="Arial"/>
          <w:szCs w:val="18"/>
          <w:lang w:val="en-GB" w:eastAsia="ja-JP"/>
        </w:rPr>
        <w:t xml:space="preserve">. XXVIth Congress of the International Union of Game Biologists "Integrating Wildlife with People". </w:t>
      </w:r>
      <w:r w:rsidRPr="00890F11">
        <w:rPr>
          <w:rFonts w:eastAsia="MS Mincho" w:cs="Arial"/>
          <w:szCs w:val="18"/>
          <w:lang w:val="fr-FR" w:eastAsia="ja-JP"/>
        </w:rPr>
        <w:t>Braga, Portugal. Abstract book, 67.</w:t>
      </w:r>
    </w:p>
    <w:p w14:paraId="042D81E2" w14:textId="77777777" w:rsidR="00C96521" w:rsidRPr="00890F11" w:rsidRDefault="00C96521" w:rsidP="00C96521">
      <w:pPr>
        <w:widowControl/>
        <w:autoSpaceDE/>
        <w:autoSpaceDN/>
        <w:adjustRightInd/>
        <w:spacing w:line="276" w:lineRule="auto"/>
        <w:rPr>
          <w:rFonts w:eastAsia="MS Mincho" w:cs="Arial"/>
          <w:szCs w:val="18"/>
          <w:lang w:val="fr-FR" w:eastAsia="ja-JP"/>
        </w:rPr>
      </w:pPr>
    </w:p>
    <w:p w14:paraId="60DC60B7"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890F11">
        <w:rPr>
          <w:rFonts w:eastAsia="MS Mincho" w:cs="Arial"/>
          <w:b/>
          <w:bCs/>
          <w:szCs w:val="18"/>
          <w:lang w:val="fr-FR" w:eastAsia="ja-JP"/>
        </w:rPr>
        <w:t>CHAMBOLLE P (1986)</w:t>
      </w:r>
      <w:r w:rsidRPr="00890F11">
        <w:rPr>
          <w:rFonts w:eastAsia="MS Mincho" w:cs="Arial"/>
          <w:szCs w:val="18"/>
          <w:lang w:val="fr-FR" w:eastAsia="ja-JP"/>
        </w:rPr>
        <w:t xml:space="preserve"> Prélèvement cynégétique de tourterelles en France, saison 1983-84. </w:t>
      </w:r>
      <w:r w:rsidRPr="00C96521">
        <w:rPr>
          <w:rFonts w:eastAsia="MS Mincho" w:cs="Arial"/>
          <w:i/>
          <w:szCs w:val="18"/>
          <w:lang w:val="en-GB" w:eastAsia="ja-JP"/>
        </w:rPr>
        <w:t xml:space="preserve">Bulletin Mensuel de l’ONC </w:t>
      </w:r>
      <w:r w:rsidRPr="00C96521">
        <w:rPr>
          <w:rFonts w:eastAsia="MS Mincho" w:cs="Arial"/>
          <w:szCs w:val="18"/>
          <w:lang w:val="en-GB" w:eastAsia="ja-JP"/>
        </w:rPr>
        <w:t>108: 50-53.</w:t>
      </w:r>
    </w:p>
    <w:p w14:paraId="01772D5E"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54141D4E"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COMPENDIUM VOOR DE LEEFOMGEVING (2016)</w:t>
      </w:r>
      <w:r w:rsidRPr="00C96521">
        <w:rPr>
          <w:rFonts w:eastAsia="MS Mincho" w:cs="Arial"/>
          <w:szCs w:val="18"/>
          <w:lang w:val="en-GB" w:eastAsia="ja-JP"/>
        </w:rPr>
        <w:t xml:space="preserve"> </w:t>
      </w:r>
      <w:r w:rsidRPr="00C96521">
        <w:rPr>
          <w:rFonts w:eastAsia="MS Mincho" w:cs="Arial"/>
          <w:i/>
          <w:szCs w:val="18"/>
          <w:lang w:val="en-GB" w:eastAsia="ja-JP"/>
        </w:rPr>
        <w:t>Vogels van het boerenland, 1990-2014</w:t>
      </w:r>
      <w:r w:rsidRPr="00C96521">
        <w:rPr>
          <w:rFonts w:eastAsia="MS Mincho" w:cs="Arial"/>
          <w:szCs w:val="18"/>
          <w:lang w:val="en-GB" w:eastAsia="ja-JP"/>
        </w:rPr>
        <w:t>. http://www.clo.nl/indicatoren/nl1479-vogels-van-het-boerenland?i=4-27 (last accessed 10</w:t>
      </w:r>
      <w:r w:rsidRPr="00C96521">
        <w:rPr>
          <w:rFonts w:eastAsia="MS Mincho" w:cs="Arial"/>
          <w:szCs w:val="18"/>
          <w:vertAlign w:val="superscript"/>
          <w:lang w:val="en-GB" w:eastAsia="ja-JP"/>
        </w:rPr>
        <w:t>th</w:t>
      </w:r>
      <w:r w:rsidRPr="00C96521">
        <w:rPr>
          <w:rFonts w:eastAsia="MS Mincho" w:cs="Arial"/>
          <w:szCs w:val="18"/>
          <w:lang w:val="en-GB" w:eastAsia="ja-JP"/>
        </w:rPr>
        <w:t xml:space="preserve"> November 2016)</w:t>
      </w:r>
    </w:p>
    <w:p w14:paraId="22B50EFB"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170C89BB" w14:textId="77777777" w:rsidR="00C96521" w:rsidRPr="00890F11" w:rsidRDefault="00C96521" w:rsidP="00C96521">
      <w:pPr>
        <w:widowControl/>
        <w:autoSpaceDE/>
        <w:autoSpaceDN/>
        <w:adjustRightInd/>
        <w:spacing w:line="276" w:lineRule="auto"/>
        <w:rPr>
          <w:rFonts w:eastAsia="MS Mincho" w:cs="Arial"/>
          <w:szCs w:val="18"/>
          <w:lang w:val="fr-FR" w:eastAsia="ja-JP"/>
        </w:rPr>
      </w:pPr>
      <w:r w:rsidRPr="00890F11">
        <w:rPr>
          <w:rFonts w:eastAsia="MS Mincho" w:cs="Arial"/>
          <w:b/>
          <w:szCs w:val="18"/>
          <w:lang w:val="fr-FR" w:eastAsia="ja-JP"/>
        </w:rPr>
        <w:t xml:space="preserve">LE CONSEIL FEDERAL (2014) </w:t>
      </w:r>
      <w:r w:rsidRPr="00890F11">
        <w:rPr>
          <w:rFonts w:eastAsia="MS Mincho" w:cs="Arial"/>
          <w:i/>
          <w:szCs w:val="18"/>
          <w:lang w:val="fr-FR" w:eastAsia="ja-JP"/>
        </w:rPr>
        <w:t>Loi fédérale sur la chasse et la protection des mammifères et oiseaux sauvages.</w:t>
      </w:r>
      <w:r w:rsidRPr="00890F11">
        <w:rPr>
          <w:rFonts w:eastAsia="MS Mincho" w:cs="Arial"/>
          <w:szCs w:val="18"/>
          <w:lang w:val="fr-FR" w:eastAsia="ja-JP"/>
        </w:rPr>
        <w:t xml:space="preserve"> https://www.admin.ch/opc/fr/classified-compilation/19860156/index.html#a5 (last accessed 25</w:t>
      </w:r>
      <w:r w:rsidRPr="00890F11">
        <w:rPr>
          <w:rFonts w:eastAsia="MS Mincho" w:cs="Arial"/>
          <w:szCs w:val="18"/>
          <w:vertAlign w:val="superscript"/>
          <w:lang w:val="fr-FR" w:eastAsia="ja-JP"/>
        </w:rPr>
        <w:t>th</w:t>
      </w:r>
      <w:r w:rsidRPr="00890F11">
        <w:rPr>
          <w:rFonts w:eastAsia="MS Mincho" w:cs="Arial"/>
          <w:szCs w:val="18"/>
          <w:lang w:val="fr-FR" w:eastAsia="ja-JP"/>
        </w:rPr>
        <w:t xml:space="preserve"> November 2016)</w:t>
      </w:r>
    </w:p>
    <w:p w14:paraId="570C768A" w14:textId="77777777" w:rsidR="00C96521" w:rsidRPr="00890F11" w:rsidRDefault="00C96521" w:rsidP="00C96521">
      <w:pPr>
        <w:widowControl/>
        <w:autoSpaceDE/>
        <w:autoSpaceDN/>
        <w:adjustRightInd/>
        <w:spacing w:line="276" w:lineRule="auto"/>
        <w:rPr>
          <w:rFonts w:eastAsia="MS Mincho" w:cs="Arial"/>
          <w:b/>
          <w:bCs/>
          <w:szCs w:val="18"/>
          <w:lang w:val="fr-FR" w:eastAsia="ja-JP"/>
        </w:rPr>
      </w:pPr>
    </w:p>
    <w:p w14:paraId="142C8166"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CRAMP S (1985)</w:t>
      </w:r>
      <w:r w:rsidRPr="00C96521">
        <w:rPr>
          <w:rFonts w:eastAsia="MS Mincho" w:cs="Arial"/>
          <w:bCs/>
          <w:szCs w:val="18"/>
          <w:lang w:val="en-GB" w:eastAsia="ja-JP"/>
        </w:rPr>
        <w:t xml:space="preserve"> </w:t>
      </w:r>
      <w:r w:rsidRPr="00C96521">
        <w:rPr>
          <w:rFonts w:eastAsia="MS Mincho" w:cs="Arial"/>
          <w:i/>
          <w:szCs w:val="18"/>
          <w:lang w:val="en-GB" w:eastAsia="ja-JP"/>
        </w:rPr>
        <w:t>Handbook of the birds of Europe, the Middle East and North Africa</w:t>
      </w:r>
      <w:r w:rsidRPr="00C96521">
        <w:rPr>
          <w:rFonts w:eastAsia="MS Mincho" w:cs="Arial"/>
          <w:szCs w:val="18"/>
          <w:lang w:val="en-GB" w:eastAsia="ja-JP"/>
        </w:rPr>
        <w:t xml:space="preserve">. </w:t>
      </w:r>
      <w:r w:rsidRPr="00C96521">
        <w:rPr>
          <w:rFonts w:eastAsia="MS Mincho" w:cs="Arial"/>
          <w:i/>
          <w:szCs w:val="18"/>
          <w:lang w:val="en-GB" w:eastAsia="ja-JP"/>
        </w:rPr>
        <w:t>Volume IV, Terns to Woodpeckers</w:t>
      </w:r>
      <w:r w:rsidRPr="00C96521">
        <w:rPr>
          <w:rFonts w:eastAsia="MS Mincho" w:cs="Arial"/>
          <w:szCs w:val="18"/>
          <w:lang w:val="en-GB" w:eastAsia="ja-JP"/>
        </w:rPr>
        <w:t>: 353-363</w:t>
      </w:r>
      <w:r w:rsidRPr="00C96521">
        <w:rPr>
          <w:rFonts w:eastAsia="MS Mincho" w:cs="Arial"/>
          <w:i/>
          <w:szCs w:val="18"/>
          <w:lang w:val="en-GB" w:eastAsia="ja-JP"/>
        </w:rPr>
        <w:t>.</w:t>
      </w:r>
      <w:r w:rsidRPr="00C96521">
        <w:rPr>
          <w:rFonts w:eastAsia="MS Mincho" w:cs="Arial"/>
          <w:szCs w:val="18"/>
          <w:lang w:val="en-GB" w:eastAsia="ja-JP"/>
        </w:rPr>
        <w:t xml:space="preserve"> Oxford University Press, Oxford.</w:t>
      </w:r>
    </w:p>
    <w:p w14:paraId="0A6CE3CD"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0E6BD65D"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 xml:space="preserve">CSO/JPSP (2015) </w:t>
      </w:r>
      <w:r w:rsidRPr="00C96521">
        <w:rPr>
          <w:rFonts w:eastAsia="MS Mincho" w:cs="Arial"/>
          <w:i/>
          <w:szCs w:val="18"/>
          <w:lang w:val="en-GB" w:eastAsia="ja-JP"/>
        </w:rPr>
        <w:t>Indexy a trendy 2015 - Hrdlička divoká (</w:t>
      </w:r>
      <w:r w:rsidRPr="00C96521">
        <w:rPr>
          <w:rFonts w:eastAsia="MS Mincho" w:cs="Arial"/>
          <w:szCs w:val="18"/>
          <w:lang w:val="en-GB" w:eastAsia="ja-JP"/>
        </w:rPr>
        <w:t>Streptopelia turtur</w:t>
      </w:r>
      <w:r w:rsidRPr="00C96521">
        <w:rPr>
          <w:rFonts w:eastAsia="MS Mincho" w:cs="Arial"/>
          <w:i/>
          <w:szCs w:val="18"/>
          <w:lang w:val="en-GB" w:eastAsia="ja-JP"/>
        </w:rPr>
        <w:t>)</w:t>
      </w:r>
      <w:r w:rsidRPr="00C96521">
        <w:rPr>
          <w:rFonts w:eastAsia="MS Mincho" w:cs="Arial"/>
          <w:szCs w:val="18"/>
          <w:lang w:val="en-GB" w:eastAsia="ja-JP"/>
        </w:rPr>
        <w:t>. http://jpsp.birds.cz/vysledky.php?taxon=605 (last accessed 28</w:t>
      </w:r>
      <w:r w:rsidRPr="00C96521">
        <w:rPr>
          <w:rFonts w:eastAsia="MS Mincho" w:cs="Arial"/>
          <w:szCs w:val="18"/>
          <w:vertAlign w:val="superscript"/>
          <w:lang w:val="en-GB" w:eastAsia="ja-JP"/>
        </w:rPr>
        <w:t>th</w:t>
      </w:r>
      <w:r w:rsidRPr="00C96521">
        <w:rPr>
          <w:rFonts w:eastAsia="MS Mincho" w:cs="Arial"/>
          <w:szCs w:val="18"/>
          <w:lang w:val="en-GB" w:eastAsia="ja-JP"/>
        </w:rPr>
        <w:t xml:space="preserve"> October 2016)</w:t>
      </w:r>
    </w:p>
    <w:p w14:paraId="5A0B6BAD"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032EA70A" w14:textId="77777777" w:rsidR="00C96521" w:rsidRPr="00965D7D" w:rsidRDefault="00C96521" w:rsidP="00C96521">
      <w:pPr>
        <w:widowControl/>
        <w:autoSpaceDE/>
        <w:autoSpaceDN/>
        <w:adjustRightInd/>
        <w:spacing w:line="276" w:lineRule="auto"/>
        <w:rPr>
          <w:rFonts w:eastAsia="MS Mincho" w:cs="Arial"/>
          <w:szCs w:val="18"/>
          <w:lang w:val="de-DE" w:eastAsia="ja-JP"/>
        </w:rPr>
      </w:pPr>
      <w:r w:rsidRPr="00965D7D">
        <w:rPr>
          <w:rFonts w:eastAsia="MS Mincho" w:cs="Arial"/>
          <w:b/>
          <w:szCs w:val="18"/>
          <w:lang w:val="de-DE" w:eastAsia="ja-JP"/>
        </w:rPr>
        <w:t>DACHVERBAND DEUTSCHER AVIFAUNISTEN (2016)</w:t>
      </w:r>
      <w:r w:rsidRPr="00965D7D">
        <w:rPr>
          <w:rFonts w:eastAsia="MS Mincho" w:cs="Arial"/>
          <w:szCs w:val="18"/>
          <w:lang w:val="de-DE" w:eastAsia="ja-JP"/>
        </w:rPr>
        <w:t xml:space="preserve"> </w:t>
      </w:r>
      <w:r w:rsidRPr="00965D7D">
        <w:rPr>
          <w:rFonts w:eastAsia="MS Mincho" w:cs="Arial"/>
          <w:i/>
          <w:szCs w:val="18"/>
          <w:lang w:val="de-DE" w:eastAsia="ja-JP"/>
        </w:rPr>
        <w:t>Bestandsentwicklung, Verbreitung und jahreszeitliches Auftreten von Brut- und Rastvögeln in Deutschland</w:t>
      </w:r>
      <w:r w:rsidRPr="00965D7D">
        <w:rPr>
          <w:rFonts w:eastAsia="MS Mincho" w:cs="Arial"/>
          <w:szCs w:val="18"/>
          <w:lang w:val="de-DE" w:eastAsia="ja-JP"/>
        </w:rPr>
        <w:t>. Dachverband Deutscher Avifaunisten, Münster.</w:t>
      </w:r>
    </w:p>
    <w:p w14:paraId="2FCAE048" w14:textId="77777777" w:rsidR="00C96521" w:rsidRPr="00965D7D" w:rsidRDefault="00C96521" w:rsidP="00C96521">
      <w:pPr>
        <w:widowControl/>
        <w:autoSpaceDE/>
        <w:autoSpaceDN/>
        <w:adjustRightInd/>
        <w:spacing w:line="276" w:lineRule="auto"/>
        <w:rPr>
          <w:rFonts w:eastAsia="MS Mincho" w:cs="Arial"/>
          <w:b/>
          <w:bCs/>
          <w:szCs w:val="18"/>
          <w:lang w:val="de-DE" w:eastAsia="ja-JP"/>
        </w:rPr>
      </w:pPr>
    </w:p>
    <w:p w14:paraId="150B0619" w14:textId="77777777" w:rsidR="00C96521" w:rsidRPr="00965D7D" w:rsidRDefault="00C96521" w:rsidP="00C96521">
      <w:pPr>
        <w:widowControl/>
        <w:spacing w:line="276" w:lineRule="auto"/>
        <w:rPr>
          <w:rFonts w:eastAsia="MS Mincho" w:cs="Arial"/>
          <w:szCs w:val="18"/>
          <w:lang w:val="de-DE" w:eastAsia="ja-JP"/>
        </w:rPr>
      </w:pPr>
      <w:r w:rsidRPr="00965D7D">
        <w:rPr>
          <w:rFonts w:eastAsia="MS Mincho" w:cs="Arial"/>
          <w:b/>
          <w:szCs w:val="18"/>
          <w:lang w:val="de-DE" w:eastAsia="ja-JP"/>
        </w:rPr>
        <w:t xml:space="preserve">DANKO Z, DAROLOVÁ A and KRIŠTÍN A (2002) </w:t>
      </w:r>
      <w:r w:rsidRPr="00965D7D">
        <w:rPr>
          <w:rFonts w:eastAsia="MS Mincho" w:cs="Arial"/>
          <w:i/>
          <w:szCs w:val="18"/>
          <w:lang w:val="de-DE" w:eastAsia="ja-JP"/>
        </w:rPr>
        <w:t>Rozšírenie vtákov na Slovensku – Birds Distribution in Slovakia</w:t>
      </w:r>
      <w:r w:rsidRPr="00965D7D">
        <w:rPr>
          <w:rFonts w:eastAsia="MS Mincho" w:cs="Arial"/>
          <w:szCs w:val="18"/>
          <w:lang w:val="de-DE" w:eastAsia="ja-JP"/>
        </w:rPr>
        <w:t>. Vydavatel’stvo Slovenskej akadémie vied, Bratislava.</w:t>
      </w:r>
    </w:p>
    <w:p w14:paraId="62F5B2B0" w14:textId="77777777" w:rsidR="00C96521" w:rsidRPr="00965D7D" w:rsidRDefault="00C96521" w:rsidP="00C96521">
      <w:pPr>
        <w:widowControl/>
        <w:autoSpaceDE/>
        <w:autoSpaceDN/>
        <w:adjustRightInd/>
        <w:spacing w:line="276" w:lineRule="auto"/>
        <w:rPr>
          <w:rFonts w:eastAsia="MS Mincho" w:cs="Arial"/>
          <w:b/>
          <w:bCs/>
          <w:szCs w:val="18"/>
          <w:lang w:val="de-DE" w:eastAsia="ja-JP"/>
        </w:rPr>
      </w:pPr>
    </w:p>
    <w:p w14:paraId="06D50054" w14:textId="77777777" w:rsidR="00C96521" w:rsidRPr="00965D7D" w:rsidRDefault="00C96521" w:rsidP="00C96521">
      <w:pPr>
        <w:widowControl/>
        <w:autoSpaceDE/>
        <w:autoSpaceDN/>
        <w:adjustRightInd/>
        <w:spacing w:line="276" w:lineRule="auto"/>
        <w:rPr>
          <w:rFonts w:eastAsia="MS Mincho" w:cs="Arial"/>
          <w:b/>
          <w:bCs/>
          <w:szCs w:val="18"/>
          <w:lang w:val="de-DE" w:eastAsia="ja-JP"/>
        </w:rPr>
      </w:pPr>
      <w:r w:rsidRPr="00965D7D">
        <w:rPr>
          <w:rFonts w:eastAsia="MS Mincho" w:cs="Arial"/>
          <w:b/>
          <w:bCs/>
          <w:szCs w:val="18"/>
          <w:lang w:val="de-DE" w:eastAsia="ja-JP"/>
        </w:rPr>
        <w:t xml:space="preserve">DENAC K and KMECL P (2014) </w:t>
      </w:r>
      <w:r w:rsidRPr="00965D7D">
        <w:rPr>
          <w:rFonts w:eastAsia="MS Mincho" w:cs="Arial"/>
          <w:i/>
          <w:szCs w:val="18"/>
          <w:lang w:val="de-DE" w:eastAsia="ja-JP"/>
        </w:rPr>
        <w:t>Ptice Goričkega (The birds of Goričko)</w:t>
      </w:r>
      <w:r w:rsidRPr="00965D7D">
        <w:rPr>
          <w:rFonts w:eastAsia="MS Mincho" w:cs="Arial"/>
          <w:szCs w:val="18"/>
          <w:lang w:val="de-DE" w:eastAsia="ja-JP"/>
        </w:rPr>
        <w:t>. DOPPS, Ljubljana.</w:t>
      </w:r>
    </w:p>
    <w:p w14:paraId="347A49B1" w14:textId="77777777" w:rsidR="00C96521" w:rsidRPr="00965D7D" w:rsidRDefault="00C96521" w:rsidP="00C96521">
      <w:pPr>
        <w:widowControl/>
        <w:autoSpaceDE/>
        <w:autoSpaceDN/>
        <w:adjustRightInd/>
        <w:spacing w:line="276" w:lineRule="auto"/>
        <w:rPr>
          <w:rFonts w:eastAsia="MS Mincho" w:cs="Arial"/>
          <w:b/>
          <w:bCs/>
          <w:szCs w:val="18"/>
          <w:lang w:val="de-DE" w:eastAsia="ja-JP"/>
        </w:rPr>
      </w:pPr>
    </w:p>
    <w:p w14:paraId="5269E776" w14:textId="77777777" w:rsidR="00C96521" w:rsidRPr="00890F11" w:rsidRDefault="00C96521" w:rsidP="00C96521">
      <w:pPr>
        <w:widowControl/>
        <w:autoSpaceDE/>
        <w:autoSpaceDN/>
        <w:adjustRightInd/>
        <w:spacing w:line="276" w:lineRule="auto"/>
        <w:rPr>
          <w:rFonts w:eastAsia="MS Mincho" w:cs="Arial"/>
          <w:szCs w:val="18"/>
          <w:lang w:val="fr-FR" w:eastAsia="ja-JP"/>
        </w:rPr>
      </w:pPr>
      <w:r w:rsidRPr="00965D7D">
        <w:rPr>
          <w:rFonts w:eastAsia="MS Mincho" w:cs="Arial"/>
          <w:b/>
          <w:szCs w:val="18"/>
          <w:lang w:val="de-DE" w:eastAsia="ja-JP"/>
        </w:rPr>
        <w:t xml:space="preserve">DEVILLERS P, ROGGEMAN W, TRICOT J, DEL MARMOL P, KERWIJN C, JACOB J-P and ANSELIN A (1988) </w:t>
      </w:r>
      <w:r w:rsidRPr="00965D7D">
        <w:rPr>
          <w:rFonts w:eastAsia="MS Mincho" w:cs="Arial"/>
          <w:i/>
          <w:szCs w:val="18"/>
          <w:lang w:val="de-DE" w:eastAsia="ja-JP"/>
        </w:rPr>
        <w:t>Atlas des oiseaux nicheurs de Belgique</w:t>
      </w:r>
      <w:r w:rsidRPr="00965D7D">
        <w:rPr>
          <w:rFonts w:eastAsia="MS Mincho" w:cs="Arial"/>
          <w:szCs w:val="18"/>
          <w:lang w:val="de-DE" w:eastAsia="ja-JP"/>
        </w:rPr>
        <w:t xml:space="preserve">. </w:t>
      </w:r>
      <w:r w:rsidRPr="00890F11">
        <w:rPr>
          <w:rFonts w:eastAsia="MS Mincho" w:cs="Arial"/>
          <w:szCs w:val="18"/>
          <w:lang w:val="fr-FR" w:eastAsia="ja-JP"/>
        </w:rPr>
        <w:t xml:space="preserve">Institut Royal des Sciences Naturelles de Belgique, Bruxelles. </w:t>
      </w:r>
    </w:p>
    <w:p w14:paraId="43E183BE" w14:textId="77777777" w:rsidR="00C96521" w:rsidRPr="00890F11" w:rsidRDefault="00C96521" w:rsidP="00C96521">
      <w:pPr>
        <w:widowControl/>
        <w:autoSpaceDE/>
        <w:autoSpaceDN/>
        <w:adjustRightInd/>
        <w:spacing w:line="276" w:lineRule="auto"/>
        <w:rPr>
          <w:rFonts w:eastAsia="MS Mincho" w:cs="Arial"/>
          <w:b/>
          <w:bCs/>
          <w:szCs w:val="18"/>
          <w:lang w:val="fr-FR" w:eastAsia="ja-JP"/>
        </w:rPr>
      </w:pPr>
    </w:p>
    <w:p w14:paraId="3D87DCC0"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890F11">
        <w:rPr>
          <w:rFonts w:eastAsia="MS Mincho" w:cs="Arial"/>
          <w:b/>
          <w:bCs/>
          <w:szCs w:val="18"/>
          <w:lang w:val="fr-FR" w:eastAsia="ja-JP"/>
        </w:rPr>
        <w:t xml:space="preserve">DEVORT M, TROLLIET B and VEIGA J (1988) </w:t>
      </w:r>
      <w:r w:rsidRPr="00890F11">
        <w:rPr>
          <w:rFonts w:eastAsia="MS Mincho" w:cs="Arial"/>
          <w:szCs w:val="18"/>
          <w:lang w:val="fr-FR" w:eastAsia="ja-JP"/>
        </w:rPr>
        <w:t xml:space="preserve">Sur la migration postnuptiale de la tourterelle des bois en Gironde. </w:t>
      </w:r>
      <w:r w:rsidRPr="00890F11">
        <w:rPr>
          <w:rFonts w:eastAsia="MS Mincho" w:cs="Arial"/>
          <w:i/>
          <w:iCs/>
          <w:szCs w:val="18"/>
          <w:lang w:val="es-ES" w:eastAsia="ja-JP"/>
        </w:rPr>
        <w:t xml:space="preserve">Gibier Faune Sauvage </w:t>
      </w:r>
      <w:r w:rsidRPr="00890F11">
        <w:rPr>
          <w:rFonts w:eastAsia="MS Mincho" w:cs="Arial"/>
          <w:szCs w:val="18"/>
          <w:lang w:val="es-ES" w:eastAsia="ja-JP"/>
        </w:rPr>
        <w:t>5: 61-70.</w:t>
      </w:r>
    </w:p>
    <w:p w14:paraId="202C8B97" w14:textId="77777777" w:rsidR="00C96521" w:rsidRPr="00890F11" w:rsidRDefault="00C96521" w:rsidP="00C96521">
      <w:pPr>
        <w:widowControl/>
        <w:autoSpaceDE/>
        <w:autoSpaceDN/>
        <w:adjustRightInd/>
        <w:spacing w:line="276" w:lineRule="auto"/>
        <w:rPr>
          <w:rFonts w:eastAsia="MS Mincho" w:cs="Arial"/>
          <w:szCs w:val="18"/>
          <w:lang w:val="es-ES" w:eastAsia="ja-JP"/>
        </w:rPr>
      </w:pPr>
    </w:p>
    <w:p w14:paraId="67F3F186" w14:textId="77777777" w:rsidR="00C96521" w:rsidRPr="00C96521" w:rsidRDefault="00C96521" w:rsidP="00C96521">
      <w:pPr>
        <w:widowControl/>
        <w:spacing w:line="276" w:lineRule="auto"/>
        <w:rPr>
          <w:rFonts w:eastAsia="MS Mincho" w:cs="Arial"/>
          <w:color w:val="000000"/>
          <w:szCs w:val="18"/>
          <w:lang w:val="pt-PT" w:eastAsia="ja-JP"/>
        </w:rPr>
      </w:pPr>
      <w:r w:rsidRPr="00C96521">
        <w:rPr>
          <w:rFonts w:eastAsia="MS Mincho" w:cs="Arial"/>
          <w:b/>
          <w:color w:val="000000"/>
          <w:szCs w:val="18"/>
          <w:lang w:val="pt-PT" w:eastAsia="ja-JP"/>
        </w:rPr>
        <w:t>DIAS (2016</w:t>
      </w:r>
      <w:r w:rsidRPr="00C96521">
        <w:rPr>
          <w:rFonts w:eastAsia="MS Mincho" w:cs="Arial"/>
          <w:b/>
          <w:bCs/>
          <w:color w:val="000000"/>
          <w:szCs w:val="18"/>
          <w:lang w:val="pt-PT" w:eastAsia="ja-JP"/>
        </w:rPr>
        <w:t>)</w:t>
      </w:r>
      <w:r w:rsidRPr="00C96521">
        <w:rPr>
          <w:rFonts w:eastAsia="MS Mincho" w:cs="Arial"/>
          <w:bCs/>
          <w:color w:val="000000"/>
          <w:szCs w:val="18"/>
          <w:lang w:val="pt-PT" w:eastAsia="ja-JP"/>
        </w:rPr>
        <w:t xml:space="preserve"> </w:t>
      </w:r>
      <w:r w:rsidRPr="00C96521">
        <w:rPr>
          <w:rFonts w:eastAsia="MS Mincho" w:cs="Arial"/>
          <w:i/>
          <w:color w:val="000000"/>
          <w:szCs w:val="18"/>
          <w:lang w:val="pt-PT" w:eastAsia="ja-JP"/>
        </w:rPr>
        <w:t>Critérios para a gestão sustentável das populações de rola-brava [</w:t>
      </w:r>
      <w:r w:rsidRPr="00C96521">
        <w:rPr>
          <w:rFonts w:eastAsia="MS Mincho" w:cs="Arial"/>
          <w:i/>
          <w:iCs/>
          <w:color w:val="000000"/>
          <w:szCs w:val="18"/>
          <w:lang w:val="pt-PT" w:eastAsia="ja-JP"/>
        </w:rPr>
        <w:t xml:space="preserve">Streptopelia turtur </w:t>
      </w:r>
      <w:r w:rsidRPr="00C96521">
        <w:rPr>
          <w:rFonts w:eastAsia="MS Mincho" w:cs="Arial"/>
          <w:i/>
          <w:color w:val="000000"/>
          <w:szCs w:val="18"/>
          <w:lang w:val="pt-PT" w:eastAsia="ja-JP"/>
        </w:rPr>
        <w:t>(L.)] em Portugal. Padrões de abundância, reprodução e pressão cinegética</w:t>
      </w:r>
      <w:r w:rsidRPr="00C96521">
        <w:rPr>
          <w:rFonts w:eastAsia="MS Mincho" w:cs="Arial"/>
          <w:color w:val="000000"/>
          <w:szCs w:val="18"/>
          <w:lang w:val="pt-PT" w:eastAsia="ja-JP"/>
        </w:rPr>
        <w:t xml:space="preserve">. </w:t>
      </w:r>
      <w:r w:rsidRPr="00C96521">
        <w:rPr>
          <w:rFonts w:eastAsia="MS Mincho" w:cs="Arial"/>
          <w:bCs/>
          <w:color w:val="000000"/>
          <w:szCs w:val="18"/>
          <w:lang w:val="pt-PT" w:eastAsia="ja-JP"/>
        </w:rPr>
        <w:t>PhD Thesis</w:t>
      </w:r>
      <w:r w:rsidRPr="00C96521">
        <w:rPr>
          <w:rFonts w:eastAsia="MS Mincho" w:cs="Arial"/>
          <w:color w:val="000000"/>
          <w:szCs w:val="18"/>
          <w:lang w:val="pt-PT" w:eastAsia="ja-JP"/>
        </w:rPr>
        <w:t xml:space="preserve">. Instituto Superior de Agronomia, Universidade de Lisboa. </w:t>
      </w:r>
    </w:p>
    <w:p w14:paraId="1485A16F" w14:textId="77777777" w:rsidR="00C96521" w:rsidRPr="00C96521" w:rsidRDefault="00C96521" w:rsidP="00C96521">
      <w:pPr>
        <w:widowControl/>
        <w:spacing w:line="276" w:lineRule="auto"/>
        <w:rPr>
          <w:rFonts w:eastAsia="MS Mincho" w:cs="Arial"/>
          <w:b/>
          <w:color w:val="000000"/>
          <w:szCs w:val="18"/>
          <w:lang w:val="pt-PT" w:eastAsia="ja-JP"/>
        </w:rPr>
      </w:pPr>
    </w:p>
    <w:p w14:paraId="658EED8C" w14:textId="77777777" w:rsidR="00C96521" w:rsidRPr="00C96521" w:rsidRDefault="00C96521" w:rsidP="00C96521">
      <w:pPr>
        <w:widowControl/>
        <w:spacing w:line="276" w:lineRule="auto"/>
        <w:rPr>
          <w:rFonts w:eastAsia="MS Mincho" w:cs="Arial"/>
          <w:b/>
          <w:color w:val="000000"/>
          <w:szCs w:val="18"/>
          <w:lang w:val="pt-PT" w:eastAsia="ja-JP"/>
        </w:rPr>
      </w:pPr>
      <w:r w:rsidRPr="00C96521">
        <w:rPr>
          <w:rFonts w:eastAsia="MS Mincho" w:cs="Arial"/>
          <w:b/>
          <w:color w:val="000000"/>
          <w:szCs w:val="18"/>
          <w:lang w:val="pt-PT" w:eastAsia="ja-JP"/>
        </w:rPr>
        <w:t xml:space="preserve">DIAS S </w:t>
      </w:r>
      <w:r w:rsidRPr="00C96521">
        <w:rPr>
          <w:rFonts w:eastAsia="MS Mincho" w:cs="Arial"/>
          <w:color w:val="000000"/>
          <w:szCs w:val="18"/>
          <w:lang w:val="pt-PT" w:eastAsia="ja-JP"/>
        </w:rPr>
        <w:t xml:space="preserve">and </w:t>
      </w:r>
      <w:r w:rsidRPr="00C96521">
        <w:rPr>
          <w:rFonts w:eastAsia="MS Mincho" w:cs="Arial"/>
          <w:b/>
          <w:color w:val="000000"/>
          <w:szCs w:val="18"/>
          <w:lang w:val="pt-PT" w:eastAsia="ja-JP"/>
        </w:rPr>
        <w:t>FONTOURA P</w:t>
      </w:r>
      <w:r w:rsidRPr="00C96521">
        <w:rPr>
          <w:rFonts w:eastAsia="MS Mincho" w:cs="Arial"/>
          <w:color w:val="000000"/>
          <w:szCs w:val="18"/>
          <w:lang w:val="pt-PT" w:eastAsia="ja-JP"/>
        </w:rPr>
        <w:t xml:space="preserve"> (</w:t>
      </w:r>
      <w:r w:rsidRPr="00C96521">
        <w:rPr>
          <w:rFonts w:eastAsia="MS Mincho" w:cs="Arial"/>
          <w:b/>
          <w:color w:val="000000"/>
          <w:szCs w:val="18"/>
          <w:lang w:val="pt-PT" w:eastAsia="ja-JP"/>
        </w:rPr>
        <w:t xml:space="preserve">1996) </w:t>
      </w:r>
      <w:r w:rsidRPr="00C96521">
        <w:rPr>
          <w:rFonts w:eastAsia="MS Mincho" w:cs="Arial"/>
          <w:color w:val="000000"/>
          <w:szCs w:val="18"/>
          <w:lang w:val="pt-PT" w:eastAsia="ja-JP"/>
        </w:rPr>
        <w:t xml:space="preserve">A alimentação estival da rola-brava no sul de Portugal. Actas do II Congresso Ibérico de Ciências Cinegéticas. </w:t>
      </w:r>
      <w:r w:rsidRPr="00C96521">
        <w:rPr>
          <w:rFonts w:eastAsia="MS Mincho" w:cs="Arial"/>
          <w:i/>
          <w:color w:val="000000"/>
          <w:szCs w:val="18"/>
          <w:lang w:val="pt-PT" w:eastAsia="ja-JP"/>
        </w:rPr>
        <w:t>Revista Florestal</w:t>
      </w:r>
      <w:r w:rsidRPr="00C96521">
        <w:rPr>
          <w:rFonts w:eastAsia="MS Mincho" w:cs="Arial"/>
          <w:color w:val="000000"/>
          <w:szCs w:val="18"/>
          <w:lang w:val="pt-PT" w:eastAsia="ja-JP"/>
        </w:rPr>
        <w:t xml:space="preserve"> 9(1): 227-241.</w:t>
      </w:r>
    </w:p>
    <w:p w14:paraId="373C05FA" w14:textId="77777777" w:rsidR="00C96521" w:rsidRPr="00890F11" w:rsidRDefault="00C96521" w:rsidP="00C96521">
      <w:pPr>
        <w:widowControl/>
        <w:spacing w:line="276" w:lineRule="auto"/>
        <w:rPr>
          <w:rFonts w:eastAsia="MS Mincho" w:cs="Arial"/>
          <w:b/>
          <w:szCs w:val="18"/>
          <w:lang w:val="es-ES" w:eastAsia="ja-JP"/>
        </w:rPr>
      </w:pPr>
    </w:p>
    <w:p w14:paraId="14BE13CD"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 xml:space="preserve">DIAS S, MOREIRA F, BEJA P, CARVALHO M, GORDINHO L, REINO L, OLIVEIRA V and REGO F (2013) </w:t>
      </w:r>
      <w:r w:rsidRPr="00C96521">
        <w:rPr>
          <w:rFonts w:eastAsia="MS Mincho" w:cs="Arial"/>
          <w:szCs w:val="18"/>
          <w:lang w:val="en-GB" w:eastAsia="ja-JP"/>
        </w:rPr>
        <w:t xml:space="preserve">Landscape effects on large-scale abundance patterns of turtle-doves </w:t>
      </w:r>
      <w:r w:rsidRPr="00C96521">
        <w:rPr>
          <w:rFonts w:eastAsia="MS Mincho" w:cs="Arial"/>
          <w:i/>
          <w:szCs w:val="18"/>
          <w:lang w:val="en-GB" w:eastAsia="ja-JP"/>
        </w:rPr>
        <w:t>Streptopelia turtur</w:t>
      </w:r>
      <w:r w:rsidRPr="00C96521">
        <w:rPr>
          <w:rFonts w:eastAsia="MS Mincho" w:cs="Arial"/>
          <w:szCs w:val="18"/>
          <w:lang w:val="en-GB" w:eastAsia="ja-JP"/>
        </w:rPr>
        <w:t xml:space="preserve"> in Portugal. </w:t>
      </w:r>
      <w:r w:rsidRPr="00C96521">
        <w:rPr>
          <w:rFonts w:eastAsia="MS Mincho" w:cs="Arial"/>
          <w:i/>
          <w:szCs w:val="18"/>
          <w:lang w:val="en-GB" w:eastAsia="ja-JP"/>
        </w:rPr>
        <w:t>European Journal of Wildlife Resources</w:t>
      </w:r>
      <w:r w:rsidRPr="00C96521">
        <w:rPr>
          <w:rFonts w:eastAsia="MS Mincho" w:cs="Arial"/>
          <w:szCs w:val="18"/>
          <w:lang w:val="en-GB" w:eastAsia="ja-JP"/>
        </w:rPr>
        <w:t xml:space="preserve"> 59: 531–541.</w:t>
      </w:r>
    </w:p>
    <w:p w14:paraId="5B0A59FE" w14:textId="77777777" w:rsidR="00C96521" w:rsidRPr="00C96521" w:rsidRDefault="00C96521" w:rsidP="00C96521">
      <w:pPr>
        <w:widowControl/>
        <w:spacing w:line="276" w:lineRule="auto"/>
        <w:rPr>
          <w:rFonts w:eastAsia="MS Mincho" w:cs="Arial"/>
          <w:szCs w:val="18"/>
          <w:lang w:val="en-GB" w:eastAsia="ja-JP"/>
        </w:rPr>
      </w:pPr>
    </w:p>
    <w:p w14:paraId="372B39CB" w14:textId="77777777" w:rsidR="00C96521" w:rsidRPr="00C96521" w:rsidRDefault="00C96521" w:rsidP="00C96521">
      <w:pPr>
        <w:widowControl/>
        <w:spacing w:line="276" w:lineRule="auto"/>
        <w:rPr>
          <w:rFonts w:eastAsia="MS Mincho" w:cs="Arial"/>
          <w:color w:val="000000"/>
          <w:szCs w:val="18"/>
          <w:lang w:val="pt-PT" w:eastAsia="ja-JP"/>
        </w:rPr>
      </w:pPr>
      <w:r w:rsidRPr="00C96521">
        <w:rPr>
          <w:rFonts w:eastAsia="MS Mincho" w:cs="Arial"/>
          <w:b/>
          <w:color w:val="000000"/>
          <w:szCs w:val="18"/>
          <w:lang w:val="pt-PT" w:eastAsia="ja-JP"/>
        </w:rPr>
        <w:t>DILLINGHAM PW and FLETCHER D (2008)</w:t>
      </w:r>
      <w:r w:rsidRPr="00C96521">
        <w:rPr>
          <w:rFonts w:eastAsia="MS Mincho" w:cs="Arial"/>
          <w:color w:val="000000"/>
          <w:szCs w:val="18"/>
          <w:lang w:val="pt-PT" w:eastAsia="ja-JP"/>
        </w:rPr>
        <w:t xml:space="preserve"> Estimating the ability of birds to sustain additional human-caused mortalities using a simple decision rule and allometric relationships. </w:t>
      </w:r>
      <w:r w:rsidRPr="00C96521">
        <w:rPr>
          <w:rFonts w:eastAsia="MS Mincho" w:cs="Arial"/>
          <w:i/>
          <w:color w:val="000000"/>
          <w:szCs w:val="18"/>
          <w:lang w:val="pt-PT" w:eastAsia="ja-JP"/>
        </w:rPr>
        <w:t>Biological Conservation</w:t>
      </w:r>
      <w:r w:rsidRPr="00C96521">
        <w:rPr>
          <w:rFonts w:eastAsia="MS Mincho" w:cs="Arial"/>
          <w:color w:val="000000"/>
          <w:szCs w:val="18"/>
          <w:lang w:val="pt-PT" w:eastAsia="ja-JP"/>
        </w:rPr>
        <w:t xml:space="preserve"> 141(7): 1783 – 1792.</w:t>
      </w:r>
    </w:p>
    <w:p w14:paraId="1054F664" w14:textId="77777777" w:rsidR="00C96521" w:rsidRPr="00890F11" w:rsidRDefault="00C96521" w:rsidP="00C96521">
      <w:pPr>
        <w:widowControl/>
        <w:spacing w:line="276" w:lineRule="auto"/>
        <w:rPr>
          <w:rFonts w:eastAsia="MS Mincho" w:cs="Arial"/>
          <w:szCs w:val="18"/>
          <w:lang w:val="fr-FR" w:eastAsia="ja-JP"/>
        </w:rPr>
      </w:pPr>
    </w:p>
    <w:p w14:paraId="267D2568" w14:textId="77777777" w:rsidR="00C96521" w:rsidRPr="00890F11" w:rsidRDefault="00C96521" w:rsidP="00C96521">
      <w:pPr>
        <w:widowControl/>
        <w:spacing w:line="276" w:lineRule="auto"/>
        <w:rPr>
          <w:rFonts w:eastAsia="MS Mincho" w:cs="Arial"/>
          <w:szCs w:val="18"/>
          <w:lang w:val="fr-FR" w:eastAsia="ja-JP"/>
        </w:rPr>
      </w:pPr>
      <w:r w:rsidRPr="00890F11">
        <w:rPr>
          <w:rFonts w:eastAsia="MS Mincho" w:cs="Arial"/>
          <w:b/>
          <w:szCs w:val="18"/>
          <w:lang w:val="fr-FR" w:eastAsia="ja-JP"/>
        </w:rPr>
        <w:t>DUBOIS C (2002)</w:t>
      </w:r>
      <w:r w:rsidRPr="00890F11">
        <w:rPr>
          <w:rFonts w:eastAsia="MS Mincho" w:cs="Arial"/>
          <w:szCs w:val="18"/>
          <w:lang w:val="fr-FR" w:eastAsia="ja-JP"/>
        </w:rPr>
        <w:t xml:space="preserve"> </w:t>
      </w:r>
      <w:r w:rsidRPr="00890F11">
        <w:rPr>
          <w:rFonts w:eastAsia="MS Mincho" w:cs="Arial"/>
          <w:i/>
          <w:szCs w:val="18"/>
          <w:lang w:val="fr-FR" w:eastAsia="ja-JP"/>
        </w:rPr>
        <w:t>Contribution à l’étude de la tourterelle des bois (</w:t>
      </w:r>
      <w:r w:rsidRPr="00890F11">
        <w:rPr>
          <w:rFonts w:eastAsia="MS Mincho" w:cs="Arial"/>
          <w:szCs w:val="18"/>
          <w:lang w:val="fr-FR" w:eastAsia="ja-JP"/>
        </w:rPr>
        <w:t>Streptopelia turtur</w:t>
      </w:r>
      <w:r w:rsidRPr="00890F11">
        <w:rPr>
          <w:rFonts w:eastAsia="MS Mincho" w:cs="Arial"/>
          <w:i/>
          <w:szCs w:val="18"/>
          <w:lang w:val="fr-FR" w:eastAsia="ja-JP"/>
        </w:rPr>
        <w:t>): Biologie, Zoologie, Chasse</w:t>
      </w:r>
      <w:r w:rsidRPr="00890F11">
        <w:rPr>
          <w:rFonts w:eastAsia="MS Mincho" w:cs="Arial"/>
          <w:szCs w:val="18"/>
          <w:lang w:val="fr-FR" w:eastAsia="ja-JP"/>
        </w:rPr>
        <w:t>. Thèse pour obtenir le grade de Docteur Vétérinaire. Ecole Nationale Vétérinaire, Toulouse.</w:t>
      </w:r>
    </w:p>
    <w:p w14:paraId="2A10E0C6" w14:textId="77777777" w:rsidR="00C96521" w:rsidRPr="00890F11" w:rsidRDefault="00C96521" w:rsidP="00C96521">
      <w:pPr>
        <w:widowControl/>
        <w:spacing w:line="276" w:lineRule="auto"/>
        <w:rPr>
          <w:rFonts w:eastAsia="MS Mincho" w:cs="Arial"/>
          <w:b/>
          <w:szCs w:val="18"/>
          <w:lang w:val="fr-FR" w:eastAsia="ja-JP"/>
        </w:rPr>
      </w:pPr>
    </w:p>
    <w:p w14:paraId="648BC52C"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890F11">
        <w:rPr>
          <w:rFonts w:eastAsia="MS Mincho" w:cs="Arial"/>
          <w:b/>
          <w:szCs w:val="18"/>
          <w:lang w:val="fr-FR" w:eastAsia="ja-JP"/>
        </w:rPr>
        <w:t>DUBOIS PJ, LE MARECHAL P, OLIOSO G and YESOU P (2008)</w:t>
      </w:r>
      <w:r w:rsidRPr="00890F11">
        <w:rPr>
          <w:rFonts w:eastAsia="MS Mincho" w:cs="Arial"/>
          <w:szCs w:val="18"/>
          <w:lang w:val="fr-FR" w:eastAsia="ja-JP"/>
        </w:rPr>
        <w:t xml:space="preserve"> </w:t>
      </w:r>
      <w:r w:rsidRPr="00890F11">
        <w:rPr>
          <w:rFonts w:eastAsia="MS Mincho" w:cs="Arial"/>
          <w:i/>
          <w:szCs w:val="18"/>
          <w:lang w:val="fr-FR" w:eastAsia="ja-JP"/>
        </w:rPr>
        <w:t>Nouvel inventaire des oiseaux de France</w:t>
      </w:r>
      <w:r w:rsidRPr="00890F11">
        <w:rPr>
          <w:rFonts w:eastAsia="MS Mincho" w:cs="Arial"/>
          <w:szCs w:val="18"/>
          <w:lang w:val="fr-FR" w:eastAsia="ja-JP"/>
        </w:rPr>
        <w:t xml:space="preserve">. </w:t>
      </w:r>
      <w:r w:rsidRPr="00C96521">
        <w:rPr>
          <w:rFonts w:eastAsia="MS Mincho" w:cs="Arial"/>
          <w:szCs w:val="18"/>
          <w:lang w:val="en-GB" w:eastAsia="ja-JP"/>
        </w:rPr>
        <w:t>Delachaux et Niestlé, Paris.</w:t>
      </w:r>
    </w:p>
    <w:p w14:paraId="6118207E" w14:textId="77777777" w:rsidR="00C96521" w:rsidRPr="00C96521" w:rsidRDefault="00C96521" w:rsidP="00C96521">
      <w:pPr>
        <w:widowControl/>
        <w:spacing w:line="276" w:lineRule="auto"/>
        <w:rPr>
          <w:rFonts w:eastAsia="MS Mincho" w:cs="Arial"/>
          <w:b/>
          <w:szCs w:val="18"/>
          <w:lang w:val="en-GB" w:eastAsia="ja-JP"/>
        </w:rPr>
      </w:pPr>
    </w:p>
    <w:p w14:paraId="75A3771C"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DUNN JC and MORRIS AJ (2012)</w:t>
      </w:r>
      <w:r w:rsidRPr="00C96521">
        <w:rPr>
          <w:rFonts w:eastAsia="MS Mincho" w:cs="Arial"/>
          <w:szCs w:val="18"/>
          <w:lang w:val="en-GB" w:eastAsia="ja-JP"/>
        </w:rPr>
        <w:t xml:space="preserve"> Which features of UK farmland are important in retaining territories of the rapidly declining Turtle-dove </w:t>
      </w:r>
      <w:r w:rsidRPr="00C96521">
        <w:rPr>
          <w:rFonts w:eastAsia="MS Mincho" w:cs="Arial"/>
          <w:i/>
          <w:szCs w:val="18"/>
          <w:lang w:val="en-GB" w:eastAsia="ja-JP"/>
        </w:rPr>
        <w:t>Streptopelia turtur</w:t>
      </w:r>
      <w:r w:rsidRPr="00C96521">
        <w:rPr>
          <w:rFonts w:eastAsia="MS Mincho" w:cs="Arial"/>
          <w:szCs w:val="18"/>
          <w:lang w:val="en-GB" w:eastAsia="ja-JP"/>
        </w:rPr>
        <w:t xml:space="preserve">? </w:t>
      </w:r>
      <w:r w:rsidRPr="00C96521">
        <w:rPr>
          <w:rFonts w:eastAsia="MS Mincho" w:cs="Arial"/>
          <w:i/>
          <w:szCs w:val="18"/>
          <w:lang w:val="en-GB" w:eastAsia="ja-JP"/>
        </w:rPr>
        <w:t>Bird Study</w:t>
      </w:r>
      <w:r w:rsidRPr="00C96521">
        <w:rPr>
          <w:rFonts w:eastAsia="MS Mincho" w:cs="Arial"/>
          <w:szCs w:val="18"/>
          <w:lang w:val="en-GB" w:eastAsia="ja-JP"/>
        </w:rPr>
        <w:t xml:space="preserve"> 59(4): 394-402.</w:t>
      </w:r>
    </w:p>
    <w:p w14:paraId="1B1D583F" w14:textId="77777777" w:rsidR="00C96521" w:rsidRPr="00C96521" w:rsidRDefault="00C96521" w:rsidP="00C96521">
      <w:pPr>
        <w:widowControl/>
        <w:spacing w:line="276" w:lineRule="auto"/>
        <w:rPr>
          <w:rFonts w:eastAsia="MS Mincho" w:cs="Arial"/>
          <w:b/>
          <w:szCs w:val="18"/>
          <w:lang w:val="en-GB" w:eastAsia="ja-JP"/>
        </w:rPr>
      </w:pPr>
    </w:p>
    <w:p w14:paraId="4FCF3217"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DUNN JC, MORRIS AJ and GRICE PV (2015)</w:t>
      </w:r>
      <w:r w:rsidRPr="00C96521">
        <w:rPr>
          <w:rFonts w:eastAsia="MS Mincho" w:cs="Arial"/>
          <w:szCs w:val="18"/>
          <w:lang w:val="en-GB" w:eastAsia="ja-JP"/>
        </w:rPr>
        <w:t xml:space="preserve"> Testing bespoke management of foraging habitat for European Turtle Doves </w:t>
      </w:r>
      <w:r w:rsidRPr="00C96521">
        <w:rPr>
          <w:rFonts w:eastAsia="MS Mincho" w:cs="Arial"/>
          <w:i/>
          <w:szCs w:val="18"/>
          <w:lang w:val="en-GB" w:eastAsia="ja-JP"/>
        </w:rPr>
        <w:t>Streptopelia turtur</w:t>
      </w:r>
      <w:r w:rsidRPr="00C96521">
        <w:rPr>
          <w:rFonts w:eastAsia="MS Mincho" w:cs="Arial"/>
          <w:szCs w:val="18"/>
          <w:lang w:val="en-GB" w:eastAsia="ja-JP"/>
        </w:rPr>
        <w:t xml:space="preserve">. </w:t>
      </w:r>
      <w:r w:rsidRPr="00C96521">
        <w:rPr>
          <w:rFonts w:eastAsia="MS Mincho" w:cs="Arial"/>
          <w:i/>
          <w:szCs w:val="18"/>
          <w:lang w:val="en-GB" w:eastAsia="ja-JP"/>
        </w:rPr>
        <w:t>Journal of Nature Conservation</w:t>
      </w:r>
      <w:r w:rsidRPr="00C96521">
        <w:rPr>
          <w:rFonts w:eastAsia="MS Mincho" w:cs="Arial"/>
          <w:szCs w:val="18"/>
          <w:lang w:val="en-GB" w:eastAsia="ja-JP"/>
        </w:rPr>
        <w:t xml:space="preserve"> 25: 23-34.</w:t>
      </w:r>
    </w:p>
    <w:p w14:paraId="5AC187F4" w14:textId="77777777" w:rsidR="00C96521" w:rsidRPr="00C96521" w:rsidRDefault="00C96521" w:rsidP="00C96521">
      <w:pPr>
        <w:widowControl/>
        <w:spacing w:line="276" w:lineRule="auto"/>
        <w:rPr>
          <w:rFonts w:eastAsia="MS Mincho" w:cs="Arial"/>
          <w:b/>
          <w:szCs w:val="18"/>
          <w:lang w:val="en-GB" w:eastAsia="ja-JP"/>
        </w:rPr>
      </w:pPr>
    </w:p>
    <w:p w14:paraId="4D896F2F"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DUNN JC, MORRIS AJ and GRICE PV (2016a)</w:t>
      </w:r>
      <w:r w:rsidRPr="00C96521">
        <w:rPr>
          <w:rFonts w:eastAsia="MS Mincho" w:cs="Arial"/>
          <w:szCs w:val="18"/>
          <w:lang w:val="en-GB" w:eastAsia="ja-JP"/>
        </w:rPr>
        <w:t xml:space="preserve"> Post-fledging habitat selection in a rapidly declining farmland bird, the European Turtle-dove </w:t>
      </w:r>
      <w:r w:rsidRPr="00C96521">
        <w:rPr>
          <w:rFonts w:eastAsia="MS Mincho" w:cs="Arial"/>
          <w:i/>
          <w:szCs w:val="18"/>
          <w:lang w:val="en-GB" w:eastAsia="ja-JP"/>
        </w:rPr>
        <w:t>Streptopelia turtur</w:t>
      </w:r>
      <w:r w:rsidRPr="00C96521">
        <w:rPr>
          <w:rFonts w:eastAsia="MS Mincho" w:cs="Arial"/>
          <w:szCs w:val="18"/>
          <w:lang w:val="en-GB" w:eastAsia="ja-JP"/>
        </w:rPr>
        <w:t xml:space="preserve">. </w:t>
      </w:r>
      <w:r w:rsidRPr="00C96521">
        <w:rPr>
          <w:rFonts w:eastAsia="MS Mincho" w:cs="Arial"/>
          <w:i/>
          <w:szCs w:val="18"/>
          <w:lang w:val="en-GB" w:eastAsia="ja-JP"/>
        </w:rPr>
        <w:t>Bird Conservation International</w:t>
      </w:r>
      <w:r w:rsidRPr="00C96521">
        <w:rPr>
          <w:rFonts w:eastAsia="MS Mincho" w:cs="Arial"/>
          <w:szCs w:val="18"/>
          <w:lang w:val="en-GB" w:eastAsia="ja-JP"/>
        </w:rPr>
        <w:t>, available on CJO 2016 doi:10.1017/S0959270916000022.</w:t>
      </w:r>
    </w:p>
    <w:p w14:paraId="2C7B4C38" w14:textId="77777777" w:rsidR="00C96521" w:rsidRPr="00C96521" w:rsidRDefault="00C96521" w:rsidP="00C96521">
      <w:pPr>
        <w:widowControl/>
        <w:spacing w:line="276" w:lineRule="auto"/>
        <w:rPr>
          <w:rFonts w:eastAsia="MS Mincho" w:cs="Arial"/>
          <w:szCs w:val="18"/>
          <w:lang w:val="en-GB" w:eastAsia="ja-JP"/>
        </w:rPr>
      </w:pPr>
    </w:p>
    <w:p w14:paraId="1127DAA3"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DUNN JC, STOCKDALE JE, McCUBBIN A, THOMAS RC, GOODMAN SJ, GRICE PV, MORRIS AJ, HAMER KC and SYMONDSON WOC (2016b)</w:t>
      </w:r>
      <w:r w:rsidRPr="00C96521">
        <w:rPr>
          <w:rFonts w:eastAsia="MS Mincho" w:cs="Arial"/>
          <w:szCs w:val="18"/>
          <w:lang w:val="en-GB" w:eastAsia="ja-JP"/>
        </w:rPr>
        <w:t xml:space="preserve"> Non-cultured faecal and gastrointestinal seed samples fail to detect Trichomonad infection in clinically and sub-clinically infected columbid birds. </w:t>
      </w:r>
      <w:r w:rsidRPr="00C96521">
        <w:rPr>
          <w:rFonts w:eastAsia="MS Mincho" w:cs="Arial"/>
          <w:i/>
          <w:szCs w:val="18"/>
          <w:lang w:val="en-GB" w:eastAsia="ja-JP"/>
        </w:rPr>
        <w:t xml:space="preserve">Conservation Genetic Resources </w:t>
      </w:r>
      <w:r w:rsidRPr="00C96521">
        <w:rPr>
          <w:rFonts w:eastAsia="MS Mincho" w:cs="Arial"/>
          <w:szCs w:val="18"/>
          <w:lang w:val="en-GB" w:eastAsia="ja-JP"/>
        </w:rPr>
        <w:t xml:space="preserve">8: 97–99. </w:t>
      </w:r>
    </w:p>
    <w:p w14:paraId="40FB4DF8" w14:textId="77777777" w:rsidR="00C96521" w:rsidRPr="00C96521" w:rsidRDefault="00C96521" w:rsidP="00C96521">
      <w:pPr>
        <w:widowControl/>
        <w:spacing w:line="276" w:lineRule="auto"/>
        <w:rPr>
          <w:rFonts w:eastAsia="MS Mincho" w:cs="Arial"/>
          <w:szCs w:val="18"/>
          <w:lang w:val="en-GB" w:eastAsia="ja-JP"/>
        </w:rPr>
      </w:pPr>
    </w:p>
    <w:p w14:paraId="03EB0A20"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DUNN JC, STOCKDALE JE, MOORHOUSE-GANN RJ, McCUBBIN A, HIPPERSON H, MORRIS AJ, GRICE PV and SYMONDSON WOC (2016c)</w:t>
      </w:r>
      <w:r w:rsidRPr="00C96521">
        <w:rPr>
          <w:rFonts w:eastAsia="MS Mincho" w:cs="Arial"/>
          <w:szCs w:val="18"/>
          <w:lang w:val="en-GB" w:eastAsia="ja-JP"/>
        </w:rPr>
        <w:t xml:space="preserve"> Molecular analysis of dietary overlap between UK columbids and associations between diet and body condition in the rapidly declining European turtle-dove </w:t>
      </w:r>
      <w:r w:rsidRPr="00C96521">
        <w:rPr>
          <w:rFonts w:eastAsia="MS Mincho" w:cs="Arial"/>
          <w:i/>
          <w:szCs w:val="18"/>
          <w:lang w:val="en-GB" w:eastAsia="ja-JP"/>
        </w:rPr>
        <w:t>Streptopelia turtur</w:t>
      </w:r>
      <w:r w:rsidRPr="00C96521">
        <w:rPr>
          <w:rFonts w:eastAsia="MS Mincho" w:cs="Arial"/>
          <w:szCs w:val="18"/>
          <w:lang w:val="en-GB" w:eastAsia="ja-JP"/>
        </w:rPr>
        <w:t>. RSPB, Sandy (under review).</w:t>
      </w:r>
    </w:p>
    <w:p w14:paraId="6AF017BB" w14:textId="77777777" w:rsidR="00C96521" w:rsidRPr="00C96521" w:rsidRDefault="00C96521" w:rsidP="00C96521">
      <w:pPr>
        <w:widowControl/>
        <w:spacing w:line="276" w:lineRule="auto"/>
        <w:rPr>
          <w:rFonts w:eastAsia="MS Mincho" w:cs="Arial"/>
          <w:szCs w:val="18"/>
          <w:lang w:val="en-GB" w:eastAsia="ja-JP"/>
        </w:rPr>
      </w:pPr>
    </w:p>
    <w:p w14:paraId="17CB6449" w14:textId="77777777" w:rsidR="00C96521" w:rsidRPr="008C00B8" w:rsidRDefault="00C96521" w:rsidP="00C96521">
      <w:pPr>
        <w:widowControl/>
        <w:autoSpaceDE/>
        <w:autoSpaceDN/>
        <w:adjustRightInd/>
        <w:spacing w:line="276" w:lineRule="auto"/>
        <w:rPr>
          <w:rFonts w:cs="Arial"/>
          <w:szCs w:val="18"/>
          <w:lang w:val="de-DE" w:eastAsia="ja-JP"/>
        </w:rPr>
      </w:pPr>
      <w:r w:rsidRPr="00C96521">
        <w:rPr>
          <w:rFonts w:cs="Arial"/>
          <w:b/>
          <w:szCs w:val="18"/>
          <w:lang w:val="en-GB" w:eastAsia="ja-JP"/>
        </w:rPr>
        <w:t>DVORAK M (2017)</w:t>
      </w:r>
      <w:r w:rsidRPr="00C96521">
        <w:rPr>
          <w:rFonts w:cs="Arial"/>
          <w:szCs w:val="18"/>
          <w:lang w:val="en-GB" w:eastAsia="ja-JP"/>
        </w:rPr>
        <w:t xml:space="preserve"> Population estimates of Austrian breeding birds. </w:t>
      </w:r>
      <w:r w:rsidRPr="008C00B8">
        <w:rPr>
          <w:rFonts w:cs="Arial"/>
          <w:i/>
          <w:szCs w:val="18"/>
          <w:lang w:val="de-DE" w:eastAsia="ja-JP"/>
        </w:rPr>
        <w:t>Egretta</w:t>
      </w:r>
      <w:r w:rsidRPr="008C00B8">
        <w:rPr>
          <w:rFonts w:cs="Arial"/>
          <w:szCs w:val="18"/>
          <w:lang w:val="de-DE" w:eastAsia="ja-JP"/>
        </w:rPr>
        <w:t xml:space="preserve"> 55, in preparation.</w:t>
      </w:r>
    </w:p>
    <w:p w14:paraId="70D30807" w14:textId="77777777" w:rsidR="00C96521" w:rsidRPr="008C00B8" w:rsidRDefault="00C96521" w:rsidP="00C96521">
      <w:pPr>
        <w:widowControl/>
        <w:autoSpaceDE/>
        <w:autoSpaceDN/>
        <w:adjustRightInd/>
        <w:spacing w:line="276" w:lineRule="auto"/>
        <w:rPr>
          <w:rFonts w:eastAsia="MS Mincho" w:cs="Arial"/>
          <w:b/>
          <w:szCs w:val="18"/>
          <w:lang w:val="de-DE" w:eastAsia="ja-JP"/>
        </w:rPr>
      </w:pPr>
    </w:p>
    <w:p w14:paraId="6AE7E7A1" w14:textId="77777777" w:rsidR="00C96521" w:rsidRPr="008C00B8" w:rsidRDefault="00C96521" w:rsidP="00C96521">
      <w:pPr>
        <w:widowControl/>
        <w:autoSpaceDE/>
        <w:autoSpaceDN/>
        <w:adjustRightInd/>
        <w:spacing w:line="276" w:lineRule="auto"/>
        <w:rPr>
          <w:rFonts w:eastAsia="MS Mincho" w:cs="Arial"/>
          <w:szCs w:val="18"/>
          <w:lang w:val="de-DE" w:eastAsia="ja-JP"/>
        </w:rPr>
      </w:pPr>
      <w:r w:rsidRPr="008C00B8">
        <w:rPr>
          <w:rFonts w:eastAsia="MS Mincho" w:cs="Arial"/>
          <w:b/>
          <w:szCs w:val="18"/>
          <w:lang w:val="de-DE" w:eastAsia="ja-JP"/>
        </w:rPr>
        <w:t>DVORAK M, RANNER A and BERG H-M (1993)</w:t>
      </w:r>
      <w:r w:rsidRPr="008C00B8">
        <w:rPr>
          <w:rFonts w:eastAsia="MS Mincho" w:cs="Arial"/>
          <w:szCs w:val="18"/>
          <w:lang w:val="de-DE" w:eastAsia="ja-JP"/>
        </w:rPr>
        <w:t xml:space="preserve"> </w:t>
      </w:r>
      <w:r w:rsidRPr="008C00B8">
        <w:rPr>
          <w:rFonts w:eastAsia="MS Mincho" w:cs="Arial"/>
          <w:i/>
          <w:szCs w:val="18"/>
          <w:lang w:val="de-DE" w:eastAsia="ja-JP"/>
        </w:rPr>
        <w:t>Atlas der Brutvögel Österreichs</w:t>
      </w:r>
      <w:r w:rsidRPr="008C00B8">
        <w:rPr>
          <w:rFonts w:eastAsia="MS Mincho" w:cs="Arial"/>
          <w:szCs w:val="18"/>
          <w:lang w:val="de-DE" w:eastAsia="ja-JP"/>
        </w:rPr>
        <w:t xml:space="preserve">. Ergebnisse der Brutvogelkartierung 1981-1985 der Österreichischen Gesellschaft für Vogelkunde. Herausgegeben vom Umweltbundesamt; Bundesministerium für Umwelt, Jugend und Familie. 527 S. </w:t>
      </w:r>
    </w:p>
    <w:p w14:paraId="5DAE0BB0" w14:textId="77777777" w:rsidR="00C96521" w:rsidRPr="008C00B8" w:rsidRDefault="00C96521" w:rsidP="00C96521">
      <w:pPr>
        <w:widowControl/>
        <w:autoSpaceDE/>
        <w:autoSpaceDN/>
        <w:adjustRightInd/>
        <w:spacing w:line="276" w:lineRule="auto"/>
        <w:rPr>
          <w:rFonts w:cs="Arial"/>
          <w:b/>
          <w:szCs w:val="18"/>
          <w:lang w:val="de-DE" w:eastAsia="ja-JP"/>
        </w:rPr>
      </w:pPr>
    </w:p>
    <w:p w14:paraId="7903570B"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cs="Arial"/>
          <w:b/>
          <w:szCs w:val="18"/>
          <w:lang w:val="en-GB" w:eastAsia="ja-JP"/>
        </w:rPr>
        <w:t>EASON P, RABIA B and ATTUM O (2016)</w:t>
      </w:r>
      <w:r w:rsidRPr="00C96521">
        <w:rPr>
          <w:rFonts w:eastAsia="MS Mincho" w:cs="Arial"/>
          <w:szCs w:val="18"/>
          <w:lang w:val="en-GB" w:eastAsia="ja-JP"/>
        </w:rPr>
        <w:t xml:space="preserve"> Hunting of migratory birds in North Sinai, Egypt. </w:t>
      </w:r>
      <w:r w:rsidRPr="00C96521">
        <w:rPr>
          <w:rFonts w:eastAsia="MS Mincho" w:cs="Arial"/>
          <w:i/>
          <w:szCs w:val="18"/>
          <w:lang w:val="en-GB" w:eastAsia="ja-JP"/>
        </w:rPr>
        <w:t>Bird Conservation International</w:t>
      </w:r>
      <w:r w:rsidRPr="00C96521">
        <w:rPr>
          <w:rFonts w:eastAsia="MS Mincho" w:cs="Arial"/>
          <w:szCs w:val="18"/>
          <w:lang w:val="en-GB" w:eastAsia="ja-JP"/>
        </w:rPr>
        <w:t xml:space="preserve"> 26: 39-51.</w:t>
      </w:r>
    </w:p>
    <w:p w14:paraId="102F47B8"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00DF281A"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cs="Arial"/>
          <w:b/>
          <w:szCs w:val="18"/>
          <w:lang w:val="en-GB" w:eastAsia="ja-JP"/>
        </w:rPr>
        <w:t>EATON M, AEBISCHER N, BROWN A, HEARN R, LOCK L, MUSGROVE A, NOBLE D, STROUD D and GREGORY R (2015)</w:t>
      </w:r>
      <w:r w:rsidRPr="00C96521">
        <w:rPr>
          <w:rFonts w:eastAsia="MS Mincho" w:cs="Arial"/>
          <w:szCs w:val="18"/>
          <w:lang w:val="en-GB" w:eastAsia="ja-JP"/>
        </w:rPr>
        <w:t xml:space="preserve"> Birds of Conservation Concern 4: the population status of birds in the UK, Channel Islands and Isle of Man. </w:t>
      </w:r>
      <w:r w:rsidRPr="00C96521">
        <w:rPr>
          <w:rFonts w:eastAsia="MS Mincho" w:cs="Arial"/>
          <w:i/>
          <w:szCs w:val="18"/>
          <w:lang w:val="en-GB" w:eastAsia="ja-JP"/>
        </w:rPr>
        <w:t>British Birds</w:t>
      </w:r>
      <w:r w:rsidRPr="00C96521">
        <w:rPr>
          <w:rFonts w:eastAsia="MS Mincho" w:cs="Arial"/>
          <w:szCs w:val="18"/>
          <w:lang w:val="en-GB" w:eastAsia="ja-JP"/>
        </w:rPr>
        <w:t xml:space="preserve"> 108: 708-746.</w:t>
      </w:r>
    </w:p>
    <w:p w14:paraId="0C122126" w14:textId="77777777" w:rsidR="00C96521" w:rsidRPr="00C96521" w:rsidRDefault="00C96521" w:rsidP="00C96521">
      <w:pPr>
        <w:widowControl/>
        <w:autoSpaceDE/>
        <w:autoSpaceDN/>
        <w:adjustRightInd/>
        <w:spacing w:line="276" w:lineRule="auto"/>
        <w:rPr>
          <w:rFonts w:cs="Arial"/>
          <w:b/>
          <w:szCs w:val="18"/>
          <w:lang w:val="en-GB" w:eastAsia="ja-JP"/>
        </w:rPr>
      </w:pPr>
    </w:p>
    <w:p w14:paraId="2E8E6F05"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cs="Arial"/>
          <w:b/>
          <w:szCs w:val="18"/>
          <w:lang w:val="en-GB" w:eastAsia="ja-JP"/>
        </w:rPr>
        <w:t>EBCC/RSPB/BIRDLIFE/STATISTICS NETHERLANDS (2016)</w:t>
      </w:r>
      <w:r w:rsidRPr="00C96521">
        <w:rPr>
          <w:rFonts w:eastAsia="MS Mincho" w:cs="Arial"/>
          <w:szCs w:val="18"/>
          <w:lang w:val="en-GB" w:eastAsia="ja-JP"/>
        </w:rPr>
        <w:t xml:space="preserve"> </w:t>
      </w:r>
      <w:r w:rsidRPr="00C96521">
        <w:rPr>
          <w:rFonts w:eastAsia="MS Mincho" w:cs="Arial"/>
          <w:i/>
          <w:szCs w:val="18"/>
          <w:lang w:val="en-GB" w:eastAsia="ja-JP"/>
        </w:rPr>
        <w:t>Pan-European Common Bird Monitoring Scheme - Trends of common birds in Europe, 2016 update</w:t>
      </w:r>
      <w:r w:rsidRPr="00C96521">
        <w:rPr>
          <w:rFonts w:eastAsia="MS Mincho" w:cs="Arial"/>
          <w:szCs w:val="18"/>
          <w:lang w:val="en-GB" w:eastAsia="ja-JP"/>
        </w:rPr>
        <w:t>. European Bird Census Council, Czech Republic.</w:t>
      </w:r>
    </w:p>
    <w:p w14:paraId="2945EB59"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7A626CF7"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ESCANDELL R (2011)</w:t>
      </w:r>
      <w:r w:rsidRPr="00C96521">
        <w:rPr>
          <w:rFonts w:eastAsia="MS Mincho" w:cs="Arial"/>
          <w:szCs w:val="18"/>
          <w:lang w:val="en-GB" w:eastAsia="ja-JP"/>
        </w:rPr>
        <w:t xml:space="preserve"> The turtle dove. In: </w:t>
      </w:r>
      <w:r w:rsidRPr="00C96521">
        <w:rPr>
          <w:rFonts w:eastAsia="MS Mincho" w:cs="Arial"/>
          <w:i/>
          <w:szCs w:val="18"/>
          <w:lang w:val="en-GB" w:eastAsia="ja-JP"/>
        </w:rPr>
        <w:t>Spring migration in the western Mediterranean and NW Africa: the results of 16 years of the Piccole Isoleproject</w:t>
      </w:r>
      <w:r w:rsidRPr="00C96521">
        <w:rPr>
          <w:rFonts w:eastAsia="MS Mincho" w:cs="Arial"/>
          <w:szCs w:val="18"/>
          <w:lang w:val="en-GB" w:eastAsia="ja-JP"/>
        </w:rPr>
        <w:t xml:space="preserve">. </w:t>
      </w:r>
      <w:r w:rsidRPr="00C96521">
        <w:rPr>
          <w:rFonts w:eastAsia="MS Mincho" w:cs="Arial"/>
          <w:i/>
          <w:szCs w:val="18"/>
          <w:lang w:val="en-GB" w:eastAsia="ja-JP"/>
        </w:rPr>
        <w:t>Monografias del museu de ciencias naturals 6</w:t>
      </w:r>
      <w:r w:rsidRPr="00C96521">
        <w:rPr>
          <w:rFonts w:eastAsia="MS Mincho" w:cs="Arial"/>
          <w:szCs w:val="18"/>
          <w:lang w:val="en-GB" w:eastAsia="ja-JP"/>
        </w:rPr>
        <w:t>. pp 31-37.</w:t>
      </w:r>
    </w:p>
    <w:p w14:paraId="2CFB27B2"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3A2E9F5F" w14:textId="52D2682E" w:rsidR="00C96521" w:rsidRPr="00C96521" w:rsidRDefault="00C96521" w:rsidP="00C96521">
      <w:pPr>
        <w:widowControl/>
        <w:autoSpaceDE/>
        <w:autoSpaceDN/>
        <w:adjustRightInd/>
        <w:spacing w:line="276" w:lineRule="auto"/>
        <w:rPr>
          <w:rFonts w:eastAsia="MS Mincho" w:cs="Arial"/>
          <w:b/>
          <w:szCs w:val="18"/>
          <w:lang w:val="en-GB" w:eastAsia="ja-JP"/>
        </w:rPr>
      </w:pPr>
      <w:r w:rsidRPr="00C96521">
        <w:rPr>
          <w:rFonts w:eastAsia="MS Mincho" w:cs="Arial"/>
          <w:b/>
          <w:szCs w:val="18"/>
          <w:lang w:val="en-GB" w:eastAsia="ja-JP"/>
        </w:rPr>
        <w:t>EIONET (2017)</w:t>
      </w:r>
      <w:r w:rsidRPr="00C96521">
        <w:rPr>
          <w:rFonts w:eastAsia="MS Mincho" w:cs="Arial"/>
          <w:szCs w:val="18"/>
          <w:lang w:val="en-GB" w:eastAsia="ja-JP"/>
        </w:rPr>
        <w:t xml:space="preserve"> </w:t>
      </w:r>
      <w:r w:rsidRPr="00C96521">
        <w:rPr>
          <w:rFonts w:eastAsia="MS Mincho" w:cs="Arial"/>
          <w:i/>
          <w:szCs w:val="18"/>
          <w:lang w:val="en-GB" w:eastAsia="ja-JP"/>
        </w:rPr>
        <w:t>Population status and trends at the EU and Member State levels</w:t>
      </w:r>
      <w:r w:rsidRPr="00C96521">
        <w:rPr>
          <w:rFonts w:eastAsia="MS Mincho" w:cs="Arial"/>
          <w:szCs w:val="18"/>
          <w:lang w:val="en-GB" w:eastAsia="ja-JP"/>
        </w:rPr>
        <w:t xml:space="preserve"> – Streptopelia turtur. European Topic Centre on Biological Diversity. http://bd.eionet.europa.eu/article12/summary?period=1&amp;subject=A210 (last accessed 3</w:t>
      </w:r>
      <w:r w:rsidR="007910C0">
        <w:rPr>
          <w:rFonts w:eastAsia="MS Mincho" w:cs="Arial"/>
          <w:szCs w:val="18"/>
          <w:lang w:val="en-GB" w:eastAsia="ja-JP"/>
        </w:rPr>
        <w:t xml:space="preserve"> </w:t>
      </w:r>
      <w:r w:rsidRPr="00C96521">
        <w:rPr>
          <w:rFonts w:eastAsia="MS Mincho" w:cs="Arial"/>
          <w:szCs w:val="18"/>
          <w:lang w:val="en-GB" w:eastAsia="ja-JP"/>
        </w:rPr>
        <w:t>February 2017)</w:t>
      </w:r>
    </w:p>
    <w:p w14:paraId="29A4D2D5"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33390E9F"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C96521">
        <w:rPr>
          <w:rFonts w:eastAsia="MS Mincho" w:cs="Arial"/>
          <w:b/>
          <w:szCs w:val="18"/>
          <w:lang w:val="en-GB" w:eastAsia="ja-JP"/>
        </w:rPr>
        <w:t>ELTS J, LEITO A, LEIVITS A, LUIGUJÕE L, MÄGI E, NELLIS R, NELLIS R, OTS M and PEHLAK H (2013)</w:t>
      </w:r>
      <w:r w:rsidRPr="00C96521">
        <w:rPr>
          <w:rFonts w:eastAsia="MS Mincho" w:cs="Arial"/>
          <w:szCs w:val="18"/>
          <w:lang w:val="en-GB" w:eastAsia="ja-JP"/>
        </w:rPr>
        <w:t xml:space="preserve"> Status and numbers of Estonian birds, 2008–2012. </w:t>
      </w:r>
      <w:r w:rsidRPr="00890F11">
        <w:rPr>
          <w:rFonts w:eastAsia="MS Mincho" w:cs="Arial"/>
          <w:i/>
          <w:szCs w:val="18"/>
          <w:lang w:val="es-ES" w:eastAsia="ja-JP"/>
        </w:rPr>
        <w:t>Hirundo</w:t>
      </w:r>
      <w:r w:rsidRPr="00890F11">
        <w:rPr>
          <w:rFonts w:eastAsia="MS Mincho" w:cs="Arial"/>
          <w:szCs w:val="18"/>
          <w:lang w:val="es-ES" w:eastAsia="ja-JP"/>
        </w:rPr>
        <w:t xml:space="preserve"> 26(2): 80−112.</w:t>
      </w:r>
    </w:p>
    <w:p w14:paraId="2EF2AA0D" w14:textId="77777777" w:rsidR="00C96521" w:rsidRPr="00890F11" w:rsidRDefault="00C96521" w:rsidP="00C96521">
      <w:pPr>
        <w:widowControl/>
        <w:spacing w:line="276" w:lineRule="auto"/>
        <w:rPr>
          <w:rFonts w:eastAsia="MS Mincho" w:cs="Arial"/>
          <w:b/>
          <w:szCs w:val="18"/>
          <w:lang w:val="es-ES" w:eastAsia="ja-JP"/>
        </w:rPr>
      </w:pPr>
    </w:p>
    <w:p w14:paraId="2E7288B8"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890F11">
        <w:rPr>
          <w:rFonts w:eastAsia="MS Mincho" w:cs="Arial"/>
          <w:b/>
          <w:szCs w:val="18"/>
          <w:lang w:val="es-ES" w:eastAsia="ja-JP"/>
        </w:rPr>
        <w:t>EQUIPA ATLAS (2008)</w:t>
      </w:r>
      <w:r w:rsidRPr="00890F11">
        <w:rPr>
          <w:rFonts w:eastAsia="MS Mincho" w:cs="Arial"/>
          <w:szCs w:val="18"/>
          <w:lang w:val="es-ES" w:eastAsia="ja-JP"/>
        </w:rPr>
        <w:t xml:space="preserve"> </w:t>
      </w:r>
      <w:r w:rsidRPr="00890F11">
        <w:rPr>
          <w:rFonts w:eastAsia="MS Mincho" w:cs="Arial"/>
          <w:i/>
          <w:szCs w:val="18"/>
          <w:lang w:val="es-ES" w:eastAsia="ja-JP"/>
        </w:rPr>
        <w:t>Atlas das Aves Nidificantes em Portugal (1999-2005)</w:t>
      </w:r>
      <w:r w:rsidRPr="00890F11">
        <w:rPr>
          <w:rFonts w:eastAsia="MS Mincho" w:cs="Arial"/>
          <w:szCs w:val="18"/>
          <w:lang w:val="es-ES" w:eastAsia="ja-JP"/>
        </w:rPr>
        <w:t>. Instituto da Conservação da Natureza e da Biodiversividade, Sociedade Portuguesa para o Estudo das Aves, Lisboa.</w:t>
      </w:r>
    </w:p>
    <w:p w14:paraId="7AF3C612" w14:textId="77777777" w:rsidR="00C96521" w:rsidRPr="00890F11" w:rsidRDefault="00C96521" w:rsidP="00C96521">
      <w:pPr>
        <w:widowControl/>
        <w:spacing w:line="276" w:lineRule="auto"/>
        <w:rPr>
          <w:rFonts w:eastAsia="MS Mincho" w:cs="Arial"/>
          <w:b/>
          <w:szCs w:val="18"/>
          <w:lang w:val="es-ES" w:eastAsia="ja-JP"/>
        </w:rPr>
      </w:pPr>
    </w:p>
    <w:p w14:paraId="75028876"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ERAUD C, BOUTIN J-M, RIVIÈRE M, BRUN J, BARBRAUD C and LORMÉE H (2009)</w:t>
      </w:r>
      <w:r w:rsidRPr="00C96521">
        <w:rPr>
          <w:rFonts w:eastAsia="MS Mincho" w:cs="Arial"/>
          <w:szCs w:val="18"/>
          <w:lang w:val="en-GB" w:eastAsia="ja-JP"/>
        </w:rPr>
        <w:t xml:space="preserve"> Survival of Turtle-doves </w:t>
      </w:r>
      <w:r w:rsidRPr="00C96521">
        <w:rPr>
          <w:rFonts w:eastAsia="MS Mincho" w:cs="Arial"/>
          <w:i/>
          <w:szCs w:val="18"/>
          <w:lang w:val="en-GB" w:eastAsia="ja-JP"/>
        </w:rPr>
        <w:t>Streptopelia turtur</w:t>
      </w:r>
      <w:r w:rsidRPr="00C96521">
        <w:rPr>
          <w:rFonts w:eastAsia="MS Mincho" w:cs="Arial"/>
          <w:szCs w:val="18"/>
          <w:lang w:val="en-GB" w:eastAsia="ja-JP"/>
        </w:rPr>
        <w:t xml:space="preserve"> in relation to western Africa environmental conditions. </w:t>
      </w:r>
      <w:r w:rsidRPr="00C96521">
        <w:rPr>
          <w:rFonts w:eastAsia="MS Mincho" w:cs="Arial"/>
          <w:i/>
          <w:szCs w:val="18"/>
          <w:lang w:val="en-GB" w:eastAsia="ja-JP"/>
        </w:rPr>
        <w:t>Ibis</w:t>
      </w:r>
      <w:r w:rsidRPr="00C96521">
        <w:rPr>
          <w:rFonts w:eastAsia="MS Mincho" w:cs="Arial"/>
          <w:szCs w:val="18"/>
          <w:lang w:val="en-GB" w:eastAsia="ja-JP"/>
        </w:rPr>
        <w:t xml:space="preserve"> 151: 186–190.</w:t>
      </w:r>
    </w:p>
    <w:p w14:paraId="7D3A14AB" w14:textId="77777777" w:rsidR="00C96521" w:rsidRPr="00C96521" w:rsidRDefault="00C96521" w:rsidP="00C96521">
      <w:pPr>
        <w:widowControl/>
        <w:spacing w:line="276" w:lineRule="auto"/>
        <w:rPr>
          <w:rFonts w:eastAsia="MS Mincho" w:cs="Arial"/>
          <w:b/>
          <w:szCs w:val="18"/>
          <w:lang w:val="en-GB" w:eastAsia="ja-JP"/>
        </w:rPr>
      </w:pPr>
    </w:p>
    <w:p w14:paraId="3837E36D"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ERAUD C, RIVIÈRE M, LORMÉE H, FOX JW, DUCAMP J-J and BOUTIN J-M (2013)</w:t>
      </w:r>
      <w:r w:rsidRPr="00C96521">
        <w:rPr>
          <w:rFonts w:eastAsia="MS Mincho" w:cs="Arial"/>
          <w:szCs w:val="18"/>
          <w:lang w:val="en-GB" w:eastAsia="ja-JP"/>
        </w:rPr>
        <w:t xml:space="preserve"> Migration routes and staging areas of trans-Saharan turtle-doves appraised from light-level geolocators. </w:t>
      </w:r>
      <w:r w:rsidRPr="00C96521">
        <w:rPr>
          <w:rFonts w:eastAsia="MS Mincho" w:cs="Arial"/>
          <w:i/>
          <w:szCs w:val="18"/>
          <w:lang w:val="en-GB" w:eastAsia="ja-JP"/>
        </w:rPr>
        <w:t>PLoS ONE</w:t>
      </w:r>
      <w:r w:rsidRPr="00C96521">
        <w:rPr>
          <w:rFonts w:eastAsia="MS Mincho" w:cs="Arial"/>
          <w:szCs w:val="18"/>
          <w:lang w:val="en-GB" w:eastAsia="ja-JP"/>
        </w:rPr>
        <w:t xml:space="preserve"> 8(3): e59396. doi:10.1371/journal.pone.0059396.</w:t>
      </w:r>
    </w:p>
    <w:p w14:paraId="531C9773"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0AEB023A"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EUROPEAN UNION (2008)</w:t>
      </w:r>
      <w:r w:rsidRPr="00C96521">
        <w:rPr>
          <w:rFonts w:eastAsia="MS Mincho" w:cs="Arial"/>
          <w:szCs w:val="18"/>
          <w:lang w:val="en-GB" w:eastAsia="ja-JP"/>
        </w:rPr>
        <w:t xml:space="preserve"> </w:t>
      </w:r>
      <w:r w:rsidRPr="00C96521">
        <w:rPr>
          <w:rFonts w:eastAsia="MS Mincho" w:cs="Arial"/>
          <w:i/>
          <w:szCs w:val="18"/>
          <w:lang w:val="en-GB" w:eastAsia="ja-JP"/>
        </w:rPr>
        <w:t>Period of reproduction and prenuptial migration of Annex II bird species in the EU</w:t>
      </w:r>
      <w:r w:rsidRPr="00C96521">
        <w:rPr>
          <w:rFonts w:eastAsia="MS Mincho" w:cs="Arial"/>
          <w:szCs w:val="18"/>
          <w:lang w:val="en-GB" w:eastAsia="ja-JP"/>
        </w:rPr>
        <w:t>. http://ec.europa.eu/environment/nature/conservation/wildbirds/hunting/docs/reprod_68-73_en.pdf (last accessed 5th September 2016).</w:t>
      </w:r>
    </w:p>
    <w:p w14:paraId="74C130AD"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3275533C"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EUROPEAN UNION (2013)</w:t>
      </w:r>
      <w:r w:rsidRPr="00C96521">
        <w:rPr>
          <w:rFonts w:eastAsia="MS Mincho" w:cs="Arial"/>
          <w:szCs w:val="18"/>
          <w:lang w:val="en-GB" w:eastAsia="ja-JP"/>
        </w:rPr>
        <w:t xml:space="preserve"> </w:t>
      </w:r>
      <w:r w:rsidRPr="00C96521">
        <w:rPr>
          <w:rFonts w:eastAsia="MS Mincho" w:cs="Arial"/>
          <w:i/>
          <w:szCs w:val="18"/>
          <w:lang w:val="en-GB" w:eastAsia="ja-JP"/>
        </w:rPr>
        <w:t xml:space="preserve">National reporting under Article 12 of the Birds Directive. </w:t>
      </w:r>
      <w:r w:rsidRPr="00C96521">
        <w:rPr>
          <w:rFonts w:eastAsia="MS Mincho" w:cs="Arial"/>
          <w:szCs w:val="18"/>
          <w:lang w:val="en-GB" w:eastAsia="ja-JP"/>
        </w:rPr>
        <w:t>http://bd.eionet.europa.eu/article12/</w:t>
      </w:r>
      <w:r w:rsidRPr="00C96521" w:rsidDel="005813AC">
        <w:rPr>
          <w:rFonts w:eastAsia="MS Mincho" w:cs="Arial"/>
          <w:szCs w:val="18"/>
          <w:lang w:val="en-GB" w:eastAsia="ja-JP"/>
        </w:rPr>
        <w:t xml:space="preserve"> </w:t>
      </w:r>
      <w:r w:rsidRPr="00C96521">
        <w:rPr>
          <w:rFonts w:eastAsia="MS Mincho" w:cs="Arial"/>
          <w:szCs w:val="18"/>
          <w:lang w:val="en-GB" w:eastAsia="ja-JP"/>
        </w:rPr>
        <w:t>(last accessed 5th September 2016).</w:t>
      </w:r>
    </w:p>
    <w:p w14:paraId="5A06FE56"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59580567"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FAVIA (2016)</w:t>
      </w:r>
      <w:r w:rsidRPr="00C96521">
        <w:rPr>
          <w:rFonts w:eastAsia="MS Mincho" w:cs="Arial"/>
          <w:szCs w:val="18"/>
          <w:lang w:val="en-GB" w:eastAsia="ja-JP"/>
        </w:rPr>
        <w:t xml:space="preserve"> </w:t>
      </w:r>
      <w:r w:rsidRPr="00C96521">
        <w:rPr>
          <w:rFonts w:eastAsia="MS Mincho" w:cs="Arial"/>
          <w:i/>
          <w:szCs w:val="18"/>
          <w:lang w:val="en-GB" w:eastAsia="ja-JP"/>
        </w:rPr>
        <w:t>Small game - turtle-dove hunting</w:t>
      </w:r>
      <w:r w:rsidRPr="00C96521">
        <w:rPr>
          <w:rFonts w:eastAsia="MS Mincho" w:cs="Arial"/>
          <w:szCs w:val="18"/>
          <w:lang w:val="en-GB" w:eastAsia="ja-JP"/>
        </w:rPr>
        <w:t>. http://www.faviaviaggi.com/offers/small-game/animal/turtle-doves-15/?view=1#prettyPhoto (last accessed 10</w:t>
      </w:r>
      <w:r w:rsidRPr="00C96521">
        <w:rPr>
          <w:rFonts w:eastAsia="MS Mincho" w:cs="Arial"/>
          <w:szCs w:val="18"/>
          <w:vertAlign w:val="superscript"/>
          <w:lang w:val="en-GB" w:eastAsia="ja-JP"/>
        </w:rPr>
        <w:t>th</w:t>
      </w:r>
      <w:r w:rsidRPr="00C96521">
        <w:rPr>
          <w:rFonts w:eastAsia="MS Mincho" w:cs="Arial"/>
          <w:szCs w:val="18"/>
          <w:lang w:val="en-GB" w:eastAsia="ja-JP"/>
        </w:rPr>
        <w:t xml:space="preserve"> December 2016).</w:t>
      </w:r>
    </w:p>
    <w:p w14:paraId="20D42A4B" w14:textId="77777777" w:rsidR="00C96521" w:rsidRPr="00C96521" w:rsidRDefault="00C96521" w:rsidP="00C96521">
      <w:pPr>
        <w:widowControl/>
        <w:spacing w:line="276" w:lineRule="auto"/>
        <w:rPr>
          <w:rFonts w:eastAsia="MS Mincho" w:cs="Arial"/>
          <w:b/>
          <w:szCs w:val="18"/>
          <w:lang w:val="en-GB" w:eastAsia="ja-JP"/>
        </w:rPr>
      </w:pPr>
    </w:p>
    <w:p w14:paraId="06674BFA"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B44B0D">
        <w:rPr>
          <w:rFonts w:eastAsia="MS Mincho" w:cs="Arial"/>
          <w:b/>
          <w:szCs w:val="18"/>
          <w:lang w:eastAsia="ja-JP"/>
        </w:rPr>
        <w:t>FEITH H (2011)</w:t>
      </w:r>
      <w:r w:rsidRPr="00B44B0D">
        <w:rPr>
          <w:rFonts w:eastAsia="MS Mincho" w:cs="Arial"/>
          <w:szCs w:val="18"/>
          <w:lang w:eastAsia="ja-JP"/>
        </w:rPr>
        <w:t xml:space="preserve"> </w:t>
      </w:r>
      <w:r w:rsidRPr="00B44B0D">
        <w:rPr>
          <w:rFonts w:eastAsia="MS Mincho" w:cs="Arial"/>
          <w:i/>
          <w:szCs w:val="18"/>
          <w:lang w:eastAsia="ja-JP"/>
        </w:rPr>
        <w:t>Projecto Chegadas - relatório 2011</w:t>
      </w:r>
      <w:r w:rsidRPr="00B44B0D">
        <w:rPr>
          <w:rFonts w:eastAsia="MS Mincho" w:cs="Arial"/>
          <w:szCs w:val="18"/>
          <w:lang w:eastAsia="ja-JP"/>
        </w:rPr>
        <w:t xml:space="preserve">. </w:t>
      </w:r>
      <w:r w:rsidRPr="00890F11">
        <w:rPr>
          <w:rFonts w:eastAsia="MS Mincho" w:cs="Arial"/>
          <w:szCs w:val="18"/>
          <w:lang w:val="es-ES" w:eastAsia="ja-JP"/>
        </w:rPr>
        <w:t>Sociedade Portuguesa para o Estudo das Aves. Lisboa.</w:t>
      </w:r>
    </w:p>
    <w:p w14:paraId="43DA694C" w14:textId="77777777" w:rsidR="00C96521" w:rsidRPr="00890F11" w:rsidRDefault="00C96521" w:rsidP="00C96521">
      <w:pPr>
        <w:widowControl/>
        <w:autoSpaceDE/>
        <w:autoSpaceDN/>
        <w:adjustRightInd/>
        <w:spacing w:line="276" w:lineRule="auto"/>
        <w:rPr>
          <w:rFonts w:eastAsia="MS Mincho" w:cs="Arial"/>
          <w:szCs w:val="18"/>
          <w:lang w:val="es-ES" w:eastAsia="ja-JP"/>
        </w:rPr>
      </w:pPr>
    </w:p>
    <w:p w14:paraId="2D065A48" w14:textId="77777777" w:rsidR="00C96521" w:rsidRPr="00B44B0D" w:rsidRDefault="00C96521" w:rsidP="00C96521">
      <w:pPr>
        <w:widowControl/>
        <w:autoSpaceDE/>
        <w:autoSpaceDN/>
        <w:adjustRightInd/>
        <w:spacing w:line="276" w:lineRule="auto"/>
        <w:rPr>
          <w:rFonts w:eastAsia="MS Mincho" w:cs="Arial"/>
          <w:szCs w:val="18"/>
          <w:lang w:eastAsia="ja-JP"/>
        </w:rPr>
      </w:pPr>
      <w:r w:rsidRPr="00890F11">
        <w:rPr>
          <w:rFonts w:eastAsia="MS Mincho" w:cs="Arial"/>
          <w:b/>
          <w:szCs w:val="18"/>
          <w:lang w:val="es-ES" w:eastAsia="ja-JP"/>
        </w:rPr>
        <w:t>FEITH H (2013)</w:t>
      </w:r>
      <w:r w:rsidRPr="00890F11">
        <w:rPr>
          <w:rFonts w:eastAsia="MS Mincho" w:cs="Arial"/>
          <w:szCs w:val="18"/>
          <w:lang w:val="es-ES" w:eastAsia="ja-JP"/>
        </w:rPr>
        <w:t xml:space="preserve"> </w:t>
      </w:r>
      <w:r w:rsidRPr="00890F11">
        <w:rPr>
          <w:rFonts w:eastAsia="MS Mincho" w:cs="Arial"/>
          <w:i/>
          <w:szCs w:val="18"/>
          <w:lang w:val="es-ES" w:eastAsia="ja-JP"/>
        </w:rPr>
        <w:t>Projeto Chegadas - Relatório 2012</w:t>
      </w:r>
      <w:r w:rsidRPr="00890F11">
        <w:rPr>
          <w:rFonts w:eastAsia="MS Mincho" w:cs="Arial"/>
          <w:szCs w:val="18"/>
          <w:lang w:val="es-ES" w:eastAsia="ja-JP"/>
        </w:rPr>
        <w:t xml:space="preserve">. Sociedade Portuguesa para o Estudo das Aves. </w:t>
      </w:r>
      <w:r w:rsidRPr="00B44B0D">
        <w:rPr>
          <w:rFonts w:eastAsia="MS Mincho" w:cs="Arial"/>
          <w:szCs w:val="18"/>
          <w:lang w:eastAsia="ja-JP"/>
        </w:rPr>
        <w:t>Lisboa.</w:t>
      </w:r>
    </w:p>
    <w:p w14:paraId="67C2558B" w14:textId="77777777" w:rsidR="00C96521" w:rsidRPr="00B44B0D" w:rsidRDefault="00C96521" w:rsidP="00C96521">
      <w:pPr>
        <w:widowControl/>
        <w:spacing w:line="276" w:lineRule="auto"/>
        <w:rPr>
          <w:rFonts w:eastAsia="MS Mincho" w:cs="Arial"/>
          <w:b/>
          <w:szCs w:val="18"/>
          <w:lang w:eastAsia="ja-JP"/>
        </w:rPr>
      </w:pPr>
    </w:p>
    <w:p w14:paraId="2558AA16" w14:textId="77777777" w:rsidR="00C96521" w:rsidRPr="00C96521" w:rsidRDefault="00C96521" w:rsidP="00C96521">
      <w:pPr>
        <w:widowControl/>
        <w:spacing w:line="276" w:lineRule="auto"/>
        <w:rPr>
          <w:rFonts w:eastAsia="MS Mincho" w:cs="Arial"/>
          <w:szCs w:val="18"/>
          <w:lang w:val="en-GB" w:eastAsia="ja-JP"/>
        </w:rPr>
      </w:pPr>
      <w:r w:rsidRPr="00B44B0D">
        <w:rPr>
          <w:rFonts w:eastAsia="MS Mincho" w:cs="Arial"/>
          <w:b/>
          <w:szCs w:val="18"/>
          <w:lang w:eastAsia="ja-JP"/>
        </w:rPr>
        <w:t>FENGER M, NYEGAARD T and JØRGENSEN MF (2016)</w:t>
      </w:r>
      <w:r w:rsidRPr="00B44B0D">
        <w:rPr>
          <w:rFonts w:eastAsia="MS Mincho" w:cs="Arial"/>
          <w:szCs w:val="18"/>
          <w:lang w:eastAsia="ja-JP"/>
        </w:rPr>
        <w:t xml:space="preserve"> </w:t>
      </w:r>
      <w:r w:rsidRPr="00B44B0D">
        <w:rPr>
          <w:rFonts w:eastAsia="MS Mincho" w:cs="Arial"/>
          <w:i/>
          <w:szCs w:val="18"/>
          <w:lang w:eastAsia="ja-JP"/>
        </w:rPr>
        <w:t>Overvågning af de almindelige fuglearter i Danmark 1975-2015</w:t>
      </w:r>
      <w:r w:rsidRPr="00B44B0D">
        <w:rPr>
          <w:rFonts w:eastAsia="MS Mincho" w:cs="Arial"/>
          <w:szCs w:val="18"/>
          <w:lang w:eastAsia="ja-JP"/>
        </w:rPr>
        <w:t xml:space="preserve">. Årsrapport for Punkttællingsprogrammet. </w:t>
      </w:r>
      <w:r w:rsidRPr="00C96521">
        <w:rPr>
          <w:rFonts w:eastAsia="MS Mincho" w:cs="Arial"/>
          <w:szCs w:val="18"/>
          <w:lang w:val="en-GB" w:eastAsia="ja-JP"/>
        </w:rPr>
        <w:t>Dansk Ornitologisk Forening.</w:t>
      </w:r>
    </w:p>
    <w:p w14:paraId="5581D9BE" w14:textId="77777777" w:rsidR="00C96521" w:rsidRPr="00C96521" w:rsidRDefault="00C96521" w:rsidP="00C96521">
      <w:pPr>
        <w:widowControl/>
        <w:spacing w:line="276" w:lineRule="auto"/>
        <w:rPr>
          <w:rFonts w:eastAsia="MS Mincho" w:cs="Arial"/>
          <w:szCs w:val="18"/>
          <w:lang w:val="en-GB" w:eastAsia="ja-JP"/>
        </w:rPr>
      </w:pPr>
    </w:p>
    <w:p w14:paraId="718B405C"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FISHER IJ, PAIN DJ and THOMAS VG (2006)</w:t>
      </w:r>
      <w:r w:rsidRPr="00C96521">
        <w:rPr>
          <w:rFonts w:eastAsia="MS Mincho" w:cs="Arial"/>
          <w:szCs w:val="18"/>
          <w:lang w:val="en-GB" w:eastAsia="ja-JP"/>
        </w:rPr>
        <w:t xml:space="preserve"> A review of lead poisoning from ammunition sources in terrestrial birds. </w:t>
      </w:r>
      <w:r w:rsidRPr="00C96521">
        <w:rPr>
          <w:rFonts w:eastAsia="MS Mincho" w:cs="Arial"/>
          <w:i/>
          <w:szCs w:val="18"/>
          <w:lang w:val="en-GB" w:eastAsia="ja-JP"/>
        </w:rPr>
        <w:t>Biological Conservation</w:t>
      </w:r>
      <w:r w:rsidRPr="00C96521">
        <w:rPr>
          <w:rFonts w:eastAsia="MS Mincho" w:cs="Arial"/>
          <w:szCs w:val="18"/>
          <w:lang w:val="en-GB" w:eastAsia="ja-JP"/>
        </w:rPr>
        <w:t xml:space="preserve"> 131: 421-432. </w:t>
      </w:r>
    </w:p>
    <w:p w14:paraId="063110AC" w14:textId="77777777" w:rsidR="00C96521" w:rsidRPr="00C96521" w:rsidRDefault="00C96521" w:rsidP="00C96521">
      <w:pPr>
        <w:widowControl/>
        <w:spacing w:line="276" w:lineRule="auto"/>
        <w:rPr>
          <w:rFonts w:eastAsia="MS Mincho" w:cs="Arial"/>
          <w:szCs w:val="18"/>
          <w:lang w:val="en-GB" w:eastAsia="ja-JP"/>
        </w:rPr>
      </w:pPr>
    </w:p>
    <w:p w14:paraId="235944B8"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FISHER IJ, ASHPOLE JE, PROUD T and MARSH M (compilers) (2016a)</w:t>
      </w:r>
      <w:r w:rsidRPr="00C96521">
        <w:rPr>
          <w:rFonts w:eastAsia="MS Mincho" w:cs="Arial"/>
          <w:szCs w:val="18"/>
          <w:lang w:val="en-GB" w:eastAsia="ja-JP"/>
        </w:rPr>
        <w:t xml:space="preserve"> </w:t>
      </w:r>
      <w:r w:rsidRPr="00C96521">
        <w:rPr>
          <w:rFonts w:eastAsia="MS Mincho" w:cs="Arial"/>
          <w:i/>
          <w:szCs w:val="18"/>
          <w:lang w:val="en-GB" w:eastAsia="ja-JP"/>
        </w:rPr>
        <w:t xml:space="preserve">Status Report for the European Turtle-dove </w:t>
      </w:r>
      <w:r w:rsidRPr="00C96521">
        <w:rPr>
          <w:rFonts w:eastAsia="MS Mincho" w:cs="Arial"/>
          <w:szCs w:val="18"/>
          <w:lang w:val="en-GB" w:eastAsia="ja-JP"/>
        </w:rPr>
        <w:t xml:space="preserve">(Streptopelia turtur). Report of Actions A6, 8, 9 and 10 under the framework of Project LIFE EuroSAP (LIFE14 PRE UK 002). RSPB, Sandy (unpublished report). </w:t>
      </w:r>
    </w:p>
    <w:p w14:paraId="32ADFD18" w14:textId="77777777" w:rsidR="00C96521" w:rsidRPr="00C96521" w:rsidRDefault="00C96521" w:rsidP="00C96521">
      <w:pPr>
        <w:widowControl/>
        <w:spacing w:line="276" w:lineRule="auto"/>
        <w:rPr>
          <w:rFonts w:eastAsia="MS Mincho" w:cs="Arial"/>
          <w:szCs w:val="18"/>
          <w:lang w:val="en-GB" w:eastAsia="ja-JP"/>
        </w:rPr>
      </w:pPr>
    </w:p>
    <w:p w14:paraId="57D348AD"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FISHER IJ, PROUD T and ASHPOLE JE (compilers) (2016b)</w:t>
      </w:r>
      <w:r w:rsidRPr="00C96521">
        <w:rPr>
          <w:rFonts w:eastAsia="MS Mincho" w:cs="Arial"/>
          <w:szCs w:val="18"/>
          <w:lang w:val="en-GB" w:eastAsia="ja-JP"/>
        </w:rPr>
        <w:t xml:space="preserve"> </w:t>
      </w:r>
      <w:r w:rsidRPr="00C96521">
        <w:rPr>
          <w:rFonts w:eastAsia="MS Mincho" w:cs="Arial"/>
          <w:i/>
          <w:szCs w:val="18"/>
          <w:lang w:val="en-GB" w:eastAsia="ja-JP"/>
        </w:rPr>
        <w:t>Review of the EU European Turtle-dove (</w:t>
      </w:r>
      <w:r w:rsidRPr="00C96521">
        <w:rPr>
          <w:rFonts w:eastAsia="MS Mincho" w:cs="Arial"/>
          <w:szCs w:val="18"/>
          <w:lang w:val="en-GB" w:eastAsia="ja-JP"/>
        </w:rPr>
        <w:t>Streptopelia turtur</w:t>
      </w:r>
      <w:r w:rsidRPr="00C96521">
        <w:rPr>
          <w:rFonts w:eastAsia="MS Mincho" w:cs="Arial"/>
          <w:i/>
          <w:szCs w:val="18"/>
          <w:lang w:val="en-GB" w:eastAsia="ja-JP"/>
        </w:rPr>
        <w:t xml:space="preserve">, subspecies </w:t>
      </w:r>
      <w:r w:rsidRPr="00C96521">
        <w:rPr>
          <w:rFonts w:eastAsia="MS Mincho" w:cs="Arial"/>
          <w:szCs w:val="18"/>
          <w:lang w:val="en-GB" w:eastAsia="ja-JP"/>
        </w:rPr>
        <w:t>turtur</w:t>
      </w:r>
      <w:r w:rsidRPr="00C96521">
        <w:rPr>
          <w:rFonts w:eastAsia="MS Mincho" w:cs="Arial"/>
          <w:i/>
          <w:szCs w:val="18"/>
          <w:lang w:val="en-GB" w:eastAsia="ja-JP"/>
        </w:rPr>
        <w:t>) Management Plan</w:t>
      </w:r>
      <w:r w:rsidRPr="00C96521">
        <w:rPr>
          <w:rFonts w:eastAsia="MS Mincho" w:cs="Arial"/>
          <w:szCs w:val="18"/>
          <w:lang w:val="en-GB" w:eastAsia="ja-JP"/>
        </w:rPr>
        <w:t>. Report of Action A3 under the framework of the Project LIFE EuroSAP (LIFE14 PRE UK 002). RSPB, Sandy (unpublished report).</w:t>
      </w:r>
    </w:p>
    <w:p w14:paraId="5F97EF36" w14:textId="77777777" w:rsidR="00C96521" w:rsidRPr="00C96521" w:rsidRDefault="00C96521" w:rsidP="00C96521">
      <w:pPr>
        <w:widowControl/>
        <w:spacing w:line="276" w:lineRule="auto"/>
        <w:rPr>
          <w:rFonts w:eastAsia="MS Mincho"/>
          <w:sz w:val="20"/>
          <w:szCs w:val="20"/>
          <w:lang w:val="en-GB" w:eastAsia="ja-JP"/>
        </w:rPr>
      </w:pPr>
    </w:p>
    <w:p w14:paraId="62C0C6B4"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FLETCHER MR (1979)</w:t>
      </w:r>
      <w:r w:rsidRPr="00C96521">
        <w:rPr>
          <w:rFonts w:eastAsia="MS Mincho" w:cs="Arial"/>
          <w:bCs/>
          <w:szCs w:val="18"/>
          <w:lang w:val="en-GB" w:eastAsia="ja-JP"/>
        </w:rPr>
        <w:t xml:space="preserve"> </w:t>
      </w:r>
      <w:r w:rsidRPr="00C96521">
        <w:rPr>
          <w:rFonts w:eastAsia="MS Mincho" w:cs="Arial"/>
          <w:szCs w:val="18"/>
          <w:lang w:val="en-GB" w:eastAsia="ja-JP"/>
        </w:rPr>
        <w:t xml:space="preserve">Aggression by Collared Doves </w:t>
      </w:r>
      <w:r w:rsidRPr="00C96521">
        <w:rPr>
          <w:rFonts w:eastAsia="MS Mincho" w:cs="Arial"/>
          <w:i/>
          <w:szCs w:val="18"/>
          <w:lang w:val="en-GB" w:eastAsia="ja-JP"/>
        </w:rPr>
        <w:t>Streptopelia decaocto</w:t>
      </w:r>
      <w:r w:rsidRPr="00C96521">
        <w:rPr>
          <w:rFonts w:eastAsia="MS Mincho" w:cs="Arial"/>
          <w:szCs w:val="18"/>
          <w:lang w:val="en-GB" w:eastAsia="ja-JP"/>
        </w:rPr>
        <w:t xml:space="preserve"> to Turtle-doves </w:t>
      </w:r>
      <w:r w:rsidRPr="00C96521">
        <w:rPr>
          <w:rFonts w:eastAsia="MS Mincho" w:cs="Arial"/>
          <w:i/>
          <w:szCs w:val="18"/>
          <w:lang w:val="en-GB" w:eastAsia="ja-JP"/>
        </w:rPr>
        <w:t>Streptopelia turtur</w:t>
      </w:r>
      <w:r w:rsidRPr="00C96521">
        <w:rPr>
          <w:rFonts w:eastAsia="MS Mincho" w:cs="Arial"/>
          <w:szCs w:val="18"/>
          <w:lang w:val="en-GB" w:eastAsia="ja-JP"/>
        </w:rPr>
        <w:t xml:space="preserve">. </w:t>
      </w:r>
      <w:r w:rsidRPr="00C96521">
        <w:rPr>
          <w:rFonts w:eastAsia="MS Mincho" w:cs="Arial"/>
          <w:i/>
          <w:szCs w:val="18"/>
          <w:lang w:val="en-GB" w:eastAsia="ja-JP"/>
        </w:rPr>
        <w:t>British Birds</w:t>
      </w:r>
      <w:r w:rsidRPr="00C96521">
        <w:rPr>
          <w:rFonts w:eastAsia="MS Mincho" w:cs="Arial"/>
          <w:szCs w:val="18"/>
          <w:lang w:val="en-GB" w:eastAsia="ja-JP"/>
        </w:rPr>
        <w:t xml:space="preserve"> 72(7): 346.</w:t>
      </w:r>
    </w:p>
    <w:p w14:paraId="1893CA4C"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78C49674"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FLINT VE, BOEHME RL, KOSTIN YV and KUZNETSOV AA (1984)</w:t>
      </w:r>
      <w:r w:rsidRPr="00C96521">
        <w:rPr>
          <w:rFonts w:eastAsia="MS Mincho" w:cs="Arial"/>
          <w:szCs w:val="18"/>
          <w:lang w:val="en-GB" w:eastAsia="ja-JP"/>
        </w:rPr>
        <w:t xml:space="preserve"> </w:t>
      </w:r>
      <w:r w:rsidRPr="00C96521">
        <w:rPr>
          <w:rFonts w:eastAsia="MS Mincho" w:cs="Arial"/>
          <w:i/>
          <w:szCs w:val="18"/>
          <w:lang w:val="en-GB" w:eastAsia="ja-JP"/>
        </w:rPr>
        <w:t>A Field Guide to the Birds of the USSR – Including Eastern Europe and Central Asia</w:t>
      </w:r>
      <w:r w:rsidRPr="00C96521">
        <w:rPr>
          <w:rFonts w:eastAsia="MS Mincho" w:cs="Arial"/>
          <w:szCs w:val="18"/>
          <w:lang w:val="en-GB" w:eastAsia="ja-JP"/>
        </w:rPr>
        <w:t>. Princeton University Press, New Jersey.</w:t>
      </w:r>
    </w:p>
    <w:p w14:paraId="28CCDFF8"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56B90270" w14:textId="77777777" w:rsidR="00C96521" w:rsidRPr="00890F11" w:rsidRDefault="00C96521" w:rsidP="00C96521">
      <w:pPr>
        <w:widowControl/>
        <w:autoSpaceDE/>
        <w:autoSpaceDN/>
        <w:adjustRightInd/>
        <w:spacing w:line="276" w:lineRule="auto"/>
        <w:rPr>
          <w:rFonts w:eastAsia="MS Mincho" w:cs="Arial"/>
          <w:szCs w:val="18"/>
          <w:lang w:val="fr-FR" w:eastAsia="ja-JP"/>
        </w:rPr>
      </w:pPr>
      <w:r w:rsidRPr="00C96521">
        <w:rPr>
          <w:rFonts w:eastAsia="MS Mincho" w:cs="Arial"/>
          <w:b/>
          <w:szCs w:val="18"/>
          <w:lang w:val="en-GB" w:eastAsia="ja-JP"/>
        </w:rPr>
        <w:t>FLINT PR and STEWART PF (1992)</w:t>
      </w:r>
      <w:r w:rsidRPr="00C96521">
        <w:rPr>
          <w:rFonts w:eastAsia="MS Mincho" w:cs="Arial"/>
          <w:szCs w:val="18"/>
          <w:lang w:val="en-GB" w:eastAsia="ja-JP"/>
        </w:rPr>
        <w:t xml:space="preserve"> </w:t>
      </w:r>
      <w:r w:rsidRPr="00C96521">
        <w:rPr>
          <w:rFonts w:eastAsia="MS Mincho" w:cs="Arial"/>
          <w:i/>
          <w:szCs w:val="18"/>
          <w:lang w:val="en-GB" w:eastAsia="ja-JP"/>
        </w:rPr>
        <w:t>The Birds of Cyprus – An annotated check-list</w:t>
      </w:r>
      <w:r w:rsidRPr="00C96521">
        <w:rPr>
          <w:rFonts w:eastAsia="MS Mincho" w:cs="Arial"/>
          <w:szCs w:val="18"/>
          <w:lang w:val="en-GB" w:eastAsia="ja-JP"/>
        </w:rPr>
        <w:t xml:space="preserve">. </w:t>
      </w:r>
      <w:r w:rsidRPr="00890F11">
        <w:rPr>
          <w:rFonts w:eastAsia="MS Mincho" w:cs="Arial"/>
          <w:szCs w:val="18"/>
          <w:lang w:val="fr-FR" w:eastAsia="ja-JP"/>
        </w:rPr>
        <w:t xml:space="preserve">BOU Check-list 6 (Second Edition). </w:t>
      </w:r>
    </w:p>
    <w:p w14:paraId="129F5842" w14:textId="77777777" w:rsidR="00C96521" w:rsidRPr="00890F11" w:rsidRDefault="00C96521" w:rsidP="00C96521">
      <w:pPr>
        <w:widowControl/>
        <w:autoSpaceDE/>
        <w:autoSpaceDN/>
        <w:adjustRightInd/>
        <w:spacing w:line="276" w:lineRule="auto"/>
        <w:rPr>
          <w:rFonts w:eastAsia="MS Mincho" w:cs="Arial"/>
          <w:szCs w:val="18"/>
          <w:lang w:val="fr-FR" w:eastAsia="ja-JP"/>
        </w:rPr>
      </w:pPr>
    </w:p>
    <w:p w14:paraId="0609A017" w14:textId="77777777" w:rsidR="00C96521" w:rsidRPr="00965D7D" w:rsidRDefault="00C96521" w:rsidP="00C96521">
      <w:pPr>
        <w:widowControl/>
        <w:autoSpaceDE/>
        <w:autoSpaceDN/>
        <w:adjustRightInd/>
        <w:spacing w:line="276" w:lineRule="auto"/>
        <w:rPr>
          <w:rFonts w:eastAsia="MS Mincho" w:cs="Arial"/>
          <w:szCs w:val="18"/>
          <w:lang w:val="fr-FR" w:eastAsia="ja-JP"/>
        </w:rPr>
      </w:pPr>
      <w:r w:rsidRPr="00890F11">
        <w:rPr>
          <w:rFonts w:eastAsia="MS Mincho" w:cs="Arial"/>
          <w:b/>
          <w:szCs w:val="18"/>
          <w:lang w:val="fr-FR" w:eastAsia="ja-JP"/>
        </w:rPr>
        <w:t>FNC (2016)</w:t>
      </w:r>
      <w:r w:rsidRPr="00890F11">
        <w:rPr>
          <w:rFonts w:eastAsia="MS Mincho" w:cs="Arial"/>
          <w:szCs w:val="18"/>
          <w:lang w:val="fr-FR" w:eastAsia="ja-JP"/>
        </w:rPr>
        <w:t xml:space="preserve"> </w:t>
      </w:r>
      <w:r w:rsidRPr="00890F11">
        <w:rPr>
          <w:rFonts w:eastAsia="MS Mincho" w:cs="Arial"/>
          <w:i/>
          <w:szCs w:val="18"/>
          <w:lang w:val="fr-FR" w:eastAsia="ja-JP"/>
        </w:rPr>
        <w:t>Conservation des habitats de la Tourterelle des bois (</w:t>
      </w:r>
      <w:r w:rsidRPr="00890F11">
        <w:rPr>
          <w:rFonts w:eastAsia="MS Mincho" w:cs="Arial"/>
          <w:szCs w:val="18"/>
          <w:lang w:val="fr-FR" w:eastAsia="ja-JP"/>
        </w:rPr>
        <w:t>Streptopelia turtur</w:t>
      </w:r>
      <w:r w:rsidRPr="00890F11">
        <w:rPr>
          <w:rFonts w:eastAsia="MS Mincho" w:cs="Arial"/>
          <w:i/>
          <w:szCs w:val="18"/>
          <w:lang w:val="fr-FR" w:eastAsia="ja-JP"/>
        </w:rPr>
        <w:t>) par les chasseurs français</w:t>
      </w:r>
      <w:r w:rsidRPr="00890F11">
        <w:rPr>
          <w:rFonts w:eastAsia="MS Mincho" w:cs="Arial"/>
          <w:szCs w:val="18"/>
          <w:lang w:val="fr-FR" w:eastAsia="ja-JP"/>
        </w:rPr>
        <w:t xml:space="preserve">. </w:t>
      </w:r>
      <w:r w:rsidRPr="00965D7D">
        <w:rPr>
          <w:rFonts w:eastAsia="MS Mincho" w:cs="Arial"/>
          <w:szCs w:val="18"/>
          <w:lang w:val="fr-FR" w:eastAsia="ja-JP"/>
        </w:rPr>
        <w:t>Fédération Nationale des Chasseurs (FNC).</w:t>
      </w:r>
    </w:p>
    <w:p w14:paraId="3A4F4A1A" w14:textId="77777777" w:rsidR="00C96521" w:rsidRPr="00965D7D" w:rsidRDefault="00C96521" w:rsidP="00C96521">
      <w:pPr>
        <w:widowControl/>
        <w:autoSpaceDE/>
        <w:autoSpaceDN/>
        <w:adjustRightInd/>
        <w:spacing w:line="276" w:lineRule="auto"/>
        <w:rPr>
          <w:rFonts w:eastAsia="MS Mincho" w:cs="Arial"/>
          <w:b/>
          <w:bCs/>
          <w:szCs w:val="18"/>
          <w:lang w:val="fr-FR" w:eastAsia="ja-JP"/>
        </w:rPr>
      </w:pPr>
    </w:p>
    <w:p w14:paraId="0EDAA6AF"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965D7D">
        <w:rPr>
          <w:rFonts w:eastAsia="MS Mincho" w:cs="Arial"/>
          <w:b/>
          <w:bCs/>
          <w:szCs w:val="18"/>
          <w:lang w:val="fr-FR" w:eastAsia="ja-JP"/>
        </w:rPr>
        <w:t>FONTOURA AP and DIAS S (1995)</w:t>
      </w:r>
      <w:r w:rsidRPr="00965D7D">
        <w:rPr>
          <w:rFonts w:eastAsia="MS Mincho" w:cs="Arial"/>
          <w:bCs/>
          <w:szCs w:val="18"/>
          <w:lang w:val="fr-FR" w:eastAsia="ja-JP"/>
        </w:rPr>
        <w:t xml:space="preserve"> </w:t>
      </w:r>
      <w:r w:rsidRPr="00965D7D">
        <w:rPr>
          <w:rFonts w:eastAsia="MS Mincho" w:cs="Arial"/>
          <w:szCs w:val="18"/>
          <w:lang w:val="fr-FR" w:eastAsia="ja-JP"/>
        </w:rPr>
        <w:t>Productivity of the turtle-dove (</w:t>
      </w:r>
      <w:r w:rsidRPr="00965D7D">
        <w:rPr>
          <w:rFonts w:eastAsia="MS Mincho" w:cs="Arial"/>
          <w:i/>
          <w:szCs w:val="18"/>
          <w:lang w:val="fr-FR" w:eastAsia="ja-JP"/>
        </w:rPr>
        <w:t>Streptopelia turtur</w:t>
      </w:r>
      <w:r w:rsidRPr="00965D7D">
        <w:rPr>
          <w:rFonts w:eastAsia="MS Mincho" w:cs="Arial"/>
          <w:szCs w:val="18"/>
          <w:lang w:val="fr-FR" w:eastAsia="ja-JP"/>
        </w:rPr>
        <w:t xml:space="preserve">) in the northwest of Portugal. </w:t>
      </w:r>
      <w:r w:rsidRPr="00C96521">
        <w:rPr>
          <w:rFonts w:eastAsia="MS Mincho" w:cs="Arial"/>
          <w:szCs w:val="18"/>
          <w:lang w:val="en-GB" w:eastAsia="ja-JP"/>
        </w:rPr>
        <w:t xml:space="preserve">In: BOTEV N (ed) </w:t>
      </w:r>
      <w:r w:rsidRPr="00C96521">
        <w:rPr>
          <w:rFonts w:eastAsia="MS Mincho" w:cs="Arial"/>
          <w:i/>
          <w:szCs w:val="18"/>
          <w:lang w:val="en-GB" w:eastAsia="ja-JP"/>
        </w:rPr>
        <w:t xml:space="preserve">Procedures of the International Union of Game Biologists XXII Congress: Game and man. </w:t>
      </w:r>
      <w:r w:rsidRPr="00C96521">
        <w:rPr>
          <w:rFonts w:eastAsia="MS Mincho" w:cs="Arial"/>
          <w:szCs w:val="18"/>
          <w:lang w:val="en-GB" w:eastAsia="ja-JP"/>
        </w:rPr>
        <w:t>Sofia, Bulgaria 4-8 September 1995 (1996). pp 1-6.</w:t>
      </w:r>
    </w:p>
    <w:p w14:paraId="753935E1" w14:textId="77777777" w:rsidR="00C96521" w:rsidRPr="00C96521" w:rsidRDefault="00C96521" w:rsidP="00C96521">
      <w:pPr>
        <w:widowControl/>
        <w:autoSpaceDE/>
        <w:autoSpaceDN/>
        <w:adjustRightInd/>
        <w:spacing w:line="276" w:lineRule="auto"/>
        <w:rPr>
          <w:rFonts w:eastAsia="MS Mincho" w:cs="Arial"/>
          <w:b/>
          <w:color w:val="000000"/>
          <w:szCs w:val="18"/>
          <w:shd w:val="clear" w:color="auto" w:fill="FFFFFF"/>
          <w:lang w:val="en-GB" w:eastAsia="ja-JP"/>
        </w:rPr>
      </w:pPr>
    </w:p>
    <w:p w14:paraId="2ED4DC52"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FRANK B and BATTISTI C (2005)</w:t>
      </w:r>
      <w:r w:rsidRPr="00C96521">
        <w:rPr>
          <w:rFonts w:eastAsia="MS Mincho" w:cs="Arial"/>
          <w:szCs w:val="18"/>
          <w:lang w:val="en-GB" w:eastAsia="ja-JP"/>
        </w:rPr>
        <w:t xml:space="preserve"> Area effect on bird communities, guilds and species in a highly fragmented forest landscape of Central Italy. </w:t>
      </w:r>
      <w:r w:rsidRPr="00C96521">
        <w:rPr>
          <w:rFonts w:eastAsia="MS Mincho" w:cs="Arial"/>
          <w:i/>
          <w:szCs w:val="18"/>
          <w:lang w:val="en-GB" w:eastAsia="ja-JP"/>
        </w:rPr>
        <w:t>Italian Journal of Zoology</w:t>
      </w:r>
      <w:r w:rsidRPr="00C96521">
        <w:rPr>
          <w:rFonts w:eastAsia="MS Mincho" w:cs="Arial"/>
          <w:szCs w:val="18"/>
          <w:lang w:val="en-GB" w:eastAsia="ja-JP"/>
        </w:rPr>
        <w:t xml:space="preserve"> 72(4): 297-304.</w:t>
      </w:r>
    </w:p>
    <w:p w14:paraId="3714F8B3" w14:textId="77777777" w:rsidR="00C96521" w:rsidRPr="00C96521" w:rsidRDefault="00C96521" w:rsidP="00C96521">
      <w:pPr>
        <w:widowControl/>
        <w:spacing w:line="276" w:lineRule="auto"/>
        <w:rPr>
          <w:rFonts w:eastAsia="MS Mincho" w:cs="Arial"/>
          <w:szCs w:val="18"/>
          <w:lang w:val="en-GB" w:eastAsia="ja-JP"/>
        </w:rPr>
      </w:pPr>
    </w:p>
    <w:p w14:paraId="3A95CCBC"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FRANSSON T, KOLEHMAINEN T, KROON C, JANSSON L and WENNINGER T (2010)</w:t>
      </w:r>
      <w:r w:rsidRPr="00C96521">
        <w:rPr>
          <w:rFonts w:eastAsia="MS Mincho" w:cs="Arial"/>
          <w:szCs w:val="18"/>
          <w:lang w:val="en-GB" w:eastAsia="ja-JP"/>
        </w:rPr>
        <w:t xml:space="preserve"> </w:t>
      </w:r>
      <w:r w:rsidRPr="00C96521">
        <w:rPr>
          <w:rFonts w:eastAsia="MS Mincho" w:cs="Arial"/>
          <w:i/>
          <w:szCs w:val="18"/>
          <w:lang w:val="en-GB" w:eastAsia="ja-JP"/>
        </w:rPr>
        <w:t>EURING list of longevity records for European birds</w:t>
      </w:r>
      <w:r w:rsidRPr="00C96521">
        <w:rPr>
          <w:rFonts w:eastAsia="MS Mincho" w:cs="Arial"/>
          <w:szCs w:val="18"/>
          <w:lang w:val="en-GB" w:eastAsia="ja-JP"/>
        </w:rPr>
        <w:t>. http://www.euring.org/data-and-codes/longevity-list?page=3 (last accessed 21</w:t>
      </w:r>
      <w:r w:rsidRPr="00C96521">
        <w:rPr>
          <w:rFonts w:eastAsia="MS Mincho" w:cs="Arial"/>
          <w:szCs w:val="18"/>
          <w:vertAlign w:val="superscript"/>
          <w:lang w:val="en-GB" w:eastAsia="ja-JP"/>
        </w:rPr>
        <w:t>st</w:t>
      </w:r>
      <w:r w:rsidRPr="00C96521">
        <w:rPr>
          <w:rFonts w:eastAsia="MS Mincho" w:cs="Arial"/>
          <w:szCs w:val="18"/>
          <w:lang w:val="en-GB" w:eastAsia="ja-JP"/>
        </w:rPr>
        <w:t xml:space="preserve"> February 2017)</w:t>
      </w:r>
    </w:p>
    <w:p w14:paraId="1FDC1CBE" w14:textId="77777777" w:rsidR="00C96521" w:rsidRPr="00C96521" w:rsidRDefault="00C96521" w:rsidP="00C96521">
      <w:pPr>
        <w:widowControl/>
        <w:spacing w:line="276" w:lineRule="auto"/>
        <w:rPr>
          <w:rFonts w:eastAsia="MS Mincho" w:cs="Arial"/>
          <w:szCs w:val="18"/>
          <w:lang w:val="en-GB" w:eastAsia="ja-JP"/>
        </w:rPr>
      </w:pPr>
    </w:p>
    <w:p w14:paraId="5A4773B2"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GALLO-ORSI U (ed) (2001)</w:t>
      </w:r>
      <w:r w:rsidRPr="00C96521">
        <w:rPr>
          <w:rFonts w:eastAsia="MS Mincho" w:cs="Arial"/>
          <w:szCs w:val="18"/>
          <w:lang w:val="en-GB" w:eastAsia="ja-JP"/>
        </w:rPr>
        <w:t> </w:t>
      </w:r>
      <w:r w:rsidRPr="00C96521">
        <w:rPr>
          <w:rFonts w:eastAsia="MS Mincho" w:cs="Arial"/>
          <w:i/>
          <w:szCs w:val="18"/>
          <w:lang w:val="en-GB" w:eastAsia="ja-JP"/>
        </w:rPr>
        <w:t>Saving Europe’s most threatened birds: progress in implementing European Species Action Plans</w:t>
      </w:r>
      <w:r w:rsidRPr="00C96521">
        <w:rPr>
          <w:rFonts w:eastAsia="MS Mincho" w:cs="Arial"/>
          <w:szCs w:val="18"/>
          <w:lang w:val="en-GB" w:eastAsia="ja-JP"/>
        </w:rPr>
        <w:t>. BirdLife International, Wageningen.</w:t>
      </w:r>
    </w:p>
    <w:p w14:paraId="022E693B" w14:textId="77777777" w:rsidR="00C96521" w:rsidRPr="00C96521" w:rsidRDefault="00C96521" w:rsidP="00C96521">
      <w:pPr>
        <w:widowControl/>
        <w:spacing w:line="276" w:lineRule="auto"/>
        <w:rPr>
          <w:rFonts w:eastAsia="MS Mincho" w:cs="Arial"/>
          <w:szCs w:val="18"/>
          <w:lang w:val="en-GB" w:eastAsia="ja-JP"/>
        </w:rPr>
      </w:pPr>
    </w:p>
    <w:p w14:paraId="4987AFAF"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GAME AND FAUNA SERVICE (2016)</w:t>
      </w:r>
      <w:r w:rsidRPr="00C96521">
        <w:rPr>
          <w:rFonts w:eastAsia="MS Mincho" w:cs="Arial"/>
          <w:szCs w:val="18"/>
          <w:lang w:val="en-GB" w:eastAsia="ja-JP"/>
        </w:rPr>
        <w:t xml:space="preserve"> </w:t>
      </w:r>
      <w:r w:rsidRPr="00C96521">
        <w:rPr>
          <w:rFonts w:eastAsia="MS Mincho" w:cs="Arial"/>
          <w:i/>
          <w:szCs w:val="18"/>
          <w:lang w:val="en-GB" w:eastAsia="ja-JP"/>
        </w:rPr>
        <w:t>Results of Hunting Bag Statistics Survey 2015-2016</w:t>
      </w:r>
      <w:r w:rsidRPr="00C96521">
        <w:rPr>
          <w:rFonts w:eastAsia="MS Mincho" w:cs="Arial"/>
          <w:szCs w:val="18"/>
          <w:lang w:val="en-GB" w:eastAsia="ja-JP"/>
        </w:rPr>
        <w:t xml:space="preserve">. Ministry of Interior, Nicosia, Cyprus. </w:t>
      </w:r>
      <w:hyperlink r:id="rId55" w:history="1">
        <w:r w:rsidRPr="00C96521">
          <w:rPr>
            <w:rFonts w:eastAsia="MS Mincho" w:cs="Arial"/>
            <w:szCs w:val="18"/>
            <w:lang w:val="en-GB" w:eastAsia="ja-JP"/>
          </w:rPr>
          <w:t>http://www.moi.gov.cy/moi/wildlife/wildlife_new.nsf/web23_gr/web23_gr</w:t>
        </w:r>
      </w:hyperlink>
      <w:r w:rsidRPr="00C96521">
        <w:rPr>
          <w:rFonts w:eastAsia="MS Mincho" w:cs="Arial"/>
          <w:szCs w:val="18"/>
          <w:lang w:val="en-GB" w:eastAsia="ja-JP"/>
        </w:rPr>
        <w:t xml:space="preserve"> (last accessed 2nd December 2016).</w:t>
      </w:r>
    </w:p>
    <w:p w14:paraId="756BAFB4" w14:textId="77777777" w:rsidR="00C96521" w:rsidRPr="00C96521" w:rsidRDefault="00C96521" w:rsidP="00C96521">
      <w:pPr>
        <w:widowControl/>
        <w:spacing w:line="276" w:lineRule="auto"/>
        <w:rPr>
          <w:rFonts w:eastAsia="MS Mincho" w:cs="Arial"/>
          <w:b/>
          <w:szCs w:val="18"/>
          <w:lang w:val="en-GB" w:eastAsia="ja-JP"/>
        </w:rPr>
      </w:pPr>
    </w:p>
    <w:p w14:paraId="3F408926"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GARGALLO G, BARRIOCANAL C, CASTANY J, CLARABUCH O, ESCANDELL R, LOPEZ-IBORRA G, RGUIBI-IDRISSI H, ROBSON D and SUAREZ M (2011)</w:t>
      </w:r>
      <w:r w:rsidRPr="00C96521">
        <w:rPr>
          <w:rFonts w:eastAsia="MS Mincho" w:cs="Arial"/>
          <w:szCs w:val="18"/>
          <w:lang w:val="en-GB" w:eastAsia="ja-JP"/>
        </w:rPr>
        <w:t xml:space="preserve"> </w:t>
      </w:r>
      <w:r w:rsidRPr="00C96521">
        <w:rPr>
          <w:rFonts w:eastAsia="MS Mincho" w:cs="Arial"/>
          <w:i/>
          <w:szCs w:val="18"/>
          <w:lang w:val="en-GB" w:eastAsia="ja-JP"/>
        </w:rPr>
        <w:t>Spring migration in the western Mediterranean and NW Africa: the results of 16 years of the Piccole Isole project</w:t>
      </w:r>
      <w:r w:rsidRPr="00C96521">
        <w:rPr>
          <w:rFonts w:eastAsia="MS Mincho" w:cs="Arial"/>
          <w:szCs w:val="18"/>
          <w:lang w:val="en-GB" w:eastAsia="ja-JP"/>
        </w:rPr>
        <w:t>. Monografies del Museu de Ciències Naturals 6, Barcelona.</w:t>
      </w:r>
    </w:p>
    <w:p w14:paraId="29DA3AEB" w14:textId="77777777" w:rsidR="00C96521" w:rsidRPr="00C96521" w:rsidRDefault="00C96521" w:rsidP="00C96521">
      <w:pPr>
        <w:widowControl/>
        <w:autoSpaceDE/>
        <w:autoSpaceDN/>
        <w:adjustRightInd/>
        <w:spacing w:line="276" w:lineRule="auto"/>
        <w:rPr>
          <w:rFonts w:eastAsia="MS Mincho" w:cs="Arial"/>
          <w:b/>
          <w:color w:val="000000"/>
          <w:szCs w:val="18"/>
          <w:shd w:val="clear" w:color="auto" w:fill="FFFFFF"/>
          <w:lang w:val="en-GB" w:eastAsia="ja-JP"/>
        </w:rPr>
      </w:pPr>
    </w:p>
    <w:p w14:paraId="3413011E" w14:textId="77777777" w:rsidR="00C96521" w:rsidRPr="00C96521" w:rsidRDefault="00C96521" w:rsidP="00C96521">
      <w:pPr>
        <w:widowControl/>
        <w:autoSpaceDE/>
        <w:autoSpaceDN/>
        <w:adjustRightInd/>
        <w:spacing w:line="276" w:lineRule="auto"/>
        <w:rPr>
          <w:rFonts w:eastAsia="MS Mincho" w:cs="Arial"/>
          <w:color w:val="000000"/>
          <w:szCs w:val="18"/>
          <w:shd w:val="clear" w:color="auto" w:fill="FFFFFF"/>
          <w:lang w:val="en-GB" w:eastAsia="ja-JP"/>
        </w:rPr>
      </w:pPr>
      <w:r w:rsidRPr="00C96521">
        <w:rPr>
          <w:rFonts w:eastAsia="MS Mincho" w:cs="Arial"/>
          <w:b/>
          <w:color w:val="000000"/>
          <w:szCs w:val="18"/>
          <w:shd w:val="clear" w:color="auto" w:fill="FFFFFF"/>
          <w:lang w:val="en-GB" w:eastAsia="ja-JP"/>
        </w:rPr>
        <w:t>GEDEON K, GRÜNEBERG C, MITSCHKE A, SUDFELDT C, EIKHORST W, FISCHER S, FLADE M, FRICK S, GEIERSBERGER I, KOOP B, KRAMER M, KRÜGER T, ROTH N, RYSLAVY T, STÜBING S, SUDMANN SR, STEFFENS R, VÖKLER F and WITT K (2014)</w:t>
      </w:r>
      <w:r w:rsidRPr="00C96521">
        <w:rPr>
          <w:rFonts w:eastAsia="MS Mincho" w:cs="Arial"/>
          <w:color w:val="000000"/>
          <w:szCs w:val="18"/>
          <w:shd w:val="clear" w:color="auto" w:fill="FFFFFF"/>
          <w:lang w:val="en-GB" w:eastAsia="ja-JP"/>
        </w:rPr>
        <w:t xml:space="preserve"> </w:t>
      </w:r>
      <w:r w:rsidRPr="00C96521">
        <w:rPr>
          <w:rFonts w:eastAsia="MS Mincho" w:cs="Arial"/>
          <w:i/>
          <w:color w:val="000000"/>
          <w:szCs w:val="18"/>
          <w:shd w:val="clear" w:color="auto" w:fill="FFFFFF"/>
          <w:lang w:val="en-GB" w:eastAsia="ja-JP"/>
        </w:rPr>
        <w:t>Atlas Deutscher Brutvogelarten/Atlas of German Breeding Birds</w:t>
      </w:r>
      <w:r w:rsidRPr="00C96521">
        <w:rPr>
          <w:rFonts w:eastAsia="MS Mincho" w:cs="Arial"/>
          <w:color w:val="000000"/>
          <w:szCs w:val="18"/>
          <w:shd w:val="clear" w:color="auto" w:fill="FFFFFF"/>
          <w:lang w:val="en-GB" w:eastAsia="ja-JP"/>
        </w:rPr>
        <w:t>. Stiftung Vogelmonitoring Deutschland and Dachverband Deutscher Avifaunisten, Münster.</w:t>
      </w:r>
    </w:p>
    <w:p w14:paraId="581EBB22"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2DFDDC06" w14:textId="77777777" w:rsidR="00C96521" w:rsidRPr="00890F11" w:rsidRDefault="00C96521" w:rsidP="00C96521">
      <w:pPr>
        <w:widowControl/>
        <w:autoSpaceDE/>
        <w:autoSpaceDN/>
        <w:adjustRightInd/>
        <w:spacing w:line="276" w:lineRule="auto"/>
        <w:rPr>
          <w:rFonts w:eastAsia="MS Mincho" w:cs="Arial"/>
          <w:szCs w:val="18"/>
          <w:lang w:val="fr-FR" w:eastAsia="ja-JP"/>
        </w:rPr>
      </w:pPr>
      <w:r w:rsidRPr="00C96521">
        <w:rPr>
          <w:rFonts w:eastAsia="MS Mincho" w:cs="Arial"/>
          <w:b/>
          <w:szCs w:val="18"/>
          <w:lang w:val="en-GB" w:eastAsia="ja-JP"/>
        </w:rPr>
        <w:t>GEISTER I (1995)</w:t>
      </w:r>
      <w:r w:rsidRPr="00C96521">
        <w:rPr>
          <w:rFonts w:eastAsia="MS Mincho" w:cs="Arial"/>
          <w:szCs w:val="18"/>
          <w:lang w:val="en-GB" w:eastAsia="ja-JP"/>
        </w:rPr>
        <w:t xml:space="preserve"> </w:t>
      </w:r>
      <w:r w:rsidRPr="00C96521">
        <w:rPr>
          <w:rFonts w:eastAsia="MS Mincho" w:cs="Arial"/>
          <w:i/>
          <w:szCs w:val="18"/>
          <w:lang w:val="en-GB" w:eastAsia="ja-JP"/>
        </w:rPr>
        <w:t>Ornitološki Atlas Slovenije – Razširjenost gnezdilk</w:t>
      </w:r>
      <w:r w:rsidRPr="00C96521">
        <w:rPr>
          <w:rFonts w:eastAsia="MS Mincho" w:cs="Arial"/>
          <w:szCs w:val="18"/>
          <w:lang w:val="en-GB" w:eastAsia="ja-JP"/>
        </w:rPr>
        <w:t xml:space="preserve">. </w:t>
      </w:r>
      <w:r w:rsidRPr="00890F11">
        <w:rPr>
          <w:rFonts w:eastAsia="MS Mincho" w:cs="Arial"/>
          <w:szCs w:val="18"/>
          <w:lang w:val="fr-FR" w:eastAsia="ja-JP"/>
        </w:rPr>
        <w:t>DZS, Ljubljana.</w:t>
      </w:r>
    </w:p>
    <w:p w14:paraId="7EEE8F65" w14:textId="77777777" w:rsidR="00C96521" w:rsidRPr="00890F11" w:rsidRDefault="00C96521" w:rsidP="00C96521">
      <w:pPr>
        <w:widowControl/>
        <w:autoSpaceDE/>
        <w:autoSpaceDN/>
        <w:adjustRightInd/>
        <w:spacing w:line="276" w:lineRule="auto"/>
        <w:rPr>
          <w:rFonts w:eastAsia="MS Mincho" w:cs="Arial"/>
          <w:b/>
          <w:bCs/>
          <w:szCs w:val="18"/>
          <w:lang w:val="fr-FR" w:eastAsia="ja-JP"/>
        </w:rPr>
      </w:pPr>
    </w:p>
    <w:p w14:paraId="20FFFEE5" w14:textId="77777777" w:rsidR="00C96521" w:rsidRPr="00890F11" w:rsidRDefault="00C96521" w:rsidP="00C96521">
      <w:pPr>
        <w:widowControl/>
        <w:autoSpaceDE/>
        <w:autoSpaceDN/>
        <w:adjustRightInd/>
        <w:spacing w:line="276" w:lineRule="auto"/>
        <w:rPr>
          <w:rFonts w:eastAsia="MS Mincho" w:cs="Arial"/>
          <w:szCs w:val="18"/>
          <w:lang w:val="fr-FR" w:eastAsia="ja-JP"/>
        </w:rPr>
      </w:pPr>
      <w:r w:rsidRPr="00890F11">
        <w:rPr>
          <w:rFonts w:eastAsia="MS Mincho" w:cs="Arial"/>
          <w:b/>
          <w:bCs/>
          <w:szCs w:val="18"/>
          <w:lang w:val="fr-FR" w:eastAsia="ja-JP"/>
        </w:rPr>
        <w:t>GEROUDET (1983)</w:t>
      </w:r>
      <w:r w:rsidRPr="00890F11">
        <w:rPr>
          <w:rFonts w:eastAsia="MS Mincho" w:cs="Arial"/>
          <w:bCs/>
          <w:szCs w:val="18"/>
          <w:lang w:val="fr-FR" w:eastAsia="ja-JP"/>
        </w:rPr>
        <w:t xml:space="preserve"> </w:t>
      </w:r>
      <w:r w:rsidRPr="00890F11">
        <w:rPr>
          <w:rFonts w:eastAsia="MS Mincho" w:cs="Arial"/>
          <w:i/>
          <w:szCs w:val="18"/>
          <w:lang w:val="fr-FR" w:eastAsia="ja-JP"/>
        </w:rPr>
        <w:t>Limicoles, Gangas et Pigeons d’Europe. Volume 2.</w:t>
      </w:r>
      <w:r w:rsidRPr="00890F11">
        <w:rPr>
          <w:rFonts w:eastAsia="MS Mincho" w:cs="Arial"/>
          <w:szCs w:val="18"/>
          <w:lang w:val="fr-FR" w:eastAsia="ja-JP"/>
        </w:rPr>
        <w:t xml:space="preserve"> Delachaux et Niestlé, Neuchâtel.</w:t>
      </w:r>
    </w:p>
    <w:p w14:paraId="17E24B92" w14:textId="77777777" w:rsidR="00C96521" w:rsidRPr="00890F11" w:rsidRDefault="00C96521" w:rsidP="00C96521">
      <w:pPr>
        <w:widowControl/>
        <w:autoSpaceDE/>
        <w:autoSpaceDN/>
        <w:adjustRightInd/>
        <w:spacing w:line="276" w:lineRule="auto"/>
        <w:rPr>
          <w:rFonts w:eastAsia="MS Mincho" w:cs="Arial"/>
          <w:szCs w:val="18"/>
          <w:lang w:val="fr-FR" w:eastAsia="ja-JP"/>
        </w:rPr>
      </w:pPr>
    </w:p>
    <w:p w14:paraId="5F79D23D" w14:textId="77777777" w:rsidR="00C96521" w:rsidRPr="00890F11" w:rsidRDefault="00C96521" w:rsidP="00C96521">
      <w:pPr>
        <w:widowControl/>
        <w:autoSpaceDE/>
        <w:autoSpaceDN/>
        <w:adjustRightInd/>
        <w:spacing w:line="276" w:lineRule="auto"/>
        <w:rPr>
          <w:rFonts w:eastAsia="MS Mincho" w:cs="Arial"/>
          <w:b/>
          <w:bCs/>
          <w:szCs w:val="18"/>
          <w:lang w:val="fr-FR" w:eastAsia="ja-JP"/>
        </w:rPr>
      </w:pPr>
      <w:r w:rsidRPr="00C96521">
        <w:rPr>
          <w:rFonts w:eastAsia="MS Mincho" w:cs="Arial"/>
          <w:b/>
          <w:szCs w:val="18"/>
          <w:lang w:val="en-GB" w:eastAsia="ja-JP"/>
        </w:rPr>
        <w:t>GIBBONS D, MORRISSEY C and MINEAU P (2015)</w:t>
      </w:r>
      <w:r w:rsidRPr="00C96521">
        <w:rPr>
          <w:rFonts w:eastAsia="MS Mincho" w:cs="Arial"/>
          <w:szCs w:val="18"/>
          <w:lang w:val="en-GB" w:eastAsia="ja-JP"/>
        </w:rPr>
        <w:t xml:space="preserve"> A review of the direct and indirect effects of neonicotinoids and fipronil on vertebrate wildlife. </w:t>
      </w:r>
      <w:r w:rsidRPr="00890F11">
        <w:rPr>
          <w:rFonts w:eastAsia="MS Mincho" w:cs="Arial"/>
          <w:i/>
          <w:szCs w:val="18"/>
          <w:lang w:val="fr-FR" w:eastAsia="ja-JP"/>
        </w:rPr>
        <w:t>Environmental Science and Pollution Research</w:t>
      </w:r>
      <w:r w:rsidRPr="00890F11">
        <w:rPr>
          <w:rFonts w:eastAsia="MS Mincho" w:cs="Arial"/>
          <w:szCs w:val="18"/>
          <w:lang w:val="fr-FR" w:eastAsia="ja-JP"/>
        </w:rPr>
        <w:t xml:space="preserve"> 22(1): 103-118.</w:t>
      </w:r>
    </w:p>
    <w:p w14:paraId="5F8362D2" w14:textId="77777777" w:rsidR="00C96521" w:rsidRPr="00890F11" w:rsidRDefault="00C96521" w:rsidP="00C96521">
      <w:pPr>
        <w:widowControl/>
        <w:autoSpaceDE/>
        <w:autoSpaceDN/>
        <w:adjustRightInd/>
        <w:spacing w:line="276" w:lineRule="auto"/>
        <w:rPr>
          <w:rFonts w:eastAsia="MS Mincho" w:cs="Arial"/>
          <w:b/>
          <w:szCs w:val="18"/>
          <w:lang w:val="fr-FR" w:eastAsia="ja-JP"/>
        </w:rPr>
      </w:pPr>
    </w:p>
    <w:p w14:paraId="4E730B5F" w14:textId="6DD71207" w:rsidR="00C96521" w:rsidRPr="008C00B8" w:rsidRDefault="00C96521" w:rsidP="00C96521">
      <w:pPr>
        <w:widowControl/>
        <w:autoSpaceDE/>
        <w:autoSpaceDN/>
        <w:adjustRightInd/>
        <w:spacing w:line="276" w:lineRule="auto"/>
        <w:rPr>
          <w:rFonts w:eastAsia="MS Mincho" w:cs="Arial"/>
          <w:szCs w:val="18"/>
          <w:lang w:val="de-DE" w:eastAsia="ja-JP"/>
        </w:rPr>
      </w:pPr>
      <w:r w:rsidRPr="00890F11">
        <w:rPr>
          <w:rFonts w:eastAsia="MS Mincho" w:cs="Arial"/>
          <w:b/>
          <w:szCs w:val="18"/>
          <w:lang w:val="fr-FR" w:eastAsia="ja-JP"/>
        </w:rPr>
        <w:t>GIRAUDOUX P, DEGAUQUIER R, JONES PJ, WEIGEL J and ISENMANN P (1986)</w:t>
      </w:r>
      <w:r w:rsidRPr="00890F11">
        <w:rPr>
          <w:rFonts w:eastAsia="MS Mincho" w:cs="Arial"/>
          <w:b/>
          <w:bCs/>
          <w:szCs w:val="18"/>
          <w:lang w:val="fr-FR" w:eastAsia="ja-JP"/>
        </w:rPr>
        <w:t xml:space="preserve"> </w:t>
      </w:r>
      <w:r w:rsidRPr="00890F11">
        <w:rPr>
          <w:rFonts w:eastAsia="MS Mincho" w:cs="Arial"/>
          <w:szCs w:val="18"/>
          <w:lang w:val="fr-FR" w:eastAsia="ja-JP"/>
        </w:rPr>
        <w:t xml:space="preserve">Avifaune du Niger: </w:t>
      </w:r>
      <w:r w:rsidR="00526B63">
        <w:rPr>
          <w:rFonts w:eastAsia="MS Mincho" w:cs="Arial"/>
          <w:szCs w:val="18"/>
          <w:lang w:val="fr-FR" w:eastAsia="ja-JP"/>
        </w:rPr>
        <w:t>É</w:t>
      </w:r>
      <w:r w:rsidRPr="00890F11">
        <w:rPr>
          <w:rFonts w:eastAsia="MS Mincho" w:cs="Arial"/>
          <w:szCs w:val="18"/>
          <w:lang w:val="fr-FR" w:eastAsia="ja-JP"/>
        </w:rPr>
        <w:t xml:space="preserve">tat des connaissances en 1986. </w:t>
      </w:r>
      <w:r w:rsidRPr="008C00B8">
        <w:rPr>
          <w:rFonts w:eastAsia="MS Mincho" w:cs="Arial"/>
          <w:i/>
          <w:szCs w:val="18"/>
          <w:lang w:val="de-DE" w:eastAsia="ja-JP"/>
        </w:rPr>
        <w:t>Malimbus</w:t>
      </w:r>
      <w:r w:rsidRPr="008C00B8">
        <w:rPr>
          <w:rFonts w:eastAsia="MS Mincho" w:cs="Arial"/>
          <w:szCs w:val="18"/>
          <w:lang w:val="de-DE" w:eastAsia="ja-JP"/>
        </w:rPr>
        <w:t xml:space="preserve"> 10: 1-140.</w:t>
      </w:r>
    </w:p>
    <w:p w14:paraId="2E8829BC" w14:textId="77777777" w:rsidR="00C96521" w:rsidRPr="008C00B8" w:rsidRDefault="00C96521" w:rsidP="00C96521">
      <w:pPr>
        <w:widowControl/>
        <w:autoSpaceDE/>
        <w:autoSpaceDN/>
        <w:adjustRightInd/>
        <w:spacing w:line="276" w:lineRule="auto"/>
        <w:rPr>
          <w:rFonts w:eastAsia="MS Mincho" w:cs="Arial"/>
          <w:b/>
          <w:bCs/>
          <w:szCs w:val="18"/>
          <w:lang w:val="de-DE" w:eastAsia="ja-JP"/>
        </w:rPr>
      </w:pPr>
    </w:p>
    <w:p w14:paraId="38B5CC31" w14:textId="77777777" w:rsidR="00C96521" w:rsidRPr="008C00B8" w:rsidRDefault="00C96521" w:rsidP="00C96521">
      <w:pPr>
        <w:widowControl/>
        <w:autoSpaceDE/>
        <w:autoSpaceDN/>
        <w:adjustRightInd/>
        <w:spacing w:line="276" w:lineRule="auto"/>
        <w:rPr>
          <w:rFonts w:eastAsia="MS Mincho" w:cs="Arial"/>
          <w:bCs/>
          <w:szCs w:val="18"/>
          <w:lang w:val="de-DE" w:eastAsia="ja-JP"/>
        </w:rPr>
      </w:pPr>
      <w:r w:rsidRPr="008C00B8">
        <w:rPr>
          <w:rFonts w:eastAsia="MS Mincho" w:cs="Arial"/>
          <w:b/>
          <w:bCs/>
          <w:szCs w:val="18"/>
          <w:lang w:val="de-DE" w:eastAsia="ja-JP"/>
        </w:rPr>
        <w:t xml:space="preserve">GORE MEJ (1980) </w:t>
      </w:r>
      <w:r w:rsidRPr="008C00B8">
        <w:rPr>
          <w:rFonts w:eastAsia="MS Mincho" w:cs="Arial"/>
          <w:bCs/>
          <w:szCs w:val="18"/>
          <w:lang w:val="de-DE" w:eastAsia="ja-JP"/>
        </w:rPr>
        <w:t xml:space="preserve">Millions of turtle-doves. </w:t>
      </w:r>
      <w:r w:rsidRPr="008C00B8">
        <w:rPr>
          <w:rFonts w:eastAsia="MS Mincho" w:cs="Arial"/>
          <w:bCs/>
          <w:i/>
          <w:szCs w:val="18"/>
          <w:lang w:val="de-DE" w:eastAsia="ja-JP"/>
        </w:rPr>
        <w:t>Malimbus</w:t>
      </w:r>
      <w:r w:rsidRPr="008C00B8">
        <w:rPr>
          <w:rFonts w:eastAsia="MS Mincho" w:cs="Arial"/>
          <w:bCs/>
          <w:szCs w:val="18"/>
          <w:lang w:val="de-DE" w:eastAsia="ja-JP"/>
        </w:rPr>
        <w:t xml:space="preserve"> 2: 78.</w:t>
      </w:r>
    </w:p>
    <w:p w14:paraId="316744CD" w14:textId="77777777" w:rsidR="00C96521" w:rsidRPr="008C00B8" w:rsidRDefault="00C96521" w:rsidP="00C96521">
      <w:pPr>
        <w:widowControl/>
        <w:autoSpaceDE/>
        <w:autoSpaceDN/>
        <w:adjustRightInd/>
        <w:spacing w:line="276" w:lineRule="auto"/>
        <w:rPr>
          <w:rFonts w:eastAsia="MS Mincho" w:cs="Arial"/>
          <w:szCs w:val="18"/>
          <w:lang w:val="de-DE" w:eastAsia="ja-JP"/>
        </w:rPr>
      </w:pPr>
    </w:p>
    <w:p w14:paraId="61C72D82" w14:textId="77777777" w:rsidR="00C96521" w:rsidRPr="008C00B8" w:rsidRDefault="00C96521" w:rsidP="00C96521">
      <w:pPr>
        <w:widowControl/>
        <w:autoSpaceDE/>
        <w:autoSpaceDN/>
        <w:adjustRightInd/>
        <w:spacing w:line="276" w:lineRule="auto"/>
        <w:rPr>
          <w:rFonts w:eastAsia="MS Mincho" w:cs="Arial"/>
          <w:szCs w:val="18"/>
          <w:lang w:val="de-DE" w:eastAsia="ja-JP"/>
        </w:rPr>
      </w:pPr>
      <w:r w:rsidRPr="008C00B8">
        <w:rPr>
          <w:rFonts w:eastAsia="MS Mincho" w:cs="Arial"/>
          <w:b/>
          <w:bCs/>
          <w:szCs w:val="18"/>
          <w:lang w:val="de-DE" w:eastAsia="ja-JP"/>
        </w:rPr>
        <w:t>GLUTZ VON BLOTZHEIM UM (1980)</w:t>
      </w:r>
      <w:r w:rsidRPr="008C00B8">
        <w:rPr>
          <w:rFonts w:eastAsia="MS Mincho" w:cs="Arial"/>
          <w:bCs/>
          <w:szCs w:val="18"/>
          <w:lang w:val="de-DE" w:eastAsia="ja-JP"/>
        </w:rPr>
        <w:t xml:space="preserve"> </w:t>
      </w:r>
      <w:r w:rsidRPr="008C00B8">
        <w:rPr>
          <w:rFonts w:eastAsia="MS Mincho" w:cs="Arial"/>
          <w:i/>
          <w:szCs w:val="18"/>
          <w:lang w:val="de-DE" w:eastAsia="ja-JP"/>
        </w:rPr>
        <w:t>Handbuch der Vögel Mitteleuropas</w:t>
      </w:r>
      <w:r w:rsidRPr="008C00B8">
        <w:rPr>
          <w:rFonts w:eastAsia="MS Mincho" w:cs="Arial"/>
          <w:szCs w:val="18"/>
          <w:lang w:val="de-DE" w:eastAsia="ja-JP"/>
        </w:rPr>
        <w:t>. Akademische Verlagsgesellschaft, Wiesbaden.</w:t>
      </w:r>
    </w:p>
    <w:p w14:paraId="3129C78B" w14:textId="77777777" w:rsidR="00C96521" w:rsidRPr="008C00B8" w:rsidRDefault="00C96521" w:rsidP="00C96521">
      <w:pPr>
        <w:widowControl/>
        <w:autoSpaceDE/>
        <w:autoSpaceDN/>
        <w:adjustRightInd/>
        <w:spacing w:line="276" w:lineRule="auto"/>
        <w:rPr>
          <w:rFonts w:eastAsia="MS Mincho" w:cs="Arial"/>
          <w:szCs w:val="18"/>
          <w:lang w:val="de-DE" w:eastAsia="ja-JP"/>
        </w:rPr>
      </w:pPr>
    </w:p>
    <w:p w14:paraId="2AD8E7E1"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8C00B8">
        <w:rPr>
          <w:rFonts w:eastAsia="MS Mincho" w:cs="Arial"/>
          <w:b/>
          <w:bCs/>
          <w:szCs w:val="18"/>
          <w:lang w:val="de-DE" w:eastAsia="ja-JP"/>
        </w:rPr>
        <w:t>GOLOVAN VI (2002)</w:t>
      </w:r>
      <w:r w:rsidRPr="008C00B8">
        <w:rPr>
          <w:rFonts w:eastAsia="MS Mincho" w:cs="Arial"/>
          <w:szCs w:val="18"/>
          <w:lang w:val="de-DE" w:eastAsia="ja-JP"/>
        </w:rPr>
        <w:t xml:space="preserve"> Turtle-dove. </w:t>
      </w:r>
      <w:r w:rsidRPr="00C96521">
        <w:rPr>
          <w:rFonts w:eastAsia="MS Mincho" w:cs="Arial"/>
          <w:szCs w:val="18"/>
          <w:lang w:val="en-GB" w:eastAsia="ja-JP"/>
        </w:rPr>
        <w:t xml:space="preserve">In: NOSKOV GA. (Editor-in-Chief). </w:t>
      </w:r>
      <w:r w:rsidRPr="00C96521">
        <w:rPr>
          <w:rFonts w:eastAsia="MS Mincho" w:cs="Arial"/>
          <w:i/>
          <w:szCs w:val="18"/>
          <w:lang w:val="en-GB" w:eastAsia="ja-JP"/>
        </w:rPr>
        <w:t>Red Data Book of nature of the Leningrad Region</w:t>
      </w:r>
      <w:r w:rsidRPr="00C96521">
        <w:rPr>
          <w:rFonts w:eastAsia="MS Mincho" w:cs="Arial"/>
          <w:szCs w:val="18"/>
          <w:lang w:val="en-GB" w:eastAsia="ja-JP"/>
        </w:rPr>
        <w:t>. Vol. 3. Animals. World &amp; Family, St Petersburg: 401-402. [in Russian]</w:t>
      </w:r>
    </w:p>
    <w:p w14:paraId="5E44680C"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01586EE0"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GOLOVKIN S (2016)</w:t>
      </w:r>
      <w:r w:rsidRPr="00C96521">
        <w:rPr>
          <w:rFonts w:eastAsia="MS Mincho" w:cs="Arial"/>
          <w:szCs w:val="18"/>
          <w:lang w:val="en-GB" w:eastAsia="ja-JP"/>
        </w:rPr>
        <w:t xml:space="preserve"> </w:t>
      </w:r>
      <w:r w:rsidRPr="00C96521">
        <w:rPr>
          <w:rFonts w:eastAsia="MS Mincho" w:cs="Arial"/>
          <w:i/>
          <w:szCs w:val="18"/>
          <w:lang w:val="en-GB" w:eastAsia="ja-JP"/>
        </w:rPr>
        <w:t>Update on Recommendation No. 164 (2013) of the Bern Convention Standing Committee on the implementation of the Tunis Action Plan 2013-2020 for the eradication of illegal killing, trapping and trade of wild birds. Outcomes of the 3rd Meeting of Special Focal Points for Illegal Killing of Birds, 14-15 April 2016, Tirana.</w:t>
      </w:r>
      <w:r w:rsidRPr="00C96521">
        <w:rPr>
          <w:rFonts w:eastAsia="MS Mincho" w:cs="Arial"/>
          <w:szCs w:val="18"/>
          <w:lang w:val="en-GB" w:eastAsia="ja-JP"/>
        </w:rPr>
        <w:t xml:space="preserve"> http://www.cms.int/sites/default/files/document/Update%20from%20Bern%20Convention%20-%20Mr.%20Sergey%20Golovkin.pdf (last accessed 1st November 2016)</w:t>
      </w:r>
    </w:p>
    <w:p w14:paraId="38A24B09"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452572EF"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GORBAN I (2016)</w:t>
      </w:r>
      <w:r w:rsidRPr="00C96521">
        <w:rPr>
          <w:rFonts w:eastAsia="MS Mincho" w:cs="Arial"/>
          <w:szCs w:val="18"/>
          <w:lang w:val="en-GB" w:eastAsia="ja-JP"/>
        </w:rPr>
        <w:t xml:space="preserve"> Ukraine – contribution to EBBA2 and a path towards modern European bird monitoring. European Breeding Bird Atlas. http://www.ebba2.info/2016/03/17/ukraine-contribution-to-ebba2-and-a-path-towards-modern-european-bird-monitoring/ (last accessed 31</w:t>
      </w:r>
      <w:r w:rsidRPr="00C96521">
        <w:rPr>
          <w:rFonts w:eastAsia="MS Mincho" w:cs="Arial"/>
          <w:szCs w:val="18"/>
          <w:vertAlign w:val="superscript"/>
          <w:lang w:val="en-GB" w:eastAsia="ja-JP"/>
        </w:rPr>
        <w:t>st</w:t>
      </w:r>
      <w:r w:rsidRPr="00C96521">
        <w:rPr>
          <w:rFonts w:eastAsia="MS Mincho" w:cs="Arial"/>
          <w:szCs w:val="18"/>
          <w:lang w:val="en-GB" w:eastAsia="ja-JP"/>
        </w:rPr>
        <w:t xml:space="preserve"> October 2016)</w:t>
      </w:r>
    </w:p>
    <w:p w14:paraId="48B717E3"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331C29DF"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 xml:space="preserve">GOULSON D (2013) </w:t>
      </w:r>
      <w:r w:rsidRPr="00C96521">
        <w:rPr>
          <w:rFonts w:eastAsia="MS Mincho" w:cs="Arial"/>
          <w:szCs w:val="18"/>
          <w:lang w:val="en-GB" w:eastAsia="ja-JP"/>
        </w:rPr>
        <w:t xml:space="preserve">An overview of the environmental risks posed by neonicotinoid insecticides. </w:t>
      </w:r>
      <w:r w:rsidRPr="00C96521">
        <w:rPr>
          <w:rFonts w:eastAsia="MS Mincho" w:cs="Arial"/>
          <w:i/>
          <w:szCs w:val="18"/>
          <w:lang w:val="en-GB" w:eastAsia="ja-JP"/>
        </w:rPr>
        <w:t>Journal of Applied Ecology</w:t>
      </w:r>
      <w:r w:rsidRPr="00C96521">
        <w:rPr>
          <w:rFonts w:eastAsia="MS Mincho" w:cs="Arial"/>
          <w:szCs w:val="18"/>
          <w:lang w:val="en-GB" w:eastAsia="ja-JP"/>
        </w:rPr>
        <w:t xml:space="preserve"> 50(4): 977-987.</w:t>
      </w:r>
    </w:p>
    <w:p w14:paraId="5A7F11A6"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57D4EBA3"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GRELL MB, HELDBJERG H, RASMUSSEN B, STABELL M, TOFFT J and VIKSTRØM T</w:t>
      </w:r>
      <w:r w:rsidRPr="00C96521">
        <w:rPr>
          <w:rFonts w:eastAsia="MS Mincho" w:cs="Arial"/>
          <w:b/>
          <w:szCs w:val="18"/>
          <w:lang w:val="en-GB" w:eastAsia="ja-JP"/>
        </w:rPr>
        <w:t xml:space="preserve"> (eds) (2004)</w:t>
      </w:r>
      <w:r w:rsidRPr="00C96521">
        <w:rPr>
          <w:rFonts w:eastAsia="MS Mincho" w:cs="Arial"/>
          <w:szCs w:val="18"/>
          <w:lang w:val="en-GB" w:eastAsia="ja-JP"/>
        </w:rPr>
        <w:t xml:space="preserve"> Truede og sjældne ynglefugle I Danmark 2003. </w:t>
      </w:r>
      <w:r w:rsidRPr="00C96521">
        <w:rPr>
          <w:rFonts w:eastAsia="MS Mincho" w:cs="Arial"/>
          <w:i/>
          <w:szCs w:val="18"/>
          <w:lang w:val="en-GB" w:eastAsia="ja-JP"/>
        </w:rPr>
        <w:t>DOFT (Journal of the Danish Ornithological Society)</w:t>
      </w:r>
      <w:r w:rsidRPr="00C96521">
        <w:rPr>
          <w:rFonts w:eastAsia="MS Mincho" w:cs="Arial"/>
          <w:szCs w:val="18"/>
          <w:lang w:val="en-GB" w:eastAsia="ja-JP"/>
        </w:rPr>
        <w:t xml:space="preserve"> 98: 77.</w:t>
      </w:r>
    </w:p>
    <w:p w14:paraId="1E60C05B"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00C02B5E"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GUTIÉRREZ-GALÁN A and ALONSO C (2016)</w:t>
      </w:r>
      <w:r w:rsidRPr="00C96521">
        <w:rPr>
          <w:rFonts w:eastAsia="MS Mincho" w:cs="Arial"/>
          <w:szCs w:val="18"/>
          <w:lang w:val="en-GB" w:eastAsia="ja-JP"/>
        </w:rPr>
        <w:t xml:space="preserve"> European Turtle-dove </w:t>
      </w:r>
      <w:r w:rsidRPr="00C96521">
        <w:rPr>
          <w:rFonts w:eastAsia="MS Mincho" w:cs="Arial"/>
          <w:i/>
          <w:szCs w:val="18"/>
          <w:lang w:val="en-GB" w:eastAsia="ja-JP"/>
        </w:rPr>
        <w:t>Streptopelia turtur</w:t>
      </w:r>
      <w:r w:rsidRPr="00C96521">
        <w:rPr>
          <w:rFonts w:eastAsia="MS Mincho" w:cs="Arial"/>
          <w:szCs w:val="18"/>
          <w:lang w:val="en-GB" w:eastAsia="ja-JP"/>
        </w:rPr>
        <w:t xml:space="preserve"> diet composition in Southern Spain: the role of wild seeds in Mediterranean forest areas. </w:t>
      </w:r>
      <w:r w:rsidRPr="00C96521">
        <w:rPr>
          <w:rFonts w:eastAsia="MS Mincho" w:cs="Arial"/>
          <w:i/>
          <w:szCs w:val="18"/>
          <w:lang w:val="en-GB" w:eastAsia="ja-JP"/>
        </w:rPr>
        <w:t>Bird Study</w:t>
      </w:r>
      <w:r w:rsidRPr="00C96521">
        <w:rPr>
          <w:rFonts w:eastAsia="MS Mincho" w:cs="Arial"/>
          <w:szCs w:val="18"/>
          <w:lang w:val="en-GB" w:eastAsia="ja-JP"/>
        </w:rPr>
        <w:t>, 63, 4: 490-499.</w:t>
      </w:r>
    </w:p>
    <w:p w14:paraId="674C737D"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7AF7610B"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HADARICS T and ZALAI T (2008)</w:t>
      </w:r>
      <w:r w:rsidRPr="00C96521">
        <w:rPr>
          <w:rFonts w:eastAsia="MS Mincho" w:cs="Arial"/>
          <w:szCs w:val="18"/>
          <w:lang w:val="en-GB" w:eastAsia="ja-JP"/>
        </w:rPr>
        <w:t xml:space="preserve"> </w:t>
      </w:r>
      <w:r w:rsidRPr="00C96521">
        <w:rPr>
          <w:rFonts w:eastAsia="MS Mincho" w:cs="Arial"/>
          <w:i/>
          <w:szCs w:val="18"/>
          <w:lang w:val="en-GB" w:eastAsia="ja-JP"/>
        </w:rPr>
        <w:t>Magyarország madarainak névjegyzéke. An annotated list of the birds of Hungary</w:t>
      </w:r>
      <w:r w:rsidRPr="00C96521">
        <w:rPr>
          <w:rFonts w:eastAsia="MS Mincho" w:cs="Arial"/>
          <w:szCs w:val="18"/>
          <w:lang w:val="en-GB" w:eastAsia="ja-JP"/>
        </w:rPr>
        <w:t xml:space="preserve"> . </w:t>
      </w:r>
      <w:r w:rsidRPr="00C96521">
        <w:rPr>
          <w:rFonts w:eastAsia="MS Mincho" w:cs="Arial" w:hint="eastAsia"/>
          <w:bCs/>
          <w:szCs w:val="18"/>
          <w:lang w:val="en-GB" w:eastAsia="ja-JP"/>
        </w:rPr>
        <w:t>Magyar Madártani és Természetvédelmi Egyesület</w:t>
      </w:r>
      <w:r w:rsidRPr="00C96521">
        <w:rPr>
          <w:rFonts w:eastAsia="MS Mincho" w:cs="Arial"/>
          <w:bCs/>
          <w:szCs w:val="18"/>
          <w:lang w:val="en-GB" w:eastAsia="ja-JP"/>
        </w:rPr>
        <w:t xml:space="preserve">, </w:t>
      </w:r>
      <w:r w:rsidRPr="00C96521">
        <w:rPr>
          <w:rFonts w:eastAsia="MS Mincho" w:cs="Arial" w:hint="eastAsia"/>
          <w:bCs/>
          <w:szCs w:val="18"/>
          <w:lang w:val="en-GB" w:eastAsia="ja-JP"/>
        </w:rPr>
        <w:t>Budapest</w:t>
      </w:r>
      <w:r w:rsidRPr="00C96521">
        <w:rPr>
          <w:rFonts w:eastAsia="MS Mincho" w:cs="Arial"/>
          <w:bCs/>
          <w:szCs w:val="18"/>
          <w:lang w:val="en-GB" w:eastAsia="ja-JP"/>
        </w:rPr>
        <w:t>.</w:t>
      </w:r>
    </w:p>
    <w:p w14:paraId="7F52D81B"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2839806B" w14:textId="77777777" w:rsidR="00C96521" w:rsidRPr="00C96521" w:rsidRDefault="00C96521" w:rsidP="00C96521">
      <w:pPr>
        <w:widowControl/>
        <w:autoSpaceDE/>
        <w:autoSpaceDN/>
        <w:adjustRightInd/>
        <w:spacing w:line="276" w:lineRule="auto"/>
        <w:rPr>
          <w:rFonts w:eastAsia="MS Mincho" w:cs="Arial"/>
          <w:bCs/>
          <w:szCs w:val="18"/>
          <w:lang w:val="en-GB" w:eastAsia="ja-JP"/>
        </w:rPr>
      </w:pPr>
      <w:r w:rsidRPr="00890F11">
        <w:rPr>
          <w:rFonts w:eastAsia="MS Mincho" w:cs="Arial"/>
          <w:b/>
          <w:bCs/>
          <w:szCs w:val="18"/>
          <w:lang w:val="fr-FR" w:eastAsia="ja-JP"/>
        </w:rPr>
        <w:t>HANANE S (2011)</w:t>
      </w:r>
      <w:r w:rsidRPr="00890F11">
        <w:rPr>
          <w:rFonts w:eastAsia="MS Mincho" w:cs="Arial"/>
          <w:bCs/>
          <w:szCs w:val="18"/>
          <w:lang w:val="fr-FR" w:eastAsia="ja-JP"/>
        </w:rPr>
        <w:t xml:space="preserve"> La reproduction de la tourterelle des bois dans les vergers de Tadla (Maroc central). </w:t>
      </w:r>
      <w:r w:rsidRPr="00C96521">
        <w:rPr>
          <w:rFonts w:eastAsia="MS Mincho" w:cs="Arial"/>
          <w:bCs/>
          <w:i/>
          <w:szCs w:val="18"/>
          <w:lang w:val="en-GB" w:eastAsia="ja-JP"/>
        </w:rPr>
        <w:t>Faune sauvage</w:t>
      </w:r>
      <w:r w:rsidRPr="00C96521">
        <w:rPr>
          <w:rFonts w:eastAsia="MS Mincho" w:cs="Arial"/>
          <w:bCs/>
          <w:szCs w:val="18"/>
          <w:lang w:val="en-GB" w:eastAsia="ja-JP"/>
        </w:rPr>
        <w:t xml:space="preserve"> 293: 30-31. </w:t>
      </w:r>
    </w:p>
    <w:p w14:paraId="41003F0B"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417F6F59" w14:textId="77777777" w:rsidR="00C96521" w:rsidRPr="00890F11" w:rsidRDefault="00C96521" w:rsidP="00C96521">
      <w:pPr>
        <w:widowControl/>
        <w:autoSpaceDE/>
        <w:autoSpaceDN/>
        <w:adjustRightInd/>
        <w:spacing w:line="276" w:lineRule="auto"/>
        <w:rPr>
          <w:rFonts w:eastAsia="MS Mincho" w:cs="Arial"/>
          <w:szCs w:val="18"/>
          <w:lang w:val="fr-FR" w:eastAsia="ja-JP"/>
        </w:rPr>
      </w:pPr>
      <w:r w:rsidRPr="00C96521">
        <w:rPr>
          <w:rFonts w:eastAsia="MS Mincho" w:cs="Arial"/>
          <w:b/>
          <w:szCs w:val="18"/>
          <w:lang w:val="en-GB" w:eastAsia="ja-JP"/>
        </w:rPr>
        <w:t>HANANE S (2012a)</w:t>
      </w:r>
      <w:r w:rsidRPr="00C96521">
        <w:rPr>
          <w:rFonts w:eastAsia="MS Mincho" w:cs="Arial"/>
          <w:szCs w:val="18"/>
          <w:lang w:val="en-GB" w:eastAsia="ja-JP"/>
        </w:rPr>
        <w:t xml:space="preserve"> Do age and type of plantings affect turtle-dove </w:t>
      </w:r>
      <w:r w:rsidRPr="00C96521">
        <w:rPr>
          <w:rFonts w:eastAsia="MS Mincho" w:cs="Arial"/>
          <w:i/>
          <w:szCs w:val="18"/>
          <w:lang w:val="en-GB" w:eastAsia="ja-JP"/>
        </w:rPr>
        <w:t>Streptopelia turtur</w:t>
      </w:r>
      <w:r w:rsidRPr="00C96521">
        <w:rPr>
          <w:rFonts w:eastAsia="MS Mincho" w:cs="Arial"/>
          <w:szCs w:val="18"/>
          <w:lang w:val="en-GB" w:eastAsia="ja-JP"/>
        </w:rPr>
        <w:t xml:space="preserve"> nest placement in olive agro-ecosystems? </w:t>
      </w:r>
      <w:r w:rsidRPr="00890F11">
        <w:rPr>
          <w:rFonts w:eastAsia="MS Mincho" w:cs="Arial"/>
          <w:i/>
          <w:szCs w:val="18"/>
          <w:lang w:val="fr-FR" w:eastAsia="ja-JP"/>
        </w:rPr>
        <w:t>Ethology, Ecology and Evolution</w:t>
      </w:r>
      <w:r w:rsidRPr="00890F11">
        <w:rPr>
          <w:rFonts w:eastAsia="MS Mincho" w:cs="Arial"/>
          <w:szCs w:val="18"/>
          <w:lang w:val="fr-FR" w:eastAsia="ja-JP"/>
        </w:rPr>
        <w:t xml:space="preserve"> 24: 284-293. </w:t>
      </w:r>
    </w:p>
    <w:p w14:paraId="50DF87D1" w14:textId="77777777" w:rsidR="00C96521" w:rsidRPr="00890F11" w:rsidRDefault="00C96521" w:rsidP="00C96521">
      <w:pPr>
        <w:widowControl/>
        <w:autoSpaceDE/>
        <w:autoSpaceDN/>
        <w:adjustRightInd/>
        <w:spacing w:line="276" w:lineRule="auto"/>
        <w:rPr>
          <w:rFonts w:eastAsia="MS Mincho" w:cs="Arial"/>
          <w:szCs w:val="18"/>
          <w:lang w:val="fr-FR" w:eastAsia="ja-JP"/>
        </w:rPr>
      </w:pPr>
    </w:p>
    <w:p w14:paraId="2A6A38A4" w14:textId="77777777" w:rsidR="00C96521" w:rsidRPr="00C96521" w:rsidRDefault="00C96521" w:rsidP="00C96521">
      <w:pPr>
        <w:widowControl/>
        <w:spacing w:line="276" w:lineRule="auto"/>
        <w:rPr>
          <w:rFonts w:eastAsia="MS Mincho" w:cs="Arial"/>
          <w:szCs w:val="18"/>
          <w:lang w:val="en-GB" w:eastAsia="ja-JP"/>
        </w:rPr>
      </w:pPr>
      <w:r w:rsidRPr="00890F11">
        <w:rPr>
          <w:rFonts w:eastAsia="MS Mincho" w:cs="Arial"/>
          <w:b/>
          <w:szCs w:val="18"/>
          <w:lang w:val="fr-FR" w:eastAsia="ja-JP"/>
        </w:rPr>
        <w:t xml:space="preserve">HANANE S (2012b) </w:t>
      </w:r>
      <w:r w:rsidRPr="00890F11">
        <w:rPr>
          <w:rFonts w:eastAsia="MS Mincho" w:cs="Arial"/>
          <w:szCs w:val="18"/>
          <w:lang w:val="fr-FR" w:eastAsia="ja-JP"/>
        </w:rPr>
        <w:t>Les périmètres irrigués du Maroc: une aubaine pour deux espèces d’oiseaux migrateurs, la tourterelle des bois (</w:t>
      </w:r>
      <w:r w:rsidRPr="00890F11">
        <w:rPr>
          <w:rFonts w:eastAsia="MS Mincho" w:cs="Arial"/>
          <w:i/>
          <w:szCs w:val="18"/>
          <w:lang w:val="fr-FR" w:eastAsia="ja-JP"/>
        </w:rPr>
        <w:t>Streptopelia turtur</w:t>
      </w:r>
      <w:r w:rsidRPr="00890F11">
        <w:rPr>
          <w:rFonts w:eastAsia="MS Mincho" w:cs="Arial"/>
          <w:szCs w:val="18"/>
          <w:lang w:val="fr-FR" w:eastAsia="ja-JP"/>
        </w:rPr>
        <w:t>) et la caille des blés (</w:t>
      </w:r>
      <w:r w:rsidRPr="00890F11">
        <w:rPr>
          <w:rFonts w:eastAsia="MS Mincho" w:cs="Arial"/>
          <w:i/>
          <w:szCs w:val="18"/>
          <w:lang w:val="fr-FR" w:eastAsia="ja-JP"/>
        </w:rPr>
        <w:t>Coturnix coturnix</w:t>
      </w:r>
      <w:r w:rsidRPr="00890F11">
        <w:rPr>
          <w:rFonts w:eastAsia="MS Mincho" w:cs="Arial"/>
          <w:szCs w:val="18"/>
          <w:lang w:val="fr-FR" w:eastAsia="ja-JP"/>
        </w:rPr>
        <w:t xml:space="preserve">). </w:t>
      </w:r>
      <w:r w:rsidRPr="00C96521">
        <w:rPr>
          <w:rFonts w:eastAsia="MS Mincho" w:cs="Arial"/>
          <w:i/>
          <w:szCs w:val="18"/>
          <w:lang w:val="en-GB" w:eastAsia="ja-JP"/>
        </w:rPr>
        <w:t>Revue d’Ecologie</w:t>
      </w:r>
      <w:r w:rsidRPr="00C96521">
        <w:rPr>
          <w:rFonts w:eastAsia="MS Mincho" w:cs="Arial"/>
          <w:szCs w:val="18"/>
          <w:lang w:val="en-GB" w:eastAsia="ja-JP"/>
        </w:rPr>
        <w:t xml:space="preserve"> 67: 3-11.</w:t>
      </w:r>
    </w:p>
    <w:p w14:paraId="480BABA4"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02C49809"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 xml:space="preserve">HANANE S (2015) </w:t>
      </w:r>
      <w:r w:rsidRPr="00C96521">
        <w:rPr>
          <w:rFonts w:eastAsia="MS Mincho" w:cs="Arial"/>
          <w:szCs w:val="18"/>
          <w:lang w:val="en-GB" w:eastAsia="ja-JP"/>
        </w:rPr>
        <w:t xml:space="preserve">Nest-niche differentiation in two sympatric </w:t>
      </w:r>
      <w:r w:rsidRPr="00C96521">
        <w:rPr>
          <w:rFonts w:eastAsia="MS Mincho" w:cs="Arial"/>
          <w:i/>
          <w:szCs w:val="18"/>
          <w:lang w:val="en-GB" w:eastAsia="ja-JP"/>
        </w:rPr>
        <w:t>Streptopelia</w:t>
      </w:r>
      <w:r w:rsidRPr="00C96521">
        <w:rPr>
          <w:rFonts w:eastAsia="MS Mincho" w:cs="Arial"/>
          <w:szCs w:val="18"/>
          <w:lang w:val="en-GB" w:eastAsia="ja-JP"/>
        </w:rPr>
        <w:t xml:space="preserve"> species from a North African agricultural area: the role of human presence. </w:t>
      </w:r>
      <w:r w:rsidRPr="00C96521">
        <w:rPr>
          <w:rFonts w:eastAsia="MS Mincho" w:cs="Arial"/>
          <w:i/>
          <w:szCs w:val="18"/>
          <w:lang w:val="en-GB" w:eastAsia="ja-JP"/>
        </w:rPr>
        <w:t>Ecological Research</w:t>
      </w:r>
      <w:r w:rsidRPr="00C96521">
        <w:rPr>
          <w:rFonts w:eastAsia="MS Mincho" w:cs="Arial"/>
          <w:szCs w:val="18"/>
          <w:lang w:val="en-GB" w:eastAsia="ja-JP"/>
        </w:rPr>
        <w:t>, 30(4): 573-580.</w:t>
      </w:r>
    </w:p>
    <w:p w14:paraId="4B09427F"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3D48E8F1"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HANANE S (2016a)</w:t>
      </w:r>
      <w:r w:rsidRPr="00C96521">
        <w:rPr>
          <w:rFonts w:eastAsia="MS Mincho" w:cs="Arial"/>
          <w:szCs w:val="18"/>
          <w:lang w:val="en-GB" w:eastAsia="ja-JP"/>
        </w:rPr>
        <w:t xml:space="preserve"> Effects of orchard type and breeding period on Turtle-dove nest density in irrigated agroecosystems. </w:t>
      </w:r>
      <w:r w:rsidRPr="00C96521">
        <w:rPr>
          <w:rFonts w:eastAsia="MS Mincho" w:cs="Arial"/>
          <w:i/>
          <w:szCs w:val="18"/>
          <w:lang w:val="en-GB" w:eastAsia="ja-JP"/>
        </w:rPr>
        <w:t>Bird Study 63(1)</w:t>
      </w:r>
      <w:r w:rsidRPr="00C96521">
        <w:rPr>
          <w:rFonts w:eastAsia="MS Mincho" w:cs="Arial"/>
          <w:szCs w:val="18"/>
          <w:lang w:val="en-GB" w:eastAsia="ja-JP"/>
        </w:rPr>
        <w:t>: 1-5.</w:t>
      </w:r>
    </w:p>
    <w:p w14:paraId="311D381F"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48FEDD8B"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HANANE S (2016b)</w:t>
      </w:r>
      <w:r w:rsidRPr="00C96521">
        <w:rPr>
          <w:rFonts w:eastAsia="MS Mincho" w:cs="Arial"/>
          <w:szCs w:val="18"/>
          <w:lang w:val="en-GB" w:eastAsia="ja-JP"/>
        </w:rPr>
        <w:t xml:space="preserve"> Effects of location, orchard type, laying period and nest position on the reproductive performance of Turtle-doves (</w:t>
      </w:r>
      <w:r w:rsidRPr="00C96521">
        <w:rPr>
          <w:rFonts w:eastAsia="MS Mincho" w:cs="Arial"/>
          <w:i/>
          <w:szCs w:val="18"/>
          <w:lang w:val="en-GB" w:eastAsia="ja-JP"/>
        </w:rPr>
        <w:t>Streptopelia turtur</w:t>
      </w:r>
      <w:r w:rsidRPr="00C96521">
        <w:rPr>
          <w:rFonts w:eastAsia="MS Mincho" w:cs="Arial"/>
          <w:szCs w:val="18"/>
          <w:lang w:val="en-GB" w:eastAsia="ja-JP"/>
        </w:rPr>
        <w:t xml:space="preserve">) on intensively cultivated farmland. </w:t>
      </w:r>
      <w:r w:rsidRPr="00C96521">
        <w:rPr>
          <w:rFonts w:eastAsia="MS Mincho" w:cs="Arial"/>
          <w:i/>
          <w:szCs w:val="18"/>
          <w:lang w:val="en-GB" w:eastAsia="ja-JP"/>
        </w:rPr>
        <w:t>Avian Research</w:t>
      </w:r>
      <w:r w:rsidRPr="00C96521">
        <w:rPr>
          <w:rFonts w:eastAsia="MS Mincho" w:cs="Arial"/>
          <w:szCs w:val="18"/>
          <w:lang w:val="en-GB" w:eastAsia="ja-JP"/>
        </w:rPr>
        <w:t xml:space="preserve"> 7(4): 1-11.</w:t>
      </w:r>
    </w:p>
    <w:p w14:paraId="748606FE"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54C734E2" w14:textId="77777777" w:rsidR="00C96521" w:rsidRPr="00C96521" w:rsidRDefault="00C96521" w:rsidP="00C96521">
      <w:pPr>
        <w:widowControl/>
        <w:autoSpaceDE/>
        <w:autoSpaceDN/>
        <w:adjustRightInd/>
        <w:spacing w:line="276" w:lineRule="auto"/>
        <w:rPr>
          <w:rFonts w:eastAsia="MS Mincho" w:cs="Arial"/>
          <w:bCs/>
          <w:szCs w:val="18"/>
          <w:lang w:val="en-GB" w:eastAsia="ja-JP"/>
        </w:rPr>
      </w:pPr>
      <w:r w:rsidRPr="00C96521">
        <w:rPr>
          <w:rFonts w:eastAsia="MS Mincho" w:cs="Arial"/>
          <w:b/>
          <w:bCs/>
          <w:szCs w:val="18"/>
          <w:lang w:val="en-GB" w:eastAsia="ja-JP"/>
        </w:rPr>
        <w:t>HANANE S (2017)</w:t>
      </w:r>
      <w:r w:rsidRPr="00C96521">
        <w:rPr>
          <w:rFonts w:eastAsia="MS Mincho" w:cs="Arial"/>
          <w:bCs/>
          <w:szCs w:val="18"/>
          <w:lang w:val="en-GB" w:eastAsia="ja-JP"/>
        </w:rPr>
        <w:t xml:space="preserve"> The European Turtle-dove </w:t>
      </w:r>
      <w:r w:rsidRPr="00C96521">
        <w:rPr>
          <w:rFonts w:eastAsia="MS Mincho" w:cs="Arial"/>
          <w:bCs/>
          <w:i/>
          <w:szCs w:val="18"/>
          <w:lang w:val="en-GB" w:eastAsia="ja-JP"/>
        </w:rPr>
        <w:t>Streptopelia turtur</w:t>
      </w:r>
      <w:r w:rsidRPr="00C96521">
        <w:rPr>
          <w:rFonts w:eastAsia="MS Mincho" w:cs="Arial"/>
          <w:bCs/>
          <w:szCs w:val="18"/>
          <w:lang w:val="en-GB" w:eastAsia="ja-JP"/>
        </w:rPr>
        <w:t xml:space="preserve"> in northwest Africa: A review of current knowledge and priorities for future research. </w:t>
      </w:r>
      <w:r w:rsidRPr="00C96521">
        <w:rPr>
          <w:rFonts w:eastAsia="MS Mincho" w:cs="Arial"/>
          <w:bCs/>
          <w:i/>
          <w:szCs w:val="18"/>
          <w:lang w:val="en-GB" w:eastAsia="ja-JP"/>
        </w:rPr>
        <w:t>Ardeola</w:t>
      </w:r>
      <w:r w:rsidRPr="00C96521">
        <w:rPr>
          <w:rFonts w:eastAsia="MS Mincho" w:cs="Arial"/>
          <w:bCs/>
          <w:szCs w:val="18"/>
          <w:lang w:val="en-GB" w:eastAsia="ja-JP"/>
        </w:rPr>
        <w:t>, 64(2): 273-287.</w:t>
      </w:r>
    </w:p>
    <w:p w14:paraId="7944B09E"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5B389A87"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HANANE S and BAAMAL L (2011)</w:t>
      </w:r>
      <w:r w:rsidRPr="00C96521">
        <w:rPr>
          <w:rFonts w:eastAsia="MS Mincho" w:cs="Arial"/>
          <w:szCs w:val="18"/>
          <w:lang w:val="en-GB" w:eastAsia="ja-JP"/>
        </w:rPr>
        <w:t xml:space="preserve"> Are Moroccan fruit orchards suitable breeding habitats for Turtle-doves </w:t>
      </w:r>
      <w:r w:rsidRPr="00C96521">
        <w:rPr>
          <w:rFonts w:eastAsia="MS Mincho" w:cs="Arial"/>
          <w:i/>
          <w:szCs w:val="18"/>
          <w:lang w:val="en-GB" w:eastAsia="ja-JP"/>
        </w:rPr>
        <w:t>Streptopelia turtur</w:t>
      </w:r>
      <w:r w:rsidRPr="00C96521">
        <w:rPr>
          <w:rFonts w:eastAsia="MS Mincho" w:cs="Arial"/>
          <w:szCs w:val="18"/>
          <w:lang w:val="en-GB" w:eastAsia="ja-JP"/>
        </w:rPr>
        <w:t xml:space="preserve">? </w:t>
      </w:r>
      <w:r w:rsidRPr="00C96521">
        <w:rPr>
          <w:rFonts w:eastAsia="MS Mincho" w:cs="Arial"/>
          <w:i/>
          <w:szCs w:val="18"/>
          <w:lang w:val="en-GB" w:eastAsia="ja-JP"/>
        </w:rPr>
        <w:t>Bird Study</w:t>
      </w:r>
      <w:r w:rsidRPr="00C96521">
        <w:rPr>
          <w:rFonts w:eastAsia="MS Mincho" w:cs="Arial"/>
          <w:szCs w:val="18"/>
          <w:lang w:val="en-GB" w:eastAsia="ja-JP"/>
        </w:rPr>
        <w:t xml:space="preserve"> 58: 57-67.</w:t>
      </w:r>
    </w:p>
    <w:p w14:paraId="258D1412"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3047C703"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 xml:space="preserve">HANANE S and BESNARD A (2014) </w:t>
      </w:r>
      <w:r w:rsidRPr="00C96521">
        <w:rPr>
          <w:rFonts w:eastAsia="MS Mincho" w:cs="Arial"/>
          <w:szCs w:val="18"/>
          <w:lang w:val="en-GB" w:eastAsia="ja-JP"/>
        </w:rPr>
        <w:t xml:space="preserve">Are nest-detection probability methods relevant for estimating turtle-dove breeding populations? A case study in Moroccan agroecosystems. </w:t>
      </w:r>
      <w:r w:rsidRPr="00C96521">
        <w:rPr>
          <w:rFonts w:eastAsia="MS Mincho" w:cs="Arial"/>
          <w:i/>
          <w:szCs w:val="18"/>
          <w:lang w:val="en-GB" w:eastAsia="ja-JP"/>
        </w:rPr>
        <w:t>European Journal of Wildlife Research</w:t>
      </w:r>
      <w:r w:rsidRPr="00C96521">
        <w:rPr>
          <w:rFonts w:eastAsia="MS Mincho" w:cs="Arial"/>
          <w:szCs w:val="18"/>
          <w:lang w:val="en-GB" w:eastAsia="ja-JP"/>
        </w:rPr>
        <w:t xml:space="preserve"> 60: 673-680.</w:t>
      </w:r>
    </w:p>
    <w:p w14:paraId="4CAA9B13"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480C11B3" w14:textId="77777777" w:rsidR="00C96521" w:rsidRPr="00C96521" w:rsidRDefault="00C96521" w:rsidP="00C96521">
      <w:pPr>
        <w:widowControl/>
        <w:autoSpaceDE/>
        <w:autoSpaceDN/>
        <w:adjustRightInd/>
        <w:spacing w:line="276" w:lineRule="auto"/>
        <w:rPr>
          <w:rFonts w:eastAsia="MS Mincho" w:cs="Arial"/>
          <w:b/>
          <w:szCs w:val="18"/>
          <w:lang w:val="en-GB" w:eastAsia="ja-JP"/>
        </w:rPr>
      </w:pPr>
      <w:r w:rsidRPr="00C96521">
        <w:rPr>
          <w:rFonts w:eastAsia="MS Mincho" w:cs="Arial"/>
          <w:b/>
          <w:szCs w:val="18"/>
          <w:lang w:val="en-GB" w:eastAsia="ja-JP"/>
        </w:rPr>
        <w:t xml:space="preserve">HANANE S and YASSIN M (2017) </w:t>
      </w:r>
      <w:r w:rsidRPr="00C96521">
        <w:rPr>
          <w:rFonts w:eastAsia="MS Mincho" w:cs="Arial"/>
          <w:szCs w:val="18"/>
          <w:lang w:val="en-GB" w:eastAsia="ja-JP"/>
        </w:rPr>
        <w:t xml:space="preserve">Nest-niche differentiation in two sympatric columbid species from a Mediterranean Tetraclinis woodland: Considerations for forest management. </w:t>
      </w:r>
      <w:r w:rsidRPr="00C96521">
        <w:rPr>
          <w:rFonts w:eastAsia="MS Mincho" w:cs="Arial"/>
          <w:i/>
          <w:szCs w:val="18"/>
          <w:lang w:val="en-GB" w:eastAsia="ja-JP"/>
        </w:rPr>
        <w:t>Acta Oecologica</w:t>
      </w:r>
      <w:r w:rsidRPr="00C96521">
        <w:rPr>
          <w:rFonts w:eastAsia="MS Mincho" w:cs="Arial"/>
          <w:szCs w:val="18"/>
          <w:lang w:val="en-GB" w:eastAsia="ja-JP"/>
        </w:rPr>
        <w:t xml:space="preserve"> 78: 47-52.</w:t>
      </w:r>
    </w:p>
    <w:p w14:paraId="120FEC27"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07E34BC5"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HANDRINOS G and AKRIOTIS T (1997)</w:t>
      </w:r>
      <w:r w:rsidRPr="00C96521">
        <w:rPr>
          <w:rFonts w:eastAsia="MS Mincho" w:cs="Arial"/>
          <w:szCs w:val="18"/>
          <w:lang w:val="en-GB" w:eastAsia="ja-JP"/>
        </w:rPr>
        <w:t xml:space="preserve"> </w:t>
      </w:r>
      <w:r w:rsidRPr="00C96521">
        <w:rPr>
          <w:rFonts w:eastAsia="MS Mincho" w:cs="Arial"/>
          <w:i/>
          <w:szCs w:val="18"/>
          <w:lang w:val="en-GB" w:eastAsia="ja-JP"/>
        </w:rPr>
        <w:t>The Birds of Greece</w:t>
      </w:r>
      <w:r w:rsidRPr="00C96521">
        <w:rPr>
          <w:rFonts w:eastAsia="MS Mincho" w:cs="Arial"/>
          <w:szCs w:val="18"/>
          <w:lang w:val="en-GB" w:eastAsia="ja-JP"/>
        </w:rPr>
        <w:t>. Christopher Helm, London.</w:t>
      </w:r>
    </w:p>
    <w:p w14:paraId="35DE6F80"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31685E6A"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 xml:space="preserve">HARRIS SJ, MASSIMINO D, NEWSON SE, EATON MA, MARCHANT JH, BALMER DE, NOBLE DG, GILLINGS S, PROCTER D. and PEARCE-HIGGINS JW (2016) </w:t>
      </w:r>
      <w:r w:rsidRPr="00C96521">
        <w:rPr>
          <w:rFonts w:eastAsia="MS Mincho" w:cs="Arial"/>
          <w:i/>
          <w:szCs w:val="18"/>
          <w:lang w:val="en-GB" w:eastAsia="ja-JP"/>
        </w:rPr>
        <w:t>The Breeding Bird Survey 2015.</w:t>
      </w:r>
      <w:r w:rsidRPr="00C96521">
        <w:rPr>
          <w:rFonts w:eastAsia="MS Mincho" w:cs="Arial"/>
          <w:szCs w:val="18"/>
          <w:lang w:val="en-GB" w:eastAsia="ja-JP"/>
        </w:rPr>
        <w:t xml:space="preserve"> </w:t>
      </w:r>
      <w:r w:rsidRPr="00C96521">
        <w:rPr>
          <w:rFonts w:eastAsia="MS Mincho" w:cs="Arial"/>
          <w:i/>
          <w:szCs w:val="18"/>
          <w:lang w:val="en-GB" w:eastAsia="ja-JP"/>
        </w:rPr>
        <w:t>BTO Research Report 687</w:t>
      </w:r>
      <w:r w:rsidRPr="00C96521">
        <w:rPr>
          <w:rFonts w:eastAsia="MS Mincho" w:cs="Arial"/>
          <w:szCs w:val="18"/>
          <w:lang w:val="en-GB" w:eastAsia="ja-JP"/>
        </w:rPr>
        <w:t>. British Trust for Ornithology, Thetford.</w:t>
      </w:r>
    </w:p>
    <w:p w14:paraId="0BFAC4FA"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2E6374B3"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HELLICAR M (2016)</w:t>
      </w:r>
      <w:r w:rsidRPr="00C96521">
        <w:rPr>
          <w:rFonts w:eastAsia="MS Mincho" w:cs="Arial"/>
          <w:szCs w:val="18"/>
          <w:lang w:val="en-GB" w:eastAsia="ja-JP"/>
        </w:rPr>
        <w:t xml:space="preserve"> </w:t>
      </w:r>
      <w:r w:rsidRPr="00C96521">
        <w:rPr>
          <w:rFonts w:eastAsia="MS Mincho" w:cs="Arial"/>
          <w:i/>
          <w:szCs w:val="18"/>
          <w:lang w:val="en-GB" w:eastAsia="ja-JP"/>
        </w:rPr>
        <w:t xml:space="preserve">Status of Common Birds in Cyprus, 2015. Ten years of the BirdLife Cyprus Common Birds Monitoring </w:t>
      </w:r>
      <w:r w:rsidRPr="00C96521">
        <w:rPr>
          <w:rFonts w:eastAsia="MS Mincho" w:cs="Arial"/>
          <w:szCs w:val="18"/>
          <w:lang w:val="en-GB" w:eastAsia="ja-JP"/>
        </w:rPr>
        <w:t>Scheme</w:t>
      </w:r>
      <w:r w:rsidRPr="00C96521">
        <w:rPr>
          <w:rFonts w:eastAsia="MS Mincho" w:cs="Arial"/>
          <w:i/>
          <w:szCs w:val="18"/>
          <w:lang w:val="en-GB" w:eastAsia="ja-JP"/>
        </w:rPr>
        <w:t xml:space="preserve"> (CBMS), 2006-2015: Population trends and population size estimates for Cyprus common breeding birds</w:t>
      </w:r>
      <w:r w:rsidRPr="00C96521">
        <w:rPr>
          <w:rFonts w:eastAsia="MS Mincho" w:cs="Arial"/>
          <w:szCs w:val="18"/>
          <w:lang w:val="en-GB" w:eastAsia="ja-JP"/>
        </w:rPr>
        <w:t>. BirdLife Cyprus, Nicosia.</w:t>
      </w:r>
    </w:p>
    <w:p w14:paraId="3880D49D"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41695FDB"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 xml:space="preserve">HENDERSON IG, COOPER J, FULLER RJ and VICKERY J (2000) </w:t>
      </w:r>
      <w:r w:rsidRPr="00C96521">
        <w:rPr>
          <w:rFonts w:eastAsia="MS Mincho" w:cs="Arial"/>
          <w:szCs w:val="18"/>
          <w:lang w:val="en-GB" w:eastAsia="ja-JP"/>
        </w:rPr>
        <w:t xml:space="preserve">The relative abundance of birds on set-aside and neighbouring fields in summer. </w:t>
      </w:r>
      <w:r w:rsidRPr="00C96521">
        <w:rPr>
          <w:rFonts w:eastAsia="MS Mincho" w:cs="Arial"/>
          <w:i/>
          <w:szCs w:val="18"/>
          <w:lang w:val="en-GB" w:eastAsia="ja-JP"/>
        </w:rPr>
        <w:t>Journal of Applied Ecology</w:t>
      </w:r>
      <w:r w:rsidRPr="00C96521">
        <w:rPr>
          <w:rFonts w:eastAsia="MS Mincho" w:cs="Arial"/>
          <w:szCs w:val="18"/>
          <w:lang w:val="en-GB" w:eastAsia="ja-JP"/>
        </w:rPr>
        <w:t xml:space="preserve"> 37: 335-347.</w:t>
      </w:r>
    </w:p>
    <w:p w14:paraId="028F1FB7"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47C06A13" w14:textId="77777777" w:rsidR="00C96521" w:rsidRPr="00965D7D" w:rsidRDefault="00C96521" w:rsidP="00C96521">
      <w:pPr>
        <w:widowControl/>
        <w:autoSpaceDE/>
        <w:autoSpaceDN/>
        <w:adjustRightInd/>
        <w:spacing w:line="276" w:lineRule="auto"/>
        <w:rPr>
          <w:rFonts w:eastAsia="MS Mincho" w:cs="Arial"/>
          <w:szCs w:val="18"/>
          <w:lang w:val="fr-FR" w:eastAsia="ja-JP"/>
        </w:rPr>
      </w:pPr>
      <w:r w:rsidRPr="00C96521">
        <w:rPr>
          <w:rFonts w:eastAsia="MS Mincho" w:cs="Arial"/>
          <w:b/>
          <w:szCs w:val="18"/>
          <w:lang w:val="en-GB" w:eastAsia="ja-JP"/>
        </w:rPr>
        <w:t xml:space="preserve">HENDERSON IG and EVANS AD (2000) </w:t>
      </w:r>
      <w:r w:rsidRPr="00C96521">
        <w:rPr>
          <w:rFonts w:eastAsia="MS Mincho" w:cs="Arial"/>
          <w:szCs w:val="18"/>
          <w:lang w:val="en-GB" w:eastAsia="ja-JP"/>
        </w:rPr>
        <w:t xml:space="preserve">Responses of farmland birds to set-aside and its management. In AEBISCHER NJ, EVANS AD, GRICE PV and VICKERY JA, </w:t>
      </w:r>
      <w:r w:rsidRPr="00C96521">
        <w:rPr>
          <w:rFonts w:eastAsia="MS Mincho" w:cs="Arial"/>
          <w:i/>
          <w:szCs w:val="18"/>
          <w:lang w:val="en-GB" w:eastAsia="ja-JP"/>
        </w:rPr>
        <w:t>Ecology and Conservation of Lowland Farmland Birds</w:t>
      </w:r>
      <w:r w:rsidRPr="00C96521">
        <w:rPr>
          <w:rFonts w:eastAsia="MS Mincho" w:cs="Arial"/>
          <w:szCs w:val="18"/>
          <w:lang w:val="en-GB" w:eastAsia="ja-JP"/>
        </w:rPr>
        <w:t xml:space="preserve">, pp 339-422. </w:t>
      </w:r>
      <w:r w:rsidRPr="00965D7D">
        <w:rPr>
          <w:rFonts w:eastAsia="MS Mincho" w:cs="Arial"/>
          <w:szCs w:val="18"/>
          <w:lang w:val="fr-FR" w:eastAsia="ja-JP"/>
        </w:rPr>
        <w:t>British Ornithologists’ Union, Tring.</w:t>
      </w:r>
    </w:p>
    <w:p w14:paraId="3BB23665" w14:textId="77777777" w:rsidR="00C96521" w:rsidRPr="00965D7D" w:rsidRDefault="00C96521" w:rsidP="00C96521">
      <w:pPr>
        <w:widowControl/>
        <w:autoSpaceDE/>
        <w:autoSpaceDN/>
        <w:adjustRightInd/>
        <w:spacing w:line="276" w:lineRule="auto"/>
        <w:rPr>
          <w:rFonts w:eastAsia="MS Mincho" w:cs="Arial"/>
          <w:b/>
          <w:szCs w:val="18"/>
          <w:lang w:val="fr-FR" w:eastAsia="ja-JP"/>
        </w:rPr>
      </w:pPr>
    </w:p>
    <w:p w14:paraId="3EDD82DA"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965D7D">
        <w:rPr>
          <w:rFonts w:eastAsia="MS Mincho" w:cs="Arial"/>
          <w:b/>
          <w:szCs w:val="18"/>
          <w:lang w:val="fr-FR" w:eastAsia="ja-JP"/>
        </w:rPr>
        <w:t>HIDALGO DE TRUCIOS SJ &amp; ROCHA CAMARERO G (2001a)</w:t>
      </w:r>
      <w:r w:rsidRPr="00965D7D">
        <w:rPr>
          <w:rFonts w:eastAsia="MS Mincho" w:cs="Arial"/>
          <w:szCs w:val="18"/>
          <w:lang w:val="fr-FR" w:eastAsia="ja-JP"/>
        </w:rPr>
        <w:t xml:space="preserve"> Status de la Tourterelle des bois </w:t>
      </w:r>
      <w:r w:rsidRPr="00965D7D">
        <w:rPr>
          <w:rFonts w:eastAsia="MS Mincho" w:cs="Arial"/>
          <w:i/>
          <w:szCs w:val="18"/>
          <w:lang w:val="fr-FR" w:eastAsia="ja-JP"/>
        </w:rPr>
        <w:t>Streptopelia turtur</w:t>
      </w:r>
      <w:r w:rsidRPr="00965D7D">
        <w:rPr>
          <w:rFonts w:eastAsia="MS Mincho" w:cs="Arial"/>
          <w:szCs w:val="18"/>
          <w:lang w:val="fr-FR" w:eastAsia="ja-JP"/>
        </w:rPr>
        <w:t xml:space="preserve"> en Estrémadura (Espagne). </w:t>
      </w:r>
      <w:r w:rsidRPr="00890F11">
        <w:rPr>
          <w:rFonts w:eastAsia="MS Mincho" w:cs="Arial"/>
          <w:szCs w:val="18"/>
          <w:lang w:val="es-ES" w:eastAsia="ja-JP"/>
        </w:rPr>
        <w:t xml:space="preserve">Incidence sur la chasse. </w:t>
      </w:r>
      <w:r w:rsidRPr="00890F11">
        <w:rPr>
          <w:rFonts w:eastAsia="MS Mincho" w:cs="Arial"/>
          <w:i/>
          <w:szCs w:val="18"/>
          <w:lang w:val="es-ES" w:eastAsia="ja-JP"/>
        </w:rPr>
        <w:t>Faune Sauvage</w:t>
      </w:r>
      <w:r w:rsidRPr="00890F11">
        <w:rPr>
          <w:rFonts w:eastAsia="MS Mincho" w:cs="Arial"/>
          <w:szCs w:val="18"/>
          <w:lang w:val="es-ES" w:eastAsia="ja-JP"/>
        </w:rPr>
        <w:t xml:space="preserve"> 253: 82-85.</w:t>
      </w:r>
    </w:p>
    <w:p w14:paraId="52F1CDF2" w14:textId="77777777" w:rsidR="00C96521" w:rsidRPr="00890F11" w:rsidRDefault="00C96521" w:rsidP="00C96521">
      <w:pPr>
        <w:widowControl/>
        <w:autoSpaceDE/>
        <w:autoSpaceDN/>
        <w:adjustRightInd/>
        <w:spacing w:line="276" w:lineRule="auto"/>
        <w:rPr>
          <w:rFonts w:eastAsia="MS Mincho" w:cs="Arial"/>
          <w:szCs w:val="18"/>
          <w:lang w:val="es-ES" w:eastAsia="ja-JP"/>
        </w:rPr>
      </w:pPr>
    </w:p>
    <w:p w14:paraId="21769435"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890F11">
        <w:rPr>
          <w:rFonts w:eastAsia="MS Mincho" w:cs="Arial"/>
          <w:b/>
          <w:szCs w:val="18"/>
          <w:lang w:val="es-ES" w:eastAsia="ja-JP"/>
        </w:rPr>
        <w:t>HIDALGO DE TRUCIOS SJ and ROCHA CAMARERO G (2001b)</w:t>
      </w:r>
      <w:r w:rsidRPr="00890F11">
        <w:rPr>
          <w:rFonts w:eastAsia="MS Mincho" w:cs="Arial"/>
          <w:szCs w:val="18"/>
          <w:lang w:val="es-ES" w:eastAsia="ja-JP"/>
        </w:rPr>
        <w:t xml:space="preserve"> Valoración de la presión cinegética sobre la Tórtola Común en Extremadura. </w:t>
      </w:r>
      <w:r w:rsidRPr="00890F11">
        <w:rPr>
          <w:rFonts w:eastAsia="MS Mincho" w:cs="Arial"/>
          <w:i/>
          <w:szCs w:val="18"/>
          <w:lang w:val="es-ES" w:eastAsia="ja-JP"/>
        </w:rPr>
        <w:t>Naturzale</w:t>
      </w:r>
      <w:r w:rsidRPr="00890F11">
        <w:rPr>
          <w:rFonts w:eastAsia="MS Mincho" w:cs="Arial"/>
          <w:szCs w:val="18"/>
          <w:lang w:val="es-ES" w:eastAsia="ja-JP"/>
        </w:rPr>
        <w:t xml:space="preserve"> 16: 157-171.</w:t>
      </w:r>
    </w:p>
    <w:p w14:paraId="5D20802E" w14:textId="77777777" w:rsidR="00C96521" w:rsidRPr="00890F11" w:rsidRDefault="00C96521" w:rsidP="00C96521">
      <w:pPr>
        <w:widowControl/>
        <w:autoSpaceDE/>
        <w:autoSpaceDN/>
        <w:adjustRightInd/>
        <w:spacing w:line="276" w:lineRule="auto"/>
        <w:rPr>
          <w:rFonts w:eastAsia="MS Mincho" w:cs="Arial"/>
          <w:szCs w:val="18"/>
          <w:lang w:val="es-ES" w:eastAsia="ja-JP"/>
        </w:rPr>
      </w:pPr>
    </w:p>
    <w:p w14:paraId="42E25720"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890F11">
        <w:rPr>
          <w:rFonts w:eastAsia="MS Mincho" w:cs="Arial"/>
          <w:b/>
          <w:szCs w:val="18"/>
          <w:lang w:val="es-ES" w:eastAsia="ja-JP"/>
        </w:rPr>
        <w:t>HIDALGO DE TRUCIOS SJ and ROCHA CAMARERO G (2002)</w:t>
      </w:r>
      <w:r w:rsidRPr="00890F11">
        <w:rPr>
          <w:rFonts w:eastAsia="MS Mincho" w:cs="Arial"/>
          <w:szCs w:val="18"/>
          <w:lang w:val="es-ES" w:eastAsia="ja-JP"/>
        </w:rPr>
        <w:t xml:space="preserve"> ¿Qué está pasando en realidad con la Tórtola Común? </w:t>
      </w:r>
      <w:r w:rsidRPr="00890F11">
        <w:rPr>
          <w:rFonts w:eastAsia="MS Mincho" w:cs="Arial"/>
          <w:i/>
          <w:szCs w:val="18"/>
          <w:lang w:val="es-ES" w:eastAsia="ja-JP"/>
        </w:rPr>
        <w:t>Euskonews &amp; Media</w:t>
      </w:r>
      <w:r w:rsidRPr="00890F11">
        <w:rPr>
          <w:rFonts w:eastAsia="MS Mincho" w:cs="Arial"/>
          <w:szCs w:val="18"/>
          <w:lang w:val="es-ES" w:eastAsia="ja-JP"/>
        </w:rPr>
        <w:t>184: 18-25.</w:t>
      </w:r>
    </w:p>
    <w:p w14:paraId="00354E7B" w14:textId="77777777" w:rsidR="00C96521" w:rsidRPr="00890F11" w:rsidRDefault="00C96521" w:rsidP="00C96521">
      <w:pPr>
        <w:widowControl/>
        <w:autoSpaceDE/>
        <w:autoSpaceDN/>
        <w:adjustRightInd/>
        <w:spacing w:line="276" w:lineRule="auto"/>
        <w:rPr>
          <w:rFonts w:eastAsia="MS Mincho" w:cs="Arial"/>
          <w:szCs w:val="18"/>
          <w:lang w:val="es-ES" w:eastAsia="ja-JP"/>
        </w:rPr>
      </w:pPr>
    </w:p>
    <w:p w14:paraId="18106EB9"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890F11">
        <w:rPr>
          <w:rFonts w:eastAsia="MS Mincho" w:cs="Arial"/>
          <w:b/>
          <w:szCs w:val="18"/>
          <w:lang w:val="es-ES" w:eastAsia="ja-JP"/>
        </w:rPr>
        <w:t>HIDALGO DE TRUCIOS SJ and ROCHA CAMARERO G (2003)</w:t>
      </w:r>
      <w:r w:rsidRPr="00890F11">
        <w:rPr>
          <w:rFonts w:eastAsia="MS Mincho" w:cs="Arial"/>
          <w:szCs w:val="18"/>
          <w:lang w:val="es-ES" w:eastAsia="ja-JP"/>
        </w:rPr>
        <w:t xml:space="preserve"> La Caza de la Tórtola Común como actividad sostenible. In: </w:t>
      </w:r>
      <w:r w:rsidRPr="00890F11">
        <w:rPr>
          <w:rFonts w:eastAsia="MS Mincho" w:cs="Arial"/>
          <w:i/>
          <w:szCs w:val="18"/>
          <w:lang w:val="es-ES" w:eastAsia="ja-JP"/>
        </w:rPr>
        <w:t>Conservación, explotación y comercialización de los espacios cinegéticos</w:t>
      </w:r>
      <w:r w:rsidRPr="00890F11">
        <w:rPr>
          <w:rFonts w:eastAsia="MS Mincho" w:cs="Arial"/>
          <w:szCs w:val="18"/>
          <w:lang w:val="es-ES" w:eastAsia="ja-JP"/>
        </w:rPr>
        <w:t>. Editado por el Centro de Desarrollo Rural Campiña Sur. pp135-149.</w:t>
      </w:r>
    </w:p>
    <w:p w14:paraId="49745EDD" w14:textId="77777777" w:rsidR="00C96521" w:rsidRPr="00890F11" w:rsidRDefault="00C96521" w:rsidP="00C96521">
      <w:pPr>
        <w:widowControl/>
        <w:autoSpaceDE/>
        <w:autoSpaceDN/>
        <w:adjustRightInd/>
        <w:spacing w:line="276" w:lineRule="auto"/>
        <w:rPr>
          <w:rFonts w:eastAsia="MS Mincho" w:cs="Arial"/>
          <w:szCs w:val="18"/>
          <w:lang w:val="es-ES" w:eastAsia="ja-JP"/>
        </w:rPr>
      </w:pPr>
    </w:p>
    <w:p w14:paraId="10681A36"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890F11">
        <w:rPr>
          <w:rFonts w:eastAsia="MS Mincho" w:cs="Arial"/>
          <w:b/>
          <w:szCs w:val="18"/>
          <w:lang w:val="es-ES" w:eastAsia="ja-JP"/>
        </w:rPr>
        <w:t>HIDALGO DE TRUCIOS SJ and ROCHA CAMARERO G (2005)</w:t>
      </w:r>
      <w:r w:rsidRPr="00890F11">
        <w:rPr>
          <w:rFonts w:eastAsia="MS Mincho" w:cs="Arial"/>
          <w:szCs w:val="18"/>
          <w:lang w:val="es-ES" w:eastAsia="ja-JP"/>
        </w:rPr>
        <w:t xml:space="preserve"> Revisión del Status de la Tórtola Común </w:t>
      </w:r>
      <w:r w:rsidRPr="00890F11">
        <w:rPr>
          <w:rFonts w:eastAsia="MS Mincho" w:cs="Arial"/>
          <w:i/>
          <w:szCs w:val="18"/>
          <w:lang w:val="es-ES" w:eastAsia="ja-JP"/>
        </w:rPr>
        <w:t>Streptopelia turtur</w:t>
      </w:r>
      <w:r w:rsidRPr="00890F11">
        <w:rPr>
          <w:rFonts w:eastAsia="MS Mincho" w:cs="Arial"/>
          <w:szCs w:val="18"/>
          <w:lang w:val="es-ES" w:eastAsia="ja-JP"/>
        </w:rPr>
        <w:t xml:space="preserve"> en Extremadura, implicaciones en su Conservación. In: LÓPEZ CABALLERO JM (ed) </w:t>
      </w:r>
      <w:r w:rsidRPr="00890F11">
        <w:rPr>
          <w:rFonts w:eastAsia="MS Mincho" w:cs="Arial"/>
          <w:i/>
          <w:szCs w:val="18"/>
          <w:lang w:val="es-ES" w:eastAsia="ja-JP"/>
        </w:rPr>
        <w:t>Conservación de la naturaleza en Extremadura.</w:t>
      </w:r>
      <w:r w:rsidRPr="00890F11">
        <w:rPr>
          <w:rFonts w:eastAsia="MS Mincho" w:cs="Arial"/>
          <w:szCs w:val="18"/>
          <w:lang w:val="es-ES" w:eastAsia="ja-JP"/>
        </w:rPr>
        <w:t>Publica Consejería de Agricultura y Medio Ambiente, Junta de Extremadura, Mérida. pp 427--433.</w:t>
      </w:r>
    </w:p>
    <w:p w14:paraId="04C25214" w14:textId="77777777" w:rsidR="00C96521" w:rsidRPr="00890F11" w:rsidRDefault="00C96521" w:rsidP="00C96521">
      <w:pPr>
        <w:widowControl/>
        <w:autoSpaceDE/>
        <w:autoSpaceDN/>
        <w:adjustRightInd/>
        <w:spacing w:line="276" w:lineRule="auto"/>
        <w:rPr>
          <w:rFonts w:eastAsia="MS Mincho" w:cs="Arial"/>
          <w:szCs w:val="18"/>
          <w:lang w:val="es-ES" w:eastAsia="ja-JP"/>
        </w:rPr>
      </w:pPr>
    </w:p>
    <w:p w14:paraId="2DD36F2E" w14:textId="77777777" w:rsidR="00C96521" w:rsidRPr="00C96521" w:rsidRDefault="00C96521" w:rsidP="00C96521">
      <w:pPr>
        <w:widowControl/>
        <w:spacing w:line="276" w:lineRule="auto"/>
        <w:rPr>
          <w:rFonts w:eastAsia="MS Mincho" w:cs="Arial"/>
          <w:szCs w:val="18"/>
          <w:lang w:val="en-GB" w:eastAsia="ja-JP"/>
        </w:rPr>
      </w:pPr>
      <w:r w:rsidRPr="00890F11">
        <w:rPr>
          <w:rFonts w:eastAsia="MS Mincho" w:cs="Arial"/>
          <w:b/>
          <w:szCs w:val="18"/>
          <w:lang w:val="es-ES" w:eastAsia="ja-JP"/>
        </w:rPr>
        <w:t>HIDALGO DE TRUCIOS SJ (2007)</w:t>
      </w:r>
      <w:r w:rsidRPr="00890F11">
        <w:rPr>
          <w:rFonts w:eastAsia="MS Mincho" w:cs="Arial"/>
          <w:szCs w:val="18"/>
          <w:lang w:val="es-ES" w:eastAsia="ja-JP"/>
        </w:rPr>
        <w:t xml:space="preserve"> Capítulo 6. Certificación de Calidad Cinegética en Áreas Agrícolas y Esteparias. In: CARRANZA J and VARGAS JM (eds) </w:t>
      </w:r>
      <w:r w:rsidRPr="00890F11">
        <w:rPr>
          <w:rFonts w:eastAsia="MS Mincho" w:cs="Arial"/>
          <w:i/>
          <w:szCs w:val="18"/>
          <w:lang w:val="es-ES" w:eastAsia="ja-JP"/>
        </w:rPr>
        <w:t>Criterios para la Certificación de la Calidad Cinegética en España.</w:t>
      </w:r>
      <w:r w:rsidRPr="00890F11">
        <w:rPr>
          <w:rFonts w:eastAsia="MS Mincho" w:cs="Arial"/>
          <w:szCs w:val="18"/>
          <w:lang w:val="es-ES" w:eastAsia="ja-JP"/>
        </w:rPr>
        <w:t xml:space="preserve"> </w:t>
      </w:r>
      <w:r w:rsidRPr="00C96521">
        <w:rPr>
          <w:rFonts w:eastAsia="MS Mincho" w:cs="Arial"/>
          <w:szCs w:val="18"/>
          <w:lang w:val="en-GB" w:eastAsia="ja-JP"/>
        </w:rPr>
        <w:t>Universidad Extremadura, Servicio de Publicaciones, Cáceres. pp 45-51.</w:t>
      </w:r>
    </w:p>
    <w:p w14:paraId="235D0E1B" w14:textId="77777777" w:rsidR="00C96521" w:rsidRPr="00C96521" w:rsidRDefault="00C96521" w:rsidP="00C96521">
      <w:pPr>
        <w:widowControl/>
        <w:spacing w:line="276" w:lineRule="auto"/>
        <w:rPr>
          <w:rFonts w:eastAsia="MS Mincho" w:cs="Arial"/>
          <w:b/>
          <w:bCs/>
          <w:szCs w:val="18"/>
          <w:lang w:val="en-GB" w:eastAsia="ja-JP"/>
        </w:rPr>
      </w:pPr>
    </w:p>
    <w:p w14:paraId="43F2E5D8"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HILL D (1992)</w:t>
      </w:r>
      <w:r w:rsidRPr="00C96521">
        <w:rPr>
          <w:rFonts w:eastAsia="MS Mincho" w:cs="Arial"/>
          <w:bCs/>
          <w:szCs w:val="18"/>
          <w:lang w:val="en-GB" w:eastAsia="ja-JP"/>
        </w:rPr>
        <w:t xml:space="preserve"> </w:t>
      </w:r>
      <w:r w:rsidRPr="00C96521">
        <w:rPr>
          <w:rFonts w:eastAsia="MS Mincho" w:cs="Arial"/>
          <w:i/>
          <w:szCs w:val="18"/>
          <w:lang w:val="en-GB" w:eastAsia="ja-JP"/>
        </w:rPr>
        <w:t>Assessment of the population dynamics of Turtle-dove in EC countries</w:t>
      </w:r>
      <w:r w:rsidRPr="00C96521">
        <w:rPr>
          <w:rFonts w:eastAsia="MS Mincho" w:cs="Arial"/>
          <w:szCs w:val="18"/>
          <w:lang w:val="en-GB" w:eastAsia="ja-JP"/>
        </w:rPr>
        <w:t>. Report DGXI: 12.</w:t>
      </w:r>
    </w:p>
    <w:p w14:paraId="5868669C"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38355207" w14:textId="77777777" w:rsidR="00C96521" w:rsidRPr="00C96521" w:rsidRDefault="00C96521" w:rsidP="00C96521">
      <w:pPr>
        <w:widowControl/>
        <w:autoSpaceDE/>
        <w:autoSpaceDN/>
        <w:adjustRightInd/>
        <w:spacing w:line="276" w:lineRule="auto"/>
        <w:rPr>
          <w:rFonts w:eastAsia="MS Mincho" w:cs="Arial"/>
          <w:b/>
          <w:szCs w:val="18"/>
          <w:lang w:val="en-GB" w:eastAsia="ja-JP"/>
        </w:rPr>
      </w:pPr>
      <w:r w:rsidRPr="00C96521">
        <w:rPr>
          <w:rFonts w:eastAsia="MS Mincho" w:cs="Arial"/>
          <w:b/>
          <w:szCs w:val="18"/>
          <w:lang w:val="en-GB" w:eastAsia="ja-JP"/>
        </w:rPr>
        <w:t xml:space="preserve">HIRSCHFELD A and HEYD A (2005) </w:t>
      </w:r>
      <w:r w:rsidRPr="00C96521">
        <w:rPr>
          <w:rFonts w:eastAsia="MS Mincho" w:cs="Arial"/>
          <w:szCs w:val="18"/>
          <w:lang w:val="en-GB" w:eastAsia="ja-JP"/>
        </w:rPr>
        <w:t xml:space="preserve">Mortality of migratory birds caused by hunting in Europe: bag statistics and proposals for the conservation of birds and animal welfare. </w:t>
      </w:r>
      <w:r w:rsidRPr="00C96521">
        <w:rPr>
          <w:rFonts w:eastAsia="MS Mincho" w:cs="Arial"/>
          <w:i/>
          <w:szCs w:val="18"/>
          <w:lang w:val="en-GB" w:eastAsia="ja-JP"/>
        </w:rPr>
        <w:t>Berichte zum Vogelschutz</w:t>
      </w:r>
      <w:r w:rsidRPr="00C96521">
        <w:rPr>
          <w:rFonts w:eastAsia="MS Mincho" w:cs="Arial"/>
          <w:szCs w:val="18"/>
          <w:lang w:val="en-GB" w:eastAsia="ja-JP"/>
        </w:rPr>
        <w:t xml:space="preserve"> 42: 47-74</w:t>
      </w:r>
    </w:p>
    <w:p w14:paraId="7098AAD6"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2BDEBAD8" w14:textId="77777777" w:rsidR="00C96521" w:rsidRPr="00C96521" w:rsidRDefault="00C96521" w:rsidP="00C96521">
      <w:pPr>
        <w:widowControl/>
        <w:autoSpaceDE/>
        <w:autoSpaceDN/>
        <w:adjustRightInd/>
        <w:spacing w:line="276" w:lineRule="auto"/>
        <w:rPr>
          <w:rFonts w:eastAsia="MS Mincho" w:cs="Arial"/>
          <w:b/>
          <w:szCs w:val="18"/>
          <w:lang w:val="en-GB" w:eastAsia="ja-JP"/>
        </w:rPr>
      </w:pPr>
      <w:r w:rsidRPr="00C96521">
        <w:rPr>
          <w:rFonts w:eastAsia="MS Mincho" w:cs="Arial"/>
          <w:b/>
          <w:szCs w:val="18"/>
          <w:lang w:val="en-GB" w:eastAsia="ja-JP"/>
        </w:rPr>
        <w:t>HODGE I, READER M, REVOREDO C, CRABTREE R, TUCKER G and KING T (2006)</w:t>
      </w:r>
      <w:r w:rsidRPr="00C96521">
        <w:rPr>
          <w:rFonts w:eastAsia="MS Mincho" w:cs="Arial"/>
          <w:szCs w:val="18"/>
          <w:lang w:val="en-GB" w:eastAsia="ja-JP"/>
        </w:rPr>
        <w:t xml:space="preserve"> </w:t>
      </w:r>
      <w:r w:rsidRPr="00C96521">
        <w:rPr>
          <w:rFonts w:eastAsia="MS Mincho" w:cs="Arial"/>
          <w:i/>
          <w:szCs w:val="18"/>
          <w:lang w:val="en-GB" w:eastAsia="ja-JP"/>
        </w:rPr>
        <w:t>Project to assess future options for set-aside – Final Report for the Department for Environment, Food and Rural Affairs</w:t>
      </w:r>
      <w:r w:rsidRPr="00C96521">
        <w:rPr>
          <w:rFonts w:eastAsia="MS Mincho" w:cs="Arial"/>
          <w:szCs w:val="18"/>
          <w:lang w:val="en-GB" w:eastAsia="ja-JP"/>
        </w:rPr>
        <w:t xml:space="preserve">. University of Cambridge, Department of Land Economy. </w:t>
      </w:r>
    </w:p>
    <w:p w14:paraId="1AB2C7EA"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57AC0E82"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HRISTOV I (2015)</w:t>
      </w:r>
      <w:r w:rsidRPr="00C96521">
        <w:rPr>
          <w:rFonts w:eastAsia="MS Mincho" w:cs="Arial"/>
          <w:szCs w:val="18"/>
          <w:lang w:val="en-GB" w:eastAsia="ja-JP"/>
        </w:rPr>
        <w:t xml:space="preserve"> </w:t>
      </w:r>
      <w:r w:rsidRPr="00C96521">
        <w:rPr>
          <w:rFonts w:eastAsia="MS Mincho" w:cs="Arial"/>
          <w:i/>
          <w:szCs w:val="18"/>
          <w:lang w:val="en-GB" w:eastAsia="ja-JP"/>
        </w:rPr>
        <w:t>The State of Common Birds in Bulgaria 2005-2015</w:t>
      </w:r>
      <w:r w:rsidRPr="00C96521">
        <w:rPr>
          <w:rFonts w:eastAsia="MS Mincho" w:cs="Arial"/>
          <w:szCs w:val="18"/>
          <w:lang w:val="en-GB" w:eastAsia="ja-JP"/>
        </w:rPr>
        <w:t>. Conservation series 31. BSPB, Sofia.</w:t>
      </w:r>
    </w:p>
    <w:p w14:paraId="7EB57B65"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134BE0A8" w14:textId="77777777" w:rsidR="00C96521" w:rsidRPr="00890F11" w:rsidRDefault="00C96521" w:rsidP="00C96521">
      <w:pPr>
        <w:widowControl/>
        <w:autoSpaceDE/>
        <w:autoSpaceDN/>
        <w:adjustRightInd/>
        <w:spacing w:line="276" w:lineRule="auto"/>
        <w:rPr>
          <w:rFonts w:eastAsia="MS Mincho" w:cs="Arial"/>
          <w:b/>
          <w:szCs w:val="18"/>
          <w:lang w:val="es-ES" w:eastAsia="ja-JP"/>
        </w:rPr>
      </w:pPr>
      <w:r w:rsidRPr="00C96521">
        <w:rPr>
          <w:rFonts w:eastAsia="MS Mincho" w:cs="Arial"/>
          <w:b/>
          <w:szCs w:val="18"/>
          <w:lang w:val="en-GB" w:eastAsia="ja-JP"/>
        </w:rPr>
        <w:t>IANKOV P (2007)</w:t>
      </w:r>
      <w:r w:rsidRPr="00C96521">
        <w:rPr>
          <w:rFonts w:eastAsia="MS Mincho" w:cs="Arial"/>
          <w:szCs w:val="18"/>
          <w:lang w:val="en-GB" w:eastAsia="ja-JP"/>
        </w:rPr>
        <w:t xml:space="preserve"> </w:t>
      </w:r>
      <w:r w:rsidRPr="00C96521">
        <w:rPr>
          <w:rFonts w:eastAsia="MS Mincho" w:cs="Arial"/>
          <w:i/>
          <w:szCs w:val="18"/>
          <w:lang w:val="en-GB" w:eastAsia="ja-JP"/>
        </w:rPr>
        <w:t>Atlas of Breeding Birds in Bulgaria</w:t>
      </w:r>
      <w:r w:rsidRPr="00C96521">
        <w:rPr>
          <w:rFonts w:eastAsia="MS Mincho" w:cs="Arial"/>
          <w:szCs w:val="18"/>
          <w:lang w:val="en-GB" w:eastAsia="ja-JP"/>
        </w:rPr>
        <w:t xml:space="preserve">. Bulgarian Society for the Protection of Birds, Conservation Series 10. </w:t>
      </w:r>
      <w:r w:rsidRPr="00890F11">
        <w:rPr>
          <w:rFonts w:eastAsia="MS Mincho" w:cs="Arial"/>
          <w:szCs w:val="18"/>
          <w:lang w:val="es-ES" w:eastAsia="ja-JP"/>
        </w:rPr>
        <w:t>BSPB, Sofia.</w:t>
      </w:r>
    </w:p>
    <w:p w14:paraId="60F65662" w14:textId="77777777" w:rsidR="00C96521" w:rsidRPr="00890F11" w:rsidRDefault="00C96521" w:rsidP="00C96521">
      <w:pPr>
        <w:widowControl/>
        <w:autoSpaceDE/>
        <w:autoSpaceDN/>
        <w:adjustRightInd/>
        <w:spacing w:line="276" w:lineRule="auto"/>
        <w:rPr>
          <w:rFonts w:eastAsia="MS Mincho" w:cs="Arial"/>
          <w:b/>
          <w:bCs/>
          <w:szCs w:val="18"/>
          <w:lang w:val="es-ES" w:eastAsia="ja-JP"/>
        </w:rPr>
      </w:pPr>
    </w:p>
    <w:p w14:paraId="655CE722"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890F11">
        <w:rPr>
          <w:rFonts w:eastAsia="MS Mincho" w:cs="Arial"/>
          <w:b/>
          <w:szCs w:val="18"/>
          <w:lang w:val="es-ES" w:eastAsia="ja-JP"/>
        </w:rPr>
        <w:t>ICO (2016)</w:t>
      </w:r>
      <w:r w:rsidRPr="00890F11">
        <w:rPr>
          <w:rFonts w:eastAsia="MS Mincho" w:cs="Arial"/>
          <w:szCs w:val="18"/>
          <w:lang w:val="es-ES" w:eastAsia="ja-JP"/>
        </w:rPr>
        <w:t xml:space="preserve"> </w:t>
      </w:r>
      <w:r w:rsidRPr="00890F11">
        <w:rPr>
          <w:rFonts w:eastAsia="MS Mincho" w:cs="Arial"/>
          <w:i/>
          <w:szCs w:val="18"/>
          <w:lang w:val="es-ES" w:eastAsia="ja-JP"/>
        </w:rPr>
        <w:t>SIOC: servidor d'informació ornitològica de Catalunya</w:t>
      </w:r>
      <w:r w:rsidRPr="00890F11">
        <w:rPr>
          <w:rFonts w:eastAsia="MS Mincho" w:cs="Arial"/>
          <w:szCs w:val="18"/>
          <w:lang w:val="es-ES" w:eastAsia="ja-JP"/>
        </w:rPr>
        <w:t>. ICO, Barcelona.</w:t>
      </w:r>
    </w:p>
    <w:p w14:paraId="381BF505" w14:textId="77777777" w:rsidR="00C96521" w:rsidRPr="00890F11" w:rsidRDefault="00C96521" w:rsidP="00C96521">
      <w:pPr>
        <w:widowControl/>
        <w:autoSpaceDE/>
        <w:autoSpaceDN/>
        <w:adjustRightInd/>
        <w:spacing w:line="276" w:lineRule="auto"/>
        <w:rPr>
          <w:rFonts w:eastAsia="MS Mincho" w:cs="Arial"/>
          <w:b/>
          <w:bCs/>
          <w:szCs w:val="18"/>
          <w:lang w:val="es-ES" w:eastAsia="ja-JP"/>
        </w:rPr>
      </w:pPr>
    </w:p>
    <w:p w14:paraId="23938959"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890F11">
        <w:rPr>
          <w:rFonts w:eastAsia="MS Mincho" w:cs="Arial"/>
          <w:b/>
          <w:bCs/>
          <w:szCs w:val="18"/>
          <w:lang w:val="es-ES" w:eastAsia="ja-JP"/>
        </w:rPr>
        <w:t>ICONA (1989)</w:t>
      </w:r>
      <w:r w:rsidRPr="00890F11">
        <w:rPr>
          <w:rFonts w:eastAsia="MS Mincho" w:cs="Arial"/>
          <w:bCs/>
          <w:szCs w:val="18"/>
          <w:lang w:val="es-ES" w:eastAsia="ja-JP"/>
        </w:rPr>
        <w:t xml:space="preserve"> </w:t>
      </w:r>
      <w:r w:rsidRPr="00890F11">
        <w:rPr>
          <w:rFonts w:eastAsia="MS Mincho" w:cs="Arial"/>
          <w:i/>
          <w:szCs w:val="18"/>
          <w:lang w:val="es-ES" w:eastAsia="ja-JP"/>
        </w:rPr>
        <w:t xml:space="preserve">Determination del status de la tortola comun </w:t>
      </w:r>
      <w:r w:rsidRPr="00890F11">
        <w:rPr>
          <w:rFonts w:eastAsia="MS Mincho" w:cs="Arial"/>
          <w:szCs w:val="18"/>
          <w:lang w:val="es-ES" w:eastAsia="ja-JP"/>
        </w:rPr>
        <w:t>Streptopelia turtur</w:t>
      </w:r>
      <w:r w:rsidRPr="00890F11">
        <w:rPr>
          <w:rFonts w:eastAsia="MS Mincho" w:cs="Arial"/>
          <w:i/>
          <w:szCs w:val="18"/>
          <w:lang w:val="es-ES" w:eastAsia="ja-JP"/>
        </w:rPr>
        <w:t>. Final Report.</w:t>
      </w:r>
      <w:r w:rsidRPr="00890F11">
        <w:rPr>
          <w:rFonts w:eastAsia="MS Mincho" w:cs="Arial"/>
          <w:szCs w:val="18"/>
          <w:lang w:val="es-ES" w:eastAsia="ja-JP"/>
        </w:rPr>
        <w:t xml:space="preserve"> Instituto Nacional para la Conservación de la Naturaleza, Servicio de Vida Silvestre, Madrid.</w:t>
      </w:r>
    </w:p>
    <w:p w14:paraId="6E08EE93" w14:textId="77777777" w:rsidR="00C96521" w:rsidRPr="00890F11" w:rsidRDefault="00C96521" w:rsidP="00C96521">
      <w:pPr>
        <w:widowControl/>
        <w:autoSpaceDE/>
        <w:autoSpaceDN/>
        <w:adjustRightInd/>
        <w:spacing w:line="276" w:lineRule="auto"/>
        <w:rPr>
          <w:rFonts w:eastAsia="MS Mincho" w:cs="Arial"/>
          <w:b/>
          <w:szCs w:val="18"/>
          <w:lang w:val="es-ES" w:eastAsia="ja-JP"/>
        </w:rPr>
      </w:pPr>
    </w:p>
    <w:p w14:paraId="67B57609"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INSTITUTE FOR NATURE CONSERVATION OF SERBIA (2015)</w:t>
      </w:r>
      <w:r w:rsidRPr="00C96521">
        <w:rPr>
          <w:rFonts w:eastAsia="MS Mincho" w:cs="Arial"/>
          <w:i/>
          <w:szCs w:val="18"/>
          <w:lang w:val="en-GB" w:eastAsia="ja-JP"/>
        </w:rPr>
        <w:t xml:space="preserve"> A grey partridge and turtle-dove hunting ban in Serbia. </w:t>
      </w:r>
      <w:hyperlink r:id="rId56" w:history="1">
        <w:r w:rsidRPr="00C96521">
          <w:rPr>
            <w:rFonts w:eastAsia="MS Mincho" w:cs="Arial"/>
            <w:szCs w:val="18"/>
            <w:lang w:val="en-GB" w:eastAsia="ja-JP"/>
          </w:rPr>
          <w:t>http://www.zzps.rs/novo/index.php?jezik=_en&amp;strana=vest&amp;n=282</w:t>
        </w:r>
      </w:hyperlink>
      <w:r w:rsidRPr="00C96521">
        <w:rPr>
          <w:rFonts w:eastAsia="MS Mincho" w:cs="Arial"/>
          <w:szCs w:val="18"/>
          <w:lang w:val="en-GB" w:eastAsia="ja-JP"/>
        </w:rPr>
        <w:t xml:space="preserve"> (last accessed 25th November 2016)</w:t>
      </w:r>
    </w:p>
    <w:p w14:paraId="377E2231"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7CF2935B" w14:textId="77777777" w:rsidR="00C96521" w:rsidRPr="00890F11" w:rsidRDefault="00C96521" w:rsidP="00C96521">
      <w:pPr>
        <w:widowControl/>
        <w:autoSpaceDE/>
        <w:autoSpaceDN/>
        <w:adjustRightInd/>
        <w:spacing w:line="276" w:lineRule="auto"/>
        <w:rPr>
          <w:rFonts w:eastAsia="MS Mincho" w:cs="Arial"/>
          <w:szCs w:val="18"/>
          <w:lang w:val="fr-FR" w:eastAsia="ja-JP"/>
        </w:rPr>
      </w:pPr>
      <w:r w:rsidRPr="00890F11">
        <w:rPr>
          <w:rFonts w:eastAsia="MS Mincho" w:cs="Arial"/>
          <w:b/>
          <w:szCs w:val="18"/>
          <w:lang w:val="fr-FR" w:eastAsia="ja-JP"/>
        </w:rPr>
        <w:t>ISSA N and MULLER Y (2015)</w:t>
      </w:r>
      <w:r w:rsidRPr="00890F11">
        <w:rPr>
          <w:rFonts w:eastAsia="MS Mincho" w:cs="Arial"/>
          <w:szCs w:val="18"/>
          <w:lang w:val="fr-FR" w:eastAsia="ja-JP"/>
        </w:rPr>
        <w:t xml:space="preserve"> </w:t>
      </w:r>
      <w:r w:rsidRPr="00890F11">
        <w:rPr>
          <w:rFonts w:eastAsia="MS Mincho" w:cs="Arial"/>
          <w:i/>
          <w:szCs w:val="18"/>
          <w:lang w:val="fr-FR" w:eastAsia="ja-JP"/>
        </w:rPr>
        <w:t>Atlas des oiseaux de France métropolitaine, nidification et présence hivernale</w:t>
      </w:r>
      <w:r w:rsidRPr="00890F11">
        <w:rPr>
          <w:rFonts w:eastAsia="MS Mincho" w:cs="Arial"/>
          <w:szCs w:val="18"/>
          <w:lang w:val="fr-FR" w:eastAsia="ja-JP"/>
        </w:rPr>
        <w:t>. LPO, SEOF and MNHN, Delachaux and Niestlé, Paris.</w:t>
      </w:r>
    </w:p>
    <w:p w14:paraId="010BF6EF" w14:textId="77777777" w:rsidR="00C96521" w:rsidRPr="00890F11" w:rsidRDefault="00C96521" w:rsidP="00C96521">
      <w:pPr>
        <w:widowControl/>
        <w:autoSpaceDE/>
        <w:autoSpaceDN/>
        <w:adjustRightInd/>
        <w:spacing w:line="276" w:lineRule="auto"/>
        <w:rPr>
          <w:rFonts w:eastAsia="MS Mincho" w:cs="Arial"/>
          <w:szCs w:val="18"/>
          <w:lang w:val="fr-FR" w:eastAsia="ja-JP"/>
        </w:rPr>
      </w:pPr>
    </w:p>
    <w:p w14:paraId="430CDF74"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890F11">
        <w:rPr>
          <w:rFonts w:eastAsia="MS Mincho" w:cs="Arial"/>
          <w:b/>
          <w:szCs w:val="18"/>
          <w:lang w:val="fr-FR" w:eastAsia="ja-JP"/>
        </w:rPr>
        <w:t>ISSA N and BOUTIN J-M (2015)</w:t>
      </w:r>
      <w:r w:rsidRPr="00890F11">
        <w:rPr>
          <w:rFonts w:eastAsia="MS Mincho" w:cs="Arial"/>
          <w:szCs w:val="18"/>
          <w:lang w:val="fr-FR" w:eastAsia="ja-JP"/>
        </w:rPr>
        <w:t xml:space="preserve"> Tourterelle des bois </w:t>
      </w:r>
      <w:r w:rsidRPr="00890F11">
        <w:rPr>
          <w:rFonts w:eastAsia="MS Mincho" w:cs="Arial"/>
          <w:i/>
          <w:szCs w:val="18"/>
          <w:lang w:val="fr-FR" w:eastAsia="ja-JP"/>
        </w:rPr>
        <w:t>Streptopelia turtur</w:t>
      </w:r>
      <w:r w:rsidRPr="00890F11">
        <w:rPr>
          <w:rFonts w:eastAsia="MS Mincho" w:cs="Arial"/>
          <w:szCs w:val="18"/>
          <w:lang w:val="fr-FR" w:eastAsia="ja-JP"/>
        </w:rPr>
        <w:t xml:space="preserve">. In: MULLER Y and ISSA N (coordinators) </w:t>
      </w:r>
      <w:r w:rsidRPr="00890F11">
        <w:rPr>
          <w:rFonts w:eastAsia="MS Mincho" w:cs="Arial"/>
          <w:i/>
          <w:szCs w:val="18"/>
          <w:lang w:val="fr-FR" w:eastAsia="ja-JP"/>
        </w:rPr>
        <w:t>Atlas des oiseaux de France métropolitaine, nidification et présence hivernale</w:t>
      </w:r>
      <w:r w:rsidRPr="00890F11">
        <w:rPr>
          <w:rFonts w:eastAsia="MS Mincho" w:cs="Arial"/>
          <w:szCs w:val="18"/>
          <w:lang w:val="fr-FR" w:eastAsia="ja-JP"/>
        </w:rPr>
        <w:t xml:space="preserve">. </w:t>
      </w:r>
      <w:r w:rsidRPr="00C96521">
        <w:rPr>
          <w:rFonts w:eastAsia="MS Mincho" w:cs="Arial"/>
          <w:szCs w:val="18"/>
          <w:lang w:val="en-GB" w:eastAsia="ja-JP"/>
        </w:rPr>
        <w:t>LPO, SEOF and MNHN, Delachaux and Niestlé, Paris.</w:t>
      </w:r>
    </w:p>
    <w:p w14:paraId="5FE53A8F"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780467F2"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IUCN COMITATO ITALIANO (2012</w:t>
      </w:r>
      <w:r w:rsidRPr="00C96521">
        <w:rPr>
          <w:rFonts w:eastAsia="MS Mincho" w:cs="Arial"/>
          <w:szCs w:val="18"/>
          <w:lang w:val="en-GB" w:eastAsia="ja-JP"/>
        </w:rPr>
        <w:t xml:space="preserve">) </w:t>
      </w:r>
      <w:r w:rsidRPr="00C96521">
        <w:rPr>
          <w:rFonts w:eastAsia="MS Mincho" w:cs="Arial"/>
          <w:i/>
          <w:szCs w:val="18"/>
          <w:lang w:val="en-GB" w:eastAsia="ja-JP"/>
        </w:rPr>
        <w:t>Streptopelia turtur</w:t>
      </w:r>
      <w:r w:rsidRPr="00C96521">
        <w:rPr>
          <w:rFonts w:eastAsia="MS Mincho" w:cs="Arial"/>
          <w:szCs w:val="18"/>
          <w:lang w:val="en-GB" w:eastAsia="ja-JP"/>
        </w:rPr>
        <w:t>. http://www.iucn.it/scheda.php?id=1425556678 (last accessed 28</w:t>
      </w:r>
      <w:r w:rsidRPr="00C96521">
        <w:rPr>
          <w:rFonts w:eastAsia="MS Mincho" w:cs="Arial"/>
          <w:szCs w:val="18"/>
          <w:vertAlign w:val="superscript"/>
          <w:lang w:val="en-GB" w:eastAsia="ja-JP"/>
        </w:rPr>
        <w:t>th</w:t>
      </w:r>
      <w:r w:rsidRPr="00C96521">
        <w:rPr>
          <w:rFonts w:eastAsia="MS Mincho" w:cs="Arial"/>
          <w:szCs w:val="18"/>
          <w:lang w:val="en-GB" w:eastAsia="ja-JP"/>
        </w:rPr>
        <w:t xml:space="preserve"> October 2016)</w:t>
      </w:r>
    </w:p>
    <w:p w14:paraId="5C14B39C"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213B5BE3" w14:textId="77777777" w:rsidR="00C96521" w:rsidRPr="00890F11" w:rsidRDefault="00C96521" w:rsidP="00C96521">
      <w:pPr>
        <w:widowControl/>
        <w:autoSpaceDE/>
        <w:autoSpaceDN/>
        <w:adjustRightInd/>
        <w:spacing w:line="276" w:lineRule="auto"/>
        <w:rPr>
          <w:rFonts w:eastAsia="MS Mincho" w:cs="Arial"/>
          <w:b/>
          <w:bCs/>
          <w:szCs w:val="18"/>
          <w:lang w:val="fr-FR" w:eastAsia="ja-JP"/>
        </w:rPr>
      </w:pPr>
      <w:r w:rsidRPr="00C96521">
        <w:rPr>
          <w:rFonts w:eastAsia="MS Mincho" w:cs="Arial"/>
          <w:b/>
          <w:bCs/>
          <w:szCs w:val="18"/>
          <w:lang w:val="en-GB" w:eastAsia="ja-JP"/>
        </w:rPr>
        <w:t>IVANCHEV VP and DENIS LS (2011)</w:t>
      </w:r>
      <w:r w:rsidRPr="00C96521">
        <w:rPr>
          <w:rFonts w:eastAsia="MS Mincho" w:cs="Arial"/>
          <w:szCs w:val="18"/>
          <w:lang w:val="en-GB" w:eastAsia="ja-JP"/>
        </w:rPr>
        <w:t xml:space="preserve"> Turtle-dove. In: IVANCHEV VP and KAZAKOVA MV (eds). </w:t>
      </w:r>
      <w:r w:rsidRPr="00C96521">
        <w:rPr>
          <w:rFonts w:eastAsia="MS Mincho" w:cs="Arial"/>
          <w:i/>
          <w:szCs w:val="18"/>
          <w:lang w:val="en-GB" w:eastAsia="ja-JP"/>
        </w:rPr>
        <w:t>Red Data Book of Ryazan Region</w:t>
      </w:r>
      <w:r w:rsidRPr="00C96521">
        <w:rPr>
          <w:rFonts w:eastAsia="MS Mincho" w:cs="Arial"/>
          <w:szCs w:val="18"/>
          <w:lang w:val="en-GB" w:eastAsia="ja-JP"/>
        </w:rPr>
        <w:t xml:space="preserve">. NP Golos Gubernii, Ryazan: 109. </w:t>
      </w:r>
      <w:r w:rsidRPr="00890F11">
        <w:rPr>
          <w:rFonts w:eastAsia="MS Mincho" w:cs="Arial"/>
          <w:szCs w:val="18"/>
          <w:lang w:val="fr-FR" w:eastAsia="ja-JP"/>
        </w:rPr>
        <w:t>[in Russian]</w:t>
      </w:r>
    </w:p>
    <w:p w14:paraId="7D40E2BC" w14:textId="77777777" w:rsidR="00C96521" w:rsidRPr="00890F11" w:rsidRDefault="00C96521" w:rsidP="00C96521">
      <w:pPr>
        <w:widowControl/>
        <w:autoSpaceDE/>
        <w:autoSpaceDN/>
        <w:adjustRightInd/>
        <w:spacing w:line="276" w:lineRule="auto"/>
        <w:rPr>
          <w:rFonts w:eastAsia="MS Mincho" w:cs="Arial"/>
          <w:b/>
          <w:szCs w:val="18"/>
          <w:lang w:val="fr-FR" w:eastAsia="ja-JP"/>
        </w:rPr>
      </w:pPr>
    </w:p>
    <w:p w14:paraId="3D474D3E" w14:textId="73C7DF35" w:rsidR="00C96521" w:rsidRPr="00890F11" w:rsidRDefault="00C96521" w:rsidP="00C96521">
      <w:pPr>
        <w:widowControl/>
        <w:autoSpaceDE/>
        <w:autoSpaceDN/>
        <w:adjustRightInd/>
        <w:spacing w:line="276" w:lineRule="auto"/>
        <w:rPr>
          <w:rFonts w:eastAsia="MS Mincho" w:cs="Arial"/>
          <w:szCs w:val="18"/>
          <w:lang w:val="fr-FR" w:eastAsia="ja-JP"/>
        </w:rPr>
      </w:pPr>
      <w:r w:rsidRPr="00890F11">
        <w:rPr>
          <w:rFonts w:eastAsia="MS Mincho" w:cs="Arial"/>
          <w:b/>
          <w:szCs w:val="18"/>
          <w:lang w:val="fr-FR" w:eastAsia="ja-JP"/>
        </w:rPr>
        <w:t>JACOB J-P, DEHEM C, BURNEL A, DAMBIERMONT J-L, FASOL M, KINET T, VAN DER ELST D and PAQUET J-Y (2010)</w:t>
      </w:r>
      <w:r w:rsidRPr="00890F11">
        <w:rPr>
          <w:rFonts w:eastAsia="MS Mincho" w:cs="Arial"/>
          <w:szCs w:val="18"/>
          <w:lang w:val="fr-FR" w:eastAsia="ja-JP"/>
        </w:rPr>
        <w:t xml:space="preserve"> </w:t>
      </w:r>
      <w:r w:rsidRPr="00890F11">
        <w:rPr>
          <w:rFonts w:eastAsia="MS Mincho" w:cs="Arial"/>
          <w:i/>
          <w:szCs w:val="18"/>
          <w:lang w:val="fr-FR" w:eastAsia="ja-JP"/>
        </w:rPr>
        <w:t>Atlas des oiseaux nicheurs de Wallonie 2001-2007. Serie Faune-Flore-Habitats 5. Gembloux.</w:t>
      </w:r>
      <w:r w:rsidRPr="00890F11">
        <w:rPr>
          <w:rFonts w:eastAsia="MS Mincho" w:cs="Arial"/>
          <w:szCs w:val="18"/>
          <w:lang w:val="fr-FR" w:eastAsia="ja-JP"/>
        </w:rPr>
        <w:t xml:space="preserve"> Publication d’Aves et du </w:t>
      </w:r>
      <w:r w:rsidR="00526B63" w:rsidRPr="00890F11">
        <w:rPr>
          <w:rFonts w:eastAsia="MS Mincho" w:cs="Arial"/>
          <w:szCs w:val="18"/>
          <w:lang w:val="fr-FR" w:eastAsia="ja-JP"/>
        </w:rPr>
        <w:t>Département</w:t>
      </w:r>
      <w:r w:rsidRPr="00890F11">
        <w:rPr>
          <w:rFonts w:eastAsia="MS Mincho" w:cs="Arial"/>
          <w:szCs w:val="18"/>
          <w:lang w:val="fr-FR" w:eastAsia="ja-JP"/>
        </w:rPr>
        <w:t xml:space="preserve"> de l’</w:t>
      </w:r>
      <w:r w:rsidR="00526B63">
        <w:rPr>
          <w:rFonts w:eastAsia="MS Mincho" w:cs="Arial"/>
          <w:szCs w:val="18"/>
          <w:lang w:val="fr-FR" w:eastAsia="ja-JP"/>
        </w:rPr>
        <w:t>É</w:t>
      </w:r>
      <w:r w:rsidRPr="00890F11">
        <w:rPr>
          <w:rFonts w:eastAsia="MS Mincho" w:cs="Arial"/>
          <w:szCs w:val="18"/>
          <w:lang w:val="fr-FR" w:eastAsia="ja-JP"/>
        </w:rPr>
        <w:t xml:space="preserve">tude du Milieu Naturel et Agricole, Wallonie. </w:t>
      </w:r>
    </w:p>
    <w:p w14:paraId="736B229B" w14:textId="77777777" w:rsidR="00C96521" w:rsidRPr="00890F11" w:rsidRDefault="00C96521" w:rsidP="00C96521">
      <w:pPr>
        <w:widowControl/>
        <w:autoSpaceDE/>
        <w:autoSpaceDN/>
        <w:adjustRightInd/>
        <w:spacing w:line="276" w:lineRule="auto"/>
        <w:rPr>
          <w:rFonts w:eastAsia="MS Mincho" w:cs="Arial"/>
          <w:b/>
          <w:bCs/>
          <w:szCs w:val="18"/>
          <w:lang w:val="fr-FR" w:eastAsia="ja-JP"/>
        </w:rPr>
      </w:pPr>
    </w:p>
    <w:p w14:paraId="701B8167" w14:textId="77777777" w:rsidR="00C96521" w:rsidRPr="00890F11" w:rsidRDefault="00C96521" w:rsidP="00C96521">
      <w:pPr>
        <w:widowControl/>
        <w:autoSpaceDE/>
        <w:autoSpaceDN/>
        <w:adjustRightInd/>
        <w:spacing w:line="276" w:lineRule="auto"/>
        <w:rPr>
          <w:rFonts w:eastAsia="MS Mincho" w:cs="Arial"/>
          <w:szCs w:val="18"/>
          <w:lang w:val="fr-FR" w:eastAsia="ja-JP"/>
        </w:rPr>
      </w:pPr>
      <w:r w:rsidRPr="00B44B0D">
        <w:rPr>
          <w:rFonts w:eastAsia="MS Mincho" w:cs="Arial"/>
          <w:b/>
          <w:bCs/>
          <w:szCs w:val="18"/>
          <w:lang w:val="fr-FR" w:eastAsia="ja-JP"/>
        </w:rPr>
        <w:t>JARRY G (1994)</w:t>
      </w:r>
      <w:r w:rsidRPr="00B44B0D">
        <w:rPr>
          <w:rFonts w:eastAsia="MS Mincho" w:cs="Arial"/>
          <w:bCs/>
          <w:szCs w:val="18"/>
          <w:lang w:val="fr-FR" w:eastAsia="ja-JP"/>
        </w:rPr>
        <w:t xml:space="preserve"> </w:t>
      </w:r>
      <w:r w:rsidRPr="00B44B0D">
        <w:rPr>
          <w:rFonts w:eastAsia="MS Mincho" w:cs="Arial"/>
          <w:szCs w:val="18"/>
          <w:lang w:val="fr-FR" w:eastAsia="ja-JP"/>
        </w:rPr>
        <w:t xml:space="preserve">Turtle dove </w:t>
      </w:r>
      <w:r w:rsidRPr="00B44B0D">
        <w:rPr>
          <w:rFonts w:eastAsia="MS Mincho" w:cs="Arial"/>
          <w:i/>
          <w:szCs w:val="18"/>
          <w:lang w:val="fr-FR" w:eastAsia="ja-JP"/>
        </w:rPr>
        <w:t>Streptopelia turtur</w:t>
      </w:r>
      <w:r w:rsidRPr="00B44B0D">
        <w:rPr>
          <w:rFonts w:eastAsia="MS Mincho" w:cs="Arial"/>
          <w:szCs w:val="18"/>
          <w:lang w:val="fr-FR" w:eastAsia="ja-JP"/>
        </w:rPr>
        <w:t xml:space="preserve">. </w:t>
      </w:r>
      <w:r w:rsidRPr="00C96521">
        <w:rPr>
          <w:rFonts w:eastAsia="MS Mincho" w:cs="Arial"/>
          <w:szCs w:val="18"/>
          <w:lang w:val="en-GB" w:eastAsia="ja-JP"/>
        </w:rPr>
        <w:t xml:space="preserve">In: SOCHA CM (ed) </w:t>
      </w:r>
      <w:r w:rsidRPr="00C96521">
        <w:rPr>
          <w:rFonts w:eastAsia="MS Mincho" w:cs="Arial"/>
          <w:i/>
          <w:szCs w:val="18"/>
          <w:lang w:val="en-GB" w:eastAsia="ja-JP"/>
        </w:rPr>
        <w:t>Birds in Europe: their conservation status</w:t>
      </w:r>
      <w:r w:rsidRPr="00C96521">
        <w:rPr>
          <w:rFonts w:eastAsia="MS Mincho" w:cs="Arial"/>
          <w:szCs w:val="18"/>
          <w:lang w:val="en-GB" w:eastAsia="ja-JP"/>
        </w:rPr>
        <w:t xml:space="preserve">. </w:t>
      </w:r>
      <w:r w:rsidRPr="00890F11">
        <w:rPr>
          <w:rFonts w:eastAsia="MS Mincho" w:cs="Arial"/>
          <w:szCs w:val="18"/>
          <w:lang w:val="fr-FR" w:eastAsia="ja-JP"/>
        </w:rPr>
        <w:t>Conservation Series 3, BirdLife International, Cambridge. pp 320-321.</w:t>
      </w:r>
    </w:p>
    <w:p w14:paraId="6A40383D" w14:textId="77777777" w:rsidR="00C96521" w:rsidRPr="00890F11" w:rsidRDefault="00C96521" w:rsidP="00C96521">
      <w:pPr>
        <w:widowControl/>
        <w:autoSpaceDE/>
        <w:autoSpaceDN/>
        <w:adjustRightInd/>
        <w:spacing w:line="276" w:lineRule="auto"/>
        <w:rPr>
          <w:rFonts w:eastAsia="MS Mincho" w:cs="Arial"/>
          <w:b/>
          <w:szCs w:val="18"/>
          <w:lang w:val="fr-FR" w:eastAsia="ja-JP"/>
        </w:rPr>
      </w:pPr>
    </w:p>
    <w:p w14:paraId="3CBA64B0" w14:textId="06FBF14D" w:rsidR="00C96521" w:rsidRPr="00890F11" w:rsidRDefault="00C96521" w:rsidP="00C96521">
      <w:pPr>
        <w:widowControl/>
        <w:autoSpaceDE/>
        <w:autoSpaceDN/>
        <w:adjustRightInd/>
        <w:spacing w:line="276" w:lineRule="auto"/>
        <w:rPr>
          <w:rFonts w:eastAsia="MS Mincho" w:cs="Arial"/>
          <w:szCs w:val="18"/>
          <w:lang w:val="fr-FR" w:eastAsia="ja-JP"/>
        </w:rPr>
      </w:pPr>
      <w:r w:rsidRPr="00890F11">
        <w:rPr>
          <w:rFonts w:eastAsia="MS Mincho" w:cs="Arial"/>
          <w:b/>
          <w:szCs w:val="18"/>
          <w:lang w:val="fr-FR" w:eastAsia="ja-JP"/>
        </w:rPr>
        <w:t>JIGUET F (2016)</w:t>
      </w:r>
      <w:r w:rsidRPr="00890F11">
        <w:rPr>
          <w:rFonts w:eastAsia="MS Mincho" w:cs="Arial"/>
          <w:szCs w:val="18"/>
          <w:lang w:val="fr-FR" w:eastAsia="ja-JP"/>
        </w:rPr>
        <w:t xml:space="preserve"> </w:t>
      </w:r>
      <w:r w:rsidRPr="00890F11">
        <w:rPr>
          <w:rFonts w:eastAsia="MS Mincho" w:cs="Arial"/>
          <w:i/>
          <w:szCs w:val="18"/>
          <w:lang w:val="fr-FR" w:eastAsia="ja-JP"/>
        </w:rPr>
        <w:t>Les résultats nationaux du programme STOC de 1989 à 2015</w:t>
      </w:r>
      <w:r w:rsidRPr="00890F11">
        <w:rPr>
          <w:rFonts w:eastAsia="MS Mincho" w:cs="Arial"/>
          <w:szCs w:val="18"/>
          <w:lang w:val="fr-FR" w:eastAsia="ja-JP"/>
        </w:rPr>
        <w:t>. http://vigienature.mnhn.fr/page/tourterelle-des-bois (last accessed 10</w:t>
      </w:r>
      <w:r w:rsidRPr="00890F11">
        <w:rPr>
          <w:rFonts w:eastAsia="MS Mincho" w:cs="Arial"/>
          <w:szCs w:val="18"/>
          <w:vertAlign w:val="superscript"/>
          <w:lang w:val="fr-FR" w:eastAsia="ja-JP"/>
        </w:rPr>
        <w:t>h</w:t>
      </w:r>
      <w:r w:rsidRPr="00890F11">
        <w:rPr>
          <w:rFonts w:eastAsia="MS Mincho" w:cs="Arial"/>
          <w:szCs w:val="18"/>
          <w:lang w:val="fr-FR" w:eastAsia="ja-JP"/>
        </w:rPr>
        <w:t xml:space="preserve"> November 2016)</w:t>
      </w:r>
    </w:p>
    <w:p w14:paraId="55B57653" w14:textId="77777777" w:rsidR="00C96521" w:rsidRPr="00890F11" w:rsidRDefault="00C96521" w:rsidP="00C96521">
      <w:pPr>
        <w:widowControl/>
        <w:autoSpaceDE/>
        <w:autoSpaceDN/>
        <w:adjustRightInd/>
        <w:spacing w:line="276" w:lineRule="auto"/>
        <w:rPr>
          <w:rFonts w:eastAsia="MS Mincho" w:cs="Arial"/>
          <w:b/>
          <w:szCs w:val="18"/>
          <w:lang w:val="fr-FR" w:eastAsia="ja-JP"/>
        </w:rPr>
      </w:pPr>
    </w:p>
    <w:p w14:paraId="2D892572" w14:textId="77777777" w:rsidR="00C96521" w:rsidRPr="00890F11" w:rsidRDefault="00C96521" w:rsidP="00C96521">
      <w:pPr>
        <w:widowControl/>
        <w:autoSpaceDE/>
        <w:autoSpaceDN/>
        <w:adjustRightInd/>
        <w:spacing w:line="276" w:lineRule="auto"/>
        <w:rPr>
          <w:rFonts w:eastAsia="MS Mincho" w:cs="Arial"/>
          <w:b/>
          <w:szCs w:val="18"/>
          <w:lang w:val="fr-FR" w:eastAsia="ja-JP"/>
        </w:rPr>
      </w:pPr>
      <w:r w:rsidRPr="00890F11">
        <w:rPr>
          <w:rFonts w:eastAsia="MS Mincho" w:cs="Arial"/>
          <w:b/>
          <w:szCs w:val="18"/>
          <w:lang w:val="es-ES" w:eastAsia="ja-JP"/>
        </w:rPr>
        <w:t xml:space="preserve">JIMÉNEZ R, HODAR J Á and CAMACHO I </w:t>
      </w:r>
      <w:r w:rsidRPr="00890F11">
        <w:rPr>
          <w:rFonts w:eastAsia="MS Mincho" w:cs="Arial"/>
          <w:szCs w:val="18"/>
          <w:lang w:val="es-ES" w:eastAsia="ja-JP"/>
        </w:rPr>
        <w:t>(1992) La alimentación de la tortola comun (</w:t>
      </w:r>
      <w:r w:rsidRPr="00890F11">
        <w:rPr>
          <w:rFonts w:eastAsia="MS Mincho" w:cs="Arial"/>
          <w:i/>
          <w:szCs w:val="18"/>
          <w:lang w:val="es-ES" w:eastAsia="ja-JP"/>
        </w:rPr>
        <w:t>Streptopelia turtur</w:t>
      </w:r>
      <w:r w:rsidRPr="00890F11">
        <w:rPr>
          <w:rFonts w:eastAsia="MS Mincho" w:cs="Arial"/>
          <w:szCs w:val="18"/>
          <w:lang w:val="es-ES" w:eastAsia="ja-JP"/>
        </w:rPr>
        <w:t xml:space="preserve">) en el sur de Espana. </w:t>
      </w:r>
      <w:r w:rsidRPr="00890F11">
        <w:rPr>
          <w:rFonts w:eastAsia="MS Mincho" w:cs="Arial"/>
          <w:i/>
          <w:szCs w:val="18"/>
          <w:lang w:val="fr-FR" w:eastAsia="ja-JP"/>
        </w:rPr>
        <w:t>Gibier Faune Sauvage</w:t>
      </w:r>
      <w:r w:rsidRPr="00890F11">
        <w:rPr>
          <w:rFonts w:eastAsia="MS Mincho" w:cs="Arial"/>
          <w:szCs w:val="18"/>
          <w:lang w:val="fr-FR" w:eastAsia="ja-JP"/>
        </w:rPr>
        <w:t xml:space="preserve"> 9: 119-126.</w:t>
      </w:r>
    </w:p>
    <w:p w14:paraId="016E5159" w14:textId="77777777" w:rsidR="00C96521" w:rsidRPr="00890F11" w:rsidRDefault="00C96521" w:rsidP="00C96521">
      <w:pPr>
        <w:widowControl/>
        <w:autoSpaceDE/>
        <w:autoSpaceDN/>
        <w:adjustRightInd/>
        <w:spacing w:line="276" w:lineRule="auto"/>
        <w:rPr>
          <w:rFonts w:eastAsia="MS Mincho" w:cs="Arial"/>
          <w:b/>
          <w:szCs w:val="18"/>
          <w:lang w:val="fr-FR" w:eastAsia="ja-JP"/>
        </w:rPr>
      </w:pPr>
    </w:p>
    <w:p w14:paraId="00336906" w14:textId="08DB69AB" w:rsidR="00C96521" w:rsidRPr="00890F11" w:rsidRDefault="00C96521" w:rsidP="00C96521">
      <w:pPr>
        <w:widowControl/>
        <w:spacing w:line="276" w:lineRule="auto"/>
        <w:rPr>
          <w:rFonts w:eastAsia="MS Mincho" w:cs="Arial"/>
          <w:szCs w:val="18"/>
          <w:lang w:val="fr-FR" w:eastAsia="ja-JP"/>
        </w:rPr>
      </w:pPr>
      <w:r w:rsidRPr="00890F11">
        <w:rPr>
          <w:rFonts w:eastAsia="MS Mincho" w:cs="Arial"/>
          <w:b/>
          <w:szCs w:val="18"/>
          <w:lang w:val="fr-FR" w:eastAsia="ja-JP"/>
        </w:rPr>
        <w:t>JOURNAL OFFICIEL DE LA REPUBLIQUE ISLAMIQUE DE MAURITANIE (1997)</w:t>
      </w:r>
      <w:r w:rsidRPr="00890F11">
        <w:rPr>
          <w:rFonts w:eastAsia="MS Mincho" w:cs="Arial"/>
          <w:szCs w:val="18"/>
          <w:lang w:val="fr-FR" w:eastAsia="ja-JP"/>
        </w:rPr>
        <w:t xml:space="preserve"> Loi N° 97- 006 du 20 janvier 1997 abrogeant et </w:t>
      </w:r>
      <w:r w:rsidR="00526B63" w:rsidRPr="00890F11">
        <w:rPr>
          <w:rFonts w:eastAsia="MS Mincho" w:cs="Arial"/>
          <w:szCs w:val="18"/>
          <w:lang w:val="fr-FR" w:eastAsia="ja-JP"/>
        </w:rPr>
        <w:t>remplaçant</w:t>
      </w:r>
      <w:r w:rsidRPr="00890F11">
        <w:rPr>
          <w:rFonts w:eastAsia="MS Mincho" w:cs="Arial"/>
          <w:szCs w:val="18"/>
          <w:lang w:val="fr-FR" w:eastAsia="ja-JP"/>
        </w:rPr>
        <w:t xml:space="preserve"> la loi n° 75-003 du 15 janvier 1975 portant code de la chasse et de la protection de la nature. </w:t>
      </w:r>
      <w:r w:rsidRPr="00890F11">
        <w:rPr>
          <w:rFonts w:eastAsia="MS Mincho" w:cs="Arial"/>
          <w:i/>
          <w:szCs w:val="18"/>
          <w:lang w:val="fr-FR" w:eastAsia="ja-JP"/>
        </w:rPr>
        <w:t>Journal Officiel de la République Islamique de Mauritanie</w:t>
      </w:r>
      <w:r w:rsidRPr="00890F11">
        <w:rPr>
          <w:rFonts w:eastAsia="MS Mincho" w:cs="Arial"/>
          <w:szCs w:val="18"/>
          <w:lang w:val="fr-FR" w:eastAsia="ja-JP"/>
        </w:rPr>
        <w:t xml:space="preserve"> 896: 155-161.</w:t>
      </w:r>
    </w:p>
    <w:p w14:paraId="4F50CCAB" w14:textId="77777777" w:rsidR="00C96521" w:rsidRPr="00890F11" w:rsidRDefault="00C96521" w:rsidP="00C96521">
      <w:pPr>
        <w:widowControl/>
        <w:spacing w:line="276" w:lineRule="auto"/>
        <w:rPr>
          <w:rFonts w:eastAsia="MS Mincho" w:cs="Arial"/>
          <w:b/>
          <w:szCs w:val="18"/>
          <w:lang w:val="fr-FR" w:eastAsia="ja-JP"/>
        </w:rPr>
      </w:pPr>
    </w:p>
    <w:p w14:paraId="69C89804" w14:textId="5E5FEB6B" w:rsidR="00C96521" w:rsidRPr="00890F11" w:rsidRDefault="00C96521" w:rsidP="00C96521">
      <w:pPr>
        <w:widowControl/>
        <w:spacing w:line="276" w:lineRule="auto"/>
        <w:rPr>
          <w:rFonts w:eastAsia="MS Mincho" w:cs="Arial"/>
          <w:szCs w:val="18"/>
          <w:lang w:val="fr-FR" w:eastAsia="ja-JP"/>
        </w:rPr>
      </w:pPr>
      <w:r w:rsidRPr="00890F11">
        <w:rPr>
          <w:rFonts w:eastAsia="MS Mincho" w:cs="Arial"/>
          <w:b/>
          <w:szCs w:val="18"/>
          <w:lang w:val="fr-FR" w:eastAsia="ja-JP"/>
        </w:rPr>
        <w:t xml:space="preserve">KAFI F, HANANE S, BENSOUILAH T, ZERAOULA A, BRAHMIA H and HOUHAMDI M (2015) </w:t>
      </w:r>
      <w:r w:rsidRPr="00890F11">
        <w:rPr>
          <w:rFonts w:eastAsia="MS Mincho" w:cs="Arial"/>
          <w:szCs w:val="18"/>
          <w:lang w:val="fr-FR" w:eastAsia="ja-JP"/>
        </w:rPr>
        <w:t xml:space="preserve">Les facteurs </w:t>
      </w:r>
      <w:r w:rsidR="00526B63" w:rsidRPr="00890F11">
        <w:rPr>
          <w:rFonts w:eastAsia="MS Mincho" w:cs="Arial"/>
          <w:szCs w:val="18"/>
          <w:lang w:val="fr-FR" w:eastAsia="ja-JP"/>
        </w:rPr>
        <w:t>déterminant</w:t>
      </w:r>
      <w:r w:rsidRPr="00890F11">
        <w:rPr>
          <w:rFonts w:eastAsia="MS Mincho" w:cs="Arial"/>
          <w:szCs w:val="18"/>
          <w:lang w:val="fr-FR" w:eastAsia="ja-JP"/>
        </w:rPr>
        <w:t xml:space="preserve"> le succès de la reproduction des tourterelles des bois (</w:t>
      </w:r>
      <w:r w:rsidRPr="00890F11">
        <w:rPr>
          <w:rFonts w:eastAsia="MS Mincho" w:cs="Arial"/>
          <w:i/>
          <w:szCs w:val="18"/>
          <w:lang w:val="fr-FR" w:eastAsia="ja-JP"/>
        </w:rPr>
        <w:t>Streptopelia turtur</w:t>
      </w:r>
      <w:r w:rsidRPr="00890F11">
        <w:rPr>
          <w:rFonts w:eastAsia="MS Mincho" w:cs="Arial"/>
          <w:szCs w:val="18"/>
          <w:lang w:val="fr-FR" w:eastAsia="ja-JP"/>
        </w:rPr>
        <w:t xml:space="preserve">) dans un milieu agricole Nord-Africain. </w:t>
      </w:r>
      <w:r w:rsidRPr="00890F11">
        <w:rPr>
          <w:rFonts w:eastAsia="MS Mincho" w:cs="Arial"/>
          <w:i/>
          <w:szCs w:val="18"/>
          <w:lang w:val="fr-FR" w:eastAsia="ja-JP"/>
        </w:rPr>
        <w:t>Revue d’Ecologie (Terre et Vie)</w:t>
      </w:r>
      <w:r w:rsidRPr="00890F11">
        <w:rPr>
          <w:rFonts w:eastAsia="MS Mincho" w:cs="Arial"/>
          <w:szCs w:val="18"/>
          <w:lang w:val="fr-FR" w:eastAsia="ja-JP"/>
        </w:rPr>
        <w:t xml:space="preserve"> 70(3): 271-279.</w:t>
      </w:r>
    </w:p>
    <w:p w14:paraId="4F7CC85D" w14:textId="77777777" w:rsidR="00C96521" w:rsidRPr="00890F11" w:rsidRDefault="00C96521" w:rsidP="00C96521">
      <w:pPr>
        <w:widowControl/>
        <w:autoSpaceDE/>
        <w:autoSpaceDN/>
        <w:adjustRightInd/>
        <w:spacing w:line="276" w:lineRule="auto"/>
        <w:rPr>
          <w:rFonts w:eastAsia="MS Mincho" w:cs="Arial"/>
          <w:b/>
          <w:szCs w:val="18"/>
          <w:lang w:val="fr-FR" w:eastAsia="ja-JP"/>
        </w:rPr>
      </w:pPr>
    </w:p>
    <w:p w14:paraId="011F7BBE" w14:textId="77777777" w:rsidR="00C96521" w:rsidRPr="00890F11" w:rsidRDefault="00C96521" w:rsidP="00C96521">
      <w:pPr>
        <w:widowControl/>
        <w:spacing w:line="276" w:lineRule="auto"/>
        <w:rPr>
          <w:rFonts w:eastAsia="MS Mincho" w:cs="Arial"/>
          <w:b/>
          <w:szCs w:val="18"/>
          <w:lang w:val="fr-FR" w:eastAsia="ja-JP"/>
        </w:rPr>
      </w:pPr>
      <w:r w:rsidRPr="00890F11">
        <w:rPr>
          <w:rFonts w:eastAsia="MS Mincho" w:cs="Arial"/>
          <w:b/>
          <w:szCs w:val="18"/>
          <w:lang w:val="fr-FR" w:eastAsia="ja-JP"/>
        </w:rPr>
        <w:t xml:space="preserve">KEENLEYSIDE C, ELTS J, FIGECZKY G, FIŠER B, GALVÁNEK D, HELLICAR M, IRŠA L, JOBDA M, KOORBERG P, KOUNNAMAS C, KURLAVIČIUS P, MADERIÈ B, MEDVED A, METERA D, PEZOLD T, PRIEDNIEKS J, RAČINSKIS E, RAUDONIKIS L, SZILVÁCSKU Z, VAIČIŪNAITÉ R and ZÁMECNÍK V (2006) </w:t>
      </w:r>
      <w:r w:rsidRPr="00890F11">
        <w:rPr>
          <w:rFonts w:eastAsia="MS Mincho" w:cs="Arial"/>
          <w:i/>
          <w:szCs w:val="18"/>
          <w:lang w:val="fr-FR" w:eastAsia="ja-JP"/>
        </w:rPr>
        <w:t>Farmland birds and agri-environment schemes in New Member States – A report for the Royal Society for the Protection of Birds</w:t>
      </w:r>
      <w:r w:rsidRPr="00890F11">
        <w:rPr>
          <w:rFonts w:eastAsia="MS Mincho" w:cs="Arial"/>
          <w:szCs w:val="18"/>
          <w:lang w:val="fr-FR" w:eastAsia="ja-JP"/>
        </w:rPr>
        <w:t>. RSPB, Sandy.</w:t>
      </w:r>
    </w:p>
    <w:p w14:paraId="2FDAE757" w14:textId="77777777" w:rsidR="00C96521" w:rsidRPr="00890F11" w:rsidRDefault="00C96521" w:rsidP="00C96521">
      <w:pPr>
        <w:widowControl/>
        <w:autoSpaceDE/>
        <w:autoSpaceDN/>
        <w:adjustRightInd/>
        <w:spacing w:line="276" w:lineRule="auto"/>
        <w:rPr>
          <w:rFonts w:eastAsia="MS Mincho" w:cs="Arial"/>
          <w:b/>
          <w:szCs w:val="18"/>
          <w:lang w:val="fr-FR" w:eastAsia="ja-JP"/>
        </w:rPr>
      </w:pPr>
    </w:p>
    <w:p w14:paraId="7BE9BABC" w14:textId="77777777" w:rsidR="00C96521" w:rsidRPr="00890F11" w:rsidRDefault="00C96521" w:rsidP="00C96521">
      <w:pPr>
        <w:widowControl/>
        <w:autoSpaceDE/>
        <w:autoSpaceDN/>
        <w:adjustRightInd/>
        <w:spacing w:line="276" w:lineRule="auto"/>
        <w:rPr>
          <w:rFonts w:eastAsia="MS Mincho" w:cs="Arial"/>
          <w:b/>
          <w:szCs w:val="18"/>
          <w:lang w:val="fr-FR" w:eastAsia="ja-JP"/>
        </w:rPr>
      </w:pPr>
      <w:r w:rsidRPr="00890F11">
        <w:rPr>
          <w:rFonts w:eastAsia="MS Mincho" w:cs="Arial"/>
          <w:b/>
          <w:szCs w:val="18"/>
          <w:lang w:val="fr-FR" w:eastAsia="ja-JP"/>
        </w:rPr>
        <w:t xml:space="preserve">KERUS V (2005) </w:t>
      </w:r>
      <w:r w:rsidRPr="00890F11">
        <w:rPr>
          <w:rFonts w:eastAsia="MS Mincho" w:cs="Arial"/>
          <w:i/>
          <w:szCs w:val="18"/>
          <w:lang w:val="fr-FR" w:eastAsia="ja-JP"/>
        </w:rPr>
        <w:t>Latvijas ligzdojošo putnu atlants</w:t>
      </w:r>
      <w:r w:rsidRPr="00890F11">
        <w:rPr>
          <w:rFonts w:eastAsia="MS Mincho" w:cs="Arial"/>
          <w:szCs w:val="18"/>
          <w:lang w:val="fr-FR" w:eastAsia="ja-JP"/>
        </w:rPr>
        <w:t>. Latvijas Ornitoloģijas biedrība, Riga.</w:t>
      </w:r>
    </w:p>
    <w:p w14:paraId="50ADCA99" w14:textId="77777777" w:rsidR="00C96521" w:rsidRPr="00890F11" w:rsidRDefault="00C96521" w:rsidP="00C96521">
      <w:pPr>
        <w:widowControl/>
        <w:autoSpaceDE/>
        <w:autoSpaceDN/>
        <w:adjustRightInd/>
        <w:spacing w:line="276" w:lineRule="auto"/>
        <w:rPr>
          <w:rFonts w:eastAsia="MS Mincho" w:cs="Arial"/>
          <w:b/>
          <w:szCs w:val="18"/>
          <w:lang w:val="fr-FR" w:eastAsia="ja-JP"/>
        </w:rPr>
      </w:pPr>
    </w:p>
    <w:p w14:paraId="36424166"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 xml:space="preserve">KIRWAN GM, BOYLA K, CASTELL P, DEMIRCI B, ÖZEN M, WELCH H and MARLOW T (2008) </w:t>
      </w:r>
      <w:r w:rsidRPr="00C96521">
        <w:rPr>
          <w:rFonts w:eastAsia="MS Mincho" w:cs="Arial"/>
          <w:i/>
          <w:szCs w:val="18"/>
          <w:lang w:val="en-GB" w:eastAsia="ja-JP"/>
        </w:rPr>
        <w:t>The Birds of Turkey</w:t>
      </w:r>
      <w:r w:rsidRPr="00C96521">
        <w:rPr>
          <w:rFonts w:eastAsia="MS Mincho" w:cs="Arial"/>
          <w:szCs w:val="18"/>
          <w:lang w:val="en-GB" w:eastAsia="ja-JP"/>
        </w:rPr>
        <w:t>. Christopher Helm, London.</w:t>
      </w:r>
    </w:p>
    <w:p w14:paraId="26D3BC86"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23F42BAF" w14:textId="77777777" w:rsidR="00C96521" w:rsidRPr="00C96521" w:rsidRDefault="00C96521" w:rsidP="00C96521">
      <w:pPr>
        <w:widowControl/>
        <w:autoSpaceDE/>
        <w:autoSpaceDN/>
        <w:adjustRightInd/>
        <w:spacing w:line="276" w:lineRule="auto"/>
        <w:rPr>
          <w:rFonts w:eastAsia="MS Mincho" w:cs="Arial"/>
          <w:b/>
          <w:szCs w:val="18"/>
          <w:lang w:val="en-GB" w:eastAsia="ja-JP"/>
        </w:rPr>
      </w:pPr>
      <w:r w:rsidRPr="00C96521">
        <w:rPr>
          <w:rFonts w:eastAsia="MS Mincho" w:cs="Arial"/>
          <w:b/>
          <w:szCs w:val="18"/>
          <w:lang w:val="en-GB" w:eastAsia="ja-JP"/>
        </w:rPr>
        <w:t>KMECL P and FIGELJ J (2015)</w:t>
      </w:r>
      <w:r w:rsidRPr="00C96521">
        <w:rPr>
          <w:rFonts w:eastAsia="MS Mincho" w:cs="Arial"/>
          <w:szCs w:val="18"/>
          <w:lang w:val="en-GB" w:eastAsia="ja-JP"/>
        </w:rPr>
        <w:t xml:space="preserve"> </w:t>
      </w:r>
      <w:r w:rsidRPr="00C96521">
        <w:rPr>
          <w:rFonts w:eastAsia="MS Mincho" w:cs="Arial"/>
          <w:i/>
          <w:szCs w:val="18"/>
          <w:lang w:val="en-GB" w:eastAsia="ja-JP"/>
        </w:rPr>
        <w:t>Monitoring splošno razširjenih vrst ptic za določitev slovenskega indeksa ptic kmetijske krajine - poročilo za leto 2015</w:t>
      </w:r>
      <w:r w:rsidRPr="00C96521">
        <w:rPr>
          <w:rFonts w:eastAsia="MS Mincho" w:cs="Arial"/>
          <w:szCs w:val="18"/>
          <w:lang w:val="en-GB" w:eastAsia="ja-JP"/>
        </w:rPr>
        <w:t>. DOPPS, Ljubljana.</w:t>
      </w:r>
    </w:p>
    <w:p w14:paraId="693CAB98"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578FC9F2"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KURESOO A, PEHLAK H and NELLIS R (2011)</w:t>
      </w:r>
      <w:r w:rsidRPr="00C96521">
        <w:rPr>
          <w:rFonts w:eastAsia="MS Mincho" w:cs="Arial"/>
          <w:szCs w:val="18"/>
          <w:lang w:val="en-GB" w:eastAsia="ja-JP"/>
        </w:rPr>
        <w:t xml:space="preserve"> Population trends of common birds in Estonia in 1983-2010. </w:t>
      </w:r>
      <w:r w:rsidRPr="00C96521">
        <w:rPr>
          <w:rFonts w:eastAsia="MS Mincho" w:cs="Arial"/>
          <w:i/>
          <w:szCs w:val="18"/>
          <w:lang w:val="en-GB" w:eastAsia="ja-JP"/>
        </w:rPr>
        <w:t>Estonian Journal of Ecology</w:t>
      </w:r>
      <w:r w:rsidRPr="00C96521">
        <w:rPr>
          <w:rFonts w:eastAsia="MS Mincho" w:cs="Arial"/>
          <w:szCs w:val="18"/>
          <w:lang w:val="en-GB" w:eastAsia="ja-JP"/>
        </w:rPr>
        <w:t xml:space="preserve"> 60(2): 88-110.</w:t>
      </w:r>
    </w:p>
    <w:p w14:paraId="4243400D"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28FD0538"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KURLAVIČIUS P (2006)</w:t>
      </w:r>
      <w:r w:rsidRPr="00C96521">
        <w:rPr>
          <w:rFonts w:eastAsia="MS Mincho" w:cs="Arial"/>
          <w:szCs w:val="18"/>
          <w:lang w:val="en-GB" w:eastAsia="ja-JP"/>
        </w:rPr>
        <w:t xml:space="preserve"> </w:t>
      </w:r>
      <w:r w:rsidRPr="00C96521">
        <w:rPr>
          <w:rFonts w:eastAsia="MS Mincho" w:cs="Arial"/>
          <w:i/>
          <w:szCs w:val="18"/>
          <w:lang w:val="en-GB" w:eastAsia="ja-JP"/>
        </w:rPr>
        <w:t>Lietuvos Perinčių Paukščių Atlasas</w:t>
      </w:r>
      <w:r w:rsidRPr="00C96521">
        <w:rPr>
          <w:rFonts w:eastAsia="MS Mincho" w:cs="Arial"/>
          <w:szCs w:val="18"/>
          <w:lang w:val="en-GB" w:eastAsia="ja-JP"/>
        </w:rPr>
        <w:t xml:space="preserve">. Lututė, Kaunas. </w:t>
      </w:r>
    </w:p>
    <w:p w14:paraId="0DBE0EA9"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4F4530A7"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 xml:space="preserve">KUSSEROW D and BROUWER J (2011) </w:t>
      </w:r>
      <w:r w:rsidRPr="00C96521">
        <w:rPr>
          <w:rFonts w:eastAsia="MS Mincho" w:cs="Arial"/>
          <w:szCs w:val="18"/>
          <w:lang w:val="en-GB" w:eastAsia="ja-JP"/>
        </w:rPr>
        <w:t xml:space="preserve">Europe-bound migratory passerines, heat-struck in Niger before they cross the Sahara. </w:t>
      </w:r>
      <w:r w:rsidRPr="00C96521">
        <w:rPr>
          <w:rFonts w:eastAsia="MS Mincho" w:cs="Arial"/>
          <w:i/>
          <w:szCs w:val="18"/>
          <w:lang w:val="en-GB" w:eastAsia="ja-JP"/>
        </w:rPr>
        <w:t>West African Bird DataBase</w:t>
      </w:r>
      <w:r w:rsidRPr="00C96521">
        <w:rPr>
          <w:rFonts w:eastAsia="MS Mincho" w:cs="Arial"/>
          <w:szCs w:val="18"/>
          <w:lang w:val="en-GB" w:eastAsia="ja-JP"/>
        </w:rPr>
        <w:t>.</w:t>
      </w:r>
    </w:p>
    <w:p w14:paraId="2C68468B"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37670E19"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LEGAKIS A and MARAGKOU P (2009)</w:t>
      </w:r>
      <w:r w:rsidRPr="00C96521">
        <w:rPr>
          <w:rFonts w:eastAsia="MS Mincho" w:cs="Arial"/>
          <w:szCs w:val="18"/>
          <w:lang w:val="en-GB" w:eastAsia="ja-JP"/>
        </w:rPr>
        <w:t xml:space="preserve"> </w:t>
      </w:r>
      <w:r w:rsidRPr="00C96521">
        <w:rPr>
          <w:rFonts w:eastAsia="MS Mincho" w:cs="Arial"/>
          <w:i/>
          <w:szCs w:val="18"/>
          <w:lang w:val="en-GB" w:eastAsia="ja-JP"/>
        </w:rPr>
        <w:t>The Red Data Book of Threatened Animals in Greece</w:t>
      </w:r>
      <w:r w:rsidRPr="00C96521">
        <w:rPr>
          <w:rFonts w:eastAsia="MS Mincho" w:cs="Arial"/>
          <w:szCs w:val="18"/>
          <w:lang w:val="en-GB" w:eastAsia="ja-JP"/>
        </w:rPr>
        <w:t>. Hellenic Zoological Society, Athens.</w:t>
      </w:r>
    </w:p>
    <w:p w14:paraId="0794B97D"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6F9CB32B" w14:textId="518894C9"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LEHIKOINEN A (2016)</w:t>
      </w:r>
      <w:r w:rsidRPr="00C96521">
        <w:rPr>
          <w:rFonts w:eastAsia="MS Mincho" w:cs="Arial"/>
          <w:szCs w:val="18"/>
          <w:lang w:val="en-GB" w:eastAsia="ja-JP"/>
        </w:rPr>
        <w:t xml:space="preserve"> </w:t>
      </w:r>
      <w:r w:rsidRPr="00C96521">
        <w:rPr>
          <w:rFonts w:eastAsia="MS Mincho" w:cs="Arial"/>
          <w:i/>
          <w:szCs w:val="18"/>
          <w:lang w:val="en-GB" w:eastAsia="ja-JP"/>
        </w:rPr>
        <w:t>Turtle-dove (</w:t>
      </w:r>
      <w:r w:rsidRPr="00C96521">
        <w:rPr>
          <w:rFonts w:eastAsia="MS Mincho" w:cs="Arial"/>
          <w:szCs w:val="18"/>
          <w:lang w:val="en-GB" w:eastAsia="ja-JP"/>
        </w:rPr>
        <w:t>Streptopelia turtur</w:t>
      </w:r>
      <w:r w:rsidRPr="00C96521">
        <w:rPr>
          <w:rFonts w:eastAsia="MS Mincho" w:cs="Arial"/>
          <w:i/>
          <w:szCs w:val="18"/>
          <w:lang w:val="en-GB" w:eastAsia="ja-JP"/>
        </w:rPr>
        <w:t>). Finnish Bird Atlas.</w:t>
      </w:r>
      <w:r w:rsidRPr="00C96521">
        <w:rPr>
          <w:rFonts w:eastAsia="MS Mincho" w:cs="Arial"/>
          <w:szCs w:val="18"/>
          <w:lang w:val="en-GB" w:eastAsia="ja-JP"/>
        </w:rPr>
        <w:t xml:space="preserve"> http://atlas3.lintuatlas.fi/tulokset/laji/turturikyyhky (last accessed 28</w:t>
      </w:r>
      <w:r w:rsidRPr="00C96521">
        <w:rPr>
          <w:rFonts w:eastAsia="MS Mincho" w:cs="Arial"/>
          <w:szCs w:val="18"/>
          <w:vertAlign w:val="superscript"/>
          <w:lang w:val="en-GB" w:eastAsia="ja-JP"/>
        </w:rPr>
        <w:t xml:space="preserve"> </w:t>
      </w:r>
      <w:r w:rsidRPr="00C96521">
        <w:rPr>
          <w:rFonts w:eastAsia="MS Mincho" w:cs="Arial"/>
          <w:szCs w:val="18"/>
          <w:lang w:val="en-GB" w:eastAsia="ja-JP"/>
        </w:rPr>
        <w:t>October 2016)</w:t>
      </w:r>
    </w:p>
    <w:p w14:paraId="699272C1"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324932F3"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 xml:space="preserve">LENNON RJ, DUNN JC, STOCKDALE JE, GOODMAN SJ, MORRIS AJ and HAMER KC (2013) </w:t>
      </w:r>
      <w:r w:rsidRPr="00C96521">
        <w:rPr>
          <w:rFonts w:eastAsia="MS Mincho" w:cs="Arial"/>
          <w:szCs w:val="18"/>
          <w:lang w:val="en-GB" w:eastAsia="ja-JP"/>
        </w:rPr>
        <w:t xml:space="preserve">Trichomonad parasite infection in four species of Columbidae in the UK. </w:t>
      </w:r>
      <w:r w:rsidRPr="00C96521">
        <w:rPr>
          <w:rFonts w:eastAsia="MS Mincho" w:cs="Arial"/>
          <w:i/>
          <w:szCs w:val="18"/>
          <w:lang w:val="en-GB" w:eastAsia="ja-JP"/>
        </w:rPr>
        <w:t>Parasitology</w:t>
      </w:r>
      <w:r w:rsidRPr="00C96521">
        <w:rPr>
          <w:rFonts w:eastAsia="MS Mincho" w:cs="Arial"/>
          <w:szCs w:val="18"/>
          <w:lang w:val="en-GB" w:eastAsia="ja-JP"/>
        </w:rPr>
        <w:t xml:space="preserve"> 140: 1368-1376.</w:t>
      </w:r>
    </w:p>
    <w:p w14:paraId="3D347024"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1FBEE315"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LEOPOLD A (1953)</w:t>
      </w:r>
      <w:r w:rsidRPr="00C96521">
        <w:rPr>
          <w:rFonts w:eastAsia="MS Mincho" w:cs="Arial"/>
          <w:szCs w:val="18"/>
          <w:lang w:val="en-GB" w:eastAsia="ja-JP"/>
        </w:rPr>
        <w:t xml:space="preserve"> On a Monument to the Pigeon, In </w:t>
      </w:r>
      <w:r w:rsidRPr="00C96521">
        <w:rPr>
          <w:rFonts w:eastAsia="MS Mincho" w:cs="Arial"/>
          <w:i/>
          <w:szCs w:val="18"/>
          <w:lang w:val="en-GB" w:eastAsia="ja-JP"/>
        </w:rPr>
        <w:t>A Sand County Almanac.</w:t>
      </w:r>
      <w:r w:rsidRPr="00C96521">
        <w:rPr>
          <w:rFonts w:eastAsia="MS Mincho" w:cs="Arial"/>
          <w:szCs w:val="18"/>
          <w:lang w:val="en-GB" w:eastAsia="ja-JP"/>
        </w:rPr>
        <w:t xml:space="preserve"> Oxford University Press, Oxford.</w:t>
      </w:r>
    </w:p>
    <w:p w14:paraId="791A5379" w14:textId="77777777" w:rsidR="00C96521" w:rsidRPr="00C96521" w:rsidRDefault="00C96521" w:rsidP="00C96521">
      <w:pPr>
        <w:widowControl/>
        <w:spacing w:line="276" w:lineRule="auto"/>
        <w:rPr>
          <w:rFonts w:eastAsia="MS Mincho" w:cs="Arial"/>
          <w:b/>
          <w:szCs w:val="18"/>
          <w:lang w:val="en-GB" w:eastAsia="ja-JP"/>
        </w:rPr>
      </w:pPr>
    </w:p>
    <w:p w14:paraId="020147AA" w14:textId="77777777" w:rsidR="00C96521" w:rsidRPr="00965D7D" w:rsidRDefault="00C96521" w:rsidP="00C96521">
      <w:pPr>
        <w:widowControl/>
        <w:spacing w:line="276" w:lineRule="auto"/>
        <w:rPr>
          <w:rFonts w:eastAsia="MS Mincho" w:cs="Arial"/>
          <w:szCs w:val="18"/>
          <w:lang w:val="de-DE" w:eastAsia="ja-JP"/>
        </w:rPr>
      </w:pPr>
      <w:r w:rsidRPr="00C96521">
        <w:rPr>
          <w:rFonts w:eastAsia="MS Mincho" w:cs="Arial"/>
          <w:b/>
          <w:szCs w:val="18"/>
          <w:lang w:val="en-GB" w:eastAsia="ja-JP"/>
        </w:rPr>
        <w:t>LICHERI D and SPINA F (2005)</w:t>
      </w:r>
      <w:r w:rsidRPr="00C96521">
        <w:rPr>
          <w:rFonts w:eastAsia="MS Mincho" w:cs="Arial"/>
          <w:szCs w:val="18"/>
          <w:lang w:val="en-GB" w:eastAsia="ja-JP"/>
        </w:rPr>
        <w:t xml:space="preserve"> Biodiversità dell’avifauna italiana: variabilità morfologica nei non-Passeriformi. </w:t>
      </w:r>
      <w:r w:rsidRPr="00965D7D">
        <w:rPr>
          <w:rFonts w:eastAsia="MS Mincho" w:cs="Arial"/>
          <w:i/>
          <w:szCs w:val="18"/>
          <w:lang w:val="de-DE" w:eastAsia="ja-JP"/>
        </w:rPr>
        <w:t>Biologia e Conservazione della Fauna</w:t>
      </w:r>
      <w:r w:rsidRPr="00965D7D">
        <w:rPr>
          <w:rFonts w:eastAsia="MS Mincho" w:cs="Arial"/>
          <w:szCs w:val="18"/>
          <w:lang w:val="de-DE" w:eastAsia="ja-JP"/>
        </w:rPr>
        <w:t xml:space="preserve"> 114: 1-192.</w:t>
      </w:r>
    </w:p>
    <w:p w14:paraId="0626FE3B" w14:textId="77777777" w:rsidR="00C96521" w:rsidRPr="00965D7D" w:rsidRDefault="00C96521" w:rsidP="00C96521">
      <w:pPr>
        <w:widowControl/>
        <w:spacing w:line="276" w:lineRule="auto"/>
        <w:rPr>
          <w:rFonts w:eastAsia="MS Mincho" w:cs="Arial"/>
          <w:b/>
          <w:szCs w:val="18"/>
          <w:lang w:val="de-DE" w:eastAsia="ja-JP"/>
        </w:rPr>
      </w:pPr>
    </w:p>
    <w:p w14:paraId="20F3DD21" w14:textId="77777777" w:rsidR="00C96521" w:rsidRPr="00965D7D" w:rsidRDefault="00C96521" w:rsidP="00C96521">
      <w:pPr>
        <w:widowControl/>
        <w:spacing w:line="276" w:lineRule="auto"/>
        <w:rPr>
          <w:rFonts w:eastAsia="MS Mincho"/>
          <w:szCs w:val="18"/>
          <w:lang w:val="de-DE" w:eastAsia="ja-JP"/>
        </w:rPr>
      </w:pPr>
      <w:r w:rsidRPr="00965D7D">
        <w:rPr>
          <w:rFonts w:eastAsia="MS Mincho" w:cs="Arial"/>
          <w:b/>
          <w:szCs w:val="18"/>
          <w:lang w:val="de-DE" w:eastAsia="ja-JP"/>
        </w:rPr>
        <w:t xml:space="preserve">LIECHTENSTEINISCHES LANDESGESETZBLATT (2003) </w:t>
      </w:r>
      <w:r w:rsidRPr="00965D7D">
        <w:rPr>
          <w:rFonts w:eastAsia="MS Mincho" w:cs="Arial"/>
          <w:i/>
          <w:szCs w:val="18"/>
          <w:lang w:val="de-DE" w:eastAsia="ja-JP"/>
        </w:rPr>
        <w:t>Verordnung vom 30. September 2003 über die Hege des Wildes, die Abschussplanung, - durchführung und - kontrolle sowie die Kostenregelung von Massnahmen der Wildschadenverhü- tung (Hegeverordnung; HegeV).</w:t>
      </w:r>
      <w:r w:rsidRPr="00965D7D">
        <w:rPr>
          <w:rFonts w:eastAsia="MS Mincho" w:cs="Arial"/>
          <w:szCs w:val="18"/>
          <w:lang w:val="de-DE" w:eastAsia="ja-JP"/>
        </w:rPr>
        <w:t xml:space="preserve"> </w:t>
      </w:r>
      <w:r w:rsidRPr="00965D7D">
        <w:rPr>
          <w:rFonts w:eastAsia="MS Mincho"/>
          <w:szCs w:val="18"/>
          <w:lang w:val="de-DE" w:eastAsia="ja-JP"/>
        </w:rPr>
        <w:t>https://www.gesetze.li/lilexprod/ifshowpdf.jsp?lgblid=2003198000&amp;version=3&amp;signed=n&amp;tablesel=0</w:t>
      </w:r>
    </w:p>
    <w:p w14:paraId="4676EE3B" w14:textId="21A909EF" w:rsidR="00C96521" w:rsidRPr="00965D7D" w:rsidRDefault="00C96521" w:rsidP="00C96521">
      <w:pPr>
        <w:widowControl/>
        <w:spacing w:line="276" w:lineRule="auto"/>
        <w:rPr>
          <w:rFonts w:eastAsia="MS Mincho" w:cs="Arial"/>
          <w:b/>
          <w:szCs w:val="18"/>
          <w:lang w:val="de-DE" w:eastAsia="ja-JP"/>
        </w:rPr>
      </w:pPr>
      <w:r w:rsidRPr="00965D7D">
        <w:rPr>
          <w:rFonts w:eastAsia="MS Mincho" w:cs="Arial"/>
          <w:szCs w:val="18"/>
          <w:lang w:val="de-DE" w:eastAsia="ja-JP"/>
        </w:rPr>
        <w:t>(last accessed 25 November 2016).</w:t>
      </w:r>
    </w:p>
    <w:p w14:paraId="5B9E2151" w14:textId="77777777" w:rsidR="00C96521" w:rsidRPr="00965D7D" w:rsidRDefault="00C96521" w:rsidP="00C96521">
      <w:pPr>
        <w:widowControl/>
        <w:spacing w:line="276" w:lineRule="auto"/>
        <w:rPr>
          <w:rFonts w:eastAsia="MS Mincho" w:cs="Arial"/>
          <w:b/>
          <w:szCs w:val="18"/>
          <w:lang w:val="de-DE" w:eastAsia="ja-JP"/>
        </w:rPr>
      </w:pPr>
    </w:p>
    <w:p w14:paraId="5C70F458" w14:textId="1B0AD64A" w:rsidR="00C96521" w:rsidRPr="00965D7D" w:rsidRDefault="00C96521" w:rsidP="00C96521">
      <w:pPr>
        <w:widowControl/>
        <w:spacing w:line="276" w:lineRule="auto"/>
        <w:rPr>
          <w:rFonts w:eastAsia="MS Mincho" w:cs="Arial"/>
          <w:szCs w:val="18"/>
          <w:lang w:val="de-DE" w:eastAsia="ja-JP"/>
        </w:rPr>
      </w:pPr>
      <w:r w:rsidRPr="00965D7D">
        <w:rPr>
          <w:rFonts w:eastAsia="MS Mincho" w:cs="Arial"/>
          <w:b/>
          <w:szCs w:val="18"/>
          <w:lang w:val="de-DE" w:eastAsia="ja-JP"/>
        </w:rPr>
        <w:t>LIETUVOS ORNITOLOGŲ DRAUGIJA (2013)</w:t>
      </w:r>
      <w:r w:rsidRPr="00965D7D">
        <w:rPr>
          <w:rFonts w:eastAsia="MS Mincho" w:cs="Arial"/>
          <w:szCs w:val="18"/>
          <w:lang w:val="de-DE" w:eastAsia="ja-JP"/>
        </w:rPr>
        <w:t xml:space="preserve"> </w:t>
      </w:r>
      <w:r w:rsidRPr="00965D7D">
        <w:rPr>
          <w:rFonts w:eastAsia="MS Mincho" w:cs="Arial"/>
          <w:i/>
          <w:szCs w:val="18"/>
          <w:lang w:val="de-DE" w:eastAsia="ja-JP"/>
        </w:rPr>
        <w:t>Paukščių populiacijų gausos pokyčiai Lietuvoje</w:t>
      </w:r>
      <w:r w:rsidRPr="00965D7D">
        <w:rPr>
          <w:rFonts w:eastAsia="MS Mincho" w:cs="Arial"/>
          <w:szCs w:val="18"/>
          <w:lang w:val="de-DE" w:eastAsia="ja-JP"/>
        </w:rPr>
        <w:t>. http://www.virtualusprocesai.lt/ipgs/view.php?kat_id=2 (last accessed 28</w:t>
      </w:r>
      <w:r w:rsidRPr="00965D7D">
        <w:rPr>
          <w:rFonts w:eastAsia="MS Mincho" w:cs="Arial"/>
          <w:szCs w:val="18"/>
          <w:vertAlign w:val="superscript"/>
          <w:lang w:val="de-DE" w:eastAsia="ja-JP"/>
        </w:rPr>
        <w:t xml:space="preserve"> </w:t>
      </w:r>
      <w:r w:rsidRPr="00965D7D">
        <w:rPr>
          <w:rFonts w:eastAsia="MS Mincho" w:cs="Arial"/>
          <w:szCs w:val="18"/>
          <w:lang w:val="de-DE" w:eastAsia="ja-JP"/>
        </w:rPr>
        <w:t>October 2016)</w:t>
      </w:r>
    </w:p>
    <w:p w14:paraId="745ABE97" w14:textId="77777777" w:rsidR="00C96521" w:rsidRPr="00965D7D" w:rsidRDefault="00C96521" w:rsidP="00C96521">
      <w:pPr>
        <w:widowControl/>
        <w:autoSpaceDE/>
        <w:autoSpaceDN/>
        <w:adjustRightInd/>
        <w:spacing w:line="276" w:lineRule="auto"/>
        <w:rPr>
          <w:rFonts w:eastAsia="MS Mincho" w:cs="Arial"/>
          <w:b/>
          <w:szCs w:val="18"/>
          <w:lang w:val="de-DE" w:eastAsia="ja-JP"/>
        </w:rPr>
      </w:pPr>
    </w:p>
    <w:p w14:paraId="584E92E7"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890F11">
        <w:rPr>
          <w:rFonts w:eastAsia="MS Mincho" w:cs="Arial"/>
          <w:b/>
          <w:szCs w:val="18"/>
          <w:lang w:val="fr-FR" w:eastAsia="ja-JP"/>
        </w:rPr>
        <w:t xml:space="preserve">LIPPENS CL and WILLE H (1972) </w:t>
      </w:r>
      <w:r w:rsidRPr="00890F11">
        <w:rPr>
          <w:rFonts w:eastAsia="MS Mincho" w:cs="Arial"/>
          <w:i/>
          <w:szCs w:val="18"/>
          <w:lang w:val="fr-FR" w:eastAsia="ja-JP"/>
        </w:rPr>
        <w:t>Atlas des oiseaux de Belgique et d’Europe occidentale</w:t>
      </w:r>
      <w:r w:rsidRPr="00890F11">
        <w:rPr>
          <w:rFonts w:eastAsia="MS Mincho" w:cs="Arial"/>
          <w:szCs w:val="18"/>
          <w:lang w:val="fr-FR" w:eastAsia="ja-JP"/>
        </w:rPr>
        <w:t xml:space="preserve">. </w:t>
      </w:r>
      <w:r w:rsidRPr="00C96521">
        <w:rPr>
          <w:rFonts w:eastAsia="MS Mincho" w:cs="Arial"/>
          <w:szCs w:val="18"/>
          <w:lang w:val="en-GB" w:eastAsia="ja-JP"/>
        </w:rPr>
        <w:t>Editions Lannoo, Tielt.</w:t>
      </w:r>
    </w:p>
    <w:p w14:paraId="59667F0F"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4C2545CE"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LIPU/SEO/HOS (2015)</w:t>
      </w:r>
      <w:r w:rsidRPr="00C96521">
        <w:rPr>
          <w:rFonts w:eastAsia="MS Mincho" w:cs="Arial"/>
          <w:szCs w:val="18"/>
          <w:lang w:val="en-GB" w:eastAsia="ja-JP"/>
        </w:rPr>
        <w:t xml:space="preserve"> </w:t>
      </w:r>
      <w:r w:rsidRPr="00C96521">
        <w:rPr>
          <w:rFonts w:eastAsia="MS Mincho" w:cs="Arial"/>
          <w:i/>
          <w:szCs w:val="18"/>
          <w:lang w:val="en-GB" w:eastAsia="ja-JP"/>
        </w:rPr>
        <w:t>Leaving is Living – Layman’s Report LIFE Project “A Safe Haven for Wild Birds” (LIFE INF IT 253)</w:t>
      </w:r>
      <w:r w:rsidRPr="00C96521">
        <w:rPr>
          <w:rFonts w:eastAsia="MS Mincho" w:cs="Arial"/>
          <w:szCs w:val="18"/>
          <w:lang w:val="en-GB" w:eastAsia="ja-JP"/>
        </w:rPr>
        <w:t>. Lega Italiana Protezione Uccelli, SEO/BirdLife, Hellenic Ornithological Society, J Walter Thompson Worldwide.</w:t>
      </w:r>
    </w:p>
    <w:p w14:paraId="4CF3C421"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3EB80D17"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 xml:space="preserve">LJURI DI, GORYACHKIN SV, KARAVAEVA NA, DENISENKO EA and NEFEDOVA TG (2010) </w:t>
      </w:r>
      <w:r w:rsidRPr="00C96521">
        <w:rPr>
          <w:rFonts w:eastAsia="MS Mincho" w:cs="Arial"/>
          <w:szCs w:val="18"/>
          <w:lang w:val="en-GB" w:eastAsia="ja-JP"/>
        </w:rPr>
        <w:t xml:space="preserve">Dynamics of agricultural lands in Russia in the 20th century and post-farming recovery of vegetation and soils. </w:t>
      </w:r>
      <w:r w:rsidRPr="00C96521">
        <w:rPr>
          <w:rFonts w:eastAsia="MS Mincho" w:cs="Arial"/>
          <w:i/>
          <w:szCs w:val="18"/>
          <w:lang w:val="en-GB" w:eastAsia="ja-JP"/>
        </w:rPr>
        <w:t>GEOS</w:t>
      </w:r>
      <w:r w:rsidRPr="00C96521">
        <w:rPr>
          <w:rFonts w:eastAsia="MS Mincho" w:cs="Arial"/>
          <w:szCs w:val="18"/>
          <w:lang w:val="en-GB" w:eastAsia="ja-JP"/>
        </w:rPr>
        <w:t>, Moscow. [in Russian]</w:t>
      </w:r>
    </w:p>
    <w:p w14:paraId="35DB02CC"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2E0724FA" w14:textId="77777777" w:rsidR="00C96521" w:rsidRPr="00965D7D" w:rsidRDefault="00C96521" w:rsidP="00C96521">
      <w:pPr>
        <w:widowControl/>
        <w:autoSpaceDE/>
        <w:autoSpaceDN/>
        <w:adjustRightInd/>
        <w:spacing w:line="276" w:lineRule="auto"/>
        <w:rPr>
          <w:rFonts w:eastAsia="MS Mincho" w:cs="Arial"/>
          <w:b/>
          <w:bCs/>
          <w:szCs w:val="18"/>
          <w:lang w:val="de-DE" w:eastAsia="ja-JP"/>
        </w:rPr>
      </w:pPr>
      <w:r w:rsidRPr="00C96521">
        <w:rPr>
          <w:rFonts w:eastAsia="MS Mincho" w:cs="Arial"/>
          <w:b/>
          <w:szCs w:val="18"/>
          <w:lang w:val="en-GB" w:eastAsia="ja-JP"/>
        </w:rPr>
        <w:t>LOPEZ-ANTIA A, ORTIZ-SANTALIESTRA ME, MOUGEOT F and MATEO R (2013)</w:t>
      </w:r>
      <w:r w:rsidRPr="00C96521">
        <w:rPr>
          <w:rFonts w:eastAsia="MS Mincho" w:cs="Arial"/>
          <w:szCs w:val="18"/>
          <w:lang w:val="en-GB" w:eastAsia="ja-JP"/>
        </w:rPr>
        <w:t xml:space="preserve"> Experimental exposure of red-legged partridges (</w:t>
      </w:r>
      <w:r w:rsidRPr="00C96521">
        <w:rPr>
          <w:rFonts w:eastAsia="MS Mincho" w:cs="Arial"/>
          <w:i/>
          <w:szCs w:val="18"/>
          <w:lang w:val="en-GB" w:eastAsia="ja-JP"/>
        </w:rPr>
        <w:t>Alectoris rufa</w:t>
      </w:r>
      <w:r w:rsidRPr="00C96521">
        <w:rPr>
          <w:rFonts w:eastAsia="MS Mincho" w:cs="Arial"/>
          <w:szCs w:val="18"/>
          <w:lang w:val="en-GB" w:eastAsia="ja-JP"/>
        </w:rPr>
        <w:t xml:space="preserve">) to seeds coated with imidacloprid, thiram and difenoconazole. </w:t>
      </w:r>
      <w:r w:rsidRPr="00965D7D">
        <w:rPr>
          <w:rFonts w:eastAsia="MS Mincho" w:cs="Arial"/>
          <w:i/>
          <w:szCs w:val="18"/>
          <w:lang w:val="de-DE" w:eastAsia="ja-JP"/>
        </w:rPr>
        <w:t>Ecotoxicology</w:t>
      </w:r>
      <w:r w:rsidRPr="00965D7D">
        <w:rPr>
          <w:rFonts w:eastAsia="MS Mincho" w:cs="Arial"/>
          <w:szCs w:val="18"/>
          <w:lang w:val="de-DE" w:eastAsia="ja-JP"/>
        </w:rPr>
        <w:t xml:space="preserve"> 22(1): 125-138.</w:t>
      </w:r>
    </w:p>
    <w:p w14:paraId="63224EA1" w14:textId="77777777" w:rsidR="00C96521" w:rsidRPr="00965D7D" w:rsidRDefault="00C96521" w:rsidP="00C96521">
      <w:pPr>
        <w:widowControl/>
        <w:autoSpaceDE/>
        <w:autoSpaceDN/>
        <w:adjustRightInd/>
        <w:spacing w:line="276" w:lineRule="auto"/>
        <w:rPr>
          <w:rFonts w:eastAsia="MS Mincho" w:cs="Arial"/>
          <w:b/>
          <w:szCs w:val="18"/>
          <w:lang w:val="de-DE" w:eastAsia="ja-JP"/>
        </w:rPr>
      </w:pPr>
    </w:p>
    <w:p w14:paraId="362F5F17" w14:textId="77777777" w:rsidR="00C96521" w:rsidRPr="008C00B8" w:rsidRDefault="00C96521" w:rsidP="00C96521">
      <w:pPr>
        <w:widowControl/>
        <w:autoSpaceDE/>
        <w:autoSpaceDN/>
        <w:adjustRightInd/>
        <w:spacing w:line="276" w:lineRule="auto"/>
        <w:rPr>
          <w:rFonts w:eastAsia="MS Mincho" w:cs="Arial"/>
          <w:szCs w:val="18"/>
          <w:lang w:val="de-DE" w:eastAsia="ja-JP"/>
        </w:rPr>
      </w:pPr>
      <w:r w:rsidRPr="00965D7D">
        <w:rPr>
          <w:rFonts w:eastAsia="MS Mincho" w:cs="Arial"/>
          <w:b/>
          <w:szCs w:val="18"/>
          <w:lang w:val="de-DE" w:eastAsia="ja-JP"/>
        </w:rPr>
        <w:t>LORGÉ P and BIVER G (2010)</w:t>
      </w:r>
      <w:r w:rsidRPr="00965D7D">
        <w:rPr>
          <w:rFonts w:eastAsia="MS Mincho" w:cs="Arial"/>
          <w:szCs w:val="18"/>
          <w:lang w:val="de-DE" w:eastAsia="ja-JP"/>
        </w:rPr>
        <w:t xml:space="preserve"> Die Rote Liste der Brutvögel Luxemburgs – 2009. </w:t>
      </w:r>
      <w:r w:rsidRPr="008C00B8">
        <w:rPr>
          <w:rFonts w:eastAsia="MS Mincho" w:cs="Arial"/>
          <w:i/>
          <w:szCs w:val="18"/>
          <w:lang w:val="de-DE" w:eastAsia="ja-JP"/>
        </w:rPr>
        <w:t>Regulus Wissenschaftliche Berichte</w:t>
      </w:r>
      <w:r w:rsidRPr="008C00B8">
        <w:rPr>
          <w:rFonts w:eastAsia="MS Mincho" w:cs="Arial"/>
          <w:szCs w:val="18"/>
          <w:lang w:val="de-DE" w:eastAsia="ja-JP"/>
        </w:rPr>
        <w:t xml:space="preserve"> 25, 67-72.</w:t>
      </w:r>
    </w:p>
    <w:p w14:paraId="525FBEB6" w14:textId="77777777" w:rsidR="00C96521" w:rsidRPr="008C00B8" w:rsidRDefault="00C96521" w:rsidP="00C96521">
      <w:pPr>
        <w:widowControl/>
        <w:autoSpaceDE/>
        <w:autoSpaceDN/>
        <w:adjustRightInd/>
        <w:spacing w:line="276" w:lineRule="auto"/>
        <w:rPr>
          <w:rFonts w:eastAsia="MS Mincho" w:cs="Arial"/>
          <w:szCs w:val="18"/>
          <w:lang w:val="de-DE" w:eastAsia="ja-JP"/>
        </w:rPr>
      </w:pPr>
    </w:p>
    <w:p w14:paraId="3E241F4A" w14:textId="77777777" w:rsidR="00C96521" w:rsidRPr="00890F11" w:rsidRDefault="00C96521" w:rsidP="00C96521">
      <w:pPr>
        <w:widowControl/>
        <w:autoSpaceDE/>
        <w:autoSpaceDN/>
        <w:adjustRightInd/>
        <w:spacing w:line="276" w:lineRule="auto"/>
        <w:rPr>
          <w:rFonts w:eastAsia="MS Mincho" w:cs="Arial"/>
          <w:szCs w:val="18"/>
          <w:lang w:val="fr-FR" w:eastAsia="ja-JP"/>
        </w:rPr>
      </w:pPr>
      <w:r w:rsidRPr="00965D7D">
        <w:rPr>
          <w:rFonts w:eastAsia="MS Mincho" w:cs="Arial"/>
          <w:b/>
          <w:szCs w:val="18"/>
          <w:lang w:val="de-DE" w:eastAsia="ja-JP"/>
        </w:rPr>
        <w:t>LORGÉ P, BASTIAN M and KLEIN K (2014)</w:t>
      </w:r>
      <w:r w:rsidRPr="00965D7D">
        <w:rPr>
          <w:rFonts w:eastAsia="MS Mincho" w:cs="Arial"/>
          <w:szCs w:val="18"/>
          <w:lang w:val="de-DE" w:eastAsia="ja-JP"/>
        </w:rPr>
        <w:t xml:space="preserve"> Die Rote Liste der Brutvögel Luxemburgs 2014. </w:t>
      </w:r>
      <w:r w:rsidRPr="00890F11">
        <w:rPr>
          <w:rFonts w:eastAsia="MS Mincho" w:cs="Arial"/>
          <w:i/>
          <w:szCs w:val="18"/>
          <w:lang w:val="fr-FR" w:eastAsia="ja-JP"/>
        </w:rPr>
        <w:t>Regulus Wissenschaftliche Berichte</w:t>
      </w:r>
      <w:r w:rsidRPr="00890F11">
        <w:rPr>
          <w:rFonts w:eastAsia="MS Mincho" w:cs="Arial"/>
          <w:szCs w:val="18"/>
          <w:lang w:val="fr-FR" w:eastAsia="ja-JP"/>
        </w:rPr>
        <w:t xml:space="preserve"> 30: 58-65.</w:t>
      </w:r>
    </w:p>
    <w:p w14:paraId="0AD12530" w14:textId="77777777" w:rsidR="00C96521" w:rsidRPr="00890F11" w:rsidRDefault="00C96521" w:rsidP="00C96521">
      <w:pPr>
        <w:widowControl/>
        <w:autoSpaceDE/>
        <w:autoSpaceDN/>
        <w:adjustRightInd/>
        <w:spacing w:line="276" w:lineRule="auto"/>
        <w:rPr>
          <w:rFonts w:eastAsia="MS Mincho" w:cs="Arial"/>
          <w:b/>
          <w:szCs w:val="18"/>
          <w:lang w:val="fr-FR" w:eastAsia="ja-JP"/>
        </w:rPr>
      </w:pPr>
    </w:p>
    <w:p w14:paraId="148C6AF9" w14:textId="77777777" w:rsidR="00C96521" w:rsidRPr="00890F11" w:rsidRDefault="00C96521" w:rsidP="00C96521">
      <w:pPr>
        <w:widowControl/>
        <w:autoSpaceDE/>
        <w:autoSpaceDN/>
        <w:adjustRightInd/>
        <w:spacing w:line="276" w:lineRule="auto"/>
        <w:rPr>
          <w:rFonts w:eastAsia="MS Mincho" w:cs="Arial"/>
          <w:color w:val="FFFFFF"/>
          <w:szCs w:val="18"/>
          <w:lang w:val="fr-FR" w:eastAsia="ja-JP"/>
        </w:rPr>
      </w:pPr>
      <w:r w:rsidRPr="00890F11">
        <w:rPr>
          <w:rFonts w:eastAsia="MS Mincho" w:cs="Arial"/>
          <w:b/>
          <w:szCs w:val="18"/>
          <w:lang w:val="fr-FR" w:eastAsia="ja-JP"/>
        </w:rPr>
        <w:t>LORMÉE H (2013)</w:t>
      </w:r>
      <w:r w:rsidRPr="00890F11">
        <w:rPr>
          <w:rFonts w:eastAsia="MS Mincho" w:cs="Arial"/>
          <w:szCs w:val="18"/>
          <w:lang w:val="fr-FR" w:eastAsia="ja-JP"/>
        </w:rPr>
        <w:t xml:space="preserve"> </w:t>
      </w:r>
      <w:r w:rsidRPr="00890F11">
        <w:rPr>
          <w:rFonts w:eastAsia="MS Mincho" w:cs="Arial"/>
          <w:i/>
          <w:szCs w:val="18"/>
          <w:lang w:val="fr-FR" w:eastAsia="ja-JP"/>
        </w:rPr>
        <w:t>Programme d’études Colombidés – Bilan de la campagne 2012</w:t>
      </w:r>
      <w:r w:rsidRPr="00890F11">
        <w:rPr>
          <w:rFonts w:eastAsia="MS Mincho" w:cs="Arial"/>
          <w:szCs w:val="18"/>
          <w:lang w:val="fr-FR" w:eastAsia="ja-JP"/>
        </w:rPr>
        <w:t>. Office National de la Chasse et de la Faune Sauvage, Villiers-en-Bois.</w:t>
      </w:r>
    </w:p>
    <w:p w14:paraId="69F07F56" w14:textId="77777777" w:rsidR="00C96521" w:rsidRPr="00890F11" w:rsidRDefault="00C96521" w:rsidP="00C96521">
      <w:pPr>
        <w:widowControl/>
        <w:autoSpaceDE/>
        <w:autoSpaceDN/>
        <w:adjustRightInd/>
        <w:spacing w:line="276" w:lineRule="auto"/>
        <w:rPr>
          <w:rFonts w:eastAsia="MS Mincho" w:cs="Arial"/>
          <w:b/>
          <w:szCs w:val="18"/>
          <w:lang w:val="fr-FR" w:eastAsia="ja-JP"/>
        </w:rPr>
      </w:pPr>
    </w:p>
    <w:p w14:paraId="4A51FEE0"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LORMÉE H, BOUTIN J-M, PINAUD D, BIDAULT H and ERAUD C (2016)</w:t>
      </w:r>
      <w:r w:rsidRPr="00C96521">
        <w:rPr>
          <w:rFonts w:eastAsia="MS Mincho" w:cs="Arial"/>
          <w:szCs w:val="18"/>
          <w:lang w:val="en-GB" w:eastAsia="ja-JP"/>
        </w:rPr>
        <w:t xml:space="preserve"> Turtle-dove </w:t>
      </w:r>
      <w:r w:rsidRPr="00C96521">
        <w:rPr>
          <w:rFonts w:eastAsia="MS Mincho" w:cs="Arial"/>
          <w:i/>
          <w:szCs w:val="18"/>
          <w:lang w:val="en-GB" w:eastAsia="ja-JP"/>
        </w:rPr>
        <w:t>Streptopelia turtur</w:t>
      </w:r>
      <w:r w:rsidRPr="00C96521">
        <w:rPr>
          <w:rFonts w:eastAsia="MS Mincho" w:cs="Arial"/>
          <w:szCs w:val="18"/>
          <w:lang w:val="en-GB" w:eastAsia="ja-JP"/>
        </w:rPr>
        <w:t xml:space="preserve"> migration routes and wintering areas revealed using satellite telemetry. </w:t>
      </w:r>
      <w:r w:rsidRPr="00C96521">
        <w:rPr>
          <w:rFonts w:eastAsia="MS Mincho" w:cs="Arial"/>
          <w:i/>
          <w:szCs w:val="18"/>
          <w:lang w:val="en-GB" w:eastAsia="ja-JP"/>
        </w:rPr>
        <w:t>Bird Study</w:t>
      </w:r>
      <w:r w:rsidRPr="00C96521">
        <w:rPr>
          <w:rFonts w:eastAsia="MS Mincho" w:cs="Arial"/>
          <w:szCs w:val="18"/>
          <w:lang w:val="en-GB" w:eastAsia="ja-JP"/>
        </w:rPr>
        <w:t xml:space="preserve"> DOI: 10.1080/00063657.2016.1185086</w:t>
      </w:r>
    </w:p>
    <w:p w14:paraId="46ABC226"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4643FF6D"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LUOMUS (2016)</w:t>
      </w:r>
      <w:r w:rsidRPr="00C96521">
        <w:rPr>
          <w:rFonts w:eastAsia="MS Mincho" w:cs="Arial"/>
          <w:szCs w:val="18"/>
          <w:lang w:val="en-GB" w:eastAsia="ja-JP"/>
        </w:rPr>
        <w:t xml:space="preserve"> </w:t>
      </w:r>
      <w:r w:rsidRPr="00C96521">
        <w:rPr>
          <w:rFonts w:eastAsia="MS Mincho" w:cs="Arial"/>
          <w:i/>
          <w:szCs w:val="18"/>
          <w:lang w:val="en-GB" w:eastAsia="ja-JP"/>
        </w:rPr>
        <w:t>Russian Bird Atlas 2005-2017</w:t>
      </w:r>
      <w:r w:rsidRPr="00C96521">
        <w:rPr>
          <w:rFonts w:eastAsia="MS Mincho" w:cs="Arial"/>
          <w:szCs w:val="18"/>
          <w:lang w:val="en-GB" w:eastAsia="ja-JP"/>
        </w:rPr>
        <w:t>. http://www.luomus.fi/fi/venajan-lintuatlas-2005-2017 (last accessed 31</w:t>
      </w:r>
      <w:r w:rsidRPr="00C96521">
        <w:rPr>
          <w:rFonts w:eastAsia="MS Mincho" w:cs="Arial"/>
          <w:szCs w:val="18"/>
          <w:vertAlign w:val="superscript"/>
          <w:lang w:val="en-GB" w:eastAsia="ja-JP"/>
        </w:rPr>
        <w:t xml:space="preserve">st </w:t>
      </w:r>
      <w:r w:rsidRPr="00C96521">
        <w:rPr>
          <w:rFonts w:eastAsia="MS Mincho" w:cs="Arial"/>
          <w:szCs w:val="18"/>
          <w:lang w:val="en-GB" w:eastAsia="ja-JP"/>
        </w:rPr>
        <w:t>October 2016)</w:t>
      </w:r>
    </w:p>
    <w:p w14:paraId="39AAC759" w14:textId="77777777" w:rsidR="00C96521" w:rsidRPr="00C96521" w:rsidRDefault="00C96521" w:rsidP="00C96521">
      <w:pPr>
        <w:widowControl/>
        <w:spacing w:line="276" w:lineRule="auto"/>
        <w:rPr>
          <w:rFonts w:eastAsia="MS Mincho" w:cs="Arial"/>
          <w:b/>
          <w:szCs w:val="18"/>
          <w:lang w:val="en-GB" w:eastAsia="ja-JP"/>
        </w:rPr>
      </w:pPr>
    </w:p>
    <w:p w14:paraId="67AE777F" w14:textId="1A02FF49"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LUTZ M (2007)</w:t>
      </w:r>
      <w:r w:rsidRPr="00C96521">
        <w:rPr>
          <w:rFonts w:eastAsia="MS Mincho" w:cs="Arial"/>
          <w:szCs w:val="18"/>
          <w:lang w:val="en-GB" w:eastAsia="ja-JP"/>
        </w:rPr>
        <w:t xml:space="preserve"> </w:t>
      </w:r>
      <w:r w:rsidRPr="00C96521">
        <w:rPr>
          <w:rFonts w:eastAsia="MS Mincho" w:cs="Arial"/>
          <w:i/>
          <w:szCs w:val="18"/>
          <w:lang w:val="en-GB" w:eastAsia="ja-JP"/>
        </w:rPr>
        <w:t xml:space="preserve">Management Plan for </w:t>
      </w:r>
      <w:r w:rsidR="003A3278">
        <w:rPr>
          <w:rFonts w:eastAsia="MS Mincho" w:cs="Arial"/>
          <w:i/>
          <w:szCs w:val="18"/>
          <w:lang w:val="en-GB" w:eastAsia="ja-JP"/>
        </w:rPr>
        <w:t>T</w:t>
      </w:r>
      <w:r w:rsidRPr="00C96521">
        <w:rPr>
          <w:rFonts w:eastAsia="MS Mincho" w:cs="Arial"/>
          <w:i/>
          <w:szCs w:val="18"/>
          <w:lang w:val="en-GB" w:eastAsia="ja-JP"/>
        </w:rPr>
        <w:t>urtle</w:t>
      </w:r>
      <w:r w:rsidR="003A3278">
        <w:rPr>
          <w:rFonts w:eastAsia="MS Mincho" w:cs="Arial"/>
          <w:i/>
          <w:szCs w:val="18"/>
          <w:lang w:val="en-GB" w:eastAsia="ja-JP"/>
        </w:rPr>
        <w:t xml:space="preserve"> D</w:t>
      </w:r>
      <w:r w:rsidRPr="00C96521">
        <w:rPr>
          <w:rFonts w:eastAsia="MS Mincho" w:cs="Arial"/>
          <w:i/>
          <w:szCs w:val="18"/>
          <w:lang w:val="en-GB" w:eastAsia="ja-JP"/>
        </w:rPr>
        <w:t>ove (</w:t>
      </w:r>
      <w:r w:rsidRPr="00C96521">
        <w:rPr>
          <w:rFonts w:eastAsia="MS Mincho" w:cs="Arial"/>
          <w:szCs w:val="18"/>
          <w:lang w:val="en-GB" w:eastAsia="ja-JP"/>
        </w:rPr>
        <w:t>Streptopelia turtur</w:t>
      </w:r>
      <w:r w:rsidRPr="00C96521">
        <w:rPr>
          <w:rFonts w:eastAsia="MS Mincho" w:cs="Arial"/>
          <w:i/>
          <w:szCs w:val="18"/>
          <w:lang w:val="en-GB" w:eastAsia="ja-JP"/>
        </w:rPr>
        <w:t>) 2007-2009</w:t>
      </w:r>
      <w:r w:rsidRPr="00C96521">
        <w:rPr>
          <w:rFonts w:eastAsia="MS Mincho" w:cs="Arial"/>
          <w:szCs w:val="18"/>
          <w:lang w:val="en-GB" w:eastAsia="ja-JP"/>
        </w:rPr>
        <w:t>. European Commission, Technical Report 007-2007.</w:t>
      </w:r>
    </w:p>
    <w:p w14:paraId="2B2B3EFF"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351C79C7" w14:textId="77777777" w:rsidR="00C96521" w:rsidRPr="00890F11" w:rsidRDefault="00C96521" w:rsidP="00C96521">
      <w:pPr>
        <w:widowControl/>
        <w:spacing w:line="276" w:lineRule="auto"/>
        <w:rPr>
          <w:rFonts w:eastAsia="MS Mincho" w:cs="Arial"/>
          <w:szCs w:val="18"/>
          <w:lang w:val="es-ES" w:eastAsia="ja-JP"/>
        </w:rPr>
      </w:pPr>
      <w:r w:rsidRPr="00C96521">
        <w:rPr>
          <w:rFonts w:eastAsia="MS Mincho" w:cs="Arial"/>
          <w:b/>
          <w:szCs w:val="18"/>
          <w:lang w:val="en-GB" w:eastAsia="ja-JP"/>
        </w:rPr>
        <w:t>MACCHIO S, MESSINEO A, LICHERI D and SPINA F (1999)</w:t>
      </w:r>
      <w:r w:rsidRPr="00C96521">
        <w:rPr>
          <w:rFonts w:eastAsia="MS Mincho" w:cs="Arial"/>
          <w:szCs w:val="18"/>
          <w:lang w:val="en-GB" w:eastAsia="ja-JP"/>
        </w:rPr>
        <w:t xml:space="preserve"> Atlante della distribuzione geografica e stagionale degli uccelli inanellati in Italia negli anni 1980-1994. </w:t>
      </w:r>
      <w:r w:rsidRPr="00890F11">
        <w:rPr>
          <w:rFonts w:eastAsia="MS Mincho" w:cs="Arial"/>
          <w:i/>
          <w:szCs w:val="18"/>
          <w:lang w:val="es-ES" w:eastAsia="ja-JP"/>
        </w:rPr>
        <w:t>Biologia e Conservazione della Fauna</w:t>
      </w:r>
      <w:r w:rsidRPr="00890F11">
        <w:rPr>
          <w:rFonts w:eastAsia="MS Mincho" w:cs="Arial"/>
          <w:szCs w:val="18"/>
          <w:lang w:val="es-ES" w:eastAsia="ja-JP"/>
        </w:rPr>
        <w:t xml:space="preserve"> 103: 1-276.</w:t>
      </w:r>
    </w:p>
    <w:p w14:paraId="2078A987" w14:textId="77777777" w:rsidR="00C96521" w:rsidRPr="00890F11" w:rsidRDefault="00C96521" w:rsidP="00C96521">
      <w:pPr>
        <w:widowControl/>
        <w:autoSpaceDE/>
        <w:autoSpaceDN/>
        <w:adjustRightInd/>
        <w:spacing w:line="276" w:lineRule="auto"/>
        <w:rPr>
          <w:rFonts w:eastAsia="MS Mincho" w:cs="Arial"/>
          <w:b/>
          <w:szCs w:val="18"/>
          <w:lang w:val="es-ES" w:eastAsia="ja-JP"/>
        </w:rPr>
      </w:pPr>
    </w:p>
    <w:p w14:paraId="500C588A" w14:textId="77777777" w:rsidR="00C96521" w:rsidRPr="00890F11" w:rsidRDefault="00C96521" w:rsidP="00C96521">
      <w:pPr>
        <w:widowControl/>
        <w:autoSpaceDE/>
        <w:autoSpaceDN/>
        <w:adjustRightInd/>
        <w:spacing w:line="276" w:lineRule="auto"/>
        <w:rPr>
          <w:rFonts w:eastAsia="MS Mincho" w:cs="Arial"/>
          <w:b/>
          <w:szCs w:val="18"/>
          <w:lang w:val="es-ES" w:eastAsia="ja-JP"/>
        </w:rPr>
      </w:pPr>
      <w:r w:rsidRPr="00890F11">
        <w:rPr>
          <w:rFonts w:eastAsia="MS Mincho" w:cs="Arial"/>
          <w:b/>
          <w:szCs w:val="18"/>
          <w:lang w:val="es-ES" w:eastAsia="ja-JP"/>
        </w:rPr>
        <w:t>MADROÑO A, GONZALEZ C and ATIENZA JC (2004)</w:t>
      </w:r>
      <w:r w:rsidRPr="00890F11">
        <w:rPr>
          <w:rFonts w:eastAsia="MS Mincho" w:cs="Arial"/>
          <w:szCs w:val="18"/>
          <w:lang w:val="es-ES" w:eastAsia="ja-JP"/>
        </w:rPr>
        <w:t xml:space="preserve"> </w:t>
      </w:r>
      <w:r w:rsidRPr="00890F11">
        <w:rPr>
          <w:rFonts w:eastAsia="MS Mincho" w:cs="Arial"/>
          <w:i/>
          <w:szCs w:val="18"/>
          <w:lang w:val="es-ES" w:eastAsia="ja-JP"/>
        </w:rPr>
        <w:t>Libro Rojo de las Aves de España. Dirección General para la Biodiversidad</w:t>
      </w:r>
      <w:r w:rsidRPr="00890F11">
        <w:rPr>
          <w:rFonts w:eastAsia="MS Mincho" w:cs="Arial"/>
          <w:szCs w:val="18"/>
          <w:lang w:val="es-ES" w:eastAsia="ja-JP"/>
        </w:rPr>
        <w:t>. SEO/BirdLife, Madrid.</w:t>
      </w:r>
    </w:p>
    <w:p w14:paraId="04AD7E54" w14:textId="77777777" w:rsidR="00C96521" w:rsidRPr="00890F11" w:rsidRDefault="00C96521" w:rsidP="00C96521">
      <w:pPr>
        <w:widowControl/>
        <w:autoSpaceDE/>
        <w:autoSpaceDN/>
        <w:adjustRightInd/>
        <w:spacing w:line="276" w:lineRule="auto"/>
        <w:rPr>
          <w:rFonts w:eastAsia="MS Mincho" w:cs="Arial"/>
          <w:b/>
          <w:bCs/>
          <w:szCs w:val="18"/>
          <w:lang w:val="es-ES" w:eastAsia="ja-JP"/>
        </w:rPr>
      </w:pPr>
    </w:p>
    <w:p w14:paraId="0ED407FA" w14:textId="77777777" w:rsidR="00C96521" w:rsidRPr="00890F11" w:rsidRDefault="00C96521" w:rsidP="00C96521">
      <w:pPr>
        <w:widowControl/>
        <w:autoSpaceDE/>
        <w:autoSpaceDN/>
        <w:adjustRightInd/>
        <w:spacing w:line="276" w:lineRule="auto"/>
        <w:rPr>
          <w:rFonts w:eastAsia="MS Mincho" w:cs="Arial"/>
          <w:bCs/>
          <w:szCs w:val="18"/>
          <w:lang w:val="es-ES" w:eastAsia="ja-JP"/>
        </w:rPr>
      </w:pPr>
      <w:r w:rsidRPr="00890F11">
        <w:rPr>
          <w:rFonts w:eastAsia="MS Mincho" w:cs="Arial"/>
          <w:b/>
          <w:bCs/>
          <w:szCs w:val="18"/>
          <w:lang w:val="es-ES" w:eastAsia="ja-JP"/>
        </w:rPr>
        <w:t xml:space="preserve">MAPAMA (2016) </w:t>
      </w:r>
      <w:r w:rsidRPr="00890F11">
        <w:rPr>
          <w:rFonts w:eastAsia="MS Mincho" w:cs="Arial"/>
          <w:bCs/>
          <w:i/>
          <w:szCs w:val="18"/>
          <w:lang w:val="es-ES" w:eastAsia="ja-JP"/>
        </w:rPr>
        <w:t xml:space="preserve">Estadística Anual de Caza. </w:t>
      </w:r>
      <w:r w:rsidRPr="00890F11">
        <w:rPr>
          <w:rFonts w:eastAsia="MS Mincho" w:cs="Arial"/>
          <w:bCs/>
          <w:szCs w:val="18"/>
          <w:lang w:val="es-ES" w:eastAsia="ja-JP"/>
        </w:rPr>
        <w:t>Ministerio de Agricultura y Pesca, Alimentación y Medio Ambiente, Madrid.</w:t>
      </w:r>
    </w:p>
    <w:p w14:paraId="7742C2C8" w14:textId="77777777" w:rsidR="00C96521" w:rsidRPr="00890F11" w:rsidRDefault="00C96521" w:rsidP="00C96521">
      <w:pPr>
        <w:widowControl/>
        <w:autoSpaceDE/>
        <w:autoSpaceDN/>
        <w:adjustRightInd/>
        <w:spacing w:line="276" w:lineRule="auto"/>
        <w:rPr>
          <w:rFonts w:eastAsia="MS Mincho" w:cs="Arial"/>
          <w:bCs/>
          <w:szCs w:val="18"/>
          <w:lang w:val="es-ES" w:eastAsia="ja-JP"/>
        </w:rPr>
      </w:pPr>
    </w:p>
    <w:p w14:paraId="57375F00" w14:textId="77777777" w:rsidR="00C96521" w:rsidRPr="00C96521" w:rsidRDefault="00C96521" w:rsidP="00C96521">
      <w:pPr>
        <w:widowControl/>
        <w:autoSpaceDE/>
        <w:autoSpaceDN/>
        <w:adjustRightInd/>
        <w:spacing w:line="276" w:lineRule="auto"/>
        <w:rPr>
          <w:rFonts w:eastAsia="MS Mincho" w:cs="Arial"/>
          <w:bCs/>
          <w:szCs w:val="18"/>
          <w:lang w:val="en-GB" w:eastAsia="ja-JP"/>
        </w:rPr>
      </w:pPr>
      <w:r w:rsidRPr="00C96521">
        <w:rPr>
          <w:rFonts w:eastAsia="MS Mincho" w:cs="Arial"/>
          <w:b/>
          <w:bCs/>
          <w:szCs w:val="18"/>
          <w:lang w:val="en-GB" w:eastAsia="ja-JP"/>
        </w:rPr>
        <w:t>MARCHANT JH, HUDSON R, CARTER SP and WITTINGTON P (1990)</w:t>
      </w:r>
      <w:r w:rsidRPr="00C96521">
        <w:rPr>
          <w:rFonts w:eastAsia="MS Mincho" w:cs="Arial"/>
          <w:bCs/>
          <w:szCs w:val="18"/>
          <w:lang w:val="en-GB" w:eastAsia="ja-JP"/>
        </w:rPr>
        <w:t xml:space="preserve"> </w:t>
      </w:r>
      <w:r w:rsidRPr="00C96521">
        <w:rPr>
          <w:rFonts w:eastAsia="MS Mincho" w:cs="Arial"/>
          <w:bCs/>
          <w:i/>
          <w:szCs w:val="18"/>
          <w:lang w:val="en-GB" w:eastAsia="ja-JP"/>
        </w:rPr>
        <w:t>Population trends in British breeding birds</w:t>
      </w:r>
      <w:r w:rsidRPr="00C96521">
        <w:rPr>
          <w:rFonts w:eastAsia="MS Mincho" w:cs="Arial"/>
          <w:bCs/>
          <w:szCs w:val="18"/>
          <w:lang w:val="en-GB" w:eastAsia="ja-JP"/>
        </w:rPr>
        <w:t>. British Trust for Ornithology, Thetford.</w:t>
      </w:r>
    </w:p>
    <w:p w14:paraId="02447605" w14:textId="77777777" w:rsidR="00C96521" w:rsidRPr="00C96521" w:rsidRDefault="00C96521" w:rsidP="00C96521">
      <w:pPr>
        <w:widowControl/>
        <w:autoSpaceDE/>
        <w:autoSpaceDN/>
        <w:adjustRightInd/>
        <w:spacing w:line="276" w:lineRule="auto"/>
        <w:rPr>
          <w:rFonts w:eastAsia="MS Mincho" w:cs="Arial"/>
          <w:bCs/>
          <w:szCs w:val="18"/>
          <w:lang w:val="en-GB" w:eastAsia="ja-JP"/>
        </w:rPr>
      </w:pPr>
    </w:p>
    <w:p w14:paraId="17704A54"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 xml:space="preserve">MARX M, KORNER-NIEVERGELT F and QUILLFELDT P (2016) </w:t>
      </w:r>
      <w:r w:rsidRPr="00C96521">
        <w:rPr>
          <w:rFonts w:eastAsia="MS Mincho" w:cs="Arial"/>
          <w:szCs w:val="18"/>
          <w:lang w:val="en-GB" w:eastAsia="ja-JP"/>
        </w:rPr>
        <w:t xml:space="preserve">Analysis of ring recoveries of European Turtle-doves </w:t>
      </w:r>
      <w:r w:rsidRPr="00965D7D">
        <w:rPr>
          <w:rFonts w:eastAsia="MS Mincho" w:cs="Arial"/>
          <w:i/>
          <w:szCs w:val="18"/>
          <w:lang w:val="en-GB" w:eastAsia="ja-JP"/>
        </w:rPr>
        <w:t>Streptopelia turtur</w:t>
      </w:r>
      <w:r w:rsidRPr="00C96521">
        <w:rPr>
          <w:rFonts w:eastAsia="MS Mincho" w:cs="Arial"/>
          <w:szCs w:val="18"/>
          <w:lang w:val="en-GB" w:eastAsia="ja-JP"/>
        </w:rPr>
        <w:t xml:space="preserve"> - flyways, migration timing and origin areas of hunted birds. </w:t>
      </w:r>
      <w:r w:rsidRPr="00C96521">
        <w:rPr>
          <w:rFonts w:eastAsia="MS Mincho" w:cs="Arial"/>
          <w:i/>
          <w:szCs w:val="18"/>
          <w:lang w:val="en-GB" w:eastAsia="ja-JP"/>
        </w:rPr>
        <w:t>Acta Ornithologica</w:t>
      </w:r>
      <w:r w:rsidRPr="00C96521">
        <w:rPr>
          <w:rFonts w:eastAsia="MS Mincho" w:cs="Arial"/>
          <w:szCs w:val="18"/>
          <w:lang w:val="en-GB" w:eastAsia="ja-JP"/>
        </w:rPr>
        <w:t xml:space="preserve"> 51(1): 55-70.</w:t>
      </w:r>
    </w:p>
    <w:p w14:paraId="49E027F3"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37695EEF" w14:textId="77777777" w:rsidR="00C96521" w:rsidRPr="00C96521" w:rsidRDefault="00C96521" w:rsidP="00C96521">
      <w:pPr>
        <w:widowControl/>
        <w:autoSpaceDE/>
        <w:autoSpaceDN/>
        <w:adjustRightInd/>
        <w:spacing w:line="276" w:lineRule="auto"/>
        <w:rPr>
          <w:rFonts w:eastAsia="MS Mincho" w:cs="Arial"/>
          <w:b/>
          <w:szCs w:val="18"/>
          <w:lang w:val="en-GB" w:eastAsia="ja-JP"/>
        </w:rPr>
      </w:pPr>
      <w:r w:rsidRPr="00C96521">
        <w:rPr>
          <w:rFonts w:eastAsia="MS Mincho" w:cs="Arial"/>
          <w:b/>
          <w:szCs w:val="18"/>
          <w:lang w:val="en-GB" w:eastAsia="ja-JP"/>
        </w:rPr>
        <w:t>MASON CF and MACDONALD SM (2000)</w:t>
      </w:r>
      <w:r w:rsidRPr="00C96521">
        <w:rPr>
          <w:rFonts w:eastAsia="MS Mincho" w:cs="Arial"/>
          <w:szCs w:val="18"/>
          <w:lang w:val="en-GB" w:eastAsia="ja-JP"/>
        </w:rPr>
        <w:t xml:space="preserve"> Influence of landscape and land-use on the distribution of breeding birds in farmland in eastern England. </w:t>
      </w:r>
      <w:r w:rsidRPr="00C96521">
        <w:rPr>
          <w:rFonts w:eastAsia="MS Mincho" w:cs="Arial"/>
          <w:i/>
          <w:szCs w:val="18"/>
          <w:lang w:val="en-GB" w:eastAsia="ja-JP"/>
        </w:rPr>
        <w:t>Journal of Zoology</w:t>
      </w:r>
      <w:r w:rsidRPr="00C96521">
        <w:rPr>
          <w:rFonts w:eastAsia="MS Mincho" w:cs="Arial"/>
          <w:szCs w:val="18"/>
          <w:lang w:val="en-GB" w:eastAsia="ja-JP"/>
        </w:rPr>
        <w:t xml:space="preserve"> 251: 339-348.</w:t>
      </w:r>
    </w:p>
    <w:p w14:paraId="606BBF81"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209E990C"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C96521">
        <w:rPr>
          <w:rFonts w:eastAsia="MS Mincho" w:cs="Arial"/>
          <w:b/>
          <w:szCs w:val="18"/>
          <w:lang w:val="en-GB" w:eastAsia="ja-JP"/>
        </w:rPr>
        <w:t>MEIRINHO A, LEAL A, MARQUES AT, FAGUNDES AI, SAMPAIO H, COSTA J and LEITAO D (2013)</w:t>
      </w:r>
      <w:r w:rsidRPr="00C96521">
        <w:rPr>
          <w:rFonts w:eastAsia="MS Mincho" w:cs="Arial"/>
          <w:szCs w:val="18"/>
          <w:lang w:val="en-GB" w:eastAsia="ja-JP"/>
        </w:rPr>
        <w:t xml:space="preserve"> </w:t>
      </w:r>
      <w:r w:rsidRPr="00C96521">
        <w:rPr>
          <w:rFonts w:eastAsia="MS Mincho" w:cs="Arial"/>
          <w:i/>
          <w:szCs w:val="18"/>
          <w:lang w:val="en-GB" w:eastAsia="ja-JP"/>
        </w:rPr>
        <w:t>O estado das aves comuns em Portugal 2011: relatório do projeto Censo de Aves Comuns</w:t>
      </w:r>
      <w:r w:rsidRPr="00C96521">
        <w:rPr>
          <w:rFonts w:eastAsia="MS Mincho" w:cs="Arial"/>
          <w:szCs w:val="18"/>
          <w:lang w:val="en-GB" w:eastAsia="ja-JP"/>
        </w:rPr>
        <w:t xml:space="preserve">. </w:t>
      </w:r>
      <w:r w:rsidRPr="00890F11">
        <w:rPr>
          <w:rFonts w:eastAsia="MS Mincho" w:cs="Arial"/>
          <w:szCs w:val="18"/>
          <w:lang w:val="es-ES" w:eastAsia="ja-JP"/>
        </w:rPr>
        <w:t>Sociedade Portuguesa para o Estudo das Aves, Lisboa.</w:t>
      </w:r>
    </w:p>
    <w:p w14:paraId="7F622B63" w14:textId="77777777" w:rsidR="00C96521" w:rsidRPr="00890F11" w:rsidRDefault="00C96521" w:rsidP="00C96521">
      <w:pPr>
        <w:widowControl/>
        <w:autoSpaceDE/>
        <w:autoSpaceDN/>
        <w:adjustRightInd/>
        <w:spacing w:line="276" w:lineRule="auto"/>
        <w:rPr>
          <w:rFonts w:eastAsia="MS Mincho" w:cs="Arial"/>
          <w:b/>
          <w:szCs w:val="18"/>
          <w:lang w:val="es-ES" w:eastAsia="ja-JP"/>
        </w:rPr>
      </w:pPr>
    </w:p>
    <w:p w14:paraId="7427607C"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890F11">
        <w:rPr>
          <w:rFonts w:eastAsia="MS Mincho" w:cs="Arial"/>
          <w:b/>
          <w:szCs w:val="18"/>
          <w:lang w:val="es-ES" w:eastAsia="ja-JP"/>
        </w:rPr>
        <w:t>MESCHINI E and FRUGIS S (1993)</w:t>
      </w:r>
      <w:r w:rsidRPr="00890F11">
        <w:rPr>
          <w:rFonts w:eastAsia="MS Mincho" w:cs="Arial"/>
          <w:szCs w:val="18"/>
          <w:lang w:val="es-ES" w:eastAsia="ja-JP"/>
        </w:rPr>
        <w:t xml:space="preserve"> Atlante degli uccelli nidificanti in Italia. </w:t>
      </w:r>
      <w:r w:rsidRPr="00C96521">
        <w:rPr>
          <w:rFonts w:eastAsia="MS Mincho" w:cs="Arial"/>
          <w:i/>
          <w:szCs w:val="18"/>
          <w:lang w:val="en-GB" w:eastAsia="ja-JP"/>
        </w:rPr>
        <w:t>Supplemento alle Ricerche di Biologia della Selvaggina</w:t>
      </w:r>
      <w:r w:rsidRPr="00C96521">
        <w:rPr>
          <w:rFonts w:eastAsia="MS Mincho" w:cs="Arial"/>
          <w:szCs w:val="18"/>
          <w:lang w:val="en-GB" w:eastAsia="ja-JP"/>
        </w:rPr>
        <w:t xml:space="preserve"> XX: 1-344.</w:t>
      </w:r>
    </w:p>
    <w:p w14:paraId="25AD6810"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087E00C3"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MIHELIČ T (2013)</w:t>
      </w:r>
      <w:r w:rsidRPr="00C96521">
        <w:rPr>
          <w:rFonts w:eastAsia="MS Mincho" w:cs="Arial"/>
          <w:szCs w:val="18"/>
          <w:lang w:val="en-GB" w:eastAsia="ja-JP"/>
        </w:rPr>
        <w:t xml:space="preserve"> </w:t>
      </w:r>
      <w:r w:rsidRPr="00C96521">
        <w:rPr>
          <w:rFonts w:eastAsia="MS Mincho" w:cs="Arial"/>
          <w:i/>
          <w:szCs w:val="18"/>
          <w:lang w:val="en-GB" w:eastAsia="ja-JP"/>
        </w:rPr>
        <w:t>Web base NOAGS</w:t>
      </w:r>
      <w:r w:rsidRPr="00C96521">
        <w:rPr>
          <w:rFonts w:eastAsia="MS Mincho" w:cs="Arial"/>
          <w:szCs w:val="18"/>
          <w:lang w:val="en-GB" w:eastAsia="ja-JP"/>
        </w:rPr>
        <w:t>. http://www.ptice.si/atlas (last accessed 10</w:t>
      </w:r>
      <w:r w:rsidRPr="00C96521">
        <w:rPr>
          <w:rFonts w:eastAsia="MS Mincho" w:cs="Arial"/>
          <w:szCs w:val="18"/>
          <w:vertAlign w:val="superscript"/>
          <w:lang w:val="en-GB" w:eastAsia="ja-JP"/>
        </w:rPr>
        <w:t>th</w:t>
      </w:r>
      <w:r w:rsidRPr="00C96521">
        <w:rPr>
          <w:rFonts w:eastAsia="MS Mincho" w:cs="Arial"/>
          <w:szCs w:val="18"/>
          <w:lang w:val="en-GB" w:eastAsia="ja-JP"/>
        </w:rPr>
        <w:t xml:space="preserve"> November 2016)</w:t>
      </w:r>
    </w:p>
    <w:p w14:paraId="64EFEF3C"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63B9CC0D"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MINDENNAPI MADARAINK MONITORINGJA (2016)</w:t>
      </w:r>
      <w:r w:rsidRPr="00C96521">
        <w:rPr>
          <w:rFonts w:eastAsia="MS Mincho" w:cs="Arial"/>
          <w:szCs w:val="18"/>
          <w:lang w:val="en-GB" w:eastAsia="ja-JP"/>
        </w:rPr>
        <w:t xml:space="preserve"> MMM database. http://mmm.mme.hu/charts/trends (last accessed 10</w:t>
      </w:r>
      <w:r w:rsidRPr="00C96521">
        <w:rPr>
          <w:rFonts w:eastAsia="MS Mincho" w:cs="Arial"/>
          <w:szCs w:val="18"/>
          <w:vertAlign w:val="superscript"/>
          <w:lang w:val="en-GB" w:eastAsia="ja-JP"/>
        </w:rPr>
        <w:t>th</w:t>
      </w:r>
      <w:r w:rsidRPr="00C96521">
        <w:rPr>
          <w:rFonts w:eastAsia="MS Mincho" w:cs="Arial"/>
          <w:szCs w:val="18"/>
          <w:lang w:val="en-GB" w:eastAsia="ja-JP"/>
        </w:rPr>
        <w:t xml:space="preserve"> November 2016)</w:t>
      </w:r>
    </w:p>
    <w:p w14:paraId="69D60735"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52DF5917"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 xml:space="preserve">MINEAU P and PALMER C (2013) </w:t>
      </w:r>
      <w:r w:rsidRPr="00C96521">
        <w:rPr>
          <w:rFonts w:eastAsia="MS Mincho" w:cs="Arial"/>
          <w:i/>
          <w:szCs w:val="18"/>
          <w:lang w:val="en-GB" w:eastAsia="ja-JP"/>
        </w:rPr>
        <w:t xml:space="preserve">The Impact of the Nation’s Most Widely Used Insecticides on Birds. </w:t>
      </w:r>
      <w:r w:rsidRPr="00C96521">
        <w:rPr>
          <w:rFonts w:eastAsia="MS Mincho" w:cs="Arial"/>
          <w:szCs w:val="18"/>
          <w:lang w:val="en-GB" w:eastAsia="ja-JP"/>
        </w:rPr>
        <w:t>American Bird Conservancy, The Plains. pp 1-97.</w:t>
      </w:r>
    </w:p>
    <w:p w14:paraId="5D69A337"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38A76958"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 xml:space="preserve">MISCHENKO AL (2004) </w:t>
      </w:r>
      <w:r w:rsidRPr="00C96521">
        <w:rPr>
          <w:rFonts w:eastAsia="MS Mincho" w:cs="Arial"/>
          <w:i/>
          <w:szCs w:val="18"/>
          <w:lang w:val="en-GB" w:eastAsia="ja-JP"/>
        </w:rPr>
        <w:t xml:space="preserve">Estimation of numbers and trends for birds of the European part of Russia (Birds in Europe-II). </w:t>
      </w:r>
      <w:r w:rsidRPr="00C96521">
        <w:rPr>
          <w:rFonts w:eastAsia="MS Mincho" w:cs="Arial"/>
          <w:szCs w:val="18"/>
          <w:lang w:val="en-GB" w:eastAsia="ja-JP"/>
        </w:rPr>
        <w:t>RBCU, Moscow. [in Russian]</w:t>
      </w:r>
    </w:p>
    <w:p w14:paraId="0981322F"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3C6EE70D"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 xml:space="preserve">MISCHENKO AL (2015) </w:t>
      </w:r>
      <w:r w:rsidRPr="00C96521">
        <w:rPr>
          <w:rFonts w:eastAsia="MS Mincho" w:cs="Arial"/>
          <w:szCs w:val="18"/>
          <w:lang w:val="en-GB" w:eastAsia="ja-JP"/>
        </w:rPr>
        <w:t xml:space="preserve">Turtle-dove. In: VETKIN YU V, GELTMAN DV, LITVINOVA EM, KONECHNAYA GY and MISCHENKO AL (eds) </w:t>
      </w:r>
      <w:r w:rsidRPr="00C96521">
        <w:rPr>
          <w:rFonts w:eastAsia="MS Mincho" w:cs="Arial"/>
          <w:i/>
          <w:szCs w:val="18"/>
          <w:lang w:val="en-GB" w:eastAsia="ja-JP"/>
        </w:rPr>
        <w:t>Red Data Book of Novgorod Region</w:t>
      </w:r>
      <w:r w:rsidRPr="00C96521">
        <w:rPr>
          <w:rFonts w:eastAsia="MS Mincho" w:cs="Arial"/>
          <w:szCs w:val="18"/>
          <w:lang w:val="en-GB" w:eastAsia="ja-JP"/>
        </w:rPr>
        <w:t>. Diton, St Petersburg. p 128. [in Russian]</w:t>
      </w:r>
    </w:p>
    <w:p w14:paraId="05A2BD7C"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4F4BF6C4"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MISCHENKO AL (ed) (in press)</w:t>
      </w:r>
      <w:r w:rsidRPr="00C96521">
        <w:rPr>
          <w:rFonts w:eastAsia="MS Mincho" w:cs="Arial"/>
          <w:szCs w:val="18"/>
          <w:lang w:val="en-GB" w:eastAsia="ja-JP"/>
        </w:rPr>
        <w:t xml:space="preserve"> </w:t>
      </w:r>
      <w:r w:rsidRPr="00C96521">
        <w:rPr>
          <w:rFonts w:eastAsia="MS Mincho" w:cs="Arial"/>
          <w:i/>
          <w:szCs w:val="18"/>
          <w:lang w:val="en-GB" w:eastAsia="ja-JP"/>
        </w:rPr>
        <w:t>Estimation of numbers and trends for birds of the European part of Russia (European Red List of Birds)</w:t>
      </w:r>
      <w:r w:rsidRPr="00C96521">
        <w:rPr>
          <w:rFonts w:eastAsia="MS Mincho" w:cs="Arial"/>
          <w:szCs w:val="18"/>
          <w:lang w:val="en-GB" w:eastAsia="ja-JP"/>
        </w:rPr>
        <w:t xml:space="preserve">. Birds Russia, Moscow. </w:t>
      </w:r>
    </w:p>
    <w:p w14:paraId="3046AA4D"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2200116F"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MITO2000 (2016)</w:t>
      </w:r>
      <w:r w:rsidRPr="00C96521">
        <w:rPr>
          <w:rFonts w:eastAsia="MS Mincho" w:cs="Arial"/>
          <w:szCs w:val="18"/>
          <w:lang w:val="en-GB" w:eastAsia="ja-JP"/>
        </w:rPr>
        <w:t xml:space="preserve"> </w:t>
      </w:r>
      <w:r w:rsidRPr="00C96521">
        <w:rPr>
          <w:rFonts w:eastAsia="MS Mincho" w:cs="Arial"/>
          <w:i/>
          <w:szCs w:val="18"/>
          <w:lang w:val="en-GB" w:eastAsia="ja-JP"/>
        </w:rPr>
        <w:t>Specie agricole. Monitoraggio Italiano Ornitologico</w:t>
      </w:r>
      <w:r w:rsidRPr="00C96521">
        <w:rPr>
          <w:rFonts w:eastAsia="MS Mincho" w:cs="Arial"/>
          <w:szCs w:val="18"/>
          <w:lang w:val="en-GB" w:eastAsia="ja-JP"/>
        </w:rPr>
        <w:t>. https://mito2000.it/andamenti/specie-target/specie-degli-agroecosistemi/ (last accessed 10</w:t>
      </w:r>
      <w:r w:rsidRPr="00C96521">
        <w:rPr>
          <w:rFonts w:eastAsia="MS Mincho" w:cs="Arial"/>
          <w:szCs w:val="18"/>
          <w:vertAlign w:val="superscript"/>
          <w:lang w:val="en-GB" w:eastAsia="ja-JP"/>
        </w:rPr>
        <w:t>th</w:t>
      </w:r>
      <w:r w:rsidRPr="00C96521">
        <w:rPr>
          <w:rFonts w:eastAsia="MS Mincho" w:cs="Arial"/>
          <w:szCs w:val="18"/>
          <w:lang w:val="en-GB" w:eastAsia="ja-JP"/>
        </w:rPr>
        <w:t xml:space="preserve"> November 2016)</w:t>
      </w:r>
    </w:p>
    <w:p w14:paraId="77A99168"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3F3C4AED"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MONITORING PTAKOW POLSKI (2015)</w:t>
      </w:r>
      <w:r w:rsidRPr="00C96521">
        <w:rPr>
          <w:rFonts w:eastAsia="MS Mincho" w:cs="Arial"/>
          <w:szCs w:val="18"/>
          <w:lang w:val="en-GB" w:eastAsia="ja-JP"/>
        </w:rPr>
        <w:t xml:space="preserve"> </w:t>
      </w:r>
      <w:r w:rsidRPr="00C96521">
        <w:rPr>
          <w:rFonts w:eastAsia="MS Mincho" w:cs="Arial"/>
          <w:i/>
          <w:szCs w:val="18"/>
          <w:lang w:val="en-GB" w:eastAsia="ja-JP"/>
        </w:rPr>
        <w:t>Streptopelia turtur</w:t>
      </w:r>
      <w:r w:rsidRPr="00C96521">
        <w:rPr>
          <w:rFonts w:eastAsia="MS Mincho" w:cs="Arial"/>
          <w:szCs w:val="18"/>
          <w:lang w:val="en-GB" w:eastAsia="ja-JP"/>
        </w:rPr>
        <w:t xml:space="preserve"> http://monitoringptakow.gios.gov.pl/database (last accessed 10</w:t>
      </w:r>
      <w:r w:rsidRPr="00C96521">
        <w:rPr>
          <w:rFonts w:eastAsia="MS Mincho" w:cs="Arial"/>
          <w:szCs w:val="18"/>
          <w:vertAlign w:val="superscript"/>
          <w:lang w:val="en-GB" w:eastAsia="ja-JP"/>
        </w:rPr>
        <w:t>th</w:t>
      </w:r>
      <w:r w:rsidRPr="00C96521">
        <w:rPr>
          <w:rFonts w:eastAsia="MS Mincho" w:cs="Arial"/>
          <w:szCs w:val="18"/>
          <w:lang w:val="en-GB" w:eastAsia="ja-JP"/>
        </w:rPr>
        <w:t xml:space="preserve"> November 2016)</w:t>
      </w:r>
    </w:p>
    <w:p w14:paraId="07134197"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08C7E905" w14:textId="77777777" w:rsidR="00C96521" w:rsidRPr="00B44B0D" w:rsidRDefault="00C96521" w:rsidP="00C96521">
      <w:pPr>
        <w:widowControl/>
        <w:autoSpaceDE/>
        <w:autoSpaceDN/>
        <w:adjustRightInd/>
        <w:spacing w:line="276" w:lineRule="auto"/>
        <w:rPr>
          <w:rFonts w:eastAsia="MS Mincho" w:cs="Arial"/>
          <w:szCs w:val="18"/>
          <w:lang w:val="es-ES" w:eastAsia="ja-JP"/>
        </w:rPr>
      </w:pPr>
      <w:r w:rsidRPr="00C96521">
        <w:rPr>
          <w:rFonts w:eastAsia="MS Mincho" w:cs="Arial"/>
          <w:b/>
          <w:szCs w:val="18"/>
          <w:lang w:val="en-GB" w:eastAsia="ja-JP"/>
        </w:rPr>
        <w:t>MONTENEGRO EPA (2009)</w:t>
      </w:r>
      <w:r w:rsidRPr="00C96521">
        <w:rPr>
          <w:rFonts w:eastAsia="MS Mincho" w:cs="Arial"/>
          <w:szCs w:val="18"/>
          <w:lang w:val="en-GB" w:eastAsia="ja-JP"/>
        </w:rPr>
        <w:t xml:space="preserve"> </w:t>
      </w:r>
      <w:r w:rsidRPr="00C96521">
        <w:rPr>
          <w:rFonts w:eastAsia="MS Mincho" w:cs="Arial"/>
          <w:i/>
          <w:szCs w:val="18"/>
          <w:lang w:val="en-GB" w:eastAsia="ja-JP"/>
        </w:rPr>
        <w:t>Katastar of hunting areas in Montenegro</w:t>
      </w:r>
      <w:r w:rsidRPr="00C96521">
        <w:rPr>
          <w:rFonts w:eastAsia="MS Mincho" w:cs="Arial"/>
          <w:szCs w:val="18"/>
          <w:lang w:val="en-GB" w:eastAsia="ja-JP"/>
        </w:rPr>
        <w:t xml:space="preserve">. </w:t>
      </w:r>
      <w:r w:rsidRPr="00B44B0D">
        <w:rPr>
          <w:rFonts w:eastAsia="MS Mincho" w:cs="Arial"/>
          <w:szCs w:val="18"/>
          <w:lang w:val="es-ES" w:eastAsia="ja-JP"/>
        </w:rPr>
        <w:t>Montenegro EPA, Podgorica.</w:t>
      </w:r>
    </w:p>
    <w:p w14:paraId="784309E7" w14:textId="77777777" w:rsidR="00C96521" w:rsidRPr="00B44B0D" w:rsidRDefault="00C96521" w:rsidP="00C96521">
      <w:pPr>
        <w:widowControl/>
        <w:autoSpaceDE/>
        <w:autoSpaceDN/>
        <w:adjustRightInd/>
        <w:spacing w:line="276" w:lineRule="auto"/>
        <w:rPr>
          <w:rFonts w:eastAsia="MS Mincho" w:cs="Arial"/>
          <w:b/>
          <w:szCs w:val="18"/>
          <w:lang w:val="es-ES" w:eastAsia="ja-JP"/>
        </w:rPr>
      </w:pPr>
    </w:p>
    <w:p w14:paraId="3EDFDFC0"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810359">
        <w:rPr>
          <w:rFonts w:eastAsia="MS Mincho" w:cs="Arial"/>
          <w:b/>
          <w:szCs w:val="18"/>
          <w:lang w:val="es-ES" w:eastAsia="ja-JP"/>
        </w:rPr>
        <w:t>MONTOYA JM (2009)</w:t>
      </w:r>
      <w:r w:rsidRPr="00810359">
        <w:rPr>
          <w:rFonts w:eastAsia="MS Mincho" w:cs="Arial"/>
          <w:szCs w:val="18"/>
          <w:lang w:val="es-ES" w:eastAsia="ja-JP"/>
        </w:rPr>
        <w:t xml:space="preserve"> </w:t>
      </w:r>
      <w:r w:rsidRPr="00810359">
        <w:rPr>
          <w:rFonts w:eastAsia="MS Mincho" w:cs="Arial"/>
          <w:i/>
          <w:szCs w:val="18"/>
          <w:lang w:val="es-ES" w:eastAsia="ja-JP"/>
        </w:rPr>
        <w:t>Media veda.Codorniz, Tórtola y Palomas</w:t>
      </w:r>
      <w:r w:rsidRPr="00810359">
        <w:rPr>
          <w:rFonts w:eastAsia="MS Mincho" w:cs="Arial"/>
          <w:szCs w:val="18"/>
          <w:lang w:val="es-ES" w:eastAsia="ja-JP"/>
        </w:rPr>
        <w:t xml:space="preserve">. </w:t>
      </w:r>
      <w:r w:rsidRPr="00890F11">
        <w:rPr>
          <w:rFonts w:eastAsia="MS Mincho" w:cs="Arial"/>
          <w:szCs w:val="18"/>
          <w:lang w:val="es-ES" w:eastAsia="ja-JP"/>
        </w:rPr>
        <w:t>Editorial Solitário, Madrid.</w:t>
      </w:r>
    </w:p>
    <w:p w14:paraId="2D9793E8" w14:textId="77777777" w:rsidR="00C96521" w:rsidRPr="00890F11" w:rsidRDefault="00C96521" w:rsidP="00C96521">
      <w:pPr>
        <w:widowControl/>
        <w:autoSpaceDE/>
        <w:autoSpaceDN/>
        <w:adjustRightInd/>
        <w:spacing w:line="276" w:lineRule="auto"/>
        <w:rPr>
          <w:rFonts w:eastAsia="MS Mincho" w:cs="Arial"/>
          <w:szCs w:val="18"/>
          <w:lang w:val="es-ES" w:eastAsia="ja-JP"/>
        </w:rPr>
      </w:pPr>
    </w:p>
    <w:p w14:paraId="2B11E5E0" w14:textId="77777777" w:rsidR="00C96521" w:rsidRPr="00890F11" w:rsidRDefault="00C96521" w:rsidP="00C96521">
      <w:pPr>
        <w:widowControl/>
        <w:spacing w:line="276" w:lineRule="auto"/>
        <w:rPr>
          <w:rFonts w:ascii="MS Shell Dlg 2" w:eastAsia="MS Mincho" w:hAnsi="MS Shell Dlg 2" w:cs="MS Shell Dlg 2"/>
          <w:sz w:val="17"/>
          <w:szCs w:val="17"/>
          <w:lang w:val="es-ES" w:eastAsia="ja-JP"/>
        </w:rPr>
      </w:pPr>
      <w:r w:rsidRPr="00890F11">
        <w:rPr>
          <w:rFonts w:eastAsia="MS Mincho" w:cs="Arial"/>
          <w:b/>
          <w:szCs w:val="18"/>
          <w:lang w:val="es-ES" w:eastAsia="ja-JP"/>
        </w:rPr>
        <w:t>MONTOYA JM and MÉSON M (1994)</w:t>
      </w:r>
      <w:r w:rsidRPr="00890F11">
        <w:rPr>
          <w:rFonts w:eastAsia="MS Mincho" w:cs="Arial"/>
          <w:szCs w:val="18"/>
          <w:lang w:val="es-ES" w:eastAsia="ja-JP"/>
        </w:rPr>
        <w:t xml:space="preserve"> </w:t>
      </w:r>
      <w:r w:rsidRPr="00890F11">
        <w:rPr>
          <w:rFonts w:eastAsia="MS Mincho" w:cs="Arial"/>
          <w:i/>
          <w:szCs w:val="18"/>
          <w:lang w:val="es-ES" w:eastAsia="ja-JP"/>
        </w:rPr>
        <w:t>La tortola y la Codorniz en España. Estado actual de estas especies cinegéticas</w:t>
      </w:r>
      <w:r w:rsidRPr="00890F11">
        <w:rPr>
          <w:rFonts w:eastAsia="MS Mincho" w:cs="Arial"/>
          <w:szCs w:val="18"/>
          <w:lang w:val="es-ES" w:eastAsia="ja-JP"/>
        </w:rPr>
        <w:t>. Federación Española de Caza</w:t>
      </w:r>
    </w:p>
    <w:p w14:paraId="68AC9DDC" w14:textId="77777777" w:rsidR="00C96521" w:rsidRPr="00890F11" w:rsidRDefault="00C96521" w:rsidP="00C96521">
      <w:pPr>
        <w:widowControl/>
        <w:autoSpaceDE/>
        <w:autoSpaceDN/>
        <w:adjustRightInd/>
        <w:spacing w:line="276" w:lineRule="auto"/>
        <w:rPr>
          <w:rFonts w:eastAsia="MS Mincho" w:cs="Arial"/>
          <w:b/>
          <w:szCs w:val="18"/>
          <w:lang w:val="es-ES" w:eastAsia="ja-JP"/>
        </w:rPr>
      </w:pPr>
    </w:p>
    <w:p w14:paraId="4130F8CF"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890F11">
        <w:rPr>
          <w:rFonts w:eastAsia="MS Mincho" w:cs="Arial"/>
          <w:b/>
          <w:szCs w:val="18"/>
          <w:lang w:val="es-ES" w:eastAsia="ja-JP"/>
        </w:rPr>
        <w:t xml:space="preserve">MUNTEANU D (2002) </w:t>
      </w:r>
      <w:r w:rsidRPr="00890F11">
        <w:rPr>
          <w:rFonts w:eastAsia="MS Mincho" w:cs="Arial"/>
          <w:i/>
          <w:szCs w:val="18"/>
          <w:lang w:val="es-ES" w:eastAsia="ja-JP"/>
        </w:rPr>
        <w:t>Atlasul pǎsǎrilor clocitoare din România – Ediţia II</w:t>
      </w:r>
      <w:r w:rsidRPr="00890F11">
        <w:rPr>
          <w:rFonts w:eastAsia="MS Mincho" w:cs="Arial"/>
          <w:szCs w:val="18"/>
          <w:lang w:val="es-ES" w:eastAsia="ja-JP"/>
        </w:rPr>
        <w:t>. Societatea Ornitologicā Românā, Cluj-Napoca.</w:t>
      </w:r>
    </w:p>
    <w:p w14:paraId="0EC5E8A8" w14:textId="77777777" w:rsidR="00C96521" w:rsidRPr="00890F11" w:rsidRDefault="00C96521" w:rsidP="00C96521">
      <w:pPr>
        <w:widowControl/>
        <w:autoSpaceDE/>
        <w:autoSpaceDN/>
        <w:adjustRightInd/>
        <w:spacing w:line="276" w:lineRule="auto"/>
        <w:rPr>
          <w:rFonts w:eastAsia="MS Mincho" w:cs="Arial"/>
          <w:szCs w:val="18"/>
          <w:lang w:val="es-ES" w:eastAsia="ja-JP"/>
        </w:rPr>
      </w:pPr>
    </w:p>
    <w:p w14:paraId="597B2522"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890F11">
        <w:rPr>
          <w:rFonts w:eastAsia="MS Mincho" w:cs="Arial"/>
          <w:b/>
          <w:szCs w:val="18"/>
          <w:lang w:val="es-ES" w:eastAsia="ja-JP"/>
        </w:rPr>
        <w:t xml:space="preserve">MUNTEANU D (2009) </w:t>
      </w:r>
      <w:r w:rsidRPr="00890F11">
        <w:rPr>
          <w:rFonts w:eastAsia="MS Mincho" w:cs="Arial"/>
          <w:i/>
          <w:szCs w:val="18"/>
          <w:lang w:val="es-ES" w:eastAsia="ja-JP"/>
        </w:rPr>
        <w:t>Păsări rare, vulnerabile şi periclitate în România</w:t>
      </w:r>
      <w:r w:rsidRPr="00890F11">
        <w:rPr>
          <w:rFonts w:eastAsia="MS Mincho" w:cs="Arial"/>
          <w:szCs w:val="18"/>
          <w:lang w:val="es-ES" w:eastAsia="ja-JP"/>
        </w:rPr>
        <w:t>. Editura Alma Mater, Cluj-Napoca.</w:t>
      </w:r>
    </w:p>
    <w:p w14:paraId="644C7AB7" w14:textId="77777777" w:rsidR="00C96521" w:rsidRPr="00890F11" w:rsidRDefault="00C96521" w:rsidP="00C96521">
      <w:pPr>
        <w:widowControl/>
        <w:autoSpaceDE/>
        <w:autoSpaceDN/>
        <w:adjustRightInd/>
        <w:spacing w:line="276" w:lineRule="auto"/>
        <w:rPr>
          <w:rFonts w:eastAsia="MS Mincho" w:cs="Arial"/>
          <w:b/>
          <w:bCs/>
          <w:szCs w:val="18"/>
          <w:lang w:val="es-ES" w:eastAsia="ja-JP"/>
        </w:rPr>
      </w:pPr>
    </w:p>
    <w:p w14:paraId="650CB7DD"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890F11">
        <w:rPr>
          <w:rFonts w:eastAsia="MS Mincho" w:cs="Arial"/>
          <w:b/>
          <w:szCs w:val="18"/>
          <w:lang w:val="es-ES" w:eastAsia="ja-JP"/>
        </w:rPr>
        <w:t>MUNTEANU A and ZUBCOV N (2010)</w:t>
      </w:r>
      <w:r w:rsidRPr="00890F11">
        <w:rPr>
          <w:rFonts w:eastAsia="MS Mincho" w:cs="Arial"/>
          <w:b/>
          <w:bCs/>
          <w:szCs w:val="18"/>
          <w:lang w:val="es-ES" w:eastAsia="ja-JP"/>
        </w:rPr>
        <w:t xml:space="preserve"> </w:t>
      </w:r>
      <w:r w:rsidRPr="00890F11">
        <w:rPr>
          <w:rFonts w:eastAsia="MS Mincho" w:cs="Arial"/>
          <w:i/>
          <w:szCs w:val="18"/>
          <w:lang w:val="es-ES" w:eastAsia="ja-JP"/>
        </w:rPr>
        <w:t xml:space="preserve">Atlasul păsărilor clocitoare din Republica Moldova. </w:t>
      </w:r>
      <w:r w:rsidRPr="00890F11">
        <w:rPr>
          <w:rFonts w:eastAsia="MS Mincho" w:cs="Arial"/>
          <w:szCs w:val="18"/>
          <w:lang w:val="es-ES" w:eastAsia="ja-JP"/>
        </w:rPr>
        <w:t>Institutul de Zoologie al Academiei de Ştiinţe a Moldovei Societatea Ornitologică din Republica Moldova, Chişinău.</w:t>
      </w:r>
    </w:p>
    <w:p w14:paraId="33F67D04" w14:textId="77777777" w:rsidR="00C96521" w:rsidRPr="00890F11" w:rsidRDefault="00C96521" w:rsidP="00C96521">
      <w:pPr>
        <w:widowControl/>
        <w:autoSpaceDE/>
        <w:autoSpaceDN/>
        <w:adjustRightInd/>
        <w:spacing w:line="276" w:lineRule="auto"/>
        <w:rPr>
          <w:rFonts w:eastAsia="MS Mincho" w:cs="Arial"/>
          <w:b/>
          <w:bCs/>
          <w:szCs w:val="18"/>
          <w:lang w:val="es-ES" w:eastAsia="ja-JP"/>
        </w:rPr>
      </w:pPr>
    </w:p>
    <w:p w14:paraId="1226D33B"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MURTON R K (1968)</w:t>
      </w:r>
      <w:r w:rsidRPr="00C96521">
        <w:rPr>
          <w:rFonts w:eastAsia="MS Mincho" w:cs="Arial"/>
          <w:bCs/>
          <w:szCs w:val="18"/>
          <w:lang w:val="en-GB" w:eastAsia="ja-JP"/>
        </w:rPr>
        <w:t xml:space="preserve"> </w:t>
      </w:r>
      <w:r w:rsidRPr="00C96521">
        <w:rPr>
          <w:rFonts w:eastAsia="MS Mincho" w:cs="Arial"/>
          <w:szCs w:val="18"/>
          <w:lang w:val="en-GB" w:eastAsia="ja-JP"/>
        </w:rPr>
        <w:t xml:space="preserve">Breeding, migration and survival of Turtle-doves. </w:t>
      </w:r>
      <w:r w:rsidRPr="00C96521">
        <w:rPr>
          <w:rFonts w:eastAsia="MS Mincho" w:cs="Arial"/>
          <w:i/>
          <w:iCs/>
          <w:szCs w:val="18"/>
          <w:lang w:val="en-GB" w:eastAsia="ja-JP"/>
        </w:rPr>
        <w:t xml:space="preserve">British Birds </w:t>
      </w:r>
      <w:r w:rsidRPr="00C96521">
        <w:rPr>
          <w:rFonts w:eastAsia="MS Mincho" w:cs="Arial"/>
          <w:szCs w:val="18"/>
          <w:lang w:val="en-GB" w:eastAsia="ja-JP"/>
        </w:rPr>
        <w:t>61(5): 193-212.</w:t>
      </w:r>
    </w:p>
    <w:p w14:paraId="76822A90"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7AA7D5FD"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THE N2K GROUP (2014)</w:t>
      </w:r>
      <w:r w:rsidRPr="00C96521">
        <w:rPr>
          <w:rFonts w:eastAsia="MS Mincho" w:cs="Arial"/>
          <w:szCs w:val="18"/>
          <w:lang w:val="en-GB" w:eastAsia="ja-JP"/>
        </w:rPr>
        <w:t xml:space="preserve"> </w:t>
      </w:r>
      <w:r w:rsidRPr="00C96521">
        <w:rPr>
          <w:rFonts w:eastAsia="MS Mincho" w:cs="Arial"/>
          <w:i/>
          <w:szCs w:val="18"/>
          <w:lang w:val="en-GB" w:eastAsia="ja-JP"/>
        </w:rPr>
        <w:t>Implementation review for 13 Management Plans for birds</w:t>
      </w:r>
      <w:r w:rsidRPr="00C96521">
        <w:rPr>
          <w:rFonts w:eastAsia="MS Mincho" w:cs="Arial"/>
          <w:szCs w:val="18"/>
          <w:lang w:val="en-GB" w:eastAsia="ja-JP"/>
        </w:rPr>
        <w:t>. Prepared for the European Commission, Directorate General Environment, B3 Unit in the framework of the Service Contract N° 070307/2012/635359/SER/B2.</w:t>
      </w:r>
    </w:p>
    <w:p w14:paraId="13C93889"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298A895B"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NAMROUQA H (2016)</w:t>
      </w:r>
      <w:r w:rsidRPr="00C96521">
        <w:rPr>
          <w:rFonts w:eastAsia="MS Mincho" w:cs="Arial"/>
          <w:szCs w:val="18"/>
          <w:lang w:val="en-GB" w:eastAsia="ja-JP"/>
        </w:rPr>
        <w:t xml:space="preserve"> Nature society says hunting turtle-doves prohibited. </w:t>
      </w:r>
      <w:r w:rsidRPr="00C96521">
        <w:rPr>
          <w:rFonts w:eastAsia="MS Mincho" w:cs="Arial"/>
          <w:i/>
          <w:szCs w:val="18"/>
          <w:lang w:val="en-GB" w:eastAsia="ja-JP"/>
        </w:rPr>
        <w:t>The Jordan Times</w:t>
      </w:r>
      <w:r w:rsidRPr="00C96521">
        <w:rPr>
          <w:rFonts w:eastAsia="MS Mincho" w:cs="Arial"/>
          <w:szCs w:val="18"/>
          <w:lang w:val="en-GB" w:eastAsia="ja-JP"/>
        </w:rPr>
        <w:t xml:space="preserve"> 05/07/2016. http://www.jordantimes.com/news/local/nature-society-says-hunting-turtle-doves-prohibited (last accessed 12th December 2016).</w:t>
      </w:r>
    </w:p>
    <w:p w14:paraId="42C43AA1"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7D0A12C5"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B44B0D">
        <w:rPr>
          <w:rFonts w:eastAsia="MS Mincho" w:cs="Arial"/>
          <w:b/>
          <w:szCs w:val="18"/>
          <w:lang w:val="es-ES" w:eastAsia="ja-JP"/>
        </w:rPr>
        <w:t>NARDELLI R, ANDREOTTI A, BIANCHI E, BRAMBILLA M, BRECCIAROLI B, CELADA C, DUPRÉ E, GUSTIN M, LONGONI V, PIRRELLO S, SPINA F, VOLPONI S and SERRA l (2015)</w:t>
      </w:r>
      <w:r w:rsidRPr="00B44B0D">
        <w:rPr>
          <w:rFonts w:eastAsia="MS Mincho" w:cs="Arial"/>
          <w:szCs w:val="18"/>
          <w:lang w:val="es-ES" w:eastAsia="ja-JP"/>
        </w:rPr>
        <w:t xml:space="preserve"> </w:t>
      </w:r>
      <w:r w:rsidRPr="00B44B0D">
        <w:rPr>
          <w:rFonts w:eastAsia="MS Mincho" w:cs="Arial"/>
          <w:i/>
          <w:szCs w:val="18"/>
          <w:lang w:val="es-ES" w:eastAsia="ja-JP"/>
        </w:rPr>
        <w:t xml:space="preserve">Rapporto sull'applicazione della Direttiva 147/2009/CE in Italia: dimensione, distribuzione e trend delle popolazioni di uccelli (2008-2012). </w:t>
      </w:r>
      <w:r w:rsidRPr="00C96521">
        <w:rPr>
          <w:rFonts w:eastAsia="MS Mincho" w:cs="Arial"/>
          <w:i/>
          <w:szCs w:val="18"/>
          <w:lang w:val="en-GB" w:eastAsia="ja-JP"/>
        </w:rPr>
        <w:t xml:space="preserve">Report Series 219. </w:t>
      </w:r>
      <w:r w:rsidRPr="00C96521">
        <w:rPr>
          <w:rFonts w:eastAsia="MS Mincho" w:cs="Arial"/>
          <w:szCs w:val="18"/>
          <w:lang w:val="en-GB" w:eastAsia="ja-JP"/>
        </w:rPr>
        <w:t>European Commission, ISPRA.</w:t>
      </w:r>
      <w:r w:rsidRPr="00C96521">
        <w:rPr>
          <w:rFonts w:eastAsia="MS Mincho" w:cs="Arial"/>
          <w:i/>
          <w:szCs w:val="18"/>
          <w:lang w:val="en-GB" w:eastAsia="ja-JP"/>
        </w:rPr>
        <w:t xml:space="preserve"> </w:t>
      </w:r>
    </w:p>
    <w:p w14:paraId="067EF912"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5025D16C"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NEWSON SE, MORAN NJ, MUSGROVE AJ, PEARCE-HIGGINS JW, GILLINGS S, ATKINSON PW, MILLER R, GRANTHAM MJ and BAILLIE SR (2016)</w:t>
      </w:r>
      <w:r w:rsidRPr="00C96521">
        <w:rPr>
          <w:rFonts w:eastAsia="MS Mincho" w:cs="Arial"/>
          <w:szCs w:val="18"/>
          <w:lang w:val="en-GB" w:eastAsia="ja-JP"/>
        </w:rPr>
        <w:t xml:space="preserve"> Long-term changes in the migration phenology of UK breeding birds detected by large-scale citizen science recording schemes. </w:t>
      </w:r>
      <w:r w:rsidRPr="00C96521">
        <w:rPr>
          <w:rFonts w:eastAsia="MS Mincho" w:cs="Arial"/>
          <w:i/>
          <w:szCs w:val="18"/>
          <w:lang w:val="en-GB" w:eastAsia="ja-JP"/>
        </w:rPr>
        <w:t>Ibis</w:t>
      </w:r>
      <w:r w:rsidRPr="00C96521">
        <w:rPr>
          <w:rFonts w:eastAsia="MS Mincho" w:cs="Arial"/>
          <w:szCs w:val="18"/>
          <w:lang w:val="en-GB" w:eastAsia="ja-JP"/>
        </w:rPr>
        <w:t xml:space="preserve"> 158(3): 481-495.</w:t>
      </w:r>
    </w:p>
    <w:p w14:paraId="55E00AAD"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0F068503"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NIEL C and LEBRETON JD (2005)</w:t>
      </w:r>
      <w:r w:rsidRPr="00C96521">
        <w:rPr>
          <w:rFonts w:eastAsia="MS Mincho" w:cs="Arial"/>
          <w:szCs w:val="18"/>
          <w:lang w:val="en-GB" w:eastAsia="ja-JP"/>
        </w:rPr>
        <w:t xml:space="preserve"> Using demographic invariants to detect overharvested bird populations from incomplete data. </w:t>
      </w:r>
      <w:r w:rsidRPr="00C96521">
        <w:rPr>
          <w:rFonts w:eastAsia="MS Mincho" w:cs="Arial"/>
          <w:i/>
          <w:szCs w:val="18"/>
          <w:lang w:val="en-GB" w:eastAsia="ja-JP"/>
        </w:rPr>
        <w:t>Conservation Biology</w:t>
      </w:r>
      <w:r w:rsidRPr="00C96521">
        <w:rPr>
          <w:rFonts w:eastAsia="MS Mincho" w:cs="Arial"/>
          <w:szCs w:val="18"/>
          <w:lang w:val="en-GB" w:eastAsia="ja-JP"/>
        </w:rPr>
        <w:t xml:space="preserve"> 19(3) : 826–835.</w:t>
      </w:r>
    </w:p>
    <w:p w14:paraId="082988BA"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3C6F09BC"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color w:val="000000"/>
          <w:szCs w:val="18"/>
          <w:shd w:val="clear" w:color="auto" w:fill="FFFFFF"/>
          <w:lang w:val="en-GB" w:eastAsia="ja-JP"/>
        </w:rPr>
        <w:t>NYEGAARD T, MELTOFTE H, TOFFT J and GRELL M (</w:t>
      </w:r>
      <w:r w:rsidRPr="00C96521">
        <w:rPr>
          <w:rFonts w:eastAsia="MS Mincho" w:cs="Arial"/>
          <w:b/>
          <w:szCs w:val="18"/>
          <w:lang w:val="en-GB" w:eastAsia="ja-JP"/>
        </w:rPr>
        <w:t>2014)</w:t>
      </w:r>
      <w:r w:rsidRPr="00C96521">
        <w:rPr>
          <w:rFonts w:eastAsia="MS Mincho" w:cs="Arial"/>
          <w:szCs w:val="18"/>
          <w:lang w:val="en-GB" w:eastAsia="ja-JP"/>
        </w:rPr>
        <w:t xml:space="preserve"> Truede og sjældne ynglefugle i Danmark 1998-2012. </w:t>
      </w:r>
      <w:r w:rsidRPr="00C96521">
        <w:rPr>
          <w:rFonts w:eastAsia="MS Mincho" w:cs="Arial"/>
          <w:i/>
          <w:szCs w:val="18"/>
          <w:lang w:val="en-GB" w:eastAsia="ja-JP"/>
        </w:rPr>
        <w:t>DOFT (Journal of the Danish Ornithological Society)</w:t>
      </w:r>
      <w:r w:rsidRPr="00C96521">
        <w:rPr>
          <w:rFonts w:eastAsia="MS Mincho" w:cs="Arial"/>
          <w:szCs w:val="18"/>
          <w:lang w:val="en-GB" w:eastAsia="ja-JP"/>
        </w:rPr>
        <w:t xml:space="preserve"> 108: 1-144.</w:t>
      </w:r>
    </w:p>
    <w:p w14:paraId="0AD533B0"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302C97DE" w14:textId="77777777" w:rsidR="00C96521" w:rsidRPr="00C96521" w:rsidRDefault="00C96521" w:rsidP="00C96521">
      <w:pPr>
        <w:widowControl/>
        <w:autoSpaceDE/>
        <w:autoSpaceDN/>
        <w:adjustRightInd/>
        <w:spacing w:line="276" w:lineRule="auto"/>
        <w:rPr>
          <w:rFonts w:eastAsia="MS Mincho" w:cs="Arial"/>
          <w:b/>
          <w:szCs w:val="18"/>
          <w:lang w:val="en-GB" w:eastAsia="ja-JP"/>
        </w:rPr>
      </w:pPr>
      <w:r w:rsidRPr="00C96521">
        <w:rPr>
          <w:rFonts w:eastAsia="MS Mincho" w:cs="Arial"/>
          <w:b/>
          <w:color w:val="000000"/>
          <w:szCs w:val="18"/>
          <w:shd w:val="clear" w:color="auto" w:fill="FFFFFF"/>
          <w:lang w:val="en-GB" w:eastAsia="ja-JP"/>
        </w:rPr>
        <w:t xml:space="preserve">OCKENDON N, JOHNSTON A and BAILLIE SR (2014) </w:t>
      </w:r>
      <w:r w:rsidRPr="00C96521">
        <w:rPr>
          <w:rFonts w:eastAsia="MS Mincho" w:cs="Arial"/>
          <w:szCs w:val="18"/>
          <w:lang w:val="en-GB" w:eastAsia="ja-JP"/>
        </w:rPr>
        <w:t xml:space="preserve">Rainfall on wintering grounds affects population change in many species of Afro-Palaearctic migrants. </w:t>
      </w:r>
      <w:r w:rsidRPr="00C96521">
        <w:rPr>
          <w:rFonts w:eastAsia="MS Mincho" w:cs="Arial"/>
          <w:i/>
          <w:szCs w:val="18"/>
          <w:lang w:val="en-GB" w:eastAsia="ja-JP"/>
        </w:rPr>
        <w:t>Journal of Ornithology</w:t>
      </w:r>
      <w:r w:rsidRPr="00C96521">
        <w:rPr>
          <w:rFonts w:eastAsia="MS Mincho" w:cs="Arial"/>
          <w:szCs w:val="18"/>
          <w:lang w:val="en-GB" w:eastAsia="ja-JP"/>
        </w:rPr>
        <w:t xml:space="preserve"> 155(4): 905-917.</w:t>
      </w:r>
    </w:p>
    <w:p w14:paraId="39CAEA94"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3895FBD2"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color w:val="000000"/>
          <w:szCs w:val="18"/>
          <w:shd w:val="clear" w:color="auto" w:fill="FFFFFF"/>
          <w:lang w:val="en-GB" w:eastAsia="ja-JP"/>
        </w:rPr>
        <w:t>PANAYIDES P (2005)</w:t>
      </w:r>
      <w:r w:rsidRPr="00C96521">
        <w:rPr>
          <w:rFonts w:eastAsia="MS Mincho" w:cs="Arial"/>
          <w:szCs w:val="18"/>
          <w:lang w:val="en-GB" w:eastAsia="ja-JP"/>
        </w:rPr>
        <w:t xml:space="preserve"> Six aspects of land use and development activity that result in adverse effects to Cypriot wildlife resources. </w:t>
      </w:r>
      <w:r w:rsidRPr="00C96521">
        <w:rPr>
          <w:rFonts w:eastAsia="MS Mincho" w:cs="Arial"/>
          <w:i/>
          <w:szCs w:val="18"/>
          <w:lang w:val="en-GB" w:eastAsia="ja-JP"/>
        </w:rPr>
        <w:t>Proceedings of the XXVth International Congress of the International Union of Game Biologists – IUGB and the IXth International Symposium Perdix</w:t>
      </w:r>
      <w:r w:rsidRPr="00C96521">
        <w:rPr>
          <w:rFonts w:eastAsia="MS Mincho" w:cs="Arial"/>
          <w:szCs w:val="18"/>
          <w:lang w:val="en-GB" w:eastAsia="ja-JP"/>
        </w:rPr>
        <w:t xml:space="preserve"> 2: 182-196.</w:t>
      </w:r>
    </w:p>
    <w:p w14:paraId="6CEA68C6"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77C26AB0"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PATRIKEEV M (2004)</w:t>
      </w:r>
      <w:r w:rsidRPr="00C96521">
        <w:rPr>
          <w:rFonts w:eastAsia="MS Mincho" w:cs="Arial"/>
          <w:szCs w:val="18"/>
          <w:lang w:val="en-GB" w:eastAsia="ja-JP"/>
        </w:rPr>
        <w:t xml:space="preserve"> </w:t>
      </w:r>
      <w:r w:rsidRPr="00C96521">
        <w:rPr>
          <w:rFonts w:eastAsia="MS Mincho" w:cs="Arial"/>
          <w:i/>
          <w:szCs w:val="18"/>
          <w:lang w:val="en-GB" w:eastAsia="ja-JP"/>
        </w:rPr>
        <w:t>The Birds of Azerbaijan 1999-2003 Edition</w:t>
      </w:r>
      <w:r w:rsidRPr="00C96521">
        <w:rPr>
          <w:rFonts w:eastAsia="MS Mincho" w:cs="Arial"/>
          <w:szCs w:val="18"/>
          <w:lang w:val="en-GB" w:eastAsia="ja-JP"/>
        </w:rPr>
        <w:t>. Pensoft Publishers, Sofia-Moscow.</w:t>
      </w:r>
    </w:p>
    <w:p w14:paraId="7883DE64"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75F7974A"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PARSLOW JLF (1967)</w:t>
      </w:r>
      <w:r w:rsidRPr="00C96521">
        <w:rPr>
          <w:rFonts w:eastAsia="MS Mincho" w:cs="Arial"/>
          <w:bCs/>
          <w:szCs w:val="18"/>
          <w:lang w:val="en-GB" w:eastAsia="ja-JP"/>
        </w:rPr>
        <w:t xml:space="preserve"> </w:t>
      </w:r>
      <w:r w:rsidRPr="00C96521">
        <w:rPr>
          <w:rFonts w:eastAsia="MS Mincho" w:cs="Arial"/>
          <w:szCs w:val="18"/>
          <w:lang w:val="en-GB" w:eastAsia="ja-JP"/>
        </w:rPr>
        <w:t xml:space="preserve">Changes in status among breeding birds in Britain and Ireland. </w:t>
      </w:r>
      <w:r w:rsidRPr="00C96521">
        <w:rPr>
          <w:rFonts w:eastAsia="MS Mincho" w:cs="Arial"/>
          <w:i/>
          <w:szCs w:val="18"/>
          <w:lang w:val="en-GB" w:eastAsia="ja-JP"/>
        </w:rPr>
        <w:t>British Birds</w:t>
      </w:r>
      <w:r w:rsidRPr="00C96521">
        <w:rPr>
          <w:rFonts w:eastAsia="MS Mincho" w:cs="Arial"/>
          <w:szCs w:val="18"/>
          <w:lang w:val="en-GB" w:eastAsia="ja-JP"/>
        </w:rPr>
        <w:t xml:space="preserve"> 60: 177-202.</w:t>
      </w:r>
    </w:p>
    <w:p w14:paraId="3673E08E"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167A6601" w14:textId="77777777" w:rsidR="00C96521" w:rsidRPr="00890F11" w:rsidRDefault="00C96521" w:rsidP="00C96521">
      <w:pPr>
        <w:widowControl/>
        <w:spacing w:line="276" w:lineRule="auto"/>
        <w:rPr>
          <w:rFonts w:eastAsia="Calibri" w:cs="Arial"/>
          <w:color w:val="000000"/>
          <w:szCs w:val="18"/>
          <w:lang w:val="es-ES"/>
        </w:rPr>
      </w:pPr>
      <w:r w:rsidRPr="00C96521">
        <w:rPr>
          <w:rFonts w:eastAsia="Calibri" w:cs="Arial"/>
          <w:b/>
          <w:color w:val="000000"/>
          <w:szCs w:val="18"/>
          <w:lang w:val="en-GB"/>
        </w:rPr>
        <w:t>PERLMAN Y, HAVIV E, MAYROSE A, LABINGER Z, KIAT Y, VINE G, STEINITZ O and ALON D (2016)</w:t>
      </w:r>
      <w:r w:rsidRPr="00C96521">
        <w:rPr>
          <w:rFonts w:eastAsia="Calibri" w:cs="Arial"/>
          <w:color w:val="000000"/>
          <w:szCs w:val="18"/>
          <w:lang w:val="en-GB"/>
        </w:rPr>
        <w:t xml:space="preserve"> </w:t>
      </w:r>
      <w:r w:rsidRPr="00C96521">
        <w:rPr>
          <w:rFonts w:eastAsia="Calibri" w:cs="Arial"/>
          <w:i/>
          <w:color w:val="000000"/>
          <w:szCs w:val="18"/>
          <w:lang w:val="en-GB"/>
        </w:rPr>
        <w:t>European Turtle-dove (</w:t>
      </w:r>
      <w:r w:rsidRPr="00C96521">
        <w:rPr>
          <w:rFonts w:eastAsia="Calibri" w:cs="Arial"/>
          <w:color w:val="000000"/>
          <w:szCs w:val="18"/>
          <w:lang w:val="en-GB"/>
        </w:rPr>
        <w:t>Streptopelia turtur</w:t>
      </w:r>
      <w:r w:rsidRPr="00C96521">
        <w:rPr>
          <w:rFonts w:eastAsia="Calibri" w:cs="Arial"/>
          <w:i/>
          <w:color w:val="000000"/>
          <w:szCs w:val="18"/>
          <w:lang w:val="en-GB"/>
        </w:rPr>
        <w:t>) in Israel – status and trends, May 2016</w:t>
      </w:r>
      <w:r w:rsidRPr="00C96521">
        <w:rPr>
          <w:rFonts w:eastAsia="Calibri" w:cs="Arial"/>
          <w:color w:val="000000"/>
          <w:szCs w:val="18"/>
          <w:lang w:val="en-GB"/>
        </w:rPr>
        <w:t xml:space="preserve">. </w:t>
      </w:r>
      <w:r w:rsidRPr="00890F11">
        <w:rPr>
          <w:rFonts w:eastAsia="Calibri" w:cs="Arial"/>
          <w:color w:val="000000"/>
          <w:szCs w:val="18"/>
          <w:lang w:val="es-ES"/>
        </w:rPr>
        <w:t>Unpublished.</w:t>
      </w:r>
    </w:p>
    <w:p w14:paraId="70A7F39A" w14:textId="77777777" w:rsidR="00C96521" w:rsidRPr="00890F11" w:rsidRDefault="00C96521" w:rsidP="00C96521">
      <w:pPr>
        <w:widowControl/>
        <w:autoSpaceDE/>
        <w:autoSpaceDN/>
        <w:adjustRightInd/>
        <w:spacing w:line="276" w:lineRule="auto"/>
        <w:rPr>
          <w:rFonts w:eastAsia="MS Mincho" w:cs="Arial"/>
          <w:szCs w:val="18"/>
          <w:lang w:val="es-ES" w:eastAsia="ja-JP"/>
        </w:rPr>
      </w:pPr>
    </w:p>
    <w:p w14:paraId="76394078"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890F11">
        <w:rPr>
          <w:rFonts w:eastAsia="MS Mincho" w:cs="Arial"/>
          <w:b/>
          <w:szCs w:val="18"/>
          <w:lang w:val="es-ES" w:eastAsia="ja-JP"/>
        </w:rPr>
        <w:t>PETROVICI M (2015)</w:t>
      </w:r>
      <w:r w:rsidRPr="00890F11">
        <w:rPr>
          <w:rFonts w:eastAsia="MS Mincho" w:cs="Arial"/>
          <w:szCs w:val="18"/>
          <w:lang w:val="es-ES" w:eastAsia="ja-JP"/>
        </w:rPr>
        <w:t xml:space="preserve"> </w:t>
      </w:r>
      <w:r w:rsidRPr="00890F11">
        <w:rPr>
          <w:rFonts w:eastAsia="MS Mincho" w:cs="Arial"/>
          <w:i/>
          <w:szCs w:val="18"/>
          <w:lang w:val="es-ES" w:eastAsia="ja-JP"/>
        </w:rPr>
        <w:t>Atlas al speciilor de păsări de interes comunitar din România</w:t>
      </w:r>
      <w:r w:rsidRPr="00890F11">
        <w:rPr>
          <w:rFonts w:eastAsia="MS Mincho" w:cs="Arial"/>
          <w:szCs w:val="18"/>
          <w:lang w:val="es-ES" w:eastAsia="ja-JP"/>
        </w:rPr>
        <w:t xml:space="preserve">. Societatea Ornitologică Română/BirdLife International și Asociația pentru Protecția Păsărilor și a Naturii </w:t>
      </w:r>
      <w:r w:rsidRPr="00890F11">
        <w:rPr>
          <w:rFonts w:eastAsia="MS Mincho" w:cs="Arial"/>
          <w:i/>
          <w:szCs w:val="18"/>
          <w:lang w:val="es-ES" w:eastAsia="ja-JP"/>
        </w:rPr>
        <w:t>Grupul Milvus</w:t>
      </w:r>
      <w:r w:rsidRPr="00890F11">
        <w:rPr>
          <w:rFonts w:eastAsia="MS Mincho" w:cs="Arial"/>
          <w:szCs w:val="18"/>
          <w:lang w:val="es-ES" w:eastAsia="ja-JP"/>
        </w:rPr>
        <w:t>, Bucharest.</w:t>
      </w:r>
    </w:p>
    <w:p w14:paraId="0D6B4098" w14:textId="77777777" w:rsidR="00C96521" w:rsidRPr="00890F11" w:rsidRDefault="00C96521" w:rsidP="00C96521">
      <w:pPr>
        <w:widowControl/>
        <w:autoSpaceDE/>
        <w:autoSpaceDN/>
        <w:adjustRightInd/>
        <w:spacing w:line="276" w:lineRule="auto"/>
        <w:rPr>
          <w:rFonts w:eastAsia="MS Mincho" w:cs="Arial"/>
          <w:b/>
          <w:bCs/>
          <w:szCs w:val="18"/>
          <w:lang w:val="es-ES" w:eastAsia="ja-JP"/>
        </w:rPr>
      </w:pPr>
    </w:p>
    <w:p w14:paraId="6699CA94" w14:textId="77777777" w:rsidR="00C96521" w:rsidRPr="00C96521" w:rsidRDefault="00C96521" w:rsidP="00C96521">
      <w:pPr>
        <w:widowControl/>
        <w:autoSpaceDE/>
        <w:autoSpaceDN/>
        <w:adjustRightInd/>
        <w:spacing w:line="276" w:lineRule="auto"/>
        <w:rPr>
          <w:rFonts w:eastAsia="MS Mincho" w:cs="Arial"/>
          <w:i/>
          <w:szCs w:val="18"/>
          <w:lang w:val="en-GB" w:eastAsia="ja-JP"/>
        </w:rPr>
      </w:pPr>
      <w:r w:rsidRPr="00C96521">
        <w:rPr>
          <w:rFonts w:eastAsia="MS Mincho" w:cs="Arial"/>
          <w:b/>
          <w:szCs w:val="18"/>
          <w:lang w:val="en-GB" w:eastAsia="ja-JP"/>
        </w:rPr>
        <w:t>PREOBRAZHENSKAYA ES (2009)</w:t>
      </w:r>
      <w:r w:rsidRPr="00C96521">
        <w:rPr>
          <w:rFonts w:eastAsia="MS Mincho" w:cs="Arial"/>
          <w:i/>
          <w:szCs w:val="18"/>
          <w:lang w:val="en-GB" w:eastAsia="ja-JP"/>
        </w:rPr>
        <w:t xml:space="preserve"> </w:t>
      </w:r>
      <w:r w:rsidRPr="00C96521">
        <w:rPr>
          <w:rFonts w:eastAsia="MS Mincho" w:cs="Arial"/>
          <w:szCs w:val="18"/>
          <w:lang w:val="en-GB" w:eastAsia="ja-JP"/>
        </w:rPr>
        <w:t xml:space="preserve">Numbers of some rare bird species in Unzha taiga and their changes in 1978-2009. </w:t>
      </w:r>
      <w:r w:rsidRPr="00C96521">
        <w:rPr>
          <w:rFonts w:eastAsia="MS Mincho" w:cs="Arial"/>
          <w:i/>
          <w:szCs w:val="18"/>
          <w:lang w:val="en-GB" w:eastAsia="ja-JP"/>
        </w:rPr>
        <w:t>Rare bird species of Non-Chernozem Centre of Russia. Proc. of IVth Conference</w:t>
      </w:r>
      <w:r w:rsidRPr="00C96521">
        <w:rPr>
          <w:rFonts w:eastAsia="MS Mincho" w:cs="Arial"/>
          <w:szCs w:val="18"/>
          <w:lang w:val="en-GB" w:eastAsia="ja-JP"/>
        </w:rPr>
        <w:t>. Moscow. pp 43-49. [in Russian]</w:t>
      </w:r>
    </w:p>
    <w:p w14:paraId="34FD74EB"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7A7B3D73"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C96521">
        <w:rPr>
          <w:rFonts w:eastAsia="MS Mincho" w:cs="Arial"/>
          <w:b/>
          <w:szCs w:val="18"/>
          <w:lang w:val="en-GB" w:eastAsia="ja-JP"/>
        </w:rPr>
        <w:t>PRIEDNIEKS J, STRAZDS M, STRAZDS A and PETRINS A (1989)</w:t>
      </w:r>
      <w:r w:rsidRPr="00C96521">
        <w:rPr>
          <w:rFonts w:eastAsia="MS Mincho" w:cs="Arial"/>
          <w:szCs w:val="18"/>
          <w:lang w:val="en-GB" w:eastAsia="ja-JP"/>
        </w:rPr>
        <w:t xml:space="preserve"> </w:t>
      </w:r>
      <w:r w:rsidRPr="00C96521">
        <w:rPr>
          <w:rFonts w:eastAsia="MS Mincho" w:cs="Arial"/>
          <w:i/>
          <w:szCs w:val="18"/>
          <w:lang w:val="en-GB" w:eastAsia="ja-JP"/>
        </w:rPr>
        <w:t>Latvijas Ligzdojošo Putnu Atlants 1980-1984</w:t>
      </w:r>
      <w:r w:rsidRPr="00C96521">
        <w:rPr>
          <w:rFonts w:eastAsia="MS Mincho" w:cs="Arial"/>
          <w:szCs w:val="18"/>
          <w:lang w:val="en-GB" w:eastAsia="ja-JP"/>
        </w:rPr>
        <w:t xml:space="preserve">. </w:t>
      </w:r>
      <w:r w:rsidRPr="00890F11">
        <w:rPr>
          <w:rFonts w:eastAsia="MS Mincho" w:cs="Arial"/>
          <w:szCs w:val="18"/>
          <w:lang w:val="es-ES" w:eastAsia="ja-JP"/>
        </w:rPr>
        <w:t>Rīga Zinātne, Riga.</w:t>
      </w:r>
    </w:p>
    <w:p w14:paraId="64F15C10" w14:textId="77777777" w:rsidR="00C96521" w:rsidRPr="00890F11" w:rsidRDefault="00C96521" w:rsidP="00C96521">
      <w:pPr>
        <w:widowControl/>
        <w:autoSpaceDE/>
        <w:autoSpaceDN/>
        <w:adjustRightInd/>
        <w:spacing w:line="276" w:lineRule="auto"/>
        <w:rPr>
          <w:rFonts w:eastAsia="MS Mincho" w:cs="Arial"/>
          <w:b/>
          <w:bCs/>
          <w:szCs w:val="18"/>
          <w:lang w:val="es-ES" w:eastAsia="ja-JP"/>
        </w:rPr>
      </w:pPr>
    </w:p>
    <w:p w14:paraId="1A65B23F" w14:textId="77777777" w:rsidR="00C96521" w:rsidRPr="00B44B0D" w:rsidRDefault="00C96521" w:rsidP="00C96521">
      <w:pPr>
        <w:widowControl/>
        <w:autoSpaceDE/>
        <w:autoSpaceDN/>
        <w:adjustRightInd/>
        <w:spacing w:line="276" w:lineRule="auto"/>
        <w:rPr>
          <w:rFonts w:eastAsia="MS Mincho" w:cs="Arial"/>
          <w:szCs w:val="18"/>
          <w:lang w:eastAsia="ja-JP"/>
        </w:rPr>
      </w:pPr>
      <w:r w:rsidRPr="00890F11">
        <w:rPr>
          <w:rFonts w:eastAsia="MS Mincho" w:cs="Arial"/>
          <w:b/>
          <w:bCs/>
          <w:szCs w:val="18"/>
          <w:lang w:val="es-ES" w:eastAsia="ja-JP"/>
        </w:rPr>
        <w:t>PURROY F (1997)</w:t>
      </w:r>
      <w:r w:rsidRPr="00890F11">
        <w:rPr>
          <w:rFonts w:eastAsia="MS Mincho" w:cs="Arial"/>
          <w:bCs/>
          <w:szCs w:val="18"/>
          <w:lang w:val="es-ES" w:eastAsia="ja-JP"/>
        </w:rPr>
        <w:t xml:space="preserve"> </w:t>
      </w:r>
      <w:r w:rsidRPr="00890F11">
        <w:rPr>
          <w:rFonts w:eastAsia="MS Mincho" w:cs="Arial"/>
          <w:i/>
          <w:szCs w:val="18"/>
          <w:lang w:val="es-ES" w:eastAsia="ja-JP"/>
        </w:rPr>
        <w:t>Atlas de las aves de España (1975/1995</w:t>
      </w:r>
      <w:r w:rsidRPr="00890F11">
        <w:rPr>
          <w:rFonts w:eastAsia="MS Mincho" w:cs="Arial"/>
          <w:szCs w:val="18"/>
          <w:lang w:val="es-ES" w:eastAsia="ja-JP"/>
        </w:rPr>
        <w:t xml:space="preserve">). </w:t>
      </w:r>
      <w:r w:rsidRPr="00B44B0D">
        <w:rPr>
          <w:rFonts w:eastAsia="MS Mincho" w:cs="Arial"/>
          <w:szCs w:val="18"/>
          <w:lang w:eastAsia="ja-JP"/>
        </w:rPr>
        <w:t>SEO/LYNX Edicions, Barcelona.</w:t>
      </w:r>
    </w:p>
    <w:p w14:paraId="4A73EBF5" w14:textId="77777777" w:rsidR="00C96521" w:rsidRPr="00B44B0D" w:rsidRDefault="00C96521" w:rsidP="00C96521">
      <w:pPr>
        <w:widowControl/>
        <w:autoSpaceDE/>
        <w:autoSpaceDN/>
        <w:adjustRightInd/>
        <w:spacing w:line="276" w:lineRule="auto"/>
        <w:rPr>
          <w:rFonts w:eastAsia="MS Mincho" w:cs="Arial"/>
          <w:b/>
          <w:szCs w:val="18"/>
          <w:lang w:eastAsia="ja-JP"/>
        </w:rPr>
      </w:pPr>
    </w:p>
    <w:p w14:paraId="5C30045F" w14:textId="77777777" w:rsidR="00C96521" w:rsidRPr="00965D7D" w:rsidRDefault="00C96521" w:rsidP="00C96521">
      <w:pPr>
        <w:widowControl/>
        <w:autoSpaceDE/>
        <w:autoSpaceDN/>
        <w:adjustRightInd/>
        <w:spacing w:line="276" w:lineRule="auto"/>
        <w:rPr>
          <w:rFonts w:eastAsia="MS Mincho" w:cs="Arial"/>
          <w:szCs w:val="18"/>
          <w:lang w:val="de-DE" w:eastAsia="ja-JP"/>
        </w:rPr>
      </w:pPr>
      <w:r w:rsidRPr="00B44B0D">
        <w:rPr>
          <w:rFonts w:eastAsia="MS Mincho" w:cs="Arial"/>
          <w:b/>
          <w:szCs w:val="18"/>
          <w:lang w:eastAsia="ja-JP"/>
        </w:rPr>
        <w:t>PUZOVIĆ S, SIMIC D, SAVELJIĆ D, GERGELJ J, TUCAKOV M, STONJNIĆ N, HULO I, HAM I, VIZI O, SCIBAN M, RUZIC M, VUCANOVIC M and JOVANOVIC T (2003)</w:t>
      </w:r>
      <w:r w:rsidRPr="00B44B0D">
        <w:rPr>
          <w:rFonts w:eastAsia="MS Mincho" w:cs="Arial"/>
          <w:szCs w:val="18"/>
          <w:lang w:eastAsia="ja-JP"/>
        </w:rPr>
        <w:t xml:space="preserve"> Birds of Serbia and Montenegro - size of nesting populations and trends: 1990-2002. </w:t>
      </w:r>
      <w:r w:rsidRPr="00965D7D">
        <w:rPr>
          <w:rFonts w:eastAsia="MS Mincho" w:cs="Arial"/>
          <w:i/>
          <w:szCs w:val="18"/>
          <w:lang w:val="de-DE" w:eastAsia="ja-JP"/>
        </w:rPr>
        <w:t>Ciconia</w:t>
      </w:r>
      <w:r w:rsidRPr="00965D7D">
        <w:rPr>
          <w:rFonts w:eastAsia="MS Mincho" w:cs="Arial"/>
          <w:szCs w:val="18"/>
          <w:lang w:val="de-DE" w:eastAsia="ja-JP"/>
        </w:rPr>
        <w:t> 12: 36-120.</w:t>
      </w:r>
    </w:p>
    <w:p w14:paraId="39249FB5" w14:textId="77777777" w:rsidR="00C96521" w:rsidRPr="00965D7D" w:rsidRDefault="00C96521" w:rsidP="00C96521">
      <w:pPr>
        <w:widowControl/>
        <w:autoSpaceDE/>
        <w:autoSpaceDN/>
        <w:adjustRightInd/>
        <w:spacing w:line="276" w:lineRule="auto"/>
        <w:rPr>
          <w:rFonts w:eastAsia="MS Mincho" w:cs="Arial"/>
          <w:szCs w:val="18"/>
          <w:lang w:val="de-DE" w:eastAsia="ja-JP"/>
        </w:rPr>
      </w:pPr>
    </w:p>
    <w:p w14:paraId="4D0FAB82"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965D7D">
        <w:rPr>
          <w:rFonts w:eastAsia="MS Mincho" w:cs="Arial"/>
          <w:b/>
          <w:szCs w:val="18"/>
          <w:lang w:val="de-DE" w:eastAsia="ja-JP"/>
        </w:rPr>
        <w:t xml:space="preserve">QUILLFELDT P, KLEEMAN L and MARX M (2014) </w:t>
      </w:r>
      <w:r w:rsidRPr="00965D7D">
        <w:rPr>
          <w:rFonts w:eastAsia="MS Mincho" w:cs="Arial"/>
          <w:szCs w:val="18"/>
          <w:lang w:val="de-DE" w:eastAsia="ja-JP"/>
        </w:rPr>
        <w:t xml:space="preserve">Hessen, Deutschland, Europa: Turteltauben im Fokus. </w:t>
      </w:r>
      <w:r w:rsidRPr="00C96521">
        <w:rPr>
          <w:rFonts w:eastAsia="MS Mincho" w:cs="Arial"/>
          <w:i/>
          <w:szCs w:val="18"/>
          <w:lang w:val="en-GB" w:eastAsia="ja-JP"/>
        </w:rPr>
        <w:t>Der Falke</w:t>
      </w:r>
      <w:r w:rsidRPr="00C96521">
        <w:rPr>
          <w:rFonts w:eastAsia="MS Mincho" w:cs="Arial"/>
          <w:szCs w:val="18"/>
          <w:lang w:val="en-GB" w:eastAsia="ja-JP"/>
        </w:rPr>
        <w:t xml:space="preserve"> 61 (2): 32-33.</w:t>
      </w:r>
    </w:p>
    <w:p w14:paraId="6D338260"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6C1D8925"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RAINE AF (2007)</w:t>
      </w:r>
      <w:r w:rsidRPr="00C96521">
        <w:rPr>
          <w:rFonts w:eastAsia="MS Mincho" w:cs="Arial"/>
          <w:szCs w:val="18"/>
          <w:lang w:val="en-GB" w:eastAsia="ja-JP"/>
        </w:rPr>
        <w:t xml:space="preserve"> </w:t>
      </w:r>
      <w:r w:rsidRPr="00C96521">
        <w:rPr>
          <w:rFonts w:eastAsia="MS Mincho" w:cs="Arial"/>
          <w:i/>
          <w:szCs w:val="18"/>
          <w:lang w:val="en-GB" w:eastAsia="ja-JP"/>
        </w:rPr>
        <w:t>The international impact of hunting and trapping in the Maltese islands</w:t>
      </w:r>
      <w:r w:rsidRPr="00C96521">
        <w:rPr>
          <w:rFonts w:eastAsia="MS Mincho" w:cs="Arial"/>
          <w:szCs w:val="18"/>
          <w:lang w:val="en-GB" w:eastAsia="ja-JP"/>
        </w:rPr>
        <w:t>. BirdLife Malta, Valleta.</w:t>
      </w:r>
    </w:p>
    <w:p w14:paraId="44233C6A"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16D17E9C"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RAINE A, SULTANA J and GILLINGS S (2009)</w:t>
      </w:r>
      <w:r w:rsidRPr="00C96521">
        <w:rPr>
          <w:rFonts w:eastAsia="MS Mincho" w:cs="Arial"/>
          <w:szCs w:val="18"/>
          <w:lang w:val="en-GB" w:eastAsia="ja-JP"/>
        </w:rPr>
        <w:t xml:space="preserve"> </w:t>
      </w:r>
      <w:r w:rsidRPr="00C96521">
        <w:rPr>
          <w:rFonts w:eastAsia="MS Mincho" w:cs="Arial"/>
          <w:i/>
          <w:szCs w:val="18"/>
          <w:lang w:val="en-GB" w:eastAsia="ja-JP"/>
        </w:rPr>
        <w:t>Malta Breeding Bird Atlas 2008</w:t>
      </w:r>
      <w:r w:rsidRPr="00C96521">
        <w:rPr>
          <w:rFonts w:eastAsia="MS Mincho" w:cs="Arial"/>
          <w:szCs w:val="18"/>
          <w:lang w:val="en-GB" w:eastAsia="ja-JP"/>
        </w:rPr>
        <w:t>. BirdLife Malta, Valleta.</w:t>
      </w:r>
    </w:p>
    <w:p w14:paraId="7DF2E0D0"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69A789F7" w14:textId="77777777" w:rsidR="00C96521" w:rsidRPr="00890F11" w:rsidRDefault="00C96521" w:rsidP="00C96521">
      <w:pPr>
        <w:widowControl/>
        <w:autoSpaceDE/>
        <w:autoSpaceDN/>
        <w:adjustRightInd/>
        <w:spacing w:line="276" w:lineRule="auto"/>
        <w:rPr>
          <w:rFonts w:eastAsia="MS Mincho" w:cs="Arial"/>
          <w:szCs w:val="18"/>
          <w:lang w:val="fr-FR" w:eastAsia="ja-JP"/>
        </w:rPr>
      </w:pPr>
      <w:r w:rsidRPr="00C96521">
        <w:rPr>
          <w:rFonts w:eastAsia="MS Mincho" w:cs="Arial"/>
          <w:b/>
          <w:szCs w:val="18"/>
          <w:lang w:val="en-GB" w:eastAsia="ja-JP"/>
        </w:rPr>
        <w:t>REIF J, VORISEK P, STASTNY K and BEJCEK V (2006)</w:t>
      </w:r>
      <w:r w:rsidRPr="00C96521">
        <w:rPr>
          <w:rFonts w:eastAsia="MS Mincho" w:cs="Arial"/>
          <w:szCs w:val="18"/>
          <w:lang w:val="en-GB" w:eastAsia="ja-JP"/>
        </w:rPr>
        <w:t xml:space="preserve"> Trendy početnosti ptáků v České republice v letech 1982–2005. </w:t>
      </w:r>
      <w:r w:rsidRPr="00890F11">
        <w:rPr>
          <w:rFonts w:eastAsia="MS Mincho" w:cs="Arial"/>
          <w:i/>
          <w:szCs w:val="18"/>
          <w:lang w:val="fr-FR" w:eastAsia="ja-JP"/>
        </w:rPr>
        <w:t>Sylvia</w:t>
      </w:r>
      <w:r w:rsidRPr="00890F11">
        <w:rPr>
          <w:rFonts w:eastAsia="MS Mincho" w:cs="Arial"/>
          <w:szCs w:val="18"/>
          <w:lang w:val="fr-FR" w:eastAsia="ja-JP"/>
        </w:rPr>
        <w:t xml:space="preserve"> 42: 22-37.</w:t>
      </w:r>
    </w:p>
    <w:p w14:paraId="5B64B30D" w14:textId="77777777" w:rsidR="00C96521" w:rsidRPr="00890F11" w:rsidRDefault="00C96521" w:rsidP="00C96521">
      <w:pPr>
        <w:widowControl/>
        <w:autoSpaceDE/>
        <w:autoSpaceDN/>
        <w:adjustRightInd/>
        <w:spacing w:line="276" w:lineRule="auto"/>
        <w:rPr>
          <w:rFonts w:eastAsia="MS Mincho" w:cs="Arial"/>
          <w:b/>
          <w:szCs w:val="18"/>
          <w:lang w:val="fr-FR" w:eastAsia="ja-JP"/>
        </w:rPr>
      </w:pPr>
    </w:p>
    <w:p w14:paraId="4135F042" w14:textId="77777777" w:rsidR="00C96521" w:rsidRPr="00C96521" w:rsidRDefault="00C96521" w:rsidP="00C96521">
      <w:pPr>
        <w:widowControl/>
        <w:autoSpaceDE/>
        <w:autoSpaceDN/>
        <w:adjustRightInd/>
        <w:spacing w:line="276" w:lineRule="auto"/>
        <w:rPr>
          <w:rFonts w:eastAsia="MS Mincho" w:cs="Arial"/>
          <w:b/>
          <w:szCs w:val="18"/>
          <w:lang w:val="en-GB" w:eastAsia="ja-JP"/>
        </w:rPr>
      </w:pPr>
      <w:r w:rsidRPr="00890F11">
        <w:rPr>
          <w:rFonts w:eastAsia="MS Mincho" w:cs="Arial"/>
          <w:b/>
          <w:szCs w:val="18"/>
          <w:lang w:val="fr-FR" w:eastAsia="ja-JP"/>
        </w:rPr>
        <w:t xml:space="preserve">RETE RURALE NAZIONALE and LIPU (2015) </w:t>
      </w:r>
      <w:r w:rsidRPr="00890F11">
        <w:rPr>
          <w:rFonts w:eastAsia="MS Mincho" w:cs="Arial"/>
          <w:i/>
          <w:szCs w:val="18"/>
          <w:lang w:val="fr-FR" w:eastAsia="ja-JP"/>
        </w:rPr>
        <w:t xml:space="preserve">Uccelli comuni in Italia. </w:t>
      </w:r>
      <w:r w:rsidRPr="00C96521">
        <w:rPr>
          <w:rFonts w:eastAsia="MS Mincho" w:cs="Arial"/>
          <w:i/>
          <w:szCs w:val="18"/>
          <w:lang w:val="en-GB" w:eastAsia="ja-JP"/>
        </w:rPr>
        <w:t>Aggiornamento degli andamenti di popolazione e del Farmland Bird Index per la Rete Rurale Nazionale dal 2000 al 2014.</w:t>
      </w:r>
      <w:r w:rsidRPr="00C96521">
        <w:rPr>
          <w:rFonts w:eastAsia="MS Mincho" w:cs="Arial"/>
          <w:szCs w:val="18"/>
          <w:lang w:val="en-GB" w:eastAsia="ja-JP"/>
        </w:rPr>
        <w:t xml:space="preserve"> http://www.reterurale.it/flex/cm/pages/ServeBLOB.php/L/IT/IDPagina/15032 (last accessed 28</w:t>
      </w:r>
      <w:r w:rsidRPr="00C96521">
        <w:rPr>
          <w:rFonts w:eastAsia="MS Mincho" w:cs="Arial"/>
          <w:szCs w:val="18"/>
          <w:vertAlign w:val="superscript"/>
          <w:lang w:val="en-GB" w:eastAsia="ja-JP"/>
        </w:rPr>
        <w:t>th</w:t>
      </w:r>
      <w:r w:rsidRPr="00C96521">
        <w:rPr>
          <w:rFonts w:eastAsia="MS Mincho" w:cs="Arial"/>
          <w:szCs w:val="18"/>
          <w:lang w:val="en-GB" w:eastAsia="ja-JP"/>
        </w:rPr>
        <w:t xml:space="preserve"> March 2017.</w:t>
      </w:r>
    </w:p>
    <w:p w14:paraId="4D4EFB74"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6A11650F"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r w:rsidRPr="00C96521">
        <w:rPr>
          <w:rFonts w:eastAsia="MS Mincho" w:cs="Arial"/>
          <w:b/>
          <w:bCs/>
          <w:szCs w:val="18"/>
          <w:lang w:val="en-GB" w:eastAsia="ja-JP"/>
        </w:rPr>
        <w:t xml:space="preserve">ROBINSON RA (2016) </w:t>
      </w:r>
      <w:r w:rsidRPr="00C96521">
        <w:rPr>
          <w:rFonts w:eastAsia="MS Mincho" w:cs="Arial"/>
          <w:i/>
          <w:szCs w:val="18"/>
          <w:lang w:val="en-GB" w:eastAsia="ja-JP"/>
        </w:rPr>
        <w:t>BirdFacts: profiles of birds occurring in Britain &amp; Ireland (BTO Research Report 407).</w:t>
      </w:r>
      <w:r w:rsidRPr="00C96521">
        <w:rPr>
          <w:rFonts w:eastAsia="MS Mincho" w:cs="Arial"/>
          <w:szCs w:val="18"/>
          <w:lang w:val="en-GB" w:eastAsia="ja-JP"/>
        </w:rPr>
        <w:t xml:space="preserve"> BTO, Thetford. http://www.bto.org/birdfact] (last accessed 4</w:t>
      </w:r>
      <w:r w:rsidRPr="00C96521">
        <w:rPr>
          <w:rFonts w:eastAsia="MS Mincho" w:cs="Arial"/>
          <w:szCs w:val="18"/>
          <w:vertAlign w:val="superscript"/>
          <w:lang w:val="en-GB" w:eastAsia="ja-JP"/>
        </w:rPr>
        <w:t>th</w:t>
      </w:r>
      <w:r w:rsidRPr="00C96521">
        <w:rPr>
          <w:rFonts w:eastAsia="MS Mincho" w:cs="Arial"/>
          <w:szCs w:val="18"/>
          <w:lang w:val="en-GB" w:eastAsia="ja-JP"/>
        </w:rPr>
        <w:t xml:space="preserve"> November 2016).</w:t>
      </w:r>
    </w:p>
    <w:p w14:paraId="385EDB13"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2A072D96"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C96521">
        <w:rPr>
          <w:rFonts w:eastAsia="MS Mincho" w:cs="Arial"/>
          <w:b/>
          <w:szCs w:val="18"/>
          <w:lang w:val="en-GB" w:eastAsia="ja-JP"/>
        </w:rPr>
        <w:t>ROBINSON RA, LAWSON B, TOMS MP, PECK KM, KIRKWOOD JK, CHANTRY J, CLATWORTHY IR, EVANS AD, HUGHES LA, HUTCHINSON OC, JOHN SK, PENNYCOTT TW, PERKINS MW, ROWLEY PS, SIMPSON VR, TYLER KM and CUNNINGHAM AA (2010)</w:t>
      </w:r>
      <w:r w:rsidRPr="00C96521">
        <w:rPr>
          <w:rFonts w:eastAsia="MS Mincho" w:cs="Arial"/>
          <w:szCs w:val="18"/>
          <w:lang w:val="en-GB" w:eastAsia="ja-JP"/>
        </w:rPr>
        <w:t xml:space="preserve"> Emerging infectious disease leads to rapid population declines of common British birds. </w:t>
      </w:r>
      <w:r w:rsidRPr="00890F11">
        <w:rPr>
          <w:rFonts w:eastAsia="MS Mincho" w:cs="Arial"/>
          <w:i/>
          <w:szCs w:val="18"/>
          <w:lang w:val="es-ES" w:eastAsia="ja-JP"/>
        </w:rPr>
        <w:t>PLoS ONE</w:t>
      </w:r>
      <w:r w:rsidRPr="00890F11">
        <w:rPr>
          <w:rFonts w:eastAsia="MS Mincho" w:cs="Arial"/>
          <w:szCs w:val="18"/>
          <w:lang w:val="es-ES" w:eastAsia="ja-JP"/>
        </w:rPr>
        <w:t xml:space="preserve"> 5 (8) DOI: 10.1371/journal.pone.0012215.</w:t>
      </w:r>
    </w:p>
    <w:p w14:paraId="706CAA7B" w14:textId="77777777" w:rsidR="00C96521" w:rsidRPr="00890F11" w:rsidRDefault="00C96521" w:rsidP="00C96521">
      <w:pPr>
        <w:widowControl/>
        <w:autoSpaceDE/>
        <w:autoSpaceDN/>
        <w:adjustRightInd/>
        <w:spacing w:line="276" w:lineRule="auto"/>
        <w:rPr>
          <w:rFonts w:eastAsia="MS Mincho" w:cs="Arial"/>
          <w:bCs/>
          <w:szCs w:val="18"/>
          <w:lang w:val="es-ES" w:eastAsia="ja-JP"/>
        </w:rPr>
      </w:pPr>
    </w:p>
    <w:p w14:paraId="13D52C78" w14:textId="77777777" w:rsidR="00C96521" w:rsidRPr="00890F11" w:rsidRDefault="00C96521" w:rsidP="00C96521">
      <w:pPr>
        <w:widowControl/>
        <w:autoSpaceDE/>
        <w:autoSpaceDN/>
        <w:adjustRightInd/>
        <w:spacing w:line="276" w:lineRule="auto"/>
        <w:rPr>
          <w:rFonts w:eastAsia="MS Mincho" w:cs="Arial"/>
          <w:bCs/>
          <w:szCs w:val="18"/>
          <w:lang w:val="es-ES" w:eastAsia="ja-JP"/>
        </w:rPr>
      </w:pPr>
      <w:r w:rsidRPr="00890F11">
        <w:rPr>
          <w:rFonts w:eastAsia="MS Mincho" w:cs="Arial"/>
          <w:b/>
          <w:bCs/>
          <w:szCs w:val="18"/>
          <w:lang w:val="es-ES" w:eastAsia="ja-JP"/>
        </w:rPr>
        <w:t>ROCHA CAMARERO G and HIDALGO DE TRUCIOS SJ (1998)</w:t>
      </w:r>
      <w:r w:rsidRPr="00890F11">
        <w:rPr>
          <w:rFonts w:eastAsia="MS Mincho" w:cs="Arial"/>
          <w:bCs/>
          <w:szCs w:val="18"/>
          <w:lang w:val="es-ES" w:eastAsia="ja-JP"/>
        </w:rPr>
        <w:t xml:space="preserve"> Distribución y abundancia de la Tórtola Turca </w:t>
      </w:r>
      <w:r w:rsidRPr="00890F11">
        <w:rPr>
          <w:rFonts w:eastAsia="MS Mincho" w:cs="Arial"/>
          <w:bCs/>
          <w:i/>
          <w:szCs w:val="18"/>
          <w:lang w:val="es-ES" w:eastAsia="ja-JP"/>
        </w:rPr>
        <w:t>Streptopelia decaocto</w:t>
      </w:r>
      <w:r w:rsidRPr="00890F11">
        <w:rPr>
          <w:rFonts w:eastAsia="MS Mincho" w:cs="Arial"/>
          <w:bCs/>
          <w:szCs w:val="18"/>
          <w:lang w:val="es-ES" w:eastAsia="ja-JP"/>
        </w:rPr>
        <w:t xml:space="preserve"> en Extremadura (SO de España). </w:t>
      </w:r>
      <w:hyperlink r:id="rId57" w:tgtFrame="_parent" w:history="1">
        <w:r w:rsidRPr="00890F11">
          <w:rPr>
            <w:rFonts w:eastAsia="MS Mincho" w:cs="Arial"/>
            <w:bCs/>
            <w:i/>
            <w:szCs w:val="18"/>
            <w:lang w:val="es-ES" w:eastAsia="ja-JP"/>
          </w:rPr>
          <w:t>Butlletí del Grup Català d'Anellament</w:t>
        </w:r>
      </w:hyperlink>
      <w:r w:rsidRPr="00890F11">
        <w:rPr>
          <w:rFonts w:eastAsia="MS Mincho" w:cs="Arial"/>
          <w:bCs/>
          <w:szCs w:val="18"/>
          <w:lang w:val="es-ES" w:eastAsia="ja-JP"/>
        </w:rPr>
        <w:t xml:space="preserve"> 15:1-8.</w:t>
      </w:r>
    </w:p>
    <w:p w14:paraId="7417ADC4" w14:textId="77777777" w:rsidR="00C96521" w:rsidRPr="00890F11" w:rsidRDefault="00C96521" w:rsidP="00C96521">
      <w:pPr>
        <w:widowControl/>
        <w:autoSpaceDE/>
        <w:autoSpaceDN/>
        <w:adjustRightInd/>
        <w:spacing w:line="276" w:lineRule="auto"/>
        <w:rPr>
          <w:rFonts w:eastAsia="MS Mincho" w:cs="Arial"/>
          <w:bCs/>
          <w:szCs w:val="18"/>
          <w:lang w:val="es-ES" w:eastAsia="ja-JP"/>
        </w:rPr>
      </w:pPr>
    </w:p>
    <w:p w14:paraId="4B721E8E" w14:textId="77777777" w:rsidR="00C96521" w:rsidRPr="00965D7D" w:rsidRDefault="00C96521" w:rsidP="00C96521">
      <w:pPr>
        <w:widowControl/>
        <w:autoSpaceDE/>
        <w:autoSpaceDN/>
        <w:adjustRightInd/>
        <w:spacing w:line="276" w:lineRule="auto"/>
        <w:rPr>
          <w:rFonts w:eastAsia="MS Mincho" w:cs="Arial"/>
          <w:szCs w:val="18"/>
          <w:lang w:val="fr-FR" w:eastAsia="ja-JP"/>
        </w:rPr>
      </w:pPr>
      <w:r w:rsidRPr="00890F11">
        <w:rPr>
          <w:rFonts w:eastAsia="MS Mincho" w:cs="Arial"/>
          <w:b/>
          <w:bCs/>
          <w:szCs w:val="18"/>
          <w:lang w:val="es-ES" w:eastAsia="ja-JP"/>
        </w:rPr>
        <w:t>ROCHA CAMARERO G and HIDALGO DE TRUCIOS SJ (2000)</w:t>
      </w:r>
      <w:r w:rsidRPr="00890F11">
        <w:rPr>
          <w:rFonts w:eastAsia="MS Mincho" w:cs="Arial"/>
          <w:bCs/>
          <w:szCs w:val="18"/>
          <w:lang w:val="es-ES" w:eastAsia="ja-JP"/>
        </w:rPr>
        <w:t xml:space="preserve"> </w:t>
      </w:r>
      <w:r w:rsidRPr="00890F11">
        <w:rPr>
          <w:rFonts w:eastAsia="MS Mincho" w:cs="Arial"/>
          <w:bCs/>
          <w:i/>
          <w:szCs w:val="18"/>
          <w:lang w:val="es-ES" w:eastAsia="ja-JP"/>
        </w:rPr>
        <w:t xml:space="preserve">Ecología de la tórtola turca </w:t>
      </w:r>
      <w:r w:rsidRPr="00890F11">
        <w:rPr>
          <w:rFonts w:eastAsia="MS Mincho" w:cs="Arial"/>
          <w:i/>
          <w:iCs/>
          <w:szCs w:val="18"/>
          <w:lang w:val="es-ES" w:eastAsia="ja-JP"/>
        </w:rPr>
        <w:t>(</w:t>
      </w:r>
      <w:r w:rsidRPr="00890F11">
        <w:rPr>
          <w:rFonts w:eastAsia="MS Mincho" w:cs="Arial"/>
          <w:iCs/>
          <w:szCs w:val="18"/>
          <w:lang w:val="es-ES" w:eastAsia="ja-JP"/>
        </w:rPr>
        <w:t>Streptopelia decaocto</w:t>
      </w:r>
      <w:r w:rsidRPr="00890F11">
        <w:rPr>
          <w:rFonts w:eastAsia="MS Mincho" w:cs="Arial"/>
          <w:i/>
          <w:iCs/>
          <w:szCs w:val="18"/>
          <w:lang w:val="es-ES" w:eastAsia="ja-JP"/>
        </w:rPr>
        <w:t>)</w:t>
      </w:r>
      <w:r w:rsidRPr="00890F11">
        <w:rPr>
          <w:rFonts w:eastAsia="MS Mincho" w:cs="Arial"/>
          <w:szCs w:val="18"/>
          <w:lang w:val="es-ES" w:eastAsia="ja-JP"/>
        </w:rPr>
        <w:t xml:space="preserve">. </w:t>
      </w:r>
      <w:r w:rsidRPr="00965D7D">
        <w:rPr>
          <w:rFonts w:eastAsia="MS Mincho" w:cs="Arial"/>
          <w:szCs w:val="18"/>
          <w:lang w:val="fr-FR" w:eastAsia="ja-JP"/>
        </w:rPr>
        <w:t>Servicio de Publicaciones de la Universidad de Extremadura, Cáceres.</w:t>
      </w:r>
    </w:p>
    <w:p w14:paraId="740B0C38" w14:textId="77777777" w:rsidR="00C96521" w:rsidRPr="00965D7D" w:rsidRDefault="00C96521" w:rsidP="00C96521">
      <w:pPr>
        <w:widowControl/>
        <w:autoSpaceDE/>
        <w:autoSpaceDN/>
        <w:adjustRightInd/>
        <w:spacing w:line="276" w:lineRule="auto"/>
        <w:rPr>
          <w:rFonts w:eastAsia="MS Mincho" w:cs="Arial"/>
          <w:szCs w:val="18"/>
          <w:lang w:val="fr-FR" w:eastAsia="ja-JP"/>
        </w:rPr>
      </w:pPr>
    </w:p>
    <w:p w14:paraId="66E0A9FE" w14:textId="77777777" w:rsidR="00C96521" w:rsidRPr="00890F11" w:rsidRDefault="00C96521" w:rsidP="00C96521">
      <w:pPr>
        <w:widowControl/>
        <w:autoSpaceDE/>
        <w:autoSpaceDN/>
        <w:adjustRightInd/>
        <w:spacing w:line="276" w:lineRule="auto"/>
        <w:rPr>
          <w:rFonts w:eastAsia="MS Mincho" w:cs="Arial"/>
          <w:szCs w:val="18"/>
          <w:lang w:val="fr-FR" w:eastAsia="ja-JP"/>
        </w:rPr>
      </w:pPr>
      <w:r w:rsidRPr="00810359">
        <w:rPr>
          <w:rFonts w:eastAsia="MS Mincho" w:cs="Arial"/>
          <w:b/>
          <w:bCs/>
          <w:szCs w:val="18"/>
          <w:lang w:val="es-ES" w:eastAsia="ja-JP"/>
        </w:rPr>
        <w:t>ROCHA CAMARERO G and HIDALGO DE TRUCIOS S J (2001a)</w:t>
      </w:r>
      <w:r w:rsidRPr="00810359">
        <w:rPr>
          <w:rFonts w:eastAsia="MS Mincho" w:cs="Arial"/>
          <w:bCs/>
          <w:szCs w:val="18"/>
          <w:lang w:val="es-ES" w:eastAsia="ja-JP"/>
        </w:rPr>
        <w:t xml:space="preserve"> Incidencia del uso de reclamos alimenticios sobre la </w:t>
      </w:r>
      <w:r w:rsidRPr="00810359">
        <w:rPr>
          <w:rFonts w:eastAsia="MS Mincho" w:cs="Arial"/>
          <w:bCs/>
          <w:i/>
          <w:szCs w:val="18"/>
          <w:lang w:val="es-ES" w:eastAsia="ja-JP"/>
        </w:rPr>
        <w:t>tórtola comùn.</w:t>
      </w:r>
      <w:r w:rsidRPr="00810359">
        <w:rPr>
          <w:rFonts w:eastAsia="MS Mincho" w:cs="Arial"/>
          <w:szCs w:val="18"/>
          <w:lang w:val="es-ES" w:eastAsia="ja-JP"/>
        </w:rPr>
        <w:t xml:space="preserve"> Biologia y gestion de columbidos silvestres. II Cologuio Internacional – 14-15 Deciembre 2000 – Donostia-San Sebastian. </w:t>
      </w:r>
      <w:r w:rsidRPr="00890F11">
        <w:rPr>
          <w:rFonts w:eastAsia="MS Mincho" w:cs="Arial"/>
          <w:szCs w:val="18"/>
          <w:lang w:val="fr-FR" w:eastAsia="ja-JP"/>
        </w:rPr>
        <w:t>Naturzale. Cuadernos de Ciencias Naturales 16 : 147-155.</w:t>
      </w:r>
    </w:p>
    <w:p w14:paraId="53E6539B" w14:textId="77777777" w:rsidR="00C96521" w:rsidRPr="00890F11" w:rsidRDefault="00C96521" w:rsidP="00C96521">
      <w:pPr>
        <w:widowControl/>
        <w:autoSpaceDE/>
        <w:autoSpaceDN/>
        <w:adjustRightInd/>
        <w:spacing w:line="276" w:lineRule="auto"/>
        <w:rPr>
          <w:rFonts w:eastAsia="MS Mincho" w:cs="Arial"/>
          <w:szCs w:val="18"/>
          <w:lang w:val="fr-FR" w:eastAsia="ja-JP"/>
        </w:rPr>
      </w:pPr>
    </w:p>
    <w:p w14:paraId="46225573"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890F11">
        <w:rPr>
          <w:rFonts w:eastAsia="MS Mincho" w:cs="Arial"/>
          <w:b/>
          <w:szCs w:val="18"/>
          <w:lang w:val="fr-FR" w:eastAsia="ja-JP"/>
        </w:rPr>
        <w:t>ROCHA CAMARERO G and HIDALGO DE TRUCIOS SJ (2001b)</w:t>
      </w:r>
      <w:r w:rsidRPr="00890F11">
        <w:rPr>
          <w:rFonts w:eastAsia="MS Mincho" w:cs="Arial"/>
          <w:szCs w:val="18"/>
          <w:lang w:val="fr-FR" w:eastAsia="ja-JP"/>
        </w:rPr>
        <w:t xml:space="preserve"> La Tourterelle Turque </w:t>
      </w:r>
      <w:r w:rsidRPr="00890F11">
        <w:rPr>
          <w:rFonts w:eastAsia="MS Mincho" w:cs="Arial"/>
          <w:i/>
          <w:szCs w:val="18"/>
          <w:lang w:val="fr-FR" w:eastAsia="ja-JP"/>
        </w:rPr>
        <w:t>Streptopelia decaocto</w:t>
      </w:r>
      <w:r w:rsidRPr="00890F11">
        <w:rPr>
          <w:rFonts w:eastAsia="MS Mincho" w:cs="Arial"/>
          <w:szCs w:val="18"/>
          <w:lang w:val="fr-FR" w:eastAsia="ja-JP"/>
        </w:rPr>
        <w:t xml:space="preserve"> en Estrémadure, en Espagne: sa distribution, son expansion et son incidence sur la Tourterelle des bois. </w:t>
      </w:r>
      <w:r w:rsidRPr="00890F11">
        <w:rPr>
          <w:rFonts w:eastAsia="MS Mincho" w:cs="Arial"/>
          <w:i/>
          <w:szCs w:val="18"/>
          <w:lang w:val="es-ES" w:eastAsia="ja-JP"/>
        </w:rPr>
        <w:t>Faune Sauvage</w:t>
      </w:r>
      <w:r w:rsidRPr="00890F11">
        <w:rPr>
          <w:rFonts w:eastAsia="MS Mincho" w:cs="Arial"/>
          <w:szCs w:val="18"/>
          <w:lang w:val="es-ES" w:eastAsia="ja-JP"/>
        </w:rPr>
        <w:t xml:space="preserve"> 253: 66-68.</w:t>
      </w:r>
    </w:p>
    <w:p w14:paraId="2E34E516" w14:textId="77777777" w:rsidR="00C96521" w:rsidRPr="00890F11" w:rsidRDefault="00C96521" w:rsidP="00C96521">
      <w:pPr>
        <w:widowControl/>
        <w:autoSpaceDE/>
        <w:autoSpaceDN/>
        <w:adjustRightInd/>
        <w:spacing w:line="276" w:lineRule="auto"/>
        <w:rPr>
          <w:rFonts w:eastAsia="MS Mincho" w:cs="Arial"/>
          <w:szCs w:val="18"/>
          <w:lang w:val="es-ES" w:eastAsia="ja-JP"/>
        </w:rPr>
      </w:pPr>
    </w:p>
    <w:p w14:paraId="3E453B55"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890F11">
        <w:rPr>
          <w:rFonts w:eastAsia="MS Mincho" w:cs="Arial"/>
          <w:b/>
          <w:bCs/>
          <w:szCs w:val="18"/>
          <w:lang w:val="es-ES" w:eastAsia="ja-JP"/>
        </w:rPr>
        <w:t>ROCHA CAMARERO G and HIDALGO DE TRUCIOS S J (2002a)</w:t>
      </w:r>
      <w:r w:rsidRPr="00890F11">
        <w:rPr>
          <w:rFonts w:eastAsia="MS Mincho" w:cs="Arial"/>
          <w:bCs/>
          <w:szCs w:val="18"/>
          <w:lang w:val="es-ES" w:eastAsia="ja-JP"/>
        </w:rPr>
        <w:t xml:space="preserve"> </w:t>
      </w:r>
      <w:r w:rsidRPr="00890F11">
        <w:rPr>
          <w:rFonts w:eastAsia="MS Mincho" w:cs="Arial"/>
          <w:bCs/>
          <w:i/>
          <w:szCs w:val="18"/>
          <w:lang w:val="es-ES" w:eastAsia="ja-JP"/>
        </w:rPr>
        <w:t xml:space="preserve">La tórtola común </w:t>
      </w:r>
      <w:r w:rsidRPr="00890F11">
        <w:rPr>
          <w:rFonts w:eastAsia="MS Mincho" w:cs="Arial"/>
          <w:i/>
          <w:iCs/>
          <w:szCs w:val="18"/>
          <w:lang w:val="es-ES" w:eastAsia="ja-JP"/>
        </w:rPr>
        <w:t>(</w:t>
      </w:r>
      <w:r w:rsidRPr="00890F11">
        <w:rPr>
          <w:rFonts w:eastAsia="MS Mincho" w:cs="Arial"/>
          <w:iCs/>
          <w:szCs w:val="18"/>
          <w:lang w:val="es-ES" w:eastAsia="ja-JP"/>
        </w:rPr>
        <w:t>Streptopelia turtur</w:t>
      </w:r>
      <w:r w:rsidRPr="00890F11">
        <w:rPr>
          <w:rFonts w:eastAsia="MS Mincho" w:cs="Arial"/>
          <w:i/>
          <w:iCs/>
          <w:szCs w:val="18"/>
          <w:lang w:val="es-ES" w:eastAsia="ja-JP"/>
        </w:rPr>
        <w:t xml:space="preserve">). Análisis de los factores que afectan a su status. </w:t>
      </w:r>
      <w:r w:rsidRPr="00890F11">
        <w:rPr>
          <w:rFonts w:eastAsia="MS Mincho" w:cs="Arial"/>
          <w:szCs w:val="18"/>
          <w:lang w:val="es-ES" w:eastAsia="ja-JP"/>
        </w:rPr>
        <w:t>Servicio de Publicaciones de la Universidad de Extremadura, Cáceres.</w:t>
      </w:r>
    </w:p>
    <w:p w14:paraId="01020A84" w14:textId="77777777" w:rsidR="00C96521" w:rsidRPr="00890F11" w:rsidRDefault="00C96521" w:rsidP="00C96521">
      <w:pPr>
        <w:widowControl/>
        <w:autoSpaceDE/>
        <w:autoSpaceDN/>
        <w:adjustRightInd/>
        <w:spacing w:line="276" w:lineRule="auto"/>
        <w:rPr>
          <w:rFonts w:eastAsia="MS Mincho" w:cs="Arial"/>
          <w:b/>
          <w:bCs/>
          <w:szCs w:val="18"/>
          <w:lang w:val="es-ES" w:eastAsia="ja-JP"/>
        </w:rPr>
      </w:pPr>
    </w:p>
    <w:p w14:paraId="465A2D3D"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ROCHA CAMARERO G and HIDALGO DE TRUCIOS SJ (2002b</w:t>
      </w:r>
      <w:r w:rsidRPr="00C96521">
        <w:rPr>
          <w:rFonts w:eastAsia="MS Mincho" w:cs="Arial"/>
          <w:bCs/>
          <w:szCs w:val="18"/>
          <w:lang w:val="en-GB" w:eastAsia="ja-JP"/>
        </w:rPr>
        <w:t xml:space="preserve">) </w:t>
      </w:r>
      <w:r w:rsidRPr="00C96521">
        <w:rPr>
          <w:rFonts w:eastAsia="MS Mincho" w:cs="Arial"/>
          <w:szCs w:val="18"/>
          <w:lang w:val="en-GB" w:eastAsia="ja-JP"/>
        </w:rPr>
        <w:t xml:space="preserve">Examining the spread of the Collared Dove in Europe. Colonization patterns in the west of the Iberian Peninsula. </w:t>
      </w:r>
      <w:r w:rsidRPr="00C96521">
        <w:rPr>
          <w:rFonts w:eastAsia="MS Mincho" w:cs="Arial"/>
          <w:i/>
          <w:iCs/>
          <w:szCs w:val="18"/>
          <w:lang w:val="en-GB" w:eastAsia="ja-JP"/>
        </w:rPr>
        <w:t>Bird Study</w:t>
      </w:r>
      <w:r w:rsidRPr="00C96521">
        <w:rPr>
          <w:rFonts w:eastAsia="MS Mincho" w:cs="Arial"/>
          <w:szCs w:val="18"/>
          <w:lang w:val="en-GB" w:eastAsia="ja-JP"/>
        </w:rPr>
        <w:t xml:space="preserve"> 489: 11-16.</w:t>
      </w:r>
    </w:p>
    <w:p w14:paraId="0C865B5A"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196B30A3" w14:textId="77777777" w:rsidR="00C96521" w:rsidRPr="008C00B8" w:rsidRDefault="00C96521" w:rsidP="00C96521">
      <w:pPr>
        <w:widowControl/>
        <w:autoSpaceDE/>
        <w:autoSpaceDN/>
        <w:adjustRightInd/>
        <w:spacing w:line="276" w:lineRule="auto"/>
        <w:rPr>
          <w:rFonts w:eastAsia="MS Mincho" w:cs="Arial"/>
          <w:szCs w:val="18"/>
          <w:lang w:val="fr-FR" w:eastAsia="ja-JP"/>
        </w:rPr>
      </w:pPr>
      <w:r w:rsidRPr="00890F11">
        <w:rPr>
          <w:rFonts w:eastAsia="MS Mincho" w:cs="Arial"/>
          <w:b/>
          <w:szCs w:val="18"/>
          <w:lang w:val="es-ES" w:eastAsia="ja-JP"/>
        </w:rPr>
        <w:t>ROCHA CAMARERO G and HIDALGO DE TRUCIOS SJ (2004a)</w:t>
      </w:r>
      <w:r w:rsidRPr="00890F11">
        <w:rPr>
          <w:rFonts w:eastAsia="MS Mincho" w:cs="Arial"/>
          <w:szCs w:val="18"/>
          <w:lang w:val="es-ES" w:eastAsia="ja-JP"/>
        </w:rPr>
        <w:t xml:space="preserve"> La Investigación científica al servicio de una gestión eficaz: el ejemplo de los estudios sobre la Tórtola Común en Extremadura. </w:t>
      </w:r>
      <w:r w:rsidRPr="008C00B8">
        <w:rPr>
          <w:rFonts w:eastAsia="MS Mincho" w:cs="Arial"/>
          <w:i/>
          <w:szCs w:val="18"/>
          <w:lang w:val="fr-FR" w:eastAsia="ja-JP"/>
        </w:rPr>
        <w:t xml:space="preserve">Foresta </w:t>
      </w:r>
      <w:r w:rsidRPr="008C00B8">
        <w:rPr>
          <w:rFonts w:eastAsia="MS Mincho" w:cs="Arial"/>
          <w:szCs w:val="18"/>
          <w:lang w:val="fr-FR" w:eastAsia="ja-JP"/>
        </w:rPr>
        <w:t>27: 76-81.</w:t>
      </w:r>
    </w:p>
    <w:p w14:paraId="4035A5BF" w14:textId="77777777" w:rsidR="00C96521" w:rsidRPr="008C00B8" w:rsidRDefault="00C96521" w:rsidP="00C96521">
      <w:pPr>
        <w:widowControl/>
        <w:autoSpaceDE/>
        <w:autoSpaceDN/>
        <w:adjustRightInd/>
        <w:spacing w:line="276" w:lineRule="auto"/>
        <w:rPr>
          <w:rFonts w:eastAsia="MS Mincho" w:cs="Arial"/>
          <w:szCs w:val="18"/>
          <w:lang w:val="fr-FR" w:eastAsia="ja-JP"/>
        </w:rPr>
      </w:pPr>
    </w:p>
    <w:p w14:paraId="652463A1" w14:textId="77777777" w:rsidR="00C96521" w:rsidRPr="00890F11" w:rsidRDefault="00C96521" w:rsidP="00C96521">
      <w:pPr>
        <w:widowControl/>
        <w:autoSpaceDE/>
        <w:autoSpaceDN/>
        <w:adjustRightInd/>
        <w:spacing w:line="276" w:lineRule="auto"/>
        <w:rPr>
          <w:rFonts w:eastAsia="MS Mincho" w:cs="Arial"/>
          <w:szCs w:val="18"/>
          <w:lang w:val="es-ES" w:eastAsia="ja-JP"/>
        </w:rPr>
      </w:pPr>
      <w:r w:rsidRPr="00810359">
        <w:rPr>
          <w:rFonts w:eastAsia="MS Mincho" w:cs="Arial"/>
          <w:b/>
          <w:szCs w:val="18"/>
          <w:lang w:val="es-ES" w:eastAsia="ja-JP"/>
        </w:rPr>
        <w:t>ROCHA CAMARERO G and HIDALGO DE TRUCIOS SJ (2004b)</w:t>
      </w:r>
      <w:r w:rsidRPr="00810359">
        <w:rPr>
          <w:rFonts w:eastAsia="MS Mincho" w:cs="Arial"/>
          <w:szCs w:val="18"/>
          <w:lang w:val="es-ES" w:eastAsia="ja-JP"/>
        </w:rPr>
        <w:t xml:space="preserve"> La Tórtola Turca, ¿especie cazable?. </w:t>
      </w:r>
      <w:r w:rsidRPr="00890F11">
        <w:rPr>
          <w:rFonts w:eastAsia="MS Mincho" w:cs="Arial"/>
          <w:szCs w:val="18"/>
          <w:lang w:val="es-ES" w:eastAsia="ja-JP"/>
        </w:rPr>
        <w:t xml:space="preserve">In: CENTRO de DESARROLLO RURAL CAMPIÑA SUR (ed) </w:t>
      </w:r>
      <w:r w:rsidRPr="00890F11">
        <w:rPr>
          <w:rFonts w:eastAsia="MS Mincho" w:cs="Arial"/>
          <w:i/>
          <w:szCs w:val="18"/>
          <w:lang w:val="es-ES" w:eastAsia="ja-JP"/>
        </w:rPr>
        <w:t>Gestion cinegética y desarrollo rural</w:t>
      </w:r>
      <w:r w:rsidRPr="00890F11">
        <w:rPr>
          <w:rFonts w:eastAsia="MS Mincho" w:cs="Arial"/>
          <w:szCs w:val="18"/>
          <w:lang w:val="es-ES" w:eastAsia="ja-JP"/>
        </w:rPr>
        <w:t>. pp143-152.</w:t>
      </w:r>
    </w:p>
    <w:p w14:paraId="400F1020" w14:textId="77777777" w:rsidR="00C96521" w:rsidRPr="00890F11" w:rsidRDefault="00C96521" w:rsidP="00C96521">
      <w:pPr>
        <w:widowControl/>
        <w:autoSpaceDE/>
        <w:autoSpaceDN/>
        <w:adjustRightInd/>
        <w:spacing w:line="276" w:lineRule="auto"/>
        <w:rPr>
          <w:rFonts w:eastAsia="MS Mincho" w:cs="Arial"/>
          <w:szCs w:val="18"/>
          <w:lang w:val="es-ES" w:eastAsia="ja-JP"/>
        </w:rPr>
      </w:pPr>
    </w:p>
    <w:p w14:paraId="1CEA6009" w14:textId="77777777" w:rsidR="00C96521" w:rsidRPr="008C00B8" w:rsidRDefault="00C96521" w:rsidP="00C96521">
      <w:pPr>
        <w:widowControl/>
        <w:spacing w:line="276" w:lineRule="auto"/>
        <w:rPr>
          <w:rFonts w:eastAsia="MS Mincho" w:cs="Arial"/>
          <w:szCs w:val="18"/>
          <w:lang w:val="fr-FR" w:eastAsia="ja-JP"/>
        </w:rPr>
      </w:pPr>
      <w:r w:rsidRPr="00C96521">
        <w:rPr>
          <w:rFonts w:eastAsia="MS Mincho" w:cs="Arial"/>
          <w:b/>
          <w:szCs w:val="18"/>
          <w:lang w:val="en-GB" w:eastAsia="ja-JP"/>
        </w:rPr>
        <w:t>ROCHA G and QUILLFELDT P (2015)</w:t>
      </w:r>
      <w:r w:rsidRPr="00C96521">
        <w:rPr>
          <w:rFonts w:eastAsia="MS Mincho" w:cs="Arial"/>
          <w:szCs w:val="18"/>
          <w:lang w:val="en-GB" w:eastAsia="ja-JP"/>
        </w:rPr>
        <w:t xml:space="preserve"> Effect of supplementary food on age ratios of European turtle-doves (</w:t>
      </w:r>
      <w:r w:rsidRPr="00C96521">
        <w:rPr>
          <w:rFonts w:eastAsia="MS Mincho" w:cs="Arial"/>
          <w:i/>
          <w:szCs w:val="18"/>
          <w:lang w:val="en-GB" w:eastAsia="ja-JP"/>
        </w:rPr>
        <w:t>Streptopelia turtur</w:t>
      </w:r>
      <w:r w:rsidRPr="00C96521">
        <w:rPr>
          <w:rFonts w:eastAsia="MS Mincho" w:cs="Arial"/>
          <w:szCs w:val="18"/>
          <w:lang w:val="en-GB" w:eastAsia="ja-JP"/>
        </w:rPr>
        <w:t xml:space="preserve"> L.). </w:t>
      </w:r>
      <w:r w:rsidRPr="008C00B8">
        <w:rPr>
          <w:rFonts w:eastAsia="MS Mincho" w:cs="Arial"/>
          <w:i/>
          <w:szCs w:val="18"/>
          <w:lang w:val="fr-FR" w:eastAsia="ja-JP"/>
        </w:rPr>
        <w:t>Animal Biodiversity and Conservation</w:t>
      </w:r>
      <w:r w:rsidRPr="008C00B8">
        <w:rPr>
          <w:rFonts w:eastAsia="MS Mincho" w:cs="Arial"/>
          <w:szCs w:val="18"/>
          <w:lang w:val="fr-FR" w:eastAsia="ja-JP"/>
        </w:rPr>
        <w:t xml:space="preserve"> 38(1): 11–21.</w:t>
      </w:r>
    </w:p>
    <w:p w14:paraId="66730CE3" w14:textId="77777777" w:rsidR="00C96521" w:rsidRPr="008C00B8" w:rsidRDefault="00C96521" w:rsidP="00C96521">
      <w:pPr>
        <w:widowControl/>
        <w:autoSpaceDE/>
        <w:autoSpaceDN/>
        <w:adjustRightInd/>
        <w:spacing w:line="276" w:lineRule="auto"/>
        <w:rPr>
          <w:rFonts w:eastAsia="MS Mincho" w:cs="Arial"/>
          <w:b/>
          <w:szCs w:val="18"/>
          <w:lang w:val="fr-FR" w:eastAsia="ja-JP"/>
        </w:rPr>
      </w:pPr>
    </w:p>
    <w:p w14:paraId="66C25593"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810359">
        <w:rPr>
          <w:rFonts w:eastAsia="MS Mincho" w:cs="Arial"/>
          <w:b/>
          <w:szCs w:val="18"/>
          <w:lang w:val="fr-FR" w:eastAsia="ja-JP"/>
        </w:rPr>
        <w:t>ROUX D, LORMÉE H, ERAUD C and BOUTIN J-M (2011)</w:t>
      </w:r>
      <w:r w:rsidRPr="00810359">
        <w:rPr>
          <w:rFonts w:eastAsia="MS Mincho" w:cs="Arial"/>
          <w:szCs w:val="18"/>
          <w:lang w:val="fr-FR" w:eastAsia="ja-JP"/>
        </w:rPr>
        <w:t xml:space="preserve"> Les populations de colombidés nichant et hivernant en France : tendances d’évolution des espèces les plus communes. </w:t>
      </w:r>
      <w:r w:rsidRPr="00C96521">
        <w:rPr>
          <w:rFonts w:eastAsia="MS Mincho" w:cs="Arial"/>
          <w:szCs w:val="18"/>
          <w:lang w:val="en-GB" w:eastAsia="ja-JP"/>
        </w:rPr>
        <w:t>Faune Sauvage 293: 4.</w:t>
      </w:r>
    </w:p>
    <w:p w14:paraId="4859E4EF"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3BB07A51" w14:textId="77777777" w:rsidR="00C96521" w:rsidRPr="00C96521" w:rsidRDefault="00C96521" w:rsidP="00C96521">
      <w:pPr>
        <w:widowControl/>
        <w:autoSpaceDE/>
        <w:autoSpaceDN/>
        <w:adjustRightInd/>
        <w:spacing w:line="276" w:lineRule="auto"/>
        <w:rPr>
          <w:rFonts w:eastAsia="MS Mincho" w:cs="Arial"/>
          <w:b/>
          <w:szCs w:val="18"/>
          <w:lang w:val="en-GB" w:eastAsia="ja-JP"/>
        </w:rPr>
      </w:pPr>
      <w:r w:rsidRPr="00C96521">
        <w:rPr>
          <w:rFonts w:eastAsia="MS Mincho" w:cs="Arial"/>
          <w:b/>
          <w:szCs w:val="18"/>
          <w:lang w:val="en-GB" w:eastAsia="ja-JP"/>
        </w:rPr>
        <w:t xml:space="preserve">ROUXEL R (2000) </w:t>
      </w:r>
      <w:r w:rsidRPr="00C96521">
        <w:rPr>
          <w:rFonts w:eastAsia="MS Mincho" w:cs="Arial"/>
          <w:szCs w:val="18"/>
          <w:lang w:val="en-GB" w:eastAsia="ja-JP"/>
        </w:rPr>
        <w:t>Turtle-dove (</w:t>
      </w:r>
      <w:r w:rsidRPr="00C96521">
        <w:rPr>
          <w:rFonts w:eastAsia="MS Mincho" w:cs="Arial"/>
          <w:i/>
          <w:szCs w:val="18"/>
          <w:lang w:val="en-GB" w:eastAsia="ja-JP"/>
        </w:rPr>
        <w:t>Streptopelia turtur</w:t>
      </w:r>
      <w:r w:rsidRPr="00C96521">
        <w:rPr>
          <w:rFonts w:eastAsia="MS Mincho" w:cs="Arial"/>
          <w:szCs w:val="18"/>
          <w:lang w:val="en-GB" w:eastAsia="ja-JP"/>
        </w:rPr>
        <w:t xml:space="preserve">): A review of bibliographical data from the eastern Europe. </w:t>
      </w:r>
      <w:r w:rsidRPr="00C96521">
        <w:rPr>
          <w:rFonts w:eastAsia="MS Mincho" w:cs="Arial"/>
          <w:i/>
          <w:szCs w:val="18"/>
          <w:lang w:val="en-GB" w:eastAsia="ja-JP"/>
        </w:rPr>
        <w:t>OMPO Newsletter</w:t>
      </w:r>
      <w:r w:rsidRPr="00C96521">
        <w:rPr>
          <w:rFonts w:eastAsia="MS Mincho" w:cs="Arial"/>
          <w:szCs w:val="18"/>
          <w:lang w:val="en-GB" w:eastAsia="ja-JP"/>
        </w:rPr>
        <w:t xml:space="preserve"> 22: 5-18.</w:t>
      </w:r>
    </w:p>
    <w:p w14:paraId="7C5158ED"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57CD84B1"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RSPB (2016)</w:t>
      </w:r>
      <w:r w:rsidRPr="00C96521">
        <w:rPr>
          <w:rFonts w:eastAsia="MS Mincho" w:cs="Arial"/>
          <w:szCs w:val="18"/>
          <w:lang w:val="en-GB" w:eastAsia="ja-JP"/>
        </w:rPr>
        <w:t xml:space="preserve"> </w:t>
      </w:r>
      <w:r w:rsidRPr="00C96521">
        <w:rPr>
          <w:rFonts w:eastAsia="MS Mincho" w:cs="Arial"/>
          <w:i/>
          <w:szCs w:val="18"/>
          <w:lang w:val="en-GB" w:eastAsia="ja-JP"/>
        </w:rPr>
        <w:t>What we’ve learnt from Titan the satellite tagged turtle-dove</w:t>
      </w:r>
      <w:r w:rsidRPr="00C96521">
        <w:rPr>
          <w:rFonts w:eastAsia="MS Mincho" w:cs="Arial"/>
          <w:szCs w:val="18"/>
          <w:lang w:val="en-GB" w:eastAsia="ja-JP"/>
        </w:rPr>
        <w:t xml:space="preserve">. </w:t>
      </w:r>
      <w:hyperlink r:id="rId58" w:history="1">
        <w:r w:rsidRPr="00C96521">
          <w:rPr>
            <w:rFonts w:eastAsia="MS Mincho" w:cs="Arial"/>
            <w:szCs w:val="18"/>
            <w:lang w:val="en-GB" w:eastAsia="ja-JP"/>
          </w:rPr>
          <w:t>http://www.rspb.org.uk/community/ourwork/b/biodiversity/archive/2016/08/30/what-we-ve-learnt-from-titan-the-satellite-tagged-turtle-dove.aspx</w:t>
        </w:r>
      </w:hyperlink>
      <w:r w:rsidRPr="00C96521">
        <w:rPr>
          <w:rFonts w:eastAsia="MS Mincho" w:cs="Arial"/>
          <w:szCs w:val="18"/>
          <w:lang w:val="en-GB" w:eastAsia="ja-JP"/>
        </w:rPr>
        <w:t xml:space="preserve"> (last accessed 1</w:t>
      </w:r>
      <w:r w:rsidRPr="00C96521">
        <w:rPr>
          <w:rFonts w:eastAsia="MS Mincho" w:cs="Arial"/>
          <w:szCs w:val="18"/>
          <w:vertAlign w:val="superscript"/>
          <w:lang w:val="en-GB" w:eastAsia="ja-JP"/>
        </w:rPr>
        <w:t>st</w:t>
      </w:r>
      <w:r w:rsidRPr="00C96521">
        <w:rPr>
          <w:rFonts w:eastAsia="MS Mincho" w:cs="Arial"/>
          <w:szCs w:val="18"/>
          <w:lang w:val="en-GB" w:eastAsia="ja-JP"/>
        </w:rPr>
        <w:t xml:space="preserve"> September 2016).</w:t>
      </w:r>
    </w:p>
    <w:p w14:paraId="0268593D"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783431F4"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RUCNER D (1998)</w:t>
      </w:r>
      <w:r w:rsidRPr="00C96521">
        <w:rPr>
          <w:rFonts w:eastAsia="MS Mincho" w:cs="Arial"/>
          <w:szCs w:val="18"/>
          <w:lang w:val="en-GB" w:eastAsia="ja-JP"/>
        </w:rPr>
        <w:t xml:space="preserve"> </w:t>
      </w:r>
      <w:r w:rsidRPr="00C96521">
        <w:rPr>
          <w:rFonts w:eastAsia="MS Mincho" w:cs="Arial"/>
          <w:i/>
          <w:szCs w:val="18"/>
          <w:lang w:val="en-GB" w:eastAsia="ja-JP"/>
        </w:rPr>
        <w:t>Ptice hrvatske obale Jadrana</w:t>
      </w:r>
      <w:r w:rsidRPr="00C96521">
        <w:rPr>
          <w:rFonts w:eastAsia="MS Mincho" w:cs="Arial"/>
          <w:szCs w:val="18"/>
          <w:lang w:val="en-GB" w:eastAsia="ja-JP"/>
        </w:rPr>
        <w:t>. Hrvatski prirodoslovni muzej, Ministarstvo razvitka i obnove, Zagreb.</w:t>
      </w:r>
    </w:p>
    <w:p w14:paraId="056D51B6"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4DE46518"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890F11">
        <w:rPr>
          <w:rFonts w:eastAsia="MS Mincho" w:cs="Arial"/>
          <w:b/>
          <w:szCs w:val="18"/>
          <w:lang w:val="es-ES" w:eastAsia="ja-JP"/>
        </w:rPr>
        <w:t>RUCNER D and RUCNER R (1972)</w:t>
      </w:r>
      <w:r w:rsidRPr="00890F11">
        <w:rPr>
          <w:rFonts w:eastAsia="MS Mincho" w:cs="Arial"/>
          <w:szCs w:val="18"/>
          <w:lang w:val="es-ES" w:eastAsia="ja-JP"/>
        </w:rPr>
        <w:t xml:space="preserve"> Prilog poznavanju napučenosti ptica u biotopima Baranje. </w:t>
      </w:r>
      <w:r w:rsidRPr="00C96521">
        <w:rPr>
          <w:rFonts w:eastAsia="MS Mincho" w:cs="Arial"/>
          <w:i/>
          <w:szCs w:val="18"/>
          <w:lang w:val="en-GB" w:eastAsia="ja-JP"/>
        </w:rPr>
        <w:t>Larus</w:t>
      </w:r>
      <w:r w:rsidRPr="00C96521">
        <w:rPr>
          <w:rFonts w:eastAsia="MS Mincho" w:cs="Arial"/>
          <w:szCs w:val="18"/>
          <w:lang w:val="en-GB" w:eastAsia="ja-JP"/>
        </w:rPr>
        <w:t xml:space="preserve"> 24: 31-64.</w:t>
      </w:r>
    </w:p>
    <w:p w14:paraId="4E07297A"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03CF0C69" w14:textId="77777777" w:rsidR="00C96521" w:rsidRPr="008C00B8" w:rsidRDefault="00C96521" w:rsidP="00C96521">
      <w:pPr>
        <w:widowControl/>
        <w:autoSpaceDE/>
        <w:autoSpaceDN/>
        <w:adjustRightInd/>
        <w:spacing w:line="276" w:lineRule="auto"/>
        <w:rPr>
          <w:rFonts w:eastAsia="MS Mincho" w:cs="Arial"/>
          <w:szCs w:val="18"/>
          <w:lang w:val="de-DE" w:eastAsia="ja-JP"/>
        </w:rPr>
      </w:pPr>
      <w:r w:rsidRPr="00C96521">
        <w:rPr>
          <w:rFonts w:eastAsia="MS Mincho" w:cs="Arial"/>
          <w:b/>
          <w:szCs w:val="18"/>
          <w:lang w:val="en-GB" w:eastAsia="ja-JP"/>
        </w:rPr>
        <w:t xml:space="preserve">SÁENZ DE BURUAGA M, ONRUBIA A, FERNANDEZ-GARCÍA JM, CAMPOS MA, CANALES F and UNAMUNO JM (2012) </w:t>
      </w:r>
      <w:r w:rsidRPr="00C96521">
        <w:rPr>
          <w:rFonts w:eastAsia="MS Mincho" w:cs="Arial"/>
          <w:szCs w:val="18"/>
          <w:lang w:val="en-GB" w:eastAsia="ja-JP"/>
        </w:rPr>
        <w:t xml:space="preserve">Breeding habitat use and conservation status of the turtle-dove </w:t>
      </w:r>
      <w:r w:rsidRPr="00C96521">
        <w:rPr>
          <w:rFonts w:eastAsia="MS Mincho" w:cs="Arial"/>
          <w:i/>
          <w:szCs w:val="18"/>
          <w:lang w:val="en-GB" w:eastAsia="ja-JP"/>
        </w:rPr>
        <w:t>Streptopelia turtur</w:t>
      </w:r>
      <w:r w:rsidRPr="00C96521">
        <w:rPr>
          <w:rFonts w:eastAsia="MS Mincho" w:cs="Arial"/>
          <w:szCs w:val="18"/>
          <w:lang w:val="en-GB" w:eastAsia="ja-JP"/>
        </w:rPr>
        <w:t xml:space="preserve"> in northern Spain. </w:t>
      </w:r>
      <w:r w:rsidRPr="008C00B8">
        <w:rPr>
          <w:rFonts w:eastAsia="MS Mincho" w:cs="Arial"/>
          <w:i/>
          <w:szCs w:val="18"/>
          <w:lang w:val="de-DE" w:eastAsia="ja-JP"/>
        </w:rPr>
        <w:t>Ardeola</w:t>
      </w:r>
      <w:r w:rsidRPr="008C00B8">
        <w:rPr>
          <w:rFonts w:eastAsia="MS Mincho" w:cs="Arial"/>
          <w:szCs w:val="18"/>
          <w:lang w:val="de-DE" w:eastAsia="ja-JP"/>
        </w:rPr>
        <w:t xml:space="preserve"> 59(2): 291-300.</w:t>
      </w:r>
    </w:p>
    <w:p w14:paraId="391BB884" w14:textId="77777777" w:rsidR="00C96521" w:rsidRPr="008C00B8" w:rsidRDefault="00C96521" w:rsidP="00C96521">
      <w:pPr>
        <w:widowControl/>
        <w:autoSpaceDE/>
        <w:autoSpaceDN/>
        <w:adjustRightInd/>
        <w:spacing w:line="276" w:lineRule="auto"/>
        <w:rPr>
          <w:rFonts w:eastAsia="MS Mincho" w:cs="Arial"/>
          <w:b/>
          <w:szCs w:val="18"/>
          <w:lang w:val="de-DE" w:eastAsia="ja-JP"/>
        </w:rPr>
      </w:pPr>
    </w:p>
    <w:p w14:paraId="77826569" w14:textId="77777777" w:rsidR="00C96521" w:rsidRPr="008C00B8" w:rsidRDefault="00C96521" w:rsidP="00C96521">
      <w:pPr>
        <w:widowControl/>
        <w:autoSpaceDE/>
        <w:autoSpaceDN/>
        <w:adjustRightInd/>
        <w:spacing w:line="276" w:lineRule="auto"/>
        <w:rPr>
          <w:rFonts w:eastAsia="MS Mincho" w:cs="Arial"/>
          <w:szCs w:val="18"/>
          <w:lang w:val="de-DE" w:eastAsia="ja-JP"/>
        </w:rPr>
      </w:pPr>
      <w:r w:rsidRPr="008C00B8">
        <w:rPr>
          <w:rFonts w:eastAsia="MS Mincho" w:cs="Arial"/>
          <w:b/>
          <w:szCs w:val="18"/>
          <w:lang w:val="de-DE" w:eastAsia="ja-JP"/>
        </w:rPr>
        <w:t>SCHMID H, LUDER R, NAEF-DAENZER B, GRAF R and ZBINDEN N (1998)</w:t>
      </w:r>
      <w:r w:rsidRPr="008C00B8">
        <w:rPr>
          <w:rFonts w:eastAsia="MS Mincho" w:cs="Arial"/>
          <w:szCs w:val="18"/>
          <w:lang w:val="de-DE" w:eastAsia="ja-JP"/>
        </w:rPr>
        <w:t xml:space="preserve"> </w:t>
      </w:r>
      <w:r w:rsidRPr="008C00B8">
        <w:rPr>
          <w:rFonts w:eastAsia="MS Mincho" w:cs="Arial"/>
          <w:i/>
          <w:szCs w:val="18"/>
          <w:lang w:val="de-DE" w:eastAsia="ja-JP"/>
        </w:rPr>
        <w:t>Schweizer Brutvogelatlas</w:t>
      </w:r>
      <w:r w:rsidRPr="008C00B8">
        <w:rPr>
          <w:rFonts w:eastAsia="MS Mincho" w:cs="Arial"/>
          <w:szCs w:val="18"/>
          <w:lang w:val="de-DE" w:eastAsia="ja-JP"/>
        </w:rPr>
        <w:t>. Schweizerische Vogelwarte, Sempach.</w:t>
      </w:r>
    </w:p>
    <w:p w14:paraId="60795598" w14:textId="77777777" w:rsidR="00C96521" w:rsidRPr="008C00B8" w:rsidRDefault="00C96521" w:rsidP="00C96521">
      <w:pPr>
        <w:widowControl/>
        <w:autoSpaceDE/>
        <w:autoSpaceDN/>
        <w:adjustRightInd/>
        <w:spacing w:line="276" w:lineRule="auto"/>
        <w:rPr>
          <w:rFonts w:eastAsia="MS Mincho" w:cs="Arial"/>
          <w:szCs w:val="18"/>
          <w:lang w:val="de-DE" w:eastAsia="ja-JP"/>
        </w:rPr>
      </w:pPr>
    </w:p>
    <w:p w14:paraId="29D58A27"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8C00B8">
        <w:rPr>
          <w:rFonts w:eastAsia="MS Mincho" w:cs="Arial"/>
          <w:b/>
          <w:szCs w:val="18"/>
          <w:lang w:val="de-DE" w:eastAsia="ja-JP"/>
        </w:rPr>
        <w:t>SCHMID H, BURKHARDT M, KELLER V, KNAUS P, VOLET B and ZBINDEN N (2001)</w:t>
      </w:r>
      <w:r w:rsidRPr="008C00B8">
        <w:rPr>
          <w:rFonts w:eastAsia="MS Mincho" w:cs="Arial"/>
          <w:szCs w:val="18"/>
          <w:lang w:val="de-DE" w:eastAsia="ja-JP"/>
        </w:rPr>
        <w:t xml:space="preserve"> </w:t>
      </w:r>
      <w:r w:rsidRPr="008C00B8">
        <w:rPr>
          <w:rFonts w:eastAsia="MS Mincho" w:cs="Arial"/>
          <w:i/>
          <w:szCs w:val="18"/>
          <w:lang w:val="de-DE" w:eastAsia="ja-JP"/>
        </w:rPr>
        <w:t xml:space="preserve">Die Entwicklung der Vogelwelt in der Schweiz. </w:t>
      </w:r>
      <w:r w:rsidRPr="00C96521">
        <w:rPr>
          <w:rFonts w:eastAsia="MS Mincho" w:cs="Arial"/>
          <w:i/>
          <w:szCs w:val="18"/>
          <w:lang w:val="en-GB" w:eastAsia="ja-JP"/>
        </w:rPr>
        <w:t>Avifauna Report Sempach</w:t>
      </w:r>
      <w:r w:rsidRPr="00C96521">
        <w:rPr>
          <w:rFonts w:eastAsia="MS Mincho" w:cs="Arial"/>
          <w:szCs w:val="18"/>
          <w:lang w:val="en-GB" w:eastAsia="ja-JP"/>
        </w:rPr>
        <w:t>. Schweizersische Vogelwarte, Sempach.</w:t>
      </w:r>
    </w:p>
    <w:p w14:paraId="0021BD28" w14:textId="77777777" w:rsidR="00C96521" w:rsidRPr="00C96521" w:rsidRDefault="00C96521" w:rsidP="00C96521">
      <w:pPr>
        <w:widowControl/>
        <w:spacing w:line="276" w:lineRule="auto"/>
        <w:rPr>
          <w:rFonts w:eastAsia="MS Mincho" w:cs="Arial"/>
          <w:b/>
          <w:szCs w:val="18"/>
          <w:lang w:val="en-GB" w:eastAsia="ja-JP"/>
        </w:rPr>
      </w:pPr>
    </w:p>
    <w:p w14:paraId="296269D8" w14:textId="77777777" w:rsidR="00C96521" w:rsidRPr="00C96521" w:rsidRDefault="00C96521" w:rsidP="00C96521">
      <w:pPr>
        <w:widowControl/>
        <w:autoSpaceDE/>
        <w:autoSpaceDN/>
        <w:adjustRightInd/>
        <w:spacing w:line="276" w:lineRule="auto"/>
        <w:rPr>
          <w:rFonts w:eastAsia="MS Mincho" w:cs="Arial"/>
          <w:b/>
          <w:szCs w:val="18"/>
          <w:lang w:val="en-GB" w:eastAsia="ja-JP"/>
        </w:rPr>
      </w:pPr>
      <w:r w:rsidRPr="00C96521">
        <w:rPr>
          <w:rFonts w:eastAsia="MS Mincho" w:cs="Arial"/>
          <w:b/>
          <w:szCs w:val="18"/>
          <w:lang w:val="en-GB" w:eastAsia="ja-JP"/>
        </w:rPr>
        <w:t>SCHULZ J, PADDING P and MILLSPAUGH J (2006)</w:t>
      </w:r>
      <w:r w:rsidRPr="00C96521">
        <w:rPr>
          <w:rFonts w:eastAsia="MS Mincho" w:cs="Arial"/>
          <w:szCs w:val="18"/>
          <w:lang w:val="en-GB" w:eastAsia="ja-JP"/>
        </w:rPr>
        <w:t xml:space="preserve"> Will Mourning Dove crippling rates increase with nontoxic-shot regulations? </w:t>
      </w:r>
      <w:r w:rsidRPr="00C96521">
        <w:rPr>
          <w:rFonts w:eastAsia="MS Mincho" w:cs="Arial"/>
          <w:i/>
          <w:szCs w:val="18"/>
          <w:lang w:val="en-GB" w:eastAsia="ja-JP"/>
        </w:rPr>
        <w:t>Wildlife Society Bulletin</w:t>
      </w:r>
      <w:r w:rsidRPr="00C96521">
        <w:rPr>
          <w:rFonts w:eastAsia="MS Mincho" w:cs="Arial"/>
          <w:szCs w:val="18"/>
          <w:lang w:val="en-GB" w:eastAsia="ja-JP"/>
        </w:rPr>
        <w:t xml:space="preserve"> 34(3): 861-865.</w:t>
      </w:r>
    </w:p>
    <w:p w14:paraId="3F8353CB"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2C32702F"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SEO/BIRDLIFE (2016a)</w:t>
      </w:r>
      <w:r w:rsidRPr="00C96521">
        <w:rPr>
          <w:rFonts w:eastAsia="MS Mincho" w:cs="Arial"/>
          <w:szCs w:val="18"/>
          <w:lang w:val="en-GB" w:eastAsia="ja-JP"/>
        </w:rPr>
        <w:t xml:space="preserve"> </w:t>
      </w:r>
      <w:r w:rsidRPr="00C96521">
        <w:rPr>
          <w:rFonts w:eastAsia="MS Mincho" w:cs="Arial"/>
          <w:i/>
          <w:szCs w:val="18"/>
          <w:lang w:val="en-GB" w:eastAsia="ja-JP"/>
        </w:rPr>
        <w:t xml:space="preserve">Analysis of environmental correlates of Turtle-dove </w:t>
      </w:r>
      <w:r w:rsidRPr="00C96521">
        <w:rPr>
          <w:rFonts w:eastAsia="MS Mincho" w:cs="Arial"/>
          <w:szCs w:val="18"/>
          <w:lang w:val="en-GB" w:eastAsia="ja-JP"/>
        </w:rPr>
        <w:t>Streptopelia turtur</w:t>
      </w:r>
      <w:r w:rsidRPr="00C96521">
        <w:rPr>
          <w:rFonts w:eastAsia="MS Mincho" w:cs="Arial"/>
          <w:i/>
          <w:szCs w:val="18"/>
          <w:lang w:val="en-GB" w:eastAsia="ja-JP"/>
        </w:rPr>
        <w:t xml:space="preserve"> abundance in Spain using data from SACRE</w:t>
      </w:r>
      <w:r w:rsidRPr="00C96521">
        <w:rPr>
          <w:rFonts w:eastAsia="MS Mincho" w:cs="Arial"/>
          <w:szCs w:val="18"/>
          <w:lang w:val="en-GB" w:eastAsia="ja-JP"/>
        </w:rPr>
        <w:t>.</w:t>
      </w:r>
    </w:p>
    <w:p w14:paraId="260681F5"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62B46766"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890F11">
        <w:rPr>
          <w:rFonts w:eastAsia="MS Mincho" w:cs="Arial"/>
          <w:b/>
          <w:bCs/>
          <w:szCs w:val="18"/>
          <w:lang w:val="es-ES" w:eastAsia="ja-JP"/>
        </w:rPr>
        <w:t>SEO/BIRDLIFE (2016b)</w:t>
      </w:r>
      <w:r w:rsidRPr="00890F11">
        <w:rPr>
          <w:rFonts w:eastAsia="MS Mincho" w:cs="Arial"/>
          <w:szCs w:val="18"/>
          <w:lang w:val="es-ES" w:eastAsia="ja-JP"/>
        </w:rPr>
        <w:t xml:space="preserve"> </w:t>
      </w:r>
      <w:r w:rsidRPr="00890F11">
        <w:rPr>
          <w:rFonts w:eastAsia="MS Mincho" w:cs="Arial"/>
          <w:i/>
          <w:iCs/>
          <w:szCs w:val="18"/>
          <w:lang w:val="es-ES" w:eastAsia="ja-JP"/>
        </w:rPr>
        <w:t>Programas de Seguimiento y grupos de trabajo de SEO/BirdLife 2015</w:t>
      </w:r>
      <w:r w:rsidRPr="00890F11">
        <w:rPr>
          <w:rFonts w:eastAsia="MS Mincho" w:cs="Arial"/>
          <w:szCs w:val="18"/>
          <w:lang w:val="es-ES" w:eastAsia="ja-JP"/>
        </w:rPr>
        <w:t xml:space="preserve">. </w:t>
      </w:r>
      <w:r w:rsidRPr="00C96521">
        <w:rPr>
          <w:rFonts w:eastAsia="MS Mincho" w:cs="Arial"/>
          <w:szCs w:val="18"/>
          <w:lang w:val="en-GB" w:eastAsia="ja-JP"/>
        </w:rPr>
        <w:t>SEO/BirdLife, Madrid.</w:t>
      </w:r>
    </w:p>
    <w:p w14:paraId="3DEF9443"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2B17B0DF"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SHARROCK JTR (1976)</w:t>
      </w:r>
      <w:r w:rsidRPr="00C96521">
        <w:rPr>
          <w:rFonts w:eastAsia="MS Mincho" w:cs="Arial"/>
          <w:bCs/>
          <w:szCs w:val="18"/>
          <w:lang w:val="en-GB" w:eastAsia="ja-JP"/>
        </w:rPr>
        <w:t xml:space="preserve"> </w:t>
      </w:r>
      <w:r w:rsidRPr="00C96521">
        <w:rPr>
          <w:rFonts w:eastAsia="MS Mincho" w:cs="Arial"/>
          <w:i/>
          <w:szCs w:val="18"/>
          <w:lang w:val="en-GB" w:eastAsia="ja-JP"/>
        </w:rPr>
        <w:t>The atlas of breeding birds in Britain and Ireland</w:t>
      </w:r>
      <w:r w:rsidRPr="00C96521">
        <w:rPr>
          <w:rFonts w:eastAsia="MS Mincho" w:cs="Arial"/>
          <w:szCs w:val="18"/>
          <w:lang w:val="en-GB" w:eastAsia="ja-JP"/>
        </w:rPr>
        <w:t>. British Trust for Ornithology, Thetford.</w:t>
      </w:r>
    </w:p>
    <w:p w14:paraId="46E92F62"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7ACB8A4E"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SHEEHAN DK, WOTTON S, DUNN JC and MORRIS TJ (2014)</w:t>
      </w:r>
      <w:r w:rsidRPr="00C96521">
        <w:rPr>
          <w:rFonts w:eastAsia="MS Mincho" w:cs="Arial"/>
          <w:szCs w:val="18"/>
          <w:lang w:val="en-GB" w:eastAsia="ja-JP"/>
        </w:rPr>
        <w:t xml:space="preserve"> Ähnliches Schicksal: Wandertaube damals –</w:t>
      </w:r>
    </w:p>
    <w:p w14:paraId="6D85CC04"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szCs w:val="18"/>
          <w:lang w:val="en-GB" w:eastAsia="ja-JP"/>
        </w:rPr>
        <w:t xml:space="preserve">Turteltaube heute. </w:t>
      </w:r>
      <w:r w:rsidRPr="00C96521">
        <w:rPr>
          <w:rFonts w:eastAsia="MS Mincho" w:cs="Arial"/>
          <w:i/>
          <w:szCs w:val="18"/>
          <w:lang w:val="en-GB" w:eastAsia="ja-JP"/>
        </w:rPr>
        <w:t>Der Falke</w:t>
      </w:r>
      <w:r w:rsidRPr="00C96521">
        <w:rPr>
          <w:rFonts w:eastAsia="MS Mincho" w:cs="Arial"/>
          <w:szCs w:val="18"/>
          <w:lang w:val="en-GB" w:eastAsia="ja-JP"/>
        </w:rPr>
        <w:t xml:space="preserve"> 61(2): 28-31.</w:t>
      </w:r>
    </w:p>
    <w:p w14:paraId="40F0B50E"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6D5EC0CF" w14:textId="77777777" w:rsidR="00C96521" w:rsidRPr="00C96521" w:rsidRDefault="00C96521" w:rsidP="00C96521">
      <w:pPr>
        <w:widowControl/>
        <w:spacing w:line="276" w:lineRule="auto"/>
        <w:rPr>
          <w:rFonts w:eastAsia="Calibri" w:cs="Arial"/>
          <w:color w:val="000000"/>
          <w:szCs w:val="18"/>
          <w:lang w:val="en-GB"/>
        </w:rPr>
      </w:pPr>
      <w:r w:rsidRPr="00C96521">
        <w:rPr>
          <w:rFonts w:eastAsia="Calibri" w:cs="Arial"/>
          <w:b/>
          <w:color w:val="000000"/>
          <w:szCs w:val="18"/>
          <w:lang w:val="en-GB"/>
        </w:rPr>
        <w:t>SHIRIHAI H (1996)</w:t>
      </w:r>
      <w:r w:rsidRPr="00C96521">
        <w:rPr>
          <w:rFonts w:eastAsia="Calibri" w:cs="Arial"/>
          <w:color w:val="000000"/>
          <w:szCs w:val="18"/>
          <w:lang w:val="en-GB"/>
        </w:rPr>
        <w:t xml:space="preserve"> </w:t>
      </w:r>
      <w:r w:rsidRPr="00C96521">
        <w:rPr>
          <w:rFonts w:eastAsia="Calibri" w:cs="Arial"/>
          <w:i/>
          <w:iCs/>
          <w:color w:val="000000"/>
          <w:szCs w:val="18"/>
          <w:lang w:val="en-GB"/>
        </w:rPr>
        <w:t>The Birds of Israel</w:t>
      </w:r>
      <w:r w:rsidRPr="00C96521">
        <w:rPr>
          <w:rFonts w:eastAsia="Calibri" w:cs="Arial"/>
          <w:color w:val="000000"/>
          <w:szCs w:val="18"/>
          <w:lang w:val="en-GB"/>
        </w:rPr>
        <w:t>. Academic Press, London.</w:t>
      </w:r>
    </w:p>
    <w:p w14:paraId="6717C686"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1627F04D"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SIKORA A, ROHDE Z, GROMADZKI M, NEUBAUER G and CHYLARECKI P (2007)</w:t>
      </w:r>
      <w:r w:rsidRPr="00C96521">
        <w:rPr>
          <w:rFonts w:eastAsia="MS Mincho" w:cs="Arial"/>
          <w:szCs w:val="18"/>
          <w:lang w:val="en-GB" w:eastAsia="ja-JP"/>
        </w:rPr>
        <w:t xml:space="preserve"> </w:t>
      </w:r>
      <w:r w:rsidRPr="00C96521">
        <w:rPr>
          <w:rFonts w:eastAsia="MS Mincho" w:cs="Arial"/>
          <w:i/>
          <w:szCs w:val="18"/>
          <w:lang w:val="en-GB" w:eastAsia="ja-JP"/>
        </w:rPr>
        <w:t>Atlas rozmieszczenia ptaków lęgowych Polski 1985-2004 – The atlas of breeding birds in Poland 1985-2004</w:t>
      </w:r>
      <w:r w:rsidRPr="00C96521">
        <w:rPr>
          <w:rFonts w:eastAsia="MS Mincho" w:cs="Arial"/>
          <w:szCs w:val="18"/>
          <w:lang w:val="en-GB" w:eastAsia="ja-JP"/>
        </w:rPr>
        <w:t>. Bogucki Wydawnictwo Naukowe, Poznań.</w:t>
      </w:r>
    </w:p>
    <w:p w14:paraId="153A89D9"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01C71570" w14:textId="77777777" w:rsidR="00C96521" w:rsidRPr="00C96521" w:rsidRDefault="00C96521" w:rsidP="00C96521">
      <w:pPr>
        <w:widowControl/>
        <w:spacing w:line="276" w:lineRule="auto"/>
        <w:rPr>
          <w:rFonts w:eastAsia="MS Mincho" w:cs="Arial"/>
          <w:b/>
          <w:szCs w:val="18"/>
          <w:lang w:val="en-GB" w:eastAsia="ja-JP"/>
        </w:rPr>
      </w:pPr>
      <w:r w:rsidRPr="00C96521">
        <w:rPr>
          <w:rFonts w:eastAsia="MS Mincho" w:cs="Arial"/>
          <w:b/>
          <w:szCs w:val="18"/>
          <w:lang w:val="en-GB" w:eastAsia="ja-JP"/>
        </w:rPr>
        <w:t xml:space="preserve">SIRIWARDENA GM, BAILLIE SR, CRICK HQP, WILSON JD and GATES S (2000) </w:t>
      </w:r>
      <w:r w:rsidRPr="00C96521">
        <w:rPr>
          <w:rFonts w:eastAsia="MS Mincho" w:cs="Arial"/>
          <w:szCs w:val="18"/>
          <w:lang w:val="en-GB" w:eastAsia="ja-JP"/>
        </w:rPr>
        <w:t xml:space="preserve">The demography of lowland farmland birds. In: </w:t>
      </w:r>
      <w:r w:rsidRPr="00C96521">
        <w:rPr>
          <w:rFonts w:eastAsia="MS Mincho" w:cs="Arial"/>
          <w:i/>
          <w:szCs w:val="18"/>
          <w:lang w:val="en-GB" w:eastAsia="ja-JP"/>
        </w:rPr>
        <w:t xml:space="preserve">Ecology and Conservation of Lowland Farmland Birds. Procedings of the 1999 BOU Species Conference. </w:t>
      </w:r>
      <w:r w:rsidRPr="00C96521">
        <w:rPr>
          <w:rFonts w:eastAsia="MS Mincho" w:cs="Arial"/>
          <w:szCs w:val="18"/>
          <w:lang w:val="en-GB" w:eastAsia="ja-JP"/>
        </w:rPr>
        <w:t>BTO, Thetford. pp 117-133.</w:t>
      </w:r>
    </w:p>
    <w:p w14:paraId="4D8E27BA" w14:textId="77777777" w:rsidR="00C96521" w:rsidRPr="00C96521" w:rsidRDefault="00C96521" w:rsidP="00C96521">
      <w:pPr>
        <w:widowControl/>
        <w:spacing w:line="276" w:lineRule="auto"/>
        <w:rPr>
          <w:rFonts w:eastAsia="MS Mincho" w:cs="Arial"/>
          <w:b/>
          <w:szCs w:val="18"/>
          <w:lang w:val="en-GB" w:eastAsia="ja-JP"/>
        </w:rPr>
      </w:pPr>
    </w:p>
    <w:p w14:paraId="6196F3B2"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SLABEYOVÁ K, RIDZOÑ J and KROPIL R (2009)</w:t>
      </w:r>
      <w:r w:rsidRPr="00C96521">
        <w:rPr>
          <w:rFonts w:eastAsia="MS Mincho" w:cs="Arial"/>
          <w:szCs w:val="18"/>
          <w:lang w:val="en-GB" w:eastAsia="ja-JP"/>
        </w:rPr>
        <w:t xml:space="preserve"> Trendy početnosti bežných druhov vtákov na Slovensku v rokoch 2005–2009. Trends in common birds abundance in Slovakia during 2005–2009. </w:t>
      </w:r>
      <w:r w:rsidRPr="00C96521">
        <w:rPr>
          <w:rFonts w:eastAsia="MS Mincho" w:cs="Arial"/>
          <w:i/>
          <w:szCs w:val="18"/>
          <w:lang w:val="en-GB" w:eastAsia="ja-JP"/>
        </w:rPr>
        <w:t>Tichodroma</w:t>
      </w:r>
      <w:r w:rsidRPr="00C96521">
        <w:rPr>
          <w:rFonts w:eastAsia="MS Mincho" w:cs="Arial"/>
          <w:szCs w:val="18"/>
          <w:lang w:val="en-GB" w:eastAsia="ja-JP"/>
        </w:rPr>
        <w:t xml:space="preserve"> 21: 1-13.</w:t>
      </w:r>
    </w:p>
    <w:p w14:paraId="770FDE6F"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36D5424F"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SNOW DW and PERRINS CM (1998)</w:t>
      </w:r>
      <w:r w:rsidRPr="00C96521">
        <w:rPr>
          <w:rFonts w:eastAsia="MS Mincho" w:cs="Arial"/>
          <w:bCs/>
          <w:szCs w:val="18"/>
          <w:lang w:val="en-GB" w:eastAsia="ja-JP"/>
        </w:rPr>
        <w:t xml:space="preserve"> </w:t>
      </w:r>
      <w:r w:rsidRPr="00C96521">
        <w:rPr>
          <w:rFonts w:eastAsia="MS Mincho" w:cs="Arial"/>
          <w:i/>
          <w:szCs w:val="18"/>
          <w:lang w:val="en-GB" w:eastAsia="ja-JP"/>
        </w:rPr>
        <w:t>The Birds of the Western Palearctic. Concise Edition Vol. 1 Non-passerines.</w:t>
      </w:r>
      <w:r w:rsidRPr="00C96521">
        <w:rPr>
          <w:rFonts w:eastAsia="MS Mincho" w:cs="Arial"/>
          <w:szCs w:val="18"/>
          <w:lang w:val="en-GB" w:eastAsia="ja-JP"/>
        </w:rPr>
        <w:t xml:space="preserve"> Oxford University Press, Oxford. pp 856-859.</w:t>
      </w:r>
    </w:p>
    <w:p w14:paraId="2E5D9F73" w14:textId="77777777" w:rsidR="00C96521" w:rsidRPr="00C96521" w:rsidRDefault="00C96521" w:rsidP="00C96521">
      <w:pPr>
        <w:widowControl/>
        <w:spacing w:line="276" w:lineRule="auto"/>
        <w:rPr>
          <w:rFonts w:eastAsia="MS Mincho" w:cs="Arial"/>
          <w:b/>
          <w:szCs w:val="18"/>
          <w:lang w:val="en-GB" w:eastAsia="ja-JP"/>
        </w:rPr>
      </w:pPr>
    </w:p>
    <w:p w14:paraId="58BAD4F2"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bCs/>
          <w:szCs w:val="18"/>
          <w:lang w:val="en-GB" w:eastAsia="ja-JP"/>
        </w:rPr>
        <w:t>SORRENTI M and TRAMONTANA D (2016)</w:t>
      </w:r>
      <w:r w:rsidRPr="00C96521">
        <w:rPr>
          <w:rFonts w:eastAsia="MS Mincho" w:cs="Arial"/>
          <w:b/>
          <w:szCs w:val="18"/>
          <w:lang w:val="en-GB" w:eastAsia="ja-JP"/>
        </w:rPr>
        <w:t xml:space="preserve"> </w:t>
      </w:r>
      <w:r w:rsidRPr="00C96521">
        <w:rPr>
          <w:rFonts w:eastAsia="MS Mincho" w:cs="Arial"/>
          <w:i/>
          <w:szCs w:val="18"/>
          <w:lang w:val="en-GB" w:eastAsia="ja-JP"/>
        </w:rPr>
        <w:t xml:space="preserve">Estimate of turtle-dove </w:t>
      </w:r>
      <w:r w:rsidRPr="00C96521">
        <w:rPr>
          <w:rFonts w:eastAsia="MS Mincho" w:cs="Arial"/>
          <w:szCs w:val="18"/>
          <w:lang w:val="en-GB" w:eastAsia="ja-JP"/>
        </w:rPr>
        <w:t>Streptopelia turtur</w:t>
      </w:r>
      <w:r w:rsidRPr="00C96521">
        <w:rPr>
          <w:rFonts w:eastAsia="MS Mincho" w:cs="Arial"/>
          <w:i/>
          <w:szCs w:val="18"/>
          <w:lang w:val="en-GB" w:eastAsia="ja-JP"/>
        </w:rPr>
        <w:t xml:space="preserve"> harvest in Italy</w:t>
      </w:r>
      <w:r w:rsidRPr="00C96521">
        <w:rPr>
          <w:rFonts w:eastAsia="MS Mincho" w:cs="Arial"/>
          <w:szCs w:val="18"/>
          <w:lang w:val="en-GB" w:eastAsia="ja-JP"/>
        </w:rPr>
        <w:t>. Federazione Italiana della Caccia – Ufficio Avifauna Migratoria.</w:t>
      </w:r>
    </w:p>
    <w:p w14:paraId="12881D69" w14:textId="77777777" w:rsidR="00C96521" w:rsidRPr="00C96521" w:rsidRDefault="00C96521" w:rsidP="00C96521">
      <w:pPr>
        <w:widowControl/>
        <w:spacing w:line="276" w:lineRule="auto"/>
        <w:rPr>
          <w:rFonts w:eastAsia="MS Mincho" w:cs="Arial"/>
          <w:szCs w:val="18"/>
          <w:lang w:val="en-GB" w:eastAsia="ja-JP"/>
        </w:rPr>
      </w:pPr>
    </w:p>
    <w:p w14:paraId="0ADD024A" w14:textId="77777777" w:rsidR="00C96521" w:rsidRPr="00C96521" w:rsidRDefault="00C96521" w:rsidP="00C96521">
      <w:pPr>
        <w:widowControl/>
        <w:autoSpaceDE/>
        <w:autoSpaceDN/>
        <w:adjustRightInd/>
        <w:spacing w:line="276" w:lineRule="auto"/>
        <w:rPr>
          <w:rFonts w:eastAsia="MS Mincho" w:cs="Arial"/>
          <w:b/>
          <w:szCs w:val="18"/>
          <w:lang w:val="en-GB" w:eastAsia="ja-JP"/>
        </w:rPr>
      </w:pPr>
      <w:r w:rsidRPr="00C96521">
        <w:rPr>
          <w:rFonts w:eastAsia="MS Mincho" w:cs="Arial"/>
          <w:b/>
          <w:szCs w:val="18"/>
          <w:lang w:val="en-GB" w:eastAsia="ja-JP"/>
        </w:rPr>
        <w:t>SOTNIKOV VN (2002)</w:t>
      </w:r>
      <w:r w:rsidRPr="00C96521">
        <w:rPr>
          <w:rFonts w:eastAsia="MS Mincho" w:cs="Arial"/>
          <w:i/>
          <w:szCs w:val="18"/>
          <w:lang w:val="en-GB" w:eastAsia="ja-JP"/>
        </w:rPr>
        <w:t xml:space="preserve"> Birds of Kirov Region and adjacent territories. Non-passeriformes. Vol. 2 (2).</w:t>
      </w:r>
      <w:r w:rsidRPr="00C96521">
        <w:rPr>
          <w:rFonts w:eastAsia="MS Mincho" w:cs="Arial"/>
          <w:szCs w:val="18"/>
          <w:lang w:val="en-GB" w:eastAsia="ja-JP"/>
        </w:rPr>
        <w:t xml:space="preserve"> Triada-S, Kirov. [in Russian]</w:t>
      </w:r>
    </w:p>
    <w:p w14:paraId="5BAD8CC0"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2BFD809C"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SOVON (2002)</w:t>
      </w:r>
      <w:r w:rsidRPr="00C96521">
        <w:rPr>
          <w:rFonts w:eastAsia="MS Mincho" w:cs="Arial"/>
          <w:szCs w:val="18"/>
          <w:lang w:val="en-GB" w:eastAsia="ja-JP"/>
        </w:rPr>
        <w:t xml:space="preserve"> </w:t>
      </w:r>
      <w:r w:rsidRPr="00C96521">
        <w:rPr>
          <w:rFonts w:eastAsia="MS Mincho" w:cs="Arial"/>
          <w:i/>
          <w:szCs w:val="18"/>
          <w:lang w:val="en-GB" w:eastAsia="ja-JP"/>
        </w:rPr>
        <w:t>Atlas van de Nederlandse broedvogels 1998-2000</w:t>
      </w:r>
      <w:r w:rsidRPr="00C96521">
        <w:rPr>
          <w:rFonts w:eastAsia="MS Mincho" w:cs="Arial"/>
          <w:szCs w:val="18"/>
          <w:lang w:val="en-GB" w:eastAsia="ja-JP"/>
        </w:rPr>
        <w:t>. Verspreiding, aantallen, verandering (Nederlandse Fauna 5). Nationaal Natuurhistorisch Museum Naturalis, KNNV Uitgeverij and EIS-Nederland, Leiden.</w:t>
      </w:r>
    </w:p>
    <w:p w14:paraId="373BB8DD" w14:textId="77777777" w:rsidR="00C96521" w:rsidRPr="00C96521" w:rsidRDefault="00C96521" w:rsidP="00C96521">
      <w:pPr>
        <w:widowControl/>
        <w:spacing w:line="276" w:lineRule="auto"/>
        <w:rPr>
          <w:rFonts w:eastAsia="MS Mincho" w:cs="Arial"/>
          <w:b/>
          <w:szCs w:val="18"/>
          <w:lang w:val="en-GB" w:eastAsia="ja-JP"/>
        </w:rPr>
      </w:pPr>
    </w:p>
    <w:p w14:paraId="092FC81C" w14:textId="77777777" w:rsidR="00C96521" w:rsidRPr="00890F11" w:rsidRDefault="00C96521" w:rsidP="00C96521">
      <w:pPr>
        <w:widowControl/>
        <w:spacing w:line="276" w:lineRule="auto"/>
        <w:rPr>
          <w:rFonts w:eastAsia="MS Mincho" w:cs="Arial"/>
          <w:szCs w:val="18"/>
          <w:lang w:val="es-ES" w:eastAsia="ja-JP"/>
        </w:rPr>
      </w:pPr>
      <w:r w:rsidRPr="00C96521">
        <w:rPr>
          <w:rFonts w:eastAsia="MS Mincho" w:cs="Arial"/>
          <w:b/>
          <w:szCs w:val="18"/>
          <w:lang w:val="en-GB" w:eastAsia="ja-JP"/>
        </w:rPr>
        <w:t>SPINA F and VOLPONI S (2008)</w:t>
      </w:r>
      <w:r w:rsidRPr="00C96521">
        <w:rPr>
          <w:rFonts w:eastAsia="MS Mincho" w:cs="Arial"/>
          <w:szCs w:val="18"/>
          <w:lang w:val="en-GB" w:eastAsia="ja-JP"/>
        </w:rPr>
        <w:t xml:space="preserve"> La tortola selvatica (</w:t>
      </w:r>
      <w:r w:rsidRPr="00C96521">
        <w:rPr>
          <w:rFonts w:eastAsia="MS Mincho" w:cs="Arial"/>
          <w:i/>
          <w:szCs w:val="18"/>
          <w:lang w:val="en-GB" w:eastAsia="ja-JP"/>
        </w:rPr>
        <w:t>Streptopelia turtur</w:t>
      </w:r>
      <w:r w:rsidRPr="00C96521">
        <w:rPr>
          <w:rFonts w:eastAsia="MS Mincho" w:cs="Arial"/>
          <w:szCs w:val="18"/>
          <w:lang w:val="en-GB" w:eastAsia="ja-JP"/>
        </w:rPr>
        <w:t xml:space="preserve">). </w:t>
      </w:r>
      <w:r w:rsidRPr="008C00B8">
        <w:rPr>
          <w:rFonts w:eastAsia="MS Mincho" w:cs="Arial"/>
          <w:szCs w:val="18"/>
          <w:lang w:val="fr-FR" w:eastAsia="ja-JP"/>
        </w:rPr>
        <w:t xml:space="preserve">In: </w:t>
      </w:r>
      <w:r w:rsidRPr="008C00B8">
        <w:rPr>
          <w:rFonts w:eastAsia="MS Mincho" w:cs="Arial"/>
          <w:i/>
          <w:szCs w:val="18"/>
          <w:lang w:val="fr-FR" w:eastAsia="ja-JP"/>
        </w:rPr>
        <w:t>Atlante della migrazione degli Uccelli in Italia. 1. Non-Passeriformi</w:t>
      </w:r>
      <w:r w:rsidRPr="008C00B8">
        <w:rPr>
          <w:rFonts w:eastAsia="MS Mincho" w:cs="Arial"/>
          <w:szCs w:val="18"/>
          <w:lang w:val="fr-FR" w:eastAsia="ja-JP"/>
        </w:rPr>
        <w:t xml:space="preserve">. </w:t>
      </w:r>
      <w:r w:rsidRPr="00890F11">
        <w:rPr>
          <w:rFonts w:eastAsia="MS Mincho" w:cs="Arial"/>
          <w:szCs w:val="18"/>
          <w:lang w:val="es-ES" w:eastAsia="ja-JP"/>
        </w:rPr>
        <w:t>Ministero dell’Ambiente e della Tutela del Territorio e del Mare, Istituto Superiore per la Protezione e la Ricera Ambientale (ISPRA), Tipografia SCR, Roma.</w:t>
      </w:r>
    </w:p>
    <w:p w14:paraId="091C9B23" w14:textId="77777777" w:rsidR="00C96521" w:rsidRPr="00890F11" w:rsidRDefault="00C96521" w:rsidP="00C96521">
      <w:pPr>
        <w:widowControl/>
        <w:spacing w:line="276" w:lineRule="auto"/>
        <w:rPr>
          <w:rFonts w:eastAsia="MS Mincho" w:cs="Arial"/>
          <w:b/>
          <w:szCs w:val="18"/>
          <w:lang w:val="es-ES" w:eastAsia="ja-JP"/>
        </w:rPr>
      </w:pPr>
    </w:p>
    <w:p w14:paraId="297853B3" w14:textId="77777777" w:rsidR="00C96521" w:rsidRPr="00890F11" w:rsidRDefault="00C96521" w:rsidP="00C96521">
      <w:pPr>
        <w:widowControl/>
        <w:spacing w:line="276" w:lineRule="auto"/>
        <w:rPr>
          <w:rFonts w:eastAsia="MS Mincho" w:cs="Arial"/>
          <w:szCs w:val="18"/>
          <w:lang w:val="es-ES" w:eastAsia="ja-JP"/>
        </w:rPr>
      </w:pPr>
      <w:r w:rsidRPr="00890F11">
        <w:rPr>
          <w:rFonts w:eastAsia="MS Mincho" w:cs="Arial"/>
          <w:b/>
          <w:szCs w:val="18"/>
          <w:lang w:val="es-ES" w:eastAsia="ja-JP"/>
        </w:rPr>
        <w:t>ŠTASTNÝ K, BEJČEK V and HUDEC K (1997)</w:t>
      </w:r>
      <w:r w:rsidRPr="00890F11">
        <w:rPr>
          <w:rFonts w:eastAsia="MS Mincho" w:cs="Arial"/>
          <w:szCs w:val="18"/>
          <w:lang w:val="es-ES" w:eastAsia="ja-JP"/>
        </w:rPr>
        <w:t xml:space="preserve"> </w:t>
      </w:r>
      <w:r w:rsidRPr="00890F11">
        <w:rPr>
          <w:rFonts w:eastAsia="MS Mincho" w:cs="Arial"/>
          <w:i/>
          <w:szCs w:val="18"/>
          <w:lang w:val="es-ES" w:eastAsia="ja-JP"/>
        </w:rPr>
        <w:t>Atlas hnízdního rozšíření ptáků v České republice 1985-1989</w:t>
      </w:r>
      <w:r w:rsidRPr="00890F11">
        <w:rPr>
          <w:rFonts w:eastAsia="MS Mincho" w:cs="Arial"/>
          <w:szCs w:val="18"/>
          <w:lang w:val="es-ES" w:eastAsia="ja-JP"/>
        </w:rPr>
        <w:t>. Nakladatelství a vydavatelství, Prague.</w:t>
      </w:r>
    </w:p>
    <w:p w14:paraId="082FC688" w14:textId="77777777" w:rsidR="00C96521" w:rsidRPr="00890F11" w:rsidRDefault="00C96521" w:rsidP="00C96521">
      <w:pPr>
        <w:widowControl/>
        <w:autoSpaceDE/>
        <w:autoSpaceDN/>
        <w:adjustRightInd/>
        <w:spacing w:line="276" w:lineRule="auto"/>
        <w:rPr>
          <w:rFonts w:eastAsia="MS Mincho" w:cs="Arial"/>
          <w:b/>
          <w:szCs w:val="18"/>
          <w:lang w:val="es-ES" w:eastAsia="ja-JP"/>
        </w:rPr>
      </w:pPr>
    </w:p>
    <w:p w14:paraId="2BE01458"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890F11">
        <w:rPr>
          <w:rFonts w:eastAsia="MS Mincho" w:cs="Arial"/>
          <w:b/>
          <w:szCs w:val="18"/>
          <w:lang w:val="es-ES" w:eastAsia="ja-JP"/>
        </w:rPr>
        <w:t>ŠTASTNÝ K, BEJČEK V and HUDEC K (2006)</w:t>
      </w:r>
      <w:r w:rsidRPr="00890F11">
        <w:rPr>
          <w:rFonts w:eastAsia="MS Mincho" w:cs="Arial"/>
          <w:szCs w:val="18"/>
          <w:lang w:val="es-ES" w:eastAsia="ja-JP"/>
        </w:rPr>
        <w:t xml:space="preserve"> </w:t>
      </w:r>
      <w:r w:rsidRPr="00890F11">
        <w:rPr>
          <w:rFonts w:eastAsia="MS Mincho" w:cs="Arial"/>
          <w:i/>
          <w:szCs w:val="18"/>
          <w:lang w:val="es-ES" w:eastAsia="ja-JP"/>
        </w:rPr>
        <w:t>Atlas hnízdního rozšíření ptáků v České republice 2001-2003</w:t>
      </w:r>
      <w:r w:rsidRPr="00890F11">
        <w:rPr>
          <w:rFonts w:eastAsia="MS Mincho" w:cs="Arial"/>
          <w:szCs w:val="18"/>
          <w:lang w:val="es-ES" w:eastAsia="ja-JP"/>
        </w:rPr>
        <w:t xml:space="preserve">. </w:t>
      </w:r>
      <w:r w:rsidRPr="00C96521">
        <w:rPr>
          <w:rFonts w:eastAsia="MS Mincho" w:cs="Arial"/>
          <w:szCs w:val="18"/>
          <w:lang w:val="en-GB" w:eastAsia="ja-JP"/>
        </w:rPr>
        <w:t>Aventinum, Prague.</w:t>
      </w:r>
    </w:p>
    <w:p w14:paraId="4E792BA4" w14:textId="77777777" w:rsidR="00C96521" w:rsidRPr="00C96521" w:rsidRDefault="00C96521" w:rsidP="00C96521">
      <w:pPr>
        <w:widowControl/>
        <w:spacing w:line="276" w:lineRule="auto"/>
        <w:rPr>
          <w:rFonts w:eastAsia="MS Mincho" w:cs="Arial"/>
          <w:szCs w:val="18"/>
          <w:lang w:val="en-GB" w:eastAsia="ja-JP"/>
        </w:rPr>
      </w:pPr>
    </w:p>
    <w:p w14:paraId="198C0AD9"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 xml:space="preserve">STOCKDALE JE, DUNN JE, GOODMAN SJ, MORRIS AJ, SHEEHAN DK, GRICE PV and HAMER KC (2015) </w:t>
      </w:r>
      <w:r w:rsidRPr="00C96521">
        <w:rPr>
          <w:rFonts w:eastAsia="MS Mincho" w:cs="Arial"/>
          <w:szCs w:val="18"/>
          <w:lang w:val="en-GB" w:eastAsia="ja-JP"/>
        </w:rPr>
        <w:t xml:space="preserve">The protozoan parasite </w:t>
      </w:r>
      <w:r w:rsidRPr="00C96521">
        <w:rPr>
          <w:rFonts w:eastAsia="MS Mincho" w:cs="Arial"/>
          <w:i/>
          <w:szCs w:val="18"/>
          <w:lang w:val="en-GB" w:eastAsia="ja-JP"/>
        </w:rPr>
        <w:t>Trichomonas gallinae</w:t>
      </w:r>
      <w:r w:rsidRPr="00C96521">
        <w:rPr>
          <w:rFonts w:eastAsia="MS Mincho" w:cs="Arial"/>
          <w:szCs w:val="18"/>
          <w:lang w:val="en-GB" w:eastAsia="ja-JP"/>
        </w:rPr>
        <w:t xml:space="preserve"> causes adult and nestling mortality in a declining population of European Turtle-doves, </w:t>
      </w:r>
      <w:r w:rsidRPr="00C96521">
        <w:rPr>
          <w:rFonts w:eastAsia="MS Mincho" w:cs="Arial"/>
          <w:i/>
          <w:szCs w:val="18"/>
          <w:lang w:val="en-GB" w:eastAsia="ja-JP"/>
        </w:rPr>
        <w:t>Streptopelia turtur</w:t>
      </w:r>
      <w:r w:rsidRPr="00C96521">
        <w:rPr>
          <w:rFonts w:eastAsia="MS Mincho" w:cs="Arial"/>
          <w:szCs w:val="18"/>
          <w:lang w:val="en-GB" w:eastAsia="ja-JP"/>
        </w:rPr>
        <w:t xml:space="preserve">. </w:t>
      </w:r>
      <w:r w:rsidRPr="00C96521">
        <w:rPr>
          <w:rFonts w:eastAsia="MS Mincho" w:cs="Arial"/>
          <w:i/>
          <w:szCs w:val="18"/>
          <w:lang w:val="en-GB" w:eastAsia="ja-JP"/>
        </w:rPr>
        <w:t>Parasitology</w:t>
      </w:r>
      <w:r w:rsidRPr="00C96521">
        <w:rPr>
          <w:rFonts w:eastAsia="MS Mincho" w:cs="Arial"/>
          <w:szCs w:val="18"/>
          <w:lang w:val="en-GB" w:eastAsia="ja-JP"/>
        </w:rPr>
        <w:t xml:space="preserve"> 142(3): 490-498.</w:t>
      </w:r>
    </w:p>
    <w:p w14:paraId="2C88D943"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19039C2F"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SULTANA J, BORG JJ, GAUCI C and FALZO V (2011)</w:t>
      </w:r>
      <w:r w:rsidRPr="00C96521">
        <w:rPr>
          <w:rFonts w:eastAsia="MS Mincho" w:cs="Arial"/>
          <w:szCs w:val="18"/>
          <w:lang w:val="en-GB" w:eastAsia="ja-JP"/>
        </w:rPr>
        <w:t xml:space="preserve"> </w:t>
      </w:r>
      <w:r w:rsidRPr="00C96521">
        <w:rPr>
          <w:rFonts w:eastAsia="MS Mincho" w:cs="Arial"/>
          <w:i/>
          <w:szCs w:val="18"/>
          <w:lang w:val="en-GB" w:eastAsia="ja-JP"/>
        </w:rPr>
        <w:t>The Breeding Birds of Malta</w:t>
      </w:r>
      <w:r w:rsidRPr="00C96521">
        <w:rPr>
          <w:rFonts w:eastAsia="MS Mincho" w:cs="Arial"/>
          <w:szCs w:val="18"/>
          <w:lang w:val="en-GB" w:eastAsia="ja-JP"/>
        </w:rPr>
        <w:t xml:space="preserve">. BirdLife Malta, </w:t>
      </w:r>
      <w:r w:rsidRPr="00C96521">
        <w:rPr>
          <w:rFonts w:eastAsia="MS Mincho" w:cs="Arial"/>
          <w:bCs/>
          <w:szCs w:val="18"/>
          <w:lang w:val="en-GB" w:eastAsia="ja-JP"/>
        </w:rPr>
        <w:t>Ta’ Xbiex.</w:t>
      </w:r>
    </w:p>
    <w:p w14:paraId="3A8B7D6F"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1457D44F"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SZÉP T, NAGY K, NAGY ZS and HALMOS G (2012)</w:t>
      </w:r>
      <w:r w:rsidRPr="00C96521">
        <w:rPr>
          <w:rFonts w:eastAsia="MS Mincho" w:cs="Arial"/>
          <w:szCs w:val="18"/>
          <w:lang w:val="en-GB" w:eastAsia="ja-JP"/>
        </w:rPr>
        <w:t xml:space="preserve"> Population trends of common breeding and wintering birds in Hungary, decline of long-distance migrant and farmland birds during 1999-2012. </w:t>
      </w:r>
      <w:r w:rsidRPr="00C96521">
        <w:rPr>
          <w:rFonts w:eastAsia="MS Mincho" w:cs="Arial"/>
          <w:i/>
          <w:szCs w:val="18"/>
          <w:lang w:val="en-GB" w:eastAsia="ja-JP"/>
        </w:rPr>
        <w:t>Ornis Hungarica</w:t>
      </w:r>
      <w:r w:rsidRPr="00C96521">
        <w:rPr>
          <w:rFonts w:eastAsia="MS Mincho" w:cs="Arial"/>
          <w:szCs w:val="18"/>
          <w:lang w:val="en-GB" w:eastAsia="ja-JP"/>
        </w:rPr>
        <w:t xml:space="preserve"> 20(2): 13-63.</w:t>
      </w:r>
    </w:p>
    <w:p w14:paraId="08788B08"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137A6B74" w14:textId="4C8AE29D"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TEUFELBAUER N and FRÜHAUF J (2016)</w:t>
      </w:r>
      <w:r w:rsidRPr="00C96521">
        <w:rPr>
          <w:rFonts w:eastAsia="MS Mincho" w:cs="Arial"/>
          <w:szCs w:val="18"/>
          <w:lang w:val="en-GB" w:eastAsia="ja-JP"/>
        </w:rPr>
        <w:t xml:space="preserve"> Developing a </w:t>
      </w:r>
      <w:r w:rsidR="00526B63">
        <w:rPr>
          <w:rFonts w:eastAsia="MS Mincho" w:cs="Arial"/>
          <w:szCs w:val="18"/>
          <w:lang w:val="en-GB" w:eastAsia="ja-JP"/>
        </w:rPr>
        <w:t>N</w:t>
      </w:r>
      <w:r w:rsidRPr="00C96521">
        <w:rPr>
          <w:rFonts w:eastAsia="MS Mincho" w:cs="Arial"/>
          <w:szCs w:val="18"/>
          <w:lang w:val="en-GB" w:eastAsia="ja-JP"/>
        </w:rPr>
        <w:t xml:space="preserve">ational Farmland Bird Index for Austria, </w:t>
      </w:r>
      <w:r w:rsidRPr="00C96521">
        <w:rPr>
          <w:rFonts w:eastAsia="MS Mincho" w:cs="Arial"/>
          <w:i/>
          <w:szCs w:val="18"/>
          <w:lang w:val="en-GB" w:eastAsia="ja-JP"/>
        </w:rPr>
        <w:t>Bird Census News</w:t>
      </w:r>
      <w:r w:rsidRPr="00C96521">
        <w:rPr>
          <w:rFonts w:eastAsia="MS Mincho" w:cs="Arial"/>
          <w:szCs w:val="18"/>
          <w:lang w:val="en-GB" w:eastAsia="ja-JP"/>
        </w:rPr>
        <w:t xml:space="preserve"> 23(1-2): 87-97.</w:t>
      </w:r>
    </w:p>
    <w:p w14:paraId="5A7907CC"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702D01F6"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965D7D">
        <w:rPr>
          <w:rFonts w:eastAsia="MS Mincho" w:cs="Arial"/>
          <w:b/>
          <w:szCs w:val="18"/>
          <w:lang w:val="de-DE" w:eastAsia="ja-JP"/>
        </w:rPr>
        <w:t>TEUFELBAUER N and SEAMAN B (2016)</w:t>
      </w:r>
      <w:r w:rsidRPr="00965D7D">
        <w:rPr>
          <w:rFonts w:eastAsia="MS Mincho" w:cs="Arial"/>
          <w:szCs w:val="18"/>
          <w:lang w:val="de-DE" w:eastAsia="ja-JP"/>
        </w:rPr>
        <w:t xml:space="preserve"> </w:t>
      </w:r>
      <w:r w:rsidRPr="00965D7D">
        <w:rPr>
          <w:rFonts w:eastAsia="MS Mincho" w:cs="Arial"/>
          <w:i/>
          <w:szCs w:val="18"/>
          <w:lang w:val="de-DE" w:eastAsia="ja-JP"/>
        </w:rPr>
        <w:t>Monitoring der Brutvögel Österreichs Bericht über die Saison 2015</w:t>
      </w:r>
      <w:r w:rsidRPr="00965D7D">
        <w:rPr>
          <w:rFonts w:eastAsia="MS Mincho" w:cs="Arial"/>
          <w:szCs w:val="18"/>
          <w:lang w:val="de-DE" w:eastAsia="ja-JP"/>
        </w:rPr>
        <w:t xml:space="preserve">. </w:t>
      </w:r>
      <w:r w:rsidRPr="00C96521">
        <w:rPr>
          <w:rFonts w:eastAsia="MS Mincho" w:cs="Arial"/>
          <w:szCs w:val="18"/>
          <w:lang w:val="en-GB" w:eastAsia="ja-JP"/>
        </w:rPr>
        <w:t>BirdLife Österreich, Vienna.</w:t>
      </w:r>
    </w:p>
    <w:p w14:paraId="09B126F1" w14:textId="77777777" w:rsidR="00C96521" w:rsidRPr="00C96521" w:rsidRDefault="00C96521" w:rsidP="00C96521">
      <w:pPr>
        <w:widowControl/>
        <w:autoSpaceDE/>
        <w:autoSpaceDN/>
        <w:adjustRightInd/>
        <w:spacing w:line="276" w:lineRule="auto"/>
        <w:rPr>
          <w:rFonts w:eastAsia="MS Mincho" w:cs="Arial"/>
          <w:b/>
          <w:bCs/>
          <w:szCs w:val="18"/>
          <w:lang w:val="en-GB" w:eastAsia="ja-JP"/>
        </w:rPr>
      </w:pPr>
    </w:p>
    <w:p w14:paraId="6C2FA6AB" w14:textId="5D8E42F4"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 xml:space="preserve">TRAFFIC (2008) </w:t>
      </w:r>
      <w:r w:rsidRPr="00C96521">
        <w:rPr>
          <w:rFonts w:eastAsia="MS Mincho" w:cs="Arial"/>
          <w:i/>
          <w:szCs w:val="18"/>
          <w:lang w:val="en-GB" w:eastAsia="ja-JP"/>
        </w:rPr>
        <w:t xml:space="preserve">The illegal trade in wild birds for food through South-east and Central Europe. </w:t>
      </w:r>
      <w:hyperlink r:id="rId59" w:history="1">
        <w:r w:rsidRPr="00C96521">
          <w:rPr>
            <w:rFonts w:eastAsia="MS Mincho" w:cs="Arial"/>
            <w:szCs w:val="18"/>
            <w:lang w:val="en-GB" w:eastAsia="ja-JP"/>
          </w:rPr>
          <w:t>http://www.trafficj.org/publication/08_Illigal_trade_in_wild_birds.pdf</w:t>
        </w:r>
      </w:hyperlink>
      <w:r w:rsidRPr="00C96521">
        <w:rPr>
          <w:rFonts w:eastAsia="MS Mincho" w:cs="Arial"/>
          <w:szCs w:val="18"/>
          <w:lang w:val="en-GB" w:eastAsia="ja-JP"/>
        </w:rPr>
        <w:t xml:space="preserve"> (last accessed 25 November 2016)</w:t>
      </w:r>
    </w:p>
    <w:p w14:paraId="7B19D405"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28E7C538" w14:textId="2272530A" w:rsidR="00C96521" w:rsidRPr="00C96521" w:rsidRDefault="00C96521" w:rsidP="00C96521">
      <w:pPr>
        <w:widowControl/>
        <w:autoSpaceDE/>
        <w:autoSpaceDN/>
        <w:adjustRightInd/>
        <w:spacing w:line="276" w:lineRule="auto"/>
        <w:rPr>
          <w:rFonts w:eastAsia="MS Mincho" w:cs="Arial"/>
          <w:i/>
          <w:szCs w:val="18"/>
          <w:lang w:val="en-GB" w:eastAsia="ja-JP"/>
        </w:rPr>
      </w:pPr>
      <w:r w:rsidRPr="00C96521">
        <w:rPr>
          <w:rFonts w:eastAsia="MS Mincho" w:cs="Arial"/>
          <w:b/>
          <w:szCs w:val="18"/>
          <w:lang w:val="en-GB" w:eastAsia="ja-JP"/>
        </w:rPr>
        <w:t xml:space="preserve">TRAVEL IN MOLDOVA (undated) </w:t>
      </w:r>
      <w:r w:rsidRPr="00C96521">
        <w:rPr>
          <w:rFonts w:eastAsia="MS Mincho" w:cs="Arial"/>
          <w:szCs w:val="18"/>
          <w:lang w:val="en-GB" w:eastAsia="ja-JP"/>
        </w:rPr>
        <w:t xml:space="preserve">Hunting tourism in Moldova. </w:t>
      </w:r>
      <w:r w:rsidRPr="00C96521">
        <w:rPr>
          <w:rFonts w:eastAsia="MS Mincho"/>
          <w:szCs w:val="18"/>
          <w:lang w:val="en-GB" w:eastAsia="ja-JP"/>
        </w:rPr>
        <w:t>http://www.travelinmoldova.com/index.php?page=hunting</w:t>
      </w:r>
      <w:r w:rsidRPr="00C96521">
        <w:rPr>
          <w:rFonts w:eastAsia="MS Mincho" w:cs="Arial"/>
          <w:szCs w:val="18"/>
          <w:lang w:val="en-GB" w:eastAsia="ja-JP"/>
        </w:rPr>
        <w:t xml:space="preserve"> (last accessed 25 November 2016)</w:t>
      </w:r>
    </w:p>
    <w:p w14:paraId="5E85C37E" w14:textId="77777777" w:rsidR="00C96521" w:rsidRPr="00C96521" w:rsidRDefault="00C96521" w:rsidP="00C96521">
      <w:pPr>
        <w:widowControl/>
        <w:autoSpaceDE/>
        <w:autoSpaceDN/>
        <w:adjustRightInd/>
        <w:spacing w:line="276" w:lineRule="auto"/>
        <w:rPr>
          <w:rFonts w:eastAsia="MS Mincho" w:cs="Arial"/>
          <w:i/>
          <w:szCs w:val="18"/>
          <w:lang w:val="en-GB" w:eastAsia="ja-JP"/>
        </w:rPr>
      </w:pPr>
    </w:p>
    <w:p w14:paraId="4CA9A3EC"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bCs/>
          <w:szCs w:val="18"/>
          <w:lang w:val="en-GB" w:eastAsia="ja-JP"/>
        </w:rPr>
        <w:t>TUCKER GM (1996)</w:t>
      </w:r>
      <w:r w:rsidRPr="00C96521">
        <w:rPr>
          <w:rFonts w:eastAsia="MS Mincho" w:cs="Arial"/>
          <w:bCs/>
          <w:szCs w:val="18"/>
          <w:lang w:val="en-GB" w:eastAsia="ja-JP"/>
        </w:rPr>
        <w:t xml:space="preserve"> </w:t>
      </w:r>
      <w:r w:rsidRPr="00C96521">
        <w:rPr>
          <w:rFonts w:eastAsia="MS Mincho" w:cs="Arial"/>
          <w:i/>
          <w:szCs w:val="18"/>
          <w:lang w:val="en-GB" w:eastAsia="ja-JP"/>
        </w:rPr>
        <w:t>Investigation on the conservation measures taken by member states for bird species of annex II of the council directive 79/409/EEC which have an unfavourable conservation status</w:t>
      </w:r>
      <w:r w:rsidRPr="00C96521">
        <w:rPr>
          <w:rFonts w:eastAsia="MS Mincho" w:cs="Arial"/>
          <w:szCs w:val="18"/>
          <w:lang w:val="en-GB" w:eastAsia="ja-JP"/>
        </w:rPr>
        <w:t xml:space="preserve">. Ecoscope Applied Ecologists, Final report for European Commission DG XI. pp 170-175. </w:t>
      </w:r>
    </w:p>
    <w:p w14:paraId="230264D6"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2DE31FE3"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 xml:space="preserve">TUTIŠ V, KRALJ J, RADOVIĆ D, ĆIKOVIĆ D and BARIŠIĆ S (2013) </w:t>
      </w:r>
      <w:r w:rsidRPr="00C96521">
        <w:rPr>
          <w:rFonts w:eastAsia="MS Mincho" w:cs="Arial"/>
          <w:i/>
          <w:szCs w:val="18"/>
          <w:lang w:val="en-GB" w:eastAsia="ja-JP"/>
        </w:rPr>
        <w:t xml:space="preserve">Crvena knjiga ugroženih ptica Hrvatsk. </w:t>
      </w:r>
      <w:r w:rsidRPr="00C96521">
        <w:rPr>
          <w:rFonts w:eastAsia="MS Mincho" w:cs="Arial"/>
          <w:szCs w:val="18"/>
          <w:lang w:val="en-GB" w:eastAsia="ja-JP"/>
        </w:rPr>
        <w:t>Ministarstvo zaštite okoliša i prirode i Državni zavod za zaštitu prirode, Zagreb.</w:t>
      </w:r>
    </w:p>
    <w:p w14:paraId="7D4B1F81"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4604821D"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890F11">
        <w:rPr>
          <w:rFonts w:eastAsia="MS Mincho" w:cs="Arial"/>
          <w:b/>
          <w:szCs w:val="18"/>
          <w:lang w:val="fr-FR" w:eastAsia="ja-JP"/>
        </w:rPr>
        <w:t>UICN FRANCE, MNHN, LPO, SEOF and ONCFS (2016)</w:t>
      </w:r>
      <w:r w:rsidRPr="00890F11">
        <w:rPr>
          <w:rFonts w:eastAsia="MS Mincho" w:cs="Arial"/>
          <w:szCs w:val="18"/>
          <w:lang w:val="fr-FR" w:eastAsia="ja-JP"/>
        </w:rPr>
        <w:t xml:space="preserve"> </w:t>
      </w:r>
      <w:r w:rsidRPr="00890F11">
        <w:rPr>
          <w:rFonts w:eastAsia="MS Mincho" w:cs="Arial"/>
          <w:i/>
          <w:szCs w:val="18"/>
          <w:lang w:val="fr-FR" w:eastAsia="ja-JP"/>
        </w:rPr>
        <w:t>La liste rouge des espèces menacées en France - Chapitre Oiseaux de France métropolitaine</w:t>
      </w:r>
      <w:r w:rsidRPr="00890F11">
        <w:rPr>
          <w:rFonts w:eastAsia="MS Mincho" w:cs="Arial"/>
          <w:szCs w:val="18"/>
          <w:lang w:val="fr-FR" w:eastAsia="ja-JP"/>
        </w:rPr>
        <w:t xml:space="preserve">. </w:t>
      </w:r>
      <w:r w:rsidRPr="00C96521">
        <w:rPr>
          <w:rFonts w:eastAsia="MS Mincho" w:cs="Arial"/>
          <w:szCs w:val="18"/>
          <w:lang w:val="en-GB" w:eastAsia="ja-JP"/>
        </w:rPr>
        <w:t>Paris, France.</w:t>
      </w:r>
    </w:p>
    <w:p w14:paraId="36005BE4"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46D20D00" w14:textId="53F46A82" w:rsidR="00C96521" w:rsidRPr="00C96521" w:rsidRDefault="00C96521" w:rsidP="00C96521">
      <w:pPr>
        <w:widowControl/>
        <w:autoSpaceDE/>
        <w:autoSpaceDN/>
        <w:adjustRightInd/>
        <w:spacing w:line="276" w:lineRule="auto"/>
        <w:rPr>
          <w:rFonts w:eastAsia="MS Mincho" w:cs="Arial"/>
          <w:i/>
          <w:szCs w:val="18"/>
          <w:lang w:val="en-GB" w:eastAsia="ja-JP"/>
        </w:rPr>
      </w:pPr>
      <w:r w:rsidRPr="00C96521">
        <w:rPr>
          <w:rFonts w:eastAsia="MS Mincho" w:cs="Arial"/>
          <w:b/>
          <w:szCs w:val="18"/>
          <w:lang w:val="en-GB" w:eastAsia="ja-JP"/>
        </w:rPr>
        <w:t xml:space="preserve">UKRAINIAN HUNTING AND FISHING ASSOCIATION (undated) </w:t>
      </w:r>
      <w:r w:rsidRPr="00C96521">
        <w:rPr>
          <w:rFonts w:eastAsia="MS Mincho" w:cs="Arial"/>
          <w:i/>
          <w:szCs w:val="18"/>
          <w:lang w:val="en-GB" w:eastAsia="ja-JP"/>
        </w:rPr>
        <w:t xml:space="preserve">Legislation on hunting/fishing – Law of Ukraine. </w:t>
      </w:r>
      <w:hyperlink r:id="rId60" w:history="1">
        <w:r w:rsidRPr="00C96521">
          <w:rPr>
            <w:rFonts w:eastAsia="MS Mincho" w:cs="Arial"/>
            <w:szCs w:val="18"/>
            <w:lang w:val="en-GB" w:eastAsia="ja-JP"/>
          </w:rPr>
          <w:t>http://uoor.com.ua/eng/legislation/about_hunting</w:t>
        </w:r>
      </w:hyperlink>
      <w:r w:rsidRPr="00C96521">
        <w:rPr>
          <w:rFonts w:eastAsia="MS Mincho" w:cs="Arial"/>
          <w:szCs w:val="18"/>
          <w:lang w:val="en-GB" w:eastAsia="ja-JP"/>
        </w:rPr>
        <w:t>. (Last accessed on 25 November 2016)</w:t>
      </w:r>
    </w:p>
    <w:p w14:paraId="0349844F"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36656CDE" w14:textId="1AFC147E"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UNMIK/IPVQ (2007)</w:t>
      </w:r>
      <w:r w:rsidRPr="00C96521">
        <w:rPr>
          <w:rFonts w:eastAsia="MS Mincho" w:cs="Arial"/>
          <w:szCs w:val="18"/>
          <w:lang w:val="en-GB" w:eastAsia="ja-JP"/>
        </w:rPr>
        <w:t xml:space="preserve"> </w:t>
      </w:r>
      <w:r w:rsidRPr="00C96521">
        <w:rPr>
          <w:rFonts w:eastAsia="MS Mincho" w:cs="Arial"/>
          <w:i/>
          <w:szCs w:val="18"/>
          <w:lang w:val="en-GB" w:eastAsia="ja-JP"/>
        </w:rPr>
        <w:t>Administrative Instruction MA – No. 11/2007 Concerning the Hunting Season</w:t>
      </w:r>
      <w:r w:rsidRPr="00C96521">
        <w:rPr>
          <w:rFonts w:eastAsia="MS Mincho" w:cs="Arial"/>
          <w:szCs w:val="18"/>
          <w:lang w:val="en-GB" w:eastAsia="ja-JP"/>
        </w:rPr>
        <w:t xml:space="preserve">. </w:t>
      </w:r>
      <w:r w:rsidRPr="00C96521">
        <w:rPr>
          <w:rFonts w:eastAsia="MS Mincho"/>
          <w:szCs w:val="18"/>
          <w:lang w:val="en-GB" w:eastAsia="ja-JP"/>
        </w:rPr>
        <w:t>http://www.mbpzhr-ks.net/repository/docs/676345_AIMA-Nr._11-20007_eng.doc</w:t>
      </w:r>
      <w:r w:rsidRPr="00C96521">
        <w:rPr>
          <w:rFonts w:eastAsia="MS Mincho" w:cs="Arial"/>
          <w:szCs w:val="18"/>
          <w:lang w:val="en-GB" w:eastAsia="ja-JP"/>
        </w:rPr>
        <w:t xml:space="preserve"> (last accessed 25 November 2016)</w:t>
      </w:r>
    </w:p>
    <w:p w14:paraId="6C0E53E5" w14:textId="77777777" w:rsidR="00C96521" w:rsidRPr="00C96521" w:rsidRDefault="00C96521" w:rsidP="00C96521">
      <w:pPr>
        <w:widowControl/>
        <w:autoSpaceDE/>
        <w:autoSpaceDN/>
        <w:adjustRightInd/>
        <w:spacing w:line="276" w:lineRule="auto"/>
        <w:rPr>
          <w:rFonts w:eastAsia="MS Mincho" w:cs="Arial"/>
          <w:b/>
          <w:szCs w:val="18"/>
          <w:lang w:val="en-GB" w:eastAsia="ja-JP"/>
        </w:rPr>
      </w:pPr>
    </w:p>
    <w:p w14:paraId="7CB56176"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VERMEERSH G, ANSELIN A, DEVOS K, HERREMANS M, STEVENS J, GABRIËLS J, and van de KRIEKEN B (2004)</w:t>
      </w:r>
      <w:r w:rsidRPr="00C96521">
        <w:rPr>
          <w:rFonts w:eastAsia="MS Mincho" w:cs="Arial"/>
          <w:szCs w:val="18"/>
          <w:lang w:val="en-GB" w:eastAsia="ja-JP"/>
        </w:rPr>
        <w:t xml:space="preserve"> </w:t>
      </w:r>
      <w:r w:rsidRPr="00C96521">
        <w:rPr>
          <w:rFonts w:eastAsia="MS Mincho" w:cs="Arial"/>
          <w:i/>
          <w:szCs w:val="18"/>
          <w:lang w:val="en-GB" w:eastAsia="ja-JP"/>
        </w:rPr>
        <w:t>Atlas van de Vlaamse Broedvogels 2000-2002</w:t>
      </w:r>
      <w:r w:rsidRPr="00C96521">
        <w:rPr>
          <w:rFonts w:eastAsia="MS Mincho" w:cs="Arial"/>
          <w:szCs w:val="18"/>
          <w:lang w:val="en-GB" w:eastAsia="ja-JP"/>
        </w:rPr>
        <w:t>. Instituut voor Natuur - en Bosonderzoek, Anderlecht.</w:t>
      </w:r>
    </w:p>
    <w:p w14:paraId="5568F403"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3665F294" w14:textId="225F48F0"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 xml:space="preserve">VOGELWARTE (2016a) </w:t>
      </w:r>
      <w:r w:rsidRPr="00C96521">
        <w:rPr>
          <w:rFonts w:eastAsia="MS Mincho" w:cs="Arial"/>
          <w:i/>
          <w:szCs w:val="18"/>
          <w:lang w:val="en-GB" w:eastAsia="ja-JP"/>
        </w:rPr>
        <w:t>Breeding population indices for 174 native, regularly breeding species 1990–2015</w:t>
      </w:r>
      <w:r w:rsidRPr="00C96521">
        <w:rPr>
          <w:rFonts w:eastAsia="MS Mincho" w:cs="Arial"/>
          <w:szCs w:val="18"/>
          <w:lang w:val="en-GB" w:eastAsia="ja-JP"/>
        </w:rPr>
        <w:t>. http://www.vogelwarte.ch/en/projects/population-trends/state-of-birds/breeding-birds/ (last accessed 31 October 2016)</w:t>
      </w:r>
    </w:p>
    <w:p w14:paraId="0017E94B"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305D8756" w14:textId="1AA77000"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 xml:space="preserve">VOGELWARTE (2016b) </w:t>
      </w:r>
      <w:r w:rsidRPr="00C96521">
        <w:rPr>
          <w:rFonts w:eastAsia="MS Mincho" w:cs="Arial"/>
          <w:i/>
          <w:szCs w:val="18"/>
          <w:lang w:val="en-GB" w:eastAsia="ja-JP"/>
        </w:rPr>
        <w:t xml:space="preserve">European Turtle-dove Streptopelia turtur- Birds of Switzerland. </w:t>
      </w:r>
      <w:r w:rsidRPr="00C96521">
        <w:rPr>
          <w:rFonts w:eastAsia="MS Mincho" w:cs="Arial"/>
          <w:szCs w:val="18"/>
          <w:lang w:val="en-GB" w:eastAsia="ja-JP"/>
        </w:rPr>
        <w:t>http://www.vogelwarte.ch/en/birds/birds-of-switzerland/european-turtle-dove.html (last accessed 31 October 2016)</w:t>
      </w:r>
    </w:p>
    <w:p w14:paraId="0F1DC4B7"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041052C3"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 xml:space="preserve">WABDaB (2016) </w:t>
      </w:r>
      <w:r w:rsidRPr="00C96521">
        <w:rPr>
          <w:rFonts w:eastAsia="MS Mincho" w:cs="Arial"/>
          <w:i/>
          <w:szCs w:val="18"/>
          <w:lang w:val="en-GB" w:eastAsia="ja-JP"/>
        </w:rPr>
        <w:t>European Turtle-dove</w:t>
      </w:r>
      <w:r w:rsidRPr="00C96521">
        <w:rPr>
          <w:rFonts w:eastAsia="MS Mincho" w:cs="Arial"/>
          <w:szCs w:val="18"/>
          <w:lang w:val="en-GB" w:eastAsia="ja-JP"/>
        </w:rPr>
        <w:t>. The contributors to the bilingual West African Bird DataBase (www.wabdab.org), managed by Ulf Leidén, Joost Brouwer and Tim Wacher.</w:t>
      </w:r>
    </w:p>
    <w:p w14:paraId="0143B1C0" w14:textId="77777777" w:rsidR="00C96521" w:rsidRPr="00C96521" w:rsidRDefault="00C96521" w:rsidP="00C96521">
      <w:pPr>
        <w:widowControl/>
        <w:spacing w:line="276" w:lineRule="auto"/>
        <w:rPr>
          <w:rFonts w:eastAsia="MS Mincho" w:cs="Arial"/>
          <w:szCs w:val="18"/>
          <w:lang w:val="en-GB" w:eastAsia="ja-JP"/>
        </w:rPr>
      </w:pPr>
    </w:p>
    <w:p w14:paraId="1D06BAFD" w14:textId="77777777" w:rsidR="00C96521" w:rsidRPr="00C96521" w:rsidRDefault="00C96521" w:rsidP="00C96521">
      <w:pPr>
        <w:widowControl/>
        <w:spacing w:line="276" w:lineRule="auto"/>
        <w:rPr>
          <w:rFonts w:eastAsia="MS Mincho" w:cs="Arial"/>
          <w:szCs w:val="18"/>
          <w:lang w:val="en-GB" w:eastAsia="ja-JP"/>
        </w:rPr>
      </w:pPr>
      <w:r w:rsidRPr="00C96521">
        <w:rPr>
          <w:rFonts w:eastAsia="MS Mincho" w:cs="Arial"/>
          <w:b/>
          <w:szCs w:val="18"/>
          <w:lang w:val="en-GB" w:eastAsia="ja-JP"/>
        </w:rPr>
        <w:t>WADE PR (1998)</w:t>
      </w:r>
      <w:r w:rsidRPr="00C96521">
        <w:rPr>
          <w:rFonts w:eastAsia="MS Mincho" w:cs="Arial"/>
          <w:szCs w:val="18"/>
          <w:lang w:val="en-GB" w:eastAsia="ja-JP"/>
        </w:rPr>
        <w:t xml:space="preserve"> </w:t>
      </w:r>
      <w:hyperlink r:id="rId61" w:history="1">
        <w:r w:rsidRPr="00C96521">
          <w:rPr>
            <w:rFonts w:eastAsia="MS Mincho" w:cs="Arial"/>
            <w:szCs w:val="18"/>
            <w:lang w:val="en-GB" w:eastAsia="ja-JP"/>
          </w:rPr>
          <w:t>Calculating limits to the allowable human-caused mortality of cetaceans and pinnipeds</w:t>
        </w:r>
      </w:hyperlink>
      <w:r w:rsidRPr="00C96521">
        <w:rPr>
          <w:rFonts w:eastAsia="MS Mincho" w:cs="Arial"/>
          <w:szCs w:val="18"/>
          <w:lang w:val="en-GB" w:eastAsia="ja-JP"/>
        </w:rPr>
        <w:t xml:space="preserve">. </w:t>
      </w:r>
      <w:r w:rsidRPr="00C96521">
        <w:rPr>
          <w:rFonts w:eastAsia="MS Mincho" w:cs="Arial"/>
          <w:i/>
          <w:szCs w:val="18"/>
          <w:lang w:val="en-GB" w:eastAsia="ja-JP"/>
        </w:rPr>
        <w:t>Marine Mammal Science</w:t>
      </w:r>
      <w:r w:rsidRPr="00C96521">
        <w:rPr>
          <w:rFonts w:eastAsia="MS Mincho" w:cs="Arial"/>
          <w:szCs w:val="18"/>
          <w:lang w:val="en-GB" w:eastAsia="ja-JP"/>
        </w:rPr>
        <w:t xml:space="preserve"> 14: 1-37.</w:t>
      </w:r>
    </w:p>
    <w:p w14:paraId="26404425" w14:textId="77777777" w:rsidR="00C96521" w:rsidRPr="00C96521" w:rsidRDefault="00C96521" w:rsidP="00C96521">
      <w:pPr>
        <w:widowControl/>
        <w:spacing w:line="276" w:lineRule="auto"/>
        <w:rPr>
          <w:rFonts w:eastAsia="MS Mincho" w:cs="Arial"/>
          <w:szCs w:val="18"/>
          <w:lang w:val="en-GB" w:eastAsia="ja-JP"/>
        </w:rPr>
      </w:pPr>
    </w:p>
    <w:p w14:paraId="0A830252"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WALKER LK and MORRIS AJ (2016)</w:t>
      </w:r>
      <w:r w:rsidRPr="00C96521">
        <w:rPr>
          <w:rFonts w:eastAsia="MS Mincho" w:cs="Arial"/>
          <w:szCs w:val="18"/>
          <w:lang w:val="en-GB" w:eastAsia="ja-JP"/>
        </w:rPr>
        <w:t xml:space="preserve"> </w:t>
      </w:r>
      <w:r w:rsidRPr="00C96521">
        <w:rPr>
          <w:rFonts w:eastAsia="MS Mincho" w:cs="Arial"/>
          <w:i/>
          <w:szCs w:val="18"/>
          <w:lang w:val="en-GB" w:eastAsia="ja-JP"/>
        </w:rPr>
        <w:t>Evaluating Turtle-dove HLS Package</w:t>
      </w:r>
      <w:r w:rsidRPr="00C96521">
        <w:rPr>
          <w:rFonts w:eastAsia="MS Mincho" w:cs="Arial"/>
          <w:szCs w:val="18"/>
          <w:lang w:val="en-GB" w:eastAsia="ja-JP"/>
        </w:rPr>
        <w:t>. Report to Natural England Work Package Number ECM6924.</w:t>
      </w:r>
    </w:p>
    <w:p w14:paraId="5EFCA877"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1DD7C6EB"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WALTHER BA (2016)</w:t>
      </w:r>
      <w:r w:rsidRPr="00C96521">
        <w:rPr>
          <w:rFonts w:eastAsia="MS Mincho" w:cs="Arial"/>
          <w:szCs w:val="18"/>
          <w:lang w:val="en-GB" w:eastAsia="ja-JP"/>
        </w:rPr>
        <w:t xml:space="preserve"> A review of recent ecological changes in the Sahel, with particular reference to land-use change, plants, birds and mammals. </w:t>
      </w:r>
      <w:r w:rsidRPr="00C96521">
        <w:rPr>
          <w:rFonts w:eastAsia="MS Mincho" w:cs="Arial"/>
          <w:i/>
          <w:szCs w:val="18"/>
          <w:lang w:val="en-GB" w:eastAsia="ja-JP"/>
        </w:rPr>
        <w:t>African Journal of Ecology</w:t>
      </w:r>
      <w:r w:rsidRPr="00C96521">
        <w:rPr>
          <w:rFonts w:eastAsia="MS Mincho" w:cs="Arial"/>
          <w:szCs w:val="18"/>
          <w:lang w:val="en-GB" w:eastAsia="ja-JP"/>
        </w:rPr>
        <w:t xml:space="preserve"> 54: 268-280.</w:t>
      </w:r>
    </w:p>
    <w:p w14:paraId="79F6F3E5"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szCs w:val="18"/>
          <w:lang w:val="en-GB" w:eastAsia="ja-JP"/>
        </w:rPr>
        <w:t> </w:t>
      </w:r>
    </w:p>
    <w:p w14:paraId="11F77FD2" w14:textId="77777777"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WASSINK A and OREEL GJ (2008)</w:t>
      </w:r>
      <w:r w:rsidRPr="00C96521">
        <w:rPr>
          <w:rFonts w:eastAsia="MS Mincho" w:cs="Arial"/>
          <w:szCs w:val="18"/>
          <w:lang w:val="en-GB" w:eastAsia="ja-JP"/>
        </w:rPr>
        <w:t xml:space="preserve"> Birds of Kazakhstan: new and interesting data. </w:t>
      </w:r>
      <w:r w:rsidRPr="00C96521">
        <w:rPr>
          <w:rFonts w:eastAsia="MS Mincho" w:cs="Arial"/>
          <w:i/>
          <w:szCs w:val="18"/>
          <w:lang w:val="en-GB" w:eastAsia="ja-JP"/>
        </w:rPr>
        <w:t>Dutch Birding</w:t>
      </w:r>
      <w:r w:rsidRPr="00C96521">
        <w:rPr>
          <w:rFonts w:eastAsia="MS Mincho" w:cs="Arial"/>
          <w:szCs w:val="18"/>
          <w:lang w:val="en-GB" w:eastAsia="ja-JP"/>
        </w:rPr>
        <w:t> 30(2): 93-100.</w:t>
      </w:r>
    </w:p>
    <w:p w14:paraId="5EEF56DB"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1EE3F8E9" w14:textId="45184020"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WBRU (2015)</w:t>
      </w:r>
      <w:r w:rsidRPr="00C96521">
        <w:rPr>
          <w:rFonts w:eastAsia="MS Mincho" w:cs="Arial"/>
          <w:szCs w:val="18"/>
          <w:lang w:val="en-GB" w:eastAsia="ja-JP"/>
        </w:rPr>
        <w:t xml:space="preserve"> Report on the Outcome of the 2015 Spring Hunting Season in Malta. </w:t>
      </w:r>
      <w:hyperlink r:id="rId62" w:history="1">
        <w:r w:rsidRPr="00C96521">
          <w:rPr>
            <w:rFonts w:eastAsia="MS Mincho" w:cs="Arial"/>
            <w:szCs w:val="18"/>
            <w:lang w:val="en-GB" w:eastAsia="ja-JP"/>
          </w:rPr>
          <w:t>https://msdeccms.gov.mt/en/Documents/Downloads/WBRU/spring%20hunting%202015/SH%202015%20derogation%20report.pdf</w:t>
        </w:r>
      </w:hyperlink>
      <w:r w:rsidRPr="00C96521">
        <w:rPr>
          <w:rFonts w:eastAsia="MS Mincho" w:cs="Arial"/>
          <w:szCs w:val="18"/>
          <w:lang w:val="en-GB" w:eastAsia="ja-JP"/>
        </w:rPr>
        <w:t xml:space="preserve"> (last accessed 12 December 2016).</w:t>
      </w:r>
    </w:p>
    <w:p w14:paraId="2AD0C4F5"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2620BB54" w14:textId="1D210231"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WBRU (2016)</w:t>
      </w:r>
      <w:r w:rsidRPr="00C96521">
        <w:rPr>
          <w:rFonts w:eastAsia="MS Mincho" w:cs="Arial"/>
          <w:szCs w:val="18"/>
          <w:lang w:val="en-GB" w:eastAsia="ja-JP"/>
        </w:rPr>
        <w:t xml:space="preserve"> </w:t>
      </w:r>
      <w:r w:rsidRPr="00C96521">
        <w:rPr>
          <w:rFonts w:eastAsia="MS Mincho" w:cs="Arial"/>
          <w:i/>
          <w:szCs w:val="18"/>
          <w:lang w:val="en-GB" w:eastAsia="ja-JP"/>
        </w:rPr>
        <w:t>Report on the Outcome of the 2016 Spring Hunting Season in Malta.</w:t>
      </w:r>
      <w:r w:rsidRPr="00C96521">
        <w:rPr>
          <w:rFonts w:eastAsia="MS Mincho" w:cs="Arial"/>
          <w:szCs w:val="18"/>
          <w:lang w:val="en-GB" w:eastAsia="ja-JP"/>
        </w:rPr>
        <w:t xml:space="preserve"> </w:t>
      </w:r>
      <w:hyperlink r:id="rId63" w:history="1">
        <w:r w:rsidRPr="00C96521">
          <w:rPr>
            <w:rFonts w:eastAsia="MS Mincho" w:cs="Arial"/>
            <w:szCs w:val="18"/>
            <w:lang w:val="en-GB" w:eastAsia="ja-JP"/>
          </w:rPr>
          <w:t>https://msdeccms.gov.mt/en/Documents/Downloads/WBRU/2016/SH%20derogation%20report%202016%209-6.pdf</w:t>
        </w:r>
      </w:hyperlink>
      <w:r w:rsidRPr="00C96521">
        <w:rPr>
          <w:rFonts w:eastAsia="MS Mincho" w:cs="Arial"/>
          <w:szCs w:val="18"/>
          <w:lang w:val="en-GB" w:eastAsia="ja-JP"/>
        </w:rPr>
        <w:t xml:space="preserve"> (last accessed 12 December 2016</w:t>
      </w:r>
      <w:r w:rsidRPr="00C96521">
        <w:rPr>
          <w:rFonts w:eastAsia="MS Mincho"/>
          <w:sz w:val="20"/>
          <w:szCs w:val="22"/>
          <w:lang w:val="en-GB" w:eastAsia="ja-JP"/>
        </w:rPr>
        <w:t>).</w:t>
      </w:r>
    </w:p>
    <w:p w14:paraId="50BF5490"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571C0A5A" w14:textId="62F35EF4" w:rsidR="00C96521" w:rsidRPr="00C96521" w:rsidRDefault="00C96521" w:rsidP="00C96521">
      <w:pPr>
        <w:widowControl/>
        <w:autoSpaceDE/>
        <w:autoSpaceDN/>
        <w:adjustRightInd/>
        <w:spacing w:line="276" w:lineRule="auto"/>
        <w:rPr>
          <w:rFonts w:eastAsia="MS Mincho" w:cs="Arial"/>
          <w:szCs w:val="18"/>
          <w:lang w:val="en-GB" w:eastAsia="ja-JP"/>
        </w:rPr>
      </w:pPr>
      <w:r w:rsidRPr="00C96521">
        <w:rPr>
          <w:rFonts w:eastAsia="MS Mincho" w:cs="Arial"/>
          <w:b/>
          <w:szCs w:val="18"/>
          <w:lang w:val="en-GB" w:eastAsia="ja-JP"/>
        </w:rPr>
        <w:t xml:space="preserve">ZOOLOGICAL MUSEUM OF MOSCOW UNIVERSITY (2016) </w:t>
      </w:r>
      <w:r w:rsidRPr="00C96521">
        <w:rPr>
          <w:rFonts w:eastAsia="MS Mincho" w:cs="Arial"/>
          <w:i/>
          <w:szCs w:val="18"/>
          <w:lang w:val="en-GB" w:eastAsia="ja-JP"/>
        </w:rPr>
        <w:t>Breeding bird atlas of European Russia</w:t>
      </w:r>
      <w:r w:rsidRPr="00C96521">
        <w:rPr>
          <w:rFonts w:eastAsia="MS Mincho" w:cs="Arial"/>
          <w:szCs w:val="18"/>
          <w:lang w:val="en-GB" w:eastAsia="ja-JP"/>
        </w:rPr>
        <w:t>. Zoological Museum of Moscow University http://zmmu.msu.ru/en/about-muzeum/divisions/division-of-the-scientific-public-oriented-projects/breeding-bird-atlas-of-european-russia (last accessed 31</w:t>
      </w:r>
      <w:r w:rsidRPr="00C96521">
        <w:rPr>
          <w:rFonts w:eastAsia="MS Mincho" w:cs="Arial"/>
          <w:szCs w:val="18"/>
          <w:vertAlign w:val="superscript"/>
          <w:lang w:val="en-GB" w:eastAsia="ja-JP"/>
        </w:rPr>
        <w:t xml:space="preserve"> </w:t>
      </w:r>
      <w:r w:rsidRPr="00C96521">
        <w:rPr>
          <w:rFonts w:eastAsia="MS Mincho" w:cs="Arial"/>
          <w:szCs w:val="18"/>
          <w:lang w:val="en-GB" w:eastAsia="ja-JP"/>
        </w:rPr>
        <w:t>October 2016)</w:t>
      </w:r>
    </w:p>
    <w:p w14:paraId="69C60A11" w14:textId="77777777" w:rsidR="00C96521" w:rsidRPr="00C96521" w:rsidRDefault="00C96521" w:rsidP="00C96521">
      <w:pPr>
        <w:widowControl/>
        <w:autoSpaceDE/>
        <w:autoSpaceDN/>
        <w:adjustRightInd/>
        <w:spacing w:line="276" w:lineRule="auto"/>
        <w:rPr>
          <w:rFonts w:eastAsia="MS Mincho" w:cs="Arial"/>
          <w:szCs w:val="18"/>
          <w:lang w:val="en-GB" w:eastAsia="ja-JP"/>
        </w:rPr>
      </w:pPr>
    </w:p>
    <w:p w14:paraId="6D7D132D" w14:textId="77777777" w:rsidR="00C96521" w:rsidRPr="00890F11" w:rsidRDefault="00C96521" w:rsidP="00C96521">
      <w:pPr>
        <w:widowControl/>
        <w:autoSpaceDE/>
        <w:autoSpaceDN/>
        <w:adjustRightInd/>
        <w:spacing w:line="276" w:lineRule="auto"/>
        <w:rPr>
          <w:rFonts w:eastAsia="MS Mincho" w:cs="Arial"/>
          <w:szCs w:val="18"/>
          <w:lang w:val="fr-FR" w:eastAsia="ja-JP"/>
        </w:rPr>
      </w:pPr>
      <w:r w:rsidRPr="00C96521">
        <w:rPr>
          <w:rFonts w:eastAsia="MS Mincho" w:cs="Arial"/>
          <w:b/>
          <w:szCs w:val="18"/>
          <w:lang w:val="en-GB" w:eastAsia="ja-JP"/>
        </w:rPr>
        <w:t>ZWARTS L, BIJLSMA RG, VAN DER KAMP J and WYMENGA E (2009)</w:t>
      </w:r>
      <w:r w:rsidRPr="00C96521">
        <w:rPr>
          <w:rFonts w:eastAsia="MS Mincho" w:cs="Arial"/>
          <w:szCs w:val="18"/>
          <w:lang w:val="en-GB" w:eastAsia="ja-JP"/>
        </w:rPr>
        <w:t xml:space="preserve"> </w:t>
      </w:r>
      <w:r w:rsidRPr="00C96521">
        <w:rPr>
          <w:rFonts w:eastAsia="MS Mincho" w:cs="Arial"/>
          <w:i/>
          <w:szCs w:val="18"/>
          <w:lang w:val="en-GB" w:eastAsia="ja-JP"/>
        </w:rPr>
        <w:t>Living on the Edge: wetlands and birds in a changing Sahel</w:t>
      </w:r>
      <w:r w:rsidRPr="00C96521">
        <w:rPr>
          <w:rFonts w:eastAsia="MS Mincho" w:cs="Arial"/>
          <w:szCs w:val="18"/>
          <w:lang w:val="en-GB" w:eastAsia="ja-JP"/>
        </w:rPr>
        <w:t xml:space="preserve">. </w:t>
      </w:r>
      <w:r w:rsidRPr="00890F11">
        <w:rPr>
          <w:rFonts w:eastAsia="MS Mincho" w:cs="Arial"/>
          <w:szCs w:val="18"/>
          <w:lang w:val="fr-FR" w:eastAsia="ja-JP"/>
        </w:rPr>
        <w:t>KNNV Publishing, Zeist.</w:t>
      </w:r>
    </w:p>
    <w:p w14:paraId="72559FDA" w14:textId="77777777" w:rsidR="00C96521" w:rsidRPr="00890F11" w:rsidRDefault="00C96521" w:rsidP="00C96521">
      <w:pPr>
        <w:widowControl/>
        <w:autoSpaceDE/>
        <w:autoSpaceDN/>
        <w:adjustRightInd/>
        <w:spacing w:line="276" w:lineRule="auto"/>
        <w:rPr>
          <w:rFonts w:eastAsia="MS Mincho" w:cs="Arial"/>
          <w:szCs w:val="18"/>
          <w:lang w:val="fr-FR" w:eastAsia="ja-JP"/>
        </w:rPr>
      </w:pPr>
      <w:r w:rsidRPr="00890F11">
        <w:rPr>
          <w:rFonts w:eastAsia="MS Mincho" w:cs="Arial"/>
          <w:szCs w:val="18"/>
          <w:lang w:val="fr-FR" w:eastAsia="ja-JP"/>
        </w:rPr>
        <w:br w:type="page"/>
      </w:r>
    </w:p>
    <w:p w14:paraId="59E26DCC" w14:textId="77777777" w:rsidR="00C96521" w:rsidRPr="00890F11" w:rsidRDefault="00C96521" w:rsidP="00C96521">
      <w:pPr>
        <w:keepNext/>
        <w:keepLines/>
        <w:widowControl/>
        <w:autoSpaceDE/>
        <w:autoSpaceDN/>
        <w:adjustRightInd/>
        <w:spacing w:before="480" w:line="276" w:lineRule="auto"/>
        <w:outlineLvl w:val="0"/>
        <w:rPr>
          <w:rFonts w:eastAsia="MS Gothic"/>
          <w:b/>
          <w:bCs/>
          <w:color w:val="365F91"/>
          <w:sz w:val="32"/>
          <w:szCs w:val="28"/>
          <w:lang w:val="fr-FR" w:eastAsia="ja-JP"/>
        </w:rPr>
      </w:pPr>
      <w:bookmarkStart w:id="40" w:name="_Toc478646925"/>
      <w:r w:rsidRPr="00890F11">
        <w:rPr>
          <w:rFonts w:eastAsia="MS Gothic"/>
          <w:b/>
          <w:bCs/>
          <w:color w:val="365F91"/>
          <w:sz w:val="32"/>
          <w:szCs w:val="28"/>
          <w:lang w:val="fr-FR" w:eastAsia="ja-JP"/>
        </w:rPr>
        <w:t>Annex 6: LIST OF ACRONYMS/ABBREVIATIONS</w:t>
      </w:r>
      <w:bookmarkEnd w:id="40"/>
    </w:p>
    <w:p w14:paraId="5E9B11D6" w14:textId="77777777" w:rsidR="00C96521" w:rsidRPr="00890F11" w:rsidRDefault="00C96521" w:rsidP="00C96521">
      <w:pPr>
        <w:widowControl/>
        <w:autoSpaceDE/>
        <w:autoSpaceDN/>
        <w:adjustRightInd/>
        <w:spacing w:line="276" w:lineRule="auto"/>
        <w:rPr>
          <w:rFonts w:eastAsia="MS Mincho"/>
          <w:sz w:val="20"/>
          <w:szCs w:val="22"/>
          <w:lang w:val="fr-FR" w:eastAsia="ja-JP"/>
        </w:rPr>
      </w:pPr>
    </w:p>
    <w:p w14:paraId="7E0819B4" w14:textId="77777777" w:rsidR="00C96521" w:rsidRPr="00890F11" w:rsidRDefault="00C96521" w:rsidP="00C96521">
      <w:pPr>
        <w:widowControl/>
        <w:autoSpaceDE/>
        <w:autoSpaceDN/>
        <w:adjustRightInd/>
        <w:spacing w:line="276" w:lineRule="auto"/>
        <w:ind w:left="360" w:hangingChars="200" w:hanging="360"/>
        <w:rPr>
          <w:rFonts w:eastAsia="MS Mincho"/>
          <w:szCs w:val="18"/>
          <w:lang w:val="fr-FR" w:eastAsia="ja-JP"/>
        </w:rPr>
      </w:pPr>
      <w:r w:rsidRPr="00890F11">
        <w:rPr>
          <w:rFonts w:eastAsia="MS Mincho"/>
          <w:szCs w:val="18"/>
          <w:lang w:val="fr-FR" w:eastAsia="ja-JP"/>
        </w:rPr>
        <w:t>AMCFE - Association Malienne pour la Conservation de la Faune et de l'Environnment</w:t>
      </w:r>
    </w:p>
    <w:p w14:paraId="17CEFBDD"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ANAO - Algerian National Association of Ornithology</w:t>
      </w:r>
    </w:p>
    <w:p w14:paraId="7AA10F4B"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AOS - Azerbaijan Ornithological Society (BirdLife Azerbaijan)</w:t>
      </w:r>
    </w:p>
    <w:p w14:paraId="0FD4B16D"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APB - Ахова птушак Бацькаўшчыны (АПБ) (BirdLife Belarus)</w:t>
      </w:r>
    </w:p>
    <w:p w14:paraId="6DA75BC4"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BC TAP - Bern Convention Tunis Action Plan</w:t>
      </w:r>
    </w:p>
    <w:p w14:paraId="48785EBF"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BIOM - Association BIOM (BirdLife Croatia)</w:t>
      </w:r>
    </w:p>
    <w:p w14:paraId="4CD798A2"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BSPB - Bulgarian Society for the Protection of Birds (BirdLife Bulgaria)</w:t>
      </w:r>
    </w:p>
    <w:p w14:paraId="06075120"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BTO – British Trust for Ornithology</w:t>
      </w:r>
    </w:p>
    <w:p w14:paraId="61BFFD08" w14:textId="77777777" w:rsidR="00C96521" w:rsidRPr="00C96521" w:rsidRDefault="00C96521" w:rsidP="00C96521">
      <w:pPr>
        <w:widowControl/>
        <w:autoSpaceDE/>
        <w:autoSpaceDN/>
        <w:adjustRightInd/>
        <w:spacing w:line="276" w:lineRule="auto"/>
        <w:rPr>
          <w:rFonts w:eastAsia="MS Mincho"/>
          <w:szCs w:val="18"/>
          <w:lang w:val="en-GB" w:eastAsia="ja-JP"/>
        </w:rPr>
      </w:pPr>
      <w:r w:rsidRPr="00C96521">
        <w:rPr>
          <w:rFonts w:cs="Arial"/>
          <w:szCs w:val="18"/>
          <w:lang w:val="en-GB" w:eastAsia="en-GB"/>
        </w:rPr>
        <w:t>CASA</w:t>
      </w:r>
      <w:r w:rsidRPr="00C96521">
        <w:rPr>
          <w:rFonts w:eastAsia="MS Mincho"/>
          <w:szCs w:val="18"/>
          <w:lang w:val="en-GB" w:eastAsia="ja-JP"/>
        </w:rPr>
        <w:t xml:space="preserve"> – Croatian Academy of Sciences and Arts</w:t>
      </w:r>
    </w:p>
    <w:p w14:paraId="1D5B15E4"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CITES - Convention on the International Trade of Endangered Species of Wild Flora and Fauna</w:t>
      </w:r>
    </w:p>
    <w:p w14:paraId="4A639A94"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CMS - Convention on Migratory Species</w:t>
      </w:r>
    </w:p>
    <w:p w14:paraId="6A2DF5EE" w14:textId="77777777" w:rsidR="00C96521" w:rsidRPr="00C96521" w:rsidRDefault="00C96521" w:rsidP="00C96521">
      <w:pPr>
        <w:widowControl/>
        <w:autoSpaceDE/>
        <w:autoSpaceDN/>
        <w:adjustRightInd/>
        <w:spacing w:line="276" w:lineRule="auto"/>
        <w:rPr>
          <w:rFonts w:eastAsia="MS Mincho"/>
          <w:szCs w:val="18"/>
          <w:lang w:val="en-GB" w:eastAsia="ja-JP"/>
        </w:rPr>
      </w:pPr>
      <w:r w:rsidRPr="00C96521">
        <w:rPr>
          <w:rFonts w:eastAsia="MS Mincho"/>
          <w:szCs w:val="18"/>
          <w:lang w:val="en-GB" w:eastAsia="ja-JP"/>
        </w:rPr>
        <w:t xml:space="preserve">CMS MIKT - </w:t>
      </w:r>
      <w:r w:rsidRPr="00C96521">
        <w:rPr>
          <w:rFonts w:eastAsia="MS Mincho"/>
          <w:color w:val="000000"/>
          <w:szCs w:val="18"/>
          <w:lang w:val="en-GB" w:eastAsia="ja-JP"/>
        </w:rPr>
        <w:t>Intergovernmental Task Force on Illegal Killing, Taking and Trade of Migratory Birds in the Mediterranean</w:t>
      </w:r>
    </w:p>
    <w:p w14:paraId="0040A752"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DOF - Dansk Ornitologisk Forening (BirdLife Denmark)</w:t>
      </w:r>
    </w:p>
    <w:p w14:paraId="4B5FB1EE"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DOPPS - Društvo za Opazovanje in Proučevanje Ptic Slovenije (BirdLife Slovenia)</w:t>
      </w:r>
    </w:p>
    <w:p w14:paraId="3139D9B2"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DPWM - Department of Parks and Wildlife Management, Government of The Gambia</w:t>
      </w:r>
    </w:p>
    <w:p w14:paraId="1361488D"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EIA – Environmental Impact Assessment</w:t>
      </w:r>
    </w:p>
    <w:p w14:paraId="1628F642"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ENEC – European Network against Environmental Crime</w:t>
      </w:r>
    </w:p>
    <w:p w14:paraId="3C7BFBD2"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EOS - Estonian Ornithological Society (BirdLife Estonia)</w:t>
      </w:r>
    </w:p>
    <w:p w14:paraId="7B7889D1"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EU – European Union</w:t>
      </w:r>
    </w:p>
    <w:p w14:paraId="5A4C11A8"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FACE – The European Federation of Associations for Hunting and Conservation</w:t>
      </w:r>
    </w:p>
    <w:p w14:paraId="334E4840" w14:textId="77777777" w:rsidR="00C96521" w:rsidRPr="00890F11" w:rsidRDefault="00C96521" w:rsidP="00C96521">
      <w:pPr>
        <w:widowControl/>
        <w:autoSpaceDE/>
        <w:autoSpaceDN/>
        <w:adjustRightInd/>
        <w:spacing w:line="276" w:lineRule="auto"/>
        <w:ind w:left="360" w:hangingChars="200" w:hanging="360"/>
        <w:rPr>
          <w:rFonts w:eastAsia="MS Mincho"/>
          <w:szCs w:val="18"/>
          <w:lang w:val="fr-FR" w:eastAsia="ja-JP"/>
        </w:rPr>
      </w:pPr>
      <w:r w:rsidRPr="00890F11">
        <w:rPr>
          <w:rFonts w:eastAsia="MS Mincho"/>
          <w:szCs w:val="18"/>
          <w:lang w:val="fr-FR" w:eastAsia="ja-JP"/>
        </w:rPr>
        <w:t>GCT - The Game Conservancy Trust</w:t>
      </w:r>
    </w:p>
    <w:p w14:paraId="5D36A081" w14:textId="77777777" w:rsidR="00C96521" w:rsidRPr="00890F11" w:rsidRDefault="00C96521" w:rsidP="00C96521">
      <w:pPr>
        <w:widowControl/>
        <w:autoSpaceDE/>
        <w:autoSpaceDN/>
        <w:adjustRightInd/>
        <w:spacing w:line="276" w:lineRule="auto"/>
        <w:ind w:left="360" w:hangingChars="200" w:hanging="360"/>
        <w:rPr>
          <w:rFonts w:eastAsia="MS Mincho"/>
          <w:szCs w:val="18"/>
          <w:lang w:val="fr-FR" w:eastAsia="ja-JP"/>
        </w:rPr>
      </w:pPr>
      <w:r w:rsidRPr="00890F11">
        <w:rPr>
          <w:rFonts w:eastAsia="MS Mincho"/>
          <w:szCs w:val="18"/>
          <w:lang w:val="fr-FR" w:eastAsia="ja-JP"/>
        </w:rPr>
        <w:t>GREPROM - Groupe de Recherche pour la Protection des Oiseaux au Maroc (BirdLife Morocco)</w:t>
      </w:r>
    </w:p>
    <w:p w14:paraId="13B86C3A"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HOS - Hellenic Ornithological Society (BirdLife Greece)</w:t>
      </w:r>
    </w:p>
    <w:p w14:paraId="251CAE1C"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IBA - Important Bird Area</w:t>
      </w:r>
    </w:p>
    <w:p w14:paraId="5850351F"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IMPEL – European Union Network for the Implementation and Enforcement of Environmental Law</w:t>
      </w:r>
    </w:p>
    <w:p w14:paraId="1812D502" w14:textId="77777777" w:rsidR="00C96521" w:rsidRPr="00890F11" w:rsidRDefault="00C96521" w:rsidP="00C96521">
      <w:pPr>
        <w:widowControl/>
        <w:autoSpaceDE/>
        <w:autoSpaceDN/>
        <w:adjustRightInd/>
        <w:spacing w:line="276" w:lineRule="auto"/>
        <w:ind w:left="360" w:hangingChars="200" w:hanging="360"/>
        <w:rPr>
          <w:rFonts w:eastAsia="MS Mincho"/>
          <w:szCs w:val="18"/>
          <w:lang w:val="es-ES" w:eastAsia="ja-JP"/>
        </w:rPr>
      </w:pPr>
      <w:r w:rsidRPr="00890F11">
        <w:rPr>
          <w:rFonts w:eastAsia="MS Mincho"/>
          <w:szCs w:val="18"/>
          <w:lang w:val="es-ES" w:eastAsia="ja-JP"/>
        </w:rPr>
        <w:t>ISPRA - Istituto Superiore per la Protezione e la Ricerca Ambientale (Italy)</w:t>
      </w:r>
    </w:p>
    <w:p w14:paraId="2582730A"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IUCN – International Union for Conservation of Nature</w:t>
      </w:r>
    </w:p>
    <w:p w14:paraId="1883FAC9"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KBA – Key Biodiversity Area</w:t>
      </w:r>
    </w:p>
    <w:p w14:paraId="1A38B4AF"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LIPU - Lega Italiana Protezione Uccelli (BirdLife Italy)</w:t>
      </w:r>
    </w:p>
    <w:p w14:paraId="0C7851E1"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LOD - Lietuvos Ornitologų Draugija (BirdLife Lithuania)</w:t>
      </w:r>
    </w:p>
    <w:p w14:paraId="7EE9CFF8" w14:textId="77777777" w:rsidR="00C96521" w:rsidRPr="00890F11" w:rsidRDefault="00C96521" w:rsidP="00C96521">
      <w:pPr>
        <w:widowControl/>
        <w:autoSpaceDE/>
        <w:autoSpaceDN/>
        <w:adjustRightInd/>
        <w:spacing w:line="276" w:lineRule="auto"/>
        <w:ind w:left="360" w:hangingChars="200" w:hanging="360"/>
        <w:rPr>
          <w:rFonts w:eastAsia="MS Mincho"/>
          <w:szCs w:val="18"/>
          <w:lang w:val="fr-FR" w:eastAsia="ja-JP"/>
        </w:rPr>
      </w:pPr>
      <w:r w:rsidRPr="00890F11">
        <w:rPr>
          <w:rFonts w:eastAsia="MS Mincho"/>
          <w:szCs w:val="18"/>
          <w:lang w:val="fr-FR" w:eastAsia="ja-JP"/>
        </w:rPr>
        <w:t>LPO – Ligue pour la Protection des Oiseaux (BirdLife France)</w:t>
      </w:r>
    </w:p>
    <w:p w14:paraId="6ADC55E0" w14:textId="77777777" w:rsidR="00C96521" w:rsidRPr="00890F11" w:rsidRDefault="00C96521" w:rsidP="00C96521">
      <w:pPr>
        <w:widowControl/>
        <w:autoSpaceDE/>
        <w:autoSpaceDN/>
        <w:adjustRightInd/>
        <w:spacing w:line="276" w:lineRule="auto"/>
        <w:ind w:left="360" w:hangingChars="200" w:hanging="360"/>
        <w:rPr>
          <w:rFonts w:eastAsia="MS Mincho"/>
          <w:szCs w:val="18"/>
          <w:lang w:val="fr-FR" w:eastAsia="ja-JP"/>
        </w:rPr>
      </w:pPr>
      <w:r w:rsidRPr="00890F11">
        <w:rPr>
          <w:rFonts w:eastAsia="MS Mincho"/>
          <w:szCs w:val="18"/>
          <w:lang w:val="fr-FR" w:eastAsia="ja-JP"/>
        </w:rPr>
        <w:t>MME - Magyar Madártani és Természetvédelmi Egyesület (BirdLife Hungary)</w:t>
      </w:r>
    </w:p>
    <w:p w14:paraId="21D76B16" w14:textId="77777777" w:rsidR="00C96521" w:rsidRPr="008C00B8" w:rsidRDefault="00C96521" w:rsidP="00C96521">
      <w:pPr>
        <w:widowControl/>
        <w:autoSpaceDE/>
        <w:autoSpaceDN/>
        <w:adjustRightInd/>
        <w:spacing w:line="276" w:lineRule="auto"/>
        <w:ind w:left="360" w:hangingChars="200" w:hanging="360"/>
        <w:rPr>
          <w:rFonts w:eastAsia="MS Mincho"/>
          <w:szCs w:val="18"/>
          <w:lang w:val="fr-FR" w:eastAsia="ja-JP"/>
        </w:rPr>
      </w:pPr>
      <w:r w:rsidRPr="008C00B8">
        <w:rPr>
          <w:rFonts w:eastAsia="MS Mincho"/>
          <w:szCs w:val="18"/>
          <w:lang w:val="fr-FR" w:eastAsia="ja-JP"/>
        </w:rPr>
        <w:t>MNHN – Muséum National d’Histoire Naturelle</w:t>
      </w:r>
    </w:p>
    <w:p w14:paraId="6033F671" w14:textId="77777777" w:rsidR="00C96521" w:rsidRPr="008C00B8" w:rsidRDefault="00C96521" w:rsidP="00C96521">
      <w:pPr>
        <w:widowControl/>
        <w:autoSpaceDE/>
        <w:autoSpaceDN/>
        <w:adjustRightInd/>
        <w:spacing w:line="276" w:lineRule="auto"/>
        <w:ind w:left="360" w:hangingChars="200" w:hanging="360"/>
        <w:rPr>
          <w:rFonts w:eastAsia="MS Mincho"/>
          <w:szCs w:val="18"/>
          <w:lang w:val="fr-FR" w:eastAsia="ja-JP"/>
        </w:rPr>
      </w:pPr>
      <w:r w:rsidRPr="008C00B8">
        <w:rPr>
          <w:rFonts w:eastAsia="MS Mincho"/>
          <w:szCs w:val="18"/>
          <w:lang w:val="fr-FR" w:eastAsia="ja-JP"/>
        </w:rPr>
        <w:t>NGO - Non-governmental Organisation</w:t>
      </w:r>
    </w:p>
    <w:p w14:paraId="448249E2"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NABU - Nature and Biodiversity Conservation Union (BirdLife Germany)</w:t>
      </w:r>
    </w:p>
    <w:p w14:paraId="55592E1B"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OMPO - Migratory Birds of the Western Palearctic</w:t>
      </w:r>
    </w:p>
    <w:p w14:paraId="594A94D4" w14:textId="77777777" w:rsidR="00C96521" w:rsidRPr="00890F11" w:rsidRDefault="00C96521" w:rsidP="00C96521">
      <w:pPr>
        <w:widowControl/>
        <w:autoSpaceDE/>
        <w:autoSpaceDN/>
        <w:adjustRightInd/>
        <w:spacing w:line="276" w:lineRule="auto"/>
        <w:ind w:left="360" w:hangingChars="200" w:hanging="360"/>
        <w:rPr>
          <w:rFonts w:eastAsia="MS Mincho"/>
          <w:szCs w:val="18"/>
          <w:lang w:val="fr-FR" w:eastAsia="ja-JP"/>
        </w:rPr>
      </w:pPr>
      <w:r w:rsidRPr="00890F11">
        <w:rPr>
          <w:rFonts w:eastAsia="MS Mincho"/>
          <w:szCs w:val="18"/>
          <w:lang w:val="fr-FR" w:eastAsia="ja-JP"/>
        </w:rPr>
        <w:t>ONCFS - Office National de la Chasse et de la Faune Sauvage</w:t>
      </w:r>
    </w:p>
    <w:p w14:paraId="1D3C6CBF"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OTOP - Ogólnopolskie Towarzystwo Ochrony Ptaków (BirdLife Poland)</w:t>
      </w:r>
    </w:p>
    <w:p w14:paraId="3224AC29"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RSCN - Royal Society for the Conservation of Nature (BirdLife Jordan)</w:t>
      </w:r>
    </w:p>
    <w:p w14:paraId="43ED7364"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RSPB - Royal Society for the Protection of Birds (BirdLife United Kingdom)</w:t>
      </w:r>
    </w:p>
    <w:p w14:paraId="07709CA5" w14:textId="77777777" w:rsidR="00C96521" w:rsidRPr="00890F11" w:rsidRDefault="00C96521" w:rsidP="00C96521">
      <w:pPr>
        <w:widowControl/>
        <w:autoSpaceDE/>
        <w:autoSpaceDN/>
        <w:adjustRightInd/>
        <w:spacing w:line="276" w:lineRule="auto"/>
        <w:ind w:left="360" w:hangingChars="200" w:hanging="360"/>
        <w:rPr>
          <w:rFonts w:eastAsia="MS Mincho"/>
          <w:szCs w:val="18"/>
          <w:lang w:val="es-ES" w:eastAsia="ja-JP"/>
        </w:rPr>
      </w:pPr>
      <w:r w:rsidRPr="00890F11">
        <w:rPr>
          <w:rFonts w:eastAsia="MS Mincho"/>
          <w:szCs w:val="18"/>
          <w:lang w:val="es-ES" w:eastAsia="ja-JP"/>
        </w:rPr>
        <w:t>SEO - Sociedad Española de Ornitología (BirdLife Spain)</w:t>
      </w:r>
    </w:p>
    <w:p w14:paraId="06362D34" w14:textId="7CB01182" w:rsidR="00C96521" w:rsidRPr="00890F11" w:rsidRDefault="00C96521" w:rsidP="00C96521">
      <w:pPr>
        <w:widowControl/>
        <w:autoSpaceDE/>
        <w:autoSpaceDN/>
        <w:adjustRightInd/>
        <w:spacing w:line="276" w:lineRule="auto"/>
        <w:ind w:left="360" w:hangingChars="200" w:hanging="360"/>
        <w:rPr>
          <w:rFonts w:eastAsia="MS Mincho"/>
          <w:szCs w:val="18"/>
          <w:lang w:val="fr-FR" w:eastAsia="ja-JP"/>
        </w:rPr>
      </w:pPr>
      <w:r w:rsidRPr="00890F11">
        <w:rPr>
          <w:rFonts w:eastAsia="MS Mincho"/>
          <w:szCs w:val="18"/>
          <w:lang w:val="fr-FR" w:eastAsia="ja-JP"/>
        </w:rPr>
        <w:t>SEOF – Société d’</w:t>
      </w:r>
      <w:r w:rsidR="00526B63">
        <w:rPr>
          <w:rFonts w:eastAsia="MS Mincho"/>
          <w:szCs w:val="18"/>
          <w:lang w:val="fr-FR" w:eastAsia="ja-JP"/>
        </w:rPr>
        <w:t>É</w:t>
      </w:r>
      <w:r w:rsidRPr="00890F11">
        <w:rPr>
          <w:rFonts w:eastAsia="MS Mincho"/>
          <w:szCs w:val="18"/>
          <w:lang w:val="fr-FR" w:eastAsia="ja-JP"/>
        </w:rPr>
        <w:t>tudes Ornithologiques de France</w:t>
      </w:r>
    </w:p>
    <w:p w14:paraId="6770CD66"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SOR - Societatea Ornitologică Română (BirdLife Romania)</w:t>
      </w:r>
    </w:p>
    <w:p w14:paraId="6D84B405"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SOS – Slovakian Ornithological Society (BirdLife Slovakia)</w:t>
      </w:r>
    </w:p>
    <w:p w14:paraId="16FB0839" w14:textId="77777777" w:rsidR="00C96521" w:rsidRPr="00890F11" w:rsidRDefault="00C96521" w:rsidP="00C96521">
      <w:pPr>
        <w:widowControl/>
        <w:autoSpaceDE/>
        <w:autoSpaceDN/>
        <w:adjustRightInd/>
        <w:spacing w:line="276" w:lineRule="auto"/>
        <w:ind w:left="360" w:hangingChars="200" w:hanging="360"/>
        <w:rPr>
          <w:rFonts w:eastAsia="MS Mincho"/>
          <w:szCs w:val="18"/>
          <w:lang w:val="es-ES" w:eastAsia="ja-JP"/>
        </w:rPr>
      </w:pPr>
      <w:r w:rsidRPr="00890F11">
        <w:rPr>
          <w:rFonts w:eastAsia="MS Mincho"/>
          <w:szCs w:val="18"/>
          <w:lang w:val="es-ES" w:eastAsia="ja-JP"/>
        </w:rPr>
        <w:t>SPA - Special Protection Area</w:t>
      </w:r>
    </w:p>
    <w:p w14:paraId="37773578" w14:textId="77777777" w:rsidR="00C96521" w:rsidRPr="00890F11" w:rsidRDefault="00C96521" w:rsidP="00C96521">
      <w:pPr>
        <w:widowControl/>
        <w:autoSpaceDE/>
        <w:autoSpaceDN/>
        <w:adjustRightInd/>
        <w:spacing w:line="276" w:lineRule="auto"/>
        <w:ind w:left="360" w:hangingChars="200" w:hanging="360"/>
        <w:rPr>
          <w:rFonts w:eastAsia="MS Mincho"/>
          <w:szCs w:val="18"/>
          <w:lang w:val="es-ES" w:eastAsia="ja-JP"/>
        </w:rPr>
      </w:pPr>
      <w:r w:rsidRPr="00890F11">
        <w:rPr>
          <w:rFonts w:eastAsia="MS Mincho"/>
          <w:szCs w:val="18"/>
          <w:lang w:val="es-ES" w:eastAsia="ja-JP"/>
        </w:rPr>
        <w:t>SPEA - Sociedade Portuguesa para o Estudo das Aves (BirdLife Portugal)</w:t>
      </w:r>
    </w:p>
    <w:p w14:paraId="734B105C"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SPNI - Society for the Protection of Nature in Israel (BirdLife Israel)</w:t>
      </w:r>
    </w:p>
    <w:p w14:paraId="21BF9C79"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SPNL - Society for the Protection of Nature in Lebanon (BirdLife Lebanon)</w:t>
      </w:r>
    </w:p>
    <w:p w14:paraId="4EE29BF5"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SSCW - Syrian Society for Conservation of Wildlife (BirdLife Syria)</w:t>
      </w:r>
    </w:p>
    <w:p w14:paraId="6685E336"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USPB - Ukrainian Society for the Protection of Birds(BirdLife Ukraine)</w:t>
      </w:r>
    </w:p>
    <w:p w14:paraId="396A8D52"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WABDaB – West African Bird Database</w:t>
      </w:r>
    </w:p>
    <w:p w14:paraId="47BC628C" w14:textId="77777777" w:rsidR="00C96521" w:rsidRPr="00C96521" w:rsidRDefault="00C96521" w:rsidP="00C96521">
      <w:pPr>
        <w:widowControl/>
        <w:autoSpaceDE/>
        <w:autoSpaceDN/>
        <w:adjustRightInd/>
        <w:spacing w:line="276" w:lineRule="auto"/>
        <w:ind w:left="360" w:hangingChars="200" w:hanging="360"/>
        <w:rPr>
          <w:rFonts w:eastAsia="MS Mincho"/>
          <w:szCs w:val="18"/>
          <w:lang w:val="en-GB" w:eastAsia="ja-JP"/>
        </w:rPr>
      </w:pPr>
      <w:r w:rsidRPr="00C96521">
        <w:rPr>
          <w:rFonts w:eastAsia="MS Mincho"/>
          <w:szCs w:val="18"/>
          <w:lang w:val="en-GB" w:eastAsia="ja-JP"/>
        </w:rPr>
        <w:t>WABSA - West African Bird Study Association</w:t>
      </w:r>
    </w:p>
    <w:p w14:paraId="211D73F2" w14:textId="77777777" w:rsidR="00C96521" w:rsidRPr="00C96521" w:rsidRDefault="00C96521" w:rsidP="00C96521">
      <w:pPr>
        <w:widowControl/>
        <w:autoSpaceDE/>
        <w:autoSpaceDN/>
        <w:adjustRightInd/>
        <w:spacing w:line="276" w:lineRule="auto"/>
        <w:rPr>
          <w:rFonts w:eastAsia="MS Mincho"/>
          <w:szCs w:val="18"/>
          <w:lang w:val="en-GB" w:eastAsia="ja-JP"/>
        </w:rPr>
      </w:pPr>
      <w:r w:rsidRPr="00C96521">
        <w:rPr>
          <w:rFonts w:eastAsia="MS Mincho"/>
          <w:szCs w:val="18"/>
          <w:lang w:val="en-GB" w:eastAsia="ja-JP"/>
        </w:rPr>
        <w:t>WBRU - Wild Birds Regulation Unit, Government of Malta</w:t>
      </w:r>
    </w:p>
    <w:p w14:paraId="01F5D1A7" w14:textId="77777777" w:rsidR="00C96521" w:rsidRPr="00C96521" w:rsidRDefault="00C96521" w:rsidP="00C96521">
      <w:pPr>
        <w:widowControl/>
        <w:autoSpaceDE/>
        <w:autoSpaceDN/>
        <w:adjustRightInd/>
        <w:spacing w:line="276" w:lineRule="auto"/>
        <w:rPr>
          <w:rFonts w:eastAsia="MS Mincho"/>
          <w:sz w:val="20"/>
          <w:szCs w:val="22"/>
          <w:lang w:val="en-GB" w:eastAsia="ja-JP"/>
        </w:rPr>
      </w:pPr>
      <w:r w:rsidRPr="00C96521">
        <w:rPr>
          <w:rFonts w:eastAsia="MS Mincho"/>
          <w:sz w:val="20"/>
          <w:szCs w:val="22"/>
          <w:lang w:val="en-GB" w:eastAsia="ja-JP"/>
        </w:rPr>
        <w:br w:type="page"/>
      </w:r>
    </w:p>
    <w:p w14:paraId="4E7892C3" w14:textId="0C68FF75" w:rsidR="00C96521" w:rsidRPr="00C96521" w:rsidRDefault="00C96521" w:rsidP="00C96521">
      <w:pPr>
        <w:keepNext/>
        <w:keepLines/>
        <w:widowControl/>
        <w:autoSpaceDE/>
        <w:autoSpaceDN/>
        <w:adjustRightInd/>
        <w:spacing w:before="480" w:line="276" w:lineRule="auto"/>
        <w:outlineLvl w:val="0"/>
        <w:rPr>
          <w:rFonts w:eastAsia="MS Gothic"/>
          <w:b/>
          <w:bCs/>
          <w:color w:val="365F91"/>
          <w:sz w:val="32"/>
          <w:szCs w:val="28"/>
          <w:lang w:val="en-GB" w:eastAsia="ja-JP"/>
        </w:rPr>
      </w:pPr>
      <w:bookmarkStart w:id="41" w:name="_Toc469140858"/>
      <w:bookmarkStart w:id="42" w:name="_Toc478646926"/>
      <w:r w:rsidRPr="00C96521">
        <w:rPr>
          <w:rFonts w:eastAsia="MS Gothic"/>
          <w:b/>
          <w:bCs/>
          <w:color w:val="365F91"/>
          <w:sz w:val="32"/>
          <w:szCs w:val="28"/>
          <w:lang w:val="en-GB" w:eastAsia="ja-JP"/>
        </w:rPr>
        <w:t xml:space="preserve">Annex 7 - </w:t>
      </w:r>
      <w:bookmarkEnd w:id="41"/>
      <w:r w:rsidRPr="00C96521">
        <w:rPr>
          <w:rFonts w:eastAsia="MS Gothic"/>
          <w:b/>
          <w:bCs/>
          <w:color w:val="365F91"/>
          <w:sz w:val="32"/>
          <w:szCs w:val="28"/>
          <w:lang w:val="en-GB" w:eastAsia="ja-JP"/>
        </w:rPr>
        <w:t xml:space="preserve">EUROPEAN </w:t>
      </w:r>
      <w:r w:rsidR="00526B63">
        <w:rPr>
          <w:rFonts w:eastAsia="MS Gothic"/>
          <w:b/>
          <w:bCs/>
          <w:color w:val="365F91"/>
          <w:sz w:val="32"/>
          <w:szCs w:val="28"/>
          <w:lang w:val="en-GB" w:eastAsia="ja-JP"/>
        </w:rPr>
        <w:t xml:space="preserve">UNION </w:t>
      </w:r>
      <w:r w:rsidRPr="00C96521">
        <w:rPr>
          <w:rFonts w:eastAsia="MS Gothic"/>
          <w:b/>
          <w:bCs/>
          <w:color w:val="365F91"/>
          <w:sz w:val="32"/>
          <w:szCs w:val="28"/>
          <w:lang w:val="en-GB" w:eastAsia="ja-JP"/>
        </w:rPr>
        <w:t>MEMBER STATES CODES</w:t>
      </w:r>
      <w:bookmarkEnd w:id="42"/>
    </w:p>
    <w:p w14:paraId="02A32B4C" w14:textId="77777777" w:rsidR="00C96521" w:rsidRPr="00C96521" w:rsidRDefault="00C96521" w:rsidP="00C96521">
      <w:pPr>
        <w:widowControl/>
        <w:autoSpaceDE/>
        <w:autoSpaceDN/>
        <w:adjustRightInd/>
        <w:spacing w:line="276" w:lineRule="auto"/>
        <w:rPr>
          <w:rFonts w:eastAsia="MS Mincho"/>
          <w:sz w:val="20"/>
          <w:szCs w:val="22"/>
          <w:lang w:val="en-GB"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
        <w:gridCol w:w="1658"/>
        <w:gridCol w:w="1810"/>
        <w:gridCol w:w="4697"/>
      </w:tblGrid>
      <w:tr w:rsidR="00C96521" w:rsidRPr="005D4262" w14:paraId="1AE98390" w14:textId="77777777" w:rsidTr="00C96521">
        <w:trPr>
          <w:trHeight w:val="220"/>
        </w:trPr>
        <w:tc>
          <w:tcPr>
            <w:tcW w:w="959" w:type="dxa"/>
          </w:tcPr>
          <w:p w14:paraId="48C0AEAB"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AT</w:t>
            </w:r>
          </w:p>
        </w:tc>
        <w:tc>
          <w:tcPr>
            <w:tcW w:w="1701" w:type="dxa"/>
          </w:tcPr>
          <w:p w14:paraId="22F9A879"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Austria</w:t>
            </w:r>
          </w:p>
        </w:tc>
        <w:tc>
          <w:tcPr>
            <w:tcW w:w="1843" w:type="dxa"/>
          </w:tcPr>
          <w:p w14:paraId="5EC0E5F9"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Österreich</w:t>
            </w:r>
          </w:p>
        </w:tc>
        <w:tc>
          <w:tcPr>
            <w:tcW w:w="5033" w:type="dxa"/>
          </w:tcPr>
          <w:p w14:paraId="29436E41"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Republic of Austria</w:t>
            </w:r>
          </w:p>
        </w:tc>
      </w:tr>
      <w:tr w:rsidR="00C96521" w:rsidRPr="005D4262" w14:paraId="0F9299C0" w14:textId="77777777" w:rsidTr="00C96521">
        <w:tc>
          <w:tcPr>
            <w:tcW w:w="959" w:type="dxa"/>
          </w:tcPr>
          <w:p w14:paraId="0B68FDE3"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BE</w:t>
            </w:r>
          </w:p>
        </w:tc>
        <w:tc>
          <w:tcPr>
            <w:tcW w:w="1701" w:type="dxa"/>
          </w:tcPr>
          <w:p w14:paraId="55E0A762"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Belgium</w:t>
            </w:r>
          </w:p>
        </w:tc>
        <w:tc>
          <w:tcPr>
            <w:tcW w:w="1843" w:type="dxa"/>
          </w:tcPr>
          <w:p w14:paraId="2682441A"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Belgique/België</w:t>
            </w:r>
          </w:p>
        </w:tc>
        <w:tc>
          <w:tcPr>
            <w:tcW w:w="5033" w:type="dxa"/>
          </w:tcPr>
          <w:p w14:paraId="6E7B69B1"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Kingdom of Belgium</w:t>
            </w:r>
          </w:p>
        </w:tc>
      </w:tr>
      <w:tr w:rsidR="00C96521" w:rsidRPr="005D4262" w14:paraId="575B3557" w14:textId="77777777" w:rsidTr="00C96521">
        <w:tc>
          <w:tcPr>
            <w:tcW w:w="959" w:type="dxa"/>
          </w:tcPr>
          <w:p w14:paraId="06210457"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BG</w:t>
            </w:r>
          </w:p>
        </w:tc>
        <w:tc>
          <w:tcPr>
            <w:tcW w:w="1701" w:type="dxa"/>
          </w:tcPr>
          <w:p w14:paraId="3BB029D0"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Bulgaria</w:t>
            </w:r>
          </w:p>
        </w:tc>
        <w:tc>
          <w:tcPr>
            <w:tcW w:w="1843" w:type="dxa"/>
          </w:tcPr>
          <w:p w14:paraId="7040F0D8"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България</w:t>
            </w:r>
          </w:p>
        </w:tc>
        <w:tc>
          <w:tcPr>
            <w:tcW w:w="5033" w:type="dxa"/>
          </w:tcPr>
          <w:p w14:paraId="066477F9"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Republic of Bulgaria</w:t>
            </w:r>
          </w:p>
        </w:tc>
      </w:tr>
      <w:tr w:rsidR="00C96521" w:rsidRPr="005D4262" w14:paraId="015D483F" w14:textId="77777777" w:rsidTr="00C96521">
        <w:tc>
          <w:tcPr>
            <w:tcW w:w="959" w:type="dxa"/>
          </w:tcPr>
          <w:p w14:paraId="611A390C"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CY</w:t>
            </w:r>
          </w:p>
        </w:tc>
        <w:tc>
          <w:tcPr>
            <w:tcW w:w="1701" w:type="dxa"/>
          </w:tcPr>
          <w:p w14:paraId="460B7785"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Cyprus</w:t>
            </w:r>
          </w:p>
        </w:tc>
        <w:tc>
          <w:tcPr>
            <w:tcW w:w="1843" w:type="dxa"/>
          </w:tcPr>
          <w:p w14:paraId="40F51450"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Κύπρος</w:t>
            </w:r>
          </w:p>
        </w:tc>
        <w:tc>
          <w:tcPr>
            <w:tcW w:w="5033" w:type="dxa"/>
          </w:tcPr>
          <w:p w14:paraId="15192997"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Republic of Cyprus</w:t>
            </w:r>
          </w:p>
        </w:tc>
      </w:tr>
      <w:tr w:rsidR="00C96521" w:rsidRPr="005D4262" w14:paraId="41642A3D" w14:textId="77777777" w:rsidTr="00C96521">
        <w:tc>
          <w:tcPr>
            <w:tcW w:w="959" w:type="dxa"/>
          </w:tcPr>
          <w:p w14:paraId="72A949D0"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CZ</w:t>
            </w:r>
          </w:p>
        </w:tc>
        <w:tc>
          <w:tcPr>
            <w:tcW w:w="1701" w:type="dxa"/>
          </w:tcPr>
          <w:p w14:paraId="6381A1DA"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Czech Republic</w:t>
            </w:r>
          </w:p>
        </w:tc>
        <w:tc>
          <w:tcPr>
            <w:tcW w:w="1843" w:type="dxa"/>
          </w:tcPr>
          <w:p w14:paraId="7F2B2625"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Česká republika</w:t>
            </w:r>
          </w:p>
        </w:tc>
        <w:tc>
          <w:tcPr>
            <w:tcW w:w="5033" w:type="dxa"/>
          </w:tcPr>
          <w:p w14:paraId="3563669B"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Czech Republic</w:t>
            </w:r>
          </w:p>
        </w:tc>
      </w:tr>
      <w:tr w:rsidR="00C96521" w:rsidRPr="005D4262" w14:paraId="571BB414" w14:textId="77777777" w:rsidTr="00C96521">
        <w:tc>
          <w:tcPr>
            <w:tcW w:w="959" w:type="dxa"/>
          </w:tcPr>
          <w:p w14:paraId="3AB54F83"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DE</w:t>
            </w:r>
          </w:p>
        </w:tc>
        <w:tc>
          <w:tcPr>
            <w:tcW w:w="1701" w:type="dxa"/>
          </w:tcPr>
          <w:p w14:paraId="58B816E6"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Germany</w:t>
            </w:r>
          </w:p>
        </w:tc>
        <w:tc>
          <w:tcPr>
            <w:tcW w:w="1843" w:type="dxa"/>
          </w:tcPr>
          <w:p w14:paraId="29536C3E"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Deutschland</w:t>
            </w:r>
          </w:p>
        </w:tc>
        <w:tc>
          <w:tcPr>
            <w:tcW w:w="5033" w:type="dxa"/>
          </w:tcPr>
          <w:p w14:paraId="006C5594"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Federal Republic of Germany</w:t>
            </w:r>
          </w:p>
        </w:tc>
      </w:tr>
      <w:tr w:rsidR="00C96521" w:rsidRPr="005D4262" w14:paraId="2DF4DA1C" w14:textId="77777777" w:rsidTr="00C96521">
        <w:tc>
          <w:tcPr>
            <w:tcW w:w="959" w:type="dxa"/>
          </w:tcPr>
          <w:p w14:paraId="5CD84EA3"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DK</w:t>
            </w:r>
          </w:p>
        </w:tc>
        <w:tc>
          <w:tcPr>
            <w:tcW w:w="1701" w:type="dxa"/>
          </w:tcPr>
          <w:p w14:paraId="714DB3AE"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Denmark</w:t>
            </w:r>
          </w:p>
        </w:tc>
        <w:tc>
          <w:tcPr>
            <w:tcW w:w="1843" w:type="dxa"/>
          </w:tcPr>
          <w:p w14:paraId="4CF30CB3"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Danmark</w:t>
            </w:r>
          </w:p>
        </w:tc>
        <w:tc>
          <w:tcPr>
            <w:tcW w:w="5033" w:type="dxa"/>
          </w:tcPr>
          <w:p w14:paraId="233B1DD9"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Kingdom of Denmark</w:t>
            </w:r>
          </w:p>
        </w:tc>
      </w:tr>
      <w:tr w:rsidR="00C96521" w:rsidRPr="005D4262" w14:paraId="35D6510B" w14:textId="77777777" w:rsidTr="00C96521">
        <w:tc>
          <w:tcPr>
            <w:tcW w:w="959" w:type="dxa"/>
          </w:tcPr>
          <w:p w14:paraId="25603A91"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EE</w:t>
            </w:r>
          </w:p>
        </w:tc>
        <w:tc>
          <w:tcPr>
            <w:tcW w:w="1701" w:type="dxa"/>
          </w:tcPr>
          <w:p w14:paraId="77B390B5"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Estonia</w:t>
            </w:r>
          </w:p>
        </w:tc>
        <w:tc>
          <w:tcPr>
            <w:tcW w:w="1843" w:type="dxa"/>
          </w:tcPr>
          <w:p w14:paraId="3EC36D42"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Eesti</w:t>
            </w:r>
          </w:p>
        </w:tc>
        <w:tc>
          <w:tcPr>
            <w:tcW w:w="5033" w:type="dxa"/>
          </w:tcPr>
          <w:p w14:paraId="6A436067"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Republic of Estonia</w:t>
            </w:r>
          </w:p>
        </w:tc>
      </w:tr>
      <w:tr w:rsidR="00C96521" w:rsidRPr="005D4262" w14:paraId="73E5666C" w14:textId="77777777" w:rsidTr="00C96521">
        <w:tc>
          <w:tcPr>
            <w:tcW w:w="959" w:type="dxa"/>
          </w:tcPr>
          <w:p w14:paraId="79EFF5F9"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EL</w:t>
            </w:r>
          </w:p>
        </w:tc>
        <w:tc>
          <w:tcPr>
            <w:tcW w:w="1701" w:type="dxa"/>
          </w:tcPr>
          <w:p w14:paraId="05BC4FA4"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Greece</w:t>
            </w:r>
          </w:p>
        </w:tc>
        <w:tc>
          <w:tcPr>
            <w:tcW w:w="1843" w:type="dxa"/>
          </w:tcPr>
          <w:p w14:paraId="2447F58F"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Ελλάδα</w:t>
            </w:r>
          </w:p>
        </w:tc>
        <w:tc>
          <w:tcPr>
            <w:tcW w:w="5033" w:type="dxa"/>
          </w:tcPr>
          <w:p w14:paraId="77A44484"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Hellenic Republic</w:t>
            </w:r>
          </w:p>
        </w:tc>
      </w:tr>
      <w:tr w:rsidR="00C96521" w:rsidRPr="005D4262" w14:paraId="4142A2BD" w14:textId="77777777" w:rsidTr="00C96521">
        <w:tc>
          <w:tcPr>
            <w:tcW w:w="959" w:type="dxa"/>
          </w:tcPr>
          <w:p w14:paraId="429741C8"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ES</w:t>
            </w:r>
          </w:p>
        </w:tc>
        <w:tc>
          <w:tcPr>
            <w:tcW w:w="1701" w:type="dxa"/>
          </w:tcPr>
          <w:p w14:paraId="3FC37BEF"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Spain</w:t>
            </w:r>
          </w:p>
        </w:tc>
        <w:tc>
          <w:tcPr>
            <w:tcW w:w="1843" w:type="dxa"/>
          </w:tcPr>
          <w:p w14:paraId="49765757"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España</w:t>
            </w:r>
          </w:p>
        </w:tc>
        <w:tc>
          <w:tcPr>
            <w:tcW w:w="5033" w:type="dxa"/>
          </w:tcPr>
          <w:p w14:paraId="5C018470"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Kingdom of Spain</w:t>
            </w:r>
          </w:p>
        </w:tc>
      </w:tr>
      <w:tr w:rsidR="00C96521" w:rsidRPr="005D4262" w14:paraId="5E6B0DBC" w14:textId="77777777" w:rsidTr="00C96521">
        <w:tc>
          <w:tcPr>
            <w:tcW w:w="959" w:type="dxa"/>
          </w:tcPr>
          <w:p w14:paraId="346A15A3"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FI</w:t>
            </w:r>
          </w:p>
        </w:tc>
        <w:tc>
          <w:tcPr>
            <w:tcW w:w="1701" w:type="dxa"/>
          </w:tcPr>
          <w:p w14:paraId="64CCD40C"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Finland</w:t>
            </w:r>
          </w:p>
        </w:tc>
        <w:tc>
          <w:tcPr>
            <w:tcW w:w="1843" w:type="dxa"/>
          </w:tcPr>
          <w:p w14:paraId="20EFB54A"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Suomi/Finland</w:t>
            </w:r>
          </w:p>
        </w:tc>
        <w:tc>
          <w:tcPr>
            <w:tcW w:w="5033" w:type="dxa"/>
          </w:tcPr>
          <w:p w14:paraId="270AA510"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Republic of Finland</w:t>
            </w:r>
          </w:p>
        </w:tc>
      </w:tr>
      <w:tr w:rsidR="00C96521" w:rsidRPr="005D4262" w14:paraId="2CB498F4" w14:textId="77777777" w:rsidTr="00C96521">
        <w:tc>
          <w:tcPr>
            <w:tcW w:w="959" w:type="dxa"/>
          </w:tcPr>
          <w:p w14:paraId="4BFAC49B"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FR</w:t>
            </w:r>
          </w:p>
        </w:tc>
        <w:tc>
          <w:tcPr>
            <w:tcW w:w="1701" w:type="dxa"/>
          </w:tcPr>
          <w:p w14:paraId="6E5549F2"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France</w:t>
            </w:r>
          </w:p>
        </w:tc>
        <w:tc>
          <w:tcPr>
            <w:tcW w:w="1843" w:type="dxa"/>
          </w:tcPr>
          <w:p w14:paraId="5902A85F"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France</w:t>
            </w:r>
          </w:p>
        </w:tc>
        <w:tc>
          <w:tcPr>
            <w:tcW w:w="5033" w:type="dxa"/>
          </w:tcPr>
          <w:p w14:paraId="56022E3C"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French Republic</w:t>
            </w:r>
          </w:p>
        </w:tc>
      </w:tr>
      <w:tr w:rsidR="00C96521" w:rsidRPr="005D4262" w14:paraId="34A23FC8" w14:textId="77777777" w:rsidTr="00C96521">
        <w:tc>
          <w:tcPr>
            <w:tcW w:w="959" w:type="dxa"/>
          </w:tcPr>
          <w:p w14:paraId="275C845C"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HR</w:t>
            </w:r>
          </w:p>
        </w:tc>
        <w:tc>
          <w:tcPr>
            <w:tcW w:w="1701" w:type="dxa"/>
          </w:tcPr>
          <w:p w14:paraId="234E8E59"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Croatia</w:t>
            </w:r>
          </w:p>
        </w:tc>
        <w:tc>
          <w:tcPr>
            <w:tcW w:w="1843" w:type="dxa"/>
          </w:tcPr>
          <w:p w14:paraId="17B7A667"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Hrvatska</w:t>
            </w:r>
          </w:p>
        </w:tc>
        <w:tc>
          <w:tcPr>
            <w:tcW w:w="5033" w:type="dxa"/>
          </w:tcPr>
          <w:p w14:paraId="7B778E7D"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Republic of Croatia</w:t>
            </w:r>
          </w:p>
        </w:tc>
      </w:tr>
      <w:tr w:rsidR="00C96521" w:rsidRPr="005D4262" w14:paraId="58D852DC" w14:textId="77777777" w:rsidTr="00C96521">
        <w:tc>
          <w:tcPr>
            <w:tcW w:w="959" w:type="dxa"/>
          </w:tcPr>
          <w:p w14:paraId="4F75A490"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HU</w:t>
            </w:r>
          </w:p>
        </w:tc>
        <w:tc>
          <w:tcPr>
            <w:tcW w:w="1701" w:type="dxa"/>
          </w:tcPr>
          <w:p w14:paraId="6F36F809"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Hungary</w:t>
            </w:r>
          </w:p>
        </w:tc>
        <w:tc>
          <w:tcPr>
            <w:tcW w:w="1843" w:type="dxa"/>
          </w:tcPr>
          <w:p w14:paraId="2AD6554D"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Magyarország</w:t>
            </w:r>
          </w:p>
        </w:tc>
        <w:tc>
          <w:tcPr>
            <w:tcW w:w="5033" w:type="dxa"/>
          </w:tcPr>
          <w:p w14:paraId="7B933154"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Hungary</w:t>
            </w:r>
          </w:p>
        </w:tc>
      </w:tr>
      <w:tr w:rsidR="00C96521" w:rsidRPr="005D4262" w14:paraId="4DEBFACA" w14:textId="77777777" w:rsidTr="00C96521">
        <w:tc>
          <w:tcPr>
            <w:tcW w:w="959" w:type="dxa"/>
          </w:tcPr>
          <w:p w14:paraId="7DEF98C3"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IE</w:t>
            </w:r>
          </w:p>
        </w:tc>
        <w:tc>
          <w:tcPr>
            <w:tcW w:w="1701" w:type="dxa"/>
          </w:tcPr>
          <w:p w14:paraId="6BC45EAF"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Ireland</w:t>
            </w:r>
          </w:p>
        </w:tc>
        <w:tc>
          <w:tcPr>
            <w:tcW w:w="1843" w:type="dxa"/>
          </w:tcPr>
          <w:p w14:paraId="67714480"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Éire/Ireland</w:t>
            </w:r>
          </w:p>
        </w:tc>
        <w:tc>
          <w:tcPr>
            <w:tcW w:w="5033" w:type="dxa"/>
          </w:tcPr>
          <w:p w14:paraId="7F5DD61C"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Ireland</w:t>
            </w:r>
          </w:p>
        </w:tc>
      </w:tr>
      <w:tr w:rsidR="00C96521" w:rsidRPr="005D4262" w14:paraId="3FE4D48B" w14:textId="77777777" w:rsidTr="00C96521">
        <w:tc>
          <w:tcPr>
            <w:tcW w:w="959" w:type="dxa"/>
          </w:tcPr>
          <w:p w14:paraId="7100F2B8"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IT</w:t>
            </w:r>
          </w:p>
        </w:tc>
        <w:tc>
          <w:tcPr>
            <w:tcW w:w="1701" w:type="dxa"/>
          </w:tcPr>
          <w:p w14:paraId="4C6C66CB"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Italy</w:t>
            </w:r>
          </w:p>
        </w:tc>
        <w:tc>
          <w:tcPr>
            <w:tcW w:w="1843" w:type="dxa"/>
          </w:tcPr>
          <w:p w14:paraId="75B04D97"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Italia</w:t>
            </w:r>
          </w:p>
        </w:tc>
        <w:tc>
          <w:tcPr>
            <w:tcW w:w="5033" w:type="dxa"/>
          </w:tcPr>
          <w:p w14:paraId="079D7D84"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Italian Republic</w:t>
            </w:r>
          </w:p>
        </w:tc>
      </w:tr>
      <w:tr w:rsidR="00C96521" w:rsidRPr="005D4262" w14:paraId="5818CEAD" w14:textId="77777777" w:rsidTr="00C96521">
        <w:tc>
          <w:tcPr>
            <w:tcW w:w="959" w:type="dxa"/>
          </w:tcPr>
          <w:p w14:paraId="48BABD0D"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LT</w:t>
            </w:r>
          </w:p>
        </w:tc>
        <w:tc>
          <w:tcPr>
            <w:tcW w:w="1701" w:type="dxa"/>
          </w:tcPr>
          <w:p w14:paraId="3EF36C6C"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Lithuania</w:t>
            </w:r>
          </w:p>
        </w:tc>
        <w:tc>
          <w:tcPr>
            <w:tcW w:w="1843" w:type="dxa"/>
          </w:tcPr>
          <w:p w14:paraId="1B9336C4"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Lietuva</w:t>
            </w:r>
          </w:p>
        </w:tc>
        <w:tc>
          <w:tcPr>
            <w:tcW w:w="5033" w:type="dxa"/>
          </w:tcPr>
          <w:p w14:paraId="79A8B446"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Republic of Lithuania</w:t>
            </w:r>
          </w:p>
        </w:tc>
      </w:tr>
      <w:tr w:rsidR="00C96521" w:rsidRPr="005D4262" w14:paraId="30655F64" w14:textId="77777777" w:rsidTr="00C96521">
        <w:tc>
          <w:tcPr>
            <w:tcW w:w="959" w:type="dxa"/>
          </w:tcPr>
          <w:p w14:paraId="4ABD9664"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LU</w:t>
            </w:r>
          </w:p>
        </w:tc>
        <w:tc>
          <w:tcPr>
            <w:tcW w:w="1701" w:type="dxa"/>
          </w:tcPr>
          <w:p w14:paraId="663F6879"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Luxembourg</w:t>
            </w:r>
          </w:p>
        </w:tc>
        <w:tc>
          <w:tcPr>
            <w:tcW w:w="1843" w:type="dxa"/>
          </w:tcPr>
          <w:p w14:paraId="2997C43F"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Luxembourg</w:t>
            </w:r>
          </w:p>
        </w:tc>
        <w:tc>
          <w:tcPr>
            <w:tcW w:w="5033" w:type="dxa"/>
          </w:tcPr>
          <w:p w14:paraId="3E507A01"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Grand Duchy of Luxembourg</w:t>
            </w:r>
          </w:p>
        </w:tc>
      </w:tr>
      <w:tr w:rsidR="00C96521" w:rsidRPr="005D4262" w14:paraId="6D2D3EAD" w14:textId="77777777" w:rsidTr="00C96521">
        <w:tc>
          <w:tcPr>
            <w:tcW w:w="959" w:type="dxa"/>
          </w:tcPr>
          <w:p w14:paraId="3C094FCD"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LV</w:t>
            </w:r>
          </w:p>
        </w:tc>
        <w:tc>
          <w:tcPr>
            <w:tcW w:w="1701" w:type="dxa"/>
          </w:tcPr>
          <w:p w14:paraId="4C474875"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Latvia</w:t>
            </w:r>
          </w:p>
        </w:tc>
        <w:tc>
          <w:tcPr>
            <w:tcW w:w="1843" w:type="dxa"/>
          </w:tcPr>
          <w:p w14:paraId="65B39A4D"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Latvija</w:t>
            </w:r>
          </w:p>
        </w:tc>
        <w:tc>
          <w:tcPr>
            <w:tcW w:w="5033" w:type="dxa"/>
          </w:tcPr>
          <w:p w14:paraId="36336818"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Republic of Latvia</w:t>
            </w:r>
          </w:p>
        </w:tc>
      </w:tr>
      <w:tr w:rsidR="00C96521" w:rsidRPr="005D4262" w14:paraId="42F94957" w14:textId="77777777" w:rsidTr="00C96521">
        <w:tc>
          <w:tcPr>
            <w:tcW w:w="959" w:type="dxa"/>
          </w:tcPr>
          <w:p w14:paraId="7BCA6A81"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MT</w:t>
            </w:r>
          </w:p>
        </w:tc>
        <w:tc>
          <w:tcPr>
            <w:tcW w:w="1701" w:type="dxa"/>
          </w:tcPr>
          <w:p w14:paraId="1F64DA37"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Malta</w:t>
            </w:r>
          </w:p>
        </w:tc>
        <w:tc>
          <w:tcPr>
            <w:tcW w:w="1843" w:type="dxa"/>
          </w:tcPr>
          <w:p w14:paraId="7B14337D"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Malta</w:t>
            </w:r>
          </w:p>
        </w:tc>
        <w:tc>
          <w:tcPr>
            <w:tcW w:w="5033" w:type="dxa"/>
          </w:tcPr>
          <w:p w14:paraId="51083580"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Republic of Malta</w:t>
            </w:r>
          </w:p>
        </w:tc>
      </w:tr>
      <w:tr w:rsidR="00C96521" w:rsidRPr="005D4262" w14:paraId="4E692870" w14:textId="77777777" w:rsidTr="00C96521">
        <w:tc>
          <w:tcPr>
            <w:tcW w:w="959" w:type="dxa"/>
          </w:tcPr>
          <w:p w14:paraId="707F6046"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NL</w:t>
            </w:r>
          </w:p>
        </w:tc>
        <w:tc>
          <w:tcPr>
            <w:tcW w:w="1701" w:type="dxa"/>
          </w:tcPr>
          <w:p w14:paraId="619D5D2E"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Netherlands</w:t>
            </w:r>
          </w:p>
        </w:tc>
        <w:tc>
          <w:tcPr>
            <w:tcW w:w="1843" w:type="dxa"/>
          </w:tcPr>
          <w:p w14:paraId="6D0CA25F"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Nederland</w:t>
            </w:r>
          </w:p>
        </w:tc>
        <w:tc>
          <w:tcPr>
            <w:tcW w:w="5033" w:type="dxa"/>
          </w:tcPr>
          <w:p w14:paraId="18BE0F99"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Kingdom of the Netherlands</w:t>
            </w:r>
          </w:p>
        </w:tc>
      </w:tr>
      <w:tr w:rsidR="00C96521" w:rsidRPr="005D4262" w14:paraId="7D37A171" w14:textId="77777777" w:rsidTr="00C96521">
        <w:tc>
          <w:tcPr>
            <w:tcW w:w="959" w:type="dxa"/>
          </w:tcPr>
          <w:p w14:paraId="334131F2"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PL</w:t>
            </w:r>
          </w:p>
        </w:tc>
        <w:tc>
          <w:tcPr>
            <w:tcW w:w="1701" w:type="dxa"/>
          </w:tcPr>
          <w:p w14:paraId="6725E1E9"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Poland</w:t>
            </w:r>
          </w:p>
        </w:tc>
        <w:tc>
          <w:tcPr>
            <w:tcW w:w="1843" w:type="dxa"/>
          </w:tcPr>
          <w:p w14:paraId="33588F0C"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Polska</w:t>
            </w:r>
          </w:p>
        </w:tc>
        <w:tc>
          <w:tcPr>
            <w:tcW w:w="5033" w:type="dxa"/>
          </w:tcPr>
          <w:p w14:paraId="67748C4F"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Republic of Poland</w:t>
            </w:r>
          </w:p>
        </w:tc>
      </w:tr>
      <w:tr w:rsidR="00C96521" w:rsidRPr="005D4262" w14:paraId="0F89A3DE" w14:textId="77777777" w:rsidTr="00C96521">
        <w:tc>
          <w:tcPr>
            <w:tcW w:w="959" w:type="dxa"/>
          </w:tcPr>
          <w:p w14:paraId="5A3957B9"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PT</w:t>
            </w:r>
          </w:p>
        </w:tc>
        <w:tc>
          <w:tcPr>
            <w:tcW w:w="1701" w:type="dxa"/>
          </w:tcPr>
          <w:p w14:paraId="64E72ECB"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Portugal</w:t>
            </w:r>
          </w:p>
        </w:tc>
        <w:tc>
          <w:tcPr>
            <w:tcW w:w="1843" w:type="dxa"/>
          </w:tcPr>
          <w:p w14:paraId="13FB12BE"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Portugal</w:t>
            </w:r>
          </w:p>
        </w:tc>
        <w:tc>
          <w:tcPr>
            <w:tcW w:w="5033" w:type="dxa"/>
          </w:tcPr>
          <w:p w14:paraId="220AB334"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Portuguese Republic</w:t>
            </w:r>
          </w:p>
        </w:tc>
      </w:tr>
      <w:tr w:rsidR="00C96521" w:rsidRPr="005D4262" w14:paraId="5C15D3F3" w14:textId="77777777" w:rsidTr="00C96521">
        <w:tc>
          <w:tcPr>
            <w:tcW w:w="959" w:type="dxa"/>
          </w:tcPr>
          <w:p w14:paraId="2E602430"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RO</w:t>
            </w:r>
          </w:p>
        </w:tc>
        <w:tc>
          <w:tcPr>
            <w:tcW w:w="1701" w:type="dxa"/>
          </w:tcPr>
          <w:p w14:paraId="3959032E"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Romania</w:t>
            </w:r>
          </w:p>
        </w:tc>
        <w:tc>
          <w:tcPr>
            <w:tcW w:w="1843" w:type="dxa"/>
          </w:tcPr>
          <w:p w14:paraId="26DBC8F7"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România</w:t>
            </w:r>
          </w:p>
        </w:tc>
        <w:tc>
          <w:tcPr>
            <w:tcW w:w="5033" w:type="dxa"/>
          </w:tcPr>
          <w:p w14:paraId="58B9699F"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Romania</w:t>
            </w:r>
          </w:p>
        </w:tc>
      </w:tr>
      <w:tr w:rsidR="00C96521" w:rsidRPr="005D4262" w14:paraId="7A15B9E3" w14:textId="77777777" w:rsidTr="00C96521">
        <w:tc>
          <w:tcPr>
            <w:tcW w:w="959" w:type="dxa"/>
          </w:tcPr>
          <w:p w14:paraId="4C70ED4A"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SE</w:t>
            </w:r>
          </w:p>
        </w:tc>
        <w:tc>
          <w:tcPr>
            <w:tcW w:w="1701" w:type="dxa"/>
          </w:tcPr>
          <w:p w14:paraId="234C0BD2"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Sweden</w:t>
            </w:r>
          </w:p>
        </w:tc>
        <w:tc>
          <w:tcPr>
            <w:tcW w:w="1843" w:type="dxa"/>
          </w:tcPr>
          <w:p w14:paraId="376E4C42"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Sverige</w:t>
            </w:r>
          </w:p>
        </w:tc>
        <w:tc>
          <w:tcPr>
            <w:tcW w:w="5033" w:type="dxa"/>
          </w:tcPr>
          <w:p w14:paraId="1D705912"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Kingdom of Sweden</w:t>
            </w:r>
          </w:p>
        </w:tc>
      </w:tr>
      <w:tr w:rsidR="00C96521" w:rsidRPr="005D4262" w14:paraId="3ED76C50" w14:textId="77777777" w:rsidTr="00C96521">
        <w:tc>
          <w:tcPr>
            <w:tcW w:w="959" w:type="dxa"/>
          </w:tcPr>
          <w:p w14:paraId="2E893C11"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SI</w:t>
            </w:r>
          </w:p>
        </w:tc>
        <w:tc>
          <w:tcPr>
            <w:tcW w:w="1701" w:type="dxa"/>
          </w:tcPr>
          <w:p w14:paraId="61D222BA"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Slovenia</w:t>
            </w:r>
          </w:p>
        </w:tc>
        <w:tc>
          <w:tcPr>
            <w:tcW w:w="1843" w:type="dxa"/>
          </w:tcPr>
          <w:p w14:paraId="558B2F82"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Slovenija</w:t>
            </w:r>
          </w:p>
        </w:tc>
        <w:tc>
          <w:tcPr>
            <w:tcW w:w="5033" w:type="dxa"/>
          </w:tcPr>
          <w:p w14:paraId="57AA6451"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Republic of Slovenia</w:t>
            </w:r>
          </w:p>
        </w:tc>
      </w:tr>
      <w:tr w:rsidR="00C96521" w:rsidRPr="005D4262" w14:paraId="42CC7A2F" w14:textId="77777777" w:rsidTr="00C96521">
        <w:tc>
          <w:tcPr>
            <w:tcW w:w="959" w:type="dxa"/>
          </w:tcPr>
          <w:p w14:paraId="696320B0"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SK</w:t>
            </w:r>
          </w:p>
        </w:tc>
        <w:tc>
          <w:tcPr>
            <w:tcW w:w="1701" w:type="dxa"/>
          </w:tcPr>
          <w:p w14:paraId="1AE9E1CC"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Slovakia</w:t>
            </w:r>
          </w:p>
        </w:tc>
        <w:tc>
          <w:tcPr>
            <w:tcW w:w="1843" w:type="dxa"/>
          </w:tcPr>
          <w:p w14:paraId="19880B21"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Slovensko</w:t>
            </w:r>
          </w:p>
        </w:tc>
        <w:tc>
          <w:tcPr>
            <w:tcW w:w="5033" w:type="dxa"/>
          </w:tcPr>
          <w:p w14:paraId="131FB76D"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Slovak Republic</w:t>
            </w:r>
          </w:p>
        </w:tc>
      </w:tr>
      <w:tr w:rsidR="00C96521" w:rsidRPr="005D4262" w14:paraId="28DFAF05" w14:textId="77777777" w:rsidTr="00C96521">
        <w:tc>
          <w:tcPr>
            <w:tcW w:w="959" w:type="dxa"/>
          </w:tcPr>
          <w:p w14:paraId="39782FA5"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UK</w:t>
            </w:r>
          </w:p>
        </w:tc>
        <w:tc>
          <w:tcPr>
            <w:tcW w:w="1701" w:type="dxa"/>
          </w:tcPr>
          <w:p w14:paraId="52C8AD39"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United Kingdom</w:t>
            </w:r>
          </w:p>
        </w:tc>
        <w:tc>
          <w:tcPr>
            <w:tcW w:w="1843" w:type="dxa"/>
          </w:tcPr>
          <w:p w14:paraId="77AA4D34"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United Kingdom</w:t>
            </w:r>
          </w:p>
        </w:tc>
        <w:tc>
          <w:tcPr>
            <w:tcW w:w="5033" w:type="dxa"/>
          </w:tcPr>
          <w:p w14:paraId="5B60BA80" w14:textId="77777777" w:rsidR="00C96521" w:rsidRPr="005D4262" w:rsidRDefault="00C96521" w:rsidP="00C96521">
            <w:pPr>
              <w:widowControl/>
              <w:autoSpaceDE/>
              <w:autoSpaceDN/>
              <w:adjustRightInd/>
              <w:rPr>
                <w:rFonts w:ascii="Arial" w:hAnsi="Arial" w:cs="Arial"/>
                <w:sz w:val="18"/>
                <w:szCs w:val="18"/>
                <w:lang w:val="en-GB"/>
              </w:rPr>
            </w:pPr>
            <w:r w:rsidRPr="005D4262">
              <w:rPr>
                <w:rFonts w:ascii="Arial" w:hAnsi="Arial" w:cs="Arial"/>
                <w:sz w:val="18"/>
                <w:szCs w:val="18"/>
                <w:lang w:val="en-GB"/>
              </w:rPr>
              <w:t>United Kingdom of Great Britain and Northern Ireland</w:t>
            </w:r>
          </w:p>
        </w:tc>
      </w:tr>
    </w:tbl>
    <w:p w14:paraId="284A2996" w14:textId="77777777" w:rsidR="00C96521" w:rsidRPr="005D4262" w:rsidRDefault="00C96521" w:rsidP="00C96521">
      <w:pPr>
        <w:widowControl/>
        <w:autoSpaceDE/>
        <w:autoSpaceDN/>
        <w:adjustRightInd/>
        <w:spacing w:line="276" w:lineRule="auto"/>
        <w:rPr>
          <w:rFonts w:eastAsia="MS Mincho" w:cs="Arial"/>
          <w:szCs w:val="18"/>
          <w:lang w:val="en-GB" w:eastAsia="ja-JP"/>
        </w:rPr>
      </w:pPr>
    </w:p>
    <w:p w14:paraId="402A2001" w14:textId="77777777" w:rsidR="00C96521" w:rsidRPr="005D4262" w:rsidRDefault="00C96521" w:rsidP="00C96521">
      <w:pPr>
        <w:widowControl/>
        <w:autoSpaceDE/>
        <w:autoSpaceDN/>
        <w:adjustRightInd/>
        <w:spacing w:line="276" w:lineRule="auto"/>
        <w:rPr>
          <w:rFonts w:eastAsia="MS Mincho" w:cs="Arial"/>
          <w:szCs w:val="18"/>
          <w:lang w:val="en-GB" w:eastAsia="ja-JP"/>
        </w:rPr>
      </w:pPr>
    </w:p>
    <w:p w14:paraId="3B9A25A0" w14:textId="0995DE48" w:rsidR="007910DD" w:rsidRPr="005D4262" w:rsidRDefault="007910DD" w:rsidP="007910DD">
      <w:pPr>
        <w:rPr>
          <w:rFonts w:cs="Arial"/>
          <w:szCs w:val="18"/>
          <w:lang w:val="en-GB"/>
        </w:rPr>
      </w:pPr>
    </w:p>
    <w:p w14:paraId="23A235FB" w14:textId="77777777" w:rsidR="007910DD" w:rsidRPr="005D4262" w:rsidRDefault="007910DD" w:rsidP="007910DD">
      <w:pPr>
        <w:ind w:left="720"/>
        <w:jc w:val="both"/>
        <w:rPr>
          <w:rFonts w:cs="Arial"/>
          <w:iCs/>
          <w:szCs w:val="18"/>
          <w:lang w:val="en-GB"/>
        </w:rPr>
      </w:pPr>
    </w:p>
    <w:p w14:paraId="20FDA345" w14:textId="77777777" w:rsidR="0079075D" w:rsidRPr="005D4262" w:rsidRDefault="0079075D" w:rsidP="007910DD">
      <w:pPr>
        <w:pStyle w:val="Heading2"/>
        <w:keepNext w:val="0"/>
        <w:ind w:left="-90" w:right="-367"/>
        <w:jc w:val="center"/>
        <w:rPr>
          <w:rFonts w:cs="Arial"/>
          <w:sz w:val="20"/>
          <w:szCs w:val="20"/>
          <w:lang w:val="en-GB"/>
        </w:rPr>
      </w:pPr>
    </w:p>
    <w:sectPr w:rsidR="0079075D" w:rsidRPr="005D4262" w:rsidSect="0052082F">
      <w:headerReference w:type="first" r:id="rId64"/>
      <w:endnotePr>
        <w:numFmt w:val="decimal"/>
      </w:endnotePr>
      <w:pgSz w:w="11905" w:h="16837" w:code="9"/>
      <w:pgMar w:top="1008" w:right="1411" w:bottom="1152" w:left="1411" w:header="432" w:footer="432"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C6BBDE" w14:textId="77777777" w:rsidR="00B44B0D" w:rsidRDefault="00B44B0D">
      <w:r>
        <w:separator/>
      </w:r>
    </w:p>
  </w:endnote>
  <w:endnote w:type="continuationSeparator" w:id="0">
    <w:p w14:paraId="6DD6CCCE" w14:textId="77777777" w:rsidR="00B44B0D" w:rsidRDefault="00B44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dvOT46dcae81">
    <w:altName w:val="Cambria"/>
    <w:panose1 w:val="00000000000000000000"/>
    <w:charset w:val="00"/>
    <w:family w:val="swiss"/>
    <w:notTrueType/>
    <w:pitch w:val="default"/>
    <w:sig w:usb0="00000003" w:usb1="00000000" w:usb2="00000000" w:usb3="00000000" w:csb0="00000001" w:csb1="00000000"/>
  </w:font>
  <w:font w:name="TimesNewRoman">
    <w:altName w:val="Calibri"/>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Shell Dlg 2">
    <w:altName w:val="Microsoft Sans Serif"/>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C5202" w14:textId="53F659C3" w:rsidR="00B44B0D" w:rsidRPr="00922791" w:rsidRDefault="00B44B0D" w:rsidP="00056DC1">
    <w:pPr>
      <w:pStyle w:val="Footer"/>
      <w:ind w:right="-367"/>
      <w:jc w:val="center"/>
      <w:rPr>
        <w:rFonts w:cs="Arial"/>
        <w:szCs w:val="18"/>
      </w:rPr>
    </w:pPr>
    <w:r w:rsidRPr="00922791">
      <w:rPr>
        <w:rFonts w:cs="Arial"/>
        <w:szCs w:val="18"/>
      </w:rPr>
      <w:fldChar w:fldCharType="begin"/>
    </w:r>
    <w:r w:rsidRPr="00922791">
      <w:rPr>
        <w:rFonts w:cs="Arial"/>
        <w:szCs w:val="18"/>
      </w:rPr>
      <w:instrText xml:space="preserve"> PAGE   \* MERGEFORMAT </w:instrText>
    </w:r>
    <w:r w:rsidRPr="00922791">
      <w:rPr>
        <w:rFonts w:cs="Arial"/>
        <w:szCs w:val="18"/>
      </w:rPr>
      <w:fldChar w:fldCharType="separate"/>
    </w:r>
    <w:r w:rsidR="00126308">
      <w:rPr>
        <w:rFonts w:cs="Arial"/>
        <w:noProof/>
        <w:szCs w:val="18"/>
      </w:rPr>
      <w:t>114</w:t>
    </w:r>
    <w:r w:rsidRPr="00922791">
      <w:rPr>
        <w:rFonts w:cs="Arial"/>
        <w:noProof/>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390D6" w14:textId="2622D25C" w:rsidR="00B44B0D" w:rsidRPr="00922791" w:rsidRDefault="00B44B0D" w:rsidP="00056DC1">
    <w:pPr>
      <w:pStyle w:val="Footer"/>
      <w:ind w:right="-367"/>
      <w:jc w:val="center"/>
      <w:rPr>
        <w:rFonts w:cs="Arial"/>
        <w:szCs w:val="18"/>
      </w:rPr>
    </w:pPr>
    <w:r w:rsidRPr="00922791">
      <w:rPr>
        <w:rFonts w:cs="Arial"/>
        <w:szCs w:val="18"/>
      </w:rPr>
      <w:fldChar w:fldCharType="begin"/>
    </w:r>
    <w:r w:rsidRPr="00922791">
      <w:rPr>
        <w:rFonts w:cs="Arial"/>
        <w:szCs w:val="18"/>
      </w:rPr>
      <w:instrText xml:space="preserve"> PAGE   \* MERGEFORMAT </w:instrText>
    </w:r>
    <w:r w:rsidRPr="00922791">
      <w:rPr>
        <w:rFonts w:cs="Arial"/>
        <w:szCs w:val="18"/>
      </w:rPr>
      <w:fldChar w:fldCharType="separate"/>
    </w:r>
    <w:r w:rsidR="00126308">
      <w:rPr>
        <w:rFonts w:cs="Arial"/>
        <w:noProof/>
        <w:szCs w:val="18"/>
      </w:rPr>
      <w:t>5</w:t>
    </w:r>
    <w:r w:rsidRPr="00922791">
      <w:rPr>
        <w:rFonts w:cs="Arial"/>
        <w:noProof/>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E2426" w14:textId="77777777" w:rsidR="00B44B0D" w:rsidRPr="00CD7355" w:rsidRDefault="00B44B0D" w:rsidP="00015E07">
    <w:pPr>
      <w:pStyle w:val="Footer"/>
      <w:ind w:right="-637"/>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4228330"/>
      <w:docPartObj>
        <w:docPartGallery w:val="Page Numbers (Bottom of Page)"/>
        <w:docPartUnique/>
      </w:docPartObj>
    </w:sdtPr>
    <w:sdtEndPr>
      <w:rPr>
        <w:noProof/>
      </w:rPr>
    </w:sdtEndPr>
    <w:sdtContent>
      <w:p w14:paraId="78D1F41C" w14:textId="77777777" w:rsidR="00B44B0D" w:rsidRDefault="00B44B0D">
        <w:pPr>
          <w:pStyle w:val="Footer"/>
          <w:jc w:val="center"/>
        </w:pPr>
      </w:p>
      <w:p w14:paraId="5E1752EF" w14:textId="13898937" w:rsidR="00B44B0D" w:rsidRDefault="00B44B0D">
        <w:pPr>
          <w:pStyle w:val="Footer"/>
          <w:jc w:val="center"/>
        </w:pPr>
        <w:r>
          <w:fldChar w:fldCharType="begin"/>
        </w:r>
        <w:r>
          <w:instrText xml:space="preserve"> PAGE   \* MERGEFORMAT </w:instrText>
        </w:r>
        <w:r>
          <w:fldChar w:fldCharType="separate"/>
        </w:r>
        <w:r w:rsidR="00126308">
          <w:rPr>
            <w:noProof/>
          </w:rPr>
          <w:t>4</w:t>
        </w:r>
        <w:r>
          <w:rPr>
            <w:noProof/>
          </w:rPr>
          <w:fldChar w:fldCharType="end"/>
        </w:r>
      </w:p>
    </w:sdtContent>
  </w:sdt>
  <w:p w14:paraId="427961B9" w14:textId="77777777" w:rsidR="00B44B0D" w:rsidRDefault="00B44B0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803661"/>
      <w:docPartObj>
        <w:docPartGallery w:val="Page Numbers (Bottom of Page)"/>
        <w:docPartUnique/>
      </w:docPartObj>
    </w:sdtPr>
    <w:sdtEndPr>
      <w:rPr>
        <w:noProof/>
      </w:rPr>
    </w:sdtEndPr>
    <w:sdtContent>
      <w:p w14:paraId="305EE7FB" w14:textId="282E1276" w:rsidR="00B44B0D" w:rsidRDefault="00B44B0D">
        <w:pPr>
          <w:pStyle w:val="Footer"/>
          <w:jc w:val="center"/>
        </w:pPr>
        <w:r>
          <w:fldChar w:fldCharType="begin"/>
        </w:r>
        <w:r>
          <w:instrText xml:space="preserve"> PAGE   \* MERGEFORMAT </w:instrText>
        </w:r>
        <w:r>
          <w:fldChar w:fldCharType="separate"/>
        </w:r>
        <w:r w:rsidR="00126308">
          <w:rPr>
            <w:noProof/>
          </w:rPr>
          <w:t>115</w:t>
        </w:r>
        <w:r>
          <w:rPr>
            <w:noProof/>
          </w:rPr>
          <w:fldChar w:fldCharType="end"/>
        </w:r>
      </w:p>
    </w:sdtContent>
  </w:sdt>
  <w:p w14:paraId="04578353" w14:textId="086600CB" w:rsidR="00B44B0D" w:rsidRPr="005958E3" w:rsidRDefault="00B44B0D" w:rsidP="00C96521">
    <w:pPr>
      <w:pStyle w:val="TDSmall"/>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98225"/>
      <w:docPartObj>
        <w:docPartGallery w:val="Page Numbers (Bottom of Page)"/>
        <w:docPartUnique/>
      </w:docPartObj>
    </w:sdtPr>
    <w:sdtContent>
      <w:p w14:paraId="6CF4660B" w14:textId="77777777" w:rsidR="00B44B0D" w:rsidRDefault="00B44B0D" w:rsidP="00C96521">
        <w:pPr>
          <w:pStyle w:val="TDSmall"/>
          <w:jc w:val="right"/>
        </w:pPr>
      </w:p>
      <w:p w14:paraId="76FB92ED" w14:textId="77777777" w:rsidR="00B44B0D" w:rsidRDefault="00B44B0D">
        <w:pPr>
          <w:pStyle w:val="TDSmall"/>
          <w:jc w:val="center"/>
        </w:pPr>
      </w:p>
    </w:sdtContent>
  </w:sdt>
  <w:p w14:paraId="2C4093B2" w14:textId="77777777" w:rsidR="00B44B0D" w:rsidRDefault="00B44B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B5DCD3" w14:textId="77777777" w:rsidR="00B44B0D" w:rsidRDefault="00B44B0D">
      <w:r>
        <w:separator/>
      </w:r>
    </w:p>
  </w:footnote>
  <w:footnote w:type="continuationSeparator" w:id="0">
    <w:p w14:paraId="39A448A0" w14:textId="77777777" w:rsidR="00B44B0D" w:rsidRDefault="00B44B0D">
      <w:r>
        <w:continuationSeparator/>
      </w:r>
    </w:p>
  </w:footnote>
  <w:footnote w:id="1">
    <w:p w14:paraId="6303AC5A" w14:textId="28CD70D7" w:rsidR="00B44B0D" w:rsidRPr="005F2B45" w:rsidRDefault="00B44B0D" w:rsidP="00C96521">
      <w:pPr>
        <w:pStyle w:val="FootnoteText"/>
        <w:rPr>
          <w:sz w:val="16"/>
          <w:szCs w:val="16"/>
        </w:rPr>
      </w:pPr>
      <w:r w:rsidRPr="005F2B45">
        <w:rPr>
          <w:rStyle w:val="FootnoteReference"/>
          <w:sz w:val="16"/>
          <w:szCs w:val="16"/>
        </w:rPr>
        <w:footnoteRef/>
      </w:r>
      <w:r w:rsidRPr="005F2B45">
        <w:rPr>
          <w:sz w:val="16"/>
          <w:szCs w:val="16"/>
        </w:rPr>
        <w:t xml:space="preserve"> The </w:t>
      </w:r>
      <w:r>
        <w:rPr>
          <w:sz w:val="16"/>
          <w:szCs w:val="16"/>
        </w:rPr>
        <w:t>T</w:t>
      </w:r>
      <w:r w:rsidRPr="005F2B45">
        <w:rPr>
          <w:sz w:val="16"/>
          <w:szCs w:val="16"/>
        </w:rPr>
        <w:t>urtle</w:t>
      </w:r>
      <w:r>
        <w:rPr>
          <w:sz w:val="16"/>
          <w:szCs w:val="16"/>
        </w:rPr>
        <w:t xml:space="preserve"> D</w:t>
      </w:r>
      <w:r w:rsidRPr="005F2B45">
        <w:rPr>
          <w:sz w:val="16"/>
          <w:szCs w:val="16"/>
        </w:rPr>
        <w:t>ove has not bred in Malta since 1956.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55D63" w14:textId="77777777" w:rsidR="00B44B0D" w:rsidRPr="00922791" w:rsidRDefault="00B44B0D" w:rsidP="00922791">
    <w:pPr>
      <w:pStyle w:val="Heading1"/>
      <w:keepNext w:val="0"/>
      <w:pBdr>
        <w:bottom w:val="single" w:sz="4" w:space="1" w:color="auto"/>
      </w:pBdr>
      <w:tabs>
        <w:tab w:val="clear" w:pos="-720"/>
      </w:tabs>
      <w:ind w:left="261" w:right="-277" w:hanging="261"/>
      <w:rPr>
        <w:rFonts w:cs="Arial"/>
        <w:b w:val="0"/>
        <w:i/>
        <w:sz w:val="18"/>
        <w:szCs w:val="18"/>
        <w:lang w:val="en-US"/>
      </w:rPr>
    </w:pPr>
    <w:r w:rsidRPr="00922791">
      <w:rPr>
        <w:rFonts w:cs="Arial"/>
        <w:b w:val="0"/>
        <w:i/>
        <w:sz w:val="18"/>
        <w:szCs w:val="18"/>
        <w:lang w:val="en-US"/>
      </w:rPr>
      <w:t>UNEP/CMS/COP12</w:t>
    </w:r>
    <w:r>
      <w:rPr>
        <w:rFonts w:cs="Arial"/>
        <w:b w:val="0"/>
        <w:i/>
        <w:sz w:val="18"/>
        <w:szCs w:val="18"/>
        <w:lang w:val="en-US"/>
      </w:rPr>
      <w:t>/Doc.x.x</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9C9A9" w14:textId="07BF867C" w:rsidR="00B44B0D" w:rsidRPr="00497E66" w:rsidRDefault="00B44B0D" w:rsidP="00C96521">
    <w:pPr>
      <w:pStyle w:val="Heading1"/>
      <w:keepNext w:val="0"/>
      <w:pBdr>
        <w:bottom w:val="single" w:sz="4" w:space="1" w:color="auto"/>
      </w:pBdr>
      <w:tabs>
        <w:tab w:val="clear" w:pos="-720"/>
      </w:tabs>
      <w:ind w:left="261" w:right="-277" w:hanging="261"/>
      <w:jc w:val="right"/>
      <w:rPr>
        <w:rFonts w:cs="Arial"/>
        <w:b w:val="0"/>
        <w:i/>
        <w:sz w:val="18"/>
        <w:szCs w:val="18"/>
        <w:lang w:val="fr-FR"/>
      </w:rPr>
    </w:pPr>
    <w:r w:rsidRPr="00497E66">
      <w:rPr>
        <w:rFonts w:cs="Arial"/>
        <w:b w:val="0"/>
        <w:i/>
        <w:sz w:val="18"/>
        <w:szCs w:val="18"/>
        <w:lang w:val="fr-FR"/>
      </w:rPr>
      <w:t>UNEP/CMS/COP12/Doc.</w:t>
    </w:r>
    <w:r>
      <w:rPr>
        <w:rFonts w:cs="Arial"/>
        <w:b w:val="0"/>
        <w:i/>
        <w:sz w:val="18"/>
        <w:szCs w:val="18"/>
        <w:lang w:val="fr-FR"/>
      </w:rPr>
      <w:t>24.1.6/Anexo 1</w:t>
    </w:r>
  </w:p>
  <w:p w14:paraId="13FA0967" w14:textId="77777777" w:rsidR="00B44B0D" w:rsidRPr="00497E66" w:rsidRDefault="00B44B0D" w:rsidP="00C96521">
    <w:pPr>
      <w:jc w:val="right"/>
      <w:rPr>
        <w:i/>
        <w:szCs w:val="20"/>
        <w:lang w:val="fr-FR"/>
      </w:rPr>
    </w:pPr>
  </w:p>
  <w:p w14:paraId="2B0F7377" w14:textId="75DBF200" w:rsidR="00B44B0D" w:rsidRPr="005958E3" w:rsidRDefault="00B44B0D" w:rsidP="00C96521">
    <w:pPr>
      <w:pStyle w:val="Header"/>
      <w:jc w:val="center"/>
      <w:rPr>
        <w:sz w:val="16"/>
        <w:szCs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5D4F4" w14:textId="77777777" w:rsidR="006B090D" w:rsidRPr="00D605A4" w:rsidRDefault="006B090D" w:rsidP="006B090D">
    <w:pPr>
      <w:pStyle w:val="Header"/>
      <w:pBdr>
        <w:bottom w:val="single" w:sz="4" w:space="1" w:color="auto"/>
      </w:pBdr>
      <w:jc w:val="right"/>
      <w:rPr>
        <w:rFonts w:cs="Arial"/>
        <w:i/>
        <w:szCs w:val="18"/>
        <w:lang w:val="de-DE"/>
      </w:rPr>
    </w:pPr>
    <w:r w:rsidRPr="00D605A4">
      <w:rPr>
        <w:rFonts w:cs="Arial"/>
        <w:i/>
        <w:szCs w:val="18"/>
        <w:lang w:val="de-DE"/>
      </w:rPr>
      <w:t>UNEP/CMS/COP12/Doc.</w:t>
    </w:r>
    <w:r>
      <w:rPr>
        <w:rFonts w:cs="Arial"/>
        <w:i/>
        <w:szCs w:val="18"/>
        <w:lang w:val="de-DE"/>
      </w:rPr>
      <w:t>24.1.6/Anexo 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E2641" w14:textId="3EA1AD5F" w:rsidR="00B44B0D" w:rsidRPr="00497E66" w:rsidRDefault="00B44B0D" w:rsidP="00922791">
    <w:pPr>
      <w:pStyle w:val="Heading1"/>
      <w:keepNext w:val="0"/>
      <w:pBdr>
        <w:bottom w:val="single" w:sz="4" w:space="1" w:color="auto"/>
      </w:pBdr>
      <w:tabs>
        <w:tab w:val="clear" w:pos="-720"/>
      </w:tabs>
      <w:ind w:left="261" w:right="-277" w:hanging="261"/>
      <w:jc w:val="right"/>
      <w:rPr>
        <w:rFonts w:cs="Arial"/>
        <w:b w:val="0"/>
        <w:i/>
        <w:sz w:val="18"/>
        <w:szCs w:val="18"/>
        <w:lang w:val="fr-FR"/>
      </w:rPr>
    </w:pPr>
    <w:r w:rsidRPr="00497E66">
      <w:rPr>
        <w:rFonts w:cs="Arial"/>
        <w:b w:val="0"/>
        <w:i/>
        <w:sz w:val="18"/>
        <w:szCs w:val="18"/>
        <w:lang w:val="fr-FR"/>
      </w:rPr>
      <w:t>UNEP/CMS/COP12/Doc.</w:t>
    </w:r>
    <w:r>
      <w:rPr>
        <w:rFonts w:cs="Arial"/>
        <w:b w:val="0"/>
        <w:i/>
        <w:sz w:val="18"/>
        <w:szCs w:val="18"/>
        <w:lang w:val="fr-FR"/>
      </w:rPr>
      <w:t>24.1.6</w:t>
    </w:r>
  </w:p>
  <w:p w14:paraId="0CEE59C4" w14:textId="77777777" w:rsidR="00B44B0D" w:rsidRPr="00497E66" w:rsidRDefault="00B44B0D" w:rsidP="00A27BE3">
    <w:pPr>
      <w:jc w:val="right"/>
      <w:rPr>
        <w:i/>
        <w:szCs w:val="20"/>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8187A" w14:textId="2234F5AB" w:rsidR="00B44B0D" w:rsidRDefault="00B44B0D" w:rsidP="00894D19">
    <w:pPr>
      <w:pStyle w:val="Header"/>
    </w:pPr>
    <w:r>
      <w:rPr>
        <w:noProof/>
        <w:lang w:val="en-US"/>
      </w:rPr>
      <w:drawing>
        <wp:anchor distT="0" distB="0" distL="114300" distR="114300" simplePos="0" relativeHeight="251659264" behindDoc="1" locked="0" layoutInCell="1" allowOverlap="1" wp14:anchorId="64C1666E" wp14:editId="6A836FF9">
          <wp:simplePos x="0" y="0"/>
          <wp:positionH relativeFrom="column">
            <wp:posOffset>-175260</wp:posOffset>
          </wp:positionH>
          <wp:positionV relativeFrom="paragraph">
            <wp:posOffset>-64770</wp:posOffset>
          </wp:positionV>
          <wp:extent cx="939165" cy="506730"/>
          <wp:effectExtent l="0" t="0" r="0" b="0"/>
          <wp:wrapTight wrapText="bothSides">
            <wp:wrapPolygon edited="0">
              <wp:start x="2191" y="2436"/>
              <wp:lineTo x="1314" y="14617"/>
              <wp:lineTo x="1314" y="18677"/>
              <wp:lineTo x="19716" y="18677"/>
              <wp:lineTo x="19278" y="5684"/>
              <wp:lineTo x="18840" y="2436"/>
              <wp:lineTo x="2191" y="2436"/>
            </wp:wrapPolygon>
          </wp:wrapTight>
          <wp:docPr id="3" name="Picture 3" descr="UNEnvironment_Logo_Spanish_Short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Environment_Logo_Spanish_Short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165" cy="506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7216" behindDoc="1" locked="0" layoutInCell="1" allowOverlap="1" wp14:anchorId="32DED744" wp14:editId="29F50B65">
          <wp:simplePos x="0" y="0"/>
          <wp:positionH relativeFrom="column">
            <wp:posOffset>716280</wp:posOffset>
          </wp:positionH>
          <wp:positionV relativeFrom="paragraph">
            <wp:posOffset>-75565</wp:posOffset>
          </wp:positionV>
          <wp:extent cx="431165" cy="441325"/>
          <wp:effectExtent l="0" t="0" r="6985" b="0"/>
          <wp:wrapTight wrapText="bothSides">
            <wp:wrapPolygon edited="0">
              <wp:start x="0" y="0"/>
              <wp:lineTo x="0" y="20512"/>
              <wp:lineTo x="20996" y="20512"/>
              <wp:lineTo x="20996" y="0"/>
              <wp:lineTo x="0" y="0"/>
            </wp:wrapPolygon>
          </wp:wrapTight>
          <wp:docPr id="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l="2780" t="-1236" r="60236" b="48836"/>
                  <a:stretch>
                    <a:fillRect/>
                  </a:stretch>
                </pic:blipFill>
                <pic:spPr bwMode="auto">
                  <a:xfrm>
                    <a:off x="0" y="0"/>
                    <a:ext cx="431165" cy="441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3FEBEC" w14:textId="77777777" w:rsidR="00B44B0D" w:rsidRDefault="00B44B0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B361D" w14:textId="77777777" w:rsidR="00B44B0D" w:rsidRPr="00497E66" w:rsidRDefault="00B44B0D" w:rsidP="00C96521">
    <w:pPr>
      <w:pStyle w:val="Heading1"/>
      <w:keepNext w:val="0"/>
      <w:pBdr>
        <w:bottom w:val="single" w:sz="4" w:space="1" w:color="auto"/>
      </w:pBdr>
      <w:tabs>
        <w:tab w:val="clear" w:pos="-720"/>
      </w:tabs>
      <w:ind w:left="261" w:right="-277" w:hanging="261"/>
      <w:rPr>
        <w:rFonts w:cs="Arial"/>
        <w:b w:val="0"/>
        <w:i/>
        <w:sz w:val="18"/>
        <w:szCs w:val="18"/>
        <w:lang w:val="fr-FR"/>
      </w:rPr>
    </w:pPr>
    <w:r w:rsidRPr="00497E66">
      <w:rPr>
        <w:rFonts w:cs="Arial"/>
        <w:b w:val="0"/>
        <w:i/>
        <w:sz w:val="18"/>
        <w:szCs w:val="18"/>
        <w:lang w:val="fr-FR"/>
      </w:rPr>
      <w:t>UNEP/CMS/COP12/Doc.</w:t>
    </w:r>
    <w:r>
      <w:rPr>
        <w:rFonts w:cs="Arial"/>
        <w:b w:val="0"/>
        <w:i/>
        <w:sz w:val="18"/>
        <w:szCs w:val="18"/>
        <w:lang w:val="fr-FR"/>
      </w:rPr>
      <w:t>24.1.6</w:t>
    </w:r>
  </w:p>
  <w:p w14:paraId="1EF7F754" w14:textId="77777777" w:rsidR="00B44B0D" w:rsidRDefault="00B44B0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E6B0C" w14:textId="068E06C2" w:rsidR="00B44B0D" w:rsidRPr="00497E66" w:rsidRDefault="00B44B0D" w:rsidP="00922791">
    <w:pPr>
      <w:pStyle w:val="Heading1"/>
      <w:keepNext w:val="0"/>
      <w:pBdr>
        <w:bottom w:val="single" w:sz="4" w:space="1" w:color="auto"/>
      </w:pBdr>
      <w:tabs>
        <w:tab w:val="clear" w:pos="-720"/>
      </w:tabs>
      <w:ind w:left="261" w:right="-277" w:hanging="261"/>
      <w:jc w:val="right"/>
      <w:rPr>
        <w:rFonts w:cs="Arial"/>
        <w:b w:val="0"/>
        <w:i/>
        <w:sz w:val="18"/>
        <w:szCs w:val="18"/>
        <w:lang w:val="fr-FR"/>
      </w:rPr>
    </w:pPr>
    <w:r w:rsidRPr="00497E66">
      <w:rPr>
        <w:rFonts w:cs="Arial"/>
        <w:b w:val="0"/>
        <w:i/>
        <w:sz w:val="18"/>
        <w:szCs w:val="18"/>
        <w:lang w:val="fr-FR"/>
      </w:rPr>
      <w:t>UNEP/CMS/COP12/Doc.</w:t>
    </w:r>
    <w:r>
      <w:rPr>
        <w:rFonts w:cs="Arial"/>
        <w:b w:val="0"/>
        <w:i/>
        <w:sz w:val="18"/>
        <w:szCs w:val="18"/>
        <w:lang w:val="fr-FR"/>
      </w:rPr>
      <w:t>24.1.6/Anexo 1</w:t>
    </w:r>
  </w:p>
  <w:p w14:paraId="41BDA8B7" w14:textId="77777777" w:rsidR="00B44B0D" w:rsidRPr="00497E66" w:rsidRDefault="00B44B0D" w:rsidP="00A27BE3">
    <w:pPr>
      <w:jc w:val="right"/>
      <w:rPr>
        <w:i/>
        <w:szCs w:val="20"/>
        <w:lang w:val="fr-FR"/>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93DF8" w14:textId="07C1C32B" w:rsidR="00B44B0D" w:rsidRPr="00D605A4" w:rsidRDefault="00B44B0D" w:rsidP="00B44B0D">
    <w:pPr>
      <w:pStyle w:val="Header"/>
      <w:pBdr>
        <w:bottom w:val="single" w:sz="4" w:space="1" w:color="auto"/>
      </w:pBdr>
      <w:rPr>
        <w:rFonts w:cs="Arial"/>
        <w:i/>
        <w:szCs w:val="18"/>
        <w:lang w:val="de-DE"/>
      </w:rPr>
    </w:pPr>
    <w:r w:rsidRPr="00D605A4">
      <w:rPr>
        <w:rFonts w:cs="Arial"/>
        <w:i/>
        <w:szCs w:val="18"/>
        <w:lang w:val="de-DE"/>
      </w:rPr>
      <w:t>UNEP/CMS/COP12/Doc.</w:t>
    </w:r>
    <w:r>
      <w:rPr>
        <w:rFonts w:cs="Arial"/>
        <w:i/>
        <w:szCs w:val="18"/>
        <w:lang w:val="de-DE"/>
      </w:rPr>
      <w:t>24.1.6</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26D7E" w14:textId="28EED971" w:rsidR="00B44B0D" w:rsidRPr="00497E66" w:rsidRDefault="00B44B0D" w:rsidP="00922791">
    <w:pPr>
      <w:pStyle w:val="Heading1"/>
      <w:keepNext w:val="0"/>
      <w:pBdr>
        <w:bottom w:val="single" w:sz="4" w:space="1" w:color="auto"/>
      </w:pBdr>
      <w:tabs>
        <w:tab w:val="clear" w:pos="-720"/>
      </w:tabs>
      <w:ind w:left="261" w:right="-277" w:hanging="261"/>
      <w:jc w:val="right"/>
      <w:rPr>
        <w:rFonts w:cs="Arial"/>
        <w:b w:val="0"/>
        <w:i/>
        <w:sz w:val="18"/>
        <w:szCs w:val="18"/>
        <w:lang w:val="fr-FR"/>
      </w:rPr>
    </w:pPr>
    <w:r w:rsidRPr="00497E66">
      <w:rPr>
        <w:rFonts w:cs="Arial"/>
        <w:b w:val="0"/>
        <w:i/>
        <w:sz w:val="18"/>
        <w:szCs w:val="18"/>
        <w:lang w:val="fr-FR"/>
      </w:rPr>
      <w:t>UNEP/CMS/COP12/Doc.</w:t>
    </w:r>
    <w:r>
      <w:rPr>
        <w:rFonts w:cs="Arial"/>
        <w:b w:val="0"/>
        <w:i/>
        <w:sz w:val="18"/>
        <w:szCs w:val="18"/>
        <w:lang w:val="fr-FR"/>
      </w:rPr>
      <w:t>24.1.6/Anexo 1</w:t>
    </w:r>
  </w:p>
  <w:p w14:paraId="60AF3524" w14:textId="77777777" w:rsidR="00B44B0D" w:rsidRPr="00497E66" w:rsidRDefault="00B44B0D" w:rsidP="00A27BE3">
    <w:pPr>
      <w:jc w:val="right"/>
      <w:rPr>
        <w:i/>
        <w:szCs w:val="20"/>
        <w:lang w:val="fr-FR"/>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67BA9" w14:textId="43BF831A" w:rsidR="00B44B0D" w:rsidRPr="00D605A4" w:rsidRDefault="00B44B0D" w:rsidP="00D605A4">
    <w:pPr>
      <w:pStyle w:val="Header"/>
      <w:pBdr>
        <w:bottom w:val="single" w:sz="4" w:space="1" w:color="auto"/>
      </w:pBdr>
      <w:rPr>
        <w:rFonts w:cs="Arial"/>
        <w:i/>
        <w:szCs w:val="18"/>
        <w:lang w:val="de-DE"/>
      </w:rPr>
    </w:pPr>
    <w:r w:rsidRPr="00D605A4">
      <w:rPr>
        <w:rFonts w:cs="Arial"/>
        <w:i/>
        <w:szCs w:val="18"/>
        <w:lang w:val="de-DE"/>
      </w:rPr>
      <w:t>UNEP/CMS/COP12/Doc.</w:t>
    </w:r>
    <w:r>
      <w:rPr>
        <w:rFonts w:cs="Arial"/>
        <w:i/>
        <w:szCs w:val="18"/>
        <w:lang w:val="de-DE"/>
      </w:rPr>
      <w:t>24.1.6/Anexo 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9166B" w14:textId="1B4D07A5" w:rsidR="00B44B0D" w:rsidRPr="00497E66" w:rsidRDefault="00B44B0D" w:rsidP="00C96521">
    <w:pPr>
      <w:pStyle w:val="Heading1"/>
      <w:keepNext w:val="0"/>
      <w:pBdr>
        <w:bottom w:val="single" w:sz="4" w:space="1" w:color="auto"/>
      </w:pBdr>
      <w:tabs>
        <w:tab w:val="clear" w:pos="-720"/>
      </w:tabs>
      <w:ind w:left="261" w:right="-277" w:hanging="261"/>
      <w:rPr>
        <w:rFonts w:cs="Arial"/>
        <w:b w:val="0"/>
        <w:i/>
        <w:sz w:val="18"/>
        <w:szCs w:val="18"/>
        <w:lang w:val="fr-FR"/>
      </w:rPr>
    </w:pPr>
    <w:r w:rsidRPr="00497E66">
      <w:rPr>
        <w:rFonts w:cs="Arial"/>
        <w:b w:val="0"/>
        <w:i/>
        <w:sz w:val="18"/>
        <w:szCs w:val="18"/>
        <w:lang w:val="fr-FR"/>
      </w:rPr>
      <w:t>UNEP/CMS/COP12/Doc.</w:t>
    </w:r>
    <w:r>
      <w:rPr>
        <w:rFonts w:cs="Arial"/>
        <w:b w:val="0"/>
        <w:i/>
        <w:sz w:val="18"/>
        <w:szCs w:val="18"/>
        <w:lang w:val="fr-FR"/>
      </w:rPr>
      <w:t>24.1.6/Anexo 1</w:t>
    </w:r>
  </w:p>
  <w:p w14:paraId="1B0DD10D" w14:textId="77777777" w:rsidR="00B44B0D" w:rsidRDefault="00B44B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decimal"/>
      <w:pStyle w:val="Level1"/>
      <w:lvlText w:val="%1."/>
      <w:lvlJc w:val="left"/>
      <w:pPr>
        <w:tabs>
          <w:tab w:val="num" w:pos="566"/>
        </w:tabs>
        <w:ind w:left="566" w:hanging="566"/>
      </w:pPr>
      <w:rPr>
        <w:rFonts w:ascii="Times New Roman" w:hAnsi="Times New Roman" w:cs="Times New Roman"/>
        <w:sz w:val="24"/>
        <w:szCs w:val="24"/>
      </w:rPr>
    </w:lvl>
    <w:lvl w:ilvl="1">
      <w:start w:val="1"/>
      <w:numFmt w:val="lowerLetter"/>
      <w:pStyle w:val="Level2"/>
      <w:lvlText w:val="(%1%2"/>
      <w:lvlJc w:val="left"/>
      <w:pPr>
        <w:tabs>
          <w:tab w:val="num" w:pos="1132"/>
        </w:tabs>
        <w:ind w:left="1132" w:hanging="566"/>
      </w:pPr>
      <w:rPr>
        <w:rFonts w:cs="Times New Roman"/>
      </w:rPr>
    </w:lvl>
    <w:lvl w:ilvl="2">
      <w:start w:val="1"/>
      <w:numFmt w:val="lowerRoman"/>
      <w:pStyle w:val="Level3"/>
      <w:lvlText w:val="(%2%3"/>
      <w:lvlJc w:val="left"/>
      <w:pPr>
        <w:tabs>
          <w:tab w:val="num" w:pos="1700"/>
        </w:tabs>
        <w:ind w:left="1700" w:hanging="568"/>
      </w:pPr>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1" w15:restartNumberingAfterBreak="0">
    <w:nsid w:val="02AB155D"/>
    <w:multiLevelType w:val="hybridMultilevel"/>
    <w:tmpl w:val="8D1853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184C30"/>
    <w:multiLevelType w:val="hybridMultilevel"/>
    <w:tmpl w:val="2390987A"/>
    <w:lvl w:ilvl="0" w:tplc="3AD438C6">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710295"/>
    <w:multiLevelType w:val="hybridMultilevel"/>
    <w:tmpl w:val="676037A4"/>
    <w:lvl w:ilvl="0" w:tplc="3AD438C6">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4C5209F"/>
    <w:multiLevelType w:val="hybridMultilevel"/>
    <w:tmpl w:val="7DCC9896"/>
    <w:lvl w:ilvl="0" w:tplc="FAE4827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780F21"/>
    <w:multiLevelType w:val="hybridMultilevel"/>
    <w:tmpl w:val="0D20EA3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09B22A2D"/>
    <w:multiLevelType w:val="hybridMultilevel"/>
    <w:tmpl w:val="74B47A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E127042"/>
    <w:multiLevelType w:val="hybridMultilevel"/>
    <w:tmpl w:val="CF569BDE"/>
    <w:lvl w:ilvl="0" w:tplc="4460914E">
      <w:start w:val="1"/>
      <w:numFmt w:val="decimal"/>
      <w:lvlText w:val="%1"/>
      <w:lvlJc w:val="left"/>
      <w:pPr>
        <w:ind w:left="450" w:hanging="450"/>
      </w:pPr>
      <w:rPr>
        <w:rFonts w:hint="default"/>
      </w:rPr>
    </w:lvl>
    <w:lvl w:ilvl="1" w:tplc="08090019" w:tentative="1">
      <w:start w:val="1"/>
      <w:numFmt w:val="lowerLetter"/>
      <w:lvlText w:val="%2."/>
      <w:lvlJc w:val="left"/>
      <w:pPr>
        <w:ind w:left="1345" w:hanging="360"/>
      </w:pPr>
    </w:lvl>
    <w:lvl w:ilvl="2" w:tplc="0809001B" w:tentative="1">
      <w:start w:val="1"/>
      <w:numFmt w:val="lowerRoman"/>
      <w:lvlText w:val="%3."/>
      <w:lvlJc w:val="right"/>
      <w:pPr>
        <w:ind w:left="2065" w:hanging="180"/>
      </w:pPr>
    </w:lvl>
    <w:lvl w:ilvl="3" w:tplc="0809000F" w:tentative="1">
      <w:start w:val="1"/>
      <w:numFmt w:val="decimal"/>
      <w:lvlText w:val="%4."/>
      <w:lvlJc w:val="left"/>
      <w:pPr>
        <w:ind w:left="2785" w:hanging="360"/>
      </w:pPr>
    </w:lvl>
    <w:lvl w:ilvl="4" w:tplc="08090019" w:tentative="1">
      <w:start w:val="1"/>
      <w:numFmt w:val="lowerLetter"/>
      <w:lvlText w:val="%5."/>
      <w:lvlJc w:val="left"/>
      <w:pPr>
        <w:ind w:left="3505" w:hanging="360"/>
      </w:pPr>
    </w:lvl>
    <w:lvl w:ilvl="5" w:tplc="0809001B" w:tentative="1">
      <w:start w:val="1"/>
      <w:numFmt w:val="lowerRoman"/>
      <w:lvlText w:val="%6."/>
      <w:lvlJc w:val="right"/>
      <w:pPr>
        <w:ind w:left="4225" w:hanging="180"/>
      </w:pPr>
    </w:lvl>
    <w:lvl w:ilvl="6" w:tplc="0809000F" w:tentative="1">
      <w:start w:val="1"/>
      <w:numFmt w:val="decimal"/>
      <w:lvlText w:val="%7."/>
      <w:lvlJc w:val="left"/>
      <w:pPr>
        <w:ind w:left="4945" w:hanging="360"/>
      </w:pPr>
    </w:lvl>
    <w:lvl w:ilvl="7" w:tplc="08090019" w:tentative="1">
      <w:start w:val="1"/>
      <w:numFmt w:val="lowerLetter"/>
      <w:lvlText w:val="%8."/>
      <w:lvlJc w:val="left"/>
      <w:pPr>
        <w:ind w:left="5665" w:hanging="360"/>
      </w:pPr>
    </w:lvl>
    <w:lvl w:ilvl="8" w:tplc="0809001B" w:tentative="1">
      <w:start w:val="1"/>
      <w:numFmt w:val="lowerRoman"/>
      <w:lvlText w:val="%9."/>
      <w:lvlJc w:val="right"/>
      <w:pPr>
        <w:ind w:left="6385" w:hanging="180"/>
      </w:pPr>
    </w:lvl>
  </w:abstractNum>
  <w:abstractNum w:abstractNumId="8" w15:restartNumberingAfterBreak="0">
    <w:nsid w:val="17F37F08"/>
    <w:multiLevelType w:val="hybridMultilevel"/>
    <w:tmpl w:val="57609594"/>
    <w:lvl w:ilvl="0" w:tplc="3AD438C6">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52259C"/>
    <w:multiLevelType w:val="hybridMultilevel"/>
    <w:tmpl w:val="05E6BE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A027A0A"/>
    <w:multiLevelType w:val="hybridMultilevel"/>
    <w:tmpl w:val="6352CE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AF85D70"/>
    <w:multiLevelType w:val="hybridMultilevel"/>
    <w:tmpl w:val="977605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DBA1DF4"/>
    <w:multiLevelType w:val="hybridMultilevel"/>
    <w:tmpl w:val="D7789D0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04936B1"/>
    <w:multiLevelType w:val="hybridMultilevel"/>
    <w:tmpl w:val="B7581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F012E1"/>
    <w:multiLevelType w:val="hybridMultilevel"/>
    <w:tmpl w:val="C95C44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426759F"/>
    <w:multiLevelType w:val="hybridMultilevel"/>
    <w:tmpl w:val="534CF7D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275D4CF5"/>
    <w:multiLevelType w:val="hybridMultilevel"/>
    <w:tmpl w:val="39749E98"/>
    <w:lvl w:ilvl="0" w:tplc="2C02CDC2">
      <w:numFmt w:val="bullet"/>
      <w:lvlText w:val=""/>
      <w:lvlJc w:val="left"/>
      <w:pPr>
        <w:ind w:left="720" w:hanging="360"/>
      </w:pPr>
      <w:rPr>
        <w:rFonts w:ascii="Wingdings" w:eastAsia="Times New Roman"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2E27D4"/>
    <w:multiLevelType w:val="hybridMultilevel"/>
    <w:tmpl w:val="57828B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D9D2BC6"/>
    <w:multiLevelType w:val="hybridMultilevel"/>
    <w:tmpl w:val="6AEEC328"/>
    <w:lvl w:ilvl="0" w:tplc="08090001">
      <w:start w:val="1"/>
      <w:numFmt w:val="bullet"/>
      <w:lvlText w:val=""/>
      <w:lvlJc w:val="left"/>
      <w:pPr>
        <w:ind w:left="720" w:hanging="360"/>
      </w:pPr>
      <w:rPr>
        <w:rFonts w:ascii="Symbol" w:hAnsi="Symbol" w:hint="default"/>
      </w:rPr>
    </w:lvl>
    <w:lvl w:ilvl="1" w:tplc="92A8CC96">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9A73CB"/>
    <w:multiLevelType w:val="hybridMultilevel"/>
    <w:tmpl w:val="FF144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213788"/>
    <w:multiLevelType w:val="hybridMultilevel"/>
    <w:tmpl w:val="5A642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DC12FA"/>
    <w:multiLevelType w:val="hybridMultilevel"/>
    <w:tmpl w:val="675EFB6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7A0372A"/>
    <w:multiLevelType w:val="multilevel"/>
    <w:tmpl w:val="D9926594"/>
    <w:lvl w:ilvl="0">
      <w:start w:val="1"/>
      <w:numFmt w:val="decimal"/>
      <w:lvlText w:val="%1."/>
      <w:lvlJc w:val="left"/>
      <w:pPr>
        <w:ind w:left="360" w:hanging="360"/>
      </w:pPr>
      <w:rPr>
        <w:i w:val="0"/>
      </w:r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23" w15:restartNumberingAfterBreak="0">
    <w:nsid w:val="381F3E37"/>
    <w:multiLevelType w:val="hybridMultilevel"/>
    <w:tmpl w:val="EF3211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BE345E4"/>
    <w:multiLevelType w:val="hybridMultilevel"/>
    <w:tmpl w:val="ED821E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C414212"/>
    <w:multiLevelType w:val="hybridMultilevel"/>
    <w:tmpl w:val="FBFCBC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E200771"/>
    <w:multiLevelType w:val="hybridMultilevel"/>
    <w:tmpl w:val="D97261F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41CE335C"/>
    <w:multiLevelType w:val="hybridMultilevel"/>
    <w:tmpl w:val="0316BC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9A2542"/>
    <w:multiLevelType w:val="hybridMultilevel"/>
    <w:tmpl w:val="215E54A0"/>
    <w:lvl w:ilvl="0" w:tplc="3AD438C6">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CF1F02"/>
    <w:multiLevelType w:val="hybridMultilevel"/>
    <w:tmpl w:val="2CAAFC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01508D2"/>
    <w:multiLevelType w:val="hybridMultilevel"/>
    <w:tmpl w:val="09987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7C66B8"/>
    <w:multiLevelType w:val="hybridMultilevel"/>
    <w:tmpl w:val="3514A81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15:restartNumberingAfterBreak="0">
    <w:nsid w:val="55166D41"/>
    <w:multiLevelType w:val="hybridMultilevel"/>
    <w:tmpl w:val="384631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5ADB4D0C"/>
    <w:multiLevelType w:val="hybridMultilevel"/>
    <w:tmpl w:val="2564F748"/>
    <w:lvl w:ilvl="0" w:tplc="3AD438C6">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4225CB"/>
    <w:multiLevelType w:val="hybridMultilevel"/>
    <w:tmpl w:val="285CC7C0"/>
    <w:lvl w:ilvl="0" w:tplc="2C02CDC2">
      <w:numFmt w:val="bullet"/>
      <w:lvlText w:val=""/>
      <w:lvlJc w:val="left"/>
      <w:pPr>
        <w:ind w:left="720" w:hanging="360"/>
      </w:pPr>
      <w:rPr>
        <w:rFonts w:ascii="Wingdings" w:eastAsia="Times New Roman"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815C31"/>
    <w:multiLevelType w:val="hybridMultilevel"/>
    <w:tmpl w:val="033C803A"/>
    <w:lvl w:ilvl="0" w:tplc="75D6F73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0416413"/>
    <w:multiLevelType w:val="hybridMultilevel"/>
    <w:tmpl w:val="FE2802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0421C25"/>
    <w:multiLevelType w:val="hybridMultilevel"/>
    <w:tmpl w:val="E056D1B4"/>
    <w:lvl w:ilvl="0" w:tplc="2C02CDC2">
      <w:numFmt w:val="bullet"/>
      <w:lvlText w:val=""/>
      <w:lvlJc w:val="left"/>
      <w:pPr>
        <w:ind w:left="360" w:hanging="360"/>
      </w:pPr>
      <w:rPr>
        <w:rFonts w:ascii="Wingdings" w:eastAsia="Times New Roman" w:hAnsi="Wingdings"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38B125E"/>
    <w:multiLevelType w:val="hybridMultilevel"/>
    <w:tmpl w:val="AE381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4670EF0"/>
    <w:multiLevelType w:val="hybridMultilevel"/>
    <w:tmpl w:val="6FFCAED0"/>
    <w:lvl w:ilvl="0" w:tplc="3AD438C6">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9A23F83"/>
    <w:multiLevelType w:val="hybridMultilevel"/>
    <w:tmpl w:val="A6DA6EC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1" w15:restartNumberingAfterBreak="0">
    <w:nsid w:val="6AAF7842"/>
    <w:multiLevelType w:val="hybridMultilevel"/>
    <w:tmpl w:val="C1323E3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2" w15:restartNumberingAfterBreak="0">
    <w:nsid w:val="6E24268A"/>
    <w:multiLevelType w:val="hybridMultilevel"/>
    <w:tmpl w:val="412483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0D26840"/>
    <w:multiLevelType w:val="hybridMultilevel"/>
    <w:tmpl w:val="40AEC0B2"/>
    <w:lvl w:ilvl="0" w:tplc="3AD438C6">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15F2C59"/>
    <w:multiLevelType w:val="hybridMultilevel"/>
    <w:tmpl w:val="BDDC26EA"/>
    <w:lvl w:ilvl="0" w:tplc="2364F8D4">
      <w:start w:val="1"/>
      <w:numFmt w:val="decimal"/>
      <w:pStyle w:val="TDHeading"/>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78EB13B1"/>
    <w:multiLevelType w:val="hybridMultilevel"/>
    <w:tmpl w:val="903484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9ED4B24"/>
    <w:multiLevelType w:val="hybridMultilevel"/>
    <w:tmpl w:val="BC5ED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ACF2211"/>
    <w:multiLevelType w:val="hybridMultilevel"/>
    <w:tmpl w:val="52643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B36076D"/>
    <w:multiLevelType w:val="hybridMultilevel"/>
    <w:tmpl w:val="3AA2A316"/>
    <w:lvl w:ilvl="0" w:tplc="7C3A19F6">
      <w:start w:val="1"/>
      <w:numFmt w:val="lowerLetter"/>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num w:numId="1">
    <w:abstractNumId w:val="0"/>
    <w:lvlOverride w:ilvl="0">
      <w:startOverride w:val="1"/>
      <w:lvl w:ilvl="0">
        <w:start w:val="1"/>
        <w:numFmt w:val="decimal"/>
        <w:pStyle w:val="Level1"/>
        <w:lvlText w:val="%1."/>
        <w:lvlJc w:val="left"/>
        <w:rPr>
          <w:rFonts w:cs="Times New Roman"/>
        </w:rPr>
      </w:lvl>
    </w:lvlOverride>
    <w:lvlOverride w:ilvl="1">
      <w:startOverride w:val="1"/>
      <w:lvl w:ilvl="1">
        <w:start w:val="1"/>
        <w:numFmt w:val="decimal"/>
        <w:pStyle w:val="Level2"/>
        <w:lvlText w:val="(%1%2"/>
        <w:lvlJc w:val="left"/>
        <w:rPr>
          <w:rFonts w:cs="Times New Roman"/>
        </w:rPr>
      </w:lvl>
    </w:lvlOverride>
    <w:lvlOverride w:ilvl="2">
      <w:startOverride w:val="1"/>
      <w:lvl w:ilvl="2">
        <w:start w:val="1"/>
        <w:numFmt w:val="decimal"/>
        <w:pStyle w:val="Level3"/>
        <w:lvlText w:val="(%2%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44"/>
  </w:num>
  <w:num w:numId="12">
    <w:abstractNumId w:val="8"/>
  </w:num>
  <w:num w:numId="13">
    <w:abstractNumId w:val="33"/>
  </w:num>
  <w:num w:numId="14">
    <w:abstractNumId w:val="28"/>
  </w:num>
  <w:num w:numId="15">
    <w:abstractNumId w:val="10"/>
  </w:num>
  <w:num w:numId="16">
    <w:abstractNumId w:val="11"/>
  </w:num>
  <w:num w:numId="17">
    <w:abstractNumId w:val="18"/>
  </w:num>
  <w:num w:numId="18">
    <w:abstractNumId w:val="6"/>
  </w:num>
  <w:num w:numId="19">
    <w:abstractNumId w:val="30"/>
  </w:num>
  <w:num w:numId="20">
    <w:abstractNumId w:val="35"/>
  </w:num>
  <w:num w:numId="21">
    <w:abstractNumId w:val="39"/>
  </w:num>
  <w:num w:numId="22">
    <w:abstractNumId w:val="36"/>
  </w:num>
  <w:num w:numId="23">
    <w:abstractNumId w:val="29"/>
  </w:num>
  <w:num w:numId="24">
    <w:abstractNumId w:val="45"/>
  </w:num>
  <w:num w:numId="25">
    <w:abstractNumId w:val="42"/>
  </w:num>
  <w:num w:numId="26">
    <w:abstractNumId w:val="25"/>
  </w:num>
  <w:num w:numId="27">
    <w:abstractNumId w:val="14"/>
  </w:num>
  <w:num w:numId="28">
    <w:abstractNumId w:val="43"/>
  </w:num>
  <w:num w:numId="29">
    <w:abstractNumId w:val="13"/>
  </w:num>
  <w:num w:numId="30">
    <w:abstractNumId w:val="4"/>
  </w:num>
  <w:num w:numId="31">
    <w:abstractNumId w:val="23"/>
  </w:num>
  <w:num w:numId="32">
    <w:abstractNumId w:val="47"/>
  </w:num>
  <w:num w:numId="33">
    <w:abstractNumId w:val="38"/>
  </w:num>
  <w:num w:numId="34">
    <w:abstractNumId w:val="17"/>
  </w:num>
  <w:num w:numId="35">
    <w:abstractNumId w:val="32"/>
  </w:num>
  <w:num w:numId="36">
    <w:abstractNumId w:val="20"/>
  </w:num>
  <w:num w:numId="37">
    <w:abstractNumId w:val="12"/>
  </w:num>
  <w:num w:numId="38">
    <w:abstractNumId w:val="19"/>
  </w:num>
  <w:num w:numId="39">
    <w:abstractNumId w:val="1"/>
  </w:num>
  <w:num w:numId="40">
    <w:abstractNumId w:val="27"/>
  </w:num>
  <w:num w:numId="41">
    <w:abstractNumId w:val="9"/>
  </w:num>
  <w:num w:numId="42">
    <w:abstractNumId w:val="7"/>
  </w:num>
  <w:num w:numId="43">
    <w:abstractNumId w:val="24"/>
  </w:num>
  <w:num w:numId="44">
    <w:abstractNumId w:val="3"/>
  </w:num>
  <w:num w:numId="45">
    <w:abstractNumId w:val="2"/>
  </w:num>
  <w:num w:numId="46">
    <w:abstractNumId w:val="46"/>
  </w:num>
  <w:num w:numId="47">
    <w:abstractNumId w:val="16"/>
  </w:num>
  <w:num w:numId="48">
    <w:abstractNumId w:val="34"/>
  </w:num>
  <w:num w:numId="49">
    <w:abstractNumId w:val="3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4097"/>
  </w:hdrShapeDefaults>
  <w:footnotePr>
    <w:footnote w:id="-1"/>
    <w:footnote w:id="0"/>
  </w:footnotePr>
  <w:endnotePr>
    <w:numFmt w:val="decimal"/>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037"/>
    <w:rsid w:val="00003221"/>
    <w:rsid w:val="000063EB"/>
    <w:rsid w:val="00007296"/>
    <w:rsid w:val="00015E07"/>
    <w:rsid w:val="000254DF"/>
    <w:rsid w:val="00031A88"/>
    <w:rsid w:val="0003375A"/>
    <w:rsid w:val="0003449E"/>
    <w:rsid w:val="00036C53"/>
    <w:rsid w:val="000518C2"/>
    <w:rsid w:val="00056DC1"/>
    <w:rsid w:val="00060156"/>
    <w:rsid w:val="00060FED"/>
    <w:rsid w:val="00070BBC"/>
    <w:rsid w:val="00073C92"/>
    <w:rsid w:val="00080F03"/>
    <w:rsid w:val="00085172"/>
    <w:rsid w:val="000900E1"/>
    <w:rsid w:val="0009076A"/>
    <w:rsid w:val="000A0F59"/>
    <w:rsid w:val="000A484B"/>
    <w:rsid w:val="000B6220"/>
    <w:rsid w:val="000C21B1"/>
    <w:rsid w:val="000C3653"/>
    <w:rsid w:val="000C3C87"/>
    <w:rsid w:val="000C4731"/>
    <w:rsid w:val="000C7460"/>
    <w:rsid w:val="000D7CC9"/>
    <w:rsid w:val="000E01C1"/>
    <w:rsid w:val="000F0B93"/>
    <w:rsid w:val="000F1156"/>
    <w:rsid w:val="000F52BA"/>
    <w:rsid w:val="001111A9"/>
    <w:rsid w:val="00113272"/>
    <w:rsid w:val="001151A3"/>
    <w:rsid w:val="001245DF"/>
    <w:rsid w:val="00126308"/>
    <w:rsid w:val="00130BFD"/>
    <w:rsid w:val="001419C7"/>
    <w:rsid w:val="001470E5"/>
    <w:rsid w:val="00150AC4"/>
    <w:rsid w:val="001523DA"/>
    <w:rsid w:val="00153C2E"/>
    <w:rsid w:val="00156AA5"/>
    <w:rsid w:val="00162D88"/>
    <w:rsid w:val="00166ABA"/>
    <w:rsid w:val="00173165"/>
    <w:rsid w:val="001743FD"/>
    <w:rsid w:val="001764E6"/>
    <w:rsid w:val="0017743B"/>
    <w:rsid w:val="00177BBB"/>
    <w:rsid w:val="001808F1"/>
    <w:rsid w:val="00180B11"/>
    <w:rsid w:val="001A33B6"/>
    <w:rsid w:val="001C069F"/>
    <w:rsid w:val="001C6038"/>
    <w:rsid w:val="001C6133"/>
    <w:rsid w:val="001E3B2C"/>
    <w:rsid w:val="001E7A03"/>
    <w:rsid w:val="001F60A1"/>
    <w:rsid w:val="00200759"/>
    <w:rsid w:val="00200A67"/>
    <w:rsid w:val="00201F88"/>
    <w:rsid w:val="00202332"/>
    <w:rsid w:val="00205A70"/>
    <w:rsid w:val="002210F4"/>
    <w:rsid w:val="0022739D"/>
    <w:rsid w:val="00230104"/>
    <w:rsid w:val="00235FA0"/>
    <w:rsid w:val="00243E9E"/>
    <w:rsid w:val="00253BC1"/>
    <w:rsid w:val="00254721"/>
    <w:rsid w:val="00257709"/>
    <w:rsid w:val="00263159"/>
    <w:rsid w:val="002779F7"/>
    <w:rsid w:val="00283518"/>
    <w:rsid w:val="00284FD2"/>
    <w:rsid w:val="00287939"/>
    <w:rsid w:val="002A380C"/>
    <w:rsid w:val="002A3BA1"/>
    <w:rsid w:val="002A5826"/>
    <w:rsid w:val="002C187A"/>
    <w:rsid w:val="002C1FA9"/>
    <w:rsid w:val="002C20F1"/>
    <w:rsid w:val="002D2863"/>
    <w:rsid w:val="002D5EC0"/>
    <w:rsid w:val="002E3DEA"/>
    <w:rsid w:val="002E6F7E"/>
    <w:rsid w:val="002E7CC2"/>
    <w:rsid w:val="002F50FF"/>
    <w:rsid w:val="002F6F9B"/>
    <w:rsid w:val="003331C6"/>
    <w:rsid w:val="00343026"/>
    <w:rsid w:val="00345044"/>
    <w:rsid w:val="00345499"/>
    <w:rsid w:val="00346ABD"/>
    <w:rsid w:val="00346C99"/>
    <w:rsid w:val="00351095"/>
    <w:rsid w:val="00354A9C"/>
    <w:rsid w:val="003574BE"/>
    <w:rsid w:val="00362961"/>
    <w:rsid w:val="00364973"/>
    <w:rsid w:val="00364C8C"/>
    <w:rsid w:val="00372347"/>
    <w:rsid w:val="003779D4"/>
    <w:rsid w:val="00382398"/>
    <w:rsid w:val="003831C5"/>
    <w:rsid w:val="003909E4"/>
    <w:rsid w:val="0039110A"/>
    <w:rsid w:val="003918B8"/>
    <w:rsid w:val="003A2FE2"/>
    <w:rsid w:val="003A3278"/>
    <w:rsid w:val="003A3E30"/>
    <w:rsid w:val="003A70FE"/>
    <w:rsid w:val="003B0C35"/>
    <w:rsid w:val="003B219E"/>
    <w:rsid w:val="003C54D4"/>
    <w:rsid w:val="003E21B3"/>
    <w:rsid w:val="003F6C6E"/>
    <w:rsid w:val="004006B8"/>
    <w:rsid w:val="00404A27"/>
    <w:rsid w:val="00411E65"/>
    <w:rsid w:val="00412DE9"/>
    <w:rsid w:val="00420040"/>
    <w:rsid w:val="00423388"/>
    <w:rsid w:val="00426D73"/>
    <w:rsid w:val="00442903"/>
    <w:rsid w:val="00454373"/>
    <w:rsid w:val="00454913"/>
    <w:rsid w:val="00457441"/>
    <w:rsid w:val="004579F6"/>
    <w:rsid w:val="0046107B"/>
    <w:rsid w:val="004656D0"/>
    <w:rsid w:val="00465B53"/>
    <w:rsid w:val="00473ABD"/>
    <w:rsid w:val="00482DCA"/>
    <w:rsid w:val="00497E66"/>
    <w:rsid w:val="004B0304"/>
    <w:rsid w:val="004B25D4"/>
    <w:rsid w:val="004B6CFD"/>
    <w:rsid w:val="004C204D"/>
    <w:rsid w:val="004D0436"/>
    <w:rsid w:val="004D0936"/>
    <w:rsid w:val="004D1564"/>
    <w:rsid w:val="004D5651"/>
    <w:rsid w:val="004E7A47"/>
    <w:rsid w:val="004E7ED7"/>
    <w:rsid w:val="004F243D"/>
    <w:rsid w:val="004F3D8D"/>
    <w:rsid w:val="005028F9"/>
    <w:rsid w:val="00503BCA"/>
    <w:rsid w:val="005076F1"/>
    <w:rsid w:val="00512B91"/>
    <w:rsid w:val="005158EB"/>
    <w:rsid w:val="0052082F"/>
    <w:rsid w:val="00526B63"/>
    <w:rsid w:val="0053142C"/>
    <w:rsid w:val="00542FCC"/>
    <w:rsid w:val="0055762E"/>
    <w:rsid w:val="005577C0"/>
    <w:rsid w:val="005642D8"/>
    <w:rsid w:val="00565445"/>
    <w:rsid w:val="00575334"/>
    <w:rsid w:val="00577315"/>
    <w:rsid w:val="00593736"/>
    <w:rsid w:val="005A09C2"/>
    <w:rsid w:val="005A2E8C"/>
    <w:rsid w:val="005A3181"/>
    <w:rsid w:val="005B0F06"/>
    <w:rsid w:val="005B6141"/>
    <w:rsid w:val="005C3F15"/>
    <w:rsid w:val="005D4262"/>
    <w:rsid w:val="005D6A2A"/>
    <w:rsid w:val="005E3516"/>
    <w:rsid w:val="005F3989"/>
    <w:rsid w:val="005F4303"/>
    <w:rsid w:val="005F7B20"/>
    <w:rsid w:val="00601B52"/>
    <w:rsid w:val="0060280B"/>
    <w:rsid w:val="00604422"/>
    <w:rsid w:val="00623F5D"/>
    <w:rsid w:val="006436BF"/>
    <w:rsid w:val="006437E1"/>
    <w:rsid w:val="00651341"/>
    <w:rsid w:val="00666F8B"/>
    <w:rsid w:val="006815B2"/>
    <w:rsid w:val="006826E0"/>
    <w:rsid w:val="00682B31"/>
    <w:rsid w:val="006864E1"/>
    <w:rsid w:val="00691001"/>
    <w:rsid w:val="00691BFF"/>
    <w:rsid w:val="006A313E"/>
    <w:rsid w:val="006B090D"/>
    <w:rsid w:val="006B1037"/>
    <w:rsid w:val="006E0F75"/>
    <w:rsid w:val="006E56AD"/>
    <w:rsid w:val="006E5763"/>
    <w:rsid w:val="0070237C"/>
    <w:rsid w:val="007101BB"/>
    <w:rsid w:val="00713308"/>
    <w:rsid w:val="00725A91"/>
    <w:rsid w:val="00727E01"/>
    <w:rsid w:val="00745222"/>
    <w:rsid w:val="00752E19"/>
    <w:rsid w:val="00753052"/>
    <w:rsid w:val="00757614"/>
    <w:rsid w:val="00767B8F"/>
    <w:rsid w:val="007728B4"/>
    <w:rsid w:val="0077622E"/>
    <w:rsid w:val="00777FE4"/>
    <w:rsid w:val="0079075D"/>
    <w:rsid w:val="007910C0"/>
    <w:rsid w:val="007910DD"/>
    <w:rsid w:val="00791680"/>
    <w:rsid w:val="007C1468"/>
    <w:rsid w:val="007C41D7"/>
    <w:rsid w:val="007F16FB"/>
    <w:rsid w:val="007F1BBA"/>
    <w:rsid w:val="007F3E15"/>
    <w:rsid w:val="0080080C"/>
    <w:rsid w:val="00810359"/>
    <w:rsid w:val="008151EA"/>
    <w:rsid w:val="0081600F"/>
    <w:rsid w:val="0082722D"/>
    <w:rsid w:val="008274F7"/>
    <w:rsid w:val="00831C88"/>
    <w:rsid w:val="008441F9"/>
    <w:rsid w:val="00846A99"/>
    <w:rsid w:val="008641D1"/>
    <w:rsid w:val="00870FB9"/>
    <w:rsid w:val="00872F67"/>
    <w:rsid w:val="008807BF"/>
    <w:rsid w:val="008879E9"/>
    <w:rsid w:val="00890F11"/>
    <w:rsid w:val="00893346"/>
    <w:rsid w:val="00894D19"/>
    <w:rsid w:val="008A0D8D"/>
    <w:rsid w:val="008A61D1"/>
    <w:rsid w:val="008B1A69"/>
    <w:rsid w:val="008C00B8"/>
    <w:rsid w:val="008C0408"/>
    <w:rsid w:val="008C1A39"/>
    <w:rsid w:val="008D051A"/>
    <w:rsid w:val="008D1B43"/>
    <w:rsid w:val="008E7DFB"/>
    <w:rsid w:val="008F7327"/>
    <w:rsid w:val="0090059C"/>
    <w:rsid w:val="009076C8"/>
    <w:rsid w:val="00915BBE"/>
    <w:rsid w:val="009211D4"/>
    <w:rsid w:val="00921D62"/>
    <w:rsid w:val="00922791"/>
    <w:rsid w:val="00927CD6"/>
    <w:rsid w:val="00933572"/>
    <w:rsid w:val="009363C7"/>
    <w:rsid w:val="00965D7D"/>
    <w:rsid w:val="00972D36"/>
    <w:rsid w:val="00973BFB"/>
    <w:rsid w:val="00980406"/>
    <w:rsid w:val="00994621"/>
    <w:rsid w:val="009A2C8F"/>
    <w:rsid w:val="009A7B65"/>
    <w:rsid w:val="009C6098"/>
    <w:rsid w:val="009D2AD6"/>
    <w:rsid w:val="009D3A07"/>
    <w:rsid w:val="009D4711"/>
    <w:rsid w:val="009D5DA6"/>
    <w:rsid w:val="009E3A84"/>
    <w:rsid w:val="009E54BD"/>
    <w:rsid w:val="009E72D7"/>
    <w:rsid w:val="009E7ACC"/>
    <w:rsid w:val="009F450E"/>
    <w:rsid w:val="009F54DA"/>
    <w:rsid w:val="00A06984"/>
    <w:rsid w:val="00A12C76"/>
    <w:rsid w:val="00A1324E"/>
    <w:rsid w:val="00A22A65"/>
    <w:rsid w:val="00A27BE3"/>
    <w:rsid w:val="00A339B9"/>
    <w:rsid w:val="00A36F9C"/>
    <w:rsid w:val="00A40EDF"/>
    <w:rsid w:val="00A426EE"/>
    <w:rsid w:val="00A568DF"/>
    <w:rsid w:val="00A62028"/>
    <w:rsid w:val="00A72CCA"/>
    <w:rsid w:val="00A73A79"/>
    <w:rsid w:val="00A922B2"/>
    <w:rsid w:val="00A93C52"/>
    <w:rsid w:val="00AA7368"/>
    <w:rsid w:val="00AB09CE"/>
    <w:rsid w:val="00AB2CEB"/>
    <w:rsid w:val="00AB4FF9"/>
    <w:rsid w:val="00AC5AD4"/>
    <w:rsid w:val="00AC7264"/>
    <w:rsid w:val="00AE7B21"/>
    <w:rsid w:val="00AF1980"/>
    <w:rsid w:val="00AF2021"/>
    <w:rsid w:val="00B016F8"/>
    <w:rsid w:val="00B025B7"/>
    <w:rsid w:val="00B43F4A"/>
    <w:rsid w:val="00B44B0D"/>
    <w:rsid w:val="00B453BD"/>
    <w:rsid w:val="00B471BD"/>
    <w:rsid w:val="00B50C2D"/>
    <w:rsid w:val="00B63DD9"/>
    <w:rsid w:val="00B64904"/>
    <w:rsid w:val="00B64FCF"/>
    <w:rsid w:val="00B70B7A"/>
    <w:rsid w:val="00B75124"/>
    <w:rsid w:val="00B76ED7"/>
    <w:rsid w:val="00B80EF4"/>
    <w:rsid w:val="00BA0680"/>
    <w:rsid w:val="00BA0F32"/>
    <w:rsid w:val="00BA60CE"/>
    <w:rsid w:val="00BB2A41"/>
    <w:rsid w:val="00BB7AB8"/>
    <w:rsid w:val="00BC5607"/>
    <w:rsid w:val="00BE0D1D"/>
    <w:rsid w:val="00BE20B6"/>
    <w:rsid w:val="00BE2448"/>
    <w:rsid w:val="00BE24D4"/>
    <w:rsid w:val="00BE365A"/>
    <w:rsid w:val="00BE3C08"/>
    <w:rsid w:val="00BE5EF4"/>
    <w:rsid w:val="00BF273B"/>
    <w:rsid w:val="00BF2BE7"/>
    <w:rsid w:val="00BF4512"/>
    <w:rsid w:val="00C05102"/>
    <w:rsid w:val="00C13FA6"/>
    <w:rsid w:val="00C169ED"/>
    <w:rsid w:val="00C27451"/>
    <w:rsid w:val="00C35830"/>
    <w:rsid w:val="00C44645"/>
    <w:rsid w:val="00C5484D"/>
    <w:rsid w:val="00C60789"/>
    <w:rsid w:val="00C618F2"/>
    <w:rsid w:val="00C704F1"/>
    <w:rsid w:val="00C726FA"/>
    <w:rsid w:val="00C73207"/>
    <w:rsid w:val="00C7602A"/>
    <w:rsid w:val="00C82160"/>
    <w:rsid w:val="00C82ED9"/>
    <w:rsid w:val="00C87D68"/>
    <w:rsid w:val="00C9281B"/>
    <w:rsid w:val="00C93AC9"/>
    <w:rsid w:val="00C96521"/>
    <w:rsid w:val="00CA367A"/>
    <w:rsid w:val="00CB1D26"/>
    <w:rsid w:val="00CB5111"/>
    <w:rsid w:val="00CC4C21"/>
    <w:rsid w:val="00CC57AD"/>
    <w:rsid w:val="00CD0FE9"/>
    <w:rsid w:val="00CD7355"/>
    <w:rsid w:val="00CE5B83"/>
    <w:rsid w:val="00CF6EDD"/>
    <w:rsid w:val="00D008A0"/>
    <w:rsid w:val="00D03D59"/>
    <w:rsid w:val="00D05922"/>
    <w:rsid w:val="00D0618E"/>
    <w:rsid w:val="00D107A3"/>
    <w:rsid w:val="00D147EA"/>
    <w:rsid w:val="00D21383"/>
    <w:rsid w:val="00D24D5F"/>
    <w:rsid w:val="00D36BC9"/>
    <w:rsid w:val="00D417C2"/>
    <w:rsid w:val="00D42AE1"/>
    <w:rsid w:val="00D605A4"/>
    <w:rsid w:val="00D61B13"/>
    <w:rsid w:val="00D657A4"/>
    <w:rsid w:val="00D675FA"/>
    <w:rsid w:val="00D76AD2"/>
    <w:rsid w:val="00D7746A"/>
    <w:rsid w:val="00D838FE"/>
    <w:rsid w:val="00D8406F"/>
    <w:rsid w:val="00D859C7"/>
    <w:rsid w:val="00D9021F"/>
    <w:rsid w:val="00D95FF4"/>
    <w:rsid w:val="00D9697B"/>
    <w:rsid w:val="00DA1080"/>
    <w:rsid w:val="00DA12C2"/>
    <w:rsid w:val="00DA1B78"/>
    <w:rsid w:val="00DB30A6"/>
    <w:rsid w:val="00DC2226"/>
    <w:rsid w:val="00DC6B90"/>
    <w:rsid w:val="00DD0F9D"/>
    <w:rsid w:val="00DD6A9E"/>
    <w:rsid w:val="00E1665C"/>
    <w:rsid w:val="00E23367"/>
    <w:rsid w:val="00E27689"/>
    <w:rsid w:val="00E3152E"/>
    <w:rsid w:val="00E31B92"/>
    <w:rsid w:val="00E46903"/>
    <w:rsid w:val="00E475D4"/>
    <w:rsid w:val="00E5204B"/>
    <w:rsid w:val="00E723FE"/>
    <w:rsid w:val="00E74D1C"/>
    <w:rsid w:val="00E8776E"/>
    <w:rsid w:val="00E9237A"/>
    <w:rsid w:val="00E975EB"/>
    <w:rsid w:val="00EA0B88"/>
    <w:rsid w:val="00EB2285"/>
    <w:rsid w:val="00EC4294"/>
    <w:rsid w:val="00EC681E"/>
    <w:rsid w:val="00ED02D3"/>
    <w:rsid w:val="00ED477B"/>
    <w:rsid w:val="00ED5E31"/>
    <w:rsid w:val="00EE40F4"/>
    <w:rsid w:val="00EE4815"/>
    <w:rsid w:val="00EE64C1"/>
    <w:rsid w:val="00EF7FD7"/>
    <w:rsid w:val="00F05AA0"/>
    <w:rsid w:val="00F061CB"/>
    <w:rsid w:val="00F071F0"/>
    <w:rsid w:val="00F11793"/>
    <w:rsid w:val="00F21AC0"/>
    <w:rsid w:val="00F24050"/>
    <w:rsid w:val="00F248AA"/>
    <w:rsid w:val="00F31539"/>
    <w:rsid w:val="00F33271"/>
    <w:rsid w:val="00F444EC"/>
    <w:rsid w:val="00F45FE3"/>
    <w:rsid w:val="00F51E3D"/>
    <w:rsid w:val="00F54D03"/>
    <w:rsid w:val="00F6347A"/>
    <w:rsid w:val="00F64924"/>
    <w:rsid w:val="00F7016B"/>
    <w:rsid w:val="00F7503A"/>
    <w:rsid w:val="00F81FEF"/>
    <w:rsid w:val="00F978B9"/>
    <w:rsid w:val="00FA61AF"/>
    <w:rsid w:val="00FB0078"/>
    <w:rsid w:val="00FB2C17"/>
    <w:rsid w:val="00FC6C34"/>
    <w:rsid w:val="00FD3A06"/>
    <w:rsid w:val="00FD63A7"/>
    <w:rsid w:val="00FD7D14"/>
    <w:rsid w:val="00FE79B8"/>
    <w:rsid w:val="00FF4B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0D0A497"/>
  <w15:docId w15:val="{9E5C2AFA-4DB9-4473-BA93-4F3BED6A7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sz w:val="18"/>
        <w:szCs w:val="24"/>
        <w:lang w:val="en-US" w:eastAsia="en-US" w:bidi="ar-SA"/>
      </w:rPr>
    </w:rPrDefault>
    <w:pPrDefault/>
  </w:docDefaults>
  <w:latentStyles w:defLockedState="0" w:defUIPriority="99" w:defSemiHidden="0" w:defUnhideWhenUsed="0" w:defQFormat="0" w:count="374">
    <w:lsdException w:name="Normal" w:locked="1" w:uiPriority="0" w:qFormat="1"/>
    <w:lsdException w:name="heading 1" w:locked="1" w:uiPriority="0" w:qFormat="1"/>
    <w:lsdException w:name="heading 2" w:locked="1" w:uiPriority="9" w:qFormat="1"/>
    <w:lsdException w:name="heading 3" w:locked="1" w:uiPriority="0"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uiPriority="9" w:qFormat="1"/>
    <w:lsdException w:name="heading 9" w:locked="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779F7"/>
    <w:pPr>
      <w:widowControl w:val="0"/>
      <w:autoSpaceDE w:val="0"/>
      <w:autoSpaceDN w:val="0"/>
      <w:adjustRightInd w:val="0"/>
    </w:pPr>
  </w:style>
  <w:style w:type="paragraph" w:styleId="Heading1">
    <w:name w:val="heading 1"/>
    <w:basedOn w:val="Normal"/>
    <w:next w:val="Normal"/>
    <w:link w:val="Heading1Char"/>
    <w:qFormat/>
    <w:rsid w:val="002779F7"/>
    <w:pPr>
      <w:keepNext/>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outlineLvl w:val="0"/>
    </w:pPr>
    <w:rPr>
      <w:b/>
      <w:bCs/>
      <w:sz w:val="34"/>
      <w:szCs w:val="36"/>
      <w:lang w:val="en-GB"/>
    </w:rPr>
  </w:style>
  <w:style w:type="paragraph" w:styleId="Heading2">
    <w:name w:val="heading 2"/>
    <w:basedOn w:val="Normal"/>
    <w:next w:val="Normal"/>
    <w:link w:val="Heading2Char"/>
    <w:uiPriority w:val="9"/>
    <w:qFormat/>
    <w:rsid w:val="002779F7"/>
    <w:pPr>
      <w:keepNext/>
      <w:pBdr>
        <w:top w:val="single" w:sz="6" w:space="0" w:color="FFFFFF"/>
        <w:left w:val="single" w:sz="6" w:space="0" w:color="FFFFFF"/>
        <w:bottom w:val="single" w:sz="6" w:space="0" w:color="FFFFFF"/>
        <w:right w:val="single" w:sz="6" w:space="0" w:color="FFFFFF"/>
      </w:pBdr>
      <w:outlineLvl w:val="1"/>
    </w:pPr>
    <w:rPr>
      <w:b/>
      <w:bCs/>
      <w:sz w:val="36"/>
    </w:rPr>
  </w:style>
  <w:style w:type="paragraph" w:styleId="Heading3">
    <w:name w:val="heading 3"/>
    <w:basedOn w:val="Normal"/>
    <w:next w:val="Normal"/>
    <w:link w:val="Heading3Char"/>
    <w:qFormat/>
    <w:rsid w:val="002779F7"/>
    <w:pPr>
      <w:keepNext/>
      <w:tabs>
        <w:tab w:val="left" w:pos="-1057"/>
        <w:tab w:val="left" w:pos="-720"/>
        <w:tab w:val="left" w:pos="0"/>
        <w:tab w:val="left" w:pos="141"/>
        <w:tab w:val="left" w:pos="720"/>
        <w:tab w:val="left" w:pos="1440"/>
        <w:tab w:val="left" w:pos="2755"/>
        <w:tab w:val="left" w:pos="2880"/>
        <w:tab w:val="left" w:pos="3600"/>
        <w:tab w:val="left" w:pos="4320"/>
        <w:tab w:val="left" w:pos="5040"/>
        <w:tab w:val="left" w:pos="5760"/>
        <w:tab w:val="left" w:pos="6008"/>
        <w:tab w:val="left" w:pos="6480"/>
        <w:tab w:val="left" w:pos="7200"/>
        <w:tab w:val="left" w:pos="7920"/>
        <w:tab w:val="left" w:pos="8640"/>
      </w:tabs>
      <w:ind w:right="-756"/>
      <w:outlineLvl w:val="2"/>
    </w:pPr>
    <w:rPr>
      <w:sz w:val="24"/>
      <w:lang w:val="en-GB"/>
    </w:rPr>
  </w:style>
  <w:style w:type="paragraph" w:styleId="Heading4">
    <w:name w:val="heading 4"/>
    <w:basedOn w:val="Normal"/>
    <w:next w:val="Normal"/>
    <w:link w:val="Heading4Char"/>
    <w:uiPriority w:val="9"/>
    <w:qFormat/>
    <w:rsid w:val="002779F7"/>
    <w:pPr>
      <w:keepNext/>
      <w:outlineLvl w:val="3"/>
    </w:pPr>
    <w:rPr>
      <w:b/>
      <w:bCs/>
      <w:szCs w:val="20"/>
      <w:lang w:val="en-GB"/>
    </w:rPr>
  </w:style>
  <w:style w:type="paragraph" w:styleId="Heading5">
    <w:name w:val="heading 5"/>
    <w:basedOn w:val="Normal"/>
    <w:next w:val="Normal"/>
    <w:link w:val="Heading5Char"/>
    <w:uiPriority w:val="9"/>
    <w:qFormat/>
    <w:rsid w:val="002779F7"/>
    <w:pPr>
      <w:keepNext/>
      <w:jc w:val="both"/>
      <w:outlineLvl w:val="4"/>
    </w:pPr>
    <w:rPr>
      <w:b/>
      <w:i/>
      <w:iCs/>
      <w:sz w:val="22"/>
      <w:u w:val="single"/>
      <w:lang w:val="en-GB"/>
    </w:rPr>
  </w:style>
  <w:style w:type="paragraph" w:styleId="Heading6">
    <w:name w:val="heading 6"/>
    <w:basedOn w:val="Normal"/>
    <w:next w:val="Normal"/>
    <w:link w:val="Heading6Char"/>
    <w:uiPriority w:val="9"/>
    <w:qFormat/>
    <w:rsid w:val="002779F7"/>
    <w:pPr>
      <w:keepNext/>
      <w:outlineLvl w:val="5"/>
    </w:pPr>
    <w:rPr>
      <w:i/>
      <w:iCs/>
      <w:sz w:val="23"/>
      <w:szCs w:val="23"/>
      <w:lang w:val="en-GB"/>
    </w:rPr>
  </w:style>
  <w:style w:type="paragraph" w:styleId="Heading7">
    <w:name w:val="heading 7"/>
    <w:basedOn w:val="Normal"/>
    <w:next w:val="Normal"/>
    <w:link w:val="Heading7Char"/>
    <w:uiPriority w:val="9"/>
    <w:qFormat/>
    <w:rsid w:val="002779F7"/>
    <w:pPr>
      <w:keepNext/>
      <w:jc w:val="center"/>
      <w:outlineLvl w:val="6"/>
    </w:pPr>
    <w:rPr>
      <w:b/>
      <w:bCs/>
      <w:sz w:val="26"/>
      <w:szCs w:val="26"/>
      <w:lang w:val="en-GB"/>
    </w:rPr>
  </w:style>
  <w:style w:type="paragraph" w:styleId="Heading8">
    <w:name w:val="heading 8"/>
    <w:basedOn w:val="Normal"/>
    <w:next w:val="Normal"/>
    <w:link w:val="Heading8Char"/>
    <w:uiPriority w:val="9"/>
    <w:qFormat/>
    <w:rsid w:val="002779F7"/>
    <w:pPr>
      <w:keepNext/>
      <w:framePr w:hSpace="180" w:wrap="notBeside" w:hAnchor="margin" w:y="-401"/>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ind w:right="-108"/>
      <w:outlineLvl w:val="7"/>
    </w:pPr>
    <w:rPr>
      <w:rFonts w:cs="Arial"/>
      <w:sz w:val="24"/>
      <w:lang w:val="en-GB"/>
    </w:rPr>
  </w:style>
  <w:style w:type="paragraph" w:styleId="Heading9">
    <w:name w:val="heading 9"/>
    <w:basedOn w:val="Normal"/>
    <w:next w:val="Normal"/>
    <w:link w:val="Heading9Char"/>
    <w:uiPriority w:val="9"/>
    <w:qFormat/>
    <w:rsid w:val="002779F7"/>
    <w:pPr>
      <w:keepNext/>
      <w:framePr w:hSpace="180" w:wrap="notBeside" w:hAnchor="margin" w:y="-401"/>
      <w:tabs>
        <w:tab w:val="left" w:pos="-1057"/>
        <w:tab w:val="left" w:pos="-720"/>
        <w:tab w:val="left" w:pos="0"/>
        <w:tab w:val="left" w:pos="141"/>
        <w:tab w:val="left" w:pos="720"/>
        <w:tab w:val="left" w:pos="1440"/>
        <w:tab w:val="left" w:pos="2160"/>
        <w:tab w:val="left" w:pos="2880"/>
        <w:tab w:val="right" w:pos="5426"/>
      </w:tabs>
      <w:spacing w:line="300" w:lineRule="atLeast"/>
      <w:outlineLvl w:val="8"/>
    </w:pPr>
    <w:rPr>
      <w:rFonts w:cs="Arial"/>
      <w:b/>
      <w:bCs/>
      <w:sz w:val="32"/>
      <w:szCs w:val="3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B4403"/>
    <w:rPr>
      <w:rFonts w:ascii="Cambria" w:eastAsia="Times New Roman" w:hAnsi="Cambria" w:cs="Times New Roman"/>
      <w:b/>
      <w:bCs/>
      <w:kern w:val="32"/>
      <w:sz w:val="32"/>
      <w:szCs w:val="32"/>
      <w:lang w:val="en-US" w:eastAsia="en-US"/>
    </w:rPr>
  </w:style>
  <w:style w:type="character" w:customStyle="1" w:styleId="Heading2Char">
    <w:name w:val="Heading 2 Char"/>
    <w:link w:val="Heading2"/>
    <w:uiPriority w:val="9"/>
    <w:rsid w:val="00EB4403"/>
    <w:rPr>
      <w:rFonts w:ascii="Cambria" w:eastAsia="Times New Roman" w:hAnsi="Cambria" w:cs="Times New Roman"/>
      <w:b/>
      <w:bCs/>
      <w:i/>
      <w:iCs/>
      <w:sz w:val="28"/>
      <w:szCs w:val="28"/>
      <w:lang w:val="en-US" w:eastAsia="en-US"/>
    </w:rPr>
  </w:style>
  <w:style w:type="character" w:customStyle="1" w:styleId="Heading3Char">
    <w:name w:val="Heading 3 Char"/>
    <w:link w:val="Heading3"/>
    <w:uiPriority w:val="9"/>
    <w:rsid w:val="00EB4403"/>
    <w:rPr>
      <w:rFonts w:ascii="Cambria" w:eastAsia="Times New Roman" w:hAnsi="Cambria" w:cs="Times New Roman"/>
      <w:b/>
      <w:bCs/>
      <w:sz w:val="26"/>
      <w:szCs w:val="26"/>
      <w:lang w:val="en-US" w:eastAsia="en-US"/>
    </w:rPr>
  </w:style>
  <w:style w:type="character" w:customStyle="1" w:styleId="Heading4Char">
    <w:name w:val="Heading 4 Char"/>
    <w:link w:val="Heading4"/>
    <w:uiPriority w:val="9"/>
    <w:semiHidden/>
    <w:rsid w:val="00EB4403"/>
    <w:rPr>
      <w:rFonts w:ascii="Calibri" w:eastAsia="Times New Roman" w:hAnsi="Calibri" w:cs="Times New Roman"/>
      <w:b/>
      <w:bCs/>
      <w:sz w:val="28"/>
      <w:szCs w:val="28"/>
      <w:lang w:val="en-US" w:eastAsia="en-US"/>
    </w:rPr>
  </w:style>
  <w:style w:type="character" w:customStyle="1" w:styleId="Heading5Char">
    <w:name w:val="Heading 5 Char"/>
    <w:link w:val="Heading5"/>
    <w:uiPriority w:val="9"/>
    <w:semiHidden/>
    <w:rsid w:val="00EB4403"/>
    <w:rPr>
      <w:rFonts w:ascii="Calibri" w:eastAsia="Times New Roman" w:hAnsi="Calibri" w:cs="Times New Roman"/>
      <w:b/>
      <w:bCs/>
      <w:i/>
      <w:iCs/>
      <w:sz w:val="26"/>
      <w:szCs w:val="26"/>
      <w:lang w:val="en-US" w:eastAsia="en-US"/>
    </w:rPr>
  </w:style>
  <w:style w:type="character" w:customStyle="1" w:styleId="Heading6Char">
    <w:name w:val="Heading 6 Char"/>
    <w:link w:val="Heading6"/>
    <w:uiPriority w:val="9"/>
    <w:semiHidden/>
    <w:rsid w:val="00EB4403"/>
    <w:rPr>
      <w:rFonts w:ascii="Calibri" w:eastAsia="Times New Roman" w:hAnsi="Calibri" w:cs="Times New Roman"/>
      <w:b/>
      <w:bCs/>
      <w:lang w:val="en-US" w:eastAsia="en-US"/>
    </w:rPr>
  </w:style>
  <w:style w:type="character" w:customStyle="1" w:styleId="Heading7Char">
    <w:name w:val="Heading 7 Char"/>
    <w:link w:val="Heading7"/>
    <w:uiPriority w:val="9"/>
    <w:semiHidden/>
    <w:rsid w:val="00EB4403"/>
    <w:rPr>
      <w:rFonts w:ascii="Calibri" w:eastAsia="Times New Roman" w:hAnsi="Calibri" w:cs="Times New Roman"/>
      <w:sz w:val="24"/>
      <w:szCs w:val="24"/>
      <w:lang w:val="en-US" w:eastAsia="en-US"/>
    </w:rPr>
  </w:style>
  <w:style w:type="character" w:customStyle="1" w:styleId="Heading8Char">
    <w:name w:val="Heading 8 Char"/>
    <w:link w:val="Heading8"/>
    <w:uiPriority w:val="9"/>
    <w:semiHidden/>
    <w:rsid w:val="00EB4403"/>
    <w:rPr>
      <w:rFonts w:ascii="Calibri" w:eastAsia="Times New Roman" w:hAnsi="Calibri" w:cs="Times New Roman"/>
      <w:i/>
      <w:iCs/>
      <w:sz w:val="24"/>
      <w:szCs w:val="24"/>
      <w:lang w:val="en-US" w:eastAsia="en-US"/>
    </w:rPr>
  </w:style>
  <w:style w:type="character" w:customStyle="1" w:styleId="Heading9Char">
    <w:name w:val="Heading 9 Char"/>
    <w:link w:val="Heading9"/>
    <w:uiPriority w:val="9"/>
    <w:semiHidden/>
    <w:rsid w:val="00EB4403"/>
    <w:rPr>
      <w:rFonts w:ascii="Cambria" w:eastAsia="Times New Roman" w:hAnsi="Cambria" w:cs="Times New Roman"/>
      <w:lang w:val="en-US" w:eastAsia="en-US"/>
    </w:rPr>
  </w:style>
  <w:style w:type="character" w:styleId="FootnoteReference">
    <w:name w:val="footnote reference"/>
    <w:uiPriority w:val="99"/>
    <w:semiHidden/>
    <w:rsid w:val="002779F7"/>
    <w:rPr>
      <w:rFonts w:cs="Times New Roman"/>
    </w:rPr>
  </w:style>
  <w:style w:type="paragraph" w:customStyle="1" w:styleId="Level1">
    <w:name w:val="Level 1"/>
    <w:basedOn w:val="Normal"/>
    <w:uiPriority w:val="99"/>
    <w:rsid w:val="002779F7"/>
    <w:pPr>
      <w:numPr>
        <w:numId w:val="1"/>
      </w:numPr>
      <w:ind w:left="566" w:hanging="566"/>
      <w:outlineLvl w:val="0"/>
    </w:pPr>
  </w:style>
  <w:style w:type="paragraph" w:customStyle="1" w:styleId="Level2">
    <w:name w:val="Level 2"/>
    <w:basedOn w:val="Normal"/>
    <w:uiPriority w:val="99"/>
    <w:rsid w:val="002779F7"/>
    <w:pPr>
      <w:numPr>
        <w:ilvl w:val="1"/>
        <w:numId w:val="1"/>
      </w:numPr>
      <w:ind w:left="1132" w:hanging="566"/>
      <w:outlineLvl w:val="1"/>
    </w:pPr>
  </w:style>
  <w:style w:type="paragraph" w:customStyle="1" w:styleId="Level3">
    <w:name w:val="Level 3"/>
    <w:basedOn w:val="Normal"/>
    <w:uiPriority w:val="99"/>
    <w:rsid w:val="002779F7"/>
    <w:pPr>
      <w:numPr>
        <w:ilvl w:val="2"/>
        <w:numId w:val="1"/>
      </w:numPr>
      <w:ind w:left="1700" w:hanging="568"/>
      <w:outlineLvl w:val="2"/>
    </w:pPr>
  </w:style>
  <w:style w:type="paragraph" w:customStyle="1" w:styleId="1AutoList1">
    <w:name w:val="1AutoList1"/>
    <w:uiPriority w:val="99"/>
    <w:rsid w:val="002779F7"/>
    <w:pPr>
      <w:widowControl w:val="0"/>
      <w:tabs>
        <w:tab w:val="left" w:pos="720"/>
      </w:tabs>
      <w:autoSpaceDE w:val="0"/>
      <w:autoSpaceDN w:val="0"/>
      <w:adjustRightInd w:val="0"/>
      <w:ind w:left="720" w:hanging="720"/>
      <w:jc w:val="both"/>
    </w:pPr>
    <w:rPr>
      <w:sz w:val="24"/>
      <w:lang w:val="en-GB"/>
    </w:rPr>
  </w:style>
  <w:style w:type="paragraph" w:customStyle="1" w:styleId="Preformatted">
    <w:name w:val="Preformatted"/>
    <w:uiPriority w:val="99"/>
    <w:rsid w:val="002779F7"/>
    <w:pPr>
      <w:widowControl w:val="0"/>
      <w:tabs>
        <w:tab w:val="left" w:pos="0"/>
        <w:tab w:val="left" w:pos="960"/>
        <w:tab w:val="left" w:pos="1918"/>
        <w:tab w:val="left" w:pos="2877"/>
        <w:tab w:val="left" w:pos="3836"/>
        <w:tab w:val="left" w:pos="4795"/>
        <w:tab w:val="left" w:pos="5754"/>
        <w:tab w:val="left" w:pos="6714"/>
        <w:tab w:val="left" w:pos="7672"/>
        <w:tab w:val="left" w:pos="8631"/>
        <w:tab w:val="left" w:pos="9590"/>
      </w:tabs>
      <w:autoSpaceDE w:val="0"/>
      <w:autoSpaceDN w:val="0"/>
      <w:adjustRightInd w:val="0"/>
    </w:pPr>
    <w:rPr>
      <w:rFonts w:ascii="Courier New" w:hAnsi="Courier New" w:cs="Courier New"/>
    </w:rPr>
  </w:style>
  <w:style w:type="paragraph" w:customStyle="1" w:styleId="footnotetex">
    <w:name w:val="footnote tex"/>
    <w:uiPriority w:val="99"/>
    <w:rsid w:val="002779F7"/>
    <w:pPr>
      <w:widowControl w:val="0"/>
      <w:autoSpaceDE w:val="0"/>
      <w:autoSpaceDN w:val="0"/>
      <w:adjustRightInd w:val="0"/>
      <w:jc w:val="both"/>
    </w:pPr>
    <w:rPr>
      <w:lang w:val="de-DE"/>
    </w:rPr>
  </w:style>
  <w:style w:type="character" w:styleId="PageNumber">
    <w:name w:val="page number"/>
    <w:uiPriority w:val="99"/>
    <w:rsid w:val="002779F7"/>
    <w:rPr>
      <w:rFonts w:cs="Times New Roman"/>
    </w:rPr>
  </w:style>
  <w:style w:type="paragraph" w:styleId="Header">
    <w:name w:val="header"/>
    <w:basedOn w:val="Normal"/>
    <w:link w:val="HeaderChar"/>
    <w:uiPriority w:val="99"/>
    <w:rsid w:val="002779F7"/>
    <w:pPr>
      <w:tabs>
        <w:tab w:val="center" w:pos="4153"/>
        <w:tab w:val="right" w:pos="8306"/>
      </w:tabs>
    </w:pPr>
    <w:rPr>
      <w:szCs w:val="20"/>
      <w:lang w:val="en-GB"/>
    </w:rPr>
  </w:style>
  <w:style w:type="character" w:customStyle="1" w:styleId="HeaderChar">
    <w:name w:val="Header Char"/>
    <w:link w:val="Header"/>
    <w:uiPriority w:val="99"/>
    <w:locked/>
    <w:rsid w:val="003B0C35"/>
    <w:rPr>
      <w:lang w:eastAsia="en-US"/>
    </w:rPr>
  </w:style>
  <w:style w:type="paragraph" w:styleId="Footer">
    <w:name w:val="footer"/>
    <w:basedOn w:val="Normal"/>
    <w:link w:val="FooterChar"/>
    <w:uiPriority w:val="99"/>
    <w:rsid w:val="002779F7"/>
    <w:pPr>
      <w:tabs>
        <w:tab w:val="center" w:pos="4320"/>
        <w:tab w:val="right" w:pos="8640"/>
      </w:tabs>
    </w:pPr>
  </w:style>
  <w:style w:type="character" w:customStyle="1" w:styleId="FooterChar">
    <w:name w:val="Footer Char"/>
    <w:link w:val="Footer"/>
    <w:uiPriority w:val="99"/>
    <w:rsid w:val="00EB4403"/>
    <w:rPr>
      <w:sz w:val="20"/>
      <w:szCs w:val="24"/>
      <w:lang w:val="en-US" w:eastAsia="en-US"/>
    </w:rPr>
  </w:style>
  <w:style w:type="paragraph" w:styleId="BodyTextIndent">
    <w:name w:val="Body Text Indent"/>
    <w:basedOn w:val="Normal"/>
    <w:link w:val="BodyTextIndentChar"/>
    <w:uiPriority w:val="99"/>
    <w:rsid w:val="002779F7"/>
    <w:pPr>
      <w:ind w:left="720" w:hanging="720"/>
      <w:jc w:val="both"/>
    </w:pPr>
    <w:rPr>
      <w:sz w:val="22"/>
      <w:lang w:val="en-GB"/>
    </w:rPr>
  </w:style>
  <w:style w:type="character" w:customStyle="1" w:styleId="BodyTextIndentChar">
    <w:name w:val="Body Text Indent Char"/>
    <w:link w:val="BodyTextIndent"/>
    <w:uiPriority w:val="99"/>
    <w:semiHidden/>
    <w:rsid w:val="00EB4403"/>
    <w:rPr>
      <w:sz w:val="20"/>
      <w:szCs w:val="24"/>
      <w:lang w:val="en-US" w:eastAsia="en-US"/>
    </w:rPr>
  </w:style>
  <w:style w:type="paragraph" w:styleId="BodyText">
    <w:name w:val="Body Text"/>
    <w:basedOn w:val="Normal"/>
    <w:link w:val="BodyTextChar"/>
    <w:uiPriority w:val="99"/>
    <w:rsid w:val="002779F7"/>
    <w:pPr>
      <w:jc w:val="both"/>
    </w:pPr>
    <w:rPr>
      <w:sz w:val="22"/>
      <w:lang w:val="en-GB"/>
    </w:rPr>
  </w:style>
  <w:style w:type="character" w:customStyle="1" w:styleId="BodyTextChar">
    <w:name w:val="Body Text Char"/>
    <w:link w:val="BodyText"/>
    <w:uiPriority w:val="99"/>
    <w:semiHidden/>
    <w:rsid w:val="00EB4403"/>
    <w:rPr>
      <w:sz w:val="20"/>
      <w:szCs w:val="24"/>
      <w:lang w:val="en-US" w:eastAsia="en-US"/>
    </w:rPr>
  </w:style>
  <w:style w:type="character" w:styleId="Hyperlink">
    <w:name w:val="Hyperlink"/>
    <w:uiPriority w:val="99"/>
    <w:rsid w:val="002779F7"/>
    <w:rPr>
      <w:rFonts w:cs="Times New Roman"/>
      <w:color w:val="0000FF"/>
      <w:u w:val="single"/>
    </w:rPr>
  </w:style>
  <w:style w:type="paragraph" w:styleId="FootnoteText">
    <w:name w:val="footnote text"/>
    <w:basedOn w:val="Normal"/>
    <w:link w:val="FootnoteTextChar"/>
    <w:uiPriority w:val="99"/>
    <w:semiHidden/>
    <w:rsid w:val="002779F7"/>
    <w:rPr>
      <w:szCs w:val="20"/>
    </w:rPr>
  </w:style>
  <w:style w:type="character" w:customStyle="1" w:styleId="FootnoteTextChar">
    <w:name w:val="Footnote Text Char"/>
    <w:link w:val="FootnoteText"/>
    <w:uiPriority w:val="99"/>
    <w:semiHidden/>
    <w:rsid w:val="00EB4403"/>
    <w:rPr>
      <w:sz w:val="20"/>
      <w:szCs w:val="20"/>
      <w:lang w:val="en-US" w:eastAsia="en-US"/>
    </w:rPr>
  </w:style>
  <w:style w:type="paragraph" w:styleId="BodyText2">
    <w:name w:val="Body Text 2"/>
    <w:basedOn w:val="Normal"/>
    <w:link w:val="BodyText2Char"/>
    <w:uiPriority w:val="99"/>
    <w:rsid w:val="002779F7"/>
    <w:rPr>
      <w:sz w:val="22"/>
    </w:rPr>
  </w:style>
  <w:style w:type="character" w:customStyle="1" w:styleId="BodyText2Char">
    <w:name w:val="Body Text 2 Char"/>
    <w:link w:val="BodyText2"/>
    <w:uiPriority w:val="99"/>
    <w:semiHidden/>
    <w:rsid w:val="00EB4403"/>
    <w:rPr>
      <w:sz w:val="20"/>
      <w:szCs w:val="24"/>
      <w:lang w:val="en-US" w:eastAsia="en-US"/>
    </w:rPr>
  </w:style>
  <w:style w:type="paragraph" w:styleId="BalloonText">
    <w:name w:val="Balloon Text"/>
    <w:basedOn w:val="Normal"/>
    <w:link w:val="BalloonTextChar"/>
    <w:uiPriority w:val="99"/>
    <w:semiHidden/>
    <w:rsid w:val="002779F7"/>
    <w:rPr>
      <w:rFonts w:ascii="Tahoma" w:hAnsi="Tahoma" w:cs="Tahoma"/>
      <w:sz w:val="16"/>
      <w:szCs w:val="16"/>
    </w:rPr>
  </w:style>
  <w:style w:type="character" w:customStyle="1" w:styleId="BalloonTextChar">
    <w:name w:val="Balloon Text Char"/>
    <w:link w:val="BalloonText"/>
    <w:uiPriority w:val="99"/>
    <w:semiHidden/>
    <w:rsid w:val="00EB4403"/>
    <w:rPr>
      <w:sz w:val="0"/>
      <w:szCs w:val="0"/>
      <w:lang w:val="en-US" w:eastAsia="en-US"/>
    </w:rPr>
  </w:style>
  <w:style w:type="paragraph" w:styleId="BodyText3">
    <w:name w:val="Body Text 3"/>
    <w:basedOn w:val="Normal"/>
    <w:link w:val="BodyText3Char"/>
    <w:uiPriority w:val="99"/>
    <w:rsid w:val="002779F7"/>
    <w:pPr>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spacing w:line="232" w:lineRule="auto"/>
      <w:jc w:val="center"/>
    </w:pPr>
    <w:rPr>
      <w:b/>
      <w:bCs/>
      <w:sz w:val="24"/>
      <w:lang w:val="en-GB"/>
    </w:rPr>
  </w:style>
  <w:style w:type="character" w:customStyle="1" w:styleId="BodyText3Char">
    <w:name w:val="Body Text 3 Char"/>
    <w:link w:val="BodyText3"/>
    <w:uiPriority w:val="99"/>
    <w:semiHidden/>
    <w:rsid w:val="00EB4403"/>
    <w:rPr>
      <w:sz w:val="16"/>
      <w:szCs w:val="16"/>
      <w:lang w:val="en-US" w:eastAsia="en-US"/>
    </w:rPr>
  </w:style>
  <w:style w:type="paragraph" w:styleId="BlockText">
    <w:name w:val="Block Text"/>
    <w:basedOn w:val="Normal"/>
    <w:uiPriority w:val="99"/>
    <w:rsid w:val="002779F7"/>
    <w:pPr>
      <w:ind w:left="1418" w:right="283" w:hanging="709"/>
    </w:pPr>
    <w:rPr>
      <w:sz w:val="24"/>
      <w:szCs w:val="23"/>
    </w:rPr>
  </w:style>
  <w:style w:type="character" w:styleId="FollowedHyperlink">
    <w:name w:val="FollowedHyperlink"/>
    <w:uiPriority w:val="99"/>
    <w:rsid w:val="002779F7"/>
    <w:rPr>
      <w:rFonts w:cs="Times New Roman"/>
      <w:color w:val="800080"/>
      <w:u w:val="single"/>
    </w:rPr>
  </w:style>
  <w:style w:type="paragraph" w:styleId="Title">
    <w:name w:val="Title"/>
    <w:basedOn w:val="Normal"/>
    <w:link w:val="TitleChar"/>
    <w:uiPriority w:val="10"/>
    <w:qFormat/>
    <w:rsid w:val="002779F7"/>
    <w:pPr>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jc w:val="center"/>
    </w:pPr>
    <w:rPr>
      <w:rFonts w:cs="Arial"/>
      <w:b/>
      <w:bCs/>
      <w:sz w:val="32"/>
      <w:szCs w:val="22"/>
      <w:lang w:val="en-GB"/>
    </w:rPr>
  </w:style>
  <w:style w:type="character" w:customStyle="1" w:styleId="TitleChar">
    <w:name w:val="Title Char"/>
    <w:link w:val="Title"/>
    <w:uiPriority w:val="10"/>
    <w:rsid w:val="00EB4403"/>
    <w:rPr>
      <w:rFonts w:ascii="Cambria" w:eastAsia="Times New Roman" w:hAnsi="Cambria" w:cs="Times New Roman"/>
      <w:b/>
      <w:bCs/>
      <w:kern w:val="28"/>
      <w:sz w:val="32"/>
      <w:szCs w:val="32"/>
      <w:lang w:val="en-US" w:eastAsia="en-US"/>
    </w:rPr>
  </w:style>
  <w:style w:type="paragraph" w:customStyle="1" w:styleId="ColorfulList-Accent11">
    <w:name w:val="Colorful List - Accent 11"/>
    <w:basedOn w:val="Normal"/>
    <w:uiPriority w:val="99"/>
    <w:rsid w:val="001419C7"/>
    <w:pPr>
      <w:widowControl/>
      <w:autoSpaceDE/>
      <w:autoSpaceDN/>
      <w:adjustRightInd/>
      <w:ind w:left="720"/>
    </w:pPr>
    <w:rPr>
      <w:sz w:val="24"/>
      <w:lang w:val="es-UY"/>
    </w:rPr>
  </w:style>
  <w:style w:type="character" w:styleId="CommentReference">
    <w:name w:val="annotation reference"/>
    <w:uiPriority w:val="99"/>
    <w:semiHidden/>
    <w:rsid w:val="00DA1080"/>
    <w:rPr>
      <w:rFonts w:cs="Times New Roman"/>
      <w:sz w:val="18"/>
    </w:rPr>
  </w:style>
  <w:style w:type="paragraph" w:styleId="CommentText">
    <w:name w:val="annotation text"/>
    <w:basedOn w:val="Normal"/>
    <w:link w:val="CommentTextChar"/>
    <w:uiPriority w:val="99"/>
    <w:semiHidden/>
    <w:rsid w:val="00DA1080"/>
    <w:rPr>
      <w:sz w:val="24"/>
    </w:rPr>
  </w:style>
  <w:style w:type="character" w:customStyle="1" w:styleId="CommentTextChar">
    <w:name w:val="Comment Text Char"/>
    <w:link w:val="CommentText"/>
    <w:uiPriority w:val="99"/>
    <w:semiHidden/>
    <w:locked/>
    <w:rsid w:val="00DA1080"/>
    <w:rPr>
      <w:sz w:val="24"/>
      <w:lang w:val="en-US" w:eastAsia="en-US"/>
    </w:rPr>
  </w:style>
  <w:style w:type="paragraph" w:styleId="CommentSubject">
    <w:name w:val="annotation subject"/>
    <w:basedOn w:val="CommentText"/>
    <w:next w:val="CommentText"/>
    <w:link w:val="CommentSubjectChar"/>
    <w:uiPriority w:val="99"/>
    <w:semiHidden/>
    <w:rsid w:val="00DA1080"/>
    <w:rPr>
      <w:b/>
      <w:bCs/>
    </w:rPr>
  </w:style>
  <w:style w:type="character" w:customStyle="1" w:styleId="CommentSubjectChar">
    <w:name w:val="Comment Subject Char"/>
    <w:link w:val="CommentSubject"/>
    <w:uiPriority w:val="99"/>
    <w:semiHidden/>
    <w:locked/>
    <w:rsid w:val="00DA1080"/>
    <w:rPr>
      <w:b/>
      <w:sz w:val="24"/>
      <w:lang w:val="en-US" w:eastAsia="en-US"/>
    </w:rPr>
  </w:style>
  <w:style w:type="paragraph" w:styleId="ListParagraph">
    <w:name w:val="List Paragraph"/>
    <w:basedOn w:val="Normal"/>
    <w:uiPriority w:val="34"/>
    <w:qFormat/>
    <w:rsid w:val="00F81FEF"/>
    <w:pPr>
      <w:ind w:left="720"/>
      <w:contextualSpacing/>
    </w:pPr>
  </w:style>
  <w:style w:type="character" w:styleId="Emphasis">
    <w:name w:val="Emphasis"/>
    <w:uiPriority w:val="20"/>
    <w:qFormat/>
    <w:rsid w:val="00F81FEF"/>
    <w:rPr>
      <w:rFonts w:cs="Times New Roman"/>
      <w:i/>
      <w:iCs/>
    </w:rPr>
  </w:style>
  <w:style w:type="paragraph" w:customStyle="1" w:styleId="Default">
    <w:name w:val="Default"/>
    <w:basedOn w:val="Normal"/>
    <w:rsid w:val="00CC57AD"/>
    <w:pPr>
      <w:widowControl/>
      <w:adjustRightInd/>
    </w:pPr>
    <w:rPr>
      <w:color w:val="000000"/>
      <w:sz w:val="24"/>
      <w:lang w:val="en-GB" w:eastAsia="en-GB"/>
    </w:rPr>
  </w:style>
  <w:style w:type="numbering" w:customStyle="1" w:styleId="NoList1">
    <w:name w:val="No List1"/>
    <w:next w:val="NoList"/>
    <w:uiPriority w:val="99"/>
    <w:semiHidden/>
    <w:unhideWhenUsed/>
    <w:rsid w:val="00C96521"/>
  </w:style>
  <w:style w:type="paragraph" w:customStyle="1" w:styleId="TDTitle">
    <w:name w:val="TD Title"/>
    <w:basedOn w:val="Normal"/>
    <w:link w:val="TDTitleChar"/>
    <w:rsid w:val="00C96521"/>
    <w:pPr>
      <w:widowControl/>
      <w:autoSpaceDE/>
      <w:autoSpaceDN/>
      <w:jc w:val="center"/>
    </w:pPr>
    <w:rPr>
      <w:rFonts w:cs="Arial"/>
      <w:b/>
      <w:bCs/>
      <w:spacing w:val="-3"/>
      <w:sz w:val="28"/>
      <w:szCs w:val="28"/>
      <w:lang w:val="en-GB" w:eastAsia="ja-JP"/>
    </w:rPr>
  </w:style>
  <w:style w:type="paragraph" w:customStyle="1" w:styleId="TDNormal">
    <w:name w:val="TD Normal"/>
    <w:basedOn w:val="Normal"/>
    <w:link w:val="TDNormalChar"/>
    <w:rsid w:val="00C96521"/>
    <w:pPr>
      <w:widowControl/>
      <w:autoSpaceDE/>
      <w:autoSpaceDN/>
    </w:pPr>
    <w:rPr>
      <w:rFonts w:cs="Arial"/>
      <w:sz w:val="20"/>
      <w:szCs w:val="20"/>
      <w:lang w:val="en-GB" w:eastAsia="ja-JP"/>
    </w:rPr>
  </w:style>
  <w:style w:type="character" w:customStyle="1" w:styleId="TDTitleChar">
    <w:name w:val="TD Title Char"/>
    <w:basedOn w:val="DefaultParagraphFont"/>
    <w:link w:val="TDTitle"/>
    <w:rsid w:val="00C96521"/>
    <w:rPr>
      <w:rFonts w:cs="Arial"/>
      <w:b/>
      <w:bCs/>
      <w:spacing w:val="-3"/>
      <w:sz w:val="28"/>
      <w:szCs w:val="28"/>
      <w:lang w:val="en-GB" w:eastAsia="ja-JP"/>
    </w:rPr>
  </w:style>
  <w:style w:type="paragraph" w:customStyle="1" w:styleId="TDSmall">
    <w:name w:val="TD Small"/>
    <w:basedOn w:val="Normal"/>
    <w:link w:val="TDSmallChar"/>
    <w:rsid w:val="00C96521"/>
    <w:pPr>
      <w:widowControl/>
      <w:autoSpaceDE/>
      <w:autoSpaceDN/>
    </w:pPr>
    <w:rPr>
      <w:rFonts w:cs="Arial"/>
      <w:sz w:val="16"/>
      <w:szCs w:val="16"/>
      <w:lang w:val="en-GB" w:eastAsia="ja-JP"/>
    </w:rPr>
  </w:style>
  <w:style w:type="character" w:customStyle="1" w:styleId="TDNormalChar">
    <w:name w:val="TD Normal Char"/>
    <w:basedOn w:val="DefaultParagraphFont"/>
    <w:link w:val="TDNormal"/>
    <w:rsid w:val="00C96521"/>
    <w:rPr>
      <w:rFonts w:cs="Arial"/>
      <w:sz w:val="20"/>
      <w:szCs w:val="20"/>
      <w:lang w:val="en-GB" w:eastAsia="ja-JP"/>
    </w:rPr>
  </w:style>
  <w:style w:type="paragraph" w:customStyle="1" w:styleId="TDHeading">
    <w:name w:val="TD Heading"/>
    <w:basedOn w:val="TDNormal"/>
    <w:link w:val="TDHeadingChar"/>
    <w:rsid w:val="00C96521"/>
    <w:pPr>
      <w:numPr>
        <w:numId w:val="11"/>
      </w:numPr>
    </w:pPr>
    <w:rPr>
      <w:b/>
      <w:bCs/>
      <w:sz w:val="24"/>
    </w:rPr>
  </w:style>
  <w:style w:type="character" w:customStyle="1" w:styleId="TDSmallChar">
    <w:name w:val="TD Small Char"/>
    <w:basedOn w:val="DefaultParagraphFont"/>
    <w:link w:val="TDSmall"/>
    <w:rsid w:val="00C96521"/>
    <w:rPr>
      <w:rFonts w:cs="Arial"/>
      <w:sz w:val="16"/>
      <w:szCs w:val="16"/>
      <w:lang w:val="en-GB" w:eastAsia="ja-JP"/>
    </w:rPr>
  </w:style>
  <w:style w:type="character" w:customStyle="1" w:styleId="TDHeadingChar">
    <w:name w:val="TD Heading Char"/>
    <w:basedOn w:val="TDNormalChar"/>
    <w:link w:val="TDHeading"/>
    <w:rsid w:val="00C96521"/>
    <w:rPr>
      <w:rFonts w:cs="Arial"/>
      <w:b/>
      <w:bCs/>
      <w:sz w:val="24"/>
      <w:szCs w:val="20"/>
      <w:lang w:val="en-GB" w:eastAsia="ja-JP"/>
    </w:rPr>
  </w:style>
  <w:style w:type="paragraph" w:styleId="TOCHeading">
    <w:name w:val="TOC Heading"/>
    <w:basedOn w:val="Heading1"/>
    <w:next w:val="Normal"/>
    <w:uiPriority w:val="39"/>
    <w:unhideWhenUsed/>
    <w:qFormat/>
    <w:rsid w:val="00C96521"/>
    <w:pPr>
      <w:keepLines/>
      <w:widowControl/>
      <w:tabs>
        <w:tab w:val="clear" w:pos="-1057"/>
        <w:tab w:val="clear" w:pos="-720"/>
        <w:tab w:val="clear" w:pos="0"/>
        <w:tab w:val="clear" w:pos="141"/>
        <w:tab w:val="clear" w:pos="720"/>
        <w:tab w:val="clear" w:pos="1440"/>
        <w:tab w:val="clear" w:pos="2160"/>
        <w:tab w:val="clear" w:pos="2880"/>
        <w:tab w:val="clear" w:pos="3600"/>
        <w:tab w:val="clear" w:pos="4320"/>
        <w:tab w:val="clear" w:pos="5040"/>
        <w:tab w:val="clear" w:pos="5760"/>
        <w:tab w:val="clear" w:pos="6008"/>
        <w:tab w:val="clear" w:pos="6480"/>
        <w:tab w:val="clear" w:pos="7200"/>
        <w:tab w:val="clear" w:pos="7920"/>
        <w:tab w:val="clear" w:pos="8640"/>
      </w:tabs>
      <w:autoSpaceDE/>
      <w:autoSpaceDN/>
      <w:adjustRightInd/>
      <w:spacing w:before="480" w:line="276" w:lineRule="auto"/>
      <w:outlineLvl w:val="9"/>
    </w:pPr>
    <w:rPr>
      <w:rFonts w:eastAsia="MS Gothic"/>
      <w:color w:val="365F91"/>
      <w:sz w:val="32"/>
      <w:szCs w:val="28"/>
      <w:lang w:eastAsia="ja-JP"/>
    </w:rPr>
  </w:style>
  <w:style w:type="paragraph" w:styleId="TOC2">
    <w:name w:val="toc 2"/>
    <w:basedOn w:val="Normal"/>
    <w:next w:val="Normal"/>
    <w:autoRedefine/>
    <w:uiPriority w:val="39"/>
    <w:unhideWhenUsed/>
    <w:locked/>
    <w:rsid w:val="00C96521"/>
    <w:pPr>
      <w:widowControl/>
      <w:autoSpaceDE/>
      <w:autoSpaceDN/>
      <w:adjustRightInd/>
      <w:spacing w:after="100" w:line="276" w:lineRule="auto"/>
      <w:ind w:left="220"/>
    </w:pPr>
    <w:rPr>
      <w:rFonts w:eastAsia="MS Mincho"/>
      <w:sz w:val="20"/>
      <w:szCs w:val="22"/>
      <w:lang w:val="en-GB" w:eastAsia="ja-JP"/>
    </w:rPr>
  </w:style>
  <w:style w:type="paragraph" w:styleId="TOC1">
    <w:name w:val="toc 1"/>
    <w:basedOn w:val="Normal"/>
    <w:next w:val="Normal"/>
    <w:autoRedefine/>
    <w:uiPriority w:val="39"/>
    <w:unhideWhenUsed/>
    <w:locked/>
    <w:rsid w:val="00C96521"/>
    <w:pPr>
      <w:widowControl/>
      <w:autoSpaceDE/>
      <w:autoSpaceDN/>
      <w:adjustRightInd/>
      <w:spacing w:after="100" w:line="276" w:lineRule="auto"/>
    </w:pPr>
    <w:rPr>
      <w:rFonts w:eastAsia="MS Mincho"/>
      <w:b/>
      <w:sz w:val="20"/>
      <w:szCs w:val="22"/>
      <w:lang w:val="en-GB" w:eastAsia="ja-JP"/>
    </w:rPr>
  </w:style>
  <w:style w:type="paragraph" w:styleId="TOC3">
    <w:name w:val="toc 3"/>
    <w:basedOn w:val="Normal"/>
    <w:next w:val="Normal"/>
    <w:autoRedefine/>
    <w:uiPriority w:val="39"/>
    <w:unhideWhenUsed/>
    <w:locked/>
    <w:rsid w:val="00C96521"/>
    <w:pPr>
      <w:widowControl/>
      <w:tabs>
        <w:tab w:val="right" w:leader="dot" w:pos="9310"/>
        <w:tab w:val="left" w:pos="9356"/>
      </w:tabs>
      <w:autoSpaceDE/>
      <w:autoSpaceDN/>
      <w:adjustRightInd/>
      <w:spacing w:after="100" w:line="276" w:lineRule="auto"/>
      <w:ind w:left="442"/>
    </w:pPr>
    <w:rPr>
      <w:rFonts w:eastAsia="MS Mincho"/>
      <w:sz w:val="20"/>
      <w:szCs w:val="22"/>
      <w:lang w:val="en-GB" w:eastAsia="ja-JP"/>
    </w:rPr>
  </w:style>
  <w:style w:type="paragraph" w:customStyle="1" w:styleId="Subtitle1">
    <w:name w:val="Subtitle1"/>
    <w:basedOn w:val="Normal"/>
    <w:next w:val="Normal"/>
    <w:uiPriority w:val="11"/>
    <w:qFormat/>
    <w:rsid w:val="00C96521"/>
    <w:pPr>
      <w:widowControl/>
      <w:numPr>
        <w:ilvl w:val="1"/>
      </w:numPr>
      <w:autoSpaceDE/>
      <w:autoSpaceDN/>
      <w:adjustRightInd/>
      <w:spacing w:line="276" w:lineRule="auto"/>
    </w:pPr>
    <w:rPr>
      <w:rFonts w:eastAsia="MS Gothic"/>
      <w:i/>
      <w:iCs/>
      <w:color w:val="4F81BD"/>
      <w:spacing w:val="15"/>
      <w:sz w:val="24"/>
      <w:lang w:val="en-GB" w:eastAsia="ja-JP"/>
    </w:rPr>
  </w:style>
  <w:style w:type="character" w:customStyle="1" w:styleId="SubtitleChar">
    <w:name w:val="Subtitle Char"/>
    <w:basedOn w:val="DefaultParagraphFont"/>
    <w:link w:val="Subtitle"/>
    <w:uiPriority w:val="11"/>
    <w:rsid w:val="00C96521"/>
    <w:rPr>
      <w:rFonts w:ascii="Arial" w:eastAsia="MS Gothic" w:hAnsi="Arial" w:cs="Times New Roman"/>
      <w:i/>
      <w:iCs/>
      <w:color w:val="4F81BD"/>
      <w:spacing w:val="15"/>
      <w:sz w:val="24"/>
      <w:szCs w:val="24"/>
      <w:lang w:val="en-GB"/>
    </w:rPr>
  </w:style>
  <w:style w:type="character" w:styleId="Strong">
    <w:name w:val="Strong"/>
    <w:uiPriority w:val="22"/>
    <w:qFormat/>
    <w:locked/>
    <w:rsid w:val="00C96521"/>
    <w:rPr>
      <w:b/>
      <w:bCs/>
    </w:rPr>
  </w:style>
  <w:style w:type="paragraph" w:styleId="NoSpacing">
    <w:name w:val="No Spacing"/>
    <w:basedOn w:val="Normal"/>
    <w:uiPriority w:val="1"/>
    <w:qFormat/>
    <w:rsid w:val="00C96521"/>
    <w:pPr>
      <w:widowControl/>
      <w:autoSpaceDE/>
      <w:autoSpaceDN/>
      <w:adjustRightInd/>
    </w:pPr>
    <w:rPr>
      <w:rFonts w:eastAsia="MS Mincho"/>
      <w:sz w:val="20"/>
      <w:szCs w:val="22"/>
      <w:lang w:val="en-GB" w:eastAsia="ja-JP"/>
    </w:rPr>
  </w:style>
  <w:style w:type="paragraph" w:customStyle="1" w:styleId="Quote1">
    <w:name w:val="Quote1"/>
    <w:basedOn w:val="Normal"/>
    <w:next w:val="Normal"/>
    <w:uiPriority w:val="29"/>
    <w:qFormat/>
    <w:rsid w:val="00C96521"/>
    <w:pPr>
      <w:widowControl/>
      <w:autoSpaceDE/>
      <w:autoSpaceDN/>
      <w:adjustRightInd/>
      <w:spacing w:line="276" w:lineRule="auto"/>
    </w:pPr>
    <w:rPr>
      <w:rFonts w:eastAsia="MS Mincho"/>
      <w:i/>
      <w:iCs/>
      <w:color w:val="000000"/>
      <w:sz w:val="20"/>
      <w:szCs w:val="22"/>
      <w:lang w:val="en-GB" w:eastAsia="ja-JP"/>
    </w:rPr>
  </w:style>
  <w:style w:type="character" w:customStyle="1" w:styleId="QuoteChar">
    <w:name w:val="Quote Char"/>
    <w:basedOn w:val="DefaultParagraphFont"/>
    <w:link w:val="Quote"/>
    <w:uiPriority w:val="29"/>
    <w:rsid w:val="00C96521"/>
    <w:rPr>
      <w:i/>
      <w:iCs/>
      <w:color w:val="000000"/>
      <w:lang w:val="en-GB"/>
    </w:rPr>
  </w:style>
  <w:style w:type="paragraph" w:customStyle="1" w:styleId="IntenseQuote1">
    <w:name w:val="Intense Quote1"/>
    <w:basedOn w:val="Normal"/>
    <w:next w:val="Normal"/>
    <w:uiPriority w:val="30"/>
    <w:qFormat/>
    <w:rsid w:val="00C96521"/>
    <w:pPr>
      <w:widowControl/>
      <w:pBdr>
        <w:bottom w:val="single" w:sz="4" w:space="4" w:color="4F81BD"/>
      </w:pBdr>
      <w:autoSpaceDE/>
      <w:autoSpaceDN/>
      <w:adjustRightInd/>
      <w:spacing w:before="200" w:after="280" w:line="276" w:lineRule="auto"/>
      <w:ind w:left="936" w:right="936"/>
    </w:pPr>
    <w:rPr>
      <w:rFonts w:eastAsia="MS Mincho"/>
      <w:b/>
      <w:bCs/>
      <w:i/>
      <w:iCs/>
      <w:color w:val="4F81BD"/>
      <w:sz w:val="20"/>
      <w:szCs w:val="22"/>
      <w:lang w:val="en-GB" w:eastAsia="ja-JP"/>
    </w:rPr>
  </w:style>
  <w:style w:type="character" w:customStyle="1" w:styleId="IntenseQuoteChar">
    <w:name w:val="Intense Quote Char"/>
    <w:basedOn w:val="DefaultParagraphFont"/>
    <w:link w:val="IntenseQuote"/>
    <w:uiPriority w:val="30"/>
    <w:rsid w:val="00C96521"/>
    <w:rPr>
      <w:b/>
      <w:bCs/>
      <w:i/>
      <w:iCs/>
      <w:color w:val="4F81BD"/>
      <w:lang w:val="en-GB"/>
    </w:rPr>
  </w:style>
  <w:style w:type="character" w:customStyle="1" w:styleId="SubtleEmphasis1">
    <w:name w:val="Subtle Emphasis1"/>
    <w:uiPriority w:val="19"/>
    <w:qFormat/>
    <w:rsid w:val="00C96521"/>
    <w:rPr>
      <w:i/>
      <w:iCs/>
      <w:color w:val="808080"/>
    </w:rPr>
  </w:style>
  <w:style w:type="character" w:customStyle="1" w:styleId="IntenseEmphasis1">
    <w:name w:val="Intense Emphasis1"/>
    <w:uiPriority w:val="21"/>
    <w:qFormat/>
    <w:rsid w:val="00C96521"/>
    <w:rPr>
      <w:b/>
      <w:bCs/>
      <w:i/>
      <w:iCs/>
      <w:color w:val="4F81BD"/>
    </w:rPr>
  </w:style>
  <w:style w:type="character" w:customStyle="1" w:styleId="SubtleReference1">
    <w:name w:val="Subtle Reference1"/>
    <w:basedOn w:val="DefaultParagraphFont"/>
    <w:uiPriority w:val="31"/>
    <w:qFormat/>
    <w:rsid w:val="00C96521"/>
    <w:rPr>
      <w:smallCaps/>
      <w:color w:val="C0504D"/>
      <w:u w:val="single"/>
    </w:rPr>
  </w:style>
  <w:style w:type="character" w:customStyle="1" w:styleId="IntenseReference1">
    <w:name w:val="Intense Reference1"/>
    <w:uiPriority w:val="32"/>
    <w:qFormat/>
    <w:rsid w:val="00C96521"/>
    <w:rPr>
      <w:b/>
      <w:bCs/>
      <w:smallCaps/>
      <w:color w:val="C0504D"/>
      <w:spacing w:val="5"/>
      <w:u w:val="single"/>
    </w:rPr>
  </w:style>
  <w:style w:type="character" w:styleId="BookTitle">
    <w:name w:val="Book Title"/>
    <w:basedOn w:val="DefaultParagraphFont"/>
    <w:uiPriority w:val="33"/>
    <w:qFormat/>
    <w:rsid w:val="00C96521"/>
    <w:rPr>
      <w:b/>
      <w:bCs/>
      <w:smallCaps/>
      <w:spacing w:val="5"/>
    </w:rPr>
  </w:style>
  <w:style w:type="table" w:styleId="TableGrid">
    <w:name w:val="Table Grid"/>
    <w:basedOn w:val="TableNormal"/>
    <w:uiPriority w:val="59"/>
    <w:locked/>
    <w:rsid w:val="00C96521"/>
    <w:rPr>
      <w:rFonts w:ascii="Calibri" w:eastAsia="MS Mincho" w:hAnsi="Calibr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C96521"/>
    <w:pPr>
      <w:widowControl/>
      <w:autoSpaceDE/>
      <w:autoSpaceDN/>
      <w:adjustRightInd/>
      <w:spacing w:before="100" w:beforeAutospacing="1" w:after="100" w:afterAutospacing="1"/>
    </w:pPr>
    <w:rPr>
      <w:rFonts w:ascii="Times New Roman" w:hAnsi="Times New Roman"/>
      <w:sz w:val="24"/>
      <w:lang w:val="en-GB" w:eastAsia="ja-JP"/>
    </w:rPr>
  </w:style>
  <w:style w:type="character" w:customStyle="1" w:styleId="apple-converted-space">
    <w:name w:val="apple-converted-space"/>
    <w:basedOn w:val="DefaultParagraphFont"/>
    <w:rsid w:val="00C96521"/>
  </w:style>
  <w:style w:type="character" w:customStyle="1" w:styleId="personname">
    <w:name w:val="person_name"/>
    <w:basedOn w:val="DefaultParagraphFont"/>
    <w:rsid w:val="00C96521"/>
  </w:style>
  <w:style w:type="paragraph" w:styleId="Revision">
    <w:name w:val="Revision"/>
    <w:hidden/>
    <w:uiPriority w:val="99"/>
    <w:semiHidden/>
    <w:rsid w:val="00C96521"/>
    <w:rPr>
      <w:rFonts w:eastAsia="MS Mincho"/>
      <w:sz w:val="20"/>
      <w:szCs w:val="22"/>
      <w:lang w:val="en-GB" w:eastAsia="ja-JP"/>
    </w:rPr>
  </w:style>
  <w:style w:type="character" w:customStyle="1" w:styleId="st">
    <w:name w:val="st"/>
    <w:basedOn w:val="DefaultParagraphFont"/>
    <w:rsid w:val="00C96521"/>
  </w:style>
  <w:style w:type="paragraph" w:styleId="EndnoteText">
    <w:name w:val="endnote text"/>
    <w:basedOn w:val="Normal"/>
    <w:link w:val="EndnoteTextChar"/>
    <w:uiPriority w:val="99"/>
    <w:semiHidden/>
    <w:unhideWhenUsed/>
    <w:rsid w:val="00C96521"/>
    <w:pPr>
      <w:widowControl/>
      <w:autoSpaceDE/>
      <w:autoSpaceDN/>
      <w:adjustRightInd/>
    </w:pPr>
    <w:rPr>
      <w:rFonts w:eastAsia="MS Mincho"/>
      <w:sz w:val="20"/>
      <w:szCs w:val="20"/>
      <w:lang w:val="en-GB" w:eastAsia="ja-JP"/>
    </w:rPr>
  </w:style>
  <w:style w:type="character" w:customStyle="1" w:styleId="EndnoteTextChar">
    <w:name w:val="Endnote Text Char"/>
    <w:basedOn w:val="DefaultParagraphFont"/>
    <w:link w:val="EndnoteText"/>
    <w:uiPriority w:val="99"/>
    <w:semiHidden/>
    <w:rsid w:val="00C96521"/>
    <w:rPr>
      <w:rFonts w:eastAsia="MS Mincho"/>
      <w:sz w:val="20"/>
      <w:szCs w:val="20"/>
      <w:lang w:val="en-GB" w:eastAsia="ja-JP"/>
    </w:rPr>
  </w:style>
  <w:style w:type="character" w:styleId="EndnoteReference">
    <w:name w:val="endnote reference"/>
    <w:basedOn w:val="DefaultParagraphFont"/>
    <w:uiPriority w:val="99"/>
    <w:semiHidden/>
    <w:unhideWhenUsed/>
    <w:rsid w:val="00C96521"/>
    <w:rPr>
      <w:vertAlign w:val="superscript"/>
    </w:rPr>
  </w:style>
  <w:style w:type="paragraph" w:customStyle="1" w:styleId="xmsolistparagraph">
    <w:name w:val="x_msolistparagraph"/>
    <w:basedOn w:val="Normal"/>
    <w:rsid w:val="00C96521"/>
    <w:pPr>
      <w:widowControl/>
      <w:autoSpaceDE/>
      <w:autoSpaceDN/>
      <w:adjustRightInd/>
      <w:spacing w:before="100" w:beforeAutospacing="1" w:after="100" w:afterAutospacing="1"/>
    </w:pPr>
    <w:rPr>
      <w:rFonts w:ascii="Times New Roman" w:hAnsi="Times New Roman"/>
      <w:sz w:val="24"/>
      <w:lang w:val="en-GB" w:eastAsia="ja-JP"/>
    </w:rPr>
  </w:style>
  <w:style w:type="paragraph" w:customStyle="1" w:styleId="Defra12ptBoldParagraph">
    <w:name w:val="Defra 12pt Bold Paragraph"/>
    <w:basedOn w:val="Normal"/>
    <w:rsid w:val="00C96521"/>
    <w:pPr>
      <w:autoSpaceDE/>
      <w:autoSpaceDN/>
      <w:adjustRightInd/>
      <w:spacing w:after="120" w:line="280" w:lineRule="exact"/>
    </w:pPr>
    <w:rPr>
      <w:b/>
      <w:sz w:val="24"/>
      <w:lang w:val="en-GB"/>
    </w:rPr>
  </w:style>
  <w:style w:type="paragraph" w:customStyle="1" w:styleId="xmsonormal">
    <w:name w:val="x_msonormal"/>
    <w:basedOn w:val="Normal"/>
    <w:rsid w:val="00C96521"/>
    <w:pPr>
      <w:widowControl/>
      <w:autoSpaceDE/>
      <w:autoSpaceDN/>
      <w:adjustRightInd/>
      <w:spacing w:before="100" w:beforeAutospacing="1" w:after="100" w:afterAutospacing="1"/>
    </w:pPr>
    <w:rPr>
      <w:rFonts w:ascii="Times New Roman" w:hAnsi="Times New Roman"/>
      <w:sz w:val="24"/>
      <w:lang w:val="en-GB" w:eastAsia="ja-JP"/>
    </w:rPr>
  </w:style>
  <w:style w:type="character" w:customStyle="1" w:styleId="views-labelviews-label-field-journal-last-page">
    <w:name w:val="views-label views-label-field-journal-last-page"/>
    <w:basedOn w:val="DefaultParagraphFont"/>
    <w:rsid w:val="00C96521"/>
  </w:style>
  <w:style w:type="character" w:customStyle="1" w:styleId="field-content">
    <w:name w:val="field-content"/>
    <w:basedOn w:val="DefaultParagraphFont"/>
    <w:rsid w:val="00C96521"/>
  </w:style>
  <w:style w:type="character" w:customStyle="1" w:styleId="contextualextensionhighlight">
    <w:name w:val="contextualextensionhighlight"/>
    <w:basedOn w:val="DefaultParagraphFont"/>
    <w:rsid w:val="00C96521"/>
  </w:style>
  <w:style w:type="paragraph" w:styleId="Subtitle">
    <w:name w:val="Subtitle"/>
    <w:basedOn w:val="Normal"/>
    <w:next w:val="Normal"/>
    <w:link w:val="SubtitleChar"/>
    <w:uiPriority w:val="11"/>
    <w:qFormat/>
    <w:locked/>
    <w:rsid w:val="00C96521"/>
    <w:pPr>
      <w:numPr>
        <w:ilvl w:val="1"/>
      </w:numPr>
      <w:spacing w:after="160"/>
    </w:pPr>
    <w:rPr>
      <w:rFonts w:eastAsia="MS Gothic"/>
      <w:i/>
      <w:iCs/>
      <w:color w:val="4F81BD"/>
      <w:spacing w:val="15"/>
      <w:sz w:val="24"/>
      <w:lang w:val="en-GB"/>
    </w:rPr>
  </w:style>
  <w:style w:type="character" w:customStyle="1" w:styleId="SubtitleChar1">
    <w:name w:val="Subtitle Char1"/>
    <w:basedOn w:val="DefaultParagraphFont"/>
    <w:rsid w:val="00C96521"/>
    <w:rPr>
      <w:rFonts w:asciiTheme="minorHAnsi" w:eastAsiaTheme="minorEastAsia" w:hAnsiTheme="minorHAnsi" w:cstheme="minorBidi"/>
      <w:color w:val="5A5A5A" w:themeColor="text1" w:themeTint="A5"/>
      <w:spacing w:val="15"/>
      <w:sz w:val="22"/>
      <w:szCs w:val="22"/>
    </w:rPr>
  </w:style>
  <w:style w:type="paragraph" w:styleId="Quote">
    <w:name w:val="Quote"/>
    <w:basedOn w:val="Normal"/>
    <w:next w:val="Normal"/>
    <w:link w:val="QuoteChar"/>
    <w:uiPriority w:val="29"/>
    <w:qFormat/>
    <w:rsid w:val="00C96521"/>
    <w:pPr>
      <w:spacing w:before="200" w:after="160"/>
      <w:ind w:left="864" w:right="864"/>
      <w:jc w:val="center"/>
    </w:pPr>
    <w:rPr>
      <w:i/>
      <w:iCs/>
      <w:color w:val="000000"/>
      <w:lang w:val="en-GB"/>
    </w:rPr>
  </w:style>
  <w:style w:type="character" w:customStyle="1" w:styleId="QuoteChar1">
    <w:name w:val="Quote Char1"/>
    <w:basedOn w:val="DefaultParagraphFont"/>
    <w:uiPriority w:val="29"/>
    <w:rsid w:val="00C96521"/>
    <w:rPr>
      <w:i/>
      <w:iCs/>
      <w:color w:val="404040" w:themeColor="text1" w:themeTint="BF"/>
    </w:rPr>
  </w:style>
  <w:style w:type="paragraph" w:styleId="IntenseQuote">
    <w:name w:val="Intense Quote"/>
    <w:basedOn w:val="Normal"/>
    <w:next w:val="Normal"/>
    <w:link w:val="IntenseQuoteChar"/>
    <w:uiPriority w:val="30"/>
    <w:qFormat/>
    <w:rsid w:val="00C96521"/>
    <w:pPr>
      <w:pBdr>
        <w:top w:val="single" w:sz="4" w:space="10" w:color="5B9BD5" w:themeColor="accent1"/>
        <w:bottom w:val="single" w:sz="4" w:space="10" w:color="5B9BD5" w:themeColor="accent1"/>
      </w:pBdr>
      <w:spacing w:before="360" w:after="360"/>
      <w:ind w:left="864" w:right="864"/>
      <w:jc w:val="center"/>
    </w:pPr>
    <w:rPr>
      <w:b/>
      <w:bCs/>
      <w:i/>
      <w:iCs/>
      <w:color w:val="4F81BD"/>
      <w:lang w:val="en-GB"/>
    </w:rPr>
  </w:style>
  <w:style w:type="character" w:customStyle="1" w:styleId="IntenseQuoteChar1">
    <w:name w:val="Intense Quote Char1"/>
    <w:basedOn w:val="DefaultParagraphFont"/>
    <w:uiPriority w:val="30"/>
    <w:rsid w:val="00C96521"/>
    <w:rPr>
      <w:i/>
      <w:iCs/>
      <w:color w:val="5B9BD5" w:themeColor="accent1"/>
    </w:rPr>
  </w:style>
  <w:style w:type="character" w:styleId="SubtleEmphasis">
    <w:name w:val="Subtle Emphasis"/>
    <w:basedOn w:val="DefaultParagraphFont"/>
    <w:uiPriority w:val="19"/>
    <w:qFormat/>
    <w:rsid w:val="00C96521"/>
    <w:rPr>
      <w:i/>
      <w:iCs/>
      <w:color w:val="404040" w:themeColor="text1" w:themeTint="BF"/>
    </w:rPr>
  </w:style>
  <w:style w:type="character" w:styleId="IntenseEmphasis">
    <w:name w:val="Intense Emphasis"/>
    <w:basedOn w:val="DefaultParagraphFont"/>
    <w:uiPriority w:val="21"/>
    <w:qFormat/>
    <w:rsid w:val="00C96521"/>
    <w:rPr>
      <w:i/>
      <w:iCs/>
      <w:color w:val="5B9BD5" w:themeColor="accent1"/>
    </w:rPr>
  </w:style>
  <w:style w:type="character" w:styleId="SubtleReference">
    <w:name w:val="Subtle Reference"/>
    <w:basedOn w:val="DefaultParagraphFont"/>
    <w:uiPriority w:val="31"/>
    <w:qFormat/>
    <w:rsid w:val="00C96521"/>
    <w:rPr>
      <w:smallCaps/>
      <w:color w:val="5A5A5A" w:themeColor="text1" w:themeTint="A5"/>
    </w:rPr>
  </w:style>
  <w:style w:type="character" w:styleId="IntenseReference">
    <w:name w:val="Intense Reference"/>
    <w:basedOn w:val="DefaultParagraphFont"/>
    <w:uiPriority w:val="32"/>
    <w:qFormat/>
    <w:rsid w:val="00C96521"/>
    <w:rPr>
      <w:b/>
      <w:bCs/>
      <w:smallCaps/>
      <w:color w:val="5B9BD5"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9520925">
      <w:bodyDiv w:val="1"/>
      <w:marLeft w:val="0"/>
      <w:marRight w:val="0"/>
      <w:marTop w:val="0"/>
      <w:marBottom w:val="0"/>
      <w:divBdr>
        <w:top w:val="none" w:sz="0" w:space="0" w:color="auto"/>
        <w:left w:val="none" w:sz="0" w:space="0" w:color="auto"/>
        <w:bottom w:val="none" w:sz="0" w:space="0" w:color="auto"/>
        <w:right w:val="none" w:sz="0" w:space="0" w:color="auto"/>
      </w:divBdr>
    </w:div>
    <w:div w:id="1110203860">
      <w:bodyDiv w:val="1"/>
      <w:marLeft w:val="0"/>
      <w:marRight w:val="0"/>
      <w:marTop w:val="0"/>
      <w:marBottom w:val="0"/>
      <w:divBdr>
        <w:top w:val="none" w:sz="0" w:space="0" w:color="auto"/>
        <w:left w:val="none" w:sz="0" w:space="0" w:color="auto"/>
        <w:bottom w:val="none" w:sz="0" w:space="0" w:color="auto"/>
        <w:right w:val="none" w:sz="0" w:space="0" w:color="auto"/>
      </w:divBdr>
    </w:div>
    <w:div w:id="1129397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image" Target="media/image10.jpeg"/><Relationship Id="rId34" Type="http://schemas.openxmlformats.org/officeDocument/2006/relationships/footer" Target="footer6.xml"/><Relationship Id="rId42" Type="http://schemas.openxmlformats.org/officeDocument/2006/relationships/chart" Target="charts/chart8.xml"/><Relationship Id="rId47" Type="http://schemas.openxmlformats.org/officeDocument/2006/relationships/image" Target="media/image14.jpeg"/><Relationship Id="rId50" Type="http://schemas.openxmlformats.org/officeDocument/2006/relationships/image" Target="media/image16.jpeg"/><Relationship Id="rId55" Type="http://schemas.openxmlformats.org/officeDocument/2006/relationships/hyperlink" Target="https://protect-eu.mimecast.com/s/bAQABS6neOhr" TargetMode="External"/><Relationship Id="rId63" Type="http://schemas.openxmlformats.org/officeDocument/2006/relationships/hyperlink" Target="https://msdeccms.gov.mt/en/Documents/Downloads/WBRU/2016/SH%20derogation%20report%202016%209-6.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chart" Target="charts/chart1.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chart" Target="charts/chart11.xml"/><Relationship Id="rId53" Type="http://schemas.openxmlformats.org/officeDocument/2006/relationships/image" Target="media/image19.jpeg"/><Relationship Id="rId58" Type="http://schemas.openxmlformats.org/officeDocument/2006/relationships/hyperlink" Target="http://www.rspb.org.uk/community/ourwork/b/biodiversity/archive/2016/08/30/what-we-ve-learnt-from-titan-the-satellite-tagged-turtle-dove.aspx"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onlinelibrary.wiley.com/doi/10.1111/j.1748-7692.1998.tb00688.x/full" TargetMode="External"/><Relationship Id="rId19" Type="http://schemas.openxmlformats.org/officeDocument/2006/relationships/image" Target="media/image8.jpeg"/><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header" Target="header8.xml"/><Relationship Id="rId30" Type="http://schemas.openxmlformats.org/officeDocument/2006/relationships/chart" Target="charts/chart2.xml"/><Relationship Id="rId35" Type="http://schemas.openxmlformats.org/officeDocument/2006/relationships/image" Target="media/image12.png"/><Relationship Id="rId43" Type="http://schemas.openxmlformats.org/officeDocument/2006/relationships/chart" Target="charts/chart9.xml"/><Relationship Id="rId48" Type="http://schemas.openxmlformats.org/officeDocument/2006/relationships/image" Target="media/image15.emf"/><Relationship Id="rId56" Type="http://schemas.openxmlformats.org/officeDocument/2006/relationships/hyperlink" Target="http://www.zzps.rs/novo/index.php?jezik=_en&amp;strana=vest&amp;n=282" TargetMode="External"/><Relationship Id="rId64" Type="http://schemas.openxmlformats.org/officeDocument/2006/relationships/header" Target="header11.xml"/><Relationship Id="rId8" Type="http://schemas.openxmlformats.org/officeDocument/2006/relationships/image" Target="media/image1.wmf"/><Relationship Id="rId51" Type="http://schemas.openxmlformats.org/officeDocument/2006/relationships/image" Target="media/image17.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footer" Target="footer4.xml"/><Relationship Id="rId33" Type="http://schemas.openxmlformats.org/officeDocument/2006/relationships/footer" Target="footer5.xml"/><Relationship Id="rId38" Type="http://schemas.openxmlformats.org/officeDocument/2006/relationships/chart" Target="charts/chart4.xml"/><Relationship Id="rId46" Type="http://schemas.openxmlformats.org/officeDocument/2006/relationships/hyperlink" Target="http://www.birdlife.lt/" TargetMode="External"/><Relationship Id="rId59" Type="http://schemas.openxmlformats.org/officeDocument/2006/relationships/hyperlink" Target="http://www.trafficj.org/publication/08_Illigal_trade_in_wild_birds.pdf" TargetMode="External"/><Relationship Id="rId20" Type="http://schemas.openxmlformats.org/officeDocument/2006/relationships/image" Target="media/image9.jpeg"/><Relationship Id="rId41" Type="http://schemas.openxmlformats.org/officeDocument/2006/relationships/chart" Target="charts/chart7.xml"/><Relationship Id="rId54" Type="http://schemas.openxmlformats.org/officeDocument/2006/relationships/hyperlink" Target="http://www.batumiraptorcount.org/raptor-migration/migration-count-data" TargetMode="External"/><Relationship Id="rId62" Type="http://schemas.openxmlformats.org/officeDocument/2006/relationships/hyperlink" Target="https://msdeccms.gov.mt/en/Documents/Downloads/WBRU/spring%20hunting%202015/SH%202015%20derogation%20report.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eader" Target="header5.xml"/><Relationship Id="rId28" Type="http://schemas.openxmlformats.org/officeDocument/2006/relationships/image" Target="media/image11.jpeg"/><Relationship Id="rId36" Type="http://schemas.openxmlformats.org/officeDocument/2006/relationships/image" Target="media/image13.jpeg"/><Relationship Id="rId49" Type="http://schemas.openxmlformats.org/officeDocument/2006/relationships/package" Target="embeddings/Microsoft_PowerPoint_Slide.sldx"/><Relationship Id="rId57" Type="http://schemas.openxmlformats.org/officeDocument/2006/relationships/hyperlink" Target="http://www.raco.cat/index.php/ButlletiAnellament/index" TargetMode="External"/><Relationship Id="rId10" Type="http://schemas.openxmlformats.org/officeDocument/2006/relationships/header" Target="header2.xml"/><Relationship Id="rId31" Type="http://schemas.openxmlformats.org/officeDocument/2006/relationships/header" Target="header9.xml"/><Relationship Id="rId44" Type="http://schemas.openxmlformats.org/officeDocument/2006/relationships/chart" Target="charts/chart10.xml"/><Relationship Id="rId52" Type="http://schemas.openxmlformats.org/officeDocument/2006/relationships/image" Target="media/image18.jpeg"/><Relationship Id="rId60" Type="http://schemas.openxmlformats.org/officeDocument/2006/relationships/hyperlink" Target="http://uoor.com.ua/eng/legislation/about_hunting"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7.png"/><Relationship Id="rId39" Type="http://schemas.openxmlformats.org/officeDocument/2006/relationships/chart" Target="charts/chart5.xm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S:\CMS%20Body%20-%20COP\COP11\DOCS\Templates\COP11_Template_English_new.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TURTLE%20DOVE\Review%20MP%20-%20management%20plan\MP%20Draft%202%20-%20report\Table%20of%20API%20and%20NIS%20for%20Management%20Plan%20Review.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netwin\userdata\D-IntNat\DivShare\Migrants\PERSONAL\Ian%20and%20Jos\Status%20report\Next%20batch\Processed\TurtleDove_national%20data%20-%20PECBMS.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netwin\userdata\D-IntNat\DivShare\Migrants\PERSONAL\Ian%20and%20Jos\Status%20report\Next%20batch\Processed\TurtleDove_national%20data%20-%20PECBMS.xlsx" TargetMode="External"/><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oleObject" Target="file:///D:\TURTLE%20DOVE\Review%20MP%20-%20management%20plan\MP%20Draft%202%20-%20report\Table%20of%20API%20and%20NIS%20for%20Management%20Plan%20Review.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netwin\userdata\D-IntNat\DivShare\Migrants\PERSONAL\Ian%20and%20Jos\Next%20batch\TurtleDove_national%20data%20-%20PECBMS.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netwin\userdata\D-IntNat\DivShare\Migrants\PERSONAL\Ian%20and%20Jos\Status%20report\Next%20batch\Processed\TurtleDove_national%20data%20-%20PECBMS.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netwin\userdata\D-IntNat\DivShare\Migrants\PERSONAL\Ian%20and%20Jos\Status%20report\Next%20batch\Processed\TurtleDove_national%20data%20-%20PECBMS.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netwin\userdata\D-IntNat\DivShare\Migrants\PERSONAL\Ian%20and%20Jos\Status%20report\Next%20batch\Processed\TurtleDove_national%20data%20-%20PECBMS.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netwin\userdata\D-IntNat\DivShare\Migrants\PERSONAL\Ian%20and%20Jos\Status%20report\Next%20batch\Processed\TurtleDove_national%20data%20-%20PECBMS.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netwin\userdata\D-IntNat\DivShare\Migrants\PERSONAL\Ian%20and%20Jos\Status%20report\Next%20batch\Processed\TurtleDove_national%20data%20-%20PECBMS.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netwin\userdata\D-IntNat\DivShare\Migrants\PERSONAL\Ian%20and%20Jos\Status%20report\Next%20batch\Processed\TurtleDove_national%20data%20-%20PECBMS.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'NIS graph'!$A$2</c:f>
              <c:strCache>
                <c:ptCount val="1"/>
                <c:pt idx="0">
                  <c:v>NIS</c:v>
                </c:pt>
              </c:strCache>
            </c:strRef>
          </c:tx>
          <c:spPr>
            <a:solidFill>
              <a:schemeClr val="bg1">
                <a:lumMod val="75000"/>
              </a:schemeClr>
            </a:solidFill>
          </c:spPr>
          <c:invertIfNegative val="0"/>
          <c:dPt>
            <c:idx val="25"/>
            <c:invertIfNegative val="0"/>
            <c:bubble3D val="0"/>
            <c:spPr>
              <a:solidFill>
                <a:schemeClr val="bg1">
                  <a:lumMod val="50000"/>
                </a:schemeClr>
              </a:solidFill>
            </c:spPr>
            <c:extLst>
              <c:ext xmlns:c16="http://schemas.microsoft.com/office/drawing/2014/chart" uri="{C3380CC4-5D6E-409C-BE32-E72D297353CC}">
                <c16:uniqueId val="{00000001-BD84-4BD9-92FA-5ABA7FE825C6}"/>
              </c:ext>
            </c:extLst>
          </c:dPt>
          <c:cat>
            <c:strRef>
              <c:f>'NIS graph'!$B$1:$AA$1</c:f>
              <c:strCache>
                <c:ptCount val="26"/>
                <c:pt idx="0">
                  <c:v>AT</c:v>
                </c:pt>
                <c:pt idx="1">
                  <c:v>BE</c:v>
                </c:pt>
                <c:pt idx="2">
                  <c:v>BG</c:v>
                </c:pt>
                <c:pt idx="3">
                  <c:v>CY</c:v>
                </c:pt>
                <c:pt idx="4">
                  <c:v>CZ</c:v>
                </c:pt>
                <c:pt idx="5">
                  <c:v>DE</c:v>
                </c:pt>
                <c:pt idx="6">
                  <c:v>DK</c:v>
                </c:pt>
                <c:pt idx="7">
                  <c:v>EE</c:v>
                </c:pt>
                <c:pt idx="8">
                  <c:v>EL</c:v>
                </c:pt>
                <c:pt idx="9">
                  <c:v>ES</c:v>
                </c:pt>
                <c:pt idx="10">
                  <c:v>FR</c:v>
                </c:pt>
                <c:pt idx="11">
                  <c:v>HR</c:v>
                </c:pt>
                <c:pt idx="12">
                  <c:v>HU</c:v>
                </c:pt>
                <c:pt idx="13">
                  <c:v>IT</c:v>
                </c:pt>
                <c:pt idx="14">
                  <c:v>LT</c:v>
                </c:pt>
                <c:pt idx="15">
                  <c:v>LU</c:v>
                </c:pt>
                <c:pt idx="16">
                  <c:v>LV</c:v>
                </c:pt>
                <c:pt idx="17">
                  <c:v>MT</c:v>
                </c:pt>
                <c:pt idx="18">
                  <c:v>NL</c:v>
                </c:pt>
                <c:pt idx="19">
                  <c:v>PL</c:v>
                </c:pt>
                <c:pt idx="20">
                  <c:v>PT</c:v>
                </c:pt>
                <c:pt idx="21">
                  <c:v>RO</c:v>
                </c:pt>
                <c:pt idx="22">
                  <c:v>SI</c:v>
                </c:pt>
                <c:pt idx="23">
                  <c:v>SK</c:v>
                </c:pt>
                <c:pt idx="24">
                  <c:v>UK</c:v>
                </c:pt>
                <c:pt idx="25">
                  <c:v>Average</c:v>
                </c:pt>
              </c:strCache>
            </c:strRef>
          </c:cat>
          <c:val>
            <c:numRef>
              <c:f>'NIS graph'!$B$2:$AA$2</c:f>
              <c:numCache>
                <c:formatCode>0.0</c:formatCode>
                <c:ptCount val="26"/>
                <c:pt idx="0">
                  <c:v>1.333333333333333</c:v>
                </c:pt>
                <c:pt idx="1">
                  <c:v>2.2000000000000002</c:v>
                </c:pt>
                <c:pt idx="2">
                  <c:v>1.833333333333333</c:v>
                </c:pt>
                <c:pt idx="3">
                  <c:v>2.0555555555555549</c:v>
                </c:pt>
                <c:pt idx="4">
                  <c:v>1.4</c:v>
                </c:pt>
                <c:pt idx="5">
                  <c:v>2.1578947368421302</c:v>
                </c:pt>
                <c:pt idx="6">
                  <c:v>2</c:v>
                </c:pt>
                <c:pt idx="7">
                  <c:v>1</c:v>
                </c:pt>
                <c:pt idx="8">
                  <c:v>1.8888888888888999</c:v>
                </c:pt>
                <c:pt idx="9">
                  <c:v>1.55</c:v>
                </c:pt>
                <c:pt idx="10">
                  <c:v>2.7727272727273031</c:v>
                </c:pt>
                <c:pt idx="11">
                  <c:v>1</c:v>
                </c:pt>
                <c:pt idx="12">
                  <c:v>1.6</c:v>
                </c:pt>
                <c:pt idx="13">
                  <c:v>1.5</c:v>
                </c:pt>
                <c:pt idx="14">
                  <c:v>1.2</c:v>
                </c:pt>
                <c:pt idx="15">
                  <c:v>1.8</c:v>
                </c:pt>
                <c:pt idx="16">
                  <c:v>2.2000000000000002</c:v>
                </c:pt>
                <c:pt idx="17">
                  <c:v>3.333333333333333</c:v>
                </c:pt>
                <c:pt idx="18">
                  <c:v>1.6</c:v>
                </c:pt>
                <c:pt idx="19">
                  <c:v>1.666666666666667</c:v>
                </c:pt>
                <c:pt idx="20">
                  <c:v>1.5909090909090799</c:v>
                </c:pt>
                <c:pt idx="21">
                  <c:v>2.0499999999999998</c:v>
                </c:pt>
                <c:pt idx="22">
                  <c:v>2</c:v>
                </c:pt>
                <c:pt idx="23">
                  <c:v>1.4</c:v>
                </c:pt>
                <c:pt idx="24">
                  <c:v>3</c:v>
                </c:pt>
                <c:pt idx="25" formatCode="General">
                  <c:v>1.9221934254829001</c:v>
                </c:pt>
              </c:numCache>
            </c:numRef>
          </c:val>
          <c:extLst>
            <c:ext xmlns:c16="http://schemas.microsoft.com/office/drawing/2014/chart" uri="{C3380CC4-5D6E-409C-BE32-E72D297353CC}">
              <c16:uniqueId val="{00000002-BD84-4BD9-92FA-5ABA7FE825C6}"/>
            </c:ext>
          </c:extLst>
        </c:ser>
        <c:dLbls>
          <c:showLegendKey val="0"/>
          <c:showVal val="0"/>
          <c:showCatName val="0"/>
          <c:showSerName val="0"/>
          <c:showPercent val="0"/>
          <c:showBubbleSize val="0"/>
        </c:dLbls>
        <c:gapWidth val="55"/>
        <c:overlap val="100"/>
        <c:axId val="2127315720"/>
        <c:axId val="2125062744"/>
      </c:barChart>
      <c:catAx>
        <c:axId val="2127315720"/>
        <c:scaling>
          <c:orientation val="minMax"/>
        </c:scaling>
        <c:delete val="0"/>
        <c:axPos val="b"/>
        <c:title>
          <c:tx>
            <c:rich>
              <a:bodyPr/>
              <a:lstStyle/>
              <a:p>
                <a:pPr>
                  <a:defRPr/>
                </a:pPr>
                <a:r>
                  <a:rPr lang="en-GB"/>
                  <a:t>Member State</a:t>
                </a:r>
              </a:p>
            </c:rich>
          </c:tx>
          <c:overlay val="0"/>
        </c:title>
        <c:numFmt formatCode="General" sourceLinked="0"/>
        <c:majorTickMark val="none"/>
        <c:minorTickMark val="none"/>
        <c:tickLblPos val="nextTo"/>
        <c:crossAx val="2125062744"/>
        <c:crosses val="autoZero"/>
        <c:auto val="1"/>
        <c:lblAlgn val="ctr"/>
        <c:lblOffset val="100"/>
        <c:noMultiLvlLbl val="0"/>
      </c:catAx>
      <c:valAx>
        <c:axId val="2125062744"/>
        <c:scaling>
          <c:orientation val="minMax"/>
          <c:max val="4"/>
          <c:min val="1"/>
        </c:scaling>
        <c:delete val="0"/>
        <c:axPos val="l"/>
        <c:title>
          <c:tx>
            <c:rich>
              <a:bodyPr/>
              <a:lstStyle/>
              <a:p>
                <a:pPr>
                  <a:defRPr/>
                </a:pPr>
                <a:r>
                  <a:rPr lang="en-GB"/>
                  <a:t>National</a:t>
                </a:r>
                <a:r>
                  <a:rPr lang="en-GB" baseline="0"/>
                  <a:t> Implementation Score (NIS)</a:t>
                </a:r>
                <a:endParaRPr lang="en-GB"/>
              </a:p>
            </c:rich>
          </c:tx>
          <c:overlay val="0"/>
        </c:title>
        <c:numFmt formatCode="0.0" sourceLinked="1"/>
        <c:majorTickMark val="none"/>
        <c:minorTickMark val="none"/>
        <c:tickLblPos val="nextTo"/>
        <c:crossAx val="2127315720"/>
        <c:crosses val="autoZero"/>
        <c:crossBetween val="between"/>
      </c:valAx>
    </c:plotArea>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bg1">
                <a:lumMod val="75000"/>
              </a:schemeClr>
            </a:solidFill>
          </c:spPr>
          <c:invertIfNegative val="0"/>
          <c:errBars>
            <c:errBarType val="both"/>
            <c:errValType val="cust"/>
            <c:noEndCap val="0"/>
            <c:plus>
              <c:numRef>
                <c:f>Sheet7!$D$2:$D$16</c:f>
                <c:numCache>
                  <c:formatCode>General</c:formatCode>
                  <c:ptCount val="15"/>
                  <c:pt idx="0">
                    <c:v>4.9200000000000001E-2</c:v>
                  </c:pt>
                  <c:pt idx="1">
                    <c:v>3.9199999999999999E-2</c:v>
                  </c:pt>
                  <c:pt idx="2">
                    <c:v>2.1700000000000001E-2</c:v>
                  </c:pt>
                  <c:pt idx="3">
                    <c:v>4.24E-2</c:v>
                  </c:pt>
                  <c:pt idx="4">
                    <c:v>1.6600000000000201E-2</c:v>
                  </c:pt>
                  <c:pt idx="5">
                    <c:v>2.2599999999999999E-2</c:v>
                  </c:pt>
                  <c:pt idx="6">
                    <c:v>8.5199999999999998E-2</c:v>
                  </c:pt>
                  <c:pt idx="7">
                    <c:v>2.06E-2</c:v>
                  </c:pt>
                  <c:pt idx="8">
                    <c:v>5.7999999999999996E-3</c:v>
                  </c:pt>
                  <c:pt idx="9">
                    <c:v>9.4000000000000195E-3</c:v>
                  </c:pt>
                  <c:pt idx="10">
                    <c:v>3.8199999999999998E-2</c:v>
                  </c:pt>
                  <c:pt idx="11">
                    <c:v>2.70000000000004E-3</c:v>
                  </c:pt>
                  <c:pt idx="12">
                    <c:v>6.1000000000000004E-3</c:v>
                  </c:pt>
                  <c:pt idx="13">
                    <c:v>2.5999999999999999E-3</c:v>
                  </c:pt>
                  <c:pt idx="14">
                    <c:v>2.3400000000000001E-2</c:v>
                  </c:pt>
                </c:numCache>
              </c:numRef>
            </c:plus>
            <c:minus>
              <c:numRef>
                <c:f>Sheet7!$D$2:$D$16</c:f>
                <c:numCache>
                  <c:formatCode>General</c:formatCode>
                  <c:ptCount val="15"/>
                  <c:pt idx="0">
                    <c:v>4.9200000000000001E-2</c:v>
                  </c:pt>
                  <c:pt idx="1">
                    <c:v>3.9199999999999999E-2</c:v>
                  </c:pt>
                  <c:pt idx="2">
                    <c:v>2.1700000000000001E-2</c:v>
                  </c:pt>
                  <c:pt idx="3">
                    <c:v>4.24E-2</c:v>
                  </c:pt>
                  <c:pt idx="4">
                    <c:v>1.6600000000000201E-2</c:v>
                  </c:pt>
                  <c:pt idx="5">
                    <c:v>2.2599999999999999E-2</c:v>
                  </c:pt>
                  <c:pt idx="6">
                    <c:v>8.5199999999999998E-2</c:v>
                  </c:pt>
                  <c:pt idx="7">
                    <c:v>2.06E-2</c:v>
                  </c:pt>
                  <c:pt idx="8">
                    <c:v>5.7999999999999996E-3</c:v>
                  </c:pt>
                  <c:pt idx="9">
                    <c:v>9.4000000000000195E-3</c:v>
                  </c:pt>
                  <c:pt idx="10">
                    <c:v>3.8199999999999998E-2</c:v>
                  </c:pt>
                  <c:pt idx="11">
                    <c:v>2.70000000000004E-3</c:v>
                  </c:pt>
                  <c:pt idx="12">
                    <c:v>6.1000000000000004E-3</c:v>
                  </c:pt>
                  <c:pt idx="13">
                    <c:v>2.5999999999999999E-3</c:v>
                  </c:pt>
                  <c:pt idx="14">
                    <c:v>2.3400000000000001E-2</c:v>
                  </c:pt>
                </c:numCache>
              </c:numRef>
            </c:minus>
          </c:errBars>
          <c:cat>
            <c:strRef>
              <c:f>Sheet7!$B$2:$B$16</c:f>
              <c:strCache>
                <c:ptCount val="15"/>
                <c:pt idx="0">
                  <c:v>Cyprus</c:v>
                </c:pt>
                <c:pt idx="1">
                  <c:v>Romania</c:v>
                </c:pt>
                <c:pt idx="2">
                  <c:v>Bulgaria</c:v>
                </c:pt>
                <c:pt idx="3">
                  <c:v>Greece</c:v>
                </c:pt>
                <c:pt idx="4">
                  <c:v>Estonia</c:v>
                </c:pt>
                <c:pt idx="5">
                  <c:v>Latvia</c:v>
                </c:pt>
                <c:pt idx="6">
                  <c:v>Lithuania</c:v>
                </c:pt>
                <c:pt idx="7">
                  <c:v>Slovakia</c:v>
                </c:pt>
                <c:pt idx="8">
                  <c:v>Hungary</c:v>
                </c:pt>
                <c:pt idx="9">
                  <c:v>Poland</c:v>
                </c:pt>
                <c:pt idx="10">
                  <c:v>Slovenia</c:v>
                </c:pt>
                <c:pt idx="11">
                  <c:v>Czech Republic</c:v>
                </c:pt>
                <c:pt idx="12">
                  <c:v>Austria</c:v>
                </c:pt>
                <c:pt idx="13">
                  <c:v>Italy</c:v>
                </c:pt>
                <c:pt idx="14">
                  <c:v>Switzerland</c:v>
                </c:pt>
              </c:strCache>
            </c:strRef>
          </c:cat>
          <c:val>
            <c:numRef>
              <c:f>Sheet7!$C$2:$C$16</c:f>
              <c:numCache>
                <c:formatCode>General</c:formatCode>
                <c:ptCount val="15"/>
                <c:pt idx="0">
                  <c:v>0.95809999999999995</c:v>
                </c:pt>
                <c:pt idx="1">
                  <c:v>1.0243</c:v>
                </c:pt>
                <c:pt idx="2">
                  <c:v>0.99249999999999905</c:v>
                </c:pt>
                <c:pt idx="3">
                  <c:v>1.0242</c:v>
                </c:pt>
                <c:pt idx="4">
                  <c:v>0.95680000000000098</c:v>
                </c:pt>
                <c:pt idx="5">
                  <c:v>0.97560000000000802</c:v>
                </c:pt>
                <c:pt idx="6">
                  <c:v>0.94110000000000005</c:v>
                </c:pt>
                <c:pt idx="7">
                  <c:v>0.94780000000000098</c:v>
                </c:pt>
                <c:pt idx="8">
                  <c:v>0.99749999999999905</c:v>
                </c:pt>
                <c:pt idx="9">
                  <c:v>0.97319999999999995</c:v>
                </c:pt>
                <c:pt idx="10">
                  <c:v>0.90920000000000001</c:v>
                </c:pt>
                <c:pt idx="11">
                  <c:v>0.97260000000000801</c:v>
                </c:pt>
                <c:pt idx="12">
                  <c:v>0.95690000000000097</c:v>
                </c:pt>
                <c:pt idx="13">
                  <c:v>1.002499999999986</c:v>
                </c:pt>
                <c:pt idx="14">
                  <c:v>0.94690000000000096</c:v>
                </c:pt>
              </c:numCache>
            </c:numRef>
          </c:val>
          <c:extLst>
            <c:ext xmlns:c16="http://schemas.microsoft.com/office/drawing/2014/chart" uri="{C3380CC4-5D6E-409C-BE32-E72D297353CC}">
              <c16:uniqueId val="{00000000-CFE9-4397-ABB1-79132C88D1F1}"/>
            </c:ext>
          </c:extLst>
        </c:ser>
        <c:dLbls>
          <c:showLegendKey val="0"/>
          <c:showVal val="0"/>
          <c:showCatName val="0"/>
          <c:showSerName val="0"/>
          <c:showPercent val="0"/>
          <c:showBubbleSize val="0"/>
        </c:dLbls>
        <c:gapWidth val="150"/>
        <c:axId val="2127737864"/>
        <c:axId val="2127740840"/>
      </c:barChart>
      <c:catAx>
        <c:axId val="2127737864"/>
        <c:scaling>
          <c:orientation val="minMax"/>
        </c:scaling>
        <c:delete val="0"/>
        <c:axPos val="l"/>
        <c:numFmt formatCode="General" sourceLinked="0"/>
        <c:majorTickMark val="out"/>
        <c:minorTickMark val="none"/>
        <c:tickLblPos val="nextTo"/>
        <c:crossAx val="2127740840"/>
        <c:crossesAt val="1"/>
        <c:auto val="1"/>
        <c:lblAlgn val="ctr"/>
        <c:lblOffset val="100"/>
        <c:noMultiLvlLbl val="0"/>
      </c:catAx>
      <c:valAx>
        <c:axId val="2127740840"/>
        <c:scaling>
          <c:orientation val="minMax"/>
          <c:max val="1.1499999999999999"/>
          <c:min val="0.85000000000000098"/>
        </c:scaling>
        <c:delete val="0"/>
        <c:axPos val="b"/>
        <c:title>
          <c:tx>
            <c:rich>
              <a:bodyPr/>
              <a:lstStyle/>
              <a:p>
                <a:pPr>
                  <a:defRPr/>
                </a:pPr>
                <a:r>
                  <a:rPr lang="en-US"/>
                  <a:t>Multiplicative trend slope</a:t>
                </a:r>
              </a:p>
            </c:rich>
          </c:tx>
          <c:overlay val="0"/>
        </c:title>
        <c:numFmt formatCode="General" sourceLinked="1"/>
        <c:majorTickMark val="out"/>
        <c:minorTickMark val="none"/>
        <c:tickLblPos val="nextTo"/>
        <c:crossAx val="2127737864"/>
        <c:crosses val="autoZero"/>
        <c:crossBetween val="between"/>
      </c:valAx>
      <c:spPr>
        <a:noFill/>
        <a:ln w="25400">
          <a:noFill/>
        </a:ln>
      </c:spPr>
    </c:plotArea>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Sheet3!$D$1</c:f>
              <c:strCache>
                <c:ptCount val="1"/>
                <c:pt idx="0">
                  <c:v>Slope Multiplicative</c:v>
                </c:pt>
              </c:strCache>
            </c:strRef>
          </c:tx>
          <c:spPr>
            <a:solidFill>
              <a:prstClr val="white">
                <a:lumMod val="85000"/>
              </a:prstClr>
            </a:solidFill>
          </c:spPr>
          <c:invertIfNegative val="0"/>
          <c:dPt>
            <c:idx val="2"/>
            <c:invertIfNegative val="0"/>
            <c:bubble3D val="0"/>
            <c:spPr>
              <a:solidFill>
                <a:schemeClr val="bg1">
                  <a:lumMod val="50000"/>
                </a:schemeClr>
              </a:solidFill>
            </c:spPr>
            <c:extLst>
              <c:ext xmlns:c16="http://schemas.microsoft.com/office/drawing/2014/chart" uri="{C3380CC4-5D6E-409C-BE32-E72D297353CC}">
                <c16:uniqueId val="{00000001-56FE-46DF-9C8E-B51830BD7BA1}"/>
              </c:ext>
            </c:extLst>
          </c:dPt>
          <c:dPt>
            <c:idx val="4"/>
            <c:invertIfNegative val="0"/>
            <c:bubble3D val="0"/>
            <c:spPr>
              <a:solidFill>
                <a:schemeClr val="bg1">
                  <a:lumMod val="50000"/>
                </a:schemeClr>
              </a:solidFill>
            </c:spPr>
            <c:extLst>
              <c:ext xmlns:c16="http://schemas.microsoft.com/office/drawing/2014/chart" uri="{C3380CC4-5D6E-409C-BE32-E72D297353CC}">
                <c16:uniqueId val="{00000003-56FE-46DF-9C8E-B51830BD7BA1}"/>
              </c:ext>
            </c:extLst>
          </c:dPt>
          <c:dPt>
            <c:idx val="5"/>
            <c:invertIfNegative val="0"/>
            <c:bubble3D val="0"/>
            <c:spPr>
              <a:solidFill>
                <a:schemeClr val="bg1">
                  <a:lumMod val="50000"/>
                </a:schemeClr>
              </a:solidFill>
            </c:spPr>
            <c:extLst>
              <c:ext xmlns:c16="http://schemas.microsoft.com/office/drawing/2014/chart" uri="{C3380CC4-5D6E-409C-BE32-E72D297353CC}">
                <c16:uniqueId val="{00000005-56FE-46DF-9C8E-B51830BD7BA1}"/>
              </c:ext>
            </c:extLst>
          </c:dPt>
          <c:dPt>
            <c:idx val="11"/>
            <c:invertIfNegative val="0"/>
            <c:bubble3D val="0"/>
            <c:spPr>
              <a:solidFill>
                <a:schemeClr val="bg1">
                  <a:lumMod val="50000"/>
                </a:schemeClr>
              </a:solidFill>
            </c:spPr>
            <c:extLst>
              <c:ext xmlns:c16="http://schemas.microsoft.com/office/drawing/2014/chart" uri="{C3380CC4-5D6E-409C-BE32-E72D297353CC}">
                <c16:uniqueId val="{00000007-56FE-46DF-9C8E-B51830BD7BA1}"/>
              </c:ext>
            </c:extLst>
          </c:dPt>
          <c:dPt>
            <c:idx val="13"/>
            <c:invertIfNegative val="0"/>
            <c:bubble3D val="0"/>
            <c:spPr>
              <a:solidFill>
                <a:schemeClr val="bg1">
                  <a:lumMod val="50000"/>
                </a:schemeClr>
              </a:solidFill>
            </c:spPr>
            <c:extLst>
              <c:ext xmlns:c16="http://schemas.microsoft.com/office/drawing/2014/chart" uri="{C3380CC4-5D6E-409C-BE32-E72D297353CC}">
                <c16:uniqueId val="{00000009-56FE-46DF-9C8E-B51830BD7BA1}"/>
              </c:ext>
            </c:extLst>
          </c:dPt>
          <c:dPt>
            <c:idx val="20"/>
            <c:invertIfNegative val="0"/>
            <c:bubble3D val="0"/>
            <c:spPr>
              <a:solidFill>
                <a:schemeClr val="bg1">
                  <a:lumMod val="50000"/>
                </a:schemeClr>
              </a:solidFill>
            </c:spPr>
            <c:extLst>
              <c:ext xmlns:c16="http://schemas.microsoft.com/office/drawing/2014/chart" uri="{C3380CC4-5D6E-409C-BE32-E72D297353CC}">
                <c16:uniqueId val="{0000000B-56FE-46DF-9C8E-B51830BD7BA1}"/>
              </c:ext>
            </c:extLst>
          </c:dPt>
          <c:dPt>
            <c:idx val="21"/>
            <c:invertIfNegative val="0"/>
            <c:bubble3D val="0"/>
            <c:spPr>
              <a:solidFill>
                <a:schemeClr val="bg1">
                  <a:lumMod val="50000"/>
                </a:schemeClr>
              </a:solidFill>
            </c:spPr>
            <c:extLst>
              <c:ext xmlns:c16="http://schemas.microsoft.com/office/drawing/2014/chart" uri="{C3380CC4-5D6E-409C-BE32-E72D297353CC}">
                <c16:uniqueId val="{0000000D-56FE-46DF-9C8E-B51830BD7BA1}"/>
              </c:ext>
            </c:extLst>
          </c:dPt>
          <c:errBars>
            <c:errBarType val="both"/>
            <c:errValType val="cust"/>
            <c:noEndCap val="0"/>
            <c:plus>
              <c:numRef>
                <c:f>Sheet3!$E$2:$E$24</c:f>
                <c:numCache>
                  <c:formatCode>General</c:formatCode>
                  <c:ptCount val="23"/>
                  <c:pt idx="0">
                    <c:v>2.3400000000000001E-2</c:v>
                  </c:pt>
                  <c:pt idx="1">
                    <c:v>1.6600000000000201E-2</c:v>
                  </c:pt>
                  <c:pt idx="2">
                    <c:v>8.0999999999999996E-3</c:v>
                  </c:pt>
                  <c:pt idx="3">
                    <c:v>3.8199999999999998E-2</c:v>
                  </c:pt>
                  <c:pt idx="4">
                    <c:v>2.8E-3</c:v>
                  </c:pt>
                  <c:pt idx="5">
                    <c:v>4.1999999999999997E-3</c:v>
                  </c:pt>
                  <c:pt idx="6">
                    <c:v>8.5199999999999998E-2</c:v>
                  </c:pt>
                  <c:pt idx="7">
                    <c:v>4.9200000000000001E-2</c:v>
                  </c:pt>
                  <c:pt idx="8">
                    <c:v>6.1000000000000004E-3</c:v>
                  </c:pt>
                  <c:pt idx="9">
                    <c:v>2.06E-2</c:v>
                  </c:pt>
                  <c:pt idx="10">
                    <c:v>2.2599999999999999E-2</c:v>
                  </c:pt>
                  <c:pt idx="11">
                    <c:v>5.0000000000000096E-3</c:v>
                  </c:pt>
                  <c:pt idx="12">
                    <c:v>9.4000000000000195E-3</c:v>
                  </c:pt>
                  <c:pt idx="13">
                    <c:v>1.4E-2</c:v>
                  </c:pt>
                  <c:pt idx="14">
                    <c:v>4.24E-2</c:v>
                  </c:pt>
                  <c:pt idx="15">
                    <c:v>2.1700000000000001E-2</c:v>
                  </c:pt>
                  <c:pt idx="16">
                    <c:v>2.70000000000005E-3</c:v>
                  </c:pt>
                  <c:pt idx="17">
                    <c:v>5.7999999999999996E-3</c:v>
                  </c:pt>
                  <c:pt idx="18">
                    <c:v>3.9199999999999999E-2</c:v>
                  </c:pt>
                  <c:pt idx="19">
                    <c:v>2.5999999999999999E-3</c:v>
                  </c:pt>
                  <c:pt idx="20">
                    <c:v>5.7000000000000097E-3</c:v>
                  </c:pt>
                  <c:pt idx="21">
                    <c:v>3.5000000000000499E-3</c:v>
                  </c:pt>
                </c:numCache>
              </c:numRef>
            </c:plus>
            <c:minus>
              <c:numRef>
                <c:f>Sheet3!$E$2:$E$24</c:f>
                <c:numCache>
                  <c:formatCode>General</c:formatCode>
                  <c:ptCount val="23"/>
                  <c:pt idx="0">
                    <c:v>2.3400000000000001E-2</c:v>
                  </c:pt>
                  <c:pt idx="1">
                    <c:v>1.6600000000000201E-2</c:v>
                  </c:pt>
                  <c:pt idx="2">
                    <c:v>8.0999999999999996E-3</c:v>
                  </c:pt>
                  <c:pt idx="3">
                    <c:v>3.8199999999999998E-2</c:v>
                  </c:pt>
                  <c:pt idx="4">
                    <c:v>2.8E-3</c:v>
                  </c:pt>
                  <c:pt idx="5">
                    <c:v>4.1999999999999997E-3</c:v>
                  </c:pt>
                  <c:pt idx="6">
                    <c:v>8.5199999999999998E-2</c:v>
                  </c:pt>
                  <c:pt idx="7">
                    <c:v>4.9200000000000001E-2</c:v>
                  </c:pt>
                  <c:pt idx="8">
                    <c:v>6.1000000000000004E-3</c:v>
                  </c:pt>
                  <c:pt idx="9">
                    <c:v>2.06E-2</c:v>
                  </c:pt>
                  <c:pt idx="10">
                    <c:v>2.2599999999999999E-2</c:v>
                  </c:pt>
                  <c:pt idx="11">
                    <c:v>5.0000000000000096E-3</c:v>
                  </c:pt>
                  <c:pt idx="12">
                    <c:v>9.4000000000000195E-3</c:v>
                  </c:pt>
                  <c:pt idx="13">
                    <c:v>1.4E-2</c:v>
                  </c:pt>
                  <c:pt idx="14">
                    <c:v>4.24E-2</c:v>
                  </c:pt>
                  <c:pt idx="15">
                    <c:v>2.1700000000000001E-2</c:v>
                  </c:pt>
                  <c:pt idx="16">
                    <c:v>2.70000000000005E-3</c:v>
                  </c:pt>
                  <c:pt idx="17">
                    <c:v>5.7999999999999996E-3</c:v>
                  </c:pt>
                  <c:pt idx="18">
                    <c:v>3.9199999999999999E-2</c:v>
                  </c:pt>
                  <c:pt idx="19">
                    <c:v>2.5999999999999999E-3</c:v>
                  </c:pt>
                  <c:pt idx="20">
                    <c:v>5.7000000000000097E-3</c:v>
                  </c:pt>
                  <c:pt idx="21">
                    <c:v>3.5000000000000499E-3</c:v>
                  </c:pt>
                </c:numCache>
              </c:numRef>
            </c:minus>
          </c:errBars>
          <c:cat>
            <c:strRef>
              <c:f>Sheet3!$C$2:$C$23</c:f>
              <c:strCache>
                <c:ptCount val="22"/>
                <c:pt idx="0">
                  <c:v>Switzerland</c:v>
                </c:pt>
                <c:pt idx="1">
                  <c:v>Estonia</c:v>
                </c:pt>
                <c:pt idx="2">
                  <c:v>Belgium-Wallonia</c:v>
                </c:pt>
                <c:pt idx="3">
                  <c:v>Slovenia</c:v>
                </c:pt>
                <c:pt idx="4">
                  <c:v>United Kingdom</c:v>
                </c:pt>
                <c:pt idx="5">
                  <c:v>Netherlands</c:v>
                </c:pt>
                <c:pt idx="6">
                  <c:v>Lithuania</c:v>
                </c:pt>
                <c:pt idx="7">
                  <c:v>Cyprus</c:v>
                </c:pt>
                <c:pt idx="8">
                  <c:v>Austria</c:v>
                </c:pt>
                <c:pt idx="9">
                  <c:v>Slovakia</c:v>
                </c:pt>
                <c:pt idx="10">
                  <c:v>Latvia</c:v>
                </c:pt>
                <c:pt idx="11">
                  <c:v>Germany</c:v>
                </c:pt>
                <c:pt idx="12">
                  <c:v>Poland</c:v>
                </c:pt>
                <c:pt idx="13">
                  <c:v>Portugal</c:v>
                </c:pt>
                <c:pt idx="14">
                  <c:v>Greece</c:v>
                </c:pt>
                <c:pt idx="15">
                  <c:v>Bulgaria</c:v>
                </c:pt>
                <c:pt idx="16">
                  <c:v>Czech Republic</c:v>
                </c:pt>
                <c:pt idx="17">
                  <c:v>Hungary</c:v>
                </c:pt>
                <c:pt idx="18">
                  <c:v>Romania</c:v>
                </c:pt>
                <c:pt idx="19">
                  <c:v>Italy</c:v>
                </c:pt>
                <c:pt idx="20">
                  <c:v>France</c:v>
                </c:pt>
                <c:pt idx="21">
                  <c:v>Spain</c:v>
                </c:pt>
              </c:strCache>
            </c:strRef>
          </c:cat>
          <c:val>
            <c:numRef>
              <c:f>Sheet3!$D$2:$D$23</c:f>
              <c:numCache>
                <c:formatCode>General</c:formatCode>
                <c:ptCount val="22"/>
                <c:pt idx="0">
                  <c:v>0.94690000000000096</c:v>
                </c:pt>
                <c:pt idx="1">
                  <c:v>0.95680000000000098</c:v>
                </c:pt>
                <c:pt idx="2">
                  <c:v>0.90910000000000002</c:v>
                </c:pt>
                <c:pt idx="3">
                  <c:v>0.90920000000000001</c:v>
                </c:pt>
                <c:pt idx="4">
                  <c:v>0.93730000000000002</c:v>
                </c:pt>
                <c:pt idx="5">
                  <c:v>0.92689999999999995</c:v>
                </c:pt>
                <c:pt idx="6">
                  <c:v>0.94110000000000005</c:v>
                </c:pt>
                <c:pt idx="7">
                  <c:v>0.95809999999999995</c:v>
                </c:pt>
                <c:pt idx="8">
                  <c:v>0.95690000000000097</c:v>
                </c:pt>
                <c:pt idx="9">
                  <c:v>0.94780000000000098</c:v>
                </c:pt>
                <c:pt idx="10">
                  <c:v>0.97560000000001001</c:v>
                </c:pt>
                <c:pt idx="11">
                  <c:v>0.95760000000001</c:v>
                </c:pt>
                <c:pt idx="12">
                  <c:v>0.97319999999999995</c:v>
                </c:pt>
                <c:pt idx="13">
                  <c:v>0.90129999999999999</c:v>
                </c:pt>
                <c:pt idx="14">
                  <c:v>1.0242</c:v>
                </c:pt>
                <c:pt idx="15">
                  <c:v>0.99249999999999905</c:v>
                </c:pt>
                <c:pt idx="16">
                  <c:v>0.97260000000001001</c:v>
                </c:pt>
                <c:pt idx="17">
                  <c:v>0.99749999999999905</c:v>
                </c:pt>
                <c:pt idx="18">
                  <c:v>1.0243</c:v>
                </c:pt>
                <c:pt idx="19">
                  <c:v>1.0024999999999831</c:v>
                </c:pt>
                <c:pt idx="20">
                  <c:v>0.979800000000009</c:v>
                </c:pt>
                <c:pt idx="21">
                  <c:v>0.98139999999999905</c:v>
                </c:pt>
              </c:numCache>
            </c:numRef>
          </c:val>
          <c:extLst>
            <c:ext xmlns:c16="http://schemas.microsoft.com/office/drawing/2014/chart" uri="{C3380CC4-5D6E-409C-BE32-E72D297353CC}">
              <c16:uniqueId val="{0000000E-56FE-46DF-9C8E-B51830BD7BA1}"/>
            </c:ext>
          </c:extLst>
        </c:ser>
        <c:dLbls>
          <c:showLegendKey val="0"/>
          <c:showVal val="0"/>
          <c:showCatName val="0"/>
          <c:showSerName val="0"/>
          <c:showPercent val="0"/>
          <c:showBubbleSize val="0"/>
        </c:dLbls>
        <c:gapWidth val="150"/>
        <c:axId val="2127793608"/>
        <c:axId val="2127796664"/>
      </c:barChart>
      <c:catAx>
        <c:axId val="2127793608"/>
        <c:scaling>
          <c:orientation val="minMax"/>
        </c:scaling>
        <c:delete val="0"/>
        <c:axPos val="l"/>
        <c:numFmt formatCode="General" sourceLinked="0"/>
        <c:majorTickMark val="out"/>
        <c:minorTickMark val="none"/>
        <c:tickLblPos val="nextTo"/>
        <c:crossAx val="2127796664"/>
        <c:crossesAt val="1"/>
        <c:auto val="1"/>
        <c:lblAlgn val="ctr"/>
        <c:lblOffset val="100"/>
        <c:noMultiLvlLbl val="0"/>
      </c:catAx>
      <c:valAx>
        <c:axId val="2127796664"/>
        <c:scaling>
          <c:orientation val="minMax"/>
          <c:max val="1.1499999999999999"/>
          <c:min val="0.85000000000000098"/>
        </c:scaling>
        <c:delete val="0"/>
        <c:axPos val="b"/>
        <c:title>
          <c:tx>
            <c:rich>
              <a:bodyPr/>
              <a:lstStyle/>
              <a:p>
                <a:pPr>
                  <a:defRPr/>
                </a:pPr>
                <a:r>
                  <a:rPr lang="en-GB"/>
                  <a:t>Multiplicative trend slope</a:t>
                </a:r>
              </a:p>
            </c:rich>
          </c:tx>
          <c:overlay val="0"/>
        </c:title>
        <c:numFmt formatCode="General" sourceLinked="1"/>
        <c:majorTickMark val="out"/>
        <c:minorTickMark val="none"/>
        <c:tickLblPos val="nextTo"/>
        <c:crossAx val="2127793608"/>
        <c:crosses val="autoZero"/>
        <c:crossBetween val="between"/>
      </c:valAx>
    </c:plotArea>
    <c:plotVisOnly val="1"/>
    <c:dispBlanksAs val="gap"/>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'AIS graph'!$A$2</c:f>
              <c:strCache>
                <c:ptCount val="1"/>
                <c:pt idx="0">
                  <c:v>AIS</c:v>
                </c:pt>
              </c:strCache>
            </c:strRef>
          </c:tx>
          <c:invertIfNegative val="0"/>
          <c:dPt>
            <c:idx val="0"/>
            <c:invertIfNegative val="0"/>
            <c:bubble3D val="0"/>
            <c:spPr>
              <a:solidFill>
                <a:schemeClr val="bg1">
                  <a:lumMod val="75000"/>
                </a:schemeClr>
              </a:solidFill>
            </c:spPr>
            <c:extLst>
              <c:ext xmlns:c16="http://schemas.microsoft.com/office/drawing/2014/chart" uri="{C3380CC4-5D6E-409C-BE32-E72D297353CC}">
                <c16:uniqueId val="{00000001-4C93-485E-86E1-72A10B06D7D6}"/>
              </c:ext>
            </c:extLst>
          </c:dPt>
          <c:dPt>
            <c:idx val="1"/>
            <c:invertIfNegative val="0"/>
            <c:bubble3D val="0"/>
            <c:spPr>
              <a:solidFill>
                <a:schemeClr val="bg1">
                  <a:lumMod val="75000"/>
                </a:schemeClr>
              </a:solidFill>
            </c:spPr>
            <c:extLst>
              <c:ext xmlns:c16="http://schemas.microsoft.com/office/drawing/2014/chart" uri="{C3380CC4-5D6E-409C-BE32-E72D297353CC}">
                <c16:uniqueId val="{00000003-4C93-485E-86E1-72A10B06D7D6}"/>
              </c:ext>
            </c:extLst>
          </c:dPt>
          <c:dPt>
            <c:idx val="2"/>
            <c:invertIfNegative val="0"/>
            <c:bubble3D val="0"/>
            <c:spPr>
              <a:solidFill>
                <a:schemeClr val="bg1">
                  <a:lumMod val="50000"/>
                </a:schemeClr>
              </a:solidFill>
            </c:spPr>
            <c:extLst>
              <c:ext xmlns:c16="http://schemas.microsoft.com/office/drawing/2014/chart" uri="{C3380CC4-5D6E-409C-BE32-E72D297353CC}">
                <c16:uniqueId val="{00000005-4C93-485E-86E1-72A10B06D7D6}"/>
              </c:ext>
            </c:extLst>
          </c:dPt>
          <c:dPt>
            <c:idx val="3"/>
            <c:invertIfNegative val="0"/>
            <c:bubble3D val="0"/>
            <c:spPr>
              <a:solidFill>
                <a:schemeClr val="bg1">
                  <a:lumMod val="75000"/>
                </a:schemeClr>
              </a:solidFill>
            </c:spPr>
            <c:extLst>
              <c:ext xmlns:c16="http://schemas.microsoft.com/office/drawing/2014/chart" uri="{C3380CC4-5D6E-409C-BE32-E72D297353CC}">
                <c16:uniqueId val="{00000007-4C93-485E-86E1-72A10B06D7D6}"/>
              </c:ext>
            </c:extLst>
          </c:dPt>
          <c:dPt>
            <c:idx val="4"/>
            <c:invertIfNegative val="0"/>
            <c:bubble3D val="0"/>
            <c:spPr>
              <a:solidFill>
                <a:schemeClr val="bg1">
                  <a:lumMod val="50000"/>
                </a:schemeClr>
              </a:solidFill>
            </c:spPr>
            <c:extLst>
              <c:ext xmlns:c16="http://schemas.microsoft.com/office/drawing/2014/chart" uri="{C3380CC4-5D6E-409C-BE32-E72D297353CC}">
                <c16:uniqueId val="{00000009-4C93-485E-86E1-72A10B06D7D6}"/>
              </c:ext>
            </c:extLst>
          </c:dPt>
          <c:dPt>
            <c:idx val="5"/>
            <c:invertIfNegative val="0"/>
            <c:bubble3D val="0"/>
            <c:spPr>
              <a:solidFill>
                <a:schemeClr val="bg1">
                  <a:lumMod val="75000"/>
                </a:schemeClr>
              </a:solidFill>
            </c:spPr>
            <c:extLst>
              <c:ext xmlns:c16="http://schemas.microsoft.com/office/drawing/2014/chart" uri="{C3380CC4-5D6E-409C-BE32-E72D297353CC}">
                <c16:uniqueId val="{0000000B-4C93-485E-86E1-72A10B06D7D6}"/>
              </c:ext>
            </c:extLst>
          </c:dPt>
          <c:dPt>
            <c:idx val="6"/>
            <c:invertIfNegative val="0"/>
            <c:bubble3D val="0"/>
            <c:spPr>
              <a:solidFill>
                <a:schemeClr val="bg1">
                  <a:lumMod val="75000"/>
                </a:schemeClr>
              </a:solidFill>
            </c:spPr>
            <c:extLst>
              <c:ext xmlns:c16="http://schemas.microsoft.com/office/drawing/2014/chart" uri="{C3380CC4-5D6E-409C-BE32-E72D297353CC}">
                <c16:uniqueId val="{0000000D-4C93-485E-86E1-72A10B06D7D6}"/>
              </c:ext>
            </c:extLst>
          </c:dPt>
          <c:dPt>
            <c:idx val="7"/>
            <c:invertIfNegative val="0"/>
            <c:bubble3D val="0"/>
            <c:spPr>
              <a:solidFill>
                <a:schemeClr val="bg1">
                  <a:lumMod val="75000"/>
                </a:schemeClr>
              </a:solidFill>
            </c:spPr>
            <c:extLst>
              <c:ext xmlns:c16="http://schemas.microsoft.com/office/drawing/2014/chart" uri="{C3380CC4-5D6E-409C-BE32-E72D297353CC}">
                <c16:uniqueId val="{0000000F-4C93-485E-86E1-72A10B06D7D6}"/>
              </c:ext>
            </c:extLst>
          </c:dPt>
          <c:dPt>
            <c:idx val="8"/>
            <c:invertIfNegative val="0"/>
            <c:bubble3D val="0"/>
            <c:spPr>
              <a:solidFill>
                <a:schemeClr val="bg1">
                  <a:lumMod val="75000"/>
                </a:schemeClr>
              </a:solidFill>
            </c:spPr>
            <c:extLst>
              <c:ext xmlns:c16="http://schemas.microsoft.com/office/drawing/2014/chart" uri="{C3380CC4-5D6E-409C-BE32-E72D297353CC}">
                <c16:uniqueId val="{00000011-4C93-485E-86E1-72A10B06D7D6}"/>
              </c:ext>
            </c:extLst>
          </c:dPt>
          <c:dPt>
            <c:idx val="9"/>
            <c:invertIfNegative val="0"/>
            <c:bubble3D val="0"/>
            <c:spPr>
              <a:solidFill>
                <a:schemeClr val="bg1">
                  <a:lumMod val="75000"/>
                </a:schemeClr>
              </a:solidFill>
            </c:spPr>
            <c:extLst>
              <c:ext xmlns:c16="http://schemas.microsoft.com/office/drawing/2014/chart" uri="{C3380CC4-5D6E-409C-BE32-E72D297353CC}">
                <c16:uniqueId val="{00000013-4C93-485E-86E1-72A10B06D7D6}"/>
              </c:ext>
            </c:extLst>
          </c:dPt>
          <c:cat>
            <c:strRef>
              <c:f>'AIS graph'!$B$1:$K$1</c:f>
              <c:strCache>
                <c:ptCount val="10"/>
                <c:pt idx="0">
                  <c:v>1</c:v>
                </c:pt>
                <c:pt idx="1">
                  <c:v>2</c:v>
                </c:pt>
                <c:pt idx="2">
                  <c:v>3</c:v>
                </c:pt>
                <c:pt idx="3">
                  <c:v>4</c:v>
                </c:pt>
                <c:pt idx="4">
                  <c:v>5</c:v>
                </c:pt>
                <c:pt idx="5">
                  <c:v>6</c:v>
                </c:pt>
                <c:pt idx="6">
                  <c:v>7</c:v>
                </c:pt>
                <c:pt idx="7">
                  <c:v>8</c:v>
                </c:pt>
                <c:pt idx="8">
                  <c:v>9</c:v>
                </c:pt>
                <c:pt idx="9">
                  <c:v>10</c:v>
                </c:pt>
              </c:strCache>
            </c:strRef>
          </c:cat>
          <c:val>
            <c:numRef>
              <c:f>'AIS graph'!$B$2:$K$2</c:f>
              <c:numCache>
                <c:formatCode>0.0</c:formatCode>
                <c:ptCount val="10"/>
                <c:pt idx="0">
                  <c:v>1.521739130434782</c:v>
                </c:pt>
                <c:pt idx="1">
                  <c:v>3.3636363636363642</c:v>
                </c:pt>
                <c:pt idx="2">
                  <c:v>2.9</c:v>
                </c:pt>
                <c:pt idx="3">
                  <c:v>1</c:v>
                </c:pt>
                <c:pt idx="4">
                  <c:v>1.3636363636363631</c:v>
                </c:pt>
                <c:pt idx="5">
                  <c:v>2.5833333333333401</c:v>
                </c:pt>
                <c:pt idx="6">
                  <c:v>1.636363636363636</c:v>
                </c:pt>
                <c:pt idx="7">
                  <c:v>1.28571428571427</c:v>
                </c:pt>
                <c:pt idx="8">
                  <c:v>1.4285714285714299</c:v>
                </c:pt>
                <c:pt idx="9">
                  <c:v>1.478260869565228</c:v>
                </c:pt>
              </c:numCache>
            </c:numRef>
          </c:val>
          <c:extLst>
            <c:ext xmlns:c16="http://schemas.microsoft.com/office/drawing/2014/chart" uri="{C3380CC4-5D6E-409C-BE32-E72D297353CC}">
              <c16:uniqueId val="{00000014-4C93-485E-86E1-72A10B06D7D6}"/>
            </c:ext>
          </c:extLst>
        </c:ser>
        <c:dLbls>
          <c:showLegendKey val="0"/>
          <c:showVal val="0"/>
          <c:showCatName val="0"/>
          <c:showSerName val="0"/>
          <c:showPercent val="0"/>
          <c:showBubbleSize val="0"/>
        </c:dLbls>
        <c:gapWidth val="150"/>
        <c:axId val="2127404536"/>
        <c:axId val="2127409976"/>
      </c:barChart>
      <c:catAx>
        <c:axId val="2127404536"/>
        <c:scaling>
          <c:orientation val="minMax"/>
        </c:scaling>
        <c:delete val="0"/>
        <c:axPos val="b"/>
        <c:title>
          <c:tx>
            <c:rich>
              <a:bodyPr/>
              <a:lstStyle/>
              <a:p>
                <a:pPr>
                  <a:defRPr/>
                </a:pPr>
                <a:r>
                  <a:rPr lang="en-GB"/>
                  <a:t>Action Code</a:t>
                </a:r>
              </a:p>
            </c:rich>
          </c:tx>
          <c:overlay val="0"/>
        </c:title>
        <c:numFmt formatCode="General" sourceLinked="0"/>
        <c:majorTickMark val="none"/>
        <c:minorTickMark val="none"/>
        <c:tickLblPos val="nextTo"/>
        <c:crossAx val="2127409976"/>
        <c:crosses val="autoZero"/>
        <c:auto val="1"/>
        <c:lblAlgn val="ctr"/>
        <c:lblOffset val="100"/>
        <c:noMultiLvlLbl val="0"/>
      </c:catAx>
      <c:valAx>
        <c:axId val="2127409976"/>
        <c:scaling>
          <c:orientation val="minMax"/>
        </c:scaling>
        <c:delete val="0"/>
        <c:axPos val="l"/>
        <c:title>
          <c:tx>
            <c:rich>
              <a:bodyPr/>
              <a:lstStyle/>
              <a:p>
                <a:pPr>
                  <a:defRPr/>
                </a:pPr>
                <a:r>
                  <a:rPr lang="en-US"/>
                  <a:t>Average Implementation Score (AIS)</a:t>
                </a:r>
              </a:p>
            </c:rich>
          </c:tx>
          <c:overlay val="0"/>
        </c:title>
        <c:numFmt formatCode="0.0" sourceLinked="1"/>
        <c:majorTickMark val="out"/>
        <c:minorTickMark val="none"/>
        <c:tickLblPos val="nextTo"/>
        <c:crossAx val="2127404536"/>
        <c:crosses val="autoZero"/>
        <c:crossBetween val="between"/>
      </c:valAx>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6211036203696906E-2"/>
          <c:y val="3.2773786488368699E-2"/>
          <c:w val="0.87444178173380505"/>
          <c:h val="0.74638670166229204"/>
        </c:manualLayout>
      </c:layout>
      <c:lineChart>
        <c:grouping val="standard"/>
        <c:varyColors val="0"/>
        <c:ser>
          <c:idx val="1"/>
          <c:order val="0"/>
          <c:tx>
            <c:strRef>
              <c:f>'Western population'!$A$2</c:f>
              <c:strCache>
                <c:ptCount val="1"/>
                <c:pt idx="0">
                  <c:v>Belgium-Wallonia</c:v>
                </c:pt>
              </c:strCache>
            </c:strRef>
          </c:tx>
          <c:spPr>
            <a:ln>
              <a:solidFill>
                <a:schemeClr val="bg1">
                  <a:lumMod val="75000"/>
                </a:schemeClr>
              </a:solidFill>
              <a:prstDash val="dash"/>
            </a:ln>
          </c:spPr>
          <c:marker>
            <c:symbol val="none"/>
          </c:marker>
          <c:cat>
            <c:numRef>
              <c:f>'Western population'!$B$1:$AX$1</c:f>
              <c:numCache>
                <c:formatCode>General</c:formatCode>
                <c:ptCount val="49"/>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numCache>
            </c:numRef>
          </c:cat>
          <c:val>
            <c:numRef>
              <c:f>'Western population'!$B$2:$AX$2</c:f>
              <c:numCache>
                <c:formatCode>General</c:formatCode>
                <c:ptCount val="49"/>
                <c:pt idx="24">
                  <c:v>100</c:v>
                </c:pt>
                <c:pt idx="25">
                  <c:v>72</c:v>
                </c:pt>
                <c:pt idx="26">
                  <c:v>65</c:v>
                </c:pt>
                <c:pt idx="27">
                  <c:v>64</c:v>
                </c:pt>
                <c:pt idx="28">
                  <c:v>52</c:v>
                </c:pt>
                <c:pt idx="29">
                  <c:v>54</c:v>
                </c:pt>
                <c:pt idx="30">
                  <c:v>45</c:v>
                </c:pt>
                <c:pt idx="31">
                  <c:v>36</c:v>
                </c:pt>
                <c:pt idx="32">
                  <c:v>45</c:v>
                </c:pt>
                <c:pt idx="33">
                  <c:v>41</c:v>
                </c:pt>
                <c:pt idx="34">
                  <c:v>31</c:v>
                </c:pt>
                <c:pt idx="35">
                  <c:v>35</c:v>
                </c:pt>
                <c:pt idx="36">
                  <c:v>29</c:v>
                </c:pt>
                <c:pt idx="37">
                  <c:v>18</c:v>
                </c:pt>
                <c:pt idx="38">
                  <c:v>37</c:v>
                </c:pt>
                <c:pt idx="39">
                  <c:v>21</c:v>
                </c:pt>
                <c:pt idx="40">
                  <c:v>21</c:v>
                </c:pt>
                <c:pt idx="41">
                  <c:v>30</c:v>
                </c:pt>
                <c:pt idx="42">
                  <c:v>17</c:v>
                </c:pt>
                <c:pt idx="43">
                  <c:v>13</c:v>
                </c:pt>
                <c:pt idx="44">
                  <c:v>10</c:v>
                </c:pt>
                <c:pt idx="45">
                  <c:v>9</c:v>
                </c:pt>
                <c:pt idx="46">
                  <c:v>5</c:v>
                </c:pt>
                <c:pt idx="47">
                  <c:v>10</c:v>
                </c:pt>
                <c:pt idx="48">
                  <c:v>12</c:v>
                </c:pt>
              </c:numCache>
            </c:numRef>
          </c:val>
          <c:smooth val="0"/>
          <c:extLst>
            <c:ext xmlns:c16="http://schemas.microsoft.com/office/drawing/2014/chart" uri="{C3380CC4-5D6E-409C-BE32-E72D297353CC}">
              <c16:uniqueId val="{00000000-A6FA-4428-8BEF-51505C0FD8A1}"/>
            </c:ext>
          </c:extLst>
        </c:ser>
        <c:ser>
          <c:idx val="2"/>
          <c:order val="1"/>
          <c:tx>
            <c:strRef>
              <c:f>'Western population'!$A$3</c:f>
              <c:strCache>
                <c:ptCount val="1"/>
                <c:pt idx="0">
                  <c:v>France</c:v>
                </c:pt>
              </c:strCache>
            </c:strRef>
          </c:tx>
          <c:spPr>
            <a:ln>
              <a:solidFill>
                <a:schemeClr val="bg1">
                  <a:lumMod val="75000"/>
                </a:schemeClr>
              </a:solidFill>
              <a:prstDash val="solid"/>
            </a:ln>
          </c:spPr>
          <c:marker>
            <c:symbol val="none"/>
          </c:marker>
          <c:cat>
            <c:numRef>
              <c:f>'Western population'!$B$1:$AX$1</c:f>
              <c:numCache>
                <c:formatCode>General</c:formatCode>
                <c:ptCount val="49"/>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numCache>
            </c:numRef>
          </c:cat>
          <c:val>
            <c:numRef>
              <c:f>'Western population'!$B$3:$AX$3</c:f>
              <c:numCache>
                <c:formatCode>General</c:formatCode>
                <c:ptCount val="49"/>
                <c:pt idx="23">
                  <c:v>100</c:v>
                </c:pt>
                <c:pt idx="24">
                  <c:v>111</c:v>
                </c:pt>
                <c:pt idx="25">
                  <c:v>89</c:v>
                </c:pt>
                <c:pt idx="26">
                  <c:v>108</c:v>
                </c:pt>
                <c:pt idx="27">
                  <c:v>111</c:v>
                </c:pt>
                <c:pt idx="28">
                  <c:v>106</c:v>
                </c:pt>
                <c:pt idx="29">
                  <c:v>88</c:v>
                </c:pt>
                <c:pt idx="30">
                  <c:v>89</c:v>
                </c:pt>
                <c:pt idx="31">
                  <c:v>98</c:v>
                </c:pt>
                <c:pt idx="32">
                  <c:v>106</c:v>
                </c:pt>
                <c:pt idx="33">
                  <c:v>112</c:v>
                </c:pt>
                <c:pt idx="34">
                  <c:v>115</c:v>
                </c:pt>
                <c:pt idx="35">
                  <c:v>110</c:v>
                </c:pt>
                <c:pt idx="36">
                  <c:v>90</c:v>
                </c:pt>
                <c:pt idx="37">
                  <c:v>93</c:v>
                </c:pt>
                <c:pt idx="38">
                  <c:v>95</c:v>
                </c:pt>
                <c:pt idx="39">
                  <c:v>97</c:v>
                </c:pt>
                <c:pt idx="40">
                  <c:v>85</c:v>
                </c:pt>
                <c:pt idx="41">
                  <c:v>86</c:v>
                </c:pt>
                <c:pt idx="42">
                  <c:v>83</c:v>
                </c:pt>
                <c:pt idx="43">
                  <c:v>75</c:v>
                </c:pt>
                <c:pt idx="44">
                  <c:v>77</c:v>
                </c:pt>
                <c:pt idx="45">
                  <c:v>74</c:v>
                </c:pt>
                <c:pt idx="46">
                  <c:v>63</c:v>
                </c:pt>
                <c:pt idx="47">
                  <c:v>57</c:v>
                </c:pt>
                <c:pt idx="48">
                  <c:v>57</c:v>
                </c:pt>
              </c:numCache>
            </c:numRef>
          </c:val>
          <c:smooth val="0"/>
          <c:extLst>
            <c:ext xmlns:c16="http://schemas.microsoft.com/office/drawing/2014/chart" uri="{C3380CC4-5D6E-409C-BE32-E72D297353CC}">
              <c16:uniqueId val="{00000001-A6FA-4428-8BEF-51505C0FD8A1}"/>
            </c:ext>
          </c:extLst>
        </c:ser>
        <c:ser>
          <c:idx val="3"/>
          <c:order val="2"/>
          <c:tx>
            <c:strRef>
              <c:f>'Western population'!$A$4</c:f>
              <c:strCache>
                <c:ptCount val="1"/>
                <c:pt idx="0">
                  <c:v>Germany</c:v>
                </c:pt>
              </c:strCache>
            </c:strRef>
          </c:tx>
          <c:spPr>
            <a:ln>
              <a:solidFill>
                <a:schemeClr val="tx1"/>
              </a:solidFill>
              <a:prstDash val="sysDot"/>
            </a:ln>
          </c:spPr>
          <c:marker>
            <c:symbol val="none"/>
          </c:marker>
          <c:cat>
            <c:numRef>
              <c:f>'Western population'!$B$1:$AX$1</c:f>
              <c:numCache>
                <c:formatCode>General</c:formatCode>
                <c:ptCount val="49"/>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numCache>
            </c:numRef>
          </c:cat>
          <c:val>
            <c:numRef>
              <c:f>'Western population'!$B$4:$AX$4</c:f>
              <c:numCache>
                <c:formatCode>General</c:formatCode>
                <c:ptCount val="49"/>
                <c:pt idx="23">
                  <c:v>100</c:v>
                </c:pt>
                <c:pt idx="24">
                  <c:v>97</c:v>
                </c:pt>
                <c:pt idx="25">
                  <c:v>90</c:v>
                </c:pt>
                <c:pt idx="26">
                  <c:v>115</c:v>
                </c:pt>
                <c:pt idx="27">
                  <c:v>124</c:v>
                </c:pt>
                <c:pt idx="28">
                  <c:v>115</c:v>
                </c:pt>
                <c:pt idx="29">
                  <c:v>134</c:v>
                </c:pt>
                <c:pt idx="30">
                  <c:v>116</c:v>
                </c:pt>
                <c:pt idx="31">
                  <c:v>111</c:v>
                </c:pt>
                <c:pt idx="32">
                  <c:v>106</c:v>
                </c:pt>
                <c:pt idx="33">
                  <c:v>113</c:v>
                </c:pt>
                <c:pt idx="34">
                  <c:v>97</c:v>
                </c:pt>
                <c:pt idx="35">
                  <c:v>96</c:v>
                </c:pt>
                <c:pt idx="36">
                  <c:v>83</c:v>
                </c:pt>
                <c:pt idx="37">
                  <c:v>74</c:v>
                </c:pt>
                <c:pt idx="38">
                  <c:v>95</c:v>
                </c:pt>
                <c:pt idx="39">
                  <c:v>71</c:v>
                </c:pt>
                <c:pt idx="40">
                  <c:v>63</c:v>
                </c:pt>
                <c:pt idx="41">
                  <c:v>73</c:v>
                </c:pt>
                <c:pt idx="42">
                  <c:v>64</c:v>
                </c:pt>
                <c:pt idx="43">
                  <c:v>56</c:v>
                </c:pt>
                <c:pt idx="44">
                  <c:v>50</c:v>
                </c:pt>
                <c:pt idx="45">
                  <c:v>40</c:v>
                </c:pt>
                <c:pt idx="46">
                  <c:v>41</c:v>
                </c:pt>
                <c:pt idx="47">
                  <c:v>45</c:v>
                </c:pt>
                <c:pt idx="48">
                  <c:v>41</c:v>
                </c:pt>
              </c:numCache>
            </c:numRef>
          </c:val>
          <c:smooth val="0"/>
          <c:extLst>
            <c:ext xmlns:c16="http://schemas.microsoft.com/office/drawing/2014/chart" uri="{C3380CC4-5D6E-409C-BE32-E72D297353CC}">
              <c16:uniqueId val="{00000002-A6FA-4428-8BEF-51505C0FD8A1}"/>
            </c:ext>
          </c:extLst>
        </c:ser>
        <c:ser>
          <c:idx val="4"/>
          <c:order val="3"/>
          <c:tx>
            <c:strRef>
              <c:f>'Western population'!$A$5</c:f>
              <c:strCache>
                <c:ptCount val="1"/>
                <c:pt idx="0">
                  <c:v>Netherlands</c:v>
                </c:pt>
              </c:strCache>
            </c:strRef>
          </c:tx>
          <c:spPr>
            <a:ln>
              <a:solidFill>
                <a:schemeClr val="tx1"/>
              </a:solidFill>
              <a:prstDash val="lgDash"/>
            </a:ln>
          </c:spPr>
          <c:marker>
            <c:symbol val="none"/>
          </c:marker>
          <c:cat>
            <c:numRef>
              <c:f>'Western population'!$B$1:$AX$1</c:f>
              <c:numCache>
                <c:formatCode>General</c:formatCode>
                <c:ptCount val="49"/>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numCache>
            </c:numRef>
          </c:cat>
          <c:val>
            <c:numRef>
              <c:f>'Western population'!$B$5:$AX$5</c:f>
              <c:numCache>
                <c:formatCode>General</c:formatCode>
                <c:ptCount val="49"/>
                <c:pt idx="18">
                  <c:v>150</c:v>
                </c:pt>
                <c:pt idx="19">
                  <c:v>141</c:v>
                </c:pt>
                <c:pt idx="20">
                  <c:v>128</c:v>
                </c:pt>
                <c:pt idx="21">
                  <c:v>119</c:v>
                </c:pt>
                <c:pt idx="22">
                  <c:v>101</c:v>
                </c:pt>
                <c:pt idx="23">
                  <c:v>97</c:v>
                </c:pt>
                <c:pt idx="24">
                  <c:v>100</c:v>
                </c:pt>
                <c:pt idx="25">
                  <c:v>78</c:v>
                </c:pt>
                <c:pt idx="26">
                  <c:v>76</c:v>
                </c:pt>
                <c:pt idx="27">
                  <c:v>77</c:v>
                </c:pt>
                <c:pt idx="28">
                  <c:v>63</c:v>
                </c:pt>
                <c:pt idx="29">
                  <c:v>74</c:v>
                </c:pt>
                <c:pt idx="30">
                  <c:v>72</c:v>
                </c:pt>
                <c:pt idx="31">
                  <c:v>65</c:v>
                </c:pt>
                <c:pt idx="32">
                  <c:v>55</c:v>
                </c:pt>
                <c:pt idx="33">
                  <c:v>44</c:v>
                </c:pt>
                <c:pt idx="34">
                  <c:v>42</c:v>
                </c:pt>
                <c:pt idx="35">
                  <c:v>36</c:v>
                </c:pt>
                <c:pt idx="36">
                  <c:v>33</c:v>
                </c:pt>
                <c:pt idx="37">
                  <c:v>32</c:v>
                </c:pt>
                <c:pt idx="38">
                  <c:v>32</c:v>
                </c:pt>
                <c:pt idx="39">
                  <c:v>33</c:v>
                </c:pt>
                <c:pt idx="40">
                  <c:v>34</c:v>
                </c:pt>
                <c:pt idx="41">
                  <c:v>36</c:v>
                </c:pt>
                <c:pt idx="42">
                  <c:v>27</c:v>
                </c:pt>
                <c:pt idx="43">
                  <c:v>22</c:v>
                </c:pt>
                <c:pt idx="44">
                  <c:v>21</c:v>
                </c:pt>
                <c:pt idx="45">
                  <c:v>20</c:v>
                </c:pt>
                <c:pt idx="46">
                  <c:v>18</c:v>
                </c:pt>
                <c:pt idx="47">
                  <c:v>13</c:v>
                </c:pt>
                <c:pt idx="48">
                  <c:v>13</c:v>
                </c:pt>
              </c:numCache>
            </c:numRef>
          </c:val>
          <c:smooth val="0"/>
          <c:extLst>
            <c:ext xmlns:c16="http://schemas.microsoft.com/office/drawing/2014/chart" uri="{C3380CC4-5D6E-409C-BE32-E72D297353CC}">
              <c16:uniqueId val="{00000003-A6FA-4428-8BEF-51505C0FD8A1}"/>
            </c:ext>
          </c:extLst>
        </c:ser>
        <c:ser>
          <c:idx val="5"/>
          <c:order val="4"/>
          <c:tx>
            <c:strRef>
              <c:f>'Western population'!$A$6</c:f>
              <c:strCache>
                <c:ptCount val="1"/>
                <c:pt idx="0">
                  <c:v>Portugal</c:v>
                </c:pt>
              </c:strCache>
            </c:strRef>
          </c:tx>
          <c:spPr>
            <a:ln>
              <a:solidFill>
                <a:prstClr val="black"/>
              </a:solidFill>
            </a:ln>
          </c:spPr>
          <c:marker>
            <c:symbol val="none"/>
          </c:marker>
          <c:cat>
            <c:numRef>
              <c:f>'Western population'!$B$1:$AX$1</c:f>
              <c:numCache>
                <c:formatCode>General</c:formatCode>
                <c:ptCount val="49"/>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numCache>
            </c:numRef>
          </c:cat>
          <c:val>
            <c:numRef>
              <c:f>'Western population'!$B$6:$AX$6</c:f>
              <c:numCache>
                <c:formatCode>General</c:formatCode>
                <c:ptCount val="49"/>
                <c:pt idx="38">
                  <c:v>100</c:v>
                </c:pt>
                <c:pt idx="39">
                  <c:v>91</c:v>
                </c:pt>
                <c:pt idx="40">
                  <c:v>79</c:v>
                </c:pt>
                <c:pt idx="41">
                  <c:v>70</c:v>
                </c:pt>
                <c:pt idx="42">
                  <c:v>56</c:v>
                </c:pt>
                <c:pt idx="43">
                  <c:v>48</c:v>
                </c:pt>
                <c:pt idx="44">
                  <c:v>59</c:v>
                </c:pt>
                <c:pt idx="45">
                  <c:v>48</c:v>
                </c:pt>
                <c:pt idx="46">
                  <c:v>36</c:v>
                </c:pt>
                <c:pt idx="47">
                  <c:v>30</c:v>
                </c:pt>
                <c:pt idx="48">
                  <c:v>46</c:v>
                </c:pt>
              </c:numCache>
            </c:numRef>
          </c:val>
          <c:smooth val="0"/>
          <c:extLst>
            <c:ext xmlns:c16="http://schemas.microsoft.com/office/drawing/2014/chart" uri="{C3380CC4-5D6E-409C-BE32-E72D297353CC}">
              <c16:uniqueId val="{00000004-A6FA-4428-8BEF-51505C0FD8A1}"/>
            </c:ext>
          </c:extLst>
        </c:ser>
        <c:ser>
          <c:idx val="6"/>
          <c:order val="5"/>
          <c:tx>
            <c:strRef>
              <c:f>'Western population'!$A$7</c:f>
              <c:strCache>
                <c:ptCount val="1"/>
                <c:pt idx="0">
                  <c:v>Spain</c:v>
                </c:pt>
              </c:strCache>
            </c:strRef>
          </c:tx>
          <c:spPr>
            <a:ln>
              <a:solidFill>
                <a:prstClr val="black"/>
              </a:solidFill>
              <a:prstDash val="sysDash"/>
            </a:ln>
          </c:spPr>
          <c:marker>
            <c:symbol val="none"/>
          </c:marker>
          <c:cat>
            <c:numRef>
              <c:f>'Western population'!$B$1:$AX$1</c:f>
              <c:numCache>
                <c:formatCode>General</c:formatCode>
                <c:ptCount val="49"/>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numCache>
            </c:numRef>
          </c:cat>
          <c:val>
            <c:numRef>
              <c:f>'Western population'!$B$7:$AX$7</c:f>
              <c:numCache>
                <c:formatCode>General</c:formatCode>
                <c:ptCount val="49"/>
                <c:pt idx="32">
                  <c:v>100</c:v>
                </c:pt>
                <c:pt idx="33">
                  <c:v>92</c:v>
                </c:pt>
                <c:pt idx="34">
                  <c:v>91</c:v>
                </c:pt>
                <c:pt idx="35">
                  <c:v>96</c:v>
                </c:pt>
                <c:pt idx="36">
                  <c:v>94</c:v>
                </c:pt>
                <c:pt idx="37">
                  <c:v>90</c:v>
                </c:pt>
                <c:pt idx="38">
                  <c:v>104</c:v>
                </c:pt>
                <c:pt idx="39">
                  <c:v>100</c:v>
                </c:pt>
                <c:pt idx="40">
                  <c:v>98</c:v>
                </c:pt>
                <c:pt idx="41">
                  <c:v>107</c:v>
                </c:pt>
                <c:pt idx="42">
                  <c:v>89</c:v>
                </c:pt>
                <c:pt idx="43">
                  <c:v>90</c:v>
                </c:pt>
                <c:pt idx="44">
                  <c:v>76</c:v>
                </c:pt>
                <c:pt idx="45">
                  <c:v>80</c:v>
                </c:pt>
                <c:pt idx="46">
                  <c:v>72</c:v>
                </c:pt>
                <c:pt idx="47">
                  <c:v>70</c:v>
                </c:pt>
                <c:pt idx="48">
                  <c:v>75</c:v>
                </c:pt>
              </c:numCache>
            </c:numRef>
          </c:val>
          <c:smooth val="0"/>
          <c:extLst>
            <c:ext xmlns:c16="http://schemas.microsoft.com/office/drawing/2014/chart" uri="{C3380CC4-5D6E-409C-BE32-E72D297353CC}">
              <c16:uniqueId val="{00000005-A6FA-4428-8BEF-51505C0FD8A1}"/>
            </c:ext>
          </c:extLst>
        </c:ser>
        <c:ser>
          <c:idx val="7"/>
          <c:order val="6"/>
          <c:tx>
            <c:strRef>
              <c:f>'Western population'!$A$8</c:f>
              <c:strCache>
                <c:ptCount val="1"/>
                <c:pt idx="0">
                  <c:v>United Kingdom</c:v>
                </c:pt>
              </c:strCache>
            </c:strRef>
          </c:tx>
          <c:spPr>
            <a:ln>
              <a:solidFill>
                <a:schemeClr val="bg1">
                  <a:lumMod val="75000"/>
                </a:schemeClr>
              </a:solidFill>
              <a:prstDash val="sysDot"/>
            </a:ln>
          </c:spPr>
          <c:marker>
            <c:symbol val="none"/>
          </c:marker>
          <c:cat>
            <c:numRef>
              <c:f>'Western population'!$B$1:$AX$1</c:f>
              <c:numCache>
                <c:formatCode>General</c:formatCode>
                <c:ptCount val="49"/>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numCache>
            </c:numRef>
          </c:cat>
          <c:val>
            <c:numRef>
              <c:f>'Western population'!$B$8:$AX$8</c:f>
              <c:numCache>
                <c:formatCode>General</c:formatCode>
                <c:ptCount val="49"/>
                <c:pt idx="0">
                  <c:v>100</c:v>
                </c:pt>
                <c:pt idx="1">
                  <c:v>96</c:v>
                </c:pt>
                <c:pt idx="2">
                  <c:v>104</c:v>
                </c:pt>
                <c:pt idx="3">
                  <c:v>110</c:v>
                </c:pt>
                <c:pt idx="4">
                  <c:v>114</c:v>
                </c:pt>
                <c:pt idx="5">
                  <c:v>110</c:v>
                </c:pt>
                <c:pt idx="6">
                  <c:v>104</c:v>
                </c:pt>
                <c:pt idx="7">
                  <c:v>106</c:v>
                </c:pt>
                <c:pt idx="8">
                  <c:v>108</c:v>
                </c:pt>
                <c:pt idx="9">
                  <c:v>95</c:v>
                </c:pt>
                <c:pt idx="10">
                  <c:v>119</c:v>
                </c:pt>
                <c:pt idx="11">
                  <c:v>101</c:v>
                </c:pt>
                <c:pt idx="12">
                  <c:v>97</c:v>
                </c:pt>
                <c:pt idx="13">
                  <c:v>103</c:v>
                </c:pt>
                <c:pt idx="14">
                  <c:v>91</c:v>
                </c:pt>
                <c:pt idx="15">
                  <c:v>86</c:v>
                </c:pt>
                <c:pt idx="16">
                  <c:v>78</c:v>
                </c:pt>
                <c:pt idx="17">
                  <c:v>79</c:v>
                </c:pt>
                <c:pt idx="18">
                  <c:v>67</c:v>
                </c:pt>
                <c:pt idx="19">
                  <c:v>60</c:v>
                </c:pt>
                <c:pt idx="20">
                  <c:v>64</c:v>
                </c:pt>
                <c:pt idx="21">
                  <c:v>65</c:v>
                </c:pt>
                <c:pt idx="22">
                  <c:v>50</c:v>
                </c:pt>
                <c:pt idx="23">
                  <c:v>51</c:v>
                </c:pt>
                <c:pt idx="24">
                  <c:v>51</c:v>
                </c:pt>
                <c:pt idx="25">
                  <c:v>42</c:v>
                </c:pt>
                <c:pt idx="26">
                  <c:v>52</c:v>
                </c:pt>
                <c:pt idx="27">
                  <c:v>39</c:v>
                </c:pt>
                <c:pt idx="28">
                  <c:v>36</c:v>
                </c:pt>
                <c:pt idx="29">
                  <c:v>40</c:v>
                </c:pt>
                <c:pt idx="30">
                  <c:v>38</c:v>
                </c:pt>
                <c:pt idx="31">
                  <c:v>33</c:v>
                </c:pt>
                <c:pt idx="32">
                  <c:v>35</c:v>
                </c:pt>
                <c:pt idx="33">
                  <c:v>30</c:v>
                </c:pt>
                <c:pt idx="34">
                  <c:v>30</c:v>
                </c:pt>
                <c:pt idx="35">
                  <c:v>30</c:v>
                </c:pt>
                <c:pt idx="36">
                  <c:v>25</c:v>
                </c:pt>
                <c:pt idx="37">
                  <c:v>23</c:v>
                </c:pt>
                <c:pt idx="38">
                  <c:v>21</c:v>
                </c:pt>
                <c:pt idx="39">
                  <c:v>21</c:v>
                </c:pt>
                <c:pt idx="40">
                  <c:v>15</c:v>
                </c:pt>
                <c:pt idx="41">
                  <c:v>13</c:v>
                </c:pt>
                <c:pt idx="42">
                  <c:v>10</c:v>
                </c:pt>
                <c:pt idx="43">
                  <c:v>10</c:v>
                </c:pt>
                <c:pt idx="44">
                  <c:v>8</c:v>
                </c:pt>
                <c:pt idx="45">
                  <c:v>6</c:v>
                </c:pt>
                <c:pt idx="46">
                  <c:v>4</c:v>
                </c:pt>
                <c:pt idx="47">
                  <c:v>4</c:v>
                </c:pt>
                <c:pt idx="48">
                  <c:v>3</c:v>
                </c:pt>
              </c:numCache>
            </c:numRef>
          </c:val>
          <c:smooth val="0"/>
          <c:extLst>
            <c:ext xmlns:c16="http://schemas.microsoft.com/office/drawing/2014/chart" uri="{C3380CC4-5D6E-409C-BE32-E72D297353CC}">
              <c16:uniqueId val="{00000006-A6FA-4428-8BEF-51505C0FD8A1}"/>
            </c:ext>
          </c:extLst>
        </c:ser>
        <c:dLbls>
          <c:showLegendKey val="0"/>
          <c:showVal val="0"/>
          <c:showCatName val="0"/>
          <c:showSerName val="0"/>
          <c:showPercent val="0"/>
          <c:showBubbleSize val="0"/>
        </c:dLbls>
        <c:smooth val="0"/>
        <c:axId val="2127520920"/>
        <c:axId val="2127526184"/>
      </c:lineChart>
      <c:catAx>
        <c:axId val="2127520920"/>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2127526184"/>
        <c:crosses val="autoZero"/>
        <c:auto val="1"/>
        <c:lblAlgn val="ctr"/>
        <c:lblOffset val="100"/>
        <c:noMultiLvlLbl val="0"/>
      </c:catAx>
      <c:valAx>
        <c:axId val="2127526184"/>
        <c:scaling>
          <c:orientation val="minMax"/>
        </c:scaling>
        <c:delete val="0"/>
        <c:axPos val="l"/>
        <c:title>
          <c:tx>
            <c:rich>
              <a:bodyPr rot="-5400000" vert="horz"/>
              <a:lstStyle/>
              <a:p>
                <a:pPr>
                  <a:defRPr/>
                </a:pPr>
                <a:r>
                  <a:rPr lang="en-GB"/>
                  <a:t>Population index</a:t>
                </a:r>
              </a:p>
            </c:rich>
          </c:tx>
          <c:overlay val="0"/>
        </c:title>
        <c:numFmt formatCode="General" sourceLinked="1"/>
        <c:majorTickMark val="out"/>
        <c:minorTickMark val="none"/>
        <c:tickLblPos val="nextTo"/>
        <c:crossAx val="2127520920"/>
        <c:crosses val="autoZero"/>
        <c:crossBetween val="between"/>
      </c:valAx>
    </c:plotArea>
    <c:legend>
      <c:legendPos val="b"/>
      <c:layout>
        <c:manualLayout>
          <c:xMode val="edge"/>
          <c:yMode val="edge"/>
          <c:x val="0"/>
          <c:y val="0.89904679597977399"/>
          <c:w val="1"/>
          <c:h val="7.3852933017520703E-2"/>
        </c:manualLayout>
      </c:layout>
      <c:overlay val="0"/>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2"/>
          <c:order val="0"/>
          <c:tx>
            <c:strRef>
              <c:f>'ET,LV,LT'!$A$2</c:f>
              <c:strCache>
                <c:ptCount val="1"/>
                <c:pt idx="0">
                  <c:v>Estonia</c:v>
                </c:pt>
              </c:strCache>
            </c:strRef>
          </c:tx>
          <c:spPr>
            <a:ln>
              <a:solidFill>
                <a:schemeClr val="tx1"/>
              </a:solidFill>
              <a:prstDash val="dash"/>
            </a:ln>
          </c:spPr>
          <c:marker>
            <c:symbol val="none"/>
          </c:marker>
          <c:cat>
            <c:numRef>
              <c:f>'ET,LV,LT'!$B$1:$AG$1</c:f>
              <c:numCache>
                <c:formatCode>General</c:formatCode>
                <c:ptCount val="32"/>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numCache>
            </c:numRef>
          </c:cat>
          <c:val>
            <c:numRef>
              <c:f>'ET,LV,LT'!$B$2:$AG$2</c:f>
              <c:numCache>
                <c:formatCode>General</c:formatCode>
                <c:ptCount val="32"/>
                <c:pt idx="0">
                  <c:v>71</c:v>
                </c:pt>
                <c:pt idx="1">
                  <c:v>100</c:v>
                </c:pt>
                <c:pt idx="2">
                  <c:v>92</c:v>
                </c:pt>
                <c:pt idx="3">
                  <c:v>107</c:v>
                </c:pt>
                <c:pt idx="4">
                  <c:v>99</c:v>
                </c:pt>
                <c:pt idx="5">
                  <c:v>114</c:v>
                </c:pt>
                <c:pt idx="6">
                  <c:v>124</c:v>
                </c:pt>
                <c:pt idx="7">
                  <c:v>124</c:v>
                </c:pt>
                <c:pt idx="8">
                  <c:v>84</c:v>
                </c:pt>
                <c:pt idx="9">
                  <c:v>86</c:v>
                </c:pt>
                <c:pt idx="10">
                  <c:v>106</c:v>
                </c:pt>
                <c:pt idx="11">
                  <c:v>68</c:v>
                </c:pt>
                <c:pt idx="12">
                  <c:v>90</c:v>
                </c:pt>
                <c:pt idx="13">
                  <c:v>127</c:v>
                </c:pt>
                <c:pt idx="14">
                  <c:v>87</c:v>
                </c:pt>
                <c:pt idx="15">
                  <c:v>39</c:v>
                </c:pt>
                <c:pt idx="16">
                  <c:v>69</c:v>
                </c:pt>
                <c:pt idx="17">
                  <c:v>47</c:v>
                </c:pt>
                <c:pt idx="18">
                  <c:v>69</c:v>
                </c:pt>
                <c:pt idx="19">
                  <c:v>69</c:v>
                </c:pt>
                <c:pt idx="20">
                  <c:v>44</c:v>
                </c:pt>
                <c:pt idx="21">
                  <c:v>66</c:v>
                </c:pt>
                <c:pt idx="22">
                  <c:v>62</c:v>
                </c:pt>
                <c:pt idx="23">
                  <c:v>30</c:v>
                </c:pt>
                <c:pt idx="24">
                  <c:v>91</c:v>
                </c:pt>
                <c:pt idx="25">
                  <c:v>38</c:v>
                </c:pt>
                <c:pt idx="26">
                  <c:v>35</c:v>
                </c:pt>
                <c:pt idx="27">
                  <c:v>37</c:v>
                </c:pt>
                <c:pt idx="28">
                  <c:v>42</c:v>
                </c:pt>
                <c:pt idx="29">
                  <c:v>28</c:v>
                </c:pt>
                <c:pt idx="30">
                  <c:v>48</c:v>
                </c:pt>
                <c:pt idx="31">
                  <c:v>20</c:v>
                </c:pt>
              </c:numCache>
            </c:numRef>
          </c:val>
          <c:smooth val="0"/>
          <c:extLst>
            <c:ext xmlns:c16="http://schemas.microsoft.com/office/drawing/2014/chart" uri="{C3380CC4-5D6E-409C-BE32-E72D297353CC}">
              <c16:uniqueId val="{00000000-7227-423F-9FEC-0A87F8032834}"/>
            </c:ext>
          </c:extLst>
        </c:ser>
        <c:ser>
          <c:idx val="3"/>
          <c:order val="1"/>
          <c:tx>
            <c:strRef>
              <c:f>'ET,LV,LT'!$A$3</c:f>
              <c:strCache>
                <c:ptCount val="1"/>
                <c:pt idx="0">
                  <c:v>Latvia</c:v>
                </c:pt>
              </c:strCache>
            </c:strRef>
          </c:tx>
          <c:spPr>
            <a:ln>
              <a:solidFill>
                <a:prstClr val="black"/>
              </a:solidFill>
            </a:ln>
          </c:spPr>
          <c:marker>
            <c:symbol val="none"/>
          </c:marker>
          <c:cat>
            <c:numRef>
              <c:f>'ET,LV,LT'!$B$1:$AG$1</c:f>
              <c:numCache>
                <c:formatCode>General</c:formatCode>
                <c:ptCount val="32"/>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numCache>
            </c:numRef>
          </c:cat>
          <c:val>
            <c:numRef>
              <c:f>'ET,LV,LT'!$B$3:$AG$3</c:f>
              <c:numCache>
                <c:formatCode>General</c:formatCode>
                <c:ptCount val="32"/>
                <c:pt idx="12">
                  <c:v>100</c:v>
                </c:pt>
                <c:pt idx="13">
                  <c:v>110</c:v>
                </c:pt>
                <c:pt idx="14">
                  <c:v>60</c:v>
                </c:pt>
                <c:pt idx="15">
                  <c:v>110</c:v>
                </c:pt>
                <c:pt idx="16">
                  <c:v>170</c:v>
                </c:pt>
                <c:pt idx="17">
                  <c:v>90</c:v>
                </c:pt>
                <c:pt idx="18">
                  <c:v>120</c:v>
                </c:pt>
                <c:pt idx="19">
                  <c:v>50</c:v>
                </c:pt>
                <c:pt idx="20">
                  <c:v>110</c:v>
                </c:pt>
                <c:pt idx="21">
                  <c:v>50</c:v>
                </c:pt>
                <c:pt idx="22">
                  <c:v>128</c:v>
                </c:pt>
                <c:pt idx="23">
                  <c:v>92</c:v>
                </c:pt>
                <c:pt idx="24">
                  <c:v>94</c:v>
                </c:pt>
                <c:pt idx="25">
                  <c:v>98</c:v>
                </c:pt>
                <c:pt idx="26">
                  <c:v>73</c:v>
                </c:pt>
                <c:pt idx="27">
                  <c:v>90</c:v>
                </c:pt>
                <c:pt idx="28">
                  <c:v>94</c:v>
                </c:pt>
                <c:pt idx="29">
                  <c:v>118</c:v>
                </c:pt>
                <c:pt idx="30">
                  <c:v>73</c:v>
                </c:pt>
                <c:pt idx="31">
                  <c:v>16</c:v>
                </c:pt>
              </c:numCache>
            </c:numRef>
          </c:val>
          <c:smooth val="0"/>
          <c:extLst>
            <c:ext xmlns:c16="http://schemas.microsoft.com/office/drawing/2014/chart" uri="{C3380CC4-5D6E-409C-BE32-E72D297353CC}">
              <c16:uniqueId val="{00000001-7227-423F-9FEC-0A87F8032834}"/>
            </c:ext>
          </c:extLst>
        </c:ser>
        <c:ser>
          <c:idx val="0"/>
          <c:order val="2"/>
          <c:tx>
            <c:strRef>
              <c:f>'ET,LV,LT'!$A$4</c:f>
              <c:strCache>
                <c:ptCount val="1"/>
                <c:pt idx="0">
                  <c:v>Lithuania</c:v>
                </c:pt>
              </c:strCache>
            </c:strRef>
          </c:tx>
          <c:spPr>
            <a:ln>
              <a:solidFill>
                <a:schemeClr val="bg1">
                  <a:lumMod val="75000"/>
                </a:schemeClr>
              </a:solidFill>
              <a:prstDash val="solid"/>
            </a:ln>
          </c:spPr>
          <c:marker>
            <c:symbol val="none"/>
          </c:marker>
          <c:cat>
            <c:numRef>
              <c:f>'ET,LV,LT'!$B$1:$AG$1</c:f>
              <c:numCache>
                <c:formatCode>General</c:formatCode>
                <c:ptCount val="32"/>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numCache>
            </c:numRef>
          </c:cat>
          <c:val>
            <c:numRef>
              <c:f>'ET,LV,LT'!$B$4:$AG$4</c:f>
              <c:numCache>
                <c:formatCode>General</c:formatCode>
                <c:ptCount val="32"/>
                <c:pt idx="28">
                  <c:v>100</c:v>
                </c:pt>
                <c:pt idx="29">
                  <c:v>99</c:v>
                </c:pt>
                <c:pt idx="30">
                  <c:v>128</c:v>
                </c:pt>
                <c:pt idx="31">
                  <c:v>75</c:v>
                </c:pt>
              </c:numCache>
            </c:numRef>
          </c:val>
          <c:smooth val="0"/>
          <c:extLst>
            <c:ext xmlns:c16="http://schemas.microsoft.com/office/drawing/2014/chart" uri="{C3380CC4-5D6E-409C-BE32-E72D297353CC}">
              <c16:uniqueId val="{00000002-7227-423F-9FEC-0A87F8032834}"/>
            </c:ext>
          </c:extLst>
        </c:ser>
        <c:ser>
          <c:idx val="4"/>
          <c:order val="3"/>
          <c:tx>
            <c:strRef>
              <c:f>'ET,LV,LT'!$A$5</c:f>
              <c:strCache>
                <c:ptCount val="1"/>
                <c:pt idx="0">
                  <c:v>Poland</c:v>
                </c:pt>
              </c:strCache>
            </c:strRef>
          </c:tx>
          <c:spPr>
            <a:ln>
              <a:solidFill>
                <a:schemeClr val="bg1">
                  <a:lumMod val="75000"/>
                </a:schemeClr>
              </a:solidFill>
              <a:prstDash val="dash"/>
            </a:ln>
          </c:spPr>
          <c:marker>
            <c:symbol val="none"/>
          </c:marker>
          <c:cat>
            <c:numRef>
              <c:f>'ET,LV,LT'!$B$1:$AG$1</c:f>
              <c:numCache>
                <c:formatCode>General</c:formatCode>
                <c:ptCount val="32"/>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numCache>
            </c:numRef>
          </c:cat>
          <c:val>
            <c:numRef>
              <c:f>'ET,LV,LT'!$B$5:$AG$5</c:f>
              <c:numCache>
                <c:formatCode>General</c:formatCode>
                <c:ptCount val="32"/>
                <c:pt idx="18">
                  <c:v>100</c:v>
                </c:pt>
                <c:pt idx="19">
                  <c:v>81</c:v>
                </c:pt>
                <c:pt idx="20">
                  <c:v>108</c:v>
                </c:pt>
                <c:pt idx="21">
                  <c:v>101</c:v>
                </c:pt>
                <c:pt idx="22">
                  <c:v>70</c:v>
                </c:pt>
                <c:pt idx="23">
                  <c:v>79</c:v>
                </c:pt>
                <c:pt idx="24">
                  <c:v>79</c:v>
                </c:pt>
                <c:pt idx="25">
                  <c:v>80</c:v>
                </c:pt>
                <c:pt idx="26">
                  <c:v>96</c:v>
                </c:pt>
                <c:pt idx="27">
                  <c:v>78</c:v>
                </c:pt>
                <c:pt idx="28">
                  <c:v>66</c:v>
                </c:pt>
                <c:pt idx="29">
                  <c:v>72</c:v>
                </c:pt>
                <c:pt idx="30">
                  <c:v>64</c:v>
                </c:pt>
                <c:pt idx="31">
                  <c:v>66</c:v>
                </c:pt>
              </c:numCache>
            </c:numRef>
          </c:val>
          <c:smooth val="0"/>
          <c:extLst>
            <c:ext xmlns:c16="http://schemas.microsoft.com/office/drawing/2014/chart" uri="{C3380CC4-5D6E-409C-BE32-E72D297353CC}">
              <c16:uniqueId val="{00000003-7227-423F-9FEC-0A87F8032834}"/>
            </c:ext>
          </c:extLst>
        </c:ser>
        <c:dLbls>
          <c:showLegendKey val="0"/>
          <c:showVal val="0"/>
          <c:showCatName val="0"/>
          <c:showSerName val="0"/>
          <c:showPercent val="0"/>
          <c:showBubbleSize val="0"/>
        </c:dLbls>
        <c:smooth val="0"/>
        <c:axId val="2125187832"/>
        <c:axId val="2125193288"/>
      </c:lineChart>
      <c:catAx>
        <c:axId val="2125187832"/>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2125193288"/>
        <c:crosses val="autoZero"/>
        <c:auto val="1"/>
        <c:lblAlgn val="ctr"/>
        <c:lblOffset val="100"/>
        <c:noMultiLvlLbl val="0"/>
      </c:catAx>
      <c:valAx>
        <c:axId val="2125193288"/>
        <c:scaling>
          <c:orientation val="minMax"/>
        </c:scaling>
        <c:delete val="0"/>
        <c:axPos val="l"/>
        <c:title>
          <c:tx>
            <c:rich>
              <a:bodyPr rot="-5400000" vert="horz"/>
              <a:lstStyle/>
              <a:p>
                <a:pPr>
                  <a:defRPr/>
                </a:pPr>
                <a:r>
                  <a:rPr lang="en-GB"/>
                  <a:t>Population index</a:t>
                </a:r>
              </a:p>
            </c:rich>
          </c:tx>
          <c:overlay val="0"/>
        </c:title>
        <c:numFmt formatCode="General" sourceLinked="1"/>
        <c:majorTickMark val="out"/>
        <c:minorTickMark val="none"/>
        <c:tickLblPos val="nextTo"/>
        <c:crossAx val="2125187832"/>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2"/>
          <c:order val="0"/>
          <c:tx>
            <c:strRef>
              <c:f>'AT,CZ,HU,IT,PL,SK,CH'!$A$2</c:f>
              <c:strCache>
                <c:ptCount val="1"/>
                <c:pt idx="0">
                  <c:v>Austria</c:v>
                </c:pt>
              </c:strCache>
            </c:strRef>
          </c:tx>
          <c:spPr>
            <a:ln>
              <a:solidFill>
                <a:schemeClr val="tx1"/>
              </a:solidFill>
              <a:prstDash val="sysDash"/>
            </a:ln>
          </c:spPr>
          <c:marker>
            <c:symbol val="none"/>
          </c:marker>
          <c:cat>
            <c:numRef>
              <c:f>'AT,CZ,HU,IT,PL,SK,CH'!$B$1:$AH$1</c:f>
              <c:numCache>
                <c:formatCode>General</c:formatCode>
                <c:ptCount val="33"/>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pt idx="30">
                  <c:v>2012</c:v>
                </c:pt>
                <c:pt idx="31">
                  <c:v>2013</c:v>
                </c:pt>
                <c:pt idx="32">
                  <c:v>2014</c:v>
                </c:pt>
              </c:numCache>
            </c:numRef>
          </c:cat>
          <c:val>
            <c:numRef>
              <c:f>'AT,CZ,HU,IT,PL,SK,CH'!$B$2:$AH$2</c:f>
              <c:numCache>
                <c:formatCode>General</c:formatCode>
                <c:ptCount val="33"/>
                <c:pt idx="16">
                  <c:v>100</c:v>
                </c:pt>
                <c:pt idx="17">
                  <c:v>108</c:v>
                </c:pt>
                <c:pt idx="18">
                  <c:v>99</c:v>
                </c:pt>
                <c:pt idx="19">
                  <c:v>109</c:v>
                </c:pt>
                <c:pt idx="20">
                  <c:v>103</c:v>
                </c:pt>
                <c:pt idx="21">
                  <c:v>93</c:v>
                </c:pt>
                <c:pt idx="22">
                  <c:v>77</c:v>
                </c:pt>
                <c:pt idx="23">
                  <c:v>83</c:v>
                </c:pt>
                <c:pt idx="24">
                  <c:v>66</c:v>
                </c:pt>
                <c:pt idx="25">
                  <c:v>75</c:v>
                </c:pt>
                <c:pt idx="26">
                  <c:v>75</c:v>
                </c:pt>
                <c:pt idx="27">
                  <c:v>75</c:v>
                </c:pt>
                <c:pt idx="28">
                  <c:v>72</c:v>
                </c:pt>
                <c:pt idx="29">
                  <c:v>63</c:v>
                </c:pt>
                <c:pt idx="30">
                  <c:v>57</c:v>
                </c:pt>
                <c:pt idx="31">
                  <c:v>68</c:v>
                </c:pt>
                <c:pt idx="32">
                  <c:v>44</c:v>
                </c:pt>
              </c:numCache>
            </c:numRef>
          </c:val>
          <c:smooth val="0"/>
          <c:extLst>
            <c:ext xmlns:c16="http://schemas.microsoft.com/office/drawing/2014/chart" uri="{C3380CC4-5D6E-409C-BE32-E72D297353CC}">
              <c16:uniqueId val="{00000000-330C-422F-A141-D92C79993112}"/>
            </c:ext>
          </c:extLst>
        </c:ser>
        <c:ser>
          <c:idx val="3"/>
          <c:order val="1"/>
          <c:tx>
            <c:strRef>
              <c:f>'AT,CZ,HU,IT,PL,SK,CH'!$A$3</c:f>
              <c:strCache>
                <c:ptCount val="1"/>
                <c:pt idx="0">
                  <c:v>Czech Republic</c:v>
                </c:pt>
              </c:strCache>
            </c:strRef>
          </c:tx>
          <c:spPr>
            <a:ln>
              <a:solidFill>
                <a:schemeClr val="tx1"/>
              </a:solidFill>
            </a:ln>
          </c:spPr>
          <c:marker>
            <c:symbol val="none"/>
          </c:marker>
          <c:cat>
            <c:numRef>
              <c:f>'AT,CZ,HU,IT,PL,SK,CH'!$B$1:$AH$1</c:f>
              <c:numCache>
                <c:formatCode>General</c:formatCode>
                <c:ptCount val="33"/>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pt idx="30">
                  <c:v>2012</c:v>
                </c:pt>
                <c:pt idx="31">
                  <c:v>2013</c:v>
                </c:pt>
                <c:pt idx="32">
                  <c:v>2014</c:v>
                </c:pt>
              </c:numCache>
            </c:numRef>
          </c:cat>
          <c:val>
            <c:numRef>
              <c:f>'AT,CZ,HU,IT,PL,SK,CH'!$B$3:$AH$3</c:f>
              <c:numCache>
                <c:formatCode>General</c:formatCode>
                <c:ptCount val="33"/>
                <c:pt idx="0">
                  <c:v>100</c:v>
                </c:pt>
                <c:pt idx="1">
                  <c:v>118</c:v>
                </c:pt>
                <c:pt idx="2">
                  <c:v>112</c:v>
                </c:pt>
                <c:pt idx="3">
                  <c:v>87</c:v>
                </c:pt>
                <c:pt idx="4">
                  <c:v>105</c:v>
                </c:pt>
                <c:pt idx="5">
                  <c:v>84</c:v>
                </c:pt>
                <c:pt idx="6">
                  <c:v>73</c:v>
                </c:pt>
                <c:pt idx="7">
                  <c:v>89</c:v>
                </c:pt>
                <c:pt idx="8">
                  <c:v>90</c:v>
                </c:pt>
                <c:pt idx="9">
                  <c:v>79</c:v>
                </c:pt>
                <c:pt idx="10">
                  <c:v>79</c:v>
                </c:pt>
                <c:pt idx="11">
                  <c:v>96</c:v>
                </c:pt>
                <c:pt idx="12">
                  <c:v>96</c:v>
                </c:pt>
                <c:pt idx="13">
                  <c:v>86</c:v>
                </c:pt>
                <c:pt idx="14">
                  <c:v>80</c:v>
                </c:pt>
                <c:pt idx="15">
                  <c:v>88</c:v>
                </c:pt>
                <c:pt idx="16">
                  <c:v>61</c:v>
                </c:pt>
                <c:pt idx="17">
                  <c:v>68</c:v>
                </c:pt>
                <c:pt idx="18">
                  <c:v>68</c:v>
                </c:pt>
                <c:pt idx="19">
                  <c:v>60</c:v>
                </c:pt>
                <c:pt idx="20">
                  <c:v>60</c:v>
                </c:pt>
                <c:pt idx="21">
                  <c:v>60</c:v>
                </c:pt>
                <c:pt idx="22">
                  <c:v>54</c:v>
                </c:pt>
                <c:pt idx="23">
                  <c:v>52</c:v>
                </c:pt>
                <c:pt idx="24">
                  <c:v>55</c:v>
                </c:pt>
                <c:pt idx="25">
                  <c:v>57</c:v>
                </c:pt>
                <c:pt idx="26">
                  <c:v>50</c:v>
                </c:pt>
                <c:pt idx="27">
                  <c:v>55</c:v>
                </c:pt>
                <c:pt idx="28">
                  <c:v>62</c:v>
                </c:pt>
                <c:pt idx="29">
                  <c:v>51</c:v>
                </c:pt>
                <c:pt idx="30">
                  <c:v>48</c:v>
                </c:pt>
                <c:pt idx="31">
                  <c:v>42</c:v>
                </c:pt>
                <c:pt idx="32">
                  <c:v>38</c:v>
                </c:pt>
              </c:numCache>
            </c:numRef>
          </c:val>
          <c:smooth val="0"/>
          <c:extLst>
            <c:ext xmlns:c16="http://schemas.microsoft.com/office/drawing/2014/chart" uri="{C3380CC4-5D6E-409C-BE32-E72D297353CC}">
              <c16:uniqueId val="{00000001-330C-422F-A141-D92C79993112}"/>
            </c:ext>
          </c:extLst>
        </c:ser>
        <c:ser>
          <c:idx val="4"/>
          <c:order val="2"/>
          <c:tx>
            <c:strRef>
              <c:f>'AT,CZ,HU,IT,PL,SK,CH'!$A$4</c:f>
              <c:strCache>
                <c:ptCount val="1"/>
                <c:pt idx="0">
                  <c:v>Hungary</c:v>
                </c:pt>
              </c:strCache>
            </c:strRef>
          </c:tx>
          <c:spPr>
            <a:ln>
              <a:solidFill>
                <a:schemeClr val="bg1">
                  <a:lumMod val="75000"/>
                </a:schemeClr>
              </a:solidFill>
            </a:ln>
          </c:spPr>
          <c:marker>
            <c:symbol val="none"/>
          </c:marker>
          <c:cat>
            <c:numRef>
              <c:f>'AT,CZ,HU,IT,PL,SK,CH'!$B$1:$AH$1</c:f>
              <c:numCache>
                <c:formatCode>General</c:formatCode>
                <c:ptCount val="33"/>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pt idx="30">
                  <c:v>2012</c:v>
                </c:pt>
                <c:pt idx="31">
                  <c:v>2013</c:v>
                </c:pt>
                <c:pt idx="32">
                  <c:v>2014</c:v>
                </c:pt>
              </c:numCache>
            </c:numRef>
          </c:cat>
          <c:val>
            <c:numRef>
              <c:f>'AT,CZ,HU,IT,PL,SK,CH'!$B$4:$AH$4</c:f>
              <c:numCache>
                <c:formatCode>General</c:formatCode>
                <c:ptCount val="33"/>
                <c:pt idx="17">
                  <c:v>100</c:v>
                </c:pt>
                <c:pt idx="18">
                  <c:v>100</c:v>
                </c:pt>
                <c:pt idx="19">
                  <c:v>106</c:v>
                </c:pt>
                <c:pt idx="20">
                  <c:v>106</c:v>
                </c:pt>
                <c:pt idx="21">
                  <c:v>127</c:v>
                </c:pt>
                <c:pt idx="22">
                  <c:v>101</c:v>
                </c:pt>
                <c:pt idx="23">
                  <c:v>113</c:v>
                </c:pt>
                <c:pt idx="24">
                  <c:v>91</c:v>
                </c:pt>
                <c:pt idx="25">
                  <c:v>101</c:v>
                </c:pt>
                <c:pt idx="26">
                  <c:v>106</c:v>
                </c:pt>
                <c:pt idx="27">
                  <c:v>120</c:v>
                </c:pt>
                <c:pt idx="28">
                  <c:v>97</c:v>
                </c:pt>
                <c:pt idx="29">
                  <c:v>91</c:v>
                </c:pt>
                <c:pt idx="30">
                  <c:v>106</c:v>
                </c:pt>
                <c:pt idx="31">
                  <c:v>106</c:v>
                </c:pt>
                <c:pt idx="32">
                  <c:v>100</c:v>
                </c:pt>
              </c:numCache>
            </c:numRef>
          </c:val>
          <c:smooth val="0"/>
          <c:extLst>
            <c:ext xmlns:c16="http://schemas.microsoft.com/office/drawing/2014/chart" uri="{C3380CC4-5D6E-409C-BE32-E72D297353CC}">
              <c16:uniqueId val="{00000002-330C-422F-A141-D92C79993112}"/>
            </c:ext>
          </c:extLst>
        </c:ser>
        <c:ser>
          <c:idx val="5"/>
          <c:order val="3"/>
          <c:tx>
            <c:strRef>
              <c:f>'AT,CZ,HU,IT,PL,SK,CH'!$A$5</c:f>
              <c:strCache>
                <c:ptCount val="1"/>
                <c:pt idx="0">
                  <c:v>Italy</c:v>
                </c:pt>
              </c:strCache>
            </c:strRef>
          </c:tx>
          <c:spPr>
            <a:ln>
              <a:solidFill>
                <a:schemeClr val="bg1">
                  <a:lumMod val="75000"/>
                </a:schemeClr>
              </a:solidFill>
              <a:prstDash val="dash"/>
            </a:ln>
          </c:spPr>
          <c:marker>
            <c:symbol val="none"/>
          </c:marker>
          <c:cat>
            <c:numRef>
              <c:f>'AT,CZ,HU,IT,PL,SK,CH'!$B$1:$AH$1</c:f>
              <c:numCache>
                <c:formatCode>General</c:formatCode>
                <c:ptCount val="33"/>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pt idx="30">
                  <c:v>2012</c:v>
                </c:pt>
                <c:pt idx="31">
                  <c:v>2013</c:v>
                </c:pt>
                <c:pt idx="32">
                  <c:v>2014</c:v>
                </c:pt>
              </c:numCache>
            </c:numRef>
          </c:cat>
          <c:val>
            <c:numRef>
              <c:f>'AT,CZ,HU,IT,PL,SK,CH'!$B$5:$AH$5</c:f>
              <c:numCache>
                <c:formatCode>General</c:formatCode>
                <c:ptCount val="33"/>
                <c:pt idx="18">
                  <c:v>100</c:v>
                </c:pt>
                <c:pt idx="19">
                  <c:v>105</c:v>
                </c:pt>
                <c:pt idx="20">
                  <c:v>96</c:v>
                </c:pt>
                <c:pt idx="21">
                  <c:v>107</c:v>
                </c:pt>
                <c:pt idx="22">
                  <c:v>117</c:v>
                </c:pt>
                <c:pt idx="23">
                  <c:v>110</c:v>
                </c:pt>
                <c:pt idx="24">
                  <c:v>103</c:v>
                </c:pt>
                <c:pt idx="25">
                  <c:v>104</c:v>
                </c:pt>
                <c:pt idx="26">
                  <c:v>108</c:v>
                </c:pt>
                <c:pt idx="27">
                  <c:v>115</c:v>
                </c:pt>
                <c:pt idx="28">
                  <c:v>113</c:v>
                </c:pt>
                <c:pt idx="29">
                  <c:v>110</c:v>
                </c:pt>
                <c:pt idx="30">
                  <c:v>111</c:v>
                </c:pt>
                <c:pt idx="31">
                  <c:v>109</c:v>
                </c:pt>
                <c:pt idx="32">
                  <c:v>95</c:v>
                </c:pt>
              </c:numCache>
            </c:numRef>
          </c:val>
          <c:smooth val="0"/>
          <c:extLst>
            <c:ext xmlns:c16="http://schemas.microsoft.com/office/drawing/2014/chart" uri="{C3380CC4-5D6E-409C-BE32-E72D297353CC}">
              <c16:uniqueId val="{00000003-330C-422F-A141-D92C79993112}"/>
            </c:ext>
          </c:extLst>
        </c:ser>
        <c:ser>
          <c:idx val="6"/>
          <c:order val="4"/>
          <c:tx>
            <c:strRef>
              <c:f>'AT,CZ,HU,IT,PL,SK,CH'!$A$6</c:f>
              <c:strCache>
                <c:ptCount val="1"/>
                <c:pt idx="0">
                  <c:v>Slovakia</c:v>
                </c:pt>
              </c:strCache>
            </c:strRef>
          </c:tx>
          <c:spPr>
            <a:ln>
              <a:solidFill>
                <a:schemeClr val="bg1">
                  <a:lumMod val="75000"/>
                </a:schemeClr>
              </a:solidFill>
              <a:prstDash val="sysDash"/>
            </a:ln>
          </c:spPr>
          <c:marker>
            <c:symbol val="none"/>
          </c:marker>
          <c:cat>
            <c:numRef>
              <c:f>'AT,CZ,HU,IT,PL,SK,CH'!$B$1:$AH$1</c:f>
              <c:numCache>
                <c:formatCode>General</c:formatCode>
                <c:ptCount val="33"/>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pt idx="30">
                  <c:v>2012</c:v>
                </c:pt>
                <c:pt idx="31">
                  <c:v>2013</c:v>
                </c:pt>
                <c:pt idx="32">
                  <c:v>2014</c:v>
                </c:pt>
              </c:numCache>
            </c:numRef>
          </c:cat>
          <c:val>
            <c:numRef>
              <c:f>'AT,CZ,HU,IT,PL,SK,CH'!$B$6:$AH$6</c:f>
              <c:numCache>
                <c:formatCode>General</c:formatCode>
                <c:ptCount val="33"/>
                <c:pt idx="23">
                  <c:v>100</c:v>
                </c:pt>
                <c:pt idx="24">
                  <c:v>91</c:v>
                </c:pt>
                <c:pt idx="25">
                  <c:v>80</c:v>
                </c:pt>
                <c:pt idx="26">
                  <c:v>78</c:v>
                </c:pt>
                <c:pt idx="27">
                  <c:v>95</c:v>
                </c:pt>
                <c:pt idx="28">
                  <c:v>80</c:v>
                </c:pt>
                <c:pt idx="29">
                  <c:v>58</c:v>
                </c:pt>
                <c:pt idx="30">
                  <c:v>72</c:v>
                </c:pt>
                <c:pt idx="31">
                  <c:v>68</c:v>
                </c:pt>
                <c:pt idx="32">
                  <c:v>55</c:v>
                </c:pt>
              </c:numCache>
            </c:numRef>
          </c:val>
          <c:smooth val="0"/>
          <c:extLst>
            <c:ext xmlns:c16="http://schemas.microsoft.com/office/drawing/2014/chart" uri="{C3380CC4-5D6E-409C-BE32-E72D297353CC}">
              <c16:uniqueId val="{00000004-330C-422F-A141-D92C79993112}"/>
            </c:ext>
          </c:extLst>
        </c:ser>
        <c:ser>
          <c:idx val="7"/>
          <c:order val="5"/>
          <c:tx>
            <c:strRef>
              <c:f>'AT,CZ,HU,IT,PL,SK,CH'!$A$7</c:f>
              <c:strCache>
                <c:ptCount val="1"/>
                <c:pt idx="0">
                  <c:v>Slovenia</c:v>
                </c:pt>
              </c:strCache>
            </c:strRef>
          </c:tx>
          <c:spPr>
            <a:ln>
              <a:solidFill>
                <a:schemeClr val="tx1"/>
              </a:solidFill>
              <a:prstDash val="sysDot"/>
            </a:ln>
          </c:spPr>
          <c:marker>
            <c:symbol val="none"/>
          </c:marker>
          <c:cat>
            <c:numRef>
              <c:f>'AT,CZ,HU,IT,PL,SK,CH'!$B$1:$AH$1</c:f>
              <c:numCache>
                <c:formatCode>General</c:formatCode>
                <c:ptCount val="33"/>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pt idx="30">
                  <c:v>2012</c:v>
                </c:pt>
                <c:pt idx="31">
                  <c:v>2013</c:v>
                </c:pt>
                <c:pt idx="32">
                  <c:v>2014</c:v>
                </c:pt>
              </c:numCache>
            </c:numRef>
          </c:cat>
          <c:val>
            <c:numRef>
              <c:f>'AT,CZ,HU,IT,PL,SK,CH'!$B$7:$AH$7</c:f>
              <c:numCache>
                <c:formatCode>General</c:formatCode>
                <c:ptCount val="33"/>
                <c:pt idx="25">
                  <c:v>100</c:v>
                </c:pt>
                <c:pt idx="26">
                  <c:v>161</c:v>
                </c:pt>
                <c:pt idx="27">
                  <c:v>143</c:v>
                </c:pt>
                <c:pt idx="28">
                  <c:v>109</c:v>
                </c:pt>
                <c:pt idx="29">
                  <c:v>59</c:v>
                </c:pt>
                <c:pt idx="30">
                  <c:v>89</c:v>
                </c:pt>
                <c:pt idx="31">
                  <c:v>76</c:v>
                </c:pt>
                <c:pt idx="32">
                  <c:v>73</c:v>
                </c:pt>
              </c:numCache>
            </c:numRef>
          </c:val>
          <c:smooth val="0"/>
          <c:extLst>
            <c:ext xmlns:c16="http://schemas.microsoft.com/office/drawing/2014/chart" uri="{C3380CC4-5D6E-409C-BE32-E72D297353CC}">
              <c16:uniqueId val="{00000005-330C-422F-A141-D92C79993112}"/>
            </c:ext>
          </c:extLst>
        </c:ser>
        <c:ser>
          <c:idx val="0"/>
          <c:order val="6"/>
          <c:tx>
            <c:strRef>
              <c:f>'AT,CZ,HU,IT,PL,SK,CH'!$A$8</c:f>
              <c:strCache>
                <c:ptCount val="1"/>
                <c:pt idx="0">
                  <c:v>Switzerland</c:v>
                </c:pt>
              </c:strCache>
            </c:strRef>
          </c:tx>
          <c:spPr>
            <a:ln>
              <a:solidFill>
                <a:prstClr val="black"/>
              </a:solidFill>
              <a:prstDash val="dash"/>
            </a:ln>
          </c:spPr>
          <c:marker>
            <c:symbol val="none"/>
          </c:marker>
          <c:cat>
            <c:numRef>
              <c:f>'AT,CZ,HU,IT,PL,SK,CH'!$B$1:$AH$1</c:f>
              <c:numCache>
                <c:formatCode>General</c:formatCode>
                <c:ptCount val="33"/>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pt idx="30">
                  <c:v>2012</c:v>
                </c:pt>
                <c:pt idx="31">
                  <c:v>2013</c:v>
                </c:pt>
                <c:pt idx="32">
                  <c:v>2014</c:v>
                </c:pt>
              </c:numCache>
            </c:numRef>
          </c:cat>
          <c:val>
            <c:numRef>
              <c:f>'AT,CZ,HU,IT,PL,SK,CH'!$B$8:$AH$8</c:f>
              <c:numCache>
                <c:formatCode>General</c:formatCode>
                <c:ptCount val="33"/>
                <c:pt idx="17">
                  <c:v>100</c:v>
                </c:pt>
                <c:pt idx="18">
                  <c:v>99</c:v>
                </c:pt>
                <c:pt idx="19">
                  <c:v>36</c:v>
                </c:pt>
                <c:pt idx="20">
                  <c:v>90</c:v>
                </c:pt>
                <c:pt idx="21">
                  <c:v>41</c:v>
                </c:pt>
                <c:pt idx="22">
                  <c:v>63</c:v>
                </c:pt>
                <c:pt idx="23">
                  <c:v>77</c:v>
                </c:pt>
                <c:pt idx="24">
                  <c:v>27</c:v>
                </c:pt>
                <c:pt idx="25">
                  <c:v>68</c:v>
                </c:pt>
                <c:pt idx="26">
                  <c:v>77</c:v>
                </c:pt>
                <c:pt idx="27">
                  <c:v>59</c:v>
                </c:pt>
                <c:pt idx="28">
                  <c:v>77</c:v>
                </c:pt>
                <c:pt idx="29">
                  <c:v>77</c:v>
                </c:pt>
                <c:pt idx="30">
                  <c:v>14</c:v>
                </c:pt>
                <c:pt idx="31">
                  <c:v>45</c:v>
                </c:pt>
                <c:pt idx="32">
                  <c:v>27</c:v>
                </c:pt>
              </c:numCache>
            </c:numRef>
          </c:val>
          <c:smooth val="0"/>
          <c:extLst>
            <c:ext xmlns:c16="http://schemas.microsoft.com/office/drawing/2014/chart" uri="{C3380CC4-5D6E-409C-BE32-E72D297353CC}">
              <c16:uniqueId val="{00000006-330C-422F-A141-D92C79993112}"/>
            </c:ext>
          </c:extLst>
        </c:ser>
        <c:dLbls>
          <c:showLegendKey val="0"/>
          <c:showVal val="0"/>
          <c:showCatName val="0"/>
          <c:showSerName val="0"/>
          <c:showPercent val="0"/>
          <c:showBubbleSize val="0"/>
        </c:dLbls>
        <c:smooth val="0"/>
        <c:axId val="2126623464"/>
        <c:axId val="2126618088"/>
      </c:lineChart>
      <c:catAx>
        <c:axId val="2126623464"/>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2126618088"/>
        <c:crosses val="autoZero"/>
        <c:auto val="1"/>
        <c:lblAlgn val="ctr"/>
        <c:lblOffset val="100"/>
        <c:noMultiLvlLbl val="0"/>
      </c:catAx>
      <c:valAx>
        <c:axId val="2126618088"/>
        <c:scaling>
          <c:orientation val="minMax"/>
        </c:scaling>
        <c:delete val="0"/>
        <c:axPos val="l"/>
        <c:title>
          <c:tx>
            <c:rich>
              <a:bodyPr rot="-5400000" vert="horz"/>
              <a:lstStyle/>
              <a:p>
                <a:pPr>
                  <a:defRPr/>
                </a:pPr>
                <a:r>
                  <a:rPr lang="en-GB"/>
                  <a:t>Population index</a:t>
                </a:r>
              </a:p>
            </c:rich>
          </c:tx>
          <c:overlay val="0"/>
        </c:title>
        <c:numFmt formatCode="General" sourceLinked="1"/>
        <c:majorTickMark val="out"/>
        <c:minorTickMark val="none"/>
        <c:tickLblPos val="nextTo"/>
        <c:crossAx val="2126623464"/>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2"/>
          <c:order val="0"/>
          <c:tx>
            <c:strRef>
              <c:f>'BG,CY,RO'!$A$2</c:f>
              <c:strCache>
                <c:ptCount val="1"/>
                <c:pt idx="0">
                  <c:v>Bulgaria</c:v>
                </c:pt>
              </c:strCache>
            </c:strRef>
          </c:tx>
          <c:spPr>
            <a:ln>
              <a:solidFill>
                <a:schemeClr val="bg1">
                  <a:lumMod val="75000"/>
                </a:schemeClr>
              </a:solidFill>
            </a:ln>
          </c:spPr>
          <c:marker>
            <c:symbol val="none"/>
          </c:marker>
          <c:cat>
            <c:numRef>
              <c:f>'BG,CY,RO'!$B$1:$K$1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'BG,CY,RO'!$B$2:$K$2</c:f>
              <c:numCache>
                <c:formatCode>General</c:formatCode>
                <c:ptCount val="10"/>
                <c:pt idx="0">
                  <c:v>100</c:v>
                </c:pt>
                <c:pt idx="1">
                  <c:v>108</c:v>
                </c:pt>
                <c:pt idx="2">
                  <c:v>79</c:v>
                </c:pt>
                <c:pt idx="3">
                  <c:v>93</c:v>
                </c:pt>
                <c:pt idx="4">
                  <c:v>114</c:v>
                </c:pt>
                <c:pt idx="5">
                  <c:v>84</c:v>
                </c:pt>
                <c:pt idx="6">
                  <c:v>82</c:v>
                </c:pt>
                <c:pt idx="7">
                  <c:v>99</c:v>
                </c:pt>
                <c:pt idx="8">
                  <c:v>108</c:v>
                </c:pt>
                <c:pt idx="9">
                  <c:v>83</c:v>
                </c:pt>
              </c:numCache>
            </c:numRef>
          </c:val>
          <c:smooth val="0"/>
          <c:extLst>
            <c:ext xmlns:c16="http://schemas.microsoft.com/office/drawing/2014/chart" uri="{C3380CC4-5D6E-409C-BE32-E72D297353CC}">
              <c16:uniqueId val="{00000000-A55C-4296-96DC-698B259FAFF0}"/>
            </c:ext>
          </c:extLst>
        </c:ser>
        <c:ser>
          <c:idx val="3"/>
          <c:order val="1"/>
          <c:tx>
            <c:strRef>
              <c:f>'BG,CY,RO'!$A$3</c:f>
              <c:strCache>
                <c:ptCount val="1"/>
                <c:pt idx="0">
                  <c:v>Cyprus</c:v>
                </c:pt>
              </c:strCache>
            </c:strRef>
          </c:tx>
          <c:spPr>
            <a:ln>
              <a:solidFill>
                <a:prstClr val="black"/>
              </a:solidFill>
            </a:ln>
          </c:spPr>
          <c:marker>
            <c:symbol val="none"/>
          </c:marker>
          <c:cat>
            <c:numRef>
              <c:f>'BG,CY,RO'!$B$1:$K$1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'BG,CY,RO'!$B$3:$K$3</c:f>
              <c:numCache>
                <c:formatCode>General</c:formatCode>
                <c:ptCount val="10"/>
                <c:pt idx="1">
                  <c:v>100</c:v>
                </c:pt>
                <c:pt idx="2">
                  <c:v>80</c:v>
                </c:pt>
                <c:pt idx="3">
                  <c:v>72</c:v>
                </c:pt>
                <c:pt idx="4">
                  <c:v>73</c:v>
                </c:pt>
                <c:pt idx="5">
                  <c:v>112</c:v>
                </c:pt>
                <c:pt idx="6">
                  <c:v>113</c:v>
                </c:pt>
                <c:pt idx="7">
                  <c:v>161</c:v>
                </c:pt>
                <c:pt idx="8">
                  <c:v>66</c:v>
                </c:pt>
                <c:pt idx="9">
                  <c:v>36</c:v>
                </c:pt>
              </c:numCache>
            </c:numRef>
          </c:val>
          <c:smooth val="0"/>
          <c:extLst>
            <c:ext xmlns:c16="http://schemas.microsoft.com/office/drawing/2014/chart" uri="{C3380CC4-5D6E-409C-BE32-E72D297353CC}">
              <c16:uniqueId val="{00000001-A55C-4296-96DC-698B259FAFF0}"/>
            </c:ext>
          </c:extLst>
        </c:ser>
        <c:ser>
          <c:idx val="0"/>
          <c:order val="2"/>
          <c:tx>
            <c:strRef>
              <c:f>'BG,CY,RO'!$A$4</c:f>
              <c:strCache>
                <c:ptCount val="1"/>
                <c:pt idx="0">
                  <c:v>Greece</c:v>
                </c:pt>
              </c:strCache>
            </c:strRef>
          </c:tx>
          <c:spPr>
            <a:ln>
              <a:solidFill>
                <a:schemeClr val="bg1">
                  <a:lumMod val="75000"/>
                </a:schemeClr>
              </a:solidFill>
              <a:prstDash val="sysDash"/>
            </a:ln>
          </c:spPr>
          <c:marker>
            <c:symbol val="none"/>
          </c:marker>
          <c:cat>
            <c:numRef>
              <c:f>'BG,CY,RO'!$B$1:$K$1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'BG,CY,RO'!$B$4:$K$4</c:f>
              <c:numCache>
                <c:formatCode>General</c:formatCode>
                <c:ptCount val="10"/>
                <c:pt idx="2">
                  <c:v>100</c:v>
                </c:pt>
                <c:pt idx="3">
                  <c:v>85</c:v>
                </c:pt>
                <c:pt idx="4">
                  <c:v>100</c:v>
                </c:pt>
                <c:pt idx="5">
                  <c:v>101</c:v>
                </c:pt>
                <c:pt idx="6">
                  <c:v>151</c:v>
                </c:pt>
                <c:pt idx="7">
                  <c:v>104</c:v>
                </c:pt>
                <c:pt idx="8">
                  <c:v>90</c:v>
                </c:pt>
                <c:pt idx="9">
                  <c:v>119</c:v>
                </c:pt>
              </c:numCache>
            </c:numRef>
          </c:val>
          <c:smooth val="0"/>
          <c:extLst>
            <c:ext xmlns:c16="http://schemas.microsoft.com/office/drawing/2014/chart" uri="{C3380CC4-5D6E-409C-BE32-E72D297353CC}">
              <c16:uniqueId val="{00000002-A55C-4296-96DC-698B259FAFF0}"/>
            </c:ext>
          </c:extLst>
        </c:ser>
        <c:ser>
          <c:idx val="4"/>
          <c:order val="3"/>
          <c:tx>
            <c:strRef>
              <c:f>'BG,CY,RO'!$A$5</c:f>
              <c:strCache>
                <c:ptCount val="1"/>
                <c:pt idx="0">
                  <c:v>Romania</c:v>
                </c:pt>
              </c:strCache>
            </c:strRef>
          </c:tx>
          <c:spPr>
            <a:ln>
              <a:solidFill>
                <a:schemeClr val="tx1"/>
              </a:solidFill>
              <a:prstDash val="sysDash"/>
            </a:ln>
          </c:spPr>
          <c:marker>
            <c:symbol val="none"/>
          </c:marker>
          <c:cat>
            <c:numRef>
              <c:f>'BG,CY,RO'!$B$1:$K$1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'BG,CY,RO'!$B$5:$K$5</c:f>
              <c:numCache>
                <c:formatCode>General</c:formatCode>
                <c:ptCount val="10"/>
                <c:pt idx="2">
                  <c:v>100</c:v>
                </c:pt>
                <c:pt idx="3">
                  <c:v>78</c:v>
                </c:pt>
                <c:pt idx="4">
                  <c:v>72</c:v>
                </c:pt>
                <c:pt idx="5">
                  <c:v>72</c:v>
                </c:pt>
                <c:pt idx="6">
                  <c:v>124</c:v>
                </c:pt>
                <c:pt idx="7">
                  <c:v>112</c:v>
                </c:pt>
                <c:pt idx="8">
                  <c:v>88</c:v>
                </c:pt>
                <c:pt idx="9">
                  <c:v>94</c:v>
                </c:pt>
              </c:numCache>
            </c:numRef>
          </c:val>
          <c:smooth val="0"/>
          <c:extLst>
            <c:ext xmlns:c16="http://schemas.microsoft.com/office/drawing/2014/chart" uri="{C3380CC4-5D6E-409C-BE32-E72D297353CC}">
              <c16:uniqueId val="{00000003-A55C-4296-96DC-698B259FAFF0}"/>
            </c:ext>
          </c:extLst>
        </c:ser>
        <c:dLbls>
          <c:showLegendKey val="0"/>
          <c:showVal val="0"/>
          <c:showCatName val="0"/>
          <c:showSerName val="0"/>
          <c:showPercent val="0"/>
          <c:showBubbleSize val="0"/>
        </c:dLbls>
        <c:smooth val="0"/>
        <c:axId val="2125230360"/>
        <c:axId val="2125235864"/>
      </c:lineChart>
      <c:catAx>
        <c:axId val="2125230360"/>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2125235864"/>
        <c:crosses val="autoZero"/>
        <c:auto val="1"/>
        <c:lblAlgn val="ctr"/>
        <c:lblOffset val="100"/>
        <c:noMultiLvlLbl val="0"/>
      </c:catAx>
      <c:valAx>
        <c:axId val="2125235864"/>
        <c:scaling>
          <c:orientation val="minMax"/>
        </c:scaling>
        <c:delete val="0"/>
        <c:axPos val="l"/>
        <c:title>
          <c:tx>
            <c:rich>
              <a:bodyPr rot="-5400000" vert="horz"/>
              <a:lstStyle/>
              <a:p>
                <a:pPr>
                  <a:defRPr/>
                </a:pPr>
                <a:r>
                  <a:rPr lang="en-US"/>
                  <a:t>Population index</a:t>
                </a:r>
              </a:p>
            </c:rich>
          </c:tx>
          <c:overlay val="0"/>
        </c:title>
        <c:numFmt formatCode="General" sourceLinked="1"/>
        <c:majorTickMark val="out"/>
        <c:minorTickMark val="none"/>
        <c:tickLblPos val="nextTo"/>
        <c:crossAx val="2125230360"/>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1"/>
          <c:order val="0"/>
          <c:tx>
            <c:strRef>
              <c:f>'Top 5 only'!$C$2</c:f>
              <c:strCache>
                <c:ptCount val="1"/>
                <c:pt idx="0">
                  <c:v>France</c:v>
                </c:pt>
              </c:strCache>
            </c:strRef>
          </c:tx>
          <c:spPr>
            <a:ln>
              <a:solidFill>
                <a:schemeClr val="bg1">
                  <a:lumMod val="75000"/>
                </a:schemeClr>
              </a:solidFill>
            </a:ln>
          </c:spPr>
          <c:marker>
            <c:symbol val="none"/>
          </c:marker>
          <c:cat>
            <c:numRef>
              <c:f>'Top 5 only'!$D$1:$AC$1</c:f>
              <c:numCache>
                <c:formatCode>General</c:formatCode>
                <c:ptCount val="26"/>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numCache>
            </c:numRef>
          </c:cat>
          <c:val>
            <c:numRef>
              <c:f>'Top 5 only'!$D$2:$AC$2</c:f>
              <c:numCache>
                <c:formatCode>General</c:formatCode>
                <c:ptCount val="26"/>
                <c:pt idx="0">
                  <c:v>100</c:v>
                </c:pt>
                <c:pt idx="1">
                  <c:v>111</c:v>
                </c:pt>
                <c:pt idx="2">
                  <c:v>89</c:v>
                </c:pt>
                <c:pt idx="3">
                  <c:v>108</c:v>
                </c:pt>
                <c:pt idx="4">
                  <c:v>111</c:v>
                </c:pt>
                <c:pt idx="5">
                  <c:v>106</c:v>
                </c:pt>
                <c:pt idx="6">
                  <c:v>88</c:v>
                </c:pt>
                <c:pt idx="7">
                  <c:v>89</c:v>
                </c:pt>
                <c:pt idx="8">
                  <c:v>98</c:v>
                </c:pt>
                <c:pt idx="9">
                  <c:v>106</c:v>
                </c:pt>
                <c:pt idx="10">
                  <c:v>112</c:v>
                </c:pt>
                <c:pt idx="11">
                  <c:v>115</c:v>
                </c:pt>
                <c:pt idx="12">
                  <c:v>110</c:v>
                </c:pt>
                <c:pt idx="13">
                  <c:v>90</c:v>
                </c:pt>
                <c:pt idx="14">
                  <c:v>93</c:v>
                </c:pt>
                <c:pt idx="15">
                  <c:v>95</c:v>
                </c:pt>
                <c:pt idx="16">
                  <c:v>97</c:v>
                </c:pt>
                <c:pt idx="17">
                  <c:v>85</c:v>
                </c:pt>
                <c:pt idx="18">
                  <c:v>86</c:v>
                </c:pt>
                <c:pt idx="19">
                  <c:v>83</c:v>
                </c:pt>
                <c:pt idx="20">
                  <c:v>75</c:v>
                </c:pt>
                <c:pt idx="21">
                  <c:v>77</c:v>
                </c:pt>
                <c:pt idx="22">
                  <c:v>74</c:v>
                </c:pt>
                <c:pt idx="23">
                  <c:v>63</c:v>
                </c:pt>
                <c:pt idx="24">
                  <c:v>57</c:v>
                </c:pt>
                <c:pt idx="25">
                  <c:v>57</c:v>
                </c:pt>
              </c:numCache>
            </c:numRef>
          </c:val>
          <c:smooth val="0"/>
          <c:extLst>
            <c:ext xmlns:c16="http://schemas.microsoft.com/office/drawing/2014/chart" uri="{C3380CC4-5D6E-409C-BE32-E72D297353CC}">
              <c16:uniqueId val="{00000000-F06B-478C-AA52-BC6EB1C2B821}"/>
            </c:ext>
          </c:extLst>
        </c:ser>
        <c:ser>
          <c:idx val="2"/>
          <c:order val="1"/>
          <c:tx>
            <c:strRef>
              <c:f>'Top 5 only'!$C$3</c:f>
              <c:strCache>
                <c:ptCount val="1"/>
                <c:pt idx="0">
                  <c:v>Hungary</c:v>
                </c:pt>
              </c:strCache>
            </c:strRef>
          </c:tx>
          <c:spPr>
            <a:ln>
              <a:solidFill>
                <a:schemeClr val="bg1">
                  <a:lumMod val="75000"/>
                </a:schemeClr>
              </a:solidFill>
              <a:prstDash val="sysDash"/>
            </a:ln>
          </c:spPr>
          <c:marker>
            <c:symbol val="none"/>
          </c:marker>
          <c:cat>
            <c:numRef>
              <c:f>'Top 5 only'!$D$1:$AC$1</c:f>
              <c:numCache>
                <c:formatCode>General</c:formatCode>
                <c:ptCount val="26"/>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numCache>
            </c:numRef>
          </c:cat>
          <c:val>
            <c:numRef>
              <c:f>'Top 5 only'!$D$3:$AC$3</c:f>
              <c:numCache>
                <c:formatCode>General</c:formatCode>
                <c:ptCount val="26"/>
                <c:pt idx="10">
                  <c:v>100</c:v>
                </c:pt>
                <c:pt idx="11">
                  <c:v>100</c:v>
                </c:pt>
                <c:pt idx="12">
                  <c:v>106</c:v>
                </c:pt>
                <c:pt idx="13">
                  <c:v>106</c:v>
                </c:pt>
                <c:pt idx="14">
                  <c:v>127</c:v>
                </c:pt>
                <c:pt idx="15">
                  <c:v>101</c:v>
                </c:pt>
                <c:pt idx="16">
                  <c:v>113</c:v>
                </c:pt>
                <c:pt idx="17">
                  <c:v>91</c:v>
                </c:pt>
                <c:pt idx="18">
                  <c:v>101</c:v>
                </c:pt>
                <c:pt idx="19">
                  <c:v>106</c:v>
                </c:pt>
                <c:pt idx="20">
                  <c:v>120</c:v>
                </c:pt>
                <c:pt idx="21">
                  <c:v>97</c:v>
                </c:pt>
                <c:pt idx="22">
                  <c:v>91</c:v>
                </c:pt>
                <c:pt idx="23">
                  <c:v>106</c:v>
                </c:pt>
                <c:pt idx="24">
                  <c:v>106</c:v>
                </c:pt>
                <c:pt idx="25">
                  <c:v>100</c:v>
                </c:pt>
              </c:numCache>
            </c:numRef>
          </c:val>
          <c:smooth val="0"/>
          <c:extLst>
            <c:ext xmlns:c16="http://schemas.microsoft.com/office/drawing/2014/chart" uri="{C3380CC4-5D6E-409C-BE32-E72D297353CC}">
              <c16:uniqueId val="{00000001-F06B-478C-AA52-BC6EB1C2B821}"/>
            </c:ext>
          </c:extLst>
        </c:ser>
        <c:ser>
          <c:idx val="3"/>
          <c:order val="2"/>
          <c:tx>
            <c:strRef>
              <c:f>'Top 5 only'!$C$4</c:f>
              <c:strCache>
                <c:ptCount val="1"/>
                <c:pt idx="0">
                  <c:v>Italy</c:v>
                </c:pt>
              </c:strCache>
            </c:strRef>
          </c:tx>
          <c:spPr>
            <a:ln>
              <a:solidFill>
                <a:schemeClr val="tx1"/>
              </a:solidFill>
            </a:ln>
          </c:spPr>
          <c:marker>
            <c:symbol val="none"/>
          </c:marker>
          <c:cat>
            <c:numRef>
              <c:f>'Top 5 only'!$D$1:$AC$1</c:f>
              <c:numCache>
                <c:formatCode>General</c:formatCode>
                <c:ptCount val="26"/>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numCache>
            </c:numRef>
          </c:cat>
          <c:val>
            <c:numRef>
              <c:f>'Top 5 only'!$D$4:$AC$4</c:f>
              <c:numCache>
                <c:formatCode>General</c:formatCode>
                <c:ptCount val="26"/>
                <c:pt idx="11">
                  <c:v>100</c:v>
                </c:pt>
                <c:pt idx="12">
                  <c:v>105</c:v>
                </c:pt>
                <c:pt idx="13">
                  <c:v>96</c:v>
                </c:pt>
                <c:pt idx="14">
                  <c:v>107</c:v>
                </c:pt>
                <c:pt idx="15">
                  <c:v>117</c:v>
                </c:pt>
                <c:pt idx="16">
                  <c:v>110</c:v>
                </c:pt>
                <c:pt idx="17">
                  <c:v>103</c:v>
                </c:pt>
                <c:pt idx="18">
                  <c:v>104</c:v>
                </c:pt>
                <c:pt idx="19">
                  <c:v>108</c:v>
                </c:pt>
                <c:pt idx="20">
                  <c:v>115</c:v>
                </c:pt>
                <c:pt idx="21">
                  <c:v>113</c:v>
                </c:pt>
                <c:pt idx="22">
                  <c:v>110</c:v>
                </c:pt>
                <c:pt idx="23">
                  <c:v>111</c:v>
                </c:pt>
                <c:pt idx="24">
                  <c:v>109</c:v>
                </c:pt>
                <c:pt idx="25">
                  <c:v>95</c:v>
                </c:pt>
              </c:numCache>
            </c:numRef>
          </c:val>
          <c:smooth val="0"/>
          <c:extLst>
            <c:ext xmlns:c16="http://schemas.microsoft.com/office/drawing/2014/chart" uri="{C3380CC4-5D6E-409C-BE32-E72D297353CC}">
              <c16:uniqueId val="{00000002-F06B-478C-AA52-BC6EB1C2B821}"/>
            </c:ext>
          </c:extLst>
        </c:ser>
        <c:ser>
          <c:idx val="4"/>
          <c:order val="3"/>
          <c:tx>
            <c:strRef>
              <c:f>'Top 5 only'!$C$5</c:f>
              <c:strCache>
                <c:ptCount val="1"/>
                <c:pt idx="0">
                  <c:v>Romania</c:v>
                </c:pt>
              </c:strCache>
            </c:strRef>
          </c:tx>
          <c:spPr>
            <a:ln>
              <a:solidFill>
                <a:schemeClr val="tx1"/>
              </a:solidFill>
              <a:prstDash val="sysDot"/>
            </a:ln>
          </c:spPr>
          <c:marker>
            <c:symbol val="none"/>
          </c:marker>
          <c:cat>
            <c:numRef>
              <c:f>'Top 5 only'!$D$1:$AC$1</c:f>
              <c:numCache>
                <c:formatCode>General</c:formatCode>
                <c:ptCount val="26"/>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numCache>
            </c:numRef>
          </c:cat>
          <c:val>
            <c:numRef>
              <c:f>'Top 5 only'!$D$5:$AC$5</c:f>
              <c:numCache>
                <c:formatCode>General</c:formatCode>
                <c:ptCount val="26"/>
                <c:pt idx="18">
                  <c:v>100</c:v>
                </c:pt>
                <c:pt idx="19">
                  <c:v>78</c:v>
                </c:pt>
                <c:pt idx="20">
                  <c:v>72</c:v>
                </c:pt>
                <c:pt idx="21">
                  <c:v>72</c:v>
                </c:pt>
                <c:pt idx="22">
                  <c:v>124</c:v>
                </c:pt>
                <c:pt idx="23">
                  <c:v>112</c:v>
                </c:pt>
                <c:pt idx="24">
                  <c:v>88</c:v>
                </c:pt>
                <c:pt idx="25">
                  <c:v>94</c:v>
                </c:pt>
              </c:numCache>
            </c:numRef>
          </c:val>
          <c:smooth val="0"/>
          <c:extLst>
            <c:ext xmlns:c16="http://schemas.microsoft.com/office/drawing/2014/chart" uri="{C3380CC4-5D6E-409C-BE32-E72D297353CC}">
              <c16:uniqueId val="{00000003-F06B-478C-AA52-BC6EB1C2B821}"/>
            </c:ext>
          </c:extLst>
        </c:ser>
        <c:ser>
          <c:idx val="5"/>
          <c:order val="4"/>
          <c:tx>
            <c:strRef>
              <c:f>'Top 5 only'!$C$6</c:f>
              <c:strCache>
                <c:ptCount val="1"/>
                <c:pt idx="0">
                  <c:v>Spain</c:v>
                </c:pt>
              </c:strCache>
            </c:strRef>
          </c:tx>
          <c:spPr>
            <a:ln>
              <a:solidFill>
                <a:schemeClr val="tx1"/>
              </a:solidFill>
              <a:prstDash val="sysDash"/>
            </a:ln>
          </c:spPr>
          <c:marker>
            <c:symbol val="none"/>
          </c:marker>
          <c:cat>
            <c:numRef>
              <c:f>'Top 5 only'!$D$1:$AC$1</c:f>
              <c:numCache>
                <c:formatCode>General</c:formatCode>
                <c:ptCount val="26"/>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numCache>
            </c:numRef>
          </c:cat>
          <c:val>
            <c:numRef>
              <c:f>'Top 5 only'!$D$6:$AC$6</c:f>
              <c:numCache>
                <c:formatCode>General</c:formatCode>
                <c:ptCount val="26"/>
                <c:pt idx="9">
                  <c:v>100</c:v>
                </c:pt>
                <c:pt idx="10">
                  <c:v>92</c:v>
                </c:pt>
                <c:pt idx="11">
                  <c:v>91</c:v>
                </c:pt>
                <c:pt idx="12">
                  <c:v>96</c:v>
                </c:pt>
                <c:pt idx="13">
                  <c:v>94</c:v>
                </c:pt>
                <c:pt idx="14">
                  <c:v>90</c:v>
                </c:pt>
                <c:pt idx="15">
                  <c:v>104</c:v>
                </c:pt>
                <c:pt idx="16">
                  <c:v>100</c:v>
                </c:pt>
                <c:pt idx="17">
                  <c:v>98</c:v>
                </c:pt>
                <c:pt idx="18">
                  <c:v>107</c:v>
                </c:pt>
                <c:pt idx="19">
                  <c:v>89</c:v>
                </c:pt>
                <c:pt idx="20">
                  <c:v>90</c:v>
                </c:pt>
                <c:pt idx="21">
                  <c:v>76</c:v>
                </c:pt>
                <c:pt idx="22">
                  <c:v>80</c:v>
                </c:pt>
                <c:pt idx="23">
                  <c:v>72</c:v>
                </c:pt>
                <c:pt idx="24">
                  <c:v>70</c:v>
                </c:pt>
                <c:pt idx="25">
                  <c:v>75</c:v>
                </c:pt>
              </c:numCache>
            </c:numRef>
          </c:val>
          <c:smooth val="0"/>
          <c:extLst>
            <c:ext xmlns:c16="http://schemas.microsoft.com/office/drawing/2014/chart" uri="{C3380CC4-5D6E-409C-BE32-E72D297353CC}">
              <c16:uniqueId val="{00000004-F06B-478C-AA52-BC6EB1C2B821}"/>
            </c:ext>
          </c:extLst>
        </c:ser>
        <c:dLbls>
          <c:showLegendKey val="0"/>
          <c:showVal val="0"/>
          <c:showCatName val="0"/>
          <c:showSerName val="0"/>
          <c:showPercent val="0"/>
          <c:showBubbleSize val="0"/>
        </c:dLbls>
        <c:smooth val="0"/>
        <c:axId val="2126560376"/>
        <c:axId val="2126554712"/>
      </c:lineChart>
      <c:catAx>
        <c:axId val="2126560376"/>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2126554712"/>
        <c:crosses val="autoZero"/>
        <c:auto val="1"/>
        <c:lblAlgn val="ctr"/>
        <c:lblOffset val="100"/>
        <c:noMultiLvlLbl val="0"/>
      </c:catAx>
      <c:valAx>
        <c:axId val="2126554712"/>
        <c:scaling>
          <c:orientation val="minMax"/>
        </c:scaling>
        <c:delete val="0"/>
        <c:axPos val="l"/>
        <c:title>
          <c:tx>
            <c:rich>
              <a:bodyPr rot="-5400000" vert="horz"/>
              <a:lstStyle/>
              <a:p>
                <a:pPr>
                  <a:defRPr/>
                </a:pPr>
                <a:r>
                  <a:rPr lang="en-US"/>
                  <a:t>Population index</a:t>
                </a:r>
              </a:p>
            </c:rich>
          </c:tx>
          <c:overlay val="0"/>
        </c:title>
        <c:numFmt formatCode="General" sourceLinked="1"/>
        <c:majorTickMark val="out"/>
        <c:minorTickMark val="none"/>
        <c:tickLblPos val="nextTo"/>
        <c:crossAx val="2126560376"/>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1"/>
          <c:order val="0"/>
          <c:tx>
            <c:strRef>
              <c:f>Sheet5!$C$2</c:f>
              <c:strCache>
                <c:ptCount val="1"/>
                <c:pt idx="0">
                  <c:v>Belgium-Wallonia</c:v>
                </c:pt>
              </c:strCache>
            </c:strRef>
          </c:tx>
          <c:spPr>
            <a:ln>
              <a:solidFill>
                <a:schemeClr val="bg1">
                  <a:lumMod val="75000"/>
                </a:schemeClr>
              </a:solidFill>
              <a:prstDash val="sysDash"/>
            </a:ln>
          </c:spPr>
          <c:marker>
            <c:symbol val="none"/>
          </c:marker>
          <c:cat>
            <c:numRef>
              <c:f>Sheet5!$D$1:$AZ$1</c:f>
              <c:numCache>
                <c:formatCode>General</c:formatCode>
                <c:ptCount val="49"/>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numCache>
            </c:numRef>
          </c:cat>
          <c:val>
            <c:numRef>
              <c:f>Sheet5!$D$2:$AZ$2</c:f>
              <c:numCache>
                <c:formatCode>General</c:formatCode>
                <c:ptCount val="49"/>
                <c:pt idx="24">
                  <c:v>100</c:v>
                </c:pt>
                <c:pt idx="25">
                  <c:v>72</c:v>
                </c:pt>
                <c:pt idx="26">
                  <c:v>65</c:v>
                </c:pt>
                <c:pt idx="27">
                  <c:v>64</c:v>
                </c:pt>
                <c:pt idx="28">
                  <c:v>52</c:v>
                </c:pt>
                <c:pt idx="29">
                  <c:v>54</c:v>
                </c:pt>
                <c:pt idx="30">
                  <c:v>45</c:v>
                </c:pt>
                <c:pt idx="31">
                  <c:v>36</c:v>
                </c:pt>
                <c:pt idx="32">
                  <c:v>45</c:v>
                </c:pt>
                <c:pt idx="33">
                  <c:v>41</c:v>
                </c:pt>
                <c:pt idx="34">
                  <c:v>31</c:v>
                </c:pt>
                <c:pt idx="35">
                  <c:v>35</c:v>
                </c:pt>
                <c:pt idx="36">
                  <c:v>29</c:v>
                </c:pt>
                <c:pt idx="37">
                  <c:v>18</c:v>
                </c:pt>
                <c:pt idx="38">
                  <c:v>37</c:v>
                </c:pt>
                <c:pt idx="39">
                  <c:v>21</c:v>
                </c:pt>
                <c:pt idx="40">
                  <c:v>21</c:v>
                </c:pt>
                <c:pt idx="41">
                  <c:v>30</c:v>
                </c:pt>
                <c:pt idx="42">
                  <c:v>17</c:v>
                </c:pt>
                <c:pt idx="43">
                  <c:v>13</c:v>
                </c:pt>
                <c:pt idx="44">
                  <c:v>10</c:v>
                </c:pt>
                <c:pt idx="45">
                  <c:v>9</c:v>
                </c:pt>
                <c:pt idx="46">
                  <c:v>5</c:v>
                </c:pt>
                <c:pt idx="47">
                  <c:v>10</c:v>
                </c:pt>
                <c:pt idx="48">
                  <c:v>12</c:v>
                </c:pt>
              </c:numCache>
            </c:numRef>
          </c:val>
          <c:smooth val="0"/>
          <c:extLst>
            <c:ext xmlns:c16="http://schemas.microsoft.com/office/drawing/2014/chart" uri="{C3380CC4-5D6E-409C-BE32-E72D297353CC}">
              <c16:uniqueId val="{00000000-E135-4159-9593-FC5B91106ED6}"/>
            </c:ext>
          </c:extLst>
        </c:ser>
        <c:ser>
          <c:idx val="2"/>
          <c:order val="1"/>
          <c:tx>
            <c:strRef>
              <c:f>Sheet5!$C$3</c:f>
              <c:strCache>
                <c:ptCount val="1"/>
                <c:pt idx="0">
                  <c:v>Netherlands</c:v>
                </c:pt>
              </c:strCache>
            </c:strRef>
          </c:tx>
          <c:spPr>
            <a:ln>
              <a:solidFill>
                <a:schemeClr val="tx1"/>
              </a:solidFill>
              <a:prstDash val="sysDot"/>
            </a:ln>
          </c:spPr>
          <c:marker>
            <c:symbol val="none"/>
          </c:marker>
          <c:cat>
            <c:numRef>
              <c:f>Sheet5!$D$1:$AZ$1</c:f>
              <c:numCache>
                <c:formatCode>General</c:formatCode>
                <c:ptCount val="49"/>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numCache>
            </c:numRef>
          </c:cat>
          <c:val>
            <c:numRef>
              <c:f>Sheet5!$D$3:$AZ$3</c:f>
              <c:numCache>
                <c:formatCode>General</c:formatCode>
                <c:ptCount val="49"/>
                <c:pt idx="18">
                  <c:v>150</c:v>
                </c:pt>
                <c:pt idx="19">
                  <c:v>141</c:v>
                </c:pt>
                <c:pt idx="20">
                  <c:v>128</c:v>
                </c:pt>
                <c:pt idx="21">
                  <c:v>119</c:v>
                </c:pt>
                <c:pt idx="22">
                  <c:v>101</c:v>
                </c:pt>
                <c:pt idx="23">
                  <c:v>97</c:v>
                </c:pt>
                <c:pt idx="24">
                  <c:v>100</c:v>
                </c:pt>
                <c:pt idx="25">
                  <c:v>78</c:v>
                </c:pt>
                <c:pt idx="26">
                  <c:v>76</c:v>
                </c:pt>
                <c:pt idx="27">
                  <c:v>77</c:v>
                </c:pt>
                <c:pt idx="28">
                  <c:v>63</c:v>
                </c:pt>
                <c:pt idx="29">
                  <c:v>74</c:v>
                </c:pt>
                <c:pt idx="30">
                  <c:v>72</c:v>
                </c:pt>
                <c:pt idx="31">
                  <c:v>65</c:v>
                </c:pt>
                <c:pt idx="32">
                  <c:v>55</c:v>
                </c:pt>
                <c:pt idx="33">
                  <c:v>44</c:v>
                </c:pt>
                <c:pt idx="34">
                  <c:v>42</c:v>
                </c:pt>
                <c:pt idx="35">
                  <c:v>36</c:v>
                </c:pt>
                <c:pt idx="36">
                  <c:v>33</c:v>
                </c:pt>
                <c:pt idx="37">
                  <c:v>32</c:v>
                </c:pt>
                <c:pt idx="38">
                  <c:v>32</c:v>
                </c:pt>
                <c:pt idx="39">
                  <c:v>33</c:v>
                </c:pt>
                <c:pt idx="40">
                  <c:v>34</c:v>
                </c:pt>
                <c:pt idx="41">
                  <c:v>36</c:v>
                </c:pt>
                <c:pt idx="42">
                  <c:v>27</c:v>
                </c:pt>
                <c:pt idx="43">
                  <c:v>22</c:v>
                </c:pt>
                <c:pt idx="44">
                  <c:v>21</c:v>
                </c:pt>
                <c:pt idx="45">
                  <c:v>20</c:v>
                </c:pt>
                <c:pt idx="46">
                  <c:v>18</c:v>
                </c:pt>
                <c:pt idx="47">
                  <c:v>13</c:v>
                </c:pt>
                <c:pt idx="48">
                  <c:v>13</c:v>
                </c:pt>
              </c:numCache>
            </c:numRef>
          </c:val>
          <c:smooth val="0"/>
          <c:extLst>
            <c:ext xmlns:c16="http://schemas.microsoft.com/office/drawing/2014/chart" uri="{C3380CC4-5D6E-409C-BE32-E72D297353CC}">
              <c16:uniqueId val="{00000001-E135-4159-9593-FC5B91106ED6}"/>
            </c:ext>
          </c:extLst>
        </c:ser>
        <c:ser>
          <c:idx val="3"/>
          <c:order val="2"/>
          <c:tx>
            <c:strRef>
              <c:f>Sheet5!$C$4</c:f>
              <c:strCache>
                <c:ptCount val="1"/>
                <c:pt idx="0">
                  <c:v>Portugal</c:v>
                </c:pt>
              </c:strCache>
            </c:strRef>
          </c:tx>
          <c:spPr>
            <a:ln>
              <a:solidFill>
                <a:schemeClr val="tx1"/>
              </a:solidFill>
              <a:prstDash val="sysDash"/>
            </a:ln>
          </c:spPr>
          <c:marker>
            <c:symbol val="none"/>
          </c:marker>
          <c:cat>
            <c:numRef>
              <c:f>Sheet5!$D$1:$AZ$1</c:f>
              <c:numCache>
                <c:formatCode>General</c:formatCode>
                <c:ptCount val="49"/>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numCache>
            </c:numRef>
          </c:cat>
          <c:val>
            <c:numRef>
              <c:f>Sheet5!$D$4:$AZ$4</c:f>
              <c:numCache>
                <c:formatCode>General</c:formatCode>
                <c:ptCount val="49"/>
                <c:pt idx="38">
                  <c:v>100</c:v>
                </c:pt>
                <c:pt idx="39">
                  <c:v>91</c:v>
                </c:pt>
                <c:pt idx="40">
                  <c:v>79</c:v>
                </c:pt>
                <c:pt idx="41">
                  <c:v>70</c:v>
                </c:pt>
                <c:pt idx="42">
                  <c:v>56</c:v>
                </c:pt>
                <c:pt idx="43">
                  <c:v>48</c:v>
                </c:pt>
                <c:pt idx="44">
                  <c:v>59</c:v>
                </c:pt>
                <c:pt idx="45">
                  <c:v>48</c:v>
                </c:pt>
                <c:pt idx="46">
                  <c:v>36</c:v>
                </c:pt>
                <c:pt idx="47">
                  <c:v>30</c:v>
                </c:pt>
                <c:pt idx="48">
                  <c:v>46</c:v>
                </c:pt>
              </c:numCache>
            </c:numRef>
          </c:val>
          <c:smooth val="0"/>
          <c:extLst>
            <c:ext xmlns:c16="http://schemas.microsoft.com/office/drawing/2014/chart" uri="{C3380CC4-5D6E-409C-BE32-E72D297353CC}">
              <c16:uniqueId val="{00000002-E135-4159-9593-FC5B91106ED6}"/>
            </c:ext>
          </c:extLst>
        </c:ser>
        <c:ser>
          <c:idx val="4"/>
          <c:order val="3"/>
          <c:tx>
            <c:strRef>
              <c:f>Sheet5!$C$5</c:f>
              <c:strCache>
                <c:ptCount val="1"/>
                <c:pt idx="0">
                  <c:v>Slovenia</c:v>
                </c:pt>
              </c:strCache>
            </c:strRef>
          </c:tx>
          <c:spPr>
            <a:ln>
              <a:solidFill>
                <a:schemeClr val="bg1">
                  <a:lumMod val="75000"/>
                </a:schemeClr>
              </a:solidFill>
            </a:ln>
          </c:spPr>
          <c:marker>
            <c:symbol val="none"/>
          </c:marker>
          <c:cat>
            <c:numRef>
              <c:f>Sheet5!$D$1:$AZ$1</c:f>
              <c:numCache>
                <c:formatCode>General</c:formatCode>
                <c:ptCount val="49"/>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numCache>
            </c:numRef>
          </c:cat>
          <c:val>
            <c:numRef>
              <c:f>Sheet5!$D$5:$AZ$5</c:f>
              <c:numCache>
                <c:formatCode>General</c:formatCode>
                <c:ptCount val="49"/>
                <c:pt idx="41">
                  <c:v>100</c:v>
                </c:pt>
                <c:pt idx="42">
                  <c:v>161</c:v>
                </c:pt>
                <c:pt idx="43">
                  <c:v>143</c:v>
                </c:pt>
                <c:pt idx="44">
                  <c:v>109</c:v>
                </c:pt>
                <c:pt idx="45">
                  <c:v>59</c:v>
                </c:pt>
                <c:pt idx="46">
                  <c:v>89</c:v>
                </c:pt>
                <c:pt idx="47">
                  <c:v>76</c:v>
                </c:pt>
                <c:pt idx="48">
                  <c:v>73</c:v>
                </c:pt>
              </c:numCache>
            </c:numRef>
          </c:val>
          <c:smooth val="0"/>
          <c:extLst>
            <c:ext xmlns:c16="http://schemas.microsoft.com/office/drawing/2014/chart" uri="{C3380CC4-5D6E-409C-BE32-E72D297353CC}">
              <c16:uniqueId val="{00000003-E135-4159-9593-FC5B91106ED6}"/>
            </c:ext>
          </c:extLst>
        </c:ser>
        <c:ser>
          <c:idx val="5"/>
          <c:order val="4"/>
          <c:tx>
            <c:strRef>
              <c:f>Sheet5!$C$6</c:f>
              <c:strCache>
                <c:ptCount val="1"/>
                <c:pt idx="0">
                  <c:v>United Kingdom</c:v>
                </c:pt>
              </c:strCache>
            </c:strRef>
          </c:tx>
          <c:spPr>
            <a:ln>
              <a:solidFill>
                <a:prstClr val="black"/>
              </a:solidFill>
            </a:ln>
          </c:spPr>
          <c:marker>
            <c:symbol val="none"/>
          </c:marker>
          <c:cat>
            <c:numRef>
              <c:f>Sheet5!$D$1:$AZ$1</c:f>
              <c:numCache>
                <c:formatCode>General</c:formatCode>
                <c:ptCount val="49"/>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numCache>
            </c:numRef>
          </c:cat>
          <c:val>
            <c:numRef>
              <c:f>Sheet5!$D$6:$AZ$6</c:f>
              <c:numCache>
                <c:formatCode>General</c:formatCode>
                <c:ptCount val="49"/>
                <c:pt idx="0">
                  <c:v>100</c:v>
                </c:pt>
                <c:pt idx="1">
                  <c:v>96</c:v>
                </c:pt>
                <c:pt idx="2">
                  <c:v>104</c:v>
                </c:pt>
                <c:pt idx="3">
                  <c:v>110</c:v>
                </c:pt>
                <c:pt idx="4">
                  <c:v>114</c:v>
                </c:pt>
                <c:pt idx="5">
                  <c:v>110</c:v>
                </c:pt>
                <c:pt idx="6">
                  <c:v>104</c:v>
                </c:pt>
                <c:pt idx="7">
                  <c:v>106</c:v>
                </c:pt>
                <c:pt idx="8">
                  <c:v>108</c:v>
                </c:pt>
                <c:pt idx="9">
                  <c:v>95</c:v>
                </c:pt>
                <c:pt idx="10">
                  <c:v>119</c:v>
                </c:pt>
                <c:pt idx="11">
                  <c:v>101</c:v>
                </c:pt>
                <c:pt idx="12">
                  <c:v>97</c:v>
                </c:pt>
                <c:pt idx="13">
                  <c:v>103</c:v>
                </c:pt>
                <c:pt idx="14">
                  <c:v>91</c:v>
                </c:pt>
                <c:pt idx="15">
                  <c:v>86</c:v>
                </c:pt>
                <c:pt idx="16">
                  <c:v>78</c:v>
                </c:pt>
                <c:pt idx="17">
                  <c:v>79</c:v>
                </c:pt>
                <c:pt idx="18">
                  <c:v>67</c:v>
                </c:pt>
                <c:pt idx="19">
                  <c:v>60</c:v>
                </c:pt>
                <c:pt idx="20">
                  <c:v>64</c:v>
                </c:pt>
                <c:pt idx="21">
                  <c:v>65</c:v>
                </c:pt>
                <c:pt idx="22">
                  <c:v>50</c:v>
                </c:pt>
                <c:pt idx="23">
                  <c:v>51</c:v>
                </c:pt>
                <c:pt idx="24">
                  <c:v>51</c:v>
                </c:pt>
                <c:pt idx="25">
                  <c:v>42</c:v>
                </c:pt>
                <c:pt idx="26">
                  <c:v>52</c:v>
                </c:pt>
                <c:pt idx="27">
                  <c:v>39</c:v>
                </c:pt>
                <c:pt idx="28">
                  <c:v>36</c:v>
                </c:pt>
                <c:pt idx="29">
                  <c:v>40</c:v>
                </c:pt>
                <c:pt idx="30">
                  <c:v>38</c:v>
                </c:pt>
                <c:pt idx="31">
                  <c:v>33</c:v>
                </c:pt>
                <c:pt idx="32">
                  <c:v>35</c:v>
                </c:pt>
                <c:pt idx="33">
                  <c:v>30</c:v>
                </c:pt>
                <c:pt idx="34">
                  <c:v>30</c:v>
                </c:pt>
                <c:pt idx="35">
                  <c:v>30</c:v>
                </c:pt>
                <c:pt idx="36">
                  <c:v>25</c:v>
                </c:pt>
                <c:pt idx="37">
                  <c:v>23</c:v>
                </c:pt>
                <c:pt idx="38">
                  <c:v>21</c:v>
                </c:pt>
                <c:pt idx="39">
                  <c:v>21</c:v>
                </c:pt>
                <c:pt idx="40">
                  <c:v>15</c:v>
                </c:pt>
                <c:pt idx="41">
                  <c:v>13</c:v>
                </c:pt>
                <c:pt idx="42">
                  <c:v>10</c:v>
                </c:pt>
                <c:pt idx="43">
                  <c:v>10</c:v>
                </c:pt>
                <c:pt idx="44">
                  <c:v>8</c:v>
                </c:pt>
                <c:pt idx="45">
                  <c:v>6</c:v>
                </c:pt>
                <c:pt idx="46">
                  <c:v>4</c:v>
                </c:pt>
                <c:pt idx="47">
                  <c:v>4</c:v>
                </c:pt>
                <c:pt idx="48">
                  <c:v>3</c:v>
                </c:pt>
              </c:numCache>
            </c:numRef>
          </c:val>
          <c:smooth val="0"/>
          <c:extLst>
            <c:ext xmlns:c16="http://schemas.microsoft.com/office/drawing/2014/chart" uri="{C3380CC4-5D6E-409C-BE32-E72D297353CC}">
              <c16:uniqueId val="{00000004-E135-4159-9593-FC5B91106ED6}"/>
            </c:ext>
          </c:extLst>
        </c:ser>
        <c:dLbls>
          <c:showLegendKey val="0"/>
          <c:showVal val="0"/>
          <c:showCatName val="0"/>
          <c:showSerName val="0"/>
          <c:showPercent val="0"/>
          <c:showBubbleSize val="0"/>
        </c:dLbls>
        <c:smooth val="0"/>
        <c:axId val="2125315336"/>
        <c:axId val="2125320984"/>
      </c:lineChart>
      <c:catAx>
        <c:axId val="2125315336"/>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2125320984"/>
        <c:crosses val="autoZero"/>
        <c:auto val="1"/>
        <c:lblAlgn val="ctr"/>
        <c:lblOffset val="100"/>
        <c:noMultiLvlLbl val="0"/>
      </c:catAx>
      <c:valAx>
        <c:axId val="2125320984"/>
        <c:scaling>
          <c:orientation val="minMax"/>
        </c:scaling>
        <c:delete val="0"/>
        <c:axPos val="l"/>
        <c:title>
          <c:tx>
            <c:rich>
              <a:bodyPr rot="-5400000" vert="horz"/>
              <a:lstStyle/>
              <a:p>
                <a:pPr>
                  <a:defRPr/>
                </a:pPr>
                <a:r>
                  <a:rPr lang="en-US"/>
                  <a:t>Population index</a:t>
                </a:r>
              </a:p>
            </c:rich>
          </c:tx>
          <c:overlay val="0"/>
        </c:title>
        <c:numFmt formatCode="General" sourceLinked="1"/>
        <c:majorTickMark val="out"/>
        <c:minorTickMark val="none"/>
        <c:tickLblPos val="nextTo"/>
        <c:crossAx val="2125315336"/>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Sheet6!$D$1</c:f>
              <c:strCache>
                <c:ptCount val="1"/>
                <c:pt idx="0">
                  <c:v>Slope Multiplicative</c:v>
                </c:pt>
              </c:strCache>
            </c:strRef>
          </c:tx>
          <c:spPr>
            <a:solidFill>
              <a:schemeClr val="bg1">
                <a:lumMod val="75000"/>
              </a:schemeClr>
            </a:solidFill>
          </c:spPr>
          <c:invertIfNegative val="0"/>
          <c:errBars>
            <c:errBarType val="both"/>
            <c:errValType val="cust"/>
            <c:noEndCap val="0"/>
            <c:plus>
              <c:numRef>
                <c:f>Sheet6!$E$2:$E$8</c:f>
                <c:numCache>
                  <c:formatCode>General</c:formatCode>
                  <c:ptCount val="7"/>
                  <c:pt idx="0">
                    <c:v>3.50000000000004E-3</c:v>
                  </c:pt>
                  <c:pt idx="1">
                    <c:v>1.4E-2</c:v>
                  </c:pt>
                  <c:pt idx="2">
                    <c:v>5.7000000000000097E-3</c:v>
                  </c:pt>
                  <c:pt idx="3">
                    <c:v>5.0000000000000096E-3</c:v>
                  </c:pt>
                  <c:pt idx="4">
                    <c:v>8.0999999999999996E-3</c:v>
                  </c:pt>
                  <c:pt idx="5">
                    <c:v>2.8E-3</c:v>
                  </c:pt>
                  <c:pt idx="6">
                    <c:v>4.1999999999999997E-3</c:v>
                  </c:pt>
                </c:numCache>
              </c:numRef>
            </c:plus>
            <c:minus>
              <c:numRef>
                <c:f>Sheet6!$E$2:$E$8</c:f>
                <c:numCache>
                  <c:formatCode>General</c:formatCode>
                  <c:ptCount val="7"/>
                  <c:pt idx="0">
                    <c:v>3.50000000000004E-3</c:v>
                  </c:pt>
                  <c:pt idx="1">
                    <c:v>1.4E-2</c:v>
                  </c:pt>
                  <c:pt idx="2">
                    <c:v>5.7000000000000097E-3</c:v>
                  </c:pt>
                  <c:pt idx="3">
                    <c:v>5.0000000000000096E-3</c:v>
                  </c:pt>
                  <c:pt idx="4">
                    <c:v>8.0999999999999996E-3</c:v>
                  </c:pt>
                  <c:pt idx="5">
                    <c:v>2.8E-3</c:v>
                  </c:pt>
                  <c:pt idx="6">
                    <c:v>4.1999999999999997E-3</c:v>
                  </c:pt>
                </c:numCache>
              </c:numRef>
            </c:minus>
          </c:errBars>
          <c:cat>
            <c:strRef>
              <c:f>Sheet6!$C$2:$C$8</c:f>
              <c:strCache>
                <c:ptCount val="7"/>
                <c:pt idx="0">
                  <c:v>Spain</c:v>
                </c:pt>
                <c:pt idx="1">
                  <c:v>Portugal</c:v>
                </c:pt>
                <c:pt idx="2">
                  <c:v>France</c:v>
                </c:pt>
                <c:pt idx="3">
                  <c:v>Germany</c:v>
                </c:pt>
                <c:pt idx="4">
                  <c:v>Belgium-Wallonia</c:v>
                </c:pt>
                <c:pt idx="5">
                  <c:v>United Kingdom</c:v>
                </c:pt>
                <c:pt idx="6">
                  <c:v>Netherlands</c:v>
                </c:pt>
              </c:strCache>
            </c:strRef>
          </c:cat>
          <c:val>
            <c:numRef>
              <c:f>Sheet6!$D$2:$D$8</c:f>
              <c:numCache>
                <c:formatCode>General</c:formatCode>
                <c:ptCount val="7"/>
                <c:pt idx="0">
                  <c:v>0.98139999999999905</c:v>
                </c:pt>
                <c:pt idx="1">
                  <c:v>0.90129999999999999</c:v>
                </c:pt>
                <c:pt idx="2">
                  <c:v>0.979800000000008</c:v>
                </c:pt>
                <c:pt idx="3">
                  <c:v>0.957600000000008</c:v>
                </c:pt>
                <c:pt idx="4">
                  <c:v>0.90910000000000002</c:v>
                </c:pt>
                <c:pt idx="5">
                  <c:v>0.93730000000000002</c:v>
                </c:pt>
                <c:pt idx="6">
                  <c:v>0.92689999999999995</c:v>
                </c:pt>
              </c:numCache>
            </c:numRef>
          </c:val>
          <c:extLst>
            <c:ext xmlns:c16="http://schemas.microsoft.com/office/drawing/2014/chart" uri="{C3380CC4-5D6E-409C-BE32-E72D297353CC}">
              <c16:uniqueId val="{00000000-88AB-4FA9-8089-A5AF34641D22}"/>
            </c:ext>
          </c:extLst>
        </c:ser>
        <c:dLbls>
          <c:showLegendKey val="0"/>
          <c:showVal val="0"/>
          <c:showCatName val="0"/>
          <c:showSerName val="0"/>
          <c:showPercent val="0"/>
          <c:showBubbleSize val="0"/>
        </c:dLbls>
        <c:gapWidth val="150"/>
        <c:axId val="2126512680"/>
        <c:axId val="2127691560"/>
      </c:barChart>
      <c:catAx>
        <c:axId val="2126512680"/>
        <c:scaling>
          <c:orientation val="minMax"/>
        </c:scaling>
        <c:delete val="0"/>
        <c:axPos val="l"/>
        <c:numFmt formatCode="General" sourceLinked="0"/>
        <c:majorTickMark val="out"/>
        <c:minorTickMark val="none"/>
        <c:tickLblPos val="nextTo"/>
        <c:crossAx val="2127691560"/>
        <c:crossesAt val="1"/>
        <c:auto val="1"/>
        <c:lblAlgn val="ctr"/>
        <c:lblOffset val="100"/>
        <c:noMultiLvlLbl val="0"/>
      </c:catAx>
      <c:valAx>
        <c:axId val="2127691560"/>
        <c:scaling>
          <c:orientation val="minMax"/>
          <c:max val="1.1499999999999999"/>
          <c:min val="0.85000000000000098"/>
        </c:scaling>
        <c:delete val="0"/>
        <c:axPos val="b"/>
        <c:title>
          <c:tx>
            <c:rich>
              <a:bodyPr/>
              <a:lstStyle/>
              <a:p>
                <a:pPr>
                  <a:defRPr/>
                </a:pPr>
                <a:r>
                  <a:rPr lang="en-US"/>
                  <a:t>Multiplicative trend slope</a:t>
                </a:r>
              </a:p>
            </c:rich>
          </c:tx>
          <c:overlay val="0"/>
        </c:title>
        <c:numFmt formatCode="General" sourceLinked="1"/>
        <c:majorTickMark val="out"/>
        <c:minorTickMark val="none"/>
        <c:tickLblPos val="nextTo"/>
        <c:crossAx val="2126512680"/>
        <c:crosses val="autoZero"/>
        <c:crossBetween val="between"/>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E0F8BF-3C0B-40BD-B04F-6103ACB85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COP11_Template_English_new</Template>
  <TotalTime>1</TotalTime>
  <Pages>115</Pages>
  <Words>48332</Words>
  <Characters>282799</Characters>
  <Application>Microsoft Office Word</Application>
  <DocSecurity>0</DocSecurity>
  <Lines>2356</Lines>
  <Paragraphs>660</Paragraphs>
  <ScaleCrop>false</ScaleCrop>
  <HeadingPairs>
    <vt:vector size="2" baseType="variant">
      <vt:variant>
        <vt:lpstr>Title</vt:lpstr>
      </vt:variant>
      <vt:variant>
        <vt:i4>1</vt:i4>
      </vt:variant>
    </vt:vector>
  </HeadingPairs>
  <TitlesOfParts>
    <vt:vector size="1" baseType="lpstr">
      <vt:lpstr>17TH MEETING OF THE</vt:lpstr>
    </vt:vector>
  </TitlesOfParts>
  <Company>United Nations Volunteers (UNV) programme</Company>
  <LinksUpToDate>false</LinksUpToDate>
  <CharactersWithSpaces>330471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17TH MEETING OF THE</dc:title>
  <dc:subject/>
  <dc:creator>barbara.schoenberg@cms.int</dc:creator>
  <cp:keywords/>
  <cp:lastModifiedBy>Ximena Cancino</cp:lastModifiedBy>
  <cp:revision>3</cp:revision>
  <cp:lastPrinted>2017-05-31T12:03:00Z</cp:lastPrinted>
  <dcterms:created xsi:type="dcterms:W3CDTF">2017-05-31T12:03:00Z</dcterms:created>
  <dcterms:modified xsi:type="dcterms:W3CDTF">2017-05-31T12:03:00Z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