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F428F2" w:rsidRDefault="00682B31" w:rsidP="00682B31">
      <w:pPr>
        <w:tabs>
          <w:tab w:val="left" w:pos="-1057"/>
          <w:tab w:val="left" w:pos="-720"/>
        </w:tabs>
        <w:ind w:left="-90"/>
        <w:rPr>
          <w:rFonts w:ascii="Arial" w:hAnsi="Arial" w:cs="Arial"/>
          <w:spacing w:val="-8"/>
          <w:sz w:val="22"/>
          <w:szCs w:val="12"/>
          <w:lang w:val="es-ES"/>
        </w:rPr>
      </w:pPr>
    </w:p>
    <w:p w14:paraId="24A478D3" w14:textId="77777777" w:rsidR="005103DA" w:rsidRPr="00F428F2" w:rsidRDefault="005103DA" w:rsidP="005103DA">
      <w:pPr>
        <w:tabs>
          <w:tab w:val="left" w:pos="-1057"/>
          <w:tab w:val="left" w:pos="-720"/>
        </w:tabs>
        <w:ind w:left="-90"/>
        <w:rPr>
          <w:rFonts w:ascii="Arial" w:hAnsi="Arial" w:cs="Arial"/>
          <w:sz w:val="22"/>
          <w:szCs w:val="22"/>
          <w:lang w:val="es-ES"/>
        </w:rPr>
      </w:pPr>
      <w:r w:rsidRPr="00F428F2">
        <w:rPr>
          <w:rFonts w:ascii="Arial" w:hAnsi="Arial" w:cs="Arial"/>
          <w:sz w:val="22"/>
          <w:szCs w:val="22"/>
          <w:lang w:val="es-ES"/>
        </w:rPr>
        <w:t>12</w:t>
      </w:r>
      <w:r w:rsidRPr="00F428F2">
        <w:rPr>
          <w:rFonts w:ascii="Arial" w:hAnsi="Arial" w:cs="Arial"/>
          <w:sz w:val="22"/>
          <w:szCs w:val="22"/>
          <w:vertAlign w:val="superscript"/>
          <w:lang w:val="es-ES"/>
        </w:rPr>
        <w:t>a</w:t>
      </w:r>
      <w:r w:rsidRPr="00F428F2">
        <w:rPr>
          <w:rFonts w:ascii="Arial" w:hAnsi="Arial" w:cs="Arial"/>
          <w:sz w:val="22"/>
          <w:szCs w:val="22"/>
          <w:lang w:val="es-ES"/>
        </w:rPr>
        <w:t xml:space="preserve"> REUNIÓN DE LA CONFERENCIA DE LAS PARTES</w:t>
      </w:r>
    </w:p>
    <w:p w14:paraId="54BBF045" w14:textId="77777777" w:rsidR="005103DA" w:rsidRPr="00F428F2" w:rsidRDefault="005103DA" w:rsidP="005103DA">
      <w:pPr>
        <w:pStyle w:val="Heading2"/>
        <w:keepNext w:val="0"/>
        <w:spacing w:line="228" w:lineRule="auto"/>
        <w:ind w:left="-90"/>
        <w:rPr>
          <w:rFonts w:ascii="Arial" w:hAnsi="Arial" w:cs="Arial"/>
          <w:b w:val="0"/>
          <w:bCs w:val="0"/>
          <w:sz w:val="22"/>
          <w:szCs w:val="22"/>
          <w:lang w:val="es-ES"/>
        </w:rPr>
      </w:pPr>
      <w:r w:rsidRPr="00F428F2">
        <w:rPr>
          <w:rFonts w:ascii="Arial" w:hAnsi="Arial" w:cs="Arial"/>
          <w:b w:val="0"/>
          <w:sz w:val="22"/>
          <w:szCs w:val="22"/>
          <w:lang w:val="es-ES"/>
        </w:rPr>
        <w:t>Manila, Filipinas, 23 - 28 octubre 2017</w:t>
      </w:r>
    </w:p>
    <w:p w14:paraId="38723901" w14:textId="4948078C" w:rsidR="0081600F" w:rsidRPr="00F428F2" w:rsidRDefault="005103DA" w:rsidP="005103DA">
      <w:pPr>
        <w:spacing w:line="228" w:lineRule="auto"/>
        <w:ind w:left="-90"/>
        <w:rPr>
          <w:rFonts w:ascii="Arial" w:hAnsi="Arial" w:cs="Arial"/>
          <w:iCs/>
          <w:sz w:val="22"/>
          <w:szCs w:val="22"/>
          <w:lang w:val="es-ES"/>
        </w:rPr>
      </w:pPr>
      <w:r w:rsidRPr="00F428F2">
        <w:rPr>
          <w:rFonts w:ascii="Arial" w:hAnsi="Arial" w:cs="Arial"/>
          <w:iCs/>
          <w:sz w:val="22"/>
          <w:szCs w:val="22"/>
          <w:lang w:val="es-ES"/>
        </w:rPr>
        <w:t xml:space="preserve">Punto </w:t>
      </w:r>
      <w:r w:rsidR="0008791E" w:rsidRPr="00F428F2">
        <w:rPr>
          <w:rFonts w:ascii="Arial" w:hAnsi="Arial" w:cs="Arial"/>
          <w:iCs/>
          <w:sz w:val="22"/>
          <w:szCs w:val="22"/>
          <w:lang w:val="es-ES"/>
        </w:rPr>
        <w:t>21.</w:t>
      </w:r>
      <w:r w:rsidR="00E71E4D" w:rsidRPr="00F428F2">
        <w:rPr>
          <w:rFonts w:ascii="Arial" w:hAnsi="Arial" w:cs="Arial"/>
          <w:iCs/>
          <w:sz w:val="22"/>
          <w:szCs w:val="22"/>
          <w:lang w:val="es-ES"/>
        </w:rPr>
        <w:t>2</w:t>
      </w:r>
      <w:r w:rsidR="0008791E" w:rsidRPr="00F428F2">
        <w:rPr>
          <w:rFonts w:ascii="Arial" w:hAnsi="Arial" w:cs="Arial"/>
          <w:iCs/>
          <w:sz w:val="22"/>
          <w:szCs w:val="22"/>
          <w:lang w:val="es-ES"/>
        </w:rPr>
        <w:t>.</w:t>
      </w:r>
      <w:r w:rsidR="007E6DF6" w:rsidRPr="00F428F2">
        <w:rPr>
          <w:rFonts w:ascii="Arial" w:hAnsi="Arial" w:cs="Arial"/>
          <w:iCs/>
          <w:sz w:val="22"/>
          <w:szCs w:val="22"/>
          <w:lang w:val="es-ES"/>
        </w:rPr>
        <w:t>2</w:t>
      </w:r>
      <w:r w:rsidRPr="00F428F2">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F428F2" w14:paraId="0118D518" w14:textId="77777777" w:rsidTr="00672C2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F428F2"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F428F2">
              <w:rPr>
                <w:rFonts w:ascii="Arial" w:hAnsi="Arial" w:cs="Arial"/>
                <w:b/>
                <w:sz w:val="22"/>
                <w:szCs w:val="28"/>
                <w:lang w:val="es-ES"/>
              </w:rPr>
              <w:tab/>
            </w:r>
            <w:r w:rsidRPr="00F428F2">
              <w:rPr>
                <w:rFonts w:ascii="Arial" w:hAnsi="Arial" w:cs="Arial"/>
                <w:b/>
                <w:sz w:val="22"/>
                <w:szCs w:val="28"/>
                <w:lang w:val="es-ES"/>
              </w:rPr>
              <w:tab/>
            </w:r>
            <w:r w:rsidRPr="00F428F2">
              <w:rPr>
                <w:rFonts w:ascii="Arial" w:hAnsi="Arial" w:cs="Arial"/>
                <w:b/>
                <w:sz w:val="22"/>
                <w:szCs w:val="28"/>
                <w:lang w:val="es-ES"/>
              </w:rPr>
              <w:tab/>
            </w:r>
            <w:r w:rsidRPr="00F428F2">
              <w:rPr>
                <w:rFonts w:ascii="Arial" w:hAnsi="Arial" w:cs="Arial"/>
                <w:b/>
                <w:sz w:val="22"/>
                <w:szCs w:val="28"/>
                <w:lang w:val="es-ES"/>
              </w:rPr>
              <w:tab/>
            </w:r>
            <w:r w:rsidRPr="00F428F2">
              <w:rPr>
                <w:rFonts w:ascii="Arial" w:hAnsi="Arial" w:cs="Arial"/>
                <w:b/>
                <w:sz w:val="28"/>
                <w:szCs w:val="28"/>
                <w:lang w:val="es-ES"/>
              </w:rPr>
              <w:t>CMS</w:t>
            </w:r>
          </w:p>
          <w:p w14:paraId="32444BB3" w14:textId="77777777" w:rsidR="005103DA" w:rsidRPr="00F428F2"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F428F2" w14:paraId="11301555" w14:textId="77777777" w:rsidTr="00672C2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F428F2" w:rsidRDefault="005103DA" w:rsidP="005103DA">
            <w:pPr>
              <w:rPr>
                <w:rFonts w:ascii="Arial" w:hAnsi="Arial" w:cs="Arial"/>
                <w:sz w:val="22"/>
                <w:szCs w:val="22"/>
                <w:lang w:val="es-ES"/>
              </w:rPr>
            </w:pPr>
            <w:r w:rsidRPr="00F428F2">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F428F2"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F428F2"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12"/>
                <w:lang w:val="es-ES"/>
              </w:rPr>
            </w:pPr>
          </w:p>
          <w:p w14:paraId="6A0CACF3" w14:textId="77777777" w:rsidR="005103DA" w:rsidRPr="00F428F2"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F428F2">
              <w:rPr>
                <w:rFonts w:ascii="Arial" w:hAnsi="Arial" w:cs="Arial"/>
                <w:bCs w:val="0"/>
                <w:sz w:val="28"/>
                <w:szCs w:val="28"/>
                <w:lang w:val="es-ES"/>
              </w:rPr>
              <w:t>CONVENCIÓN SOBRE</w:t>
            </w:r>
          </w:p>
          <w:p w14:paraId="0353D420" w14:textId="77777777" w:rsidR="005103DA" w:rsidRPr="00F428F2"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F428F2">
              <w:rPr>
                <w:rFonts w:ascii="Arial" w:hAnsi="Arial" w:cs="Arial"/>
                <w:bCs w:val="0"/>
                <w:sz w:val="28"/>
                <w:szCs w:val="28"/>
                <w:lang w:val="es-ES"/>
              </w:rPr>
              <w:t>LAS ESPECIES</w:t>
            </w:r>
          </w:p>
          <w:p w14:paraId="41FD8E0A" w14:textId="77777777" w:rsidR="005103DA" w:rsidRPr="00F428F2"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F428F2">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F428F2"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F428F2"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F428F2">
              <w:rPr>
                <w:rFonts w:ascii="Arial" w:hAnsi="Arial" w:cs="Arial"/>
                <w:sz w:val="22"/>
                <w:szCs w:val="22"/>
                <w:lang w:val="es-ES"/>
              </w:rPr>
              <w:t>Distribución: General</w:t>
            </w:r>
          </w:p>
          <w:p w14:paraId="59F35102" w14:textId="77777777" w:rsidR="005103DA" w:rsidRPr="00F428F2"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5CABF18A" w:rsidR="005103DA" w:rsidRPr="00451511" w:rsidRDefault="003A4182"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51511">
              <w:rPr>
                <w:rFonts w:ascii="Arial" w:hAnsi="Arial" w:cs="Arial"/>
                <w:sz w:val="22"/>
                <w:szCs w:val="22"/>
                <w:lang w:val="es-ES"/>
              </w:rPr>
              <w:t>UNEP</w:t>
            </w:r>
            <w:r w:rsidR="005103DA" w:rsidRPr="00451511">
              <w:rPr>
                <w:rFonts w:ascii="Arial" w:hAnsi="Arial" w:cs="Arial"/>
                <w:sz w:val="22"/>
                <w:szCs w:val="22"/>
                <w:lang w:val="es-ES"/>
              </w:rPr>
              <w:t>/CMS/COP12/Doc.21.</w:t>
            </w:r>
            <w:r w:rsidR="00E71E4D" w:rsidRPr="00451511">
              <w:rPr>
                <w:rFonts w:ascii="Arial" w:hAnsi="Arial" w:cs="Arial"/>
                <w:sz w:val="22"/>
                <w:szCs w:val="22"/>
                <w:lang w:val="es-ES"/>
              </w:rPr>
              <w:t>2</w:t>
            </w:r>
            <w:r w:rsidR="0008791E" w:rsidRPr="00451511">
              <w:rPr>
                <w:rFonts w:ascii="Arial" w:hAnsi="Arial" w:cs="Arial"/>
                <w:sz w:val="22"/>
                <w:szCs w:val="22"/>
                <w:lang w:val="es-ES"/>
              </w:rPr>
              <w:t>.</w:t>
            </w:r>
            <w:r w:rsidR="007E6DF6" w:rsidRPr="00451511">
              <w:rPr>
                <w:rFonts w:ascii="Arial" w:hAnsi="Arial" w:cs="Arial"/>
                <w:sz w:val="22"/>
                <w:szCs w:val="22"/>
                <w:lang w:val="es-ES"/>
              </w:rPr>
              <w:t>2</w:t>
            </w:r>
            <w:r w:rsidR="00953352" w:rsidRPr="00451511">
              <w:rPr>
                <w:rFonts w:ascii="Arial" w:hAnsi="Arial" w:cs="Arial"/>
                <w:sz w:val="22"/>
                <w:szCs w:val="22"/>
                <w:lang w:val="es-ES"/>
              </w:rPr>
              <w:t>/Rev.1</w:t>
            </w:r>
          </w:p>
          <w:p w14:paraId="15D7C2AB" w14:textId="77794561" w:rsidR="005103DA" w:rsidRPr="00F428F2" w:rsidRDefault="003A4182"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F428F2">
              <w:rPr>
                <w:rFonts w:ascii="Arial" w:hAnsi="Arial" w:cs="Arial"/>
                <w:sz w:val="22"/>
                <w:szCs w:val="22"/>
                <w:lang w:val="es-ES"/>
              </w:rPr>
              <w:t xml:space="preserve">16 de junio </w:t>
            </w:r>
            <w:r w:rsidR="005103DA" w:rsidRPr="00F428F2">
              <w:rPr>
                <w:rFonts w:ascii="Arial" w:hAnsi="Arial" w:cs="Arial"/>
                <w:sz w:val="22"/>
                <w:szCs w:val="22"/>
                <w:lang w:val="es-ES"/>
              </w:rPr>
              <w:t>de 2017</w:t>
            </w:r>
          </w:p>
          <w:p w14:paraId="1153D29F" w14:textId="77777777" w:rsidR="005103DA" w:rsidRPr="00F428F2"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F428F2" w:rsidRDefault="005103DA" w:rsidP="005103DA">
            <w:pPr>
              <w:rPr>
                <w:rFonts w:ascii="Arial" w:hAnsi="Arial" w:cs="Arial"/>
                <w:sz w:val="22"/>
                <w:szCs w:val="22"/>
                <w:lang w:val="es-ES"/>
              </w:rPr>
            </w:pPr>
            <w:r w:rsidRPr="00F428F2">
              <w:rPr>
                <w:rFonts w:ascii="Arial" w:hAnsi="Arial" w:cs="Arial"/>
                <w:sz w:val="22"/>
                <w:szCs w:val="22"/>
                <w:lang w:val="es-ES"/>
              </w:rPr>
              <w:t>Español</w:t>
            </w:r>
          </w:p>
          <w:p w14:paraId="0DFFA5AE" w14:textId="77777777" w:rsidR="005103DA" w:rsidRPr="00F428F2" w:rsidRDefault="005103DA" w:rsidP="005103DA">
            <w:pPr>
              <w:rPr>
                <w:rFonts w:ascii="Arial" w:hAnsi="Arial" w:cs="Arial"/>
                <w:sz w:val="22"/>
                <w:szCs w:val="22"/>
                <w:lang w:val="es-ES"/>
              </w:rPr>
            </w:pPr>
            <w:r w:rsidRPr="00F428F2">
              <w:rPr>
                <w:rFonts w:ascii="Arial" w:hAnsi="Arial" w:cs="Arial"/>
                <w:sz w:val="22"/>
                <w:szCs w:val="22"/>
                <w:lang w:val="es-ES"/>
              </w:rPr>
              <w:t>Original: Inglés</w:t>
            </w:r>
          </w:p>
          <w:p w14:paraId="2383C52D" w14:textId="77777777" w:rsidR="005103DA" w:rsidRPr="00F428F2" w:rsidRDefault="005103DA" w:rsidP="005103DA">
            <w:pPr>
              <w:rPr>
                <w:rFonts w:ascii="Arial" w:hAnsi="Arial" w:cs="Arial"/>
                <w:sz w:val="22"/>
                <w:szCs w:val="12"/>
                <w:lang w:val="es-ES"/>
              </w:rPr>
            </w:pPr>
          </w:p>
        </w:tc>
      </w:tr>
    </w:tbl>
    <w:p w14:paraId="7CAF2A61" w14:textId="77777777" w:rsidR="005103DA" w:rsidRPr="00F428F2" w:rsidRDefault="005103DA" w:rsidP="005103DA">
      <w:pPr>
        <w:tabs>
          <w:tab w:val="left" w:pos="7020"/>
        </w:tabs>
        <w:rPr>
          <w:rFonts w:ascii="Arial" w:hAnsi="Arial" w:cs="Arial"/>
          <w:sz w:val="22"/>
          <w:szCs w:val="22"/>
          <w:lang w:val="es-ES"/>
        </w:rPr>
      </w:pPr>
    </w:p>
    <w:p w14:paraId="66F9B689" w14:textId="77777777" w:rsidR="005103DA" w:rsidRPr="00F428F2" w:rsidRDefault="005103DA" w:rsidP="005103DA">
      <w:pPr>
        <w:tabs>
          <w:tab w:val="left" w:pos="7020"/>
        </w:tabs>
        <w:rPr>
          <w:rFonts w:ascii="Arial" w:hAnsi="Arial" w:cs="Arial"/>
          <w:sz w:val="22"/>
          <w:szCs w:val="22"/>
          <w:lang w:val="es-ES"/>
        </w:rPr>
      </w:pPr>
    </w:p>
    <w:p w14:paraId="14DC83CF" w14:textId="77777777" w:rsidR="005103DA" w:rsidRPr="00F428F2" w:rsidRDefault="005103DA" w:rsidP="005103DA">
      <w:pPr>
        <w:rPr>
          <w:rFonts w:ascii="Arial" w:hAnsi="Arial" w:cs="Arial"/>
          <w:sz w:val="22"/>
          <w:szCs w:val="22"/>
          <w:lang w:val="es-ES"/>
        </w:rPr>
      </w:pPr>
    </w:p>
    <w:p w14:paraId="725B7CC6" w14:textId="368A9E79" w:rsidR="00E50B6E" w:rsidRPr="00F428F2" w:rsidRDefault="00C44232" w:rsidP="00E50B6E">
      <w:pPr>
        <w:pStyle w:val="p1"/>
        <w:jc w:val="center"/>
        <w:rPr>
          <w:rFonts w:ascii="Arial" w:eastAsia="Times New Roman" w:hAnsi="Arial" w:cs="Arial"/>
          <w:b/>
          <w:bCs/>
          <w:caps/>
          <w:sz w:val="22"/>
          <w:szCs w:val="22"/>
          <w:lang w:val="es-ES"/>
        </w:rPr>
      </w:pPr>
      <w:r w:rsidRPr="00F428F2">
        <w:rPr>
          <w:rFonts w:ascii="Arial" w:eastAsia="Times New Roman" w:hAnsi="Arial" w:cs="Arial"/>
          <w:b/>
          <w:bCs/>
          <w:caps/>
          <w:sz w:val="22"/>
          <w:szCs w:val="22"/>
          <w:lang w:val="es-ES"/>
        </w:rPr>
        <w:t xml:space="preserve">Consolidación de Resoluciones: </w:t>
      </w:r>
      <w:r w:rsidR="002A38B7" w:rsidRPr="00F428F2">
        <w:rPr>
          <w:rFonts w:ascii="Arial" w:eastAsia="Times New Roman" w:hAnsi="Arial" w:cs="Arial"/>
          <w:b/>
          <w:bCs/>
          <w:caps/>
          <w:sz w:val="22"/>
          <w:szCs w:val="22"/>
          <w:lang w:val="es-ES"/>
        </w:rPr>
        <w:t>taxonomia y Nomenclatura</w:t>
      </w:r>
    </w:p>
    <w:p w14:paraId="50D59CE5" w14:textId="77777777" w:rsidR="005103DA" w:rsidRPr="00F428F2" w:rsidRDefault="005103DA" w:rsidP="005103DA">
      <w:pPr>
        <w:jc w:val="center"/>
        <w:rPr>
          <w:rFonts w:ascii="Arial" w:hAnsi="Arial" w:cs="Arial"/>
          <w:sz w:val="22"/>
          <w:szCs w:val="22"/>
          <w:lang w:val="es-ES"/>
        </w:rPr>
      </w:pPr>
    </w:p>
    <w:p w14:paraId="2DF0EA37" w14:textId="2CA4C50C" w:rsidR="005103DA" w:rsidRPr="00F428F2" w:rsidRDefault="005103DA" w:rsidP="005103DA">
      <w:pPr>
        <w:pStyle w:val="p1"/>
        <w:jc w:val="center"/>
        <w:rPr>
          <w:rFonts w:ascii="Arial" w:hAnsi="Arial" w:cs="Arial"/>
          <w:sz w:val="22"/>
          <w:szCs w:val="22"/>
          <w:lang w:val="es-ES"/>
        </w:rPr>
      </w:pPr>
      <w:r w:rsidRPr="00F428F2">
        <w:rPr>
          <w:rFonts w:ascii="Arial" w:hAnsi="Arial" w:cs="Arial"/>
          <w:i/>
          <w:iCs/>
          <w:sz w:val="22"/>
          <w:szCs w:val="22"/>
          <w:lang w:val="es-ES"/>
        </w:rPr>
        <w:t>(</w:t>
      </w:r>
      <w:r w:rsidR="0008791E" w:rsidRPr="00F428F2">
        <w:rPr>
          <w:rFonts w:ascii="Arial" w:hAnsi="Arial" w:cs="Arial"/>
          <w:i/>
          <w:iCs/>
          <w:sz w:val="22"/>
          <w:szCs w:val="22"/>
          <w:lang w:val="es-ES"/>
        </w:rPr>
        <w:t xml:space="preserve">Preparado por la Secretaría </w:t>
      </w:r>
      <w:r w:rsidR="0008791E" w:rsidRPr="00F428F2">
        <w:rPr>
          <w:rFonts w:ascii="Arial" w:hAnsi="Arial" w:cs="Arial"/>
          <w:bCs/>
          <w:i/>
          <w:sz w:val="22"/>
          <w:szCs w:val="22"/>
          <w:lang w:val="es-ES"/>
        </w:rPr>
        <w:t>en nombre del Comité Permanente</w:t>
      </w:r>
      <w:r w:rsidRPr="00F428F2">
        <w:rPr>
          <w:rFonts w:ascii="Arial" w:hAnsi="Arial" w:cs="Arial"/>
          <w:i/>
          <w:sz w:val="22"/>
          <w:szCs w:val="22"/>
          <w:lang w:val="es-ES"/>
        </w:rPr>
        <w:t>)</w:t>
      </w:r>
    </w:p>
    <w:p w14:paraId="0E55FE79" w14:textId="77777777" w:rsidR="005103DA" w:rsidRPr="00F428F2" w:rsidRDefault="005103DA" w:rsidP="005103DA">
      <w:pPr>
        <w:jc w:val="both"/>
        <w:rPr>
          <w:rFonts w:ascii="Arial" w:hAnsi="Arial" w:cs="Arial"/>
          <w:sz w:val="22"/>
          <w:szCs w:val="22"/>
          <w:lang w:val="es-ES"/>
        </w:rPr>
      </w:pPr>
    </w:p>
    <w:p w14:paraId="14102E2B" w14:textId="0D36B21D" w:rsidR="005103DA" w:rsidRPr="00F428F2" w:rsidRDefault="00F428F2" w:rsidP="00F428F2">
      <w:pPr>
        <w:tabs>
          <w:tab w:val="left" w:pos="5400"/>
        </w:tabs>
        <w:jc w:val="both"/>
        <w:rPr>
          <w:rFonts w:ascii="Arial" w:hAnsi="Arial" w:cs="Arial"/>
          <w:sz w:val="22"/>
          <w:szCs w:val="22"/>
          <w:lang w:val="es-ES"/>
        </w:rPr>
      </w:pPr>
      <w:r>
        <w:rPr>
          <w:rFonts w:ascii="Arial" w:hAnsi="Arial" w:cs="Arial"/>
          <w:sz w:val="22"/>
          <w:szCs w:val="22"/>
          <w:lang w:val="es-ES"/>
        </w:rPr>
        <w:tab/>
      </w:r>
    </w:p>
    <w:p w14:paraId="4BC7E2AA" w14:textId="77777777" w:rsidR="005103DA" w:rsidRPr="00F428F2" w:rsidRDefault="005103DA" w:rsidP="005103DA">
      <w:pPr>
        <w:jc w:val="both"/>
        <w:rPr>
          <w:rFonts w:ascii="Arial" w:hAnsi="Arial" w:cs="Arial"/>
          <w:sz w:val="22"/>
          <w:szCs w:val="22"/>
          <w:lang w:val="es-ES"/>
        </w:rPr>
      </w:pPr>
    </w:p>
    <w:p w14:paraId="4C203F56" w14:textId="77777777" w:rsidR="005103DA" w:rsidRPr="00F428F2" w:rsidRDefault="005103DA" w:rsidP="005103DA">
      <w:pPr>
        <w:rPr>
          <w:rFonts w:ascii="Arial" w:hAnsi="Arial" w:cs="Arial"/>
          <w:sz w:val="22"/>
          <w:szCs w:val="22"/>
          <w:lang w:val="es-ES"/>
        </w:rPr>
      </w:pPr>
    </w:p>
    <w:p w14:paraId="0C2AB00B" w14:textId="77777777" w:rsidR="005103DA" w:rsidRPr="00F428F2" w:rsidRDefault="005103DA" w:rsidP="005103DA">
      <w:pPr>
        <w:rPr>
          <w:rFonts w:ascii="Arial" w:hAnsi="Arial" w:cs="Arial"/>
          <w:sz w:val="22"/>
          <w:szCs w:val="22"/>
          <w:lang w:val="es-ES"/>
        </w:rPr>
      </w:pPr>
      <w:r w:rsidRPr="00F428F2">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2CE4BAD0">
                <wp:simplePos x="0" y="0"/>
                <wp:positionH relativeFrom="column">
                  <wp:posOffset>713105</wp:posOffset>
                </wp:positionH>
                <wp:positionV relativeFrom="paragraph">
                  <wp:posOffset>73025</wp:posOffset>
                </wp:positionV>
                <wp:extent cx="4305300" cy="183832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38325"/>
                        </a:xfrm>
                        <a:prstGeom prst="rect">
                          <a:avLst/>
                        </a:prstGeom>
                        <a:solidFill>
                          <a:srgbClr val="FFFFFF"/>
                        </a:solidFill>
                        <a:ln w="3175">
                          <a:solidFill>
                            <a:srgbClr val="000000"/>
                          </a:solidFill>
                          <a:miter lim="800000"/>
                          <a:headEnd/>
                          <a:tailEnd/>
                        </a:ln>
                      </wps:spPr>
                      <wps:txbx>
                        <w:txbxContent>
                          <w:p w14:paraId="7858B0E9" w14:textId="77777777" w:rsidR="00F428F2" w:rsidRPr="00F428F2" w:rsidRDefault="00F428F2" w:rsidP="005103DA">
                            <w:pPr>
                              <w:rPr>
                                <w:rFonts w:ascii="Arial" w:hAnsi="Arial" w:cs="Arial"/>
                                <w:sz w:val="22"/>
                                <w:szCs w:val="22"/>
                                <w:lang w:val="es-ES"/>
                              </w:rPr>
                            </w:pPr>
                            <w:r w:rsidRPr="00F428F2">
                              <w:rPr>
                                <w:rFonts w:ascii="Arial" w:hAnsi="Arial" w:cs="Arial"/>
                                <w:sz w:val="22"/>
                                <w:szCs w:val="22"/>
                                <w:lang w:val="es-ES"/>
                              </w:rPr>
                              <w:t>Resumen:</w:t>
                            </w:r>
                          </w:p>
                          <w:p w14:paraId="7D87CAE2" w14:textId="77777777" w:rsidR="00F428F2" w:rsidRPr="00F428F2" w:rsidRDefault="00F428F2" w:rsidP="005103DA">
                            <w:pPr>
                              <w:rPr>
                                <w:rFonts w:ascii="Arial" w:hAnsi="Arial" w:cs="Arial"/>
                                <w:sz w:val="22"/>
                                <w:szCs w:val="22"/>
                                <w:lang w:val="es-ES"/>
                              </w:rPr>
                            </w:pPr>
                          </w:p>
                          <w:p w14:paraId="2E83A9A9"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Este documento consolida cuatro Resoluciones y Recomendaciones existentes sobre taxonomía y nomenclatura y convierte una instrucción en una Decisión.</w:t>
                            </w:r>
                          </w:p>
                          <w:p w14:paraId="0C107CA8"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p>
                          <w:p w14:paraId="6F8AFEB6" w14:textId="514E0443"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Este documento debe leerse conjuntamente con UNEP / CMS / COP12 / Doc.2</w:t>
                            </w:r>
                            <w:r>
                              <w:rPr>
                                <w:rFonts w:ascii="Arial" w:hAnsi="Arial" w:cs="Arial"/>
                                <w:sz w:val="22"/>
                                <w:szCs w:val="22"/>
                                <w:lang w:val="es-ES"/>
                              </w:rPr>
                              <w:t>5.2, que propone revisiones a</w:t>
                            </w:r>
                            <w:r w:rsidRPr="003A4182">
                              <w:rPr>
                                <w:rFonts w:ascii="Arial" w:hAnsi="Arial" w:cs="Arial"/>
                                <w:sz w:val="22"/>
                                <w:szCs w:val="22"/>
                                <w:lang w:val="es-ES"/>
                              </w:rPr>
                              <w:t xml:space="preserve"> la resolución.</w:t>
                            </w:r>
                          </w:p>
                          <w:p w14:paraId="425A8979"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p>
                          <w:p w14:paraId="1772B396" w14:textId="6E25FBD5"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Rev.1 corrige las omisiones de los Anexos 2 y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75pt;width:339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kHKgIAAFIEAAAOAAAAZHJzL2Uyb0RvYy54bWysVNtu2zAMfR+wfxD0vti5rZ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" strokeweight=".25pt">
                <v:textbox>
                  <w:txbxContent>
                    <w:p w14:paraId="7858B0E9" w14:textId="77777777" w:rsidR="00F428F2" w:rsidRPr="00F428F2" w:rsidRDefault="00F428F2" w:rsidP="005103DA">
                      <w:pPr>
                        <w:rPr>
                          <w:rFonts w:ascii="Arial" w:hAnsi="Arial" w:cs="Arial"/>
                          <w:sz w:val="22"/>
                          <w:szCs w:val="22"/>
                          <w:lang w:val="es-ES"/>
                        </w:rPr>
                      </w:pPr>
                      <w:r w:rsidRPr="00F428F2">
                        <w:rPr>
                          <w:rFonts w:ascii="Arial" w:hAnsi="Arial" w:cs="Arial"/>
                          <w:sz w:val="22"/>
                          <w:szCs w:val="22"/>
                          <w:lang w:val="es-ES"/>
                        </w:rPr>
                        <w:t>Resumen:</w:t>
                      </w:r>
                    </w:p>
                    <w:p w14:paraId="7D87CAE2" w14:textId="77777777" w:rsidR="00F428F2" w:rsidRPr="00F428F2" w:rsidRDefault="00F428F2" w:rsidP="005103DA">
                      <w:pPr>
                        <w:rPr>
                          <w:rFonts w:ascii="Arial" w:hAnsi="Arial" w:cs="Arial"/>
                          <w:sz w:val="22"/>
                          <w:szCs w:val="22"/>
                          <w:lang w:val="es-ES"/>
                        </w:rPr>
                      </w:pPr>
                    </w:p>
                    <w:p w14:paraId="2E83A9A9"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Este documento consolida cuatro Resoluciones y Recomendaciones existentes sobre taxonomía y nomenclatura y convierte una instrucción en una Decisión.</w:t>
                      </w:r>
                    </w:p>
                    <w:p w14:paraId="0C107CA8"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p>
                    <w:p w14:paraId="6F8AFEB6" w14:textId="514E0443"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Este documento debe leerse conjuntamente con UNEP / CMS / COP12 / Doc.2</w:t>
                      </w:r>
                      <w:r>
                        <w:rPr>
                          <w:rFonts w:ascii="Arial" w:hAnsi="Arial" w:cs="Arial"/>
                          <w:sz w:val="22"/>
                          <w:szCs w:val="22"/>
                          <w:lang w:val="es-ES"/>
                        </w:rPr>
                        <w:t>5.2, que propone revisiones a</w:t>
                      </w:r>
                      <w:r w:rsidRPr="003A4182">
                        <w:rPr>
                          <w:rFonts w:ascii="Arial" w:hAnsi="Arial" w:cs="Arial"/>
                          <w:sz w:val="22"/>
                          <w:szCs w:val="22"/>
                          <w:lang w:val="es-ES"/>
                        </w:rPr>
                        <w:t xml:space="preserve"> la resolución.</w:t>
                      </w:r>
                    </w:p>
                    <w:p w14:paraId="425A8979" w14:textId="77777777"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p>
                    <w:p w14:paraId="1772B396" w14:textId="6E25FBD5" w:rsidR="00F428F2" w:rsidRPr="003A4182" w:rsidRDefault="00F428F2" w:rsidP="003A4182">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hAnsi="Arial" w:cs="Arial"/>
                          <w:sz w:val="22"/>
                          <w:szCs w:val="22"/>
                          <w:lang w:val="es-ES"/>
                        </w:rPr>
                      </w:pPr>
                      <w:r w:rsidRPr="003A4182">
                        <w:rPr>
                          <w:rFonts w:ascii="Arial" w:hAnsi="Arial" w:cs="Arial"/>
                          <w:sz w:val="22"/>
                          <w:szCs w:val="22"/>
                          <w:lang w:val="es-ES"/>
                        </w:rPr>
                        <w:t>Rev.1 corrige las omisiones de los Anexos 2 y 3.</w:t>
                      </w:r>
                    </w:p>
                  </w:txbxContent>
                </v:textbox>
              </v:shape>
            </w:pict>
          </mc:Fallback>
        </mc:AlternateContent>
      </w:r>
    </w:p>
    <w:p w14:paraId="5CB05BC1" w14:textId="77777777" w:rsidR="005103DA" w:rsidRPr="00F428F2" w:rsidRDefault="005103DA" w:rsidP="005103DA">
      <w:pPr>
        <w:rPr>
          <w:rFonts w:ascii="Arial" w:hAnsi="Arial" w:cs="Arial"/>
          <w:sz w:val="22"/>
          <w:szCs w:val="22"/>
          <w:lang w:val="es-ES"/>
        </w:rPr>
      </w:pPr>
    </w:p>
    <w:p w14:paraId="74BCD912" w14:textId="77777777" w:rsidR="005103DA" w:rsidRPr="00F428F2" w:rsidRDefault="005103DA" w:rsidP="005103DA">
      <w:pPr>
        <w:rPr>
          <w:rFonts w:ascii="Arial" w:hAnsi="Arial" w:cs="Arial"/>
          <w:sz w:val="22"/>
          <w:szCs w:val="22"/>
          <w:lang w:val="es-ES"/>
        </w:rPr>
      </w:pPr>
    </w:p>
    <w:p w14:paraId="0BE07F34" w14:textId="77777777" w:rsidR="005103DA" w:rsidRPr="00F428F2" w:rsidRDefault="005103DA" w:rsidP="005103DA">
      <w:pPr>
        <w:rPr>
          <w:rFonts w:ascii="Arial" w:hAnsi="Arial" w:cs="Arial"/>
          <w:sz w:val="22"/>
          <w:szCs w:val="22"/>
          <w:lang w:val="es-ES"/>
        </w:rPr>
      </w:pPr>
    </w:p>
    <w:p w14:paraId="6C138EFC" w14:textId="77777777" w:rsidR="005103DA" w:rsidRPr="00F428F2" w:rsidRDefault="005103DA" w:rsidP="005103DA">
      <w:pPr>
        <w:rPr>
          <w:rFonts w:ascii="Arial" w:hAnsi="Arial" w:cs="Arial"/>
          <w:sz w:val="22"/>
          <w:szCs w:val="22"/>
          <w:lang w:val="es-ES"/>
        </w:rPr>
      </w:pPr>
    </w:p>
    <w:p w14:paraId="45614D29" w14:textId="77777777" w:rsidR="005103DA" w:rsidRPr="00F428F2" w:rsidRDefault="005103DA" w:rsidP="005103DA">
      <w:pPr>
        <w:rPr>
          <w:rFonts w:ascii="Arial" w:hAnsi="Arial" w:cs="Arial"/>
          <w:sz w:val="22"/>
          <w:szCs w:val="22"/>
          <w:lang w:val="es-ES"/>
        </w:rPr>
      </w:pPr>
    </w:p>
    <w:p w14:paraId="40DA0239" w14:textId="77777777" w:rsidR="005103DA" w:rsidRPr="00F428F2" w:rsidRDefault="005103DA" w:rsidP="005103DA">
      <w:pPr>
        <w:rPr>
          <w:rFonts w:ascii="Arial" w:hAnsi="Arial" w:cs="Arial"/>
          <w:sz w:val="22"/>
          <w:szCs w:val="22"/>
          <w:lang w:val="es-ES"/>
        </w:rPr>
      </w:pPr>
    </w:p>
    <w:p w14:paraId="069426DE" w14:textId="77777777" w:rsidR="005103DA" w:rsidRPr="00F428F2" w:rsidRDefault="005103DA" w:rsidP="005103DA">
      <w:pPr>
        <w:rPr>
          <w:rFonts w:ascii="Arial" w:hAnsi="Arial" w:cs="Arial"/>
          <w:sz w:val="22"/>
          <w:szCs w:val="22"/>
          <w:lang w:val="es-ES"/>
        </w:rPr>
      </w:pPr>
    </w:p>
    <w:p w14:paraId="7CA3C42C" w14:textId="77777777" w:rsidR="005103DA" w:rsidRPr="00F428F2" w:rsidRDefault="005103DA" w:rsidP="005103DA">
      <w:pPr>
        <w:rPr>
          <w:rFonts w:ascii="Arial" w:hAnsi="Arial" w:cs="Arial"/>
          <w:sz w:val="22"/>
          <w:szCs w:val="22"/>
          <w:lang w:val="es-ES"/>
        </w:rPr>
      </w:pPr>
    </w:p>
    <w:p w14:paraId="31A9CEA9" w14:textId="77777777" w:rsidR="005103DA" w:rsidRPr="00F428F2" w:rsidRDefault="005103DA" w:rsidP="005103DA">
      <w:pPr>
        <w:rPr>
          <w:rFonts w:ascii="Arial" w:hAnsi="Arial" w:cs="Arial"/>
          <w:sz w:val="22"/>
          <w:szCs w:val="22"/>
          <w:lang w:val="es-ES"/>
        </w:rPr>
      </w:pPr>
    </w:p>
    <w:p w14:paraId="5A69FAD7" w14:textId="77777777" w:rsidR="005103DA" w:rsidRPr="00F428F2" w:rsidRDefault="005103DA" w:rsidP="005103DA">
      <w:pPr>
        <w:tabs>
          <w:tab w:val="left" w:pos="1020"/>
        </w:tabs>
        <w:rPr>
          <w:rFonts w:ascii="Arial" w:hAnsi="Arial" w:cs="Arial"/>
          <w:sz w:val="22"/>
          <w:szCs w:val="22"/>
          <w:lang w:val="es-ES"/>
        </w:rPr>
      </w:pPr>
    </w:p>
    <w:p w14:paraId="0A3A53ED" w14:textId="7AB25C53" w:rsidR="00E50B6E" w:rsidRPr="00F428F2" w:rsidRDefault="00E50B6E">
      <w:pPr>
        <w:rPr>
          <w:rFonts w:ascii="Arial" w:hAnsi="Arial" w:cs="Arial"/>
          <w:sz w:val="22"/>
          <w:szCs w:val="22"/>
          <w:lang w:val="es-ES"/>
        </w:rPr>
      </w:pPr>
      <w:r w:rsidRPr="00F428F2">
        <w:rPr>
          <w:rFonts w:ascii="Arial" w:hAnsi="Arial" w:cs="Arial"/>
          <w:sz w:val="22"/>
          <w:szCs w:val="22"/>
          <w:lang w:val="es-ES"/>
        </w:rPr>
        <w:br w:type="page"/>
      </w:r>
    </w:p>
    <w:p w14:paraId="47D24F29" w14:textId="3EB85EC1" w:rsidR="00BE3458" w:rsidRPr="00F428F2" w:rsidRDefault="00BE3458" w:rsidP="00BE3458">
      <w:pPr>
        <w:pStyle w:val="p1"/>
        <w:jc w:val="center"/>
        <w:rPr>
          <w:rFonts w:ascii="Arial" w:eastAsia="Times New Roman" w:hAnsi="Arial" w:cs="Arial"/>
          <w:b/>
          <w:bCs/>
          <w:caps/>
          <w:sz w:val="22"/>
          <w:szCs w:val="22"/>
          <w:lang w:val="es-ES"/>
        </w:rPr>
      </w:pPr>
      <w:r w:rsidRPr="00F428F2">
        <w:rPr>
          <w:rFonts w:ascii="Arial" w:eastAsia="Times New Roman" w:hAnsi="Arial" w:cs="Arial"/>
          <w:b/>
          <w:bCs/>
          <w:caps/>
          <w:sz w:val="22"/>
          <w:szCs w:val="22"/>
          <w:lang w:val="es-ES"/>
        </w:rPr>
        <w:lastRenderedPageBreak/>
        <w:t xml:space="preserve">Consolidación de Resoluciones: </w:t>
      </w:r>
      <w:r w:rsidR="002A38B7" w:rsidRPr="00F428F2">
        <w:rPr>
          <w:rFonts w:ascii="Arial" w:eastAsia="Times New Roman" w:hAnsi="Arial" w:cs="Arial"/>
          <w:b/>
          <w:bCs/>
          <w:caps/>
          <w:sz w:val="22"/>
          <w:szCs w:val="22"/>
          <w:lang w:val="es-ES"/>
        </w:rPr>
        <w:t>taxonomia y Nomenclatura</w:t>
      </w:r>
    </w:p>
    <w:p w14:paraId="6A33B7CD" w14:textId="77777777" w:rsidR="00BE3458" w:rsidRPr="00F428F2" w:rsidRDefault="00BE3458" w:rsidP="00BE3458">
      <w:pPr>
        <w:jc w:val="center"/>
        <w:rPr>
          <w:rFonts w:ascii="Arial" w:hAnsi="Arial" w:cs="Arial"/>
          <w:sz w:val="22"/>
          <w:szCs w:val="22"/>
          <w:lang w:val="es-ES"/>
        </w:rPr>
      </w:pPr>
    </w:p>
    <w:p w14:paraId="02C48EBE" w14:textId="77777777" w:rsidR="00E50B6E" w:rsidRPr="00F428F2" w:rsidRDefault="00E50B6E" w:rsidP="00E50B6E">
      <w:pPr>
        <w:jc w:val="both"/>
        <w:rPr>
          <w:rFonts w:ascii="Arial" w:hAnsi="Arial" w:cs="Arial"/>
          <w:sz w:val="22"/>
          <w:szCs w:val="22"/>
          <w:u w:val="single"/>
          <w:lang w:val="es-ES"/>
        </w:rPr>
      </w:pPr>
    </w:p>
    <w:p w14:paraId="49A4CCB0" w14:textId="08322E72" w:rsidR="00E50B6E" w:rsidRPr="00F428F2" w:rsidRDefault="00F428F2" w:rsidP="00E50B6E">
      <w:pPr>
        <w:jc w:val="both"/>
        <w:rPr>
          <w:rFonts w:ascii="Arial" w:hAnsi="Arial" w:cs="Arial"/>
          <w:sz w:val="22"/>
          <w:szCs w:val="22"/>
          <w:u w:val="single"/>
          <w:lang w:val="es-ES"/>
        </w:rPr>
      </w:pPr>
      <w:r>
        <w:rPr>
          <w:rFonts w:ascii="Arial" w:hAnsi="Arial" w:cs="Arial"/>
          <w:sz w:val="22"/>
          <w:szCs w:val="22"/>
          <w:u w:val="single"/>
          <w:lang w:val="es-ES"/>
        </w:rPr>
        <w:t>Antecedentes</w:t>
      </w:r>
    </w:p>
    <w:p w14:paraId="10E48B91" w14:textId="093C410E" w:rsidR="003A4182" w:rsidRPr="00F428F2" w:rsidRDefault="003A4182" w:rsidP="00E50B6E">
      <w:pPr>
        <w:jc w:val="both"/>
        <w:rPr>
          <w:rFonts w:ascii="Arial" w:hAnsi="Arial" w:cs="Arial"/>
          <w:sz w:val="22"/>
          <w:szCs w:val="22"/>
          <w:u w:val="single"/>
          <w:lang w:val="es-ES"/>
        </w:rPr>
      </w:pPr>
    </w:p>
    <w:p w14:paraId="6B66ACA7" w14:textId="2270C023" w:rsidR="003A4182" w:rsidRPr="00F428F2" w:rsidRDefault="003A4182" w:rsidP="005503BC">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Cuatro Resoluciones y Recomendaciones asesoran a las Partes en materia de taxonomía y nomenclatura:</w:t>
      </w:r>
    </w:p>
    <w:p w14:paraId="5CFA613A" w14:textId="77777777" w:rsidR="003A4182" w:rsidRPr="00F428F2" w:rsidRDefault="003A4182" w:rsidP="003A4182">
      <w:pPr>
        <w:jc w:val="both"/>
        <w:rPr>
          <w:rFonts w:ascii="Arial" w:hAnsi="Arial" w:cs="Arial"/>
          <w:sz w:val="22"/>
          <w:szCs w:val="22"/>
          <w:lang w:val="es-ES"/>
        </w:rPr>
      </w:pPr>
    </w:p>
    <w:p w14:paraId="10810595" w14:textId="34034FD1" w:rsidR="005503BC" w:rsidRPr="00F428F2" w:rsidRDefault="000B56CF" w:rsidP="007B6345">
      <w:pPr>
        <w:pStyle w:val="ListParagraph"/>
        <w:numPr>
          <w:ilvl w:val="0"/>
          <w:numId w:val="10"/>
        </w:numPr>
        <w:ind w:left="1440" w:hanging="720"/>
        <w:jc w:val="both"/>
        <w:rPr>
          <w:rFonts w:ascii="Arial" w:hAnsi="Arial" w:cs="Arial"/>
          <w:sz w:val="22"/>
          <w:szCs w:val="22"/>
          <w:lang w:val="es-ES"/>
        </w:rPr>
      </w:pPr>
      <w:hyperlink r:id="rId9" w:history="1">
        <w:r w:rsidR="003A4182" w:rsidRPr="00F428F2">
          <w:rPr>
            <w:rStyle w:val="Hyperlink"/>
            <w:rFonts w:ascii="Arial" w:hAnsi="Arial" w:cs="Arial"/>
            <w:sz w:val="22"/>
            <w:szCs w:val="22"/>
            <w:lang w:val="es-ES"/>
          </w:rPr>
          <w:t xml:space="preserve">Recomendación 6.1, </w:t>
        </w:r>
        <w:r w:rsidR="00F428F2" w:rsidRPr="00F428F2">
          <w:rPr>
            <w:rStyle w:val="Hyperlink"/>
            <w:rFonts w:ascii="Arial" w:hAnsi="Arial" w:cs="Arial"/>
            <w:sz w:val="22"/>
            <w:szCs w:val="22"/>
            <w:lang w:val="es-ES"/>
          </w:rPr>
          <w:t>Estandarización</w:t>
        </w:r>
        <w:r w:rsidR="003A4182" w:rsidRPr="00F428F2">
          <w:rPr>
            <w:rStyle w:val="Hyperlink"/>
            <w:rFonts w:ascii="Arial" w:hAnsi="Arial" w:cs="Arial"/>
            <w:sz w:val="22"/>
            <w:szCs w:val="22"/>
            <w:lang w:val="es-ES"/>
          </w:rPr>
          <w:t xml:space="preserve"> de Nomenclatura para los Apéndices CMS</w:t>
        </w:r>
      </w:hyperlink>
      <w:r w:rsidR="003A4182" w:rsidRPr="00F428F2">
        <w:rPr>
          <w:rFonts w:ascii="Arial" w:hAnsi="Arial" w:cs="Arial"/>
          <w:sz w:val="22"/>
          <w:szCs w:val="22"/>
          <w:lang w:val="es-ES"/>
        </w:rPr>
        <w:t>;</w:t>
      </w:r>
    </w:p>
    <w:p w14:paraId="700DD9BB" w14:textId="77777777" w:rsidR="005503BC" w:rsidRPr="00F428F2" w:rsidRDefault="005503BC" w:rsidP="007B6345">
      <w:pPr>
        <w:pStyle w:val="ListParagraph"/>
        <w:ind w:left="1440" w:hanging="720"/>
        <w:jc w:val="both"/>
        <w:rPr>
          <w:rFonts w:ascii="Arial" w:hAnsi="Arial" w:cs="Arial"/>
          <w:sz w:val="22"/>
          <w:szCs w:val="22"/>
          <w:lang w:val="es-ES"/>
        </w:rPr>
      </w:pPr>
    </w:p>
    <w:p w14:paraId="7B583BB3" w14:textId="6ECFC6EA" w:rsidR="005503BC" w:rsidRPr="00F428F2" w:rsidRDefault="000B56CF" w:rsidP="007B6345">
      <w:pPr>
        <w:pStyle w:val="ListParagraph"/>
        <w:numPr>
          <w:ilvl w:val="0"/>
          <w:numId w:val="10"/>
        </w:numPr>
        <w:ind w:left="1440" w:hanging="720"/>
        <w:jc w:val="both"/>
        <w:rPr>
          <w:rFonts w:ascii="Arial" w:hAnsi="Arial" w:cs="Arial"/>
          <w:sz w:val="22"/>
          <w:szCs w:val="22"/>
          <w:lang w:val="es-ES"/>
        </w:rPr>
      </w:pPr>
      <w:hyperlink r:id="rId10" w:history="1">
        <w:r w:rsidR="005503BC" w:rsidRPr="00F428F2">
          <w:rPr>
            <w:rStyle w:val="Hyperlink"/>
            <w:rFonts w:ascii="Arial" w:hAnsi="Arial" w:cs="Arial"/>
            <w:sz w:val="22"/>
            <w:szCs w:val="22"/>
            <w:lang w:val="es-ES"/>
          </w:rPr>
          <w:t>R</w:t>
        </w:r>
        <w:r w:rsidR="003A4182" w:rsidRPr="00F428F2">
          <w:rPr>
            <w:rStyle w:val="Hyperlink"/>
            <w:rFonts w:ascii="Arial" w:hAnsi="Arial" w:cs="Arial"/>
            <w:sz w:val="22"/>
            <w:szCs w:val="22"/>
            <w:lang w:val="es-ES"/>
          </w:rPr>
          <w:t>ecomendación 9.4, Nomenclatura estandarizada para los Apéndices de la CMS</w:t>
        </w:r>
      </w:hyperlink>
      <w:r w:rsidR="003A4182" w:rsidRPr="00F428F2">
        <w:rPr>
          <w:rFonts w:ascii="Arial" w:hAnsi="Arial" w:cs="Arial"/>
          <w:sz w:val="22"/>
          <w:szCs w:val="22"/>
          <w:lang w:val="es-ES"/>
        </w:rPr>
        <w:t>;</w:t>
      </w:r>
    </w:p>
    <w:p w14:paraId="5B81EDE2" w14:textId="768EDE42" w:rsidR="005503BC" w:rsidRPr="00F428F2" w:rsidRDefault="005503BC" w:rsidP="007B6345">
      <w:pPr>
        <w:ind w:left="1440" w:hanging="720"/>
        <w:jc w:val="both"/>
        <w:rPr>
          <w:rFonts w:ascii="Arial" w:hAnsi="Arial" w:cs="Arial"/>
          <w:sz w:val="22"/>
          <w:szCs w:val="22"/>
          <w:lang w:val="es-ES"/>
        </w:rPr>
      </w:pPr>
    </w:p>
    <w:p w14:paraId="79A2BD02" w14:textId="3E19D4FF" w:rsidR="005503BC" w:rsidRPr="00F428F2" w:rsidRDefault="000B56CF" w:rsidP="007B6345">
      <w:pPr>
        <w:pStyle w:val="ListParagraph"/>
        <w:numPr>
          <w:ilvl w:val="0"/>
          <w:numId w:val="10"/>
        </w:numPr>
        <w:ind w:left="1440" w:hanging="720"/>
        <w:jc w:val="both"/>
        <w:rPr>
          <w:rFonts w:ascii="Arial" w:hAnsi="Arial" w:cs="Arial"/>
          <w:sz w:val="22"/>
          <w:szCs w:val="22"/>
          <w:lang w:val="es-ES"/>
        </w:rPr>
      </w:pPr>
      <w:hyperlink r:id="rId11" w:history="1">
        <w:r w:rsidR="003A4182" w:rsidRPr="00F428F2">
          <w:rPr>
            <w:rStyle w:val="Hyperlink"/>
            <w:rFonts w:ascii="Arial" w:hAnsi="Arial" w:cs="Arial"/>
            <w:sz w:val="22"/>
            <w:szCs w:val="22"/>
            <w:lang w:val="es-ES"/>
          </w:rPr>
          <w:t xml:space="preserve">Resolución 10.13, Nomenclatura estándar para aves incluidas en los Apéndices de la CMS; </w:t>
        </w:r>
      </w:hyperlink>
      <w:r w:rsidR="005503BC" w:rsidRPr="00F428F2">
        <w:rPr>
          <w:rFonts w:ascii="Arial" w:hAnsi="Arial" w:cs="Arial"/>
          <w:sz w:val="22"/>
          <w:szCs w:val="22"/>
          <w:lang w:val="es-ES"/>
        </w:rPr>
        <w:t>y</w:t>
      </w:r>
    </w:p>
    <w:p w14:paraId="71620D3F" w14:textId="77777777" w:rsidR="005503BC" w:rsidRPr="00F428F2" w:rsidRDefault="005503BC" w:rsidP="007B6345">
      <w:pPr>
        <w:pStyle w:val="ListParagraph"/>
        <w:ind w:left="1440" w:hanging="720"/>
        <w:rPr>
          <w:rFonts w:ascii="Arial" w:hAnsi="Arial" w:cs="Arial"/>
          <w:sz w:val="22"/>
          <w:szCs w:val="22"/>
          <w:lang w:val="es-ES"/>
        </w:rPr>
      </w:pPr>
    </w:p>
    <w:p w14:paraId="3F0DD068" w14:textId="04F7F48A" w:rsidR="003A4182" w:rsidRPr="00F428F2" w:rsidRDefault="000B56CF" w:rsidP="007B6345">
      <w:pPr>
        <w:pStyle w:val="ListParagraph"/>
        <w:numPr>
          <w:ilvl w:val="0"/>
          <w:numId w:val="10"/>
        </w:numPr>
        <w:ind w:left="1440" w:hanging="720"/>
        <w:jc w:val="both"/>
        <w:rPr>
          <w:rFonts w:ascii="Arial" w:hAnsi="Arial" w:cs="Arial"/>
          <w:sz w:val="22"/>
          <w:szCs w:val="22"/>
          <w:lang w:val="es-ES"/>
        </w:rPr>
      </w:pPr>
      <w:hyperlink r:id="rId12" w:history="1">
        <w:r w:rsidR="003A4182" w:rsidRPr="00F428F2">
          <w:rPr>
            <w:rStyle w:val="Hyperlink"/>
            <w:rFonts w:ascii="Arial" w:hAnsi="Arial" w:cs="Arial"/>
            <w:sz w:val="22"/>
            <w:szCs w:val="22"/>
            <w:lang w:val="es-ES"/>
          </w:rPr>
          <w:t>Resolución 11.19</w:t>
        </w:r>
        <w:r>
          <w:rPr>
            <w:rStyle w:val="Hyperlink"/>
            <w:rFonts w:ascii="Arial" w:hAnsi="Arial" w:cs="Arial"/>
            <w:sz w:val="22"/>
            <w:szCs w:val="22"/>
            <w:lang w:val="es-ES"/>
          </w:rPr>
          <w:t>,</w:t>
        </w:r>
        <w:bookmarkStart w:id="0" w:name="_GoBack"/>
        <w:bookmarkEnd w:id="0"/>
        <w:r w:rsidR="003A4182" w:rsidRPr="00F428F2">
          <w:rPr>
            <w:rStyle w:val="Hyperlink"/>
            <w:rFonts w:ascii="Arial" w:hAnsi="Arial" w:cs="Arial"/>
            <w:sz w:val="22"/>
            <w:szCs w:val="22"/>
            <w:lang w:val="es-ES"/>
          </w:rPr>
          <w:t xml:space="preserve"> La Taxonomía y Nomenclatura de las Aves incluidas en los Apéndices de la CMS</w:t>
        </w:r>
      </w:hyperlink>
      <w:r w:rsidR="003A4182" w:rsidRPr="00F428F2">
        <w:rPr>
          <w:rFonts w:ascii="Arial" w:hAnsi="Arial" w:cs="Arial"/>
          <w:sz w:val="22"/>
          <w:szCs w:val="22"/>
          <w:lang w:val="es-ES"/>
        </w:rPr>
        <w:t>.</w:t>
      </w:r>
    </w:p>
    <w:p w14:paraId="1000F32F" w14:textId="77777777" w:rsidR="003A4182" w:rsidRPr="00F428F2" w:rsidRDefault="003A4182" w:rsidP="003A4182">
      <w:pPr>
        <w:jc w:val="both"/>
        <w:rPr>
          <w:rFonts w:ascii="Arial" w:hAnsi="Arial" w:cs="Arial"/>
          <w:sz w:val="22"/>
          <w:szCs w:val="22"/>
          <w:lang w:val="es-ES"/>
        </w:rPr>
      </w:pPr>
    </w:p>
    <w:p w14:paraId="4C44C4BB" w14:textId="3A5144EF" w:rsidR="005503BC" w:rsidRPr="00F428F2" w:rsidRDefault="003A4182" w:rsidP="003A4182">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En el Anexo 1 se presenta un proyecto de Resolución consolidada que incluye, en la columna de la izquierda, el texto original y el preámbulo de las Resoluciones y Recomendaciones que se consolidan. La columna de la derecha indica la fuente del texto y un comentario sobre cualquier cambio propuesto.</w:t>
      </w:r>
    </w:p>
    <w:p w14:paraId="5ACE5080" w14:textId="77777777" w:rsidR="00C367EA" w:rsidRPr="00F428F2" w:rsidRDefault="00C367EA" w:rsidP="00C367EA">
      <w:pPr>
        <w:pStyle w:val="ListParagraph"/>
        <w:ind w:left="360"/>
        <w:jc w:val="both"/>
        <w:rPr>
          <w:rFonts w:ascii="Arial" w:hAnsi="Arial" w:cs="Arial"/>
          <w:sz w:val="22"/>
          <w:szCs w:val="22"/>
          <w:lang w:val="es-ES"/>
        </w:rPr>
      </w:pPr>
    </w:p>
    <w:p w14:paraId="48409FBD" w14:textId="572D265D" w:rsidR="005503BC" w:rsidRPr="00F428F2" w:rsidRDefault="003A4182" w:rsidP="003A4182">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El Anexo 2 contiene la versión limpia del proyecto de Resolución consolidado, teniendo en cuenta las observaciones del Anexo 1.</w:t>
      </w:r>
    </w:p>
    <w:p w14:paraId="7EF53023" w14:textId="77777777" w:rsidR="00C367EA" w:rsidRPr="00F428F2" w:rsidRDefault="00C367EA" w:rsidP="00C367EA">
      <w:pPr>
        <w:pStyle w:val="ListParagraph"/>
        <w:rPr>
          <w:rFonts w:ascii="Arial" w:hAnsi="Arial" w:cs="Arial"/>
          <w:sz w:val="22"/>
          <w:szCs w:val="22"/>
          <w:lang w:val="es-ES"/>
        </w:rPr>
      </w:pPr>
    </w:p>
    <w:p w14:paraId="77E96624" w14:textId="396EA0D4" w:rsidR="005503BC" w:rsidRPr="00F428F2" w:rsidRDefault="003A4182" w:rsidP="003A4182">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Para añadir claridad y hacer más duradera la Resolución sobre taxonomía y nomenclatura, la Secretaría ha colocado la lista de referencias taxonómicas y de nomenclatura específicas en un anexo a la Resolución. Las instrucciones sobre cómo utilizar las referencias se conservan en los párrafos operativos.</w:t>
      </w:r>
    </w:p>
    <w:p w14:paraId="641CC140" w14:textId="73D7B188" w:rsidR="00C367EA" w:rsidRPr="00F428F2" w:rsidRDefault="00C367EA" w:rsidP="00C367EA">
      <w:pPr>
        <w:jc w:val="both"/>
        <w:rPr>
          <w:rFonts w:ascii="Arial" w:hAnsi="Arial" w:cs="Arial"/>
          <w:sz w:val="22"/>
          <w:szCs w:val="22"/>
          <w:lang w:val="es-ES"/>
        </w:rPr>
      </w:pPr>
    </w:p>
    <w:p w14:paraId="081EFF62" w14:textId="16CAAA06" w:rsidR="003A4182" w:rsidRPr="00F428F2" w:rsidRDefault="003A4182" w:rsidP="003A4182">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El Anexo 3 contiene proyectos de Decisiones, basadas en las disposiciones de las Resoluciones y Recomendaciones existentes que se están consolidando, que incluyen tareas que no se han completado y que cumplen con la nueva definición de "Decisión" del Convenio incluida en la Resolución 11.6.</w:t>
      </w:r>
    </w:p>
    <w:p w14:paraId="283815D0" w14:textId="77777777" w:rsidR="003A4182" w:rsidRPr="00F428F2" w:rsidRDefault="003A4182" w:rsidP="003A4182">
      <w:pPr>
        <w:jc w:val="both"/>
        <w:rPr>
          <w:rFonts w:ascii="Arial" w:hAnsi="Arial" w:cs="Arial"/>
          <w:sz w:val="22"/>
          <w:szCs w:val="22"/>
          <w:lang w:val="es-ES"/>
        </w:rPr>
      </w:pPr>
    </w:p>
    <w:p w14:paraId="0AA9A3C8" w14:textId="77777777" w:rsidR="003A4182" w:rsidRPr="00F428F2" w:rsidRDefault="003A4182" w:rsidP="003A4182">
      <w:pPr>
        <w:jc w:val="both"/>
        <w:rPr>
          <w:rFonts w:ascii="Arial" w:hAnsi="Arial" w:cs="Arial"/>
          <w:sz w:val="22"/>
          <w:szCs w:val="22"/>
          <w:lang w:val="es-ES"/>
        </w:rPr>
      </w:pPr>
      <w:r w:rsidRPr="00451511">
        <w:rPr>
          <w:rFonts w:ascii="Arial" w:hAnsi="Arial" w:cs="Arial"/>
          <w:sz w:val="22"/>
          <w:szCs w:val="22"/>
          <w:u w:val="single"/>
          <w:lang w:val="es-ES"/>
        </w:rPr>
        <w:t>Acciones recomendadas</w:t>
      </w:r>
      <w:r w:rsidRPr="00F428F2">
        <w:rPr>
          <w:rFonts w:ascii="Arial" w:hAnsi="Arial" w:cs="Arial"/>
          <w:sz w:val="22"/>
          <w:szCs w:val="22"/>
          <w:lang w:val="es-ES"/>
        </w:rPr>
        <w:t>:</w:t>
      </w:r>
    </w:p>
    <w:p w14:paraId="28FCF39E" w14:textId="77777777" w:rsidR="003A4182" w:rsidRPr="00F428F2" w:rsidRDefault="003A4182" w:rsidP="003A4182">
      <w:pPr>
        <w:jc w:val="both"/>
        <w:rPr>
          <w:rFonts w:ascii="Arial" w:hAnsi="Arial" w:cs="Arial"/>
          <w:sz w:val="22"/>
          <w:szCs w:val="22"/>
          <w:lang w:val="es-ES"/>
        </w:rPr>
      </w:pPr>
    </w:p>
    <w:p w14:paraId="0B1AC493" w14:textId="0E26B65B" w:rsidR="003A4182" w:rsidRPr="00F428F2" w:rsidRDefault="003A4182" w:rsidP="00C367EA">
      <w:pPr>
        <w:pStyle w:val="ListParagraph"/>
        <w:numPr>
          <w:ilvl w:val="0"/>
          <w:numId w:val="9"/>
        </w:numPr>
        <w:ind w:left="360"/>
        <w:jc w:val="both"/>
        <w:rPr>
          <w:rFonts w:ascii="Arial" w:hAnsi="Arial" w:cs="Arial"/>
          <w:sz w:val="22"/>
          <w:szCs w:val="22"/>
          <w:lang w:val="es-ES"/>
        </w:rPr>
      </w:pPr>
      <w:r w:rsidRPr="00F428F2">
        <w:rPr>
          <w:rFonts w:ascii="Arial" w:hAnsi="Arial" w:cs="Arial"/>
          <w:sz w:val="22"/>
          <w:szCs w:val="22"/>
          <w:lang w:val="es-ES"/>
        </w:rPr>
        <w:t>Se recomienda a la Conferencia de las Partes que</w:t>
      </w:r>
      <w:r w:rsidR="004B5130">
        <w:rPr>
          <w:rFonts w:ascii="Arial" w:hAnsi="Arial" w:cs="Arial"/>
          <w:sz w:val="22"/>
          <w:szCs w:val="22"/>
          <w:lang w:val="es-ES"/>
        </w:rPr>
        <w:t>;</w:t>
      </w:r>
    </w:p>
    <w:p w14:paraId="1CF3FC84" w14:textId="77777777" w:rsidR="003A4182" w:rsidRPr="00F428F2" w:rsidRDefault="003A4182" w:rsidP="003A4182">
      <w:pPr>
        <w:jc w:val="both"/>
        <w:rPr>
          <w:rFonts w:ascii="Arial" w:hAnsi="Arial" w:cs="Arial"/>
          <w:sz w:val="22"/>
          <w:szCs w:val="22"/>
          <w:lang w:val="es-ES"/>
        </w:rPr>
      </w:pPr>
    </w:p>
    <w:p w14:paraId="572B27DF" w14:textId="369D1234" w:rsidR="003A4182" w:rsidRPr="00F428F2" w:rsidRDefault="00451511" w:rsidP="00C367EA">
      <w:pPr>
        <w:pStyle w:val="ListParagraph"/>
        <w:numPr>
          <w:ilvl w:val="0"/>
          <w:numId w:val="12"/>
        </w:numPr>
        <w:ind w:left="1440" w:hanging="720"/>
        <w:jc w:val="both"/>
        <w:rPr>
          <w:rFonts w:ascii="Arial" w:hAnsi="Arial" w:cs="Arial"/>
          <w:sz w:val="22"/>
          <w:szCs w:val="22"/>
          <w:lang w:val="es-ES"/>
        </w:rPr>
      </w:pPr>
      <w:r>
        <w:rPr>
          <w:rFonts w:ascii="Arial" w:hAnsi="Arial" w:cs="Arial"/>
          <w:sz w:val="22"/>
          <w:szCs w:val="22"/>
          <w:lang w:val="es-ES"/>
        </w:rPr>
        <w:t>a</w:t>
      </w:r>
      <w:r w:rsidR="003A4182" w:rsidRPr="00F428F2">
        <w:rPr>
          <w:rFonts w:ascii="Arial" w:hAnsi="Arial" w:cs="Arial"/>
          <w:sz w:val="22"/>
          <w:szCs w:val="22"/>
          <w:lang w:val="es-ES"/>
        </w:rPr>
        <w:t>dopt</w:t>
      </w:r>
      <w:r>
        <w:rPr>
          <w:rFonts w:ascii="Arial" w:hAnsi="Arial" w:cs="Arial"/>
          <w:sz w:val="22"/>
          <w:szCs w:val="22"/>
          <w:lang w:val="es-ES"/>
        </w:rPr>
        <w:t xml:space="preserve">e </w:t>
      </w:r>
      <w:r w:rsidR="003A4182" w:rsidRPr="00F428F2">
        <w:rPr>
          <w:rFonts w:ascii="Arial" w:hAnsi="Arial" w:cs="Arial"/>
          <w:sz w:val="22"/>
          <w:szCs w:val="22"/>
          <w:lang w:val="es-ES"/>
        </w:rPr>
        <w:t>la Resolución consolidada incluida en el Anexo 2; y</w:t>
      </w:r>
    </w:p>
    <w:p w14:paraId="2DA580A3" w14:textId="77777777" w:rsidR="003A4182" w:rsidRPr="00F428F2" w:rsidRDefault="003A4182" w:rsidP="00C367EA">
      <w:pPr>
        <w:ind w:left="1440" w:hanging="720"/>
        <w:jc w:val="both"/>
        <w:rPr>
          <w:rFonts w:ascii="Arial" w:hAnsi="Arial" w:cs="Arial"/>
          <w:sz w:val="22"/>
          <w:szCs w:val="22"/>
          <w:lang w:val="es-ES"/>
        </w:rPr>
      </w:pPr>
    </w:p>
    <w:p w14:paraId="67987C37" w14:textId="51FEDB9D" w:rsidR="003A4182" w:rsidRPr="00F428F2" w:rsidRDefault="00451511" w:rsidP="00C367EA">
      <w:pPr>
        <w:pStyle w:val="ListParagraph"/>
        <w:numPr>
          <w:ilvl w:val="0"/>
          <w:numId w:val="12"/>
        </w:numPr>
        <w:ind w:left="1440" w:hanging="720"/>
        <w:jc w:val="both"/>
        <w:rPr>
          <w:rFonts w:ascii="Arial" w:hAnsi="Arial" w:cs="Arial"/>
          <w:sz w:val="22"/>
          <w:szCs w:val="22"/>
          <w:u w:val="single"/>
          <w:lang w:val="es-ES"/>
        </w:rPr>
      </w:pPr>
      <w:r>
        <w:rPr>
          <w:rFonts w:ascii="Arial" w:hAnsi="Arial" w:cs="Arial"/>
          <w:sz w:val="22"/>
          <w:szCs w:val="22"/>
          <w:lang w:val="es-ES"/>
        </w:rPr>
        <w:t>adopte</w:t>
      </w:r>
      <w:r w:rsidR="003A4182" w:rsidRPr="00F428F2">
        <w:rPr>
          <w:rFonts w:ascii="Arial" w:hAnsi="Arial" w:cs="Arial"/>
          <w:sz w:val="22"/>
          <w:szCs w:val="22"/>
          <w:lang w:val="es-ES"/>
        </w:rPr>
        <w:t xml:space="preserve"> la Decisión incluida en el anexo 3.</w:t>
      </w:r>
    </w:p>
    <w:p w14:paraId="02E9B0B6" w14:textId="77777777" w:rsidR="006D2318" w:rsidRPr="00F428F2" w:rsidRDefault="006D2318" w:rsidP="00E50B6E">
      <w:pPr>
        <w:jc w:val="both"/>
        <w:rPr>
          <w:rFonts w:ascii="Arial" w:hAnsi="Arial" w:cs="Arial"/>
          <w:sz w:val="22"/>
          <w:szCs w:val="22"/>
          <w:u w:val="single"/>
          <w:lang w:val="es-ES"/>
        </w:rPr>
      </w:pPr>
    </w:p>
    <w:p w14:paraId="09C38664" w14:textId="77777777" w:rsidR="00E50B6E" w:rsidRPr="00F428F2" w:rsidRDefault="00E50B6E" w:rsidP="005103DA">
      <w:pPr>
        <w:tabs>
          <w:tab w:val="left" w:pos="1020"/>
        </w:tabs>
        <w:rPr>
          <w:rFonts w:ascii="Arial" w:hAnsi="Arial" w:cs="Arial"/>
          <w:sz w:val="22"/>
          <w:szCs w:val="22"/>
          <w:lang w:val="es-ES"/>
        </w:rPr>
        <w:sectPr w:rsidR="00E50B6E" w:rsidRPr="00F428F2" w:rsidSect="000B049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F428F2"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F428F2">
        <w:rPr>
          <w:rFonts w:ascii="Arial" w:hAnsi="Arial" w:cs="Arial"/>
          <w:b/>
          <w:caps/>
          <w:sz w:val="22"/>
          <w:szCs w:val="22"/>
          <w:lang w:val="es-ES"/>
        </w:rPr>
        <w:lastRenderedPageBreak/>
        <w:t>AnexO 1</w:t>
      </w:r>
    </w:p>
    <w:p w14:paraId="6E6A0F3A" w14:textId="77777777" w:rsidR="005103DA" w:rsidRPr="00F428F2"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19E6FDD3" w14:textId="233F3A50" w:rsidR="005103DA" w:rsidRPr="00F428F2" w:rsidRDefault="005103DA" w:rsidP="005103DA">
      <w:pPr>
        <w:jc w:val="center"/>
        <w:rPr>
          <w:rFonts w:ascii="Arial" w:hAnsi="Arial" w:cs="Arial"/>
          <w:b/>
          <w:bCs/>
          <w:caps/>
          <w:sz w:val="22"/>
          <w:szCs w:val="22"/>
          <w:lang w:val="es-ES"/>
        </w:rPr>
      </w:pPr>
      <w:r w:rsidRPr="00F428F2">
        <w:rPr>
          <w:rFonts w:ascii="Arial" w:hAnsi="Arial" w:cs="Arial"/>
          <w:b/>
          <w:sz w:val="22"/>
          <w:szCs w:val="22"/>
          <w:lang w:val="es-ES"/>
        </w:rPr>
        <w:t>PROYECTO DE RESOLUCIÓN</w:t>
      </w:r>
      <w:r w:rsidR="00C367EA" w:rsidRPr="00F428F2">
        <w:rPr>
          <w:rFonts w:ascii="Arial" w:hAnsi="Arial" w:cs="Arial"/>
          <w:b/>
          <w:sz w:val="22"/>
          <w:szCs w:val="22"/>
          <w:lang w:val="es-ES"/>
        </w:rPr>
        <w:t xml:space="preserve">: </w:t>
      </w:r>
      <w:r w:rsidR="00D754B9" w:rsidRPr="00F428F2">
        <w:rPr>
          <w:rFonts w:ascii="Arial" w:hAnsi="Arial" w:cs="Arial"/>
          <w:b/>
          <w:bCs/>
          <w:caps/>
          <w:sz w:val="22"/>
          <w:szCs w:val="22"/>
          <w:lang w:val="es-ES"/>
        </w:rPr>
        <w:t>taxonomia y Nomenclatura</w:t>
      </w:r>
    </w:p>
    <w:p w14:paraId="49F42D52" w14:textId="77777777" w:rsidR="00E50B6E" w:rsidRPr="00F428F2" w:rsidRDefault="00E50B6E" w:rsidP="005103DA">
      <w:pPr>
        <w:jc w:val="center"/>
        <w:rPr>
          <w:rFonts w:ascii="Arial" w:hAnsi="Arial" w:cs="Arial"/>
          <w:sz w:val="22"/>
          <w:szCs w:val="22"/>
          <w:lang w:val="es-ES"/>
        </w:rPr>
      </w:pPr>
    </w:p>
    <w:p w14:paraId="08D8EB19" w14:textId="77777777" w:rsidR="005103DA" w:rsidRPr="00F428F2" w:rsidRDefault="005103DA" w:rsidP="005103DA">
      <w:pPr>
        <w:jc w:val="both"/>
        <w:rPr>
          <w:rFonts w:ascii="Arial" w:hAnsi="Arial" w:cs="Arial"/>
          <w:i/>
          <w:sz w:val="22"/>
          <w:szCs w:val="22"/>
          <w:lang w:val="es-ES"/>
        </w:rPr>
      </w:pPr>
      <w:r w:rsidRPr="00F428F2">
        <w:rPr>
          <w:rFonts w:ascii="Arial" w:hAnsi="Arial" w:cs="Arial"/>
          <w:i/>
          <w:sz w:val="22"/>
          <w:szCs w:val="22"/>
          <w:lang w:val="es-ES"/>
        </w:rPr>
        <w:t>NB:</w:t>
      </w:r>
      <w:r w:rsidRPr="00F428F2">
        <w:rPr>
          <w:rFonts w:ascii="Arial" w:hAnsi="Arial" w:cs="Arial"/>
          <w:i/>
          <w:sz w:val="22"/>
          <w:szCs w:val="22"/>
          <w:lang w:val="es-ES"/>
        </w:rPr>
        <w:tab/>
      </w:r>
      <w:r w:rsidRPr="00F428F2">
        <w:rPr>
          <w:rFonts w:ascii="Arial" w:hAnsi="Arial" w:cs="Arial"/>
          <w:i/>
          <w:iCs/>
          <w:color w:val="000000" w:themeColor="text1"/>
          <w:sz w:val="22"/>
          <w:szCs w:val="22"/>
          <w:lang w:val="es-ES"/>
        </w:rPr>
        <w:t xml:space="preserve">El texto nuevo está </w:t>
      </w:r>
      <w:r w:rsidRPr="00F428F2">
        <w:rPr>
          <w:rFonts w:ascii="Arial" w:hAnsi="Arial" w:cs="Arial"/>
          <w:i/>
          <w:iCs/>
          <w:color w:val="000000" w:themeColor="text1"/>
          <w:sz w:val="22"/>
          <w:szCs w:val="22"/>
          <w:u w:val="single"/>
          <w:lang w:val="es-ES"/>
        </w:rPr>
        <w:t>subrayado</w:t>
      </w:r>
      <w:r w:rsidRPr="00F428F2">
        <w:rPr>
          <w:rFonts w:ascii="Arial" w:hAnsi="Arial" w:cs="Arial"/>
          <w:i/>
          <w:iCs/>
          <w:color w:val="000000" w:themeColor="text1"/>
          <w:sz w:val="22"/>
          <w:szCs w:val="22"/>
          <w:lang w:val="es-ES"/>
        </w:rPr>
        <w:t xml:space="preserve">. El texto a eliminar aparece </w:t>
      </w:r>
      <w:r w:rsidRPr="00F428F2">
        <w:rPr>
          <w:rFonts w:ascii="Arial" w:hAnsi="Arial" w:cs="Arial"/>
          <w:i/>
          <w:iCs/>
          <w:strike/>
          <w:color w:val="000000" w:themeColor="text1"/>
          <w:sz w:val="22"/>
          <w:szCs w:val="22"/>
          <w:lang w:val="es-ES"/>
        </w:rPr>
        <w:t>tachado</w:t>
      </w:r>
      <w:r w:rsidRPr="00F428F2">
        <w:rPr>
          <w:rFonts w:ascii="Arial" w:hAnsi="Arial" w:cs="Arial"/>
          <w:i/>
          <w:sz w:val="22"/>
          <w:szCs w:val="22"/>
          <w:lang w:val="es-ES"/>
        </w:rPr>
        <w:t>.</w:t>
      </w:r>
    </w:p>
    <w:p w14:paraId="64A1FEE3" w14:textId="77777777" w:rsidR="0048197A" w:rsidRPr="00F428F2"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391"/>
      </w:tblGrid>
      <w:tr w:rsidR="00815B38" w:rsidRPr="00F428F2" w14:paraId="070A2E85" w14:textId="77777777" w:rsidTr="00815B38">
        <w:trPr>
          <w:tblHeader/>
        </w:trPr>
        <w:tc>
          <w:tcPr>
            <w:tcW w:w="6467" w:type="dxa"/>
            <w:shd w:val="clear" w:color="auto" w:fill="D9D9D9" w:themeFill="background1" w:themeFillShade="D9"/>
          </w:tcPr>
          <w:p w14:paraId="35BC39F6" w14:textId="533CD099" w:rsidR="005103DA" w:rsidRPr="00F428F2" w:rsidRDefault="005103DA" w:rsidP="00672C25">
            <w:pPr>
              <w:rPr>
                <w:rFonts w:ascii="Arial" w:hAnsi="Arial" w:cs="Arial"/>
                <w:b/>
                <w:sz w:val="22"/>
                <w:szCs w:val="22"/>
                <w:lang w:val="es-ES"/>
              </w:rPr>
            </w:pPr>
            <w:r w:rsidRPr="00F428F2">
              <w:rPr>
                <w:rFonts w:ascii="Arial" w:hAnsi="Arial" w:cs="Arial"/>
                <w:b/>
                <w:sz w:val="22"/>
                <w:szCs w:val="22"/>
                <w:lang w:val="es-ES"/>
              </w:rPr>
              <w:t>Párrafo</w:t>
            </w:r>
          </w:p>
        </w:tc>
        <w:tc>
          <w:tcPr>
            <w:tcW w:w="2391" w:type="dxa"/>
            <w:shd w:val="clear" w:color="auto" w:fill="D9D9D9" w:themeFill="background1" w:themeFillShade="D9"/>
          </w:tcPr>
          <w:p w14:paraId="110850A3" w14:textId="36D03D97" w:rsidR="005103DA" w:rsidRPr="00F428F2" w:rsidRDefault="005103DA" w:rsidP="00672C25">
            <w:pPr>
              <w:rPr>
                <w:rFonts w:ascii="Arial" w:hAnsi="Arial" w:cs="Arial"/>
                <w:b/>
                <w:sz w:val="22"/>
                <w:szCs w:val="22"/>
                <w:lang w:val="es-ES"/>
              </w:rPr>
            </w:pPr>
            <w:r w:rsidRPr="00F428F2">
              <w:rPr>
                <w:rFonts w:ascii="Arial" w:hAnsi="Arial" w:cs="Arial"/>
                <w:b/>
                <w:sz w:val="22"/>
                <w:szCs w:val="22"/>
                <w:lang w:val="es-ES"/>
              </w:rPr>
              <w:t>Comentarios</w:t>
            </w:r>
          </w:p>
        </w:tc>
      </w:tr>
      <w:tr w:rsidR="00DB13E0" w:rsidRPr="00451511" w14:paraId="3CC82AA8" w14:textId="77777777" w:rsidTr="00815B38">
        <w:trPr>
          <w:trHeight w:val="295"/>
        </w:trPr>
        <w:tc>
          <w:tcPr>
            <w:tcW w:w="6467" w:type="dxa"/>
            <w:shd w:val="clear" w:color="auto" w:fill="auto"/>
          </w:tcPr>
          <w:p w14:paraId="7AA3CDA5" w14:textId="2BEB4FAC" w:rsidR="00DB13E0" w:rsidRPr="00F428F2" w:rsidRDefault="003C51DE" w:rsidP="00C0539E">
            <w:pPr>
              <w:jc w:val="both"/>
              <w:rPr>
                <w:rStyle w:val="QuickFormat1"/>
                <w:rFonts w:ascii="Arial" w:hAnsi="Arial" w:cs="Arial"/>
                <w:sz w:val="22"/>
                <w:szCs w:val="22"/>
                <w:lang w:val="es-ES"/>
              </w:rPr>
            </w:pPr>
            <w:r w:rsidRPr="00F428F2">
              <w:rPr>
                <w:rFonts w:ascii="Arial" w:hAnsi="Arial" w:cs="Arial"/>
                <w:i/>
                <w:sz w:val="22"/>
                <w:szCs w:val="22"/>
                <w:u w:val="single"/>
                <w:lang w:val="es-ES"/>
              </w:rPr>
              <w:t xml:space="preserve">Recordando </w:t>
            </w:r>
            <w:r w:rsidRPr="00F428F2">
              <w:rPr>
                <w:rFonts w:ascii="Arial" w:hAnsi="Arial" w:cs="Arial"/>
                <w:sz w:val="22"/>
                <w:szCs w:val="22"/>
                <w:u w:val="single"/>
                <w:lang w:val="es-ES"/>
              </w:rPr>
              <w:t>que con la Recomendación 6.1, la Recomendación 9.4, la Resolución 10.13 y la Resolución 11.19, la Conferencia de las Partes adoptó referencias normalizadas que deben ser reconocidas y utilizadas como base sobre las cuales deben prepararse los Apéndices de la CMS y sus enmiendas</w:t>
            </w:r>
            <w:r w:rsidR="00DB13E0" w:rsidRPr="00F428F2">
              <w:rPr>
                <w:rFonts w:ascii="Arial" w:hAnsi="Arial" w:cs="Arial"/>
                <w:sz w:val="22"/>
                <w:szCs w:val="22"/>
                <w:u w:val="single"/>
                <w:lang w:val="es-ES"/>
              </w:rPr>
              <w:t xml:space="preserve">;  </w:t>
            </w:r>
          </w:p>
        </w:tc>
        <w:tc>
          <w:tcPr>
            <w:tcW w:w="2391" w:type="dxa"/>
            <w:shd w:val="clear" w:color="auto" w:fill="auto"/>
          </w:tcPr>
          <w:p w14:paraId="79152F65" w14:textId="686FD31F" w:rsidR="00DB13E0" w:rsidRPr="00F428F2" w:rsidRDefault="00DB13E0" w:rsidP="00EE04BC">
            <w:pPr>
              <w:jc w:val="both"/>
              <w:rPr>
                <w:rFonts w:ascii="Arial" w:hAnsi="Arial" w:cs="Arial"/>
                <w:sz w:val="22"/>
                <w:szCs w:val="22"/>
                <w:lang w:val="es-ES"/>
              </w:rPr>
            </w:pPr>
            <w:r w:rsidRPr="00F428F2">
              <w:rPr>
                <w:rFonts w:ascii="Arial" w:hAnsi="Arial" w:cs="Arial"/>
                <w:color w:val="000000" w:themeColor="text1"/>
                <w:sz w:val="22"/>
                <w:szCs w:val="22"/>
                <w:lang w:val="es-ES"/>
              </w:rPr>
              <w:t>Texto nuevo para reflejar la consolidación</w:t>
            </w:r>
          </w:p>
        </w:tc>
      </w:tr>
      <w:tr w:rsidR="00815B38" w:rsidRPr="00F428F2" w14:paraId="1E9F84B6" w14:textId="77777777" w:rsidTr="00815B38">
        <w:tc>
          <w:tcPr>
            <w:tcW w:w="6467" w:type="dxa"/>
            <w:shd w:val="clear" w:color="auto" w:fill="auto"/>
          </w:tcPr>
          <w:p w14:paraId="4D004FA3" w14:textId="1116C42D" w:rsidR="005B23E3" w:rsidRPr="00F428F2" w:rsidRDefault="00375FA2" w:rsidP="00561587">
            <w:pPr>
              <w:jc w:val="both"/>
              <w:rPr>
                <w:rFonts w:ascii="Arial" w:hAnsi="Arial" w:cs="Arial"/>
                <w:strike/>
                <w:sz w:val="22"/>
                <w:szCs w:val="17"/>
                <w:lang w:val="es-ES"/>
              </w:rPr>
            </w:pPr>
            <w:r w:rsidRPr="00F428F2">
              <w:rPr>
                <w:rFonts w:ascii="Arial" w:hAnsi="Arial" w:cs="Arial"/>
                <w:strike/>
                <w:sz w:val="22"/>
                <w:szCs w:val="17"/>
                <w:lang w:val="es-ES"/>
              </w:rPr>
              <w:t>Recordando que con la Recomendación 6.1 (Ciudad del Cabo, 1999) la Conferencia de las</w:t>
            </w:r>
            <w:r w:rsidR="00561587" w:rsidRPr="00F428F2">
              <w:rPr>
                <w:rFonts w:ascii="Arial" w:hAnsi="Arial" w:cs="Arial"/>
                <w:strike/>
                <w:sz w:val="22"/>
                <w:szCs w:val="17"/>
                <w:lang w:val="es-ES"/>
              </w:rPr>
              <w:t xml:space="preserve"> </w:t>
            </w:r>
            <w:r w:rsidRPr="00F428F2">
              <w:rPr>
                <w:rFonts w:ascii="Arial" w:hAnsi="Arial" w:cs="Arial"/>
                <w:strike/>
                <w:sz w:val="22"/>
                <w:szCs w:val="17"/>
                <w:lang w:val="es-ES"/>
              </w:rPr>
              <w:t>Partes de la CMS adoptó referencias normalizadas para ser reconocidas y utilizadas como las bases</w:t>
            </w:r>
            <w:r w:rsidR="00561587" w:rsidRPr="00F428F2">
              <w:rPr>
                <w:rFonts w:ascii="Arial" w:hAnsi="Arial" w:cs="Arial"/>
                <w:strike/>
                <w:sz w:val="22"/>
                <w:szCs w:val="17"/>
                <w:lang w:val="es-ES"/>
              </w:rPr>
              <w:t xml:space="preserve"> </w:t>
            </w:r>
            <w:r w:rsidRPr="00F428F2">
              <w:rPr>
                <w:rFonts w:ascii="Arial" w:hAnsi="Arial" w:cs="Arial"/>
                <w:strike/>
                <w:sz w:val="22"/>
                <w:szCs w:val="17"/>
                <w:lang w:val="es-ES"/>
              </w:rPr>
              <w:t>sobre las que deben ser preparados los Apéndices de la CMS así como sus modificaciones;</w:t>
            </w:r>
          </w:p>
        </w:tc>
        <w:tc>
          <w:tcPr>
            <w:tcW w:w="2391" w:type="dxa"/>
            <w:shd w:val="clear" w:color="auto" w:fill="auto"/>
          </w:tcPr>
          <w:p w14:paraId="41E7B0E6" w14:textId="7D636765" w:rsidR="005B23E3" w:rsidRPr="00F428F2" w:rsidRDefault="0082530A" w:rsidP="00672C25">
            <w:pPr>
              <w:jc w:val="both"/>
              <w:rPr>
                <w:rFonts w:ascii="Arial" w:hAnsi="Arial" w:cs="Arial"/>
                <w:sz w:val="22"/>
                <w:szCs w:val="22"/>
                <w:lang w:val="es-ES"/>
              </w:rPr>
            </w:pPr>
            <w:r w:rsidRPr="00F428F2">
              <w:rPr>
                <w:rFonts w:ascii="Arial" w:hAnsi="Arial" w:cs="Arial"/>
                <w:sz w:val="22"/>
                <w:szCs w:val="22"/>
                <w:lang w:val="es-ES"/>
              </w:rPr>
              <w:t>Recomendación</w:t>
            </w:r>
            <w:r w:rsidR="005B23E3" w:rsidRPr="00F428F2">
              <w:rPr>
                <w:rFonts w:ascii="Arial" w:hAnsi="Arial" w:cs="Arial"/>
                <w:sz w:val="22"/>
                <w:szCs w:val="22"/>
                <w:lang w:val="es-ES"/>
              </w:rPr>
              <w:t xml:space="preserve"> 9.4</w:t>
            </w:r>
          </w:p>
          <w:p w14:paraId="707A3973" w14:textId="77777777" w:rsidR="005B23E3" w:rsidRPr="00F428F2" w:rsidRDefault="005B23E3" w:rsidP="00672C25">
            <w:pPr>
              <w:jc w:val="both"/>
              <w:rPr>
                <w:rFonts w:ascii="Arial" w:hAnsi="Arial" w:cs="Arial"/>
                <w:sz w:val="22"/>
                <w:szCs w:val="22"/>
                <w:lang w:val="es-ES"/>
              </w:rPr>
            </w:pPr>
          </w:p>
          <w:p w14:paraId="1FFBEC28" w14:textId="09BD6CA0" w:rsidR="005B23E3" w:rsidRPr="00F428F2" w:rsidRDefault="00433799"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815B38" w:rsidRPr="00F428F2" w14:paraId="6491C34D" w14:textId="77777777" w:rsidTr="00815B38">
        <w:tc>
          <w:tcPr>
            <w:tcW w:w="6467" w:type="dxa"/>
            <w:shd w:val="clear" w:color="auto" w:fill="auto"/>
          </w:tcPr>
          <w:p w14:paraId="36C88F7C" w14:textId="224AC515" w:rsidR="005B23E3" w:rsidRPr="00F428F2" w:rsidRDefault="00431B20" w:rsidP="00C0539E">
            <w:pPr>
              <w:jc w:val="both"/>
              <w:rPr>
                <w:rFonts w:ascii="Arial" w:hAnsi="Arial" w:cs="Arial"/>
                <w:strike/>
                <w:sz w:val="22"/>
                <w:szCs w:val="17"/>
                <w:lang w:val="es-ES"/>
              </w:rPr>
            </w:pPr>
            <w:r w:rsidRPr="00F428F2">
              <w:rPr>
                <w:rFonts w:ascii="Arial" w:hAnsi="Arial" w:cs="Arial"/>
                <w:i/>
                <w:iCs/>
                <w:strike/>
                <w:sz w:val="22"/>
                <w:szCs w:val="17"/>
                <w:lang w:val="es-ES"/>
              </w:rPr>
              <w:t xml:space="preserve">Recordando </w:t>
            </w:r>
            <w:r w:rsidRPr="00F428F2">
              <w:rPr>
                <w:rFonts w:ascii="Arial" w:hAnsi="Arial" w:cs="Arial"/>
                <w:strike/>
                <w:sz w:val="22"/>
                <w:szCs w:val="17"/>
                <w:lang w:val="es-ES"/>
              </w:rPr>
              <w:t>que en la Recomendación.6.1, la Conferencia de las Partes adoptó referencias normalizadas para que fueran reconocidas y utilizadas como la base sobre la cual deben prepararse los Apéndices de la CMS, y sus enmiendas; </w:t>
            </w:r>
          </w:p>
        </w:tc>
        <w:tc>
          <w:tcPr>
            <w:tcW w:w="2391" w:type="dxa"/>
            <w:shd w:val="clear" w:color="auto" w:fill="auto"/>
          </w:tcPr>
          <w:p w14:paraId="024C9DC5" w14:textId="6C6CE143" w:rsidR="005B23E3" w:rsidRPr="00F428F2" w:rsidRDefault="005C0131" w:rsidP="00672C25">
            <w:pPr>
              <w:jc w:val="both"/>
              <w:rPr>
                <w:rFonts w:ascii="Arial" w:hAnsi="Arial" w:cs="Arial"/>
                <w:sz w:val="22"/>
                <w:szCs w:val="22"/>
                <w:lang w:val="es-ES"/>
              </w:rPr>
            </w:pPr>
            <w:r w:rsidRPr="00F428F2">
              <w:rPr>
                <w:rFonts w:ascii="Arial" w:hAnsi="Arial" w:cs="Arial"/>
                <w:sz w:val="22"/>
                <w:szCs w:val="22"/>
                <w:lang w:val="es-ES"/>
              </w:rPr>
              <w:t>Resolución</w:t>
            </w:r>
            <w:r w:rsidR="005B23E3" w:rsidRPr="00F428F2">
              <w:rPr>
                <w:rFonts w:ascii="Arial" w:hAnsi="Arial" w:cs="Arial"/>
                <w:sz w:val="22"/>
                <w:szCs w:val="22"/>
                <w:lang w:val="es-ES"/>
              </w:rPr>
              <w:t xml:space="preserve"> 10.13</w:t>
            </w:r>
          </w:p>
          <w:p w14:paraId="504D3514" w14:textId="77777777" w:rsidR="005B23E3" w:rsidRPr="00F428F2" w:rsidRDefault="005B23E3" w:rsidP="00672C25">
            <w:pPr>
              <w:jc w:val="both"/>
              <w:rPr>
                <w:rFonts w:ascii="Arial" w:hAnsi="Arial" w:cs="Arial"/>
                <w:sz w:val="22"/>
                <w:szCs w:val="22"/>
                <w:lang w:val="es-ES"/>
              </w:rPr>
            </w:pPr>
          </w:p>
          <w:p w14:paraId="47355885" w14:textId="7CB9FDAE" w:rsidR="005B23E3" w:rsidRPr="00F428F2" w:rsidRDefault="00433799"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815B38" w:rsidRPr="00451511" w14:paraId="6CD80E62" w14:textId="77777777" w:rsidTr="00815B38">
        <w:tc>
          <w:tcPr>
            <w:tcW w:w="6467" w:type="dxa"/>
            <w:shd w:val="clear" w:color="auto" w:fill="auto"/>
          </w:tcPr>
          <w:p w14:paraId="4FDABD54" w14:textId="3170B363" w:rsidR="005B23E3" w:rsidRPr="00F428F2" w:rsidRDefault="000F2B08" w:rsidP="00C0539E">
            <w:pPr>
              <w:jc w:val="both"/>
              <w:rPr>
                <w:rFonts w:ascii="Arial" w:hAnsi="Arial" w:cs="Arial"/>
                <w:sz w:val="22"/>
                <w:szCs w:val="17"/>
                <w:lang w:val="es-ES"/>
              </w:rPr>
            </w:pPr>
            <w:r w:rsidRPr="00F428F2">
              <w:rPr>
                <w:rFonts w:ascii="Arial" w:hAnsi="Arial" w:cs="Arial"/>
                <w:i/>
                <w:iCs/>
                <w:sz w:val="22"/>
                <w:szCs w:val="17"/>
                <w:lang w:val="es-ES"/>
              </w:rPr>
              <w:t xml:space="preserve">Recordando </w:t>
            </w:r>
            <w:r w:rsidRPr="00F428F2">
              <w:rPr>
                <w:rFonts w:ascii="Arial" w:hAnsi="Arial" w:cs="Arial"/>
                <w:sz w:val="22"/>
                <w:szCs w:val="17"/>
                <w:lang w:val="es-ES"/>
              </w:rPr>
              <w:t>la Resolución 10.13 sobre Nomenclatura Estandarizada de las aves incluidas en los Apéndices de la CMS, que solicitaba al Presidente del Consejo Científico que hiciera de enlace con los Presidentes de los órganos asesores científicos de las convenciones relacionadas con la diversidad biológica, las Secretarías de los Acuerdos Ambientales Multilaterales (AAM) pertinentes y las organizaciones internacionales pertinentes, incluyendo a la UICN, BirdLife International, Wetlands International y el PNUMA-WCMC, con el objetivo de evaluar la posible adopción de una sola nomenclatura y taxonomía para las aves, y que informara al Consejo Científico en su dieciochoava reunión, con miras a la adopción de la Resolución correspondiente en la COP11; </w:t>
            </w:r>
          </w:p>
        </w:tc>
        <w:tc>
          <w:tcPr>
            <w:tcW w:w="2391" w:type="dxa"/>
            <w:shd w:val="clear" w:color="auto" w:fill="auto"/>
          </w:tcPr>
          <w:p w14:paraId="63DF0E6D" w14:textId="3EA4A7B1" w:rsidR="005B23E3" w:rsidRPr="00F428F2" w:rsidRDefault="005C0131" w:rsidP="00672C25">
            <w:pPr>
              <w:jc w:val="both"/>
              <w:rPr>
                <w:rFonts w:ascii="Arial" w:hAnsi="Arial" w:cs="Arial"/>
                <w:sz w:val="22"/>
                <w:szCs w:val="22"/>
                <w:lang w:val="es-ES"/>
              </w:rPr>
            </w:pPr>
            <w:r w:rsidRPr="00F428F2">
              <w:rPr>
                <w:rFonts w:ascii="Arial" w:hAnsi="Arial" w:cs="Arial"/>
                <w:sz w:val="22"/>
                <w:szCs w:val="22"/>
                <w:lang w:val="es-ES"/>
              </w:rPr>
              <w:t>Resolución</w:t>
            </w:r>
            <w:r w:rsidR="005B23E3" w:rsidRPr="00F428F2">
              <w:rPr>
                <w:rFonts w:ascii="Arial" w:hAnsi="Arial" w:cs="Arial"/>
                <w:sz w:val="22"/>
                <w:szCs w:val="22"/>
                <w:lang w:val="es-ES"/>
              </w:rPr>
              <w:t xml:space="preserve"> 11.19</w:t>
            </w:r>
          </w:p>
          <w:p w14:paraId="7F396308" w14:textId="77777777" w:rsidR="005B23E3" w:rsidRPr="00F428F2" w:rsidRDefault="005B23E3" w:rsidP="00672C25">
            <w:pPr>
              <w:jc w:val="both"/>
              <w:rPr>
                <w:rFonts w:ascii="Arial" w:hAnsi="Arial" w:cs="Arial"/>
                <w:sz w:val="22"/>
                <w:szCs w:val="22"/>
                <w:lang w:val="es-ES"/>
              </w:rPr>
            </w:pPr>
          </w:p>
          <w:p w14:paraId="57991846" w14:textId="2CC70D23" w:rsidR="005B23E3" w:rsidRPr="00F428F2" w:rsidRDefault="00433799" w:rsidP="00672C25">
            <w:pPr>
              <w:jc w:val="both"/>
              <w:rPr>
                <w:rFonts w:ascii="Arial" w:hAnsi="Arial" w:cs="Arial"/>
                <w:sz w:val="22"/>
                <w:szCs w:val="22"/>
                <w:lang w:val="es-ES"/>
              </w:rPr>
            </w:pPr>
            <w:r w:rsidRPr="00F428F2">
              <w:rPr>
                <w:rFonts w:ascii="Arial" w:hAnsi="Arial" w:cs="Arial"/>
                <w:sz w:val="22"/>
                <w:szCs w:val="22"/>
                <w:lang w:val="es-ES"/>
              </w:rPr>
              <w:t>Mantener</w:t>
            </w:r>
            <w:r w:rsidR="005B23E3" w:rsidRPr="00F428F2">
              <w:rPr>
                <w:rFonts w:ascii="Arial" w:hAnsi="Arial" w:cs="Arial"/>
                <w:sz w:val="22"/>
                <w:szCs w:val="22"/>
                <w:lang w:val="es-ES"/>
              </w:rPr>
              <w:t xml:space="preserve"> (</w:t>
            </w:r>
            <w:r w:rsidR="003C51DE" w:rsidRPr="00F428F2">
              <w:rPr>
                <w:rFonts w:ascii="Arial" w:hAnsi="Arial" w:cs="Arial"/>
                <w:sz w:val="22"/>
                <w:szCs w:val="22"/>
                <w:lang w:val="es-ES"/>
              </w:rPr>
              <w:t>podría ser revocada como desactualizada</w:t>
            </w:r>
            <w:r w:rsidR="005B23E3" w:rsidRPr="00F428F2">
              <w:rPr>
                <w:rFonts w:ascii="Arial" w:hAnsi="Arial" w:cs="Arial"/>
                <w:sz w:val="22"/>
                <w:szCs w:val="22"/>
                <w:lang w:val="es-ES"/>
              </w:rPr>
              <w:t>)</w:t>
            </w:r>
          </w:p>
          <w:p w14:paraId="274524B3" w14:textId="77777777" w:rsidR="005B23E3" w:rsidRPr="00F428F2" w:rsidRDefault="005B23E3" w:rsidP="00672C25">
            <w:pPr>
              <w:jc w:val="both"/>
              <w:rPr>
                <w:rFonts w:ascii="Arial" w:hAnsi="Arial" w:cs="Arial"/>
                <w:sz w:val="22"/>
                <w:szCs w:val="22"/>
                <w:lang w:val="es-ES"/>
              </w:rPr>
            </w:pPr>
          </w:p>
          <w:p w14:paraId="159E16A9" w14:textId="5F05EA3A" w:rsidR="005B23E3" w:rsidRPr="00F428F2" w:rsidRDefault="005B23E3" w:rsidP="00EE04BC">
            <w:pPr>
              <w:jc w:val="both"/>
              <w:rPr>
                <w:rFonts w:ascii="Arial" w:hAnsi="Arial" w:cs="Arial"/>
                <w:sz w:val="22"/>
                <w:szCs w:val="22"/>
                <w:lang w:val="es-ES"/>
              </w:rPr>
            </w:pPr>
          </w:p>
        </w:tc>
      </w:tr>
      <w:tr w:rsidR="00815B38" w:rsidRPr="00F428F2" w14:paraId="2185BCC7" w14:textId="77777777" w:rsidTr="00815B38">
        <w:tc>
          <w:tcPr>
            <w:tcW w:w="6467" w:type="dxa"/>
            <w:shd w:val="clear" w:color="auto" w:fill="auto"/>
          </w:tcPr>
          <w:p w14:paraId="54DF3594" w14:textId="5248D828" w:rsidR="005B23E3" w:rsidRPr="00F428F2" w:rsidRDefault="005045A0" w:rsidP="00561587">
            <w:pPr>
              <w:jc w:val="both"/>
              <w:rPr>
                <w:rFonts w:ascii="Arial" w:hAnsi="Arial" w:cs="Arial"/>
                <w:sz w:val="22"/>
                <w:szCs w:val="17"/>
                <w:lang w:val="es-ES"/>
              </w:rPr>
            </w:pPr>
            <w:r w:rsidRPr="00F428F2">
              <w:rPr>
                <w:rFonts w:ascii="Arial" w:hAnsi="Arial" w:cs="Arial"/>
                <w:i/>
                <w:sz w:val="22"/>
                <w:szCs w:val="17"/>
                <w:lang w:val="es-ES"/>
              </w:rPr>
              <w:t>Recordando</w:t>
            </w:r>
            <w:r w:rsidRPr="00F428F2">
              <w:rPr>
                <w:rFonts w:ascii="Arial" w:hAnsi="Arial" w:cs="Arial"/>
                <w:sz w:val="22"/>
                <w:szCs w:val="17"/>
                <w:lang w:val="es-ES"/>
              </w:rPr>
              <w:t xml:space="preserve"> que mediante la Resolución 3.1 (Ginebra, 1991) respecto de la inclusión de</w:t>
            </w:r>
            <w:r w:rsidR="00561587" w:rsidRPr="00F428F2">
              <w:rPr>
                <w:rFonts w:ascii="Arial" w:hAnsi="Arial" w:cs="Arial"/>
                <w:sz w:val="22"/>
                <w:szCs w:val="17"/>
                <w:lang w:val="es-ES"/>
              </w:rPr>
              <w:t xml:space="preserve"> </w:t>
            </w:r>
            <w:r w:rsidRPr="00F428F2">
              <w:rPr>
                <w:rFonts w:ascii="Arial" w:hAnsi="Arial" w:cs="Arial"/>
                <w:sz w:val="22"/>
                <w:szCs w:val="17"/>
                <w:lang w:val="es-ES"/>
              </w:rPr>
              <w:t>especies en los Apéndices de la Convención, la Conferencia de las Partes convino en que cualesquiera</w:t>
            </w:r>
            <w:r w:rsidR="00561587" w:rsidRPr="00F428F2">
              <w:rPr>
                <w:rFonts w:ascii="Arial" w:hAnsi="Arial" w:cs="Arial"/>
                <w:sz w:val="22"/>
                <w:szCs w:val="17"/>
                <w:lang w:val="es-ES"/>
              </w:rPr>
              <w:t xml:space="preserve"> </w:t>
            </w:r>
            <w:r w:rsidRPr="00F428F2">
              <w:rPr>
                <w:rFonts w:ascii="Arial" w:hAnsi="Arial" w:cs="Arial"/>
                <w:sz w:val="22"/>
                <w:szCs w:val="17"/>
                <w:lang w:val="es-ES"/>
              </w:rPr>
              <w:t>nuevas adiciones a los Apéndices de la Convención se limitasen a especies o grupos taxonómicos</w:t>
            </w:r>
            <w:r w:rsidR="00561587" w:rsidRPr="00F428F2">
              <w:rPr>
                <w:rFonts w:ascii="Arial" w:hAnsi="Arial" w:cs="Arial"/>
                <w:sz w:val="22"/>
                <w:szCs w:val="17"/>
                <w:lang w:val="es-ES"/>
              </w:rPr>
              <w:t xml:space="preserve"> </w:t>
            </w:r>
            <w:r w:rsidRPr="00F428F2">
              <w:rPr>
                <w:rFonts w:ascii="Arial" w:hAnsi="Arial" w:cs="Arial"/>
                <w:sz w:val="22"/>
                <w:szCs w:val="17"/>
                <w:lang w:val="es-ES"/>
              </w:rPr>
              <w:t>inferiores y que sólo cuando se estén elaborando ACUERDOS es necesario determinar las especies</w:t>
            </w:r>
            <w:r w:rsidR="00561587" w:rsidRPr="00F428F2">
              <w:rPr>
                <w:rFonts w:ascii="Arial" w:hAnsi="Arial" w:cs="Arial"/>
                <w:sz w:val="22"/>
                <w:szCs w:val="17"/>
                <w:lang w:val="es-ES"/>
              </w:rPr>
              <w:t xml:space="preserve"> </w:t>
            </w:r>
            <w:r w:rsidRPr="00F428F2">
              <w:rPr>
                <w:rFonts w:ascii="Arial" w:hAnsi="Arial" w:cs="Arial"/>
                <w:sz w:val="22"/>
                <w:szCs w:val="17"/>
                <w:lang w:val="es-ES"/>
              </w:rPr>
              <w:t>migratorias incluidas en enumeraciones de grupos taxonómicos superiores que ya figuran en el</w:t>
            </w:r>
            <w:r w:rsidR="00561587" w:rsidRPr="00F428F2">
              <w:rPr>
                <w:rFonts w:ascii="Arial" w:hAnsi="Arial" w:cs="Arial"/>
                <w:sz w:val="22"/>
                <w:szCs w:val="17"/>
                <w:lang w:val="es-ES"/>
              </w:rPr>
              <w:t xml:space="preserve"> </w:t>
            </w:r>
            <w:r w:rsidRPr="00F428F2">
              <w:rPr>
                <w:rFonts w:ascii="Arial" w:hAnsi="Arial" w:cs="Arial"/>
                <w:sz w:val="22"/>
                <w:szCs w:val="17"/>
                <w:lang w:val="es-ES"/>
              </w:rPr>
              <w:t>Apéndice II;</w:t>
            </w:r>
          </w:p>
        </w:tc>
        <w:tc>
          <w:tcPr>
            <w:tcW w:w="2391" w:type="dxa"/>
            <w:shd w:val="clear" w:color="auto" w:fill="auto"/>
          </w:tcPr>
          <w:p w14:paraId="229DB6C1" w14:textId="4D87FE99" w:rsidR="005B23E3" w:rsidRPr="00F428F2" w:rsidRDefault="0082530A" w:rsidP="00672C25">
            <w:pPr>
              <w:jc w:val="both"/>
              <w:rPr>
                <w:rFonts w:ascii="Arial" w:hAnsi="Arial" w:cs="Arial"/>
                <w:sz w:val="22"/>
                <w:szCs w:val="22"/>
                <w:lang w:val="es-ES"/>
              </w:rPr>
            </w:pPr>
            <w:r w:rsidRPr="00F428F2">
              <w:rPr>
                <w:rFonts w:ascii="Arial" w:hAnsi="Arial" w:cs="Arial"/>
                <w:sz w:val="22"/>
                <w:szCs w:val="22"/>
                <w:lang w:val="es-ES"/>
              </w:rPr>
              <w:t>Recomendación</w:t>
            </w:r>
            <w:r w:rsidR="005B23E3" w:rsidRPr="00F428F2">
              <w:rPr>
                <w:rFonts w:ascii="Arial" w:hAnsi="Arial" w:cs="Arial"/>
                <w:sz w:val="22"/>
                <w:szCs w:val="22"/>
                <w:lang w:val="es-ES"/>
              </w:rPr>
              <w:t xml:space="preserve"> 6.1</w:t>
            </w:r>
          </w:p>
          <w:p w14:paraId="1778C7C8" w14:textId="77777777" w:rsidR="005B23E3" w:rsidRPr="00F428F2" w:rsidRDefault="005B23E3" w:rsidP="00672C25">
            <w:pPr>
              <w:jc w:val="both"/>
              <w:rPr>
                <w:rFonts w:ascii="Arial" w:hAnsi="Arial" w:cs="Arial"/>
                <w:sz w:val="22"/>
                <w:szCs w:val="22"/>
                <w:lang w:val="es-ES"/>
              </w:rPr>
            </w:pPr>
          </w:p>
          <w:p w14:paraId="12174383" w14:textId="07D3DFFA" w:rsidR="005B23E3" w:rsidRPr="00F428F2" w:rsidRDefault="008F43CD" w:rsidP="00EE04BC">
            <w:pPr>
              <w:jc w:val="both"/>
              <w:rPr>
                <w:rFonts w:ascii="Arial" w:hAnsi="Arial" w:cs="Arial"/>
                <w:sz w:val="22"/>
                <w:szCs w:val="22"/>
                <w:lang w:val="es-ES"/>
              </w:rPr>
            </w:pPr>
            <w:r w:rsidRPr="00F428F2">
              <w:rPr>
                <w:rFonts w:ascii="Arial" w:hAnsi="Arial" w:cs="Arial"/>
                <w:sz w:val="22"/>
                <w:szCs w:val="22"/>
                <w:lang w:val="es-ES"/>
              </w:rPr>
              <w:t>Mantener</w:t>
            </w:r>
          </w:p>
        </w:tc>
      </w:tr>
      <w:tr w:rsidR="00815B38" w:rsidRPr="00F428F2" w14:paraId="661B04E1" w14:textId="77777777" w:rsidTr="00815B38">
        <w:tc>
          <w:tcPr>
            <w:tcW w:w="6467" w:type="dxa"/>
            <w:shd w:val="clear" w:color="auto" w:fill="auto"/>
          </w:tcPr>
          <w:p w14:paraId="69B3BD26" w14:textId="6983ED8F" w:rsidR="005B23E3" w:rsidRPr="00F428F2" w:rsidRDefault="00431B20"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que la taxonomía y la nomenclatura biológica son dinámicas; </w:t>
            </w:r>
          </w:p>
        </w:tc>
        <w:tc>
          <w:tcPr>
            <w:tcW w:w="2391" w:type="dxa"/>
            <w:shd w:val="clear" w:color="auto" w:fill="auto"/>
          </w:tcPr>
          <w:p w14:paraId="63AB2490" w14:textId="27D35A05" w:rsidR="005B23E3" w:rsidRPr="00F428F2" w:rsidRDefault="005C0131" w:rsidP="00672C25">
            <w:pPr>
              <w:jc w:val="both"/>
              <w:rPr>
                <w:rFonts w:ascii="Arial" w:hAnsi="Arial" w:cs="Arial"/>
                <w:sz w:val="22"/>
                <w:szCs w:val="22"/>
                <w:lang w:val="es-ES"/>
              </w:rPr>
            </w:pPr>
            <w:r w:rsidRPr="00F428F2">
              <w:rPr>
                <w:rFonts w:ascii="Arial" w:hAnsi="Arial" w:cs="Arial"/>
                <w:sz w:val="22"/>
                <w:szCs w:val="22"/>
                <w:lang w:val="es-ES"/>
              </w:rPr>
              <w:t>Resolución</w:t>
            </w:r>
            <w:r w:rsidR="005B23E3" w:rsidRPr="00F428F2">
              <w:rPr>
                <w:rFonts w:ascii="Arial" w:hAnsi="Arial" w:cs="Arial"/>
                <w:sz w:val="22"/>
                <w:szCs w:val="22"/>
                <w:lang w:val="es-ES"/>
              </w:rPr>
              <w:t xml:space="preserve"> 10.13</w:t>
            </w:r>
          </w:p>
          <w:p w14:paraId="37A68320" w14:textId="77777777" w:rsidR="005B23E3" w:rsidRPr="00F428F2" w:rsidRDefault="005B23E3" w:rsidP="00672C25">
            <w:pPr>
              <w:jc w:val="both"/>
              <w:rPr>
                <w:rFonts w:ascii="Arial" w:hAnsi="Arial" w:cs="Arial"/>
                <w:sz w:val="22"/>
                <w:szCs w:val="22"/>
                <w:lang w:val="es-ES"/>
              </w:rPr>
            </w:pPr>
          </w:p>
          <w:p w14:paraId="2F6C3ADD" w14:textId="5F095F9C" w:rsidR="005B23E3" w:rsidRPr="00F428F2" w:rsidRDefault="008F43CD" w:rsidP="00EE04BC">
            <w:pPr>
              <w:jc w:val="both"/>
              <w:rPr>
                <w:rFonts w:ascii="Arial" w:hAnsi="Arial" w:cs="Arial"/>
                <w:sz w:val="22"/>
                <w:szCs w:val="22"/>
                <w:lang w:val="es-ES"/>
              </w:rPr>
            </w:pPr>
            <w:r w:rsidRPr="00F428F2">
              <w:rPr>
                <w:rFonts w:ascii="Arial" w:hAnsi="Arial" w:cs="Arial"/>
                <w:sz w:val="22"/>
                <w:szCs w:val="22"/>
                <w:lang w:val="es-ES"/>
              </w:rPr>
              <w:t>Mantener</w:t>
            </w:r>
          </w:p>
        </w:tc>
      </w:tr>
      <w:tr w:rsidR="00815B38" w:rsidRPr="00F428F2" w14:paraId="03CE56C9" w14:textId="77777777" w:rsidTr="00815B38">
        <w:tc>
          <w:tcPr>
            <w:tcW w:w="6467" w:type="dxa"/>
            <w:shd w:val="clear" w:color="auto" w:fill="auto"/>
          </w:tcPr>
          <w:p w14:paraId="7D351A37" w14:textId="177804EF" w:rsidR="00431B20" w:rsidRPr="00F428F2" w:rsidRDefault="00431B20" w:rsidP="00C0539E">
            <w:pPr>
              <w:jc w:val="both"/>
              <w:rPr>
                <w:rFonts w:ascii="Arial" w:hAnsi="Arial" w:cs="Arial"/>
                <w:strike/>
                <w:sz w:val="22"/>
                <w:szCs w:val="22"/>
                <w:lang w:val="es-ES"/>
              </w:rPr>
            </w:pPr>
            <w:r w:rsidRPr="00F428F2">
              <w:rPr>
                <w:rFonts w:ascii="Arial" w:hAnsi="Arial" w:cs="Arial"/>
                <w:i/>
                <w:strike/>
                <w:sz w:val="22"/>
                <w:szCs w:val="17"/>
                <w:lang w:val="es-ES"/>
              </w:rPr>
              <w:t>Observando</w:t>
            </w:r>
            <w:r w:rsidRPr="00F428F2">
              <w:rPr>
                <w:rFonts w:ascii="Arial" w:hAnsi="Arial" w:cs="Arial"/>
                <w:strike/>
                <w:sz w:val="22"/>
                <w:szCs w:val="17"/>
                <w:lang w:val="es-ES"/>
              </w:rPr>
              <w:t xml:space="preserve"> que la nomenclatura biológica es dinámica; y</w:t>
            </w:r>
          </w:p>
        </w:tc>
        <w:tc>
          <w:tcPr>
            <w:tcW w:w="2391" w:type="dxa"/>
            <w:shd w:val="clear" w:color="auto" w:fill="auto"/>
          </w:tcPr>
          <w:p w14:paraId="6D53E912" w14:textId="0EB65CA0" w:rsidR="00431B20" w:rsidRPr="00F428F2" w:rsidRDefault="0082530A" w:rsidP="00672C25">
            <w:pPr>
              <w:jc w:val="both"/>
              <w:rPr>
                <w:rFonts w:ascii="Arial" w:hAnsi="Arial" w:cs="Arial"/>
                <w:sz w:val="22"/>
                <w:szCs w:val="22"/>
                <w:lang w:val="es-ES"/>
              </w:rPr>
            </w:pPr>
            <w:r w:rsidRPr="00F428F2">
              <w:rPr>
                <w:rFonts w:ascii="Arial" w:hAnsi="Arial" w:cs="Arial"/>
                <w:sz w:val="22"/>
                <w:szCs w:val="22"/>
                <w:lang w:val="es-ES"/>
              </w:rPr>
              <w:t>Recomendación</w:t>
            </w:r>
            <w:r w:rsidR="00431B20" w:rsidRPr="00F428F2">
              <w:rPr>
                <w:rFonts w:ascii="Arial" w:hAnsi="Arial" w:cs="Arial"/>
                <w:sz w:val="22"/>
                <w:szCs w:val="22"/>
                <w:lang w:val="es-ES"/>
              </w:rPr>
              <w:t xml:space="preserve"> 9.4</w:t>
            </w:r>
          </w:p>
          <w:p w14:paraId="472150FF" w14:textId="77777777" w:rsidR="00431B20" w:rsidRPr="00F428F2" w:rsidRDefault="00431B20" w:rsidP="00672C25">
            <w:pPr>
              <w:jc w:val="both"/>
              <w:rPr>
                <w:rFonts w:ascii="Arial" w:hAnsi="Arial" w:cs="Arial"/>
                <w:sz w:val="22"/>
                <w:szCs w:val="22"/>
                <w:lang w:val="es-ES"/>
              </w:rPr>
            </w:pPr>
          </w:p>
          <w:p w14:paraId="793BBCFE" w14:textId="475B6FF6" w:rsidR="00431B20" w:rsidRPr="00F428F2" w:rsidRDefault="00433799"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815B38" w:rsidRPr="00F428F2" w14:paraId="4C82246E" w14:textId="77777777" w:rsidTr="00815B38">
        <w:tc>
          <w:tcPr>
            <w:tcW w:w="6467" w:type="dxa"/>
            <w:shd w:val="clear" w:color="auto" w:fill="auto"/>
          </w:tcPr>
          <w:p w14:paraId="7262057C" w14:textId="77777777" w:rsidR="00431B20" w:rsidRPr="00F428F2" w:rsidRDefault="00431B20" w:rsidP="00C0539E">
            <w:pPr>
              <w:jc w:val="both"/>
              <w:rPr>
                <w:rFonts w:ascii="Arial" w:hAnsi="Arial" w:cs="Arial"/>
                <w:strike/>
                <w:sz w:val="22"/>
                <w:szCs w:val="17"/>
                <w:lang w:val="es-ES"/>
              </w:rPr>
            </w:pPr>
            <w:r w:rsidRPr="00F428F2">
              <w:rPr>
                <w:rFonts w:ascii="Arial" w:hAnsi="Arial" w:cs="Arial"/>
                <w:i/>
                <w:strike/>
                <w:sz w:val="22"/>
                <w:szCs w:val="17"/>
                <w:lang w:val="es-ES"/>
              </w:rPr>
              <w:t>Observando</w:t>
            </w:r>
            <w:r w:rsidRPr="00F428F2">
              <w:rPr>
                <w:rFonts w:ascii="Arial" w:hAnsi="Arial" w:cs="Arial"/>
                <w:strike/>
                <w:sz w:val="22"/>
                <w:szCs w:val="17"/>
                <w:lang w:val="es-ES"/>
              </w:rPr>
              <w:t xml:space="preserve"> de que la nomenclatura biológica es dinámica;</w:t>
            </w:r>
          </w:p>
          <w:p w14:paraId="05A0F478" w14:textId="77F42FEE" w:rsidR="00431B20" w:rsidRPr="00F428F2" w:rsidRDefault="00431B20" w:rsidP="00C0539E">
            <w:pPr>
              <w:jc w:val="both"/>
              <w:rPr>
                <w:rFonts w:ascii="Arial" w:hAnsi="Arial" w:cs="Arial"/>
                <w:strike/>
                <w:sz w:val="22"/>
                <w:szCs w:val="17"/>
                <w:lang w:val="es-ES"/>
              </w:rPr>
            </w:pPr>
          </w:p>
        </w:tc>
        <w:tc>
          <w:tcPr>
            <w:tcW w:w="2391" w:type="dxa"/>
            <w:shd w:val="clear" w:color="auto" w:fill="auto"/>
          </w:tcPr>
          <w:p w14:paraId="34CD5CC4" w14:textId="3DA92A53" w:rsidR="00431B20" w:rsidRPr="00F428F2" w:rsidRDefault="0082530A" w:rsidP="00672C25">
            <w:pPr>
              <w:jc w:val="both"/>
              <w:rPr>
                <w:rFonts w:ascii="Arial" w:hAnsi="Arial" w:cs="Arial"/>
                <w:sz w:val="22"/>
                <w:szCs w:val="22"/>
                <w:lang w:val="es-ES"/>
              </w:rPr>
            </w:pPr>
            <w:r w:rsidRPr="00F428F2">
              <w:rPr>
                <w:rFonts w:ascii="Arial" w:hAnsi="Arial" w:cs="Arial"/>
                <w:sz w:val="22"/>
                <w:szCs w:val="22"/>
                <w:lang w:val="es-ES"/>
              </w:rPr>
              <w:t>Recomendación</w:t>
            </w:r>
            <w:r w:rsidR="00431B20" w:rsidRPr="00F428F2">
              <w:rPr>
                <w:rFonts w:ascii="Arial" w:hAnsi="Arial" w:cs="Arial"/>
                <w:sz w:val="22"/>
                <w:szCs w:val="22"/>
                <w:lang w:val="es-ES"/>
              </w:rPr>
              <w:t xml:space="preserve"> 6.1</w:t>
            </w:r>
          </w:p>
          <w:p w14:paraId="456C99F4" w14:textId="77777777" w:rsidR="00431B20" w:rsidRPr="00F428F2" w:rsidRDefault="00431B20" w:rsidP="00672C25">
            <w:pPr>
              <w:jc w:val="both"/>
              <w:rPr>
                <w:rFonts w:ascii="Arial" w:hAnsi="Arial" w:cs="Arial"/>
                <w:sz w:val="22"/>
                <w:szCs w:val="22"/>
                <w:lang w:val="es-ES"/>
              </w:rPr>
            </w:pPr>
          </w:p>
          <w:p w14:paraId="0ACF4476" w14:textId="33F1DD1C" w:rsidR="00431B20" w:rsidRPr="00F428F2" w:rsidRDefault="00433799"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815B38" w:rsidRPr="00F428F2" w14:paraId="5F3272C9" w14:textId="77777777" w:rsidTr="00815B38">
        <w:tc>
          <w:tcPr>
            <w:tcW w:w="6467" w:type="dxa"/>
            <w:shd w:val="clear" w:color="auto" w:fill="auto"/>
          </w:tcPr>
          <w:p w14:paraId="736EEB1D" w14:textId="7FB35E6A" w:rsidR="00775235" w:rsidRPr="00F428F2" w:rsidRDefault="00775235" w:rsidP="00C0539E">
            <w:pPr>
              <w:jc w:val="both"/>
              <w:rPr>
                <w:rFonts w:ascii="Arial" w:hAnsi="Arial" w:cs="Arial"/>
                <w:sz w:val="22"/>
                <w:szCs w:val="17"/>
                <w:lang w:val="es-ES"/>
              </w:rPr>
            </w:pPr>
            <w:r w:rsidRPr="00F428F2">
              <w:rPr>
                <w:rFonts w:ascii="Arial" w:hAnsi="Arial" w:cs="Arial"/>
                <w:i/>
                <w:iCs/>
                <w:sz w:val="22"/>
                <w:szCs w:val="17"/>
                <w:lang w:val="es-ES"/>
              </w:rPr>
              <w:t xml:space="preserve">Consciente </w:t>
            </w:r>
            <w:r w:rsidRPr="00F428F2">
              <w:rPr>
                <w:rFonts w:ascii="Arial" w:hAnsi="Arial" w:cs="Arial"/>
                <w:sz w:val="22"/>
                <w:szCs w:val="17"/>
                <w:lang w:val="es-ES"/>
              </w:rPr>
              <w:t xml:space="preserve">de que los esfuerzos internacionales para tomar medidas coherentes para la conservación y la utilización sostenible de la biodiversidad a nivel de especies pueden verse obstaculizados de forma significativa si no hay un entendimiento </w:t>
            </w:r>
            <w:r w:rsidRPr="00F428F2">
              <w:rPr>
                <w:rFonts w:ascii="Arial" w:hAnsi="Arial" w:cs="Arial"/>
                <w:sz w:val="22"/>
                <w:szCs w:val="17"/>
                <w:lang w:val="es-ES"/>
              </w:rPr>
              <w:lastRenderedPageBreak/>
              <w:t>común de a qué animales o plantas se refiere un nombre en particular y que esta falta de comprensión puede representar dificultades particulares para actividades tales como la aplicación de las convenciones, posiblemente con implicaciones legales; </w:t>
            </w:r>
          </w:p>
        </w:tc>
        <w:tc>
          <w:tcPr>
            <w:tcW w:w="2391" w:type="dxa"/>
            <w:shd w:val="clear" w:color="auto" w:fill="auto"/>
          </w:tcPr>
          <w:p w14:paraId="45AD05DA" w14:textId="65813C9C" w:rsidR="00775235" w:rsidRPr="00F428F2" w:rsidRDefault="005C0131" w:rsidP="00775235">
            <w:pPr>
              <w:jc w:val="both"/>
              <w:rPr>
                <w:rFonts w:ascii="Arial" w:hAnsi="Arial" w:cs="Arial"/>
                <w:sz w:val="22"/>
                <w:szCs w:val="22"/>
                <w:lang w:val="es-ES"/>
              </w:rPr>
            </w:pPr>
            <w:r w:rsidRPr="00F428F2">
              <w:rPr>
                <w:rFonts w:ascii="Arial" w:hAnsi="Arial" w:cs="Arial"/>
                <w:sz w:val="22"/>
                <w:szCs w:val="22"/>
                <w:lang w:val="es-ES"/>
              </w:rPr>
              <w:lastRenderedPageBreak/>
              <w:t>Resolución</w:t>
            </w:r>
            <w:r w:rsidR="00775235" w:rsidRPr="00F428F2">
              <w:rPr>
                <w:rFonts w:ascii="Arial" w:hAnsi="Arial" w:cs="Arial"/>
                <w:sz w:val="22"/>
                <w:szCs w:val="22"/>
                <w:lang w:val="es-ES"/>
              </w:rPr>
              <w:t xml:space="preserve"> 11.19</w:t>
            </w:r>
          </w:p>
          <w:p w14:paraId="19C64494" w14:textId="77777777" w:rsidR="00775235" w:rsidRPr="00F428F2" w:rsidRDefault="00775235" w:rsidP="00775235">
            <w:pPr>
              <w:jc w:val="both"/>
              <w:rPr>
                <w:rFonts w:ascii="Arial" w:hAnsi="Arial" w:cs="Arial"/>
                <w:sz w:val="22"/>
                <w:szCs w:val="22"/>
                <w:lang w:val="es-ES"/>
              </w:rPr>
            </w:pPr>
          </w:p>
          <w:p w14:paraId="013EBF02" w14:textId="449782EA" w:rsidR="00775235" w:rsidRPr="00F428F2" w:rsidRDefault="008F43CD" w:rsidP="00775235">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7C325DFB" w14:textId="77777777" w:rsidTr="00815B38">
        <w:tc>
          <w:tcPr>
            <w:tcW w:w="6467" w:type="dxa"/>
            <w:shd w:val="clear" w:color="auto" w:fill="auto"/>
          </w:tcPr>
          <w:p w14:paraId="5F0315A0" w14:textId="03AFA671" w:rsidR="006306E1" w:rsidRPr="00F428F2" w:rsidRDefault="006306E1" w:rsidP="00C0539E">
            <w:pPr>
              <w:jc w:val="both"/>
              <w:rPr>
                <w:rFonts w:ascii="Arial" w:hAnsi="Arial" w:cs="Arial"/>
                <w:i/>
                <w:iCs/>
                <w:sz w:val="22"/>
                <w:szCs w:val="17"/>
                <w:lang w:val="es-ES"/>
              </w:rPr>
            </w:pPr>
            <w:r w:rsidRPr="00F428F2">
              <w:rPr>
                <w:rFonts w:ascii="Arial" w:hAnsi="Arial" w:cs="Arial"/>
                <w:i/>
                <w:iCs/>
                <w:strike/>
                <w:sz w:val="22"/>
                <w:szCs w:val="17"/>
                <w:lang w:val="es-ES"/>
              </w:rPr>
              <w:t xml:space="preserve">Consciente </w:t>
            </w:r>
            <w:r w:rsidRPr="00F428F2">
              <w:rPr>
                <w:rFonts w:ascii="Arial" w:hAnsi="Arial" w:cs="Arial"/>
                <w:strike/>
                <w:sz w:val="22"/>
                <w:szCs w:val="17"/>
                <w:lang w:val="es-ES"/>
              </w:rPr>
              <w:t>de que los esfuerzos internacionales para tomar medidas coherentes a fin de conservar y utilizar sosteniblemente la biodiversidad a nivel de especie pueden verse significativamente obstaculizados si no hay un entendimiento común de qué animales o plantas se incluyen bajo el nombre de una especie concreta y pueden presentar un desafío particular para actividades tales como la aplicación de las convenciones que tienen implicaciones legales; </w:t>
            </w:r>
          </w:p>
        </w:tc>
        <w:tc>
          <w:tcPr>
            <w:tcW w:w="2391" w:type="dxa"/>
            <w:shd w:val="clear" w:color="auto" w:fill="auto"/>
          </w:tcPr>
          <w:p w14:paraId="0490F82C" w14:textId="77777777" w:rsidR="006306E1" w:rsidRPr="00F428F2" w:rsidRDefault="006306E1" w:rsidP="001B031C">
            <w:pPr>
              <w:jc w:val="both"/>
              <w:rPr>
                <w:rFonts w:ascii="Arial" w:hAnsi="Arial" w:cs="Arial"/>
                <w:sz w:val="22"/>
                <w:szCs w:val="22"/>
                <w:lang w:val="es-ES"/>
              </w:rPr>
            </w:pPr>
            <w:r w:rsidRPr="00F428F2">
              <w:rPr>
                <w:rFonts w:ascii="Arial" w:hAnsi="Arial" w:cs="Arial"/>
                <w:sz w:val="22"/>
                <w:szCs w:val="22"/>
                <w:lang w:val="es-ES"/>
              </w:rPr>
              <w:t>Resolución 10.13</w:t>
            </w:r>
          </w:p>
          <w:p w14:paraId="488D6F86" w14:textId="77777777" w:rsidR="006306E1" w:rsidRPr="00F428F2" w:rsidRDefault="006306E1" w:rsidP="001B031C">
            <w:pPr>
              <w:jc w:val="both"/>
              <w:rPr>
                <w:rFonts w:ascii="Arial" w:hAnsi="Arial" w:cs="Arial"/>
                <w:sz w:val="22"/>
                <w:szCs w:val="22"/>
                <w:lang w:val="es-ES"/>
              </w:rPr>
            </w:pPr>
          </w:p>
          <w:p w14:paraId="146184DA" w14:textId="74FC42B7" w:rsidR="006306E1" w:rsidRPr="00F428F2" w:rsidRDefault="006306E1" w:rsidP="00775235">
            <w:pPr>
              <w:jc w:val="both"/>
              <w:rPr>
                <w:rFonts w:ascii="Arial" w:hAnsi="Arial" w:cs="Arial"/>
                <w:sz w:val="22"/>
                <w:szCs w:val="22"/>
                <w:lang w:val="es-ES"/>
              </w:rPr>
            </w:pPr>
            <w:r w:rsidRPr="00F428F2">
              <w:rPr>
                <w:rFonts w:ascii="Arial" w:hAnsi="Arial" w:cs="Arial"/>
                <w:sz w:val="22"/>
                <w:szCs w:val="22"/>
                <w:lang w:val="es-ES"/>
              </w:rPr>
              <w:t>Revocar; redundante</w:t>
            </w:r>
          </w:p>
        </w:tc>
      </w:tr>
      <w:tr w:rsidR="006306E1" w:rsidRPr="00F428F2" w14:paraId="38EF195A" w14:textId="77777777" w:rsidTr="00815B38">
        <w:trPr>
          <w:trHeight w:val="331"/>
        </w:trPr>
        <w:tc>
          <w:tcPr>
            <w:tcW w:w="6467" w:type="dxa"/>
            <w:shd w:val="clear" w:color="auto" w:fill="auto"/>
          </w:tcPr>
          <w:p w14:paraId="57F151FF" w14:textId="2676B4E0" w:rsidR="006306E1" w:rsidRPr="00F428F2" w:rsidRDefault="006306E1" w:rsidP="00C0539E">
            <w:pPr>
              <w:jc w:val="both"/>
              <w:rPr>
                <w:rFonts w:ascii="Arial" w:hAnsi="Arial" w:cs="Arial"/>
                <w:sz w:val="22"/>
                <w:szCs w:val="22"/>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la 4ª reunión de los Presidentes de los órganos asesores científicos de las convenciones relativas a la biodiversidad (CSAB, Gland, Suiza, 13 de febrero 2011) expresó su apoyo a la idea de avanzar hacia la armonización de la nomenclatura y la taxonomía en las listas de especies utilizadas por las convenciones relativas a la biodiversidad, y elogió el proceso de armonización llevado a cabo por la CITES y la CMS; </w:t>
            </w:r>
          </w:p>
        </w:tc>
        <w:tc>
          <w:tcPr>
            <w:tcW w:w="2391" w:type="dxa"/>
            <w:shd w:val="clear" w:color="auto" w:fill="auto"/>
          </w:tcPr>
          <w:p w14:paraId="2B2A00EA" w14:textId="5F180C78"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0571D0C7" w14:textId="77777777" w:rsidR="006306E1" w:rsidRPr="00F428F2" w:rsidRDefault="006306E1" w:rsidP="00672C25">
            <w:pPr>
              <w:jc w:val="both"/>
              <w:rPr>
                <w:rFonts w:ascii="Arial" w:hAnsi="Arial" w:cs="Arial"/>
                <w:sz w:val="22"/>
                <w:szCs w:val="22"/>
                <w:lang w:val="es-ES"/>
              </w:rPr>
            </w:pPr>
          </w:p>
          <w:p w14:paraId="5FE3959A" w14:textId="4F4DD4F2"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17791AE6" w14:textId="77777777" w:rsidTr="00815B38">
        <w:trPr>
          <w:trHeight w:val="331"/>
        </w:trPr>
        <w:tc>
          <w:tcPr>
            <w:tcW w:w="6467" w:type="dxa"/>
            <w:shd w:val="clear" w:color="auto" w:fill="auto"/>
          </w:tcPr>
          <w:p w14:paraId="2318BA1E" w14:textId="5355612B"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Reconociendo </w:t>
            </w:r>
            <w:r w:rsidR="00F428F2" w:rsidRPr="00F428F2">
              <w:rPr>
                <w:rFonts w:ascii="Arial" w:hAnsi="Arial" w:cs="Arial"/>
                <w:sz w:val="22"/>
                <w:szCs w:val="17"/>
                <w:lang w:val="es-ES"/>
              </w:rPr>
              <w:t>que,</w:t>
            </w:r>
            <w:r w:rsidRPr="00F428F2">
              <w:rPr>
                <w:rFonts w:ascii="Arial" w:hAnsi="Arial" w:cs="Arial"/>
                <w:sz w:val="22"/>
                <w:szCs w:val="17"/>
                <w:lang w:val="es-ES"/>
              </w:rPr>
              <w:t xml:space="preserve"> a fin de fortalecer el esfuerzo global para alcanzar los Objetivos de Aichi sobre Biodiversidad, con el fin de reducir la tasa de pérdida de biodiversidad para el año 2020, sería sensato tratar de lograr una mayor armonización entre los acuerdos ambientales multilaterales relacionados con la biodiversidad, en el campo de la taxonomía y nomenclatura; </w:t>
            </w:r>
          </w:p>
        </w:tc>
        <w:tc>
          <w:tcPr>
            <w:tcW w:w="2391" w:type="dxa"/>
            <w:shd w:val="clear" w:color="auto" w:fill="auto"/>
          </w:tcPr>
          <w:p w14:paraId="43D7344D" w14:textId="6C2FCD01"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31FE535A" w14:textId="77777777" w:rsidR="006306E1" w:rsidRPr="00F428F2" w:rsidRDefault="006306E1" w:rsidP="00672C25">
            <w:pPr>
              <w:jc w:val="both"/>
              <w:rPr>
                <w:rFonts w:ascii="Arial" w:hAnsi="Arial" w:cs="Arial"/>
                <w:sz w:val="22"/>
                <w:szCs w:val="22"/>
                <w:lang w:val="es-ES"/>
              </w:rPr>
            </w:pPr>
          </w:p>
          <w:p w14:paraId="06A8DED4" w14:textId="2A848B15"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451511" w14:paraId="2F592C25" w14:textId="77777777" w:rsidTr="00815B38">
        <w:trPr>
          <w:trHeight w:val="331"/>
        </w:trPr>
        <w:tc>
          <w:tcPr>
            <w:tcW w:w="6467" w:type="dxa"/>
            <w:shd w:val="clear" w:color="auto" w:fill="auto"/>
          </w:tcPr>
          <w:p w14:paraId="56E83A54" w14:textId="7F9751DD" w:rsidR="006306E1" w:rsidRPr="00F428F2" w:rsidRDefault="006306E1" w:rsidP="00C0539E">
            <w:pPr>
              <w:jc w:val="both"/>
              <w:rPr>
                <w:rFonts w:ascii="Arial" w:hAnsi="Arial" w:cs="Arial"/>
                <w:strike/>
                <w:sz w:val="22"/>
                <w:szCs w:val="22"/>
                <w:lang w:val="es-ES"/>
              </w:rPr>
            </w:pPr>
            <w:r w:rsidRPr="00F428F2">
              <w:rPr>
                <w:rFonts w:ascii="Arial" w:hAnsi="Arial" w:cs="Arial"/>
                <w:i/>
                <w:strike/>
                <w:sz w:val="22"/>
                <w:szCs w:val="17"/>
                <w:lang w:val="es-ES"/>
              </w:rPr>
              <w:t>Reconociendo</w:t>
            </w:r>
            <w:r w:rsidRPr="00F428F2">
              <w:rPr>
                <w:rFonts w:ascii="Arial" w:hAnsi="Arial" w:cs="Arial"/>
                <w:strike/>
                <w:sz w:val="22"/>
                <w:szCs w:val="17"/>
                <w:lang w:val="es-ES"/>
              </w:rPr>
              <w:t xml:space="preserve"> que la 14ª Reunión de la Conferencia de las Partes de la Convención sobre el Comercio Internacional de Especies Amenazadas de Fauna y Flora Silvestres (CITES) (La Haya, junio de 2007) señaló que a fin de fortalecer el esfuerzo global para cumplir con el objetivo de la Cumbre Mundial sobre el Desarrollo Sostenible de reducir significativamente la tasa de pérdida de biodiversidad para el año 2010, sería prudente tratar de asegurar una mayor armonización entre los acuerdos ambientales multilaterales relativos a la diversidad biológica en el ámbito de la taxonomía y la nomenclatura, teniendo en cuenta que los acuerdos ambientales multilaterales relativos a la diversidad biológica operan sobre la base de una cierta estabilidad en el uso de nombres, especialmente porque la legislación aplicable que utiliza estos nombres a menudo no puede ser modificada fácilmente;</w:t>
            </w:r>
          </w:p>
        </w:tc>
        <w:tc>
          <w:tcPr>
            <w:tcW w:w="2391" w:type="dxa"/>
            <w:shd w:val="clear" w:color="auto" w:fill="auto"/>
          </w:tcPr>
          <w:p w14:paraId="4C0B3259" w14:textId="54E78528"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Recomendación 9.4</w:t>
            </w:r>
          </w:p>
          <w:p w14:paraId="649761E3" w14:textId="77777777" w:rsidR="006306E1" w:rsidRPr="00F428F2" w:rsidRDefault="006306E1" w:rsidP="00672C25">
            <w:pPr>
              <w:jc w:val="both"/>
              <w:rPr>
                <w:rFonts w:ascii="Arial" w:hAnsi="Arial" w:cs="Arial"/>
                <w:sz w:val="22"/>
                <w:szCs w:val="22"/>
                <w:lang w:val="es-ES"/>
              </w:rPr>
            </w:pPr>
          </w:p>
          <w:p w14:paraId="261283DB" w14:textId="42C310C3" w:rsidR="006306E1" w:rsidRPr="00F428F2" w:rsidRDefault="006306E1" w:rsidP="008F43CD">
            <w:pPr>
              <w:jc w:val="both"/>
              <w:rPr>
                <w:rFonts w:ascii="Arial" w:hAnsi="Arial" w:cs="Arial"/>
                <w:sz w:val="22"/>
                <w:szCs w:val="22"/>
                <w:lang w:val="es-ES"/>
              </w:rPr>
            </w:pPr>
            <w:r w:rsidRPr="00F428F2">
              <w:rPr>
                <w:rFonts w:ascii="Arial" w:hAnsi="Arial" w:cs="Arial"/>
                <w:sz w:val="22"/>
                <w:szCs w:val="22"/>
                <w:lang w:val="es-ES"/>
              </w:rPr>
              <w:t xml:space="preserve">Revocar; redundante y </w:t>
            </w:r>
            <w:r w:rsidR="00167A91" w:rsidRPr="00F428F2">
              <w:rPr>
                <w:rFonts w:ascii="Arial" w:hAnsi="Arial" w:cs="Arial"/>
                <w:sz w:val="22"/>
                <w:szCs w:val="22"/>
                <w:lang w:val="es-ES"/>
              </w:rPr>
              <w:t>desactualizada</w:t>
            </w:r>
          </w:p>
        </w:tc>
      </w:tr>
      <w:tr w:rsidR="006306E1" w:rsidRPr="00451511" w14:paraId="4871C1B9" w14:textId="77777777" w:rsidTr="00815B38">
        <w:trPr>
          <w:trHeight w:val="331"/>
        </w:trPr>
        <w:tc>
          <w:tcPr>
            <w:tcW w:w="6467" w:type="dxa"/>
            <w:shd w:val="clear" w:color="auto" w:fill="auto"/>
          </w:tcPr>
          <w:p w14:paraId="2D542B5F" w14:textId="45EA628B"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además </w:t>
            </w:r>
            <w:r w:rsidRPr="00F428F2">
              <w:rPr>
                <w:rFonts w:ascii="Arial" w:hAnsi="Arial" w:cs="Arial"/>
                <w:sz w:val="22"/>
                <w:szCs w:val="17"/>
                <w:lang w:val="es-ES"/>
              </w:rPr>
              <w:t xml:space="preserve">de que esta armonización es más apremiante por el hecho de que de las </w:t>
            </w:r>
            <w:r w:rsidRPr="00F428F2">
              <w:rPr>
                <w:rFonts w:ascii="Arial" w:hAnsi="Arial" w:cs="Arial"/>
                <w:strike/>
                <w:sz w:val="22"/>
                <w:szCs w:val="17"/>
                <w:lang w:val="es-ES"/>
              </w:rPr>
              <w:t>116</w:t>
            </w:r>
            <w:r w:rsidRPr="00F428F2">
              <w:rPr>
                <w:rFonts w:ascii="Arial" w:hAnsi="Arial" w:cs="Arial"/>
                <w:sz w:val="22"/>
                <w:szCs w:val="17"/>
                <w:lang w:val="es-ES"/>
              </w:rPr>
              <w:t xml:space="preserve"> </w:t>
            </w:r>
            <w:r w:rsidR="00A80DBC" w:rsidRPr="00F428F2">
              <w:rPr>
                <w:rFonts w:ascii="Arial" w:hAnsi="Arial" w:cs="Arial"/>
                <w:sz w:val="22"/>
                <w:szCs w:val="17"/>
                <w:u w:val="single"/>
                <w:lang w:val="es-ES"/>
              </w:rPr>
              <w:t xml:space="preserve">124 </w:t>
            </w:r>
            <w:r w:rsidRPr="00F428F2">
              <w:rPr>
                <w:rFonts w:ascii="Arial" w:hAnsi="Arial" w:cs="Arial"/>
                <w:sz w:val="22"/>
                <w:szCs w:val="17"/>
                <w:lang w:val="es-ES"/>
              </w:rPr>
              <w:t xml:space="preserve">Partes de la CMS, sólo </w:t>
            </w:r>
            <w:r w:rsidRPr="00F428F2">
              <w:rPr>
                <w:rFonts w:ascii="Arial" w:hAnsi="Arial" w:cs="Arial"/>
                <w:strike/>
                <w:sz w:val="22"/>
                <w:szCs w:val="17"/>
                <w:lang w:val="es-ES"/>
              </w:rPr>
              <w:t>4 no son miembros</w:t>
            </w:r>
            <w:r w:rsidRPr="00F428F2">
              <w:rPr>
                <w:rFonts w:ascii="Arial" w:hAnsi="Arial" w:cs="Arial"/>
                <w:sz w:val="22"/>
                <w:szCs w:val="17"/>
                <w:lang w:val="es-ES"/>
              </w:rPr>
              <w:t xml:space="preserve"> </w:t>
            </w:r>
            <w:r w:rsidR="00167A91" w:rsidRPr="00F428F2">
              <w:rPr>
                <w:rFonts w:ascii="Arial" w:hAnsi="Arial" w:cs="Arial"/>
                <w:sz w:val="22"/>
                <w:szCs w:val="17"/>
                <w:u w:val="single"/>
                <w:lang w:val="es-ES"/>
              </w:rPr>
              <w:t>uno</w:t>
            </w:r>
            <w:r w:rsidR="00A80DBC" w:rsidRPr="00F428F2">
              <w:rPr>
                <w:rFonts w:ascii="Arial" w:hAnsi="Arial" w:cs="Arial"/>
                <w:sz w:val="22"/>
                <w:szCs w:val="17"/>
                <w:u w:val="single"/>
                <w:lang w:val="es-ES"/>
              </w:rPr>
              <w:t xml:space="preserve"> </w:t>
            </w:r>
            <w:r w:rsidR="00167A91" w:rsidRPr="00F428F2">
              <w:rPr>
                <w:rFonts w:ascii="Arial" w:hAnsi="Arial" w:cs="Arial"/>
                <w:sz w:val="22"/>
                <w:szCs w:val="17"/>
                <w:u w:val="single"/>
                <w:lang w:val="es-ES"/>
              </w:rPr>
              <w:t xml:space="preserve">no es miembro </w:t>
            </w:r>
            <w:r w:rsidRPr="00F428F2">
              <w:rPr>
                <w:rFonts w:ascii="Arial" w:hAnsi="Arial" w:cs="Arial"/>
                <w:sz w:val="22"/>
                <w:szCs w:val="17"/>
                <w:lang w:val="es-ES"/>
              </w:rPr>
              <w:t>de CITES; </w:t>
            </w:r>
          </w:p>
        </w:tc>
        <w:tc>
          <w:tcPr>
            <w:tcW w:w="2391" w:type="dxa"/>
            <w:shd w:val="clear" w:color="auto" w:fill="auto"/>
          </w:tcPr>
          <w:p w14:paraId="0F65702A" w14:textId="104EDC5C"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418CA358" w14:textId="77777777" w:rsidR="006306E1" w:rsidRPr="00F428F2" w:rsidRDefault="006306E1" w:rsidP="00672C25">
            <w:pPr>
              <w:jc w:val="both"/>
              <w:rPr>
                <w:rFonts w:ascii="Arial" w:hAnsi="Arial" w:cs="Arial"/>
                <w:sz w:val="22"/>
                <w:szCs w:val="22"/>
                <w:lang w:val="es-ES"/>
              </w:rPr>
            </w:pPr>
          </w:p>
          <w:p w14:paraId="1110B162" w14:textId="50CE83C1"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 con texto actualizado</w:t>
            </w:r>
          </w:p>
        </w:tc>
      </w:tr>
      <w:tr w:rsidR="006306E1" w:rsidRPr="00F428F2" w14:paraId="05EF0C0A" w14:textId="77777777" w:rsidTr="00815B38">
        <w:trPr>
          <w:trHeight w:val="331"/>
        </w:trPr>
        <w:tc>
          <w:tcPr>
            <w:tcW w:w="6467" w:type="dxa"/>
            <w:shd w:val="clear" w:color="auto" w:fill="auto"/>
          </w:tcPr>
          <w:p w14:paraId="6B23A3CE" w14:textId="2D3C1B15" w:rsidR="006306E1" w:rsidRPr="00F428F2" w:rsidRDefault="006306E1" w:rsidP="00A80DBC">
            <w:pPr>
              <w:jc w:val="both"/>
              <w:rPr>
                <w:rFonts w:ascii="Arial" w:hAnsi="Arial" w:cs="Arial"/>
                <w:strike/>
                <w:sz w:val="22"/>
                <w:szCs w:val="17"/>
                <w:lang w:val="es-ES"/>
              </w:rPr>
            </w:pPr>
            <w:r w:rsidRPr="00F428F2">
              <w:rPr>
                <w:rFonts w:ascii="Arial" w:hAnsi="Arial" w:cs="Arial"/>
                <w:i/>
                <w:strike/>
                <w:sz w:val="22"/>
                <w:szCs w:val="17"/>
                <w:lang w:val="es-ES"/>
              </w:rPr>
              <w:t>Observando además</w:t>
            </w:r>
            <w:r w:rsidRPr="00F428F2">
              <w:rPr>
                <w:rFonts w:ascii="Arial" w:hAnsi="Arial" w:cs="Arial"/>
                <w:strike/>
                <w:sz w:val="22"/>
                <w:szCs w:val="17"/>
                <w:lang w:val="es-ES"/>
              </w:rPr>
              <w:t xml:space="preserve"> que en el caso de esa armonización se hace más apremiante por el hecho</w:t>
            </w:r>
            <w:r w:rsidR="00A80DBC" w:rsidRPr="00F428F2">
              <w:rPr>
                <w:rFonts w:ascii="Arial" w:hAnsi="Arial" w:cs="Arial"/>
                <w:strike/>
                <w:sz w:val="22"/>
                <w:szCs w:val="17"/>
                <w:lang w:val="es-ES"/>
              </w:rPr>
              <w:t xml:space="preserve"> </w:t>
            </w:r>
            <w:r w:rsidRPr="00F428F2">
              <w:rPr>
                <w:rFonts w:ascii="Arial" w:hAnsi="Arial" w:cs="Arial"/>
                <w:strike/>
                <w:sz w:val="22"/>
                <w:szCs w:val="17"/>
                <w:lang w:val="es-ES"/>
              </w:rPr>
              <w:t>de que de las 110 Partes de la CMS, sólo 4 no son además miembros de CITES;</w:t>
            </w:r>
          </w:p>
        </w:tc>
        <w:tc>
          <w:tcPr>
            <w:tcW w:w="2391" w:type="dxa"/>
            <w:shd w:val="clear" w:color="auto" w:fill="auto"/>
          </w:tcPr>
          <w:p w14:paraId="3ABFAB1A" w14:textId="0F5DAECA"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Recomendación 9.4</w:t>
            </w:r>
          </w:p>
          <w:p w14:paraId="6613E673" w14:textId="77777777" w:rsidR="006306E1" w:rsidRPr="00F428F2" w:rsidRDefault="006306E1" w:rsidP="00672C25">
            <w:pPr>
              <w:jc w:val="both"/>
              <w:rPr>
                <w:rFonts w:ascii="Arial" w:hAnsi="Arial" w:cs="Arial"/>
                <w:sz w:val="22"/>
                <w:szCs w:val="22"/>
                <w:lang w:val="es-ES"/>
              </w:rPr>
            </w:pPr>
          </w:p>
          <w:p w14:paraId="5150057A" w14:textId="4CC30E22"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6306E1" w:rsidRPr="00F428F2" w14:paraId="69A1F2E6" w14:textId="77777777" w:rsidTr="00815B38">
        <w:trPr>
          <w:trHeight w:val="331"/>
        </w:trPr>
        <w:tc>
          <w:tcPr>
            <w:tcW w:w="6467" w:type="dxa"/>
            <w:shd w:val="clear" w:color="auto" w:fill="auto"/>
          </w:tcPr>
          <w:p w14:paraId="3F9306B8" w14:textId="3AA29813"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la armonización de la nomenclatura puede conducir a un proceso más integrado, a la reducción de la duplicación de esfuerzos y a un mayor intercambio de información entre los Acuerdos Ambientales Multilaterales (AAM) relacionados con la biodiversidad; </w:t>
            </w:r>
          </w:p>
        </w:tc>
        <w:tc>
          <w:tcPr>
            <w:tcW w:w="2391" w:type="dxa"/>
            <w:shd w:val="clear" w:color="auto" w:fill="auto"/>
          </w:tcPr>
          <w:p w14:paraId="5FFC0F45" w14:textId="0C0BC28D"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63E2C120" w14:textId="77777777" w:rsidR="006306E1" w:rsidRPr="00F428F2" w:rsidRDefault="006306E1" w:rsidP="00672C25">
            <w:pPr>
              <w:jc w:val="both"/>
              <w:rPr>
                <w:rFonts w:ascii="Arial" w:hAnsi="Arial" w:cs="Arial"/>
                <w:sz w:val="22"/>
                <w:szCs w:val="22"/>
                <w:lang w:val="es-ES"/>
              </w:rPr>
            </w:pPr>
          </w:p>
          <w:p w14:paraId="0675A0AE" w14:textId="324E8718"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22645FB2" w14:textId="77777777" w:rsidTr="00815B38">
        <w:trPr>
          <w:trHeight w:val="331"/>
        </w:trPr>
        <w:tc>
          <w:tcPr>
            <w:tcW w:w="6467" w:type="dxa"/>
            <w:shd w:val="clear" w:color="auto" w:fill="auto"/>
          </w:tcPr>
          <w:p w14:paraId="5F374E16" w14:textId="50FE72C2"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Recordando </w:t>
            </w:r>
            <w:r w:rsidRPr="00F428F2">
              <w:rPr>
                <w:rFonts w:ascii="Arial" w:hAnsi="Arial" w:cs="Arial"/>
                <w:sz w:val="22"/>
                <w:szCs w:val="17"/>
                <w:lang w:val="es-ES"/>
              </w:rPr>
              <w:t xml:space="preserve">que este objetivo fue señalado por la 6ª Reunión del Grupo de Enlace de las Convenciones relativas a la </w:t>
            </w:r>
            <w:r w:rsidRPr="00F428F2">
              <w:rPr>
                <w:rFonts w:ascii="Arial" w:hAnsi="Arial" w:cs="Arial"/>
                <w:sz w:val="22"/>
                <w:szCs w:val="17"/>
                <w:lang w:val="es-ES"/>
              </w:rPr>
              <w:lastRenderedPageBreak/>
              <w:t>Biodiversidad (Bonn, mayo de 2008), y por lo tanto se incluyó en la Lista de actividades conjuntas CITES/CMS, adoptada por la 34ª Reunión del Comité Permanente de la CMS (Roma, noviembre de 2008); y el Programa de Trabajo Conjunto CMS-CITES 2012-2014 adoptado en la 38ª reunión del Comité Permanente de la CMS (Bergen, noviembre de 2011);</w:t>
            </w:r>
          </w:p>
        </w:tc>
        <w:tc>
          <w:tcPr>
            <w:tcW w:w="2391" w:type="dxa"/>
            <w:shd w:val="clear" w:color="auto" w:fill="auto"/>
          </w:tcPr>
          <w:p w14:paraId="6726D763" w14:textId="5E8CCD1E"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lastRenderedPageBreak/>
              <w:t>Resolución 10.13</w:t>
            </w:r>
          </w:p>
          <w:p w14:paraId="5821DE36" w14:textId="77777777" w:rsidR="006306E1" w:rsidRPr="00F428F2" w:rsidRDefault="006306E1" w:rsidP="00672C25">
            <w:pPr>
              <w:jc w:val="both"/>
              <w:rPr>
                <w:rFonts w:ascii="Arial" w:hAnsi="Arial" w:cs="Arial"/>
                <w:sz w:val="22"/>
                <w:szCs w:val="22"/>
                <w:lang w:val="es-ES"/>
              </w:rPr>
            </w:pPr>
          </w:p>
          <w:p w14:paraId="67BB9588" w14:textId="13776755"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lastRenderedPageBreak/>
              <w:t>Mantener</w:t>
            </w:r>
          </w:p>
        </w:tc>
      </w:tr>
      <w:tr w:rsidR="006306E1" w:rsidRPr="00F428F2" w14:paraId="0A7C0F12" w14:textId="77777777" w:rsidTr="00815B38">
        <w:trPr>
          <w:trHeight w:val="331"/>
        </w:trPr>
        <w:tc>
          <w:tcPr>
            <w:tcW w:w="6467" w:type="dxa"/>
            <w:shd w:val="clear" w:color="auto" w:fill="auto"/>
          </w:tcPr>
          <w:p w14:paraId="7DD7AA3B" w14:textId="14C9DA65" w:rsidR="006306E1" w:rsidRPr="00F428F2" w:rsidRDefault="006306E1" w:rsidP="00C0539E">
            <w:pPr>
              <w:pStyle w:val="p1"/>
              <w:jc w:val="both"/>
              <w:rPr>
                <w:rFonts w:ascii="Arial" w:hAnsi="Arial" w:cs="Arial"/>
                <w:sz w:val="22"/>
                <w:szCs w:val="22"/>
                <w:lang w:val="es-ES"/>
              </w:rPr>
            </w:pPr>
            <w:r w:rsidRPr="00F428F2">
              <w:rPr>
                <w:rFonts w:ascii="Arial" w:hAnsi="Arial" w:cs="Arial"/>
                <w:i/>
                <w:iCs/>
                <w:sz w:val="22"/>
                <w:lang w:val="es-ES"/>
              </w:rPr>
              <w:lastRenderedPageBreak/>
              <w:t xml:space="preserve">Consciente además </w:t>
            </w:r>
            <w:r w:rsidRPr="00F428F2">
              <w:rPr>
                <w:rFonts w:ascii="Arial" w:hAnsi="Arial" w:cs="Arial"/>
                <w:sz w:val="22"/>
                <w:lang w:val="es-ES"/>
              </w:rPr>
              <w:t>de que una armonización de la taxonomía y la nomenclatura para las aves, en los AAM y otros socios, como la CMS, CITES, Ramsar, UICN, BirdLife International, Wetlands International y el PNUMA-WCMC, puede mejorar las sinergias que </w:t>
            </w:r>
            <w:r w:rsidRPr="00F428F2">
              <w:rPr>
                <w:rFonts w:ascii="Arial" w:eastAsia="Times New Roman" w:hAnsi="Arial" w:cs="Arial"/>
                <w:sz w:val="22"/>
                <w:lang w:val="es-ES"/>
              </w:rPr>
              <w:t>benefician a la conservación de las especies migratorias y a una mejor aplicación de los instrumentos de la familia de la CMS; </w:t>
            </w:r>
          </w:p>
        </w:tc>
        <w:tc>
          <w:tcPr>
            <w:tcW w:w="2391" w:type="dxa"/>
            <w:shd w:val="clear" w:color="auto" w:fill="auto"/>
          </w:tcPr>
          <w:p w14:paraId="6206004C" w14:textId="2A7F8263"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1B464625" w14:textId="77777777" w:rsidR="006306E1" w:rsidRPr="00F428F2" w:rsidRDefault="006306E1" w:rsidP="00672C25">
            <w:pPr>
              <w:jc w:val="both"/>
              <w:rPr>
                <w:rFonts w:ascii="Arial" w:hAnsi="Arial" w:cs="Arial"/>
                <w:sz w:val="22"/>
                <w:szCs w:val="22"/>
                <w:lang w:val="es-ES"/>
              </w:rPr>
            </w:pPr>
          </w:p>
          <w:p w14:paraId="55AA89FA" w14:textId="0244896D"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70DB1EB1" w14:textId="77777777" w:rsidTr="00815B38">
        <w:trPr>
          <w:trHeight w:val="331"/>
        </w:trPr>
        <w:tc>
          <w:tcPr>
            <w:tcW w:w="6467" w:type="dxa"/>
            <w:shd w:val="clear" w:color="auto" w:fill="auto"/>
          </w:tcPr>
          <w:p w14:paraId="6EF87794" w14:textId="16788A72"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los Presidentes de los órganos asesores científicos de las convenciones relacionadas con la diversidad biológica (CSAB) han expresado repetidamente su apoyo a la idea de avanzar hacia la armonización de la nomenclatura y la taxonomía en las listas de especies que utilizan, y han solicitado una mayor cooperación entre los AAM en relación a dicha meta; </w:t>
            </w:r>
          </w:p>
        </w:tc>
        <w:tc>
          <w:tcPr>
            <w:tcW w:w="2391" w:type="dxa"/>
            <w:shd w:val="clear" w:color="auto" w:fill="auto"/>
          </w:tcPr>
          <w:p w14:paraId="2B0DAE7C" w14:textId="0F42B5E6"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46EB9E71" w14:textId="77777777" w:rsidR="006306E1" w:rsidRPr="00F428F2" w:rsidRDefault="006306E1" w:rsidP="00672C25">
            <w:pPr>
              <w:jc w:val="both"/>
              <w:rPr>
                <w:rFonts w:ascii="Arial" w:hAnsi="Arial" w:cs="Arial"/>
                <w:sz w:val="22"/>
                <w:szCs w:val="22"/>
                <w:lang w:val="es-ES"/>
              </w:rPr>
            </w:pPr>
          </w:p>
          <w:p w14:paraId="36AEF433" w14:textId="5A42D375"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7A9CFE78" w14:textId="77777777" w:rsidTr="00815B38">
        <w:trPr>
          <w:trHeight w:val="331"/>
        </w:trPr>
        <w:tc>
          <w:tcPr>
            <w:tcW w:w="6467" w:type="dxa"/>
            <w:shd w:val="clear" w:color="auto" w:fill="auto"/>
          </w:tcPr>
          <w:p w14:paraId="329C472F" w14:textId="5AB781A0" w:rsidR="006306E1" w:rsidRPr="00F428F2" w:rsidRDefault="006306E1" w:rsidP="007F5C95">
            <w:pPr>
              <w:jc w:val="both"/>
              <w:rPr>
                <w:rFonts w:ascii="Arial" w:hAnsi="Arial" w:cs="Arial"/>
                <w:strike/>
                <w:sz w:val="22"/>
                <w:szCs w:val="17"/>
                <w:lang w:val="es-ES"/>
              </w:rPr>
            </w:pPr>
            <w:r w:rsidRPr="00F428F2">
              <w:rPr>
                <w:rFonts w:ascii="Arial" w:hAnsi="Arial" w:cs="Arial"/>
                <w:i/>
                <w:strike/>
                <w:sz w:val="22"/>
                <w:szCs w:val="17"/>
                <w:lang w:val="es-ES"/>
              </w:rPr>
              <w:t>Observando asimismo</w:t>
            </w:r>
            <w:r w:rsidRPr="00F428F2">
              <w:rPr>
                <w:rFonts w:ascii="Arial" w:hAnsi="Arial" w:cs="Arial"/>
                <w:strike/>
                <w:sz w:val="22"/>
                <w:szCs w:val="17"/>
                <w:lang w:val="es-ES"/>
              </w:rPr>
              <w:t xml:space="preserve"> que este objetivo fue aprobado en la 2ª reunión de Presidentes de los Órganos de Asesoramiento Científico de los Convenios relacionados con la Diversidad Biológica (CSAB, Bonn, mayo de 2008) y observado por la 6ª reunión del Grupo de Enlace de Convenios relacionados con la Diversidad Biológica (Bonn, mayo de 2008), y fue por tanto incluido en la Lista de Actividades Conjuntas de CITES/CMS adoptada por la 34ª reunión del Comité Permanente de la CMS;</w:t>
            </w:r>
          </w:p>
        </w:tc>
        <w:tc>
          <w:tcPr>
            <w:tcW w:w="2391" w:type="dxa"/>
            <w:shd w:val="clear" w:color="auto" w:fill="auto"/>
          </w:tcPr>
          <w:p w14:paraId="05DBD495" w14:textId="688BE959"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Recomendación 9.4</w:t>
            </w:r>
          </w:p>
          <w:p w14:paraId="3D8EADC1" w14:textId="77777777" w:rsidR="006306E1" w:rsidRPr="00F428F2" w:rsidRDefault="006306E1" w:rsidP="00672C25">
            <w:pPr>
              <w:jc w:val="both"/>
              <w:rPr>
                <w:rFonts w:ascii="Arial" w:hAnsi="Arial" w:cs="Arial"/>
                <w:sz w:val="22"/>
                <w:szCs w:val="22"/>
                <w:lang w:val="es-ES"/>
              </w:rPr>
            </w:pPr>
          </w:p>
          <w:p w14:paraId="3063AAD2" w14:textId="6073FBCA" w:rsidR="006306E1" w:rsidRPr="00F428F2" w:rsidRDefault="006D2318" w:rsidP="00672C25">
            <w:pPr>
              <w:jc w:val="both"/>
              <w:rPr>
                <w:rFonts w:ascii="Arial" w:hAnsi="Arial" w:cs="Arial"/>
                <w:sz w:val="22"/>
                <w:szCs w:val="22"/>
                <w:lang w:val="es-ES"/>
              </w:rPr>
            </w:pPr>
            <w:r w:rsidRPr="00F428F2">
              <w:rPr>
                <w:rFonts w:ascii="Arial" w:hAnsi="Arial" w:cs="Arial"/>
                <w:sz w:val="22"/>
                <w:szCs w:val="22"/>
                <w:lang w:val="es-ES"/>
              </w:rPr>
              <w:t xml:space="preserve">Revocar; </w:t>
            </w:r>
            <w:r w:rsidRPr="00F428F2">
              <w:rPr>
                <w:rFonts w:ascii="Arial" w:eastAsia="MS Mincho" w:hAnsi="Arial" w:cs="Arial"/>
                <w:sz w:val="22"/>
                <w:szCs w:val="22"/>
                <w:lang w:val="es-ES"/>
              </w:rPr>
              <w:t>anticuadas </w:t>
            </w:r>
          </w:p>
        </w:tc>
      </w:tr>
      <w:tr w:rsidR="006306E1" w:rsidRPr="00F428F2" w14:paraId="27154FD1" w14:textId="77777777" w:rsidTr="00815B38">
        <w:trPr>
          <w:trHeight w:val="331"/>
        </w:trPr>
        <w:tc>
          <w:tcPr>
            <w:tcW w:w="6467" w:type="dxa"/>
            <w:shd w:val="clear" w:color="auto" w:fill="auto"/>
          </w:tcPr>
          <w:p w14:paraId="572FDD5F" w14:textId="4CF4CAE4"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del informe de la Reunión Especial sobre Armonización de la Taxonomía de Aves que se celebró en Formia (Italia) el 8 de octubre de 2013 (PNUMA/CMS/ScC18/Inf.9.1) y agradeciendo al Presidente del Consejo Científico la convocatoria de dicha reunión; </w:t>
            </w:r>
          </w:p>
        </w:tc>
        <w:tc>
          <w:tcPr>
            <w:tcW w:w="2391" w:type="dxa"/>
            <w:shd w:val="clear" w:color="auto" w:fill="auto"/>
          </w:tcPr>
          <w:p w14:paraId="664A0781" w14:textId="435FABE3"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410EDA99" w14:textId="77777777" w:rsidR="006306E1" w:rsidRPr="00F428F2" w:rsidRDefault="006306E1" w:rsidP="00672C25">
            <w:pPr>
              <w:jc w:val="both"/>
              <w:rPr>
                <w:rFonts w:ascii="Arial" w:hAnsi="Arial" w:cs="Arial"/>
                <w:sz w:val="22"/>
                <w:szCs w:val="22"/>
                <w:lang w:val="es-ES"/>
              </w:rPr>
            </w:pPr>
          </w:p>
          <w:p w14:paraId="624C6040" w14:textId="1A7DD4AB"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597C7A09" w14:textId="77777777" w:rsidTr="00815B38">
        <w:trPr>
          <w:trHeight w:val="331"/>
        </w:trPr>
        <w:tc>
          <w:tcPr>
            <w:tcW w:w="6467" w:type="dxa"/>
            <w:shd w:val="clear" w:color="auto" w:fill="auto"/>
          </w:tcPr>
          <w:p w14:paraId="72D57599" w14:textId="661858A7"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también del informe del Comité de Fauna de la CITES, que tuvo lugar en Veracruz (México) los días 28 de mayo a 3 de abril, 2014; </w:t>
            </w:r>
          </w:p>
        </w:tc>
        <w:tc>
          <w:tcPr>
            <w:tcW w:w="2391" w:type="dxa"/>
            <w:shd w:val="clear" w:color="auto" w:fill="auto"/>
          </w:tcPr>
          <w:p w14:paraId="7589D533" w14:textId="0B4A3834"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43C50521" w14:textId="77777777" w:rsidR="006306E1" w:rsidRPr="00F428F2" w:rsidRDefault="006306E1" w:rsidP="00672C25">
            <w:pPr>
              <w:jc w:val="both"/>
              <w:rPr>
                <w:rFonts w:ascii="Arial" w:hAnsi="Arial" w:cs="Arial"/>
                <w:sz w:val="22"/>
                <w:szCs w:val="22"/>
                <w:lang w:val="es-ES"/>
              </w:rPr>
            </w:pPr>
          </w:p>
          <w:p w14:paraId="020D7635" w14:textId="0704B682"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21EA2D3B" w14:textId="77777777" w:rsidTr="00815B38">
        <w:trPr>
          <w:trHeight w:val="331"/>
        </w:trPr>
        <w:tc>
          <w:tcPr>
            <w:tcW w:w="6467" w:type="dxa"/>
            <w:shd w:val="clear" w:color="auto" w:fill="auto"/>
          </w:tcPr>
          <w:p w14:paraId="64BD0207" w14:textId="0C41459C"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Reiterando </w:t>
            </w:r>
            <w:r w:rsidRPr="00F428F2">
              <w:rPr>
                <w:rFonts w:ascii="Arial" w:hAnsi="Arial" w:cs="Arial"/>
                <w:sz w:val="22"/>
                <w:szCs w:val="17"/>
                <w:lang w:val="es-ES"/>
              </w:rPr>
              <w:t>que independientemente de la adopción, por razones prácticas, de referencias de nomenclatura estándar al nivel de especies, la diversidad biológica en todos los niveles taxonómicos debe ser valorada, protegida y utilizada sosteniblemente. </w:t>
            </w:r>
          </w:p>
        </w:tc>
        <w:tc>
          <w:tcPr>
            <w:tcW w:w="2391" w:type="dxa"/>
            <w:shd w:val="clear" w:color="auto" w:fill="auto"/>
          </w:tcPr>
          <w:p w14:paraId="7C15AC71" w14:textId="6C8E2970"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668558AB" w14:textId="77777777" w:rsidR="006306E1" w:rsidRPr="00F428F2" w:rsidRDefault="006306E1" w:rsidP="00672C25">
            <w:pPr>
              <w:jc w:val="both"/>
              <w:rPr>
                <w:rFonts w:ascii="Arial" w:hAnsi="Arial" w:cs="Arial"/>
                <w:sz w:val="22"/>
                <w:szCs w:val="22"/>
                <w:lang w:val="es-ES"/>
              </w:rPr>
            </w:pPr>
          </w:p>
          <w:p w14:paraId="4203ABFF" w14:textId="03028F79"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54B9991B" w14:textId="77777777" w:rsidTr="00815B38">
        <w:trPr>
          <w:trHeight w:val="412"/>
        </w:trPr>
        <w:tc>
          <w:tcPr>
            <w:tcW w:w="6467" w:type="dxa"/>
            <w:shd w:val="clear" w:color="auto" w:fill="auto"/>
          </w:tcPr>
          <w:p w14:paraId="6C3F6B68" w14:textId="26F19B4E" w:rsidR="006306E1" w:rsidRPr="00F428F2" w:rsidRDefault="006306E1" w:rsidP="007F5C95">
            <w:pPr>
              <w:jc w:val="both"/>
              <w:rPr>
                <w:rFonts w:ascii="Arial" w:hAnsi="Arial" w:cs="Arial"/>
                <w:sz w:val="22"/>
                <w:szCs w:val="17"/>
                <w:lang w:val="es-ES"/>
              </w:rPr>
            </w:pPr>
            <w:r w:rsidRPr="00F428F2">
              <w:rPr>
                <w:rFonts w:ascii="Arial" w:hAnsi="Arial" w:cs="Arial"/>
                <w:i/>
                <w:sz w:val="22"/>
                <w:szCs w:val="17"/>
                <w:lang w:val="es-ES"/>
              </w:rPr>
              <w:t>Tomando nota</w:t>
            </w:r>
            <w:r w:rsidRPr="00F428F2">
              <w:rPr>
                <w:rFonts w:ascii="Arial" w:hAnsi="Arial" w:cs="Arial"/>
                <w:sz w:val="22"/>
                <w:szCs w:val="17"/>
                <w:lang w:val="es-ES"/>
              </w:rPr>
              <w:t xml:space="preserve"> de las recomendaciones de la 15ª reunión del Consejo Científico de la CMS (Roma, 27-28 de noviembre de 2008), relativa a la revisión de la nomenclatura de referencia para las especies de mamíferos terrestres y acuáticos incluidas en los Apéndices de la CMS; </w:t>
            </w:r>
            <w:r w:rsidRPr="00F428F2">
              <w:rPr>
                <w:rFonts w:ascii="Arial" w:hAnsi="Arial" w:cs="Arial"/>
                <w:strike/>
                <w:sz w:val="22"/>
                <w:szCs w:val="17"/>
                <w:lang w:val="es-ES"/>
              </w:rPr>
              <w:t>y</w:t>
            </w:r>
          </w:p>
        </w:tc>
        <w:tc>
          <w:tcPr>
            <w:tcW w:w="2391" w:type="dxa"/>
            <w:shd w:val="clear" w:color="auto" w:fill="auto"/>
          </w:tcPr>
          <w:p w14:paraId="417ED379" w14:textId="07435D47"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9.4</w:t>
            </w:r>
          </w:p>
          <w:p w14:paraId="3E5E1B2D" w14:textId="77777777" w:rsidR="00225DC8" w:rsidRPr="00F428F2" w:rsidRDefault="00225DC8" w:rsidP="00672C25">
            <w:pPr>
              <w:jc w:val="both"/>
              <w:rPr>
                <w:rFonts w:ascii="Arial" w:hAnsi="Arial" w:cs="Arial"/>
                <w:sz w:val="22"/>
                <w:szCs w:val="22"/>
                <w:lang w:val="es-ES"/>
              </w:rPr>
            </w:pPr>
          </w:p>
          <w:p w14:paraId="5808628D" w14:textId="7A58FDEF"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451511" w14:paraId="7E84303C" w14:textId="77777777" w:rsidTr="00815B38">
        <w:trPr>
          <w:trHeight w:val="394"/>
        </w:trPr>
        <w:tc>
          <w:tcPr>
            <w:tcW w:w="6467" w:type="dxa"/>
            <w:shd w:val="clear" w:color="auto" w:fill="auto"/>
          </w:tcPr>
          <w:p w14:paraId="1072A570" w14:textId="7A07D8F9"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 xml:space="preserve">de la recomendación formulada por el Consejo Científico de la CMS en su 18ª Reunión (Bonn, 1-3 julio 2014), sobre una referencia de nomenclatura normalizada para las aves no paseriformes, </w:t>
            </w:r>
            <w:r w:rsidRPr="00F428F2">
              <w:rPr>
                <w:rFonts w:ascii="Arial" w:hAnsi="Arial" w:cs="Arial"/>
                <w:strike/>
                <w:sz w:val="22"/>
                <w:szCs w:val="17"/>
                <w:lang w:val="es-ES"/>
              </w:rPr>
              <w:t xml:space="preserve">y </w:t>
            </w:r>
            <w:r w:rsidRPr="00F428F2">
              <w:rPr>
                <w:rFonts w:ascii="Arial" w:hAnsi="Arial" w:cs="Arial"/>
                <w:i/>
                <w:iCs/>
                <w:strike/>
                <w:sz w:val="22"/>
                <w:szCs w:val="17"/>
                <w:lang w:val="es-ES"/>
              </w:rPr>
              <w:t xml:space="preserve">tomando nota además </w:t>
            </w:r>
            <w:r w:rsidRPr="00F428F2">
              <w:rPr>
                <w:rFonts w:ascii="Arial" w:hAnsi="Arial" w:cs="Arial"/>
                <w:strike/>
                <w:sz w:val="22"/>
                <w:szCs w:val="17"/>
                <w:lang w:val="es-ES"/>
              </w:rPr>
              <w:t>el hecho de que la taxonomía de albatros y petreles en esta referencia es coherente con la adoptada por ACAP</w:t>
            </w:r>
            <w:r w:rsidRPr="00F428F2">
              <w:rPr>
                <w:rFonts w:ascii="Arial" w:hAnsi="Arial" w:cs="Arial"/>
                <w:sz w:val="22"/>
                <w:szCs w:val="17"/>
                <w:lang w:val="es-ES"/>
              </w:rPr>
              <w:t>; </w:t>
            </w:r>
          </w:p>
        </w:tc>
        <w:tc>
          <w:tcPr>
            <w:tcW w:w="2391" w:type="dxa"/>
            <w:shd w:val="clear" w:color="auto" w:fill="auto"/>
          </w:tcPr>
          <w:p w14:paraId="0C6202C1" w14:textId="40DC8A8A"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27106E32" w14:textId="77777777" w:rsidR="006306E1" w:rsidRPr="00F428F2" w:rsidRDefault="006306E1" w:rsidP="00672C25">
            <w:pPr>
              <w:jc w:val="both"/>
              <w:rPr>
                <w:rFonts w:ascii="Arial" w:hAnsi="Arial" w:cs="Arial"/>
                <w:sz w:val="22"/>
                <w:szCs w:val="22"/>
                <w:lang w:val="es-ES"/>
              </w:rPr>
            </w:pPr>
          </w:p>
          <w:p w14:paraId="19417076" w14:textId="1C3CEFB2" w:rsidR="006306E1" w:rsidRPr="00F428F2" w:rsidRDefault="006D2318"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 modificado</w:t>
            </w:r>
            <w:r w:rsidR="006306E1" w:rsidRPr="00F428F2">
              <w:rPr>
                <w:rFonts w:ascii="Arial" w:hAnsi="Arial" w:cs="Arial"/>
                <w:sz w:val="22"/>
                <w:szCs w:val="22"/>
                <w:lang w:val="es-ES"/>
              </w:rPr>
              <w:t xml:space="preserve">; </w:t>
            </w:r>
            <w:r w:rsidR="00FF5CD1" w:rsidRPr="00F428F2">
              <w:rPr>
                <w:rFonts w:ascii="Arial" w:hAnsi="Arial" w:cs="Arial"/>
                <w:sz w:val="22"/>
                <w:szCs w:val="22"/>
                <w:lang w:val="es-ES"/>
              </w:rPr>
              <w:t xml:space="preserve">el texto propuesto para borrar es </w:t>
            </w:r>
            <w:r w:rsidR="00F428F2" w:rsidRPr="00F428F2">
              <w:rPr>
                <w:rFonts w:ascii="Arial" w:hAnsi="Arial" w:cs="Arial"/>
                <w:sz w:val="22"/>
                <w:szCs w:val="22"/>
                <w:lang w:val="es-ES"/>
              </w:rPr>
              <w:t>redundante</w:t>
            </w:r>
            <w:r w:rsidR="00FF5CD1" w:rsidRPr="00F428F2">
              <w:rPr>
                <w:rFonts w:ascii="Arial" w:hAnsi="Arial" w:cs="Arial"/>
                <w:sz w:val="22"/>
                <w:szCs w:val="22"/>
                <w:lang w:val="es-ES"/>
              </w:rPr>
              <w:t xml:space="preserve"> a la luz del próximo párrafo.</w:t>
            </w:r>
          </w:p>
        </w:tc>
      </w:tr>
      <w:tr w:rsidR="006306E1" w:rsidRPr="00F428F2" w14:paraId="53BB1CF0" w14:textId="77777777" w:rsidTr="00815B38">
        <w:trPr>
          <w:trHeight w:val="394"/>
        </w:trPr>
        <w:tc>
          <w:tcPr>
            <w:tcW w:w="6467" w:type="dxa"/>
            <w:shd w:val="clear" w:color="auto" w:fill="auto"/>
          </w:tcPr>
          <w:p w14:paraId="1067FC95" w14:textId="18CD9579"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que</w:t>
            </w:r>
            <w:r w:rsidR="007B6345" w:rsidRPr="00F428F2">
              <w:rPr>
                <w:rFonts w:ascii="Arial" w:hAnsi="Arial" w:cs="Arial"/>
                <w:sz w:val="22"/>
                <w:szCs w:val="17"/>
                <w:lang w:val="es-ES"/>
              </w:rPr>
              <w:t>,</w:t>
            </w:r>
            <w:r w:rsidRPr="00F428F2">
              <w:rPr>
                <w:rFonts w:ascii="Arial" w:hAnsi="Arial" w:cs="Arial"/>
                <w:sz w:val="22"/>
                <w:szCs w:val="17"/>
                <w:lang w:val="es-ES"/>
              </w:rPr>
              <w:t xml:space="preserve"> en relación con los albatros y petreles, la COP10 adoptó la taxonomía utilizada por ACAP como referencia de nomenclatura estándar de la Convención, y que ACAP tiene </w:t>
            </w:r>
            <w:r w:rsidRPr="00F428F2">
              <w:rPr>
                <w:rFonts w:ascii="Arial" w:hAnsi="Arial" w:cs="Arial"/>
                <w:sz w:val="22"/>
                <w:szCs w:val="17"/>
                <w:lang w:val="es-ES"/>
              </w:rPr>
              <w:lastRenderedPageBreak/>
              <w:t>en cuenta la información taxonómica más reciente sobre las especies de albatros y petreles; </w:t>
            </w:r>
          </w:p>
        </w:tc>
        <w:tc>
          <w:tcPr>
            <w:tcW w:w="2391" w:type="dxa"/>
            <w:shd w:val="clear" w:color="auto" w:fill="auto"/>
          </w:tcPr>
          <w:p w14:paraId="541C1F5D" w14:textId="2474B2A4"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lastRenderedPageBreak/>
              <w:t>Resolución 11.19</w:t>
            </w:r>
          </w:p>
          <w:p w14:paraId="55EC1B4F" w14:textId="77777777" w:rsidR="006306E1" w:rsidRPr="00F428F2" w:rsidRDefault="006306E1" w:rsidP="00672C25">
            <w:pPr>
              <w:jc w:val="both"/>
              <w:rPr>
                <w:rFonts w:ascii="Arial" w:hAnsi="Arial" w:cs="Arial"/>
                <w:sz w:val="22"/>
                <w:szCs w:val="22"/>
                <w:lang w:val="es-ES"/>
              </w:rPr>
            </w:pPr>
          </w:p>
          <w:p w14:paraId="00518DD7" w14:textId="1A71D5D4"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233DD46C" w14:textId="77777777" w:rsidTr="00815B38">
        <w:trPr>
          <w:trHeight w:val="394"/>
        </w:trPr>
        <w:tc>
          <w:tcPr>
            <w:tcW w:w="6467" w:type="dxa"/>
            <w:shd w:val="clear" w:color="auto" w:fill="auto"/>
          </w:tcPr>
          <w:p w14:paraId="01F84D00" w14:textId="260D1818" w:rsidR="006306E1" w:rsidRPr="00F428F2" w:rsidRDefault="006306E1" w:rsidP="00C0539E">
            <w:pPr>
              <w:jc w:val="both"/>
              <w:rPr>
                <w:rFonts w:ascii="Arial" w:hAnsi="Arial" w:cs="Arial"/>
                <w:strike/>
                <w:sz w:val="22"/>
                <w:szCs w:val="17"/>
                <w:lang w:val="es-ES"/>
              </w:rPr>
            </w:pPr>
            <w:r w:rsidRPr="00F428F2">
              <w:rPr>
                <w:rFonts w:ascii="Arial" w:hAnsi="Arial" w:cs="Arial"/>
                <w:i/>
                <w:iCs/>
                <w:strike/>
                <w:sz w:val="22"/>
                <w:szCs w:val="17"/>
                <w:lang w:val="es-ES"/>
              </w:rPr>
              <w:t xml:space="preserve">Tomando nota </w:t>
            </w:r>
            <w:r w:rsidRPr="00F428F2">
              <w:rPr>
                <w:rFonts w:ascii="Arial" w:hAnsi="Arial" w:cs="Arial"/>
                <w:strike/>
                <w:sz w:val="22"/>
                <w:szCs w:val="17"/>
                <w:lang w:val="es-ES"/>
              </w:rPr>
              <w:t>de que la taxonomía utilizada por el Acuerdo sobre la Conservación de albatros y petreles (ACAP) tiene en cuenta la información taxonómica más reciente sobre las especies de albatros y grandes petreles; </w:t>
            </w:r>
          </w:p>
        </w:tc>
        <w:tc>
          <w:tcPr>
            <w:tcW w:w="2391" w:type="dxa"/>
            <w:shd w:val="clear" w:color="auto" w:fill="auto"/>
          </w:tcPr>
          <w:p w14:paraId="0AC5A913" w14:textId="1855336C"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5BF3E277" w14:textId="77777777" w:rsidR="006306E1" w:rsidRPr="00F428F2" w:rsidRDefault="006306E1" w:rsidP="00672C25">
            <w:pPr>
              <w:jc w:val="both"/>
              <w:rPr>
                <w:rFonts w:ascii="Arial" w:hAnsi="Arial" w:cs="Arial"/>
                <w:sz w:val="22"/>
                <w:szCs w:val="22"/>
                <w:lang w:val="es-ES"/>
              </w:rPr>
            </w:pPr>
          </w:p>
          <w:p w14:paraId="2DAEBAB7" w14:textId="22C05927"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 xml:space="preserve">Revocar; </w:t>
            </w:r>
            <w:r w:rsidRPr="00F428F2">
              <w:rPr>
                <w:rFonts w:ascii="Arial" w:eastAsia="MS Mincho" w:hAnsi="Arial" w:cs="Arial"/>
                <w:sz w:val="22"/>
                <w:szCs w:val="22"/>
                <w:lang w:val="es-ES"/>
              </w:rPr>
              <w:t>anticuadas </w:t>
            </w:r>
          </w:p>
        </w:tc>
      </w:tr>
      <w:tr w:rsidR="006306E1" w:rsidRPr="00F428F2" w14:paraId="27AB4D39" w14:textId="77777777" w:rsidTr="00815B38">
        <w:trPr>
          <w:trHeight w:val="394"/>
        </w:trPr>
        <w:tc>
          <w:tcPr>
            <w:tcW w:w="6467" w:type="dxa"/>
            <w:shd w:val="clear" w:color="auto" w:fill="auto"/>
          </w:tcPr>
          <w:p w14:paraId="529641CA" w14:textId="25AC0DD1" w:rsidR="006306E1" w:rsidRPr="00F428F2" w:rsidRDefault="006306E1" w:rsidP="007F5C95">
            <w:pPr>
              <w:jc w:val="both"/>
              <w:rPr>
                <w:rFonts w:ascii="Arial" w:hAnsi="Arial" w:cs="Arial"/>
                <w:strike/>
                <w:sz w:val="22"/>
                <w:szCs w:val="17"/>
                <w:lang w:val="es-ES"/>
              </w:rPr>
            </w:pPr>
            <w:r w:rsidRPr="00F428F2">
              <w:rPr>
                <w:rFonts w:ascii="Arial" w:hAnsi="Arial" w:cs="Arial"/>
                <w:strike/>
                <w:sz w:val="22"/>
                <w:szCs w:val="17"/>
                <w:lang w:val="es-ES"/>
              </w:rPr>
              <w:t>Observando que la Lista 1 del Acuerdo sobre la Conservación de Albatros y Petreles (ACAP) tiene en cuenta la más reciente información taxonómica sobre las especies de albatros y grandes petreles;</w:t>
            </w:r>
          </w:p>
        </w:tc>
        <w:tc>
          <w:tcPr>
            <w:tcW w:w="2391" w:type="dxa"/>
            <w:shd w:val="clear" w:color="auto" w:fill="auto"/>
          </w:tcPr>
          <w:p w14:paraId="65345ECA" w14:textId="1186E8C7"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 xml:space="preserve">Recomendación 9.4 </w:t>
            </w:r>
          </w:p>
          <w:p w14:paraId="25256225" w14:textId="77777777" w:rsidR="006306E1" w:rsidRPr="00F428F2" w:rsidRDefault="006306E1" w:rsidP="00672C25">
            <w:pPr>
              <w:jc w:val="both"/>
              <w:rPr>
                <w:rFonts w:ascii="Arial" w:hAnsi="Arial" w:cs="Arial"/>
                <w:sz w:val="22"/>
                <w:szCs w:val="22"/>
                <w:lang w:val="es-ES"/>
              </w:rPr>
            </w:pPr>
          </w:p>
          <w:p w14:paraId="6966CBF4" w14:textId="679199D2"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 xml:space="preserve">Revocar; </w:t>
            </w:r>
            <w:r w:rsidRPr="00F428F2">
              <w:rPr>
                <w:rFonts w:ascii="Arial" w:eastAsia="MS Mincho" w:hAnsi="Arial" w:cs="Arial"/>
                <w:sz w:val="22"/>
                <w:szCs w:val="22"/>
                <w:lang w:val="es-ES"/>
              </w:rPr>
              <w:t>anticuadas </w:t>
            </w:r>
          </w:p>
        </w:tc>
      </w:tr>
      <w:tr w:rsidR="006306E1" w:rsidRPr="00F428F2" w14:paraId="78F92E2D" w14:textId="77777777" w:rsidTr="00815B38">
        <w:trPr>
          <w:trHeight w:val="394"/>
        </w:trPr>
        <w:tc>
          <w:tcPr>
            <w:tcW w:w="6467" w:type="dxa"/>
            <w:shd w:val="clear" w:color="auto" w:fill="auto"/>
          </w:tcPr>
          <w:p w14:paraId="6E7F93DF" w14:textId="699D00D4" w:rsidR="006306E1" w:rsidRPr="00F428F2" w:rsidRDefault="006306E1" w:rsidP="00C0539E">
            <w:pPr>
              <w:jc w:val="both"/>
              <w:rPr>
                <w:rFonts w:ascii="Arial" w:hAnsi="Arial" w:cs="Arial"/>
                <w:strike/>
                <w:sz w:val="22"/>
                <w:szCs w:val="17"/>
                <w:lang w:val="es-ES"/>
              </w:rPr>
            </w:pPr>
            <w:r w:rsidRPr="00F428F2">
              <w:rPr>
                <w:rFonts w:ascii="Arial" w:hAnsi="Arial" w:cs="Arial"/>
                <w:i/>
                <w:iCs/>
                <w:strike/>
                <w:sz w:val="22"/>
                <w:szCs w:val="17"/>
                <w:lang w:val="es-ES"/>
              </w:rPr>
              <w:t xml:space="preserve">Considerando </w:t>
            </w:r>
            <w:r w:rsidRPr="00F428F2">
              <w:rPr>
                <w:rFonts w:ascii="Arial" w:hAnsi="Arial" w:cs="Arial"/>
                <w:strike/>
                <w:sz w:val="22"/>
                <w:szCs w:val="17"/>
                <w:lang w:val="es-ES"/>
              </w:rPr>
              <w:t>que la adopción de una nueva referencia puede implicar casos de sinonimia, agregación y/o separación de especies, y que tienen que acordarse normas sobre cómo actuar en estos casos y su consecuente reflejo en los Apéndices de la CMS, y que hasta la fecha no existe una regla en vigor para los casos de agrupamiento; y </w:t>
            </w:r>
          </w:p>
        </w:tc>
        <w:tc>
          <w:tcPr>
            <w:tcW w:w="2391" w:type="dxa"/>
            <w:shd w:val="clear" w:color="auto" w:fill="auto"/>
          </w:tcPr>
          <w:p w14:paraId="0CE5A56D" w14:textId="4B9BE9DA"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61080BFB" w14:textId="77777777" w:rsidR="006306E1" w:rsidRPr="00F428F2" w:rsidRDefault="006306E1" w:rsidP="00672C25">
            <w:pPr>
              <w:jc w:val="both"/>
              <w:rPr>
                <w:rFonts w:ascii="Arial" w:hAnsi="Arial" w:cs="Arial"/>
                <w:sz w:val="22"/>
                <w:szCs w:val="22"/>
                <w:lang w:val="es-ES"/>
              </w:rPr>
            </w:pPr>
          </w:p>
          <w:p w14:paraId="2F58B3DF" w14:textId="4E761466"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Revocar</w:t>
            </w:r>
          </w:p>
        </w:tc>
      </w:tr>
      <w:tr w:rsidR="006306E1" w:rsidRPr="00F428F2" w14:paraId="60706747" w14:textId="77777777" w:rsidTr="00815B38">
        <w:trPr>
          <w:trHeight w:val="394"/>
        </w:trPr>
        <w:tc>
          <w:tcPr>
            <w:tcW w:w="6467" w:type="dxa"/>
            <w:shd w:val="clear" w:color="auto" w:fill="auto"/>
          </w:tcPr>
          <w:p w14:paraId="18F5B64E" w14:textId="54421BAE"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 xml:space="preserve">que la adopción de una nueva referencia </w:t>
            </w:r>
            <w:r w:rsidRPr="00F428F2">
              <w:rPr>
                <w:rFonts w:ascii="Arial" w:hAnsi="Arial" w:cs="Arial"/>
                <w:strike/>
                <w:sz w:val="22"/>
                <w:szCs w:val="17"/>
                <w:lang w:val="es-ES"/>
              </w:rPr>
              <w:t>para las aves</w:t>
            </w:r>
            <w:r w:rsidRPr="00F428F2">
              <w:rPr>
                <w:rFonts w:ascii="Arial" w:hAnsi="Arial" w:cs="Arial"/>
                <w:sz w:val="22"/>
                <w:szCs w:val="17"/>
                <w:lang w:val="es-ES"/>
              </w:rPr>
              <w:t xml:space="preserve"> puede implicar casos de sinonimia, agregación de especies y/o la separación de especies, y que la CMS ha acordado normas sobre cómo actuar en estos casos y su consecuente reflejo en los Apéndices; </w:t>
            </w:r>
          </w:p>
        </w:tc>
        <w:tc>
          <w:tcPr>
            <w:tcW w:w="2391" w:type="dxa"/>
            <w:shd w:val="clear" w:color="auto" w:fill="auto"/>
          </w:tcPr>
          <w:p w14:paraId="4FA1C8A9" w14:textId="0AD5D7AE"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0C9BD670" w14:textId="77777777" w:rsidR="006306E1" w:rsidRPr="00F428F2" w:rsidRDefault="006306E1" w:rsidP="00672C25">
            <w:pPr>
              <w:jc w:val="both"/>
              <w:rPr>
                <w:rFonts w:ascii="Arial" w:hAnsi="Arial" w:cs="Arial"/>
                <w:sz w:val="22"/>
                <w:szCs w:val="22"/>
                <w:lang w:val="es-ES"/>
              </w:rPr>
            </w:pPr>
          </w:p>
          <w:p w14:paraId="255F9F56" w14:textId="271DB8BD"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 modificado</w:t>
            </w:r>
          </w:p>
        </w:tc>
      </w:tr>
      <w:tr w:rsidR="006306E1" w:rsidRPr="00F428F2" w14:paraId="0A9F80CE" w14:textId="77777777" w:rsidTr="00815B38">
        <w:trPr>
          <w:trHeight w:val="394"/>
        </w:trPr>
        <w:tc>
          <w:tcPr>
            <w:tcW w:w="6467" w:type="dxa"/>
            <w:shd w:val="clear" w:color="auto" w:fill="auto"/>
          </w:tcPr>
          <w:p w14:paraId="661370E5" w14:textId="738DCE03" w:rsidR="006306E1" w:rsidRPr="00F428F2" w:rsidRDefault="006306E1" w:rsidP="00C0539E">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las recomendaciones del Consejo Científico de la CMS en su 17 ª reunión (Bergen, noviembre de 2011); </w:t>
            </w:r>
          </w:p>
        </w:tc>
        <w:tc>
          <w:tcPr>
            <w:tcW w:w="2391" w:type="dxa"/>
            <w:shd w:val="clear" w:color="auto" w:fill="auto"/>
          </w:tcPr>
          <w:p w14:paraId="70C6E33B" w14:textId="03B514F3"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19084905" w14:textId="77777777" w:rsidR="006306E1" w:rsidRPr="00F428F2" w:rsidRDefault="006306E1" w:rsidP="00672C25">
            <w:pPr>
              <w:jc w:val="both"/>
              <w:rPr>
                <w:rFonts w:ascii="Arial" w:hAnsi="Arial" w:cs="Arial"/>
                <w:sz w:val="22"/>
                <w:szCs w:val="22"/>
                <w:lang w:val="es-ES"/>
              </w:rPr>
            </w:pPr>
          </w:p>
          <w:p w14:paraId="12DEDBB6" w14:textId="761C1EEF" w:rsidR="006306E1" w:rsidRPr="00F428F2" w:rsidRDefault="00F428F2" w:rsidP="00EE04BC">
            <w:pPr>
              <w:jc w:val="both"/>
              <w:rPr>
                <w:rFonts w:ascii="Arial" w:hAnsi="Arial" w:cs="Arial"/>
                <w:sz w:val="22"/>
                <w:szCs w:val="22"/>
                <w:lang w:val="es-ES"/>
              </w:rPr>
            </w:pPr>
            <w:r>
              <w:rPr>
                <w:rFonts w:ascii="Arial" w:hAnsi="Arial" w:cs="Arial"/>
                <w:sz w:val="22"/>
                <w:szCs w:val="22"/>
                <w:lang w:val="es-ES"/>
              </w:rPr>
              <w:t>Mantener</w:t>
            </w:r>
          </w:p>
        </w:tc>
      </w:tr>
      <w:tr w:rsidR="006306E1" w:rsidRPr="00F428F2" w14:paraId="6121DB74" w14:textId="77777777" w:rsidTr="00815B38">
        <w:trPr>
          <w:trHeight w:val="394"/>
        </w:trPr>
        <w:tc>
          <w:tcPr>
            <w:tcW w:w="6467" w:type="dxa"/>
            <w:shd w:val="clear" w:color="auto" w:fill="auto"/>
          </w:tcPr>
          <w:p w14:paraId="0C49117C" w14:textId="6C766770" w:rsidR="006306E1" w:rsidRPr="00F428F2" w:rsidRDefault="006306E1" w:rsidP="00C0539E">
            <w:pPr>
              <w:jc w:val="both"/>
              <w:rPr>
                <w:rFonts w:ascii="Arial" w:hAnsi="Arial" w:cs="Arial"/>
                <w:sz w:val="22"/>
                <w:szCs w:val="17"/>
                <w:u w:val="single"/>
                <w:lang w:val="es-ES"/>
              </w:rPr>
            </w:pPr>
            <w:r w:rsidRPr="00F428F2">
              <w:rPr>
                <w:rFonts w:ascii="Arial" w:hAnsi="Arial" w:cs="Arial"/>
                <w:i/>
                <w:iCs/>
                <w:sz w:val="22"/>
                <w:szCs w:val="17"/>
                <w:lang w:val="es-ES"/>
              </w:rPr>
              <w:t xml:space="preserve">Destacando </w:t>
            </w:r>
            <w:r w:rsidRPr="00F428F2">
              <w:rPr>
                <w:rFonts w:ascii="Arial" w:hAnsi="Arial" w:cs="Arial"/>
                <w:sz w:val="22"/>
                <w:szCs w:val="17"/>
                <w:lang w:val="es-ES"/>
              </w:rPr>
              <w:t>que la estabilidad, a través del tiempo, de la taxonomía y nomenclatura de las especies listadas bajo la CMS es esencial para asegurar la garantía legal para la implementación de la Convención; </w:t>
            </w:r>
            <w:r w:rsidR="00C50D82" w:rsidRPr="00F428F2">
              <w:rPr>
                <w:rFonts w:ascii="Arial" w:hAnsi="Arial" w:cs="Arial"/>
                <w:sz w:val="22"/>
                <w:szCs w:val="17"/>
                <w:u w:val="single"/>
                <w:lang w:val="es-ES"/>
              </w:rPr>
              <w:t>y</w:t>
            </w:r>
          </w:p>
        </w:tc>
        <w:tc>
          <w:tcPr>
            <w:tcW w:w="2391" w:type="dxa"/>
            <w:shd w:val="clear" w:color="auto" w:fill="auto"/>
          </w:tcPr>
          <w:p w14:paraId="2B649C0E" w14:textId="4CB2CA1A"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11.19</w:t>
            </w:r>
          </w:p>
          <w:p w14:paraId="4DC39DBA" w14:textId="77777777" w:rsidR="006306E1" w:rsidRPr="00F428F2" w:rsidRDefault="006306E1" w:rsidP="00672C25">
            <w:pPr>
              <w:jc w:val="both"/>
              <w:rPr>
                <w:rFonts w:ascii="Arial" w:hAnsi="Arial" w:cs="Arial"/>
                <w:sz w:val="22"/>
                <w:szCs w:val="22"/>
                <w:lang w:val="es-ES"/>
              </w:rPr>
            </w:pPr>
          </w:p>
          <w:p w14:paraId="6A307C6A" w14:textId="477AF97D"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F428F2" w14:paraId="7C1E708A" w14:textId="77777777" w:rsidTr="00815B38">
        <w:trPr>
          <w:trHeight w:val="394"/>
        </w:trPr>
        <w:tc>
          <w:tcPr>
            <w:tcW w:w="6467" w:type="dxa"/>
            <w:shd w:val="clear" w:color="auto" w:fill="auto"/>
          </w:tcPr>
          <w:p w14:paraId="36BA910B" w14:textId="5008A145" w:rsidR="006306E1" w:rsidRPr="00F428F2" w:rsidRDefault="006306E1" w:rsidP="007F5C95">
            <w:pPr>
              <w:jc w:val="both"/>
              <w:rPr>
                <w:rFonts w:ascii="Arial" w:hAnsi="Arial" w:cs="Arial"/>
                <w:sz w:val="22"/>
                <w:szCs w:val="17"/>
                <w:lang w:val="es-ES"/>
              </w:rPr>
            </w:pPr>
            <w:r w:rsidRPr="00F428F2">
              <w:rPr>
                <w:rFonts w:ascii="Arial" w:hAnsi="Arial" w:cs="Arial"/>
                <w:i/>
                <w:sz w:val="22"/>
                <w:szCs w:val="17"/>
                <w:lang w:val="es-ES"/>
              </w:rPr>
              <w:t>Reconociendo</w:t>
            </w:r>
            <w:r w:rsidRPr="00F428F2">
              <w:rPr>
                <w:rFonts w:ascii="Arial" w:hAnsi="Arial" w:cs="Arial"/>
                <w:sz w:val="22"/>
                <w:szCs w:val="17"/>
                <w:lang w:val="es-ES"/>
              </w:rPr>
              <w:t xml:space="preserve"> que la clasificación taxonómica empleada en los Apéndices de la Convención será más útil para las Partes si se estandariza mediante referencias nomenclaturales;</w:t>
            </w:r>
          </w:p>
        </w:tc>
        <w:tc>
          <w:tcPr>
            <w:tcW w:w="2391" w:type="dxa"/>
            <w:shd w:val="clear" w:color="auto" w:fill="auto"/>
          </w:tcPr>
          <w:p w14:paraId="202DAFB5" w14:textId="3CA8DA96"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Recomendación 6.1</w:t>
            </w:r>
          </w:p>
          <w:p w14:paraId="13BA7AFD" w14:textId="77777777" w:rsidR="006306E1" w:rsidRPr="00F428F2" w:rsidRDefault="006306E1" w:rsidP="00672C25">
            <w:pPr>
              <w:jc w:val="both"/>
              <w:rPr>
                <w:rFonts w:ascii="Arial" w:hAnsi="Arial" w:cs="Arial"/>
                <w:sz w:val="22"/>
                <w:szCs w:val="22"/>
                <w:lang w:val="es-ES"/>
              </w:rPr>
            </w:pPr>
          </w:p>
          <w:p w14:paraId="2E5B3574" w14:textId="5851D0ED"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Mantener</w:t>
            </w:r>
          </w:p>
        </w:tc>
      </w:tr>
      <w:tr w:rsidR="006306E1" w:rsidRPr="00451511" w14:paraId="5DED66A7" w14:textId="77777777" w:rsidTr="005B23E3">
        <w:tc>
          <w:tcPr>
            <w:tcW w:w="8858" w:type="dxa"/>
            <w:gridSpan w:val="2"/>
            <w:shd w:val="clear" w:color="auto" w:fill="D9D9D9" w:themeFill="background1" w:themeFillShade="D9"/>
          </w:tcPr>
          <w:p w14:paraId="22602B0F" w14:textId="77777777" w:rsidR="007B6345" w:rsidRPr="00F428F2" w:rsidRDefault="006306E1" w:rsidP="00EE04BC">
            <w:pPr>
              <w:jc w:val="center"/>
              <w:rPr>
                <w:rFonts w:ascii="Arial" w:hAnsi="Arial" w:cs="Arial"/>
                <w:bCs/>
                <w:sz w:val="22"/>
                <w:szCs w:val="22"/>
                <w:lang w:val="es-ES"/>
              </w:rPr>
            </w:pPr>
            <w:r w:rsidRPr="00F428F2">
              <w:rPr>
                <w:rFonts w:ascii="Arial" w:hAnsi="Arial" w:cs="Arial"/>
                <w:bCs/>
                <w:i/>
                <w:iCs/>
                <w:sz w:val="22"/>
                <w:szCs w:val="22"/>
                <w:lang w:val="es-ES"/>
              </w:rPr>
              <w:t>La Conferencia de las Partes de la</w:t>
            </w:r>
            <w:r w:rsidRPr="00F428F2">
              <w:rPr>
                <w:rFonts w:ascii="Arial" w:hAnsi="Arial" w:cs="Arial"/>
                <w:bCs/>
                <w:sz w:val="22"/>
                <w:szCs w:val="22"/>
                <w:lang w:val="es-ES"/>
              </w:rPr>
              <w:t xml:space="preserve"> </w:t>
            </w:r>
          </w:p>
          <w:p w14:paraId="30D7B2A6" w14:textId="7333B97F" w:rsidR="006306E1" w:rsidRPr="00F428F2" w:rsidRDefault="006306E1" w:rsidP="00EE04BC">
            <w:pPr>
              <w:jc w:val="center"/>
              <w:rPr>
                <w:rFonts w:ascii="Arial" w:hAnsi="Arial" w:cs="Arial"/>
                <w:sz w:val="22"/>
                <w:szCs w:val="22"/>
                <w:lang w:val="es-ES"/>
              </w:rPr>
            </w:pPr>
            <w:r w:rsidRPr="00F428F2">
              <w:rPr>
                <w:rFonts w:ascii="Arial" w:hAnsi="Arial" w:cs="Arial"/>
                <w:bCs/>
                <w:i/>
                <w:iCs/>
                <w:sz w:val="22"/>
                <w:szCs w:val="22"/>
                <w:lang w:val="es-ES"/>
              </w:rPr>
              <w:t>Convención sobre la Conservación de Especies Migratorias de Animales Silvestres</w:t>
            </w:r>
          </w:p>
        </w:tc>
      </w:tr>
      <w:tr w:rsidR="006306E1" w:rsidRPr="00451511" w14:paraId="0A0294CC" w14:textId="77777777" w:rsidTr="00815B38">
        <w:trPr>
          <w:trHeight w:val="376"/>
        </w:trPr>
        <w:tc>
          <w:tcPr>
            <w:tcW w:w="6467" w:type="dxa"/>
            <w:shd w:val="clear" w:color="auto" w:fill="auto"/>
          </w:tcPr>
          <w:p w14:paraId="3FA4E080" w14:textId="1B6157ED" w:rsidR="006306E1" w:rsidRPr="00F428F2" w:rsidRDefault="006306E1" w:rsidP="0074489A">
            <w:pPr>
              <w:jc w:val="both"/>
              <w:rPr>
                <w:rFonts w:ascii="Arial" w:hAnsi="Arial" w:cs="Arial"/>
                <w:sz w:val="22"/>
                <w:szCs w:val="17"/>
                <w:lang w:val="es-ES"/>
              </w:rPr>
            </w:pPr>
            <w:r w:rsidRPr="00F428F2">
              <w:rPr>
                <w:rFonts w:ascii="Arial" w:hAnsi="Arial" w:cs="Arial"/>
                <w:sz w:val="22"/>
                <w:szCs w:val="17"/>
                <w:lang w:val="es-ES"/>
              </w:rPr>
              <w:t xml:space="preserve">1. </w:t>
            </w:r>
            <w:r w:rsidRPr="00F428F2">
              <w:rPr>
                <w:rFonts w:ascii="Arial" w:hAnsi="Arial" w:cs="Arial"/>
                <w:strike/>
                <w:sz w:val="22"/>
                <w:szCs w:val="17"/>
                <w:lang w:val="es-ES"/>
              </w:rPr>
              <w:t>Recomienda que</w:t>
            </w:r>
            <w:r w:rsidRPr="00F428F2">
              <w:rPr>
                <w:rFonts w:ascii="Arial" w:hAnsi="Arial" w:cs="Arial"/>
                <w:sz w:val="22"/>
                <w:szCs w:val="17"/>
                <w:lang w:val="es-ES"/>
              </w:rPr>
              <w:t xml:space="preserve"> </w:t>
            </w:r>
            <w:r w:rsidR="0074489A" w:rsidRPr="00F428F2">
              <w:rPr>
                <w:rFonts w:ascii="Arial" w:hAnsi="Arial" w:cs="Arial"/>
                <w:sz w:val="22"/>
                <w:szCs w:val="17"/>
                <w:u w:val="single"/>
                <w:lang w:val="es-ES"/>
              </w:rPr>
              <w:t>Adopt</w:t>
            </w:r>
            <w:r w:rsidR="00FF5CD1" w:rsidRPr="00F428F2">
              <w:rPr>
                <w:rFonts w:ascii="Arial" w:hAnsi="Arial" w:cs="Arial"/>
                <w:sz w:val="22"/>
                <w:szCs w:val="17"/>
                <w:u w:val="single"/>
                <w:lang w:val="es-ES"/>
              </w:rPr>
              <w:t>a</w:t>
            </w:r>
            <w:r w:rsidR="0074489A" w:rsidRPr="00F428F2">
              <w:rPr>
                <w:rFonts w:ascii="Arial" w:hAnsi="Arial" w:cs="Arial"/>
                <w:sz w:val="22"/>
                <w:szCs w:val="17"/>
                <w:lang w:val="es-ES"/>
              </w:rPr>
              <w:t xml:space="preserve"> </w:t>
            </w:r>
            <w:r w:rsidRPr="00F428F2">
              <w:rPr>
                <w:rFonts w:ascii="Arial" w:hAnsi="Arial" w:cs="Arial"/>
                <w:sz w:val="22"/>
                <w:szCs w:val="17"/>
                <w:lang w:val="es-ES"/>
              </w:rPr>
              <w:t xml:space="preserve">la </w:t>
            </w:r>
            <w:r w:rsidR="00B55E97" w:rsidRPr="00F428F2">
              <w:rPr>
                <w:rFonts w:ascii="Arial" w:hAnsi="Arial" w:cs="Arial"/>
                <w:strike/>
                <w:sz w:val="22"/>
                <w:szCs w:val="17"/>
                <w:lang w:val="es-ES"/>
              </w:rPr>
              <w:t>siguiente</w:t>
            </w:r>
            <w:r w:rsidR="00B55E97" w:rsidRPr="00F428F2">
              <w:rPr>
                <w:rFonts w:ascii="Arial" w:hAnsi="Arial" w:cs="Arial"/>
                <w:sz w:val="22"/>
                <w:szCs w:val="17"/>
                <w:lang w:val="es-ES"/>
              </w:rPr>
              <w:t xml:space="preserve"> </w:t>
            </w:r>
            <w:r w:rsidRPr="00F428F2">
              <w:rPr>
                <w:rFonts w:ascii="Arial" w:hAnsi="Arial" w:cs="Arial"/>
                <w:sz w:val="22"/>
                <w:szCs w:val="17"/>
                <w:lang w:val="es-ES"/>
              </w:rPr>
              <w:t>lista de referencias estándar</w:t>
            </w:r>
            <w:r w:rsidR="0074489A" w:rsidRPr="00F428F2">
              <w:rPr>
                <w:rStyle w:val="FootnoteReference"/>
                <w:rFonts w:ascii="Arial" w:hAnsi="Arial"/>
                <w:sz w:val="22"/>
                <w:szCs w:val="17"/>
                <w:vertAlign w:val="superscript"/>
                <w:lang w:val="es-ES"/>
              </w:rPr>
              <w:footnoteReference w:customMarkFollows="1" w:id="1"/>
              <w:t>1</w:t>
            </w:r>
            <w:r w:rsidRPr="00F428F2">
              <w:rPr>
                <w:rFonts w:ascii="Arial" w:hAnsi="Arial" w:cs="Arial"/>
                <w:sz w:val="22"/>
                <w:szCs w:val="11"/>
                <w:vertAlign w:val="superscript"/>
                <w:lang w:val="es-ES"/>
              </w:rPr>
              <w:t xml:space="preserve"> </w:t>
            </w:r>
            <w:r w:rsidRPr="00F428F2">
              <w:rPr>
                <w:rFonts w:ascii="Arial" w:hAnsi="Arial" w:cs="Arial"/>
                <w:sz w:val="22"/>
                <w:szCs w:val="17"/>
                <w:lang w:val="es-ES"/>
              </w:rPr>
              <w:t xml:space="preserve">que </w:t>
            </w:r>
            <w:r w:rsidRPr="00F428F2">
              <w:rPr>
                <w:rFonts w:ascii="Arial" w:hAnsi="Arial" w:cs="Arial"/>
                <w:sz w:val="22"/>
                <w:szCs w:val="17"/>
                <w:u w:val="single"/>
                <w:lang w:val="es-ES"/>
              </w:rPr>
              <w:t xml:space="preserve">figura </w:t>
            </w:r>
            <w:r w:rsidR="00FF5CD1" w:rsidRPr="00F428F2">
              <w:rPr>
                <w:rFonts w:ascii="Arial" w:hAnsi="Arial" w:cs="Arial"/>
                <w:sz w:val="22"/>
                <w:szCs w:val="17"/>
                <w:u w:val="single"/>
                <w:lang w:val="es-ES"/>
              </w:rPr>
              <w:t>en</w:t>
            </w:r>
            <w:r w:rsidR="00B55E97" w:rsidRPr="00F428F2">
              <w:rPr>
                <w:rFonts w:ascii="Arial" w:hAnsi="Arial" w:cs="Arial"/>
                <w:sz w:val="22"/>
                <w:szCs w:val="17"/>
                <w:u w:val="single"/>
                <w:lang w:val="es-ES"/>
              </w:rPr>
              <w:t xml:space="preserve"> </w:t>
            </w:r>
            <w:r w:rsidR="00FF5CD1" w:rsidRPr="00F428F2">
              <w:rPr>
                <w:rFonts w:ascii="Arial" w:hAnsi="Arial" w:cs="Arial"/>
                <w:sz w:val="22"/>
                <w:szCs w:val="17"/>
                <w:u w:val="single"/>
                <w:lang w:val="es-ES"/>
              </w:rPr>
              <w:t>el Anexo</w:t>
            </w:r>
            <w:r w:rsidR="007155AD" w:rsidRPr="00F428F2">
              <w:rPr>
                <w:rFonts w:ascii="Arial" w:hAnsi="Arial" w:cs="Arial"/>
                <w:sz w:val="22"/>
                <w:szCs w:val="17"/>
                <w:u w:val="single"/>
                <w:lang w:val="es-ES"/>
              </w:rPr>
              <w:t xml:space="preserve"> </w:t>
            </w:r>
            <w:r w:rsidRPr="00F428F2">
              <w:rPr>
                <w:rFonts w:ascii="Arial" w:hAnsi="Arial" w:cs="Arial"/>
                <w:sz w:val="22"/>
                <w:szCs w:val="17"/>
                <w:lang w:val="es-ES"/>
              </w:rPr>
              <w:t>se reconozca y se utilice como fundamento sobre cuya base se elaboran los Apéndices y las enmiendas de la misma:</w:t>
            </w:r>
          </w:p>
        </w:tc>
        <w:tc>
          <w:tcPr>
            <w:tcW w:w="2391" w:type="dxa"/>
            <w:shd w:val="clear" w:color="auto" w:fill="auto"/>
          </w:tcPr>
          <w:p w14:paraId="20B3B1AA" w14:textId="228AD7F8"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6.1</w:t>
            </w:r>
          </w:p>
          <w:p w14:paraId="28B38B78" w14:textId="77777777" w:rsidR="006306E1" w:rsidRPr="00F428F2" w:rsidRDefault="006306E1" w:rsidP="00672C25">
            <w:pPr>
              <w:rPr>
                <w:rFonts w:ascii="Arial" w:hAnsi="Arial" w:cs="Arial"/>
                <w:sz w:val="22"/>
                <w:szCs w:val="22"/>
                <w:lang w:val="es-ES"/>
              </w:rPr>
            </w:pPr>
          </w:p>
          <w:p w14:paraId="334570BB" w14:textId="30292522" w:rsidR="006306E1" w:rsidRPr="00F428F2" w:rsidRDefault="00FF5CD1" w:rsidP="00EE04BC">
            <w:pPr>
              <w:jc w:val="both"/>
              <w:rPr>
                <w:rFonts w:ascii="Arial" w:hAnsi="Arial" w:cs="Arial"/>
                <w:sz w:val="22"/>
                <w:szCs w:val="22"/>
                <w:lang w:val="es-ES"/>
              </w:rPr>
            </w:pPr>
            <w:r w:rsidRPr="00F428F2">
              <w:rPr>
                <w:rFonts w:ascii="Arial" w:hAnsi="Arial" w:cs="Arial"/>
                <w:sz w:val="22"/>
                <w:szCs w:val="22"/>
                <w:lang w:val="es-ES"/>
              </w:rPr>
              <w:t>Mantener con el nuevo texto para reflejar la consolidación</w:t>
            </w:r>
          </w:p>
        </w:tc>
      </w:tr>
      <w:tr w:rsidR="006306E1" w:rsidRPr="00F428F2" w14:paraId="34A13471" w14:textId="77777777" w:rsidTr="00815B38">
        <w:trPr>
          <w:trHeight w:val="619"/>
        </w:trPr>
        <w:tc>
          <w:tcPr>
            <w:tcW w:w="6467" w:type="dxa"/>
            <w:shd w:val="clear" w:color="auto" w:fill="auto"/>
          </w:tcPr>
          <w:p w14:paraId="74A7FA0A" w14:textId="35A76F42"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3. </w:t>
            </w:r>
            <w:r w:rsidRPr="00F428F2">
              <w:rPr>
                <w:rFonts w:ascii="Arial" w:hAnsi="Arial" w:cs="Arial"/>
                <w:i/>
                <w:iCs/>
                <w:strike/>
                <w:sz w:val="22"/>
                <w:szCs w:val="17"/>
                <w:lang w:val="es-ES"/>
              </w:rPr>
              <w:t xml:space="preserve">Solicita </w:t>
            </w:r>
            <w:r w:rsidRPr="00F428F2">
              <w:rPr>
                <w:rFonts w:ascii="Arial" w:hAnsi="Arial" w:cs="Arial"/>
                <w:strike/>
                <w:sz w:val="22"/>
                <w:szCs w:val="17"/>
                <w:lang w:val="es-ES"/>
              </w:rPr>
              <w:t>al Consejo Científico considerar las implicaciones de adoptar en el futuro el Handbook of the Birds of the World/BirdLife International Illustrated Checklist of the Birds of the World, Volume 2: Passerines, cuya publicación está prevista para 2016 como referencia normalizada para la taxonomía y nomenclatura de aves paseriformes; </w:t>
            </w:r>
          </w:p>
        </w:tc>
        <w:tc>
          <w:tcPr>
            <w:tcW w:w="2391" w:type="dxa"/>
            <w:shd w:val="clear" w:color="auto" w:fill="auto"/>
          </w:tcPr>
          <w:p w14:paraId="3E04F4D6" w14:textId="5ACA5686"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5F318D68" w14:textId="77777777" w:rsidR="006306E1" w:rsidRPr="00F428F2" w:rsidRDefault="006306E1" w:rsidP="00672C25">
            <w:pPr>
              <w:rPr>
                <w:rFonts w:ascii="Arial" w:hAnsi="Arial" w:cs="Arial"/>
                <w:sz w:val="22"/>
                <w:szCs w:val="22"/>
                <w:lang w:val="es-ES"/>
              </w:rPr>
            </w:pPr>
          </w:p>
          <w:p w14:paraId="6B303D01" w14:textId="7750FA72"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085D11ED" w14:textId="77777777" w:rsidTr="00815B38">
        <w:tc>
          <w:tcPr>
            <w:tcW w:w="6467" w:type="dxa"/>
            <w:shd w:val="clear" w:color="auto" w:fill="auto"/>
          </w:tcPr>
          <w:p w14:paraId="2765AE3E" w14:textId="59BEAA9D" w:rsidR="006306E1" w:rsidRPr="00F428F2" w:rsidRDefault="006306E1" w:rsidP="007155AD">
            <w:pPr>
              <w:jc w:val="both"/>
              <w:rPr>
                <w:rFonts w:ascii="Arial" w:hAnsi="Arial" w:cs="Arial"/>
                <w:sz w:val="22"/>
                <w:szCs w:val="17"/>
                <w:lang w:val="es-ES"/>
              </w:rPr>
            </w:pPr>
            <w:r w:rsidRPr="00F428F2">
              <w:rPr>
                <w:rFonts w:ascii="Arial" w:hAnsi="Arial" w:cs="Arial"/>
                <w:strike/>
                <w:sz w:val="22"/>
                <w:szCs w:val="17"/>
                <w:lang w:val="es-ES"/>
              </w:rPr>
              <w:t xml:space="preserve">3. </w:t>
            </w:r>
            <w:r w:rsidRPr="00F428F2">
              <w:rPr>
                <w:rFonts w:ascii="Arial" w:hAnsi="Arial" w:cs="Arial"/>
                <w:i/>
                <w:strike/>
                <w:sz w:val="22"/>
                <w:szCs w:val="17"/>
                <w:lang w:val="es-ES"/>
              </w:rPr>
              <w:t>Solicita</w:t>
            </w:r>
            <w:r w:rsidRPr="00F428F2">
              <w:rPr>
                <w:rFonts w:ascii="Arial" w:hAnsi="Arial" w:cs="Arial"/>
                <w:strike/>
                <w:sz w:val="22"/>
                <w:szCs w:val="17"/>
                <w:lang w:val="es-ES"/>
              </w:rPr>
              <w:t xml:space="preserve"> al Consejo Científico examinar las implicaciones de la adopción de la Lista Completa de Howard y Moore de las Aves del Mundo. Dickinson, EC (ed.) (2003). Revisada y ampliada, 3ª Edición. Londres (Christopher Helm), junto con la Corrigenda 4 del autor (02.06.2005) a la Edición 3 de Howard y Moore (2003), como la nomenclatura estándar de referencia de la Convención </w:t>
            </w:r>
            <w:r w:rsidRPr="00F428F2">
              <w:rPr>
                <w:rFonts w:ascii="Arial" w:hAnsi="Arial" w:cs="Arial"/>
                <w:strike/>
                <w:sz w:val="22"/>
                <w:szCs w:val="17"/>
                <w:lang w:val="es-ES"/>
              </w:rPr>
              <w:lastRenderedPageBreak/>
              <w:t>para las aves en su 16ª reunión e informar a la 10ª reunión de la Conferencia de las</w:t>
            </w:r>
            <w:r w:rsidR="007155AD" w:rsidRPr="00F428F2">
              <w:rPr>
                <w:rFonts w:ascii="Arial" w:hAnsi="Arial" w:cs="Arial"/>
                <w:strike/>
                <w:sz w:val="22"/>
                <w:szCs w:val="17"/>
                <w:lang w:val="es-ES"/>
              </w:rPr>
              <w:t xml:space="preserve"> </w:t>
            </w:r>
            <w:r w:rsidRPr="00F428F2">
              <w:rPr>
                <w:rFonts w:ascii="Arial" w:hAnsi="Arial" w:cs="Arial"/>
                <w:strike/>
                <w:sz w:val="22"/>
                <w:szCs w:val="17"/>
                <w:lang w:val="es-ES"/>
              </w:rPr>
              <w:t>Partes</w:t>
            </w:r>
            <w:r w:rsidRPr="00F428F2">
              <w:rPr>
                <w:rFonts w:ascii="Arial" w:hAnsi="Arial" w:cs="Arial"/>
                <w:sz w:val="22"/>
                <w:szCs w:val="17"/>
                <w:lang w:val="es-ES"/>
              </w:rPr>
              <w:t>;</w:t>
            </w:r>
          </w:p>
        </w:tc>
        <w:tc>
          <w:tcPr>
            <w:tcW w:w="2391" w:type="dxa"/>
            <w:shd w:val="clear" w:color="auto" w:fill="auto"/>
          </w:tcPr>
          <w:p w14:paraId="35F04B09" w14:textId="702CD845"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lastRenderedPageBreak/>
              <w:t>Recomendación 9.4</w:t>
            </w:r>
          </w:p>
          <w:p w14:paraId="5E7B5BA1" w14:textId="77777777" w:rsidR="006306E1" w:rsidRPr="00F428F2" w:rsidRDefault="006306E1" w:rsidP="00672C25">
            <w:pPr>
              <w:rPr>
                <w:rFonts w:ascii="Arial" w:hAnsi="Arial" w:cs="Arial"/>
                <w:sz w:val="22"/>
                <w:szCs w:val="22"/>
                <w:lang w:val="es-ES"/>
              </w:rPr>
            </w:pPr>
          </w:p>
          <w:p w14:paraId="02DA362D" w14:textId="69538A59" w:rsidR="006306E1" w:rsidRPr="00F428F2" w:rsidRDefault="006306E1" w:rsidP="00EE04BC">
            <w:pPr>
              <w:jc w:val="both"/>
              <w:rPr>
                <w:rFonts w:ascii="Arial" w:hAnsi="Arial" w:cs="Arial"/>
                <w:i/>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364948D5" w14:textId="77777777" w:rsidTr="00815B38">
        <w:trPr>
          <w:trHeight w:val="448"/>
        </w:trPr>
        <w:tc>
          <w:tcPr>
            <w:tcW w:w="6467" w:type="dxa"/>
            <w:shd w:val="clear" w:color="auto" w:fill="auto"/>
          </w:tcPr>
          <w:p w14:paraId="5A3ECD4B" w14:textId="6E20604C"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4. </w:t>
            </w:r>
            <w:r w:rsidRPr="00F428F2">
              <w:rPr>
                <w:rFonts w:ascii="Arial" w:hAnsi="Arial" w:cs="Arial"/>
                <w:i/>
                <w:strike/>
                <w:sz w:val="22"/>
                <w:szCs w:val="17"/>
                <w:lang w:val="es-ES"/>
              </w:rPr>
              <w:t>Solicita asimismo</w:t>
            </w:r>
            <w:r w:rsidRPr="00F428F2">
              <w:rPr>
                <w:rFonts w:ascii="Arial" w:hAnsi="Arial" w:cs="Arial"/>
                <w:strike/>
                <w:sz w:val="22"/>
                <w:szCs w:val="17"/>
                <w:lang w:val="es-ES"/>
              </w:rPr>
              <w:t xml:space="preserve"> al Consejo Científico examinar las </w:t>
            </w:r>
            <w:r w:rsidR="00F428F2" w:rsidRPr="00F428F2">
              <w:rPr>
                <w:rFonts w:ascii="Arial" w:hAnsi="Arial" w:cs="Arial"/>
                <w:strike/>
                <w:sz w:val="22"/>
                <w:szCs w:val="17"/>
                <w:lang w:val="es-ES"/>
              </w:rPr>
              <w:t>implicaciones</w:t>
            </w:r>
            <w:r w:rsidRPr="00F428F2">
              <w:rPr>
                <w:rFonts w:ascii="Arial" w:hAnsi="Arial" w:cs="Arial"/>
                <w:strike/>
                <w:sz w:val="22"/>
                <w:szCs w:val="17"/>
                <w:lang w:val="es-ES"/>
              </w:rPr>
              <w:t xml:space="preserve"> de la adopción de la lista taxonómica aprobada para su inclusión en el Anexo I de ACAP como nomenclatura estándar de referencia de la Convención para los albatros y grandes petreles, y considerar otros Acuerdos de la CMS pertinentes en el proceso de </w:t>
            </w:r>
            <w:r w:rsidR="00F428F2" w:rsidRPr="00F428F2">
              <w:rPr>
                <w:rFonts w:ascii="Arial" w:hAnsi="Arial" w:cs="Arial"/>
                <w:strike/>
                <w:sz w:val="22"/>
                <w:szCs w:val="17"/>
                <w:lang w:val="es-ES"/>
              </w:rPr>
              <w:t>armonización</w:t>
            </w:r>
            <w:r w:rsidRPr="00F428F2">
              <w:rPr>
                <w:rFonts w:ascii="Arial" w:hAnsi="Arial" w:cs="Arial"/>
                <w:strike/>
                <w:sz w:val="22"/>
                <w:szCs w:val="17"/>
                <w:lang w:val="es-ES"/>
              </w:rPr>
              <w:t xml:space="preserve"> de las referencias de taxonomía y de nomenclatura;</w:t>
            </w:r>
          </w:p>
        </w:tc>
        <w:tc>
          <w:tcPr>
            <w:tcW w:w="2391" w:type="dxa"/>
            <w:shd w:val="clear" w:color="auto" w:fill="auto"/>
          </w:tcPr>
          <w:p w14:paraId="1C5FB9A9" w14:textId="40B3559B"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9.4</w:t>
            </w:r>
          </w:p>
          <w:p w14:paraId="1F625952" w14:textId="77777777" w:rsidR="006306E1" w:rsidRPr="00F428F2" w:rsidRDefault="006306E1" w:rsidP="00672C25">
            <w:pPr>
              <w:rPr>
                <w:rFonts w:ascii="Arial" w:hAnsi="Arial" w:cs="Arial"/>
                <w:sz w:val="22"/>
                <w:szCs w:val="22"/>
                <w:lang w:val="es-ES"/>
              </w:rPr>
            </w:pPr>
          </w:p>
          <w:p w14:paraId="3656AD76" w14:textId="2ED69523"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r w:rsidRPr="00F428F2">
              <w:rPr>
                <w:rFonts w:ascii="Arial" w:hAnsi="Arial" w:cs="Arial"/>
                <w:sz w:val="22"/>
                <w:szCs w:val="22"/>
                <w:lang w:val="es-ES"/>
              </w:rPr>
              <w:t xml:space="preserve"> </w:t>
            </w:r>
          </w:p>
        </w:tc>
      </w:tr>
      <w:tr w:rsidR="006306E1" w:rsidRPr="00451511" w14:paraId="7C7390B4" w14:textId="77777777" w:rsidTr="00815B38">
        <w:trPr>
          <w:trHeight w:val="583"/>
        </w:trPr>
        <w:tc>
          <w:tcPr>
            <w:tcW w:w="6467" w:type="dxa"/>
            <w:shd w:val="clear" w:color="auto" w:fill="auto"/>
          </w:tcPr>
          <w:p w14:paraId="1A0A183C" w14:textId="4F444FAC" w:rsidR="006306E1" w:rsidRPr="00F428F2" w:rsidRDefault="006306E1" w:rsidP="00746D0E">
            <w:pPr>
              <w:jc w:val="both"/>
              <w:rPr>
                <w:rFonts w:ascii="Arial" w:hAnsi="Arial" w:cs="Arial"/>
                <w:sz w:val="22"/>
                <w:szCs w:val="17"/>
                <w:lang w:val="es-ES"/>
              </w:rPr>
            </w:pPr>
            <w:r w:rsidRPr="00F428F2">
              <w:rPr>
                <w:rFonts w:ascii="Arial" w:hAnsi="Arial" w:cs="Arial"/>
                <w:strike/>
                <w:sz w:val="22"/>
                <w:szCs w:val="17"/>
                <w:lang w:val="es-ES"/>
              </w:rPr>
              <w:t>4.</w:t>
            </w:r>
            <w:r w:rsidRPr="00F428F2">
              <w:rPr>
                <w:rFonts w:ascii="Arial" w:hAnsi="Arial" w:cs="Arial"/>
                <w:sz w:val="22"/>
                <w:szCs w:val="17"/>
                <w:lang w:val="es-ES"/>
              </w:rPr>
              <w:t xml:space="preserve"> </w:t>
            </w:r>
            <w:r w:rsidR="007155AD" w:rsidRPr="00F428F2">
              <w:rPr>
                <w:rFonts w:ascii="Arial" w:hAnsi="Arial" w:cs="Arial"/>
                <w:sz w:val="22"/>
                <w:szCs w:val="17"/>
                <w:u w:val="single"/>
                <w:lang w:val="es-ES"/>
              </w:rPr>
              <w:t xml:space="preserve">2. </w:t>
            </w:r>
            <w:r w:rsidRPr="00F428F2">
              <w:rPr>
                <w:rFonts w:ascii="Arial" w:hAnsi="Arial" w:cs="Arial"/>
                <w:i/>
                <w:iCs/>
                <w:sz w:val="22"/>
                <w:szCs w:val="17"/>
                <w:lang w:val="es-ES"/>
              </w:rPr>
              <w:t xml:space="preserve">Reafirma </w:t>
            </w:r>
            <w:r w:rsidRPr="00F428F2">
              <w:rPr>
                <w:rFonts w:ascii="Arial" w:hAnsi="Arial" w:cs="Arial"/>
                <w:sz w:val="22"/>
                <w:szCs w:val="17"/>
                <w:lang w:val="es-ES"/>
              </w:rPr>
              <w:t>las normas adoptadas por la Convención para el tratamiento de los casos de sinonimia, de división y agregación de especies (agrupación) como resultado de un cambio de referencia de nomenclatura normalizada, de la siguiente manera: </w:t>
            </w:r>
          </w:p>
          <w:p w14:paraId="105081ED" w14:textId="77777777" w:rsidR="006306E1" w:rsidRPr="00F428F2" w:rsidRDefault="006306E1" w:rsidP="00746D0E">
            <w:pPr>
              <w:jc w:val="both"/>
              <w:rPr>
                <w:rFonts w:ascii="Arial" w:hAnsi="Arial" w:cs="Arial"/>
                <w:sz w:val="22"/>
                <w:szCs w:val="17"/>
                <w:lang w:val="es-ES"/>
              </w:rPr>
            </w:pPr>
          </w:p>
          <w:p w14:paraId="7B95298D" w14:textId="77777777" w:rsidR="006306E1" w:rsidRPr="00F428F2" w:rsidRDefault="006306E1" w:rsidP="00746D0E">
            <w:pPr>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Sinonimia: se pueden hacer correcciones de forma automática ya que no hay cambio de estatus de ninguna población incluida en los Apéndices; </w:t>
            </w:r>
          </w:p>
          <w:p w14:paraId="2467F8DD" w14:textId="77777777" w:rsidR="006306E1" w:rsidRPr="00F428F2" w:rsidRDefault="006306E1" w:rsidP="00746D0E">
            <w:pPr>
              <w:jc w:val="both"/>
              <w:rPr>
                <w:rFonts w:ascii="Arial" w:hAnsi="Arial" w:cs="Arial"/>
                <w:sz w:val="22"/>
                <w:szCs w:val="17"/>
                <w:lang w:val="es-ES"/>
              </w:rPr>
            </w:pPr>
          </w:p>
          <w:p w14:paraId="43C30CD4" w14:textId="77777777" w:rsidR="006306E1" w:rsidRPr="00F428F2" w:rsidRDefault="006306E1" w:rsidP="00746D0E">
            <w:pPr>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División: cuando un taxón listado se divide en dos o más, cada uno de los taxones resultante conserva el estatus del antiguo taxón agregado; </w:t>
            </w:r>
          </w:p>
          <w:p w14:paraId="2CCFF2FD" w14:textId="77777777" w:rsidR="006306E1" w:rsidRPr="00F428F2" w:rsidRDefault="006306E1" w:rsidP="00746D0E">
            <w:pPr>
              <w:jc w:val="both"/>
              <w:rPr>
                <w:rFonts w:ascii="Arial" w:hAnsi="Arial" w:cs="Arial"/>
                <w:sz w:val="22"/>
                <w:szCs w:val="17"/>
                <w:lang w:val="es-ES"/>
              </w:rPr>
            </w:pPr>
          </w:p>
          <w:p w14:paraId="772888D0" w14:textId="46D7C34E" w:rsidR="006306E1" w:rsidRPr="00F428F2" w:rsidRDefault="006306E1" w:rsidP="00746D0E">
            <w:pPr>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Agregación (fusión): Si un taxón que figura en el Apéndices I o Apéndice II de la Convención se fusiona con uno o más taxones no incluidos en los Apéndices, bajo su nombre o bajo uno de los taxones no incluidos, el taxón agregado entero se incluirá en el Apéndice que cubría originalmente el taxón, reducido, en todos los casos en que la entidad no incluida, y así añadida, tenga un estado de conservación igual o peor que uno de los taxones mencionados anteriormente. En los demás casos, se presentará una restricción taxonómica o geográfica, previo examen del Consejo Científico y de la Conferencia de las Partes de las propuestas para la extensión de la inclusión en los Apéndices; </w:t>
            </w:r>
          </w:p>
        </w:tc>
        <w:tc>
          <w:tcPr>
            <w:tcW w:w="2391" w:type="dxa"/>
            <w:shd w:val="clear" w:color="auto" w:fill="auto"/>
          </w:tcPr>
          <w:p w14:paraId="50A2C0FE" w14:textId="3252FE9E"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0ED2BEA5" w14:textId="77777777" w:rsidR="006306E1" w:rsidRPr="00F428F2" w:rsidRDefault="006306E1" w:rsidP="00672C25">
            <w:pPr>
              <w:rPr>
                <w:rFonts w:ascii="Arial" w:hAnsi="Arial" w:cs="Arial"/>
                <w:sz w:val="22"/>
                <w:szCs w:val="22"/>
                <w:lang w:val="es-ES"/>
              </w:rPr>
            </w:pPr>
          </w:p>
          <w:p w14:paraId="691597F5" w14:textId="3DE67FF3" w:rsidR="006306E1" w:rsidRPr="00F428F2" w:rsidRDefault="006306E1" w:rsidP="006D11D3">
            <w:pPr>
              <w:jc w:val="both"/>
              <w:rPr>
                <w:rFonts w:ascii="Arial" w:hAnsi="Arial" w:cs="Arial"/>
                <w:sz w:val="22"/>
                <w:szCs w:val="22"/>
                <w:lang w:val="es-ES"/>
              </w:rPr>
            </w:pPr>
            <w:r w:rsidRPr="00F428F2">
              <w:rPr>
                <w:rFonts w:ascii="Arial" w:hAnsi="Arial" w:cs="Arial"/>
                <w:sz w:val="22"/>
                <w:szCs w:val="22"/>
                <w:lang w:val="es-ES"/>
              </w:rPr>
              <w:t xml:space="preserve">Mantener. </w:t>
            </w:r>
            <w:r w:rsidR="00FF5CD1" w:rsidRPr="00F428F2">
              <w:rPr>
                <w:rFonts w:ascii="Arial" w:hAnsi="Arial" w:cs="Arial"/>
                <w:sz w:val="22"/>
                <w:szCs w:val="22"/>
                <w:lang w:val="es-ES"/>
              </w:rPr>
              <w:t>A pesar de que la Resolución 11.19 se aplica también a aves, estas reglas generales son más ampliamente aplicables.</w:t>
            </w:r>
          </w:p>
        </w:tc>
      </w:tr>
      <w:tr w:rsidR="006306E1" w:rsidRPr="00F428F2" w14:paraId="15A10C3E" w14:textId="77777777" w:rsidTr="00815B38">
        <w:trPr>
          <w:trHeight w:val="808"/>
        </w:trPr>
        <w:tc>
          <w:tcPr>
            <w:tcW w:w="6467" w:type="dxa"/>
            <w:shd w:val="clear" w:color="auto" w:fill="auto"/>
          </w:tcPr>
          <w:p w14:paraId="0DF8AC64"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2. </w:t>
            </w:r>
            <w:r w:rsidRPr="00F428F2">
              <w:rPr>
                <w:rFonts w:ascii="Arial" w:hAnsi="Arial" w:cs="Arial"/>
                <w:i/>
                <w:iCs/>
                <w:strike/>
                <w:sz w:val="22"/>
                <w:szCs w:val="17"/>
                <w:lang w:val="es-ES"/>
              </w:rPr>
              <w:t xml:space="preserve">Adopta </w:t>
            </w:r>
            <w:r w:rsidRPr="00F428F2">
              <w:rPr>
                <w:rFonts w:ascii="Arial" w:hAnsi="Arial" w:cs="Arial"/>
                <w:strike/>
                <w:sz w:val="22"/>
                <w:szCs w:val="17"/>
                <w:lang w:val="es-ES"/>
              </w:rPr>
              <w:t>la norma para los casos de agregación a fin de que se tenga en cuenta el estado de conservación de la especie que se fusiona o agrega y el estado de la especie componente fusionada, cuyo texto es el siguiente: </w:t>
            </w:r>
          </w:p>
          <w:p w14:paraId="62300C58" w14:textId="77777777" w:rsidR="006306E1" w:rsidRPr="00F428F2" w:rsidRDefault="006306E1" w:rsidP="00746D0E">
            <w:pPr>
              <w:jc w:val="both"/>
              <w:rPr>
                <w:rFonts w:ascii="Arial" w:hAnsi="Arial" w:cs="Arial"/>
                <w:i/>
                <w:iCs/>
                <w:strike/>
                <w:sz w:val="22"/>
                <w:szCs w:val="17"/>
                <w:lang w:val="es-ES"/>
              </w:rPr>
            </w:pPr>
          </w:p>
          <w:p w14:paraId="5CE50D0F" w14:textId="71F100B5" w:rsidR="006306E1" w:rsidRPr="00F428F2" w:rsidRDefault="006306E1" w:rsidP="00B55E97">
            <w:pPr>
              <w:ind w:left="330"/>
              <w:jc w:val="both"/>
              <w:rPr>
                <w:rFonts w:ascii="Arial" w:hAnsi="Arial" w:cs="Arial"/>
                <w:sz w:val="22"/>
                <w:szCs w:val="17"/>
                <w:lang w:val="es-ES"/>
              </w:rPr>
            </w:pPr>
            <w:r w:rsidRPr="00F428F2">
              <w:rPr>
                <w:rFonts w:ascii="Arial" w:hAnsi="Arial" w:cs="Arial"/>
                <w:i/>
                <w:iCs/>
                <w:strike/>
                <w:sz w:val="22"/>
                <w:szCs w:val="17"/>
                <w:lang w:val="es-ES"/>
              </w:rPr>
              <w:t>Si, como resultado de un cambio de referencia estándar de nomenclatura aprobada por la Conferencia de las Partes, un taxón que figura en el Apéndices I o Apéndice II de la Convención se fusiona con uno o más taxones no incluidos en los Apéndices, bajo su nombre o bajo uno de los taxones no incluidos, el taxón agregado entero se incluirá en el Apéndice que cubría originalmente el taxón, reducido, en todos los casos en que la entidad no incluida, y así añadida, tenga un estado de conservación igual o peor que uno de los taxones mencionados anteriormente. En los demás casos, se presentará una restricción taxonómica o geográfica, previo examen del Consejo Científico y de la Conferencia de las Partes de las posibles propuestas adecuadas para la extensión de la inclusión en los Apéndices. </w:t>
            </w:r>
          </w:p>
        </w:tc>
        <w:tc>
          <w:tcPr>
            <w:tcW w:w="2391" w:type="dxa"/>
            <w:shd w:val="clear" w:color="auto" w:fill="auto"/>
          </w:tcPr>
          <w:p w14:paraId="04D3DCB0" w14:textId="7BB4F785" w:rsidR="006306E1" w:rsidRPr="00F428F2" w:rsidRDefault="006306E1" w:rsidP="00672C25">
            <w:pPr>
              <w:jc w:val="both"/>
              <w:rPr>
                <w:rFonts w:ascii="Arial" w:hAnsi="Arial" w:cs="Arial"/>
                <w:sz w:val="22"/>
                <w:szCs w:val="22"/>
                <w:lang w:val="es-ES"/>
              </w:rPr>
            </w:pPr>
            <w:r w:rsidRPr="00F428F2">
              <w:rPr>
                <w:rFonts w:ascii="Arial" w:hAnsi="Arial" w:cs="Arial"/>
                <w:sz w:val="22"/>
                <w:szCs w:val="22"/>
                <w:lang w:val="es-ES"/>
              </w:rPr>
              <w:t>Resolución 10.13</w:t>
            </w:r>
          </w:p>
          <w:p w14:paraId="4EC60DB9" w14:textId="77777777" w:rsidR="006306E1" w:rsidRPr="00F428F2" w:rsidRDefault="006306E1" w:rsidP="00672C25">
            <w:pPr>
              <w:jc w:val="both"/>
              <w:rPr>
                <w:rFonts w:ascii="Arial" w:hAnsi="Arial" w:cs="Arial"/>
                <w:sz w:val="22"/>
                <w:szCs w:val="22"/>
                <w:lang w:val="es-ES"/>
              </w:rPr>
            </w:pPr>
          </w:p>
          <w:p w14:paraId="6BA0DF3D" w14:textId="5A51E032"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redundante</w:t>
            </w:r>
          </w:p>
        </w:tc>
      </w:tr>
      <w:tr w:rsidR="006306E1" w:rsidRPr="00451511" w14:paraId="017CC0B2" w14:textId="77777777" w:rsidTr="00815B38">
        <w:trPr>
          <w:trHeight w:val="808"/>
        </w:trPr>
        <w:tc>
          <w:tcPr>
            <w:tcW w:w="6467" w:type="dxa"/>
            <w:shd w:val="clear" w:color="auto" w:fill="auto"/>
          </w:tcPr>
          <w:p w14:paraId="1EF04FB3" w14:textId="0FCDBD65"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lastRenderedPageBreak/>
              <w:t xml:space="preserve">5. </w:t>
            </w:r>
            <w:r w:rsidRPr="00F428F2">
              <w:rPr>
                <w:rFonts w:ascii="Arial" w:hAnsi="Arial" w:cs="Arial"/>
                <w:i/>
                <w:iCs/>
                <w:strike/>
                <w:sz w:val="22"/>
                <w:szCs w:val="17"/>
                <w:lang w:val="es-ES"/>
              </w:rPr>
              <w:t xml:space="preserve">Encarga </w:t>
            </w:r>
            <w:r w:rsidRPr="00F428F2">
              <w:rPr>
                <w:rFonts w:ascii="Arial" w:hAnsi="Arial" w:cs="Arial"/>
                <w:strike/>
                <w:sz w:val="22"/>
                <w:szCs w:val="17"/>
                <w:lang w:val="es-ES"/>
              </w:rPr>
              <w:t>a la Secretaría que, en consulta con el Consejo Científico y el Depositario, adapte los Apéndices de la CMS de acuerdo con la nueva referencia de aves adoptada y las reglas descritas anteriormente; </w:t>
            </w:r>
          </w:p>
        </w:tc>
        <w:tc>
          <w:tcPr>
            <w:tcW w:w="2391" w:type="dxa"/>
            <w:shd w:val="clear" w:color="auto" w:fill="auto"/>
          </w:tcPr>
          <w:p w14:paraId="457A5A38" w14:textId="5E3DE0AA"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01E3DF67" w14:textId="77777777" w:rsidR="006306E1" w:rsidRPr="00F428F2" w:rsidRDefault="006306E1" w:rsidP="00672C25">
            <w:pPr>
              <w:rPr>
                <w:rFonts w:ascii="Arial" w:hAnsi="Arial" w:cs="Arial"/>
                <w:sz w:val="22"/>
                <w:szCs w:val="22"/>
                <w:lang w:val="es-ES"/>
              </w:rPr>
            </w:pPr>
          </w:p>
          <w:p w14:paraId="042E5B99" w14:textId="6A4FA004" w:rsidR="006306E1" w:rsidRPr="00F428F2" w:rsidRDefault="00827C30" w:rsidP="00EE04BC">
            <w:pPr>
              <w:jc w:val="both"/>
              <w:rPr>
                <w:rFonts w:ascii="Arial" w:hAnsi="Arial" w:cs="Arial"/>
                <w:sz w:val="22"/>
                <w:szCs w:val="22"/>
                <w:lang w:val="es-ES"/>
              </w:rPr>
            </w:pPr>
            <w:r w:rsidRPr="00F428F2">
              <w:rPr>
                <w:rFonts w:ascii="Arial" w:hAnsi="Arial" w:cs="Arial"/>
                <w:sz w:val="22"/>
                <w:szCs w:val="22"/>
                <w:lang w:val="es-ES"/>
              </w:rPr>
              <w:t>Revocar; convertir en Decisión ya que el trabajo no se ha realizado</w:t>
            </w:r>
          </w:p>
        </w:tc>
      </w:tr>
      <w:tr w:rsidR="006306E1" w:rsidRPr="00F428F2" w14:paraId="3D2BF4CF" w14:textId="77777777" w:rsidTr="00815B38">
        <w:trPr>
          <w:trHeight w:val="646"/>
        </w:trPr>
        <w:tc>
          <w:tcPr>
            <w:tcW w:w="6467" w:type="dxa"/>
            <w:shd w:val="clear" w:color="auto" w:fill="auto"/>
          </w:tcPr>
          <w:p w14:paraId="4C6D5BA8" w14:textId="34E99874"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3. </w:t>
            </w:r>
            <w:r w:rsidRPr="00F428F2">
              <w:rPr>
                <w:rFonts w:ascii="Arial" w:hAnsi="Arial" w:cs="Arial"/>
                <w:i/>
                <w:iCs/>
                <w:strike/>
                <w:sz w:val="22"/>
                <w:szCs w:val="17"/>
                <w:lang w:val="es-ES"/>
              </w:rPr>
              <w:t xml:space="preserve">Solicita </w:t>
            </w:r>
            <w:r w:rsidRPr="00F428F2">
              <w:rPr>
                <w:rFonts w:ascii="Arial" w:hAnsi="Arial" w:cs="Arial"/>
                <w:strike/>
                <w:sz w:val="22"/>
                <w:szCs w:val="17"/>
                <w:lang w:val="es-ES"/>
              </w:rPr>
              <w:t>al Presidente del Consejo Científico que se ponga en contacto con los presidentes de los órganos asesores científicos de las Convenciones relativas a la biodiversidad, las Secretarías de AAM relevantes, y organizaciones pertinentes incluyendo UICN, BirdLife International, Wetlands International and UNEP–CMCM con el objetivo de evaluar la posible adopción de una única nomenclatura y taxonomía para aves e informar al Consejo Científico en su reunión 18ª con miras a adoptar una Resolución apropiada en la COP11. </w:t>
            </w:r>
          </w:p>
        </w:tc>
        <w:tc>
          <w:tcPr>
            <w:tcW w:w="2391" w:type="dxa"/>
            <w:shd w:val="clear" w:color="auto" w:fill="auto"/>
          </w:tcPr>
          <w:p w14:paraId="3A932D45" w14:textId="785083FB"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10.13</w:t>
            </w:r>
          </w:p>
          <w:p w14:paraId="3B3C8E1A" w14:textId="77777777" w:rsidR="006306E1" w:rsidRPr="00F428F2" w:rsidRDefault="006306E1" w:rsidP="00672C25">
            <w:pPr>
              <w:rPr>
                <w:rFonts w:ascii="Arial" w:hAnsi="Arial" w:cs="Arial"/>
                <w:sz w:val="22"/>
                <w:szCs w:val="22"/>
                <w:lang w:val="es-ES"/>
              </w:rPr>
            </w:pPr>
          </w:p>
          <w:p w14:paraId="27B09AB6" w14:textId="5996E86D"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427AD637" w14:textId="77777777" w:rsidTr="00815B38">
        <w:trPr>
          <w:trHeight w:val="808"/>
        </w:trPr>
        <w:tc>
          <w:tcPr>
            <w:tcW w:w="6467" w:type="dxa"/>
            <w:shd w:val="clear" w:color="auto" w:fill="auto"/>
          </w:tcPr>
          <w:p w14:paraId="3C0A1E82" w14:textId="7E3F254B"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6. </w:t>
            </w:r>
            <w:r w:rsidRPr="00F428F2">
              <w:rPr>
                <w:rFonts w:ascii="Arial" w:hAnsi="Arial" w:cs="Arial"/>
                <w:i/>
                <w:iCs/>
                <w:strike/>
                <w:sz w:val="22"/>
                <w:szCs w:val="17"/>
                <w:lang w:val="es-ES"/>
              </w:rPr>
              <w:t xml:space="preserve">Encarga además </w:t>
            </w:r>
            <w:r w:rsidRPr="00F428F2">
              <w:rPr>
                <w:rFonts w:ascii="Arial" w:hAnsi="Arial" w:cs="Arial"/>
                <w:strike/>
                <w:sz w:val="22"/>
                <w:szCs w:val="17"/>
                <w:lang w:val="es-ES"/>
              </w:rPr>
              <w:t>a la Secretaría que transmita la presente Resolución a las secretarías de la CITES y la Convención de Ramsar para su consideración por parte de sus órganos científicos, y que siga en contacto con los instrumentos sobre aves de la CMS y las secretarías de los AAM, con miras al fortalecimiento de la armonización de las referencias taxonómicas; </w:t>
            </w:r>
          </w:p>
        </w:tc>
        <w:tc>
          <w:tcPr>
            <w:tcW w:w="2391" w:type="dxa"/>
            <w:shd w:val="clear" w:color="auto" w:fill="auto"/>
          </w:tcPr>
          <w:p w14:paraId="15AC45E9" w14:textId="21FA4B79"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0D02B87D" w14:textId="77777777" w:rsidR="006306E1" w:rsidRPr="00F428F2" w:rsidRDefault="006306E1" w:rsidP="00672C25">
            <w:pPr>
              <w:rPr>
                <w:rFonts w:ascii="Arial" w:hAnsi="Arial" w:cs="Arial"/>
                <w:sz w:val="22"/>
                <w:szCs w:val="22"/>
                <w:lang w:val="es-ES"/>
              </w:rPr>
            </w:pPr>
          </w:p>
          <w:p w14:paraId="6B41482D" w14:textId="5C69E755"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74B10B40" w14:textId="77777777" w:rsidTr="00815B38">
        <w:trPr>
          <w:trHeight w:val="808"/>
        </w:trPr>
        <w:tc>
          <w:tcPr>
            <w:tcW w:w="6467" w:type="dxa"/>
            <w:shd w:val="clear" w:color="auto" w:fill="auto"/>
          </w:tcPr>
          <w:p w14:paraId="7CA14EB0" w14:textId="52A6AB3C" w:rsidR="006306E1" w:rsidRPr="00F428F2" w:rsidRDefault="006306E1" w:rsidP="00746D0E">
            <w:pPr>
              <w:jc w:val="both"/>
              <w:rPr>
                <w:rFonts w:ascii="Arial" w:hAnsi="Arial" w:cs="Arial"/>
                <w:sz w:val="22"/>
                <w:szCs w:val="17"/>
                <w:lang w:val="es-ES"/>
              </w:rPr>
            </w:pPr>
            <w:r w:rsidRPr="00F428F2">
              <w:rPr>
                <w:rFonts w:ascii="Arial" w:hAnsi="Arial" w:cs="Arial"/>
                <w:strike/>
                <w:sz w:val="22"/>
                <w:szCs w:val="17"/>
                <w:lang w:val="es-ES"/>
              </w:rPr>
              <w:t>7</w:t>
            </w:r>
            <w:r w:rsidRPr="00F428F2">
              <w:rPr>
                <w:rFonts w:ascii="Arial" w:hAnsi="Arial" w:cs="Arial"/>
                <w:sz w:val="22"/>
                <w:szCs w:val="17"/>
                <w:lang w:val="es-ES"/>
              </w:rPr>
              <w:t>.</w:t>
            </w:r>
            <w:r w:rsidR="00A338D4" w:rsidRPr="00F428F2">
              <w:rPr>
                <w:rFonts w:ascii="Arial" w:hAnsi="Arial" w:cs="Arial"/>
                <w:sz w:val="22"/>
                <w:szCs w:val="17"/>
                <w:u w:val="single"/>
                <w:lang w:val="es-ES"/>
              </w:rPr>
              <w:t xml:space="preserve">3. </w:t>
            </w:r>
            <w:r w:rsidRPr="00F428F2">
              <w:rPr>
                <w:rFonts w:ascii="Arial" w:hAnsi="Arial" w:cs="Arial"/>
                <w:sz w:val="22"/>
                <w:szCs w:val="17"/>
                <w:lang w:val="es-ES"/>
              </w:rPr>
              <w:t xml:space="preserve"> </w:t>
            </w:r>
            <w:r w:rsidRPr="00F428F2">
              <w:rPr>
                <w:rFonts w:ascii="Arial" w:hAnsi="Arial" w:cs="Arial"/>
                <w:i/>
                <w:iCs/>
                <w:sz w:val="22"/>
                <w:szCs w:val="17"/>
                <w:lang w:val="es-ES"/>
              </w:rPr>
              <w:t xml:space="preserve">Insta </w:t>
            </w:r>
            <w:r w:rsidRPr="00F428F2">
              <w:rPr>
                <w:rFonts w:ascii="Arial" w:hAnsi="Arial" w:cs="Arial"/>
                <w:sz w:val="22"/>
                <w:szCs w:val="17"/>
                <w:lang w:val="es-ES"/>
              </w:rPr>
              <w:t xml:space="preserve">a otros AAM a adoptar la misma referencia taxonómica normalizada </w:t>
            </w:r>
            <w:r w:rsidRPr="00F428F2">
              <w:rPr>
                <w:rFonts w:ascii="Arial" w:hAnsi="Arial" w:cs="Arial"/>
                <w:strike/>
                <w:sz w:val="22"/>
                <w:szCs w:val="17"/>
                <w:lang w:val="es-ES"/>
              </w:rPr>
              <w:t>para las especies de aves no paseriformes</w:t>
            </w:r>
            <w:r w:rsidRPr="00F428F2">
              <w:rPr>
                <w:rFonts w:ascii="Arial" w:hAnsi="Arial" w:cs="Arial"/>
                <w:sz w:val="22"/>
                <w:szCs w:val="17"/>
                <w:lang w:val="es-ES"/>
              </w:rPr>
              <w:t>. </w:t>
            </w:r>
          </w:p>
        </w:tc>
        <w:tc>
          <w:tcPr>
            <w:tcW w:w="2391" w:type="dxa"/>
            <w:shd w:val="clear" w:color="auto" w:fill="auto"/>
          </w:tcPr>
          <w:p w14:paraId="23BCA38C" w14:textId="78ACABA2"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16DB088E" w14:textId="77777777" w:rsidR="006306E1" w:rsidRPr="00F428F2" w:rsidRDefault="006306E1" w:rsidP="00672C25">
            <w:pPr>
              <w:rPr>
                <w:rFonts w:ascii="Arial" w:hAnsi="Arial" w:cs="Arial"/>
                <w:sz w:val="22"/>
                <w:szCs w:val="22"/>
                <w:lang w:val="es-ES"/>
              </w:rPr>
            </w:pPr>
          </w:p>
          <w:p w14:paraId="5354BBAF" w14:textId="5B5D8A79" w:rsidR="006306E1" w:rsidRPr="00F428F2" w:rsidRDefault="00FB1535" w:rsidP="00FB1535">
            <w:pPr>
              <w:jc w:val="both"/>
              <w:rPr>
                <w:rFonts w:ascii="Arial" w:hAnsi="Arial" w:cs="Arial"/>
                <w:sz w:val="22"/>
                <w:szCs w:val="22"/>
                <w:lang w:val="es-ES"/>
              </w:rPr>
            </w:pPr>
            <w:r w:rsidRPr="00F428F2">
              <w:rPr>
                <w:rFonts w:ascii="Arial" w:hAnsi="Arial" w:cs="Arial"/>
                <w:sz w:val="22"/>
                <w:szCs w:val="22"/>
                <w:lang w:val="es-ES"/>
              </w:rPr>
              <w:t>Mantener modificado</w:t>
            </w:r>
          </w:p>
        </w:tc>
      </w:tr>
      <w:tr w:rsidR="006306E1" w:rsidRPr="00F428F2" w14:paraId="502FE019" w14:textId="77777777" w:rsidTr="00815B38">
        <w:trPr>
          <w:trHeight w:val="808"/>
        </w:trPr>
        <w:tc>
          <w:tcPr>
            <w:tcW w:w="6467" w:type="dxa"/>
            <w:shd w:val="clear" w:color="auto" w:fill="auto"/>
          </w:tcPr>
          <w:p w14:paraId="52DCFB7A" w14:textId="56B49A8D"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2. </w:t>
            </w:r>
            <w:r w:rsidRPr="00F428F2">
              <w:rPr>
                <w:rFonts w:ascii="Arial" w:hAnsi="Arial" w:cs="Arial"/>
                <w:i/>
                <w:strike/>
                <w:sz w:val="22"/>
                <w:szCs w:val="17"/>
                <w:lang w:val="es-ES"/>
              </w:rPr>
              <w:t>Recomienda además</w:t>
            </w:r>
            <w:r w:rsidRPr="00F428F2">
              <w:rPr>
                <w:rFonts w:ascii="Arial" w:hAnsi="Arial" w:cs="Arial"/>
                <w:strike/>
                <w:sz w:val="22"/>
                <w:szCs w:val="17"/>
                <w:lang w:val="es-ES"/>
              </w:rPr>
              <w:t xml:space="preserve"> que los Apéndices I y II se modifiquen conforme figura infra para que reflejen la clasificación taxonómica y la nomenclatura de las referencias estándar:</w:t>
            </w:r>
          </w:p>
          <w:p w14:paraId="6999EA23" w14:textId="77777777" w:rsidR="006306E1" w:rsidRPr="00F428F2" w:rsidRDefault="006306E1" w:rsidP="00746D0E">
            <w:pPr>
              <w:jc w:val="both"/>
              <w:rPr>
                <w:rFonts w:ascii="Arial" w:hAnsi="Arial" w:cs="Arial"/>
                <w:strike/>
                <w:sz w:val="22"/>
                <w:szCs w:val="17"/>
                <w:lang w:val="es-ES"/>
              </w:rPr>
            </w:pPr>
          </w:p>
          <w:p w14:paraId="02A84E8A"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Apéndice I</w:t>
            </w:r>
          </w:p>
          <w:p w14:paraId="0DD9C819"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Mamíferos</w:t>
            </w:r>
          </w:p>
          <w:p w14:paraId="45EA5CB3" w14:textId="77777777" w:rsidR="006306E1" w:rsidRPr="00F428F2" w:rsidRDefault="006306E1" w:rsidP="00746D0E">
            <w:pPr>
              <w:jc w:val="both"/>
              <w:rPr>
                <w:rFonts w:ascii="Arial" w:hAnsi="Arial" w:cs="Arial"/>
                <w:strike/>
                <w:sz w:val="22"/>
                <w:szCs w:val="17"/>
                <w:lang w:val="es-ES"/>
              </w:rPr>
            </w:pPr>
          </w:p>
          <w:p w14:paraId="76DE10E4" w14:textId="4A2C7DE3"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 Eubalaena glacialis ahora es Balaena glacialis.</w:t>
            </w:r>
          </w:p>
          <w:p w14:paraId="403AF94F"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2 Eubalaena australis ahora es Balaena glacialis australis.</w:t>
            </w:r>
          </w:p>
          <w:p w14:paraId="317B168E"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3. Lutra felina ahora es Lontra felina.</w:t>
            </w:r>
          </w:p>
          <w:p w14:paraId="5A1D0AAB"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4. Lutra provocax ahora es Lontra provocax.</w:t>
            </w:r>
          </w:p>
          <w:p w14:paraId="272F2E18" w14:textId="6824410A"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5. Panthera uncia ahora es Uncia.</w:t>
            </w:r>
          </w:p>
          <w:p w14:paraId="4A903890" w14:textId="25C5D0C6"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6. El anterior orden Pinnipedia ahora se incluye en el orden </w:t>
            </w:r>
            <w:r w:rsidR="00F428F2" w:rsidRPr="00F428F2">
              <w:rPr>
                <w:rFonts w:ascii="Arial" w:hAnsi="Arial" w:cs="Arial"/>
                <w:strike/>
                <w:sz w:val="22"/>
                <w:szCs w:val="17"/>
                <w:lang w:val="es-ES"/>
              </w:rPr>
              <w:t>Carnívora</w:t>
            </w:r>
            <w:r w:rsidRPr="00F428F2">
              <w:rPr>
                <w:rFonts w:ascii="Arial" w:hAnsi="Arial" w:cs="Arial"/>
                <w:strike/>
                <w:sz w:val="22"/>
                <w:szCs w:val="17"/>
                <w:lang w:val="es-ES"/>
              </w:rPr>
              <w:t xml:space="preserve"> y, en consecuencia, la familia Phocidae se ubica en </w:t>
            </w:r>
            <w:r w:rsidR="00F428F2" w:rsidRPr="00F428F2">
              <w:rPr>
                <w:rFonts w:ascii="Arial" w:hAnsi="Arial" w:cs="Arial"/>
                <w:strike/>
                <w:sz w:val="22"/>
                <w:szCs w:val="17"/>
                <w:lang w:val="es-ES"/>
              </w:rPr>
              <w:t>Carnívora</w:t>
            </w:r>
            <w:r w:rsidRPr="00F428F2">
              <w:rPr>
                <w:rFonts w:ascii="Arial" w:hAnsi="Arial" w:cs="Arial"/>
                <w:strike/>
                <w:sz w:val="22"/>
                <w:szCs w:val="17"/>
                <w:lang w:val="es-ES"/>
              </w:rPr>
              <w:t>.</w:t>
            </w:r>
          </w:p>
          <w:p w14:paraId="4AF32501" w14:textId="77777777" w:rsidR="006306E1" w:rsidRPr="00F428F2" w:rsidRDefault="006306E1" w:rsidP="00746D0E">
            <w:pPr>
              <w:jc w:val="both"/>
              <w:rPr>
                <w:rFonts w:ascii="Arial" w:hAnsi="Arial" w:cs="Arial"/>
                <w:strike/>
                <w:sz w:val="22"/>
                <w:szCs w:val="17"/>
                <w:lang w:val="es-ES"/>
              </w:rPr>
            </w:pPr>
          </w:p>
          <w:p w14:paraId="19D6C87A"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Aves</w:t>
            </w:r>
          </w:p>
          <w:p w14:paraId="4A8DC343" w14:textId="77777777" w:rsidR="006306E1" w:rsidRPr="00F428F2" w:rsidRDefault="006306E1" w:rsidP="00746D0E">
            <w:pPr>
              <w:jc w:val="both"/>
              <w:rPr>
                <w:rFonts w:ascii="Arial" w:hAnsi="Arial" w:cs="Arial"/>
                <w:strike/>
                <w:sz w:val="22"/>
                <w:szCs w:val="17"/>
                <w:lang w:val="es-ES"/>
              </w:rPr>
            </w:pPr>
          </w:p>
          <w:p w14:paraId="2E9048A6" w14:textId="0819FE88"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7. Pterodroma sandwichensis se incluye, por cuanto Sibley &amp; Monroe la reconocen como especie aparte de Pterodroma phaeopygia. Esto supone que la especie Pterodroma phaeopygia se enumeraba originalmente en su sentido amplio (sensu lato).</w:t>
            </w:r>
          </w:p>
          <w:p w14:paraId="703FD9F9"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8. Phoenicuparrus andinus ahora es Phoenicopterus andinus.</w:t>
            </w:r>
          </w:p>
          <w:p w14:paraId="5C9A2535"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9. Phoenicuparrus jamesi ahora es Phoenicopterus jamesi.</w:t>
            </w:r>
          </w:p>
          <w:p w14:paraId="63638893" w14:textId="48D6E0A2"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10. Aquila adalberti se incluye por cuanto Sibley &amp; Monroe reconocen esta especie como especie aparte de Aquila heliaca. Esto supone que la especie Aquila heliaca se enumeró originalmente en su sentido amplio (sensu lato).</w:t>
            </w:r>
          </w:p>
          <w:p w14:paraId="7C7B50A8"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11. Chettusia gregaria ahora es Vanellus gregarius.</w:t>
            </w:r>
          </w:p>
          <w:p w14:paraId="1830C7CF" w14:textId="6D29871A"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lastRenderedPageBreak/>
              <w:t>12. Acrocephalus paludicola ahora se ubica en la familia Muscicapidae, por cuanto la anterior familia Sylviidae ahora se trata como subfamilia de la familia Muscicapidae.</w:t>
            </w:r>
          </w:p>
          <w:p w14:paraId="226DFDC2" w14:textId="77777777" w:rsidR="006306E1" w:rsidRPr="00F428F2" w:rsidRDefault="006306E1" w:rsidP="00746D0E">
            <w:pPr>
              <w:jc w:val="both"/>
              <w:rPr>
                <w:rFonts w:ascii="Arial" w:hAnsi="Arial" w:cs="Arial"/>
                <w:strike/>
                <w:sz w:val="22"/>
                <w:szCs w:val="22"/>
                <w:lang w:val="es-ES"/>
              </w:rPr>
            </w:pPr>
          </w:p>
          <w:p w14:paraId="1C35AFBB"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Apéndice II</w:t>
            </w:r>
          </w:p>
          <w:p w14:paraId="6D30DFB6" w14:textId="77777777" w:rsidR="006306E1" w:rsidRPr="00F428F2" w:rsidRDefault="006306E1" w:rsidP="00746D0E">
            <w:pPr>
              <w:jc w:val="both"/>
              <w:rPr>
                <w:rFonts w:ascii="Arial" w:hAnsi="Arial" w:cs="Arial"/>
                <w:strike/>
                <w:sz w:val="22"/>
                <w:szCs w:val="17"/>
                <w:lang w:val="es-ES"/>
              </w:rPr>
            </w:pPr>
          </w:p>
          <w:p w14:paraId="52A352C7"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Mamíferos</w:t>
            </w:r>
          </w:p>
          <w:p w14:paraId="229F71DE" w14:textId="77777777" w:rsidR="006306E1" w:rsidRPr="00F428F2" w:rsidRDefault="006306E1" w:rsidP="00746D0E">
            <w:pPr>
              <w:jc w:val="both"/>
              <w:rPr>
                <w:rFonts w:ascii="Arial" w:hAnsi="Arial" w:cs="Arial"/>
                <w:strike/>
                <w:sz w:val="22"/>
                <w:szCs w:val="17"/>
                <w:lang w:val="es-ES"/>
              </w:rPr>
            </w:pPr>
          </w:p>
          <w:p w14:paraId="5EAB7ED2"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13. Platanista gangetica ahora es Platanista gangetica gangetica.</w:t>
            </w:r>
          </w:p>
          <w:p w14:paraId="05F162E4" w14:textId="3B8D25BF"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14. El anterior orden Pinnipedia ahora se incluye en el orden Carn</w:t>
            </w:r>
            <w:r w:rsidR="00F428F2">
              <w:rPr>
                <w:rFonts w:ascii="Arial" w:hAnsi="Arial" w:cs="Arial"/>
                <w:strike/>
                <w:sz w:val="22"/>
                <w:szCs w:val="17"/>
                <w:lang w:val="es-ES"/>
              </w:rPr>
              <w:t>í</w:t>
            </w:r>
            <w:r w:rsidRPr="00F428F2">
              <w:rPr>
                <w:rFonts w:ascii="Arial" w:hAnsi="Arial" w:cs="Arial"/>
                <w:strike/>
                <w:sz w:val="22"/>
                <w:szCs w:val="17"/>
                <w:lang w:val="es-ES"/>
              </w:rPr>
              <w:t xml:space="preserve">vora y, en consecuencia, la familia Phocidae se ubica en </w:t>
            </w:r>
            <w:r w:rsidR="00F428F2" w:rsidRPr="00F428F2">
              <w:rPr>
                <w:rFonts w:ascii="Arial" w:hAnsi="Arial" w:cs="Arial"/>
                <w:strike/>
                <w:sz w:val="22"/>
                <w:szCs w:val="17"/>
                <w:lang w:val="es-ES"/>
              </w:rPr>
              <w:t>Carnívora</w:t>
            </w:r>
            <w:r w:rsidRPr="00F428F2">
              <w:rPr>
                <w:rFonts w:ascii="Arial" w:hAnsi="Arial" w:cs="Arial"/>
                <w:strike/>
                <w:sz w:val="22"/>
                <w:szCs w:val="17"/>
                <w:lang w:val="es-ES"/>
              </w:rPr>
              <w:t>.</w:t>
            </w:r>
          </w:p>
          <w:p w14:paraId="3ADEBD67" w14:textId="77777777" w:rsidR="006306E1" w:rsidRPr="00F428F2" w:rsidRDefault="006306E1" w:rsidP="00746D0E">
            <w:pPr>
              <w:jc w:val="both"/>
              <w:rPr>
                <w:rFonts w:ascii="Arial" w:hAnsi="Arial" w:cs="Arial"/>
                <w:strike/>
                <w:sz w:val="22"/>
                <w:szCs w:val="17"/>
                <w:lang w:val="es-ES"/>
              </w:rPr>
            </w:pPr>
          </w:p>
          <w:p w14:paraId="186B71DD"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Aves</w:t>
            </w:r>
          </w:p>
          <w:p w14:paraId="0E14DFD4" w14:textId="77777777" w:rsidR="006306E1" w:rsidRPr="00F428F2" w:rsidRDefault="006306E1" w:rsidP="00746D0E">
            <w:pPr>
              <w:jc w:val="both"/>
              <w:rPr>
                <w:rFonts w:ascii="Arial" w:hAnsi="Arial" w:cs="Arial"/>
                <w:strike/>
                <w:sz w:val="22"/>
                <w:szCs w:val="17"/>
                <w:lang w:val="es-ES"/>
              </w:rPr>
            </w:pPr>
          </w:p>
          <w:p w14:paraId="6CFBE521"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15. Diomedea chlororynchos ahora es Diomedea chlororhynchos.</w:t>
            </w:r>
          </w:p>
          <w:p w14:paraId="16920586"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16. Phalacrocorax pygmaeus ahora es Phalacrocorax pygmeus.</w:t>
            </w:r>
          </w:p>
          <w:p w14:paraId="7AEA93C2"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17. Anthropoides virgo ahora es Grus virgo y, en consecuencia, se incluye en Grus spp.</w:t>
            </w:r>
          </w:p>
          <w:p w14:paraId="14336E84" w14:textId="7777777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18. La anterior familia Phalaropodidae se elimina, y ahora se incluye en la familia Scolopacidae.</w:t>
            </w:r>
          </w:p>
          <w:p w14:paraId="32F0AA86" w14:textId="6CB5BB97"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19. Sterna spp. y Chlidonias spp. ahora se ubican en la familia Laridae, por cuanto la anterior familia Sternidae ahora se trata como subfamilia de la familia Laridae.</w:t>
            </w:r>
          </w:p>
          <w:p w14:paraId="62100F98" w14:textId="214628DE" w:rsidR="006306E1" w:rsidRPr="00F428F2" w:rsidRDefault="006306E1" w:rsidP="00746D0E">
            <w:pPr>
              <w:jc w:val="both"/>
              <w:rPr>
                <w:rFonts w:ascii="Arial" w:hAnsi="Arial" w:cs="Arial"/>
                <w:sz w:val="22"/>
                <w:szCs w:val="17"/>
                <w:lang w:val="es-ES"/>
              </w:rPr>
            </w:pPr>
            <w:r w:rsidRPr="00F428F2">
              <w:rPr>
                <w:rFonts w:ascii="Arial" w:hAnsi="Arial" w:cs="Arial"/>
                <w:strike/>
                <w:sz w:val="22"/>
                <w:szCs w:val="17"/>
                <w:lang w:val="es-ES"/>
              </w:rPr>
              <w:t>20. Acrocephalus paludicola se elimina, por cuanto se ubica en la familia Muscicapidae (sensu lato), y todas las especies de la familia Muscicapidae ya están enumeradas.</w:t>
            </w:r>
          </w:p>
        </w:tc>
        <w:tc>
          <w:tcPr>
            <w:tcW w:w="2391" w:type="dxa"/>
            <w:shd w:val="clear" w:color="auto" w:fill="auto"/>
          </w:tcPr>
          <w:p w14:paraId="21738403" w14:textId="6FC8A392"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lastRenderedPageBreak/>
              <w:t>Recomendación 6.1</w:t>
            </w:r>
          </w:p>
          <w:p w14:paraId="679C25A7" w14:textId="77777777" w:rsidR="006306E1" w:rsidRPr="00F428F2" w:rsidRDefault="006306E1" w:rsidP="00672C25">
            <w:pPr>
              <w:rPr>
                <w:rFonts w:ascii="Arial" w:hAnsi="Arial" w:cs="Arial"/>
                <w:sz w:val="22"/>
                <w:szCs w:val="22"/>
                <w:lang w:val="es-ES"/>
              </w:rPr>
            </w:pPr>
          </w:p>
          <w:p w14:paraId="1D3332C8" w14:textId="2E95777E"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0522ED0B" w14:textId="77777777" w:rsidTr="00815B38">
        <w:trPr>
          <w:trHeight w:val="808"/>
        </w:trPr>
        <w:tc>
          <w:tcPr>
            <w:tcW w:w="6467" w:type="dxa"/>
            <w:shd w:val="clear" w:color="auto" w:fill="auto"/>
          </w:tcPr>
          <w:p w14:paraId="1312A53C" w14:textId="33C71ADA"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3. Se recomienda asimismo que</w:t>
            </w:r>
            <w:r w:rsidR="00F428F2">
              <w:rPr>
                <w:rFonts w:ascii="Arial" w:hAnsi="Arial" w:cs="Arial"/>
                <w:strike/>
                <w:sz w:val="22"/>
                <w:szCs w:val="17"/>
                <w:lang w:val="es-ES"/>
              </w:rPr>
              <w:t>,</w:t>
            </w:r>
            <w:r w:rsidRPr="00F428F2">
              <w:rPr>
                <w:rFonts w:ascii="Arial" w:hAnsi="Arial" w:cs="Arial"/>
                <w:strike/>
                <w:sz w:val="22"/>
                <w:szCs w:val="17"/>
                <w:lang w:val="es-ES"/>
              </w:rPr>
              <w:t xml:space="preserve"> si la Conferencia de las Partes decide ubicar a las especies propuestas Xanthopsar flavus y Procellaria conspicillata en los Apéndices, se deben emplear los nombres Agelaius flavus y Procellaria aequinoctialis conspicillata, respectivamente.</w:t>
            </w:r>
          </w:p>
        </w:tc>
        <w:tc>
          <w:tcPr>
            <w:tcW w:w="2391" w:type="dxa"/>
            <w:shd w:val="clear" w:color="auto" w:fill="auto"/>
          </w:tcPr>
          <w:p w14:paraId="56E6AD8A" w14:textId="21A2E6C4"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6.1</w:t>
            </w:r>
          </w:p>
          <w:p w14:paraId="6A9C6684" w14:textId="77777777" w:rsidR="006306E1" w:rsidRPr="00F428F2" w:rsidRDefault="006306E1" w:rsidP="00672C25">
            <w:pPr>
              <w:rPr>
                <w:rFonts w:ascii="Arial" w:hAnsi="Arial" w:cs="Arial"/>
                <w:sz w:val="22"/>
                <w:szCs w:val="22"/>
                <w:lang w:val="es-ES"/>
              </w:rPr>
            </w:pPr>
          </w:p>
          <w:p w14:paraId="4D59B288" w14:textId="63936D9B"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7861A2AC" w14:textId="77777777" w:rsidTr="00815B38">
        <w:trPr>
          <w:trHeight w:val="808"/>
        </w:trPr>
        <w:tc>
          <w:tcPr>
            <w:tcW w:w="6467" w:type="dxa"/>
            <w:shd w:val="clear" w:color="auto" w:fill="auto"/>
          </w:tcPr>
          <w:p w14:paraId="70E282EA" w14:textId="3A05792A"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5. Solicita también a la Secretaría a elevar, en la próxima reunión de los Presidentes de los Órganos de Asesoramiento Científico de los Convenios relacionados con la Diversidad Biológica (CSAB), la viabilidad de establecer un panel de la taxonomía y nomenclatura que se podría convocar periódicamente para examinar la documentación técnica relevante a fin de trabajar hacia la armonización de la nomenclatura de las especies utilizada por los convenios relacionados con la diversidad biológica; y</w:t>
            </w:r>
          </w:p>
        </w:tc>
        <w:tc>
          <w:tcPr>
            <w:tcW w:w="2391" w:type="dxa"/>
            <w:shd w:val="clear" w:color="auto" w:fill="auto"/>
          </w:tcPr>
          <w:p w14:paraId="1556214A" w14:textId="7EC48566"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9.4</w:t>
            </w:r>
          </w:p>
          <w:p w14:paraId="2447D778" w14:textId="77777777" w:rsidR="006306E1" w:rsidRPr="00F428F2" w:rsidRDefault="006306E1" w:rsidP="00672C25">
            <w:pPr>
              <w:rPr>
                <w:rFonts w:ascii="Arial" w:hAnsi="Arial" w:cs="Arial"/>
                <w:sz w:val="22"/>
                <w:szCs w:val="22"/>
                <w:lang w:val="es-ES"/>
              </w:rPr>
            </w:pPr>
          </w:p>
          <w:p w14:paraId="3CC54E82" w14:textId="29E14D11"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79D12AA0" w14:textId="77777777" w:rsidTr="00815B38">
        <w:trPr>
          <w:trHeight w:val="808"/>
        </w:trPr>
        <w:tc>
          <w:tcPr>
            <w:tcW w:w="6467" w:type="dxa"/>
            <w:shd w:val="clear" w:color="auto" w:fill="auto"/>
          </w:tcPr>
          <w:p w14:paraId="576083F6" w14:textId="29C7AFE0"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6. Encarga a la Secretaría transmitir la presente Resolución a la Secretaría de CITES a fin de que pueda ser examinado por los órganos científicos de dicho Convenio.</w:t>
            </w:r>
          </w:p>
        </w:tc>
        <w:tc>
          <w:tcPr>
            <w:tcW w:w="2391" w:type="dxa"/>
            <w:shd w:val="clear" w:color="auto" w:fill="auto"/>
          </w:tcPr>
          <w:p w14:paraId="7725EE99" w14:textId="7D5819CC"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9.4</w:t>
            </w:r>
          </w:p>
          <w:p w14:paraId="053F5BFF" w14:textId="77777777" w:rsidR="006306E1" w:rsidRPr="00F428F2" w:rsidRDefault="006306E1" w:rsidP="00672C25">
            <w:pPr>
              <w:rPr>
                <w:rFonts w:ascii="Arial" w:hAnsi="Arial" w:cs="Arial"/>
                <w:sz w:val="22"/>
                <w:szCs w:val="22"/>
                <w:lang w:val="es-ES"/>
              </w:rPr>
            </w:pPr>
          </w:p>
          <w:p w14:paraId="2CB36908" w14:textId="3D02DF98"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F428F2" w14:paraId="38BAC2EC" w14:textId="77777777" w:rsidTr="00DB13E0">
        <w:trPr>
          <w:trHeight w:val="619"/>
        </w:trPr>
        <w:tc>
          <w:tcPr>
            <w:tcW w:w="6467" w:type="dxa"/>
            <w:shd w:val="clear" w:color="auto" w:fill="auto"/>
          </w:tcPr>
          <w:p w14:paraId="613E88F0" w14:textId="25693E06" w:rsidR="006306E1" w:rsidRPr="00F428F2" w:rsidRDefault="006306E1" w:rsidP="00746D0E">
            <w:pPr>
              <w:jc w:val="both"/>
              <w:rPr>
                <w:rFonts w:ascii="Arial" w:hAnsi="Arial" w:cs="Arial"/>
                <w:strike/>
                <w:sz w:val="22"/>
                <w:szCs w:val="17"/>
                <w:lang w:val="es-ES"/>
              </w:rPr>
            </w:pPr>
            <w:r w:rsidRPr="00F428F2">
              <w:rPr>
                <w:rFonts w:ascii="Arial" w:hAnsi="Arial" w:cs="Arial"/>
                <w:strike/>
                <w:sz w:val="22"/>
                <w:szCs w:val="17"/>
                <w:lang w:val="es-ES"/>
              </w:rPr>
              <w:t xml:space="preserve">4. </w:t>
            </w:r>
            <w:r w:rsidRPr="00F428F2">
              <w:rPr>
                <w:rFonts w:ascii="Arial" w:hAnsi="Arial" w:cs="Arial"/>
                <w:i/>
                <w:iCs/>
                <w:strike/>
                <w:sz w:val="22"/>
                <w:szCs w:val="17"/>
                <w:lang w:val="es-ES"/>
              </w:rPr>
              <w:t xml:space="preserve">Instruye </w:t>
            </w:r>
            <w:r w:rsidRPr="00F428F2">
              <w:rPr>
                <w:rFonts w:ascii="Arial" w:hAnsi="Arial" w:cs="Arial"/>
                <w:strike/>
                <w:sz w:val="22"/>
                <w:szCs w:val="17"/>
                <w:lang w:val="es-ES"/>
              </w:rPr>
              <w:t>a la Secretaría a transmitir esta Resolución a la Secretaría de CITES para la consideración de los órganos científicos de dicha Convención. </w:t>
            </w:r>
          </w:p>
        </w:tc>
        <w:tc>
          <w:tcPr>
            <w:tcW w:w="2391" w:type="dxa"/>
            <w:shd w:val="clear" w:color="auto" w:fill="auto"/>
          </w:tcPr>
          <w:p w14:paraId="54A425EE" w14:textId="4FC6CF51"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10.13</w:t>
            </w:r>
          </w:p>
          <w:p w14:paraId="38500B54" w14:textId="77777777" w:rsidR="006306E1" w:rsidRPr="00F428F2" w:rsidRDefault="006306E1" w:rsidP="00672C25">
            <w:pPr>
              <w:rPr>
                <w:rFonts w:ascii="Arial" w:hAnsi="Arial" w:cs="Arial"/>
                <w:sz w:val="22"/>
                <w:szCs w:val="22"/>
                <w:lang w:val="es-ES"/>
              </w:rPr>
            </w:pPr>
          </w:p>
          <w:p w14:paraId="37184278" w14:textId="64722776" w:rsidR="006306E1" w:rsidRPr="00F428F2" w:rsidRDefault="006306E1" w:rsidP="00EE04BC">
            <w:pPr>
              <w:jc w:val="both"/>
              <w:rPr>
                <w:rFonts w:ascii="Arial" w:hAnsi="Arial" w:cs="Arial"/>
                <w:sz w:val="22"/>
                <w:szCs w:val="22"/>
                <w:lang w:val="es-ES"/>
              </w:rPr>
            </w:pPr>
            <w:r w:rsidRPr="00F428F2">
              <w:rPr>
                <w:rFonts w:ascii="Arial" w:hAnsi="Arial" w:cs="Arial"/>
                <w:color w:val="000000" w:themeColor="text1"/>
                <w:sz w:val="22"/>
                <w:szCs w:val="22"/>
                <w:lang w:val="es-ES"/>
              </w:rPr>
              <w:t>Revocar; tarea completada</w:t>
            </w:r>
          </w:p>
        </w:tc>
      </w:tr>
      <w:tr w:rsidR="006306E1" w:rsidRPr="00451511" w14:paraId="2FD829F3" w14:textId="77777777" w:rsidTr="00DB13E0">
        <w:trPr>
          <w:trHeight w:val="619"/>
        </w:trPr>
        <w:tc>
          <w:tcPr>
            <w:tcW w:w="6467" w:type="dxa"/>
            <w:shd w:val="clear" w:color="auto" w:fill="auto"/>
          </w:tcPr>
          <w:p w14:paraId="31A9D3E2" w14:textId="1C83DED8" w:rsidR="006306E1" w:rsidRPr="00F428F2" w:rsidRDefault="00383B26" w:rsidP="00746D0E">
            <w:pPr>
              <w:jc w:val="both"/>
              <w:rPr>
                <w:rFonts w:ascii="Arial" w:hAnsi="Arial" w:cs="Arial"/>
                <w:sz w:val="22"/>
                <w:szCs w:val="17"/>
                <w:lang w:val="es-ES"/>
              </w:rPr>
            </w:pPr>
            <w:r w:rsidRPr="00F428F2">
              <w:rPr>
                <w:rFonts w:ascii="Arial" w:hAnsi="Arial" w:cs="Arial"/>
                <w:sz w:val="22"/>
                <w:szCs w:val="17"/>
                <w:u w:val="single"/>
                <w:lang w:val="es-ES"/>
              </w:rPr>
              <w:t xml:space="preserve">4. </w:t>
            </w:r>
            <w:r w:rsidR="006306E1" w:rsidRPr="00F428F2">
              <w:rPr>
                <w:rFonts w:ascii="Arial" w:hAnsi="Arial" w:cs="Arial"/>
                <w:sz w:val="22"/>
                <w:szCs w:val="17"/>
                <w:u w:val="single"/>
                <w:lang w:val="es-ES"/>
              </w:rPr>
              <w:t>Re</w:t>
            </w:r>
            <w:r w:rsidRPr="00F428F2">
              <w:rPr>
                <w:rFonts w:ascii="Arial" w:hAnsi="Arial" w:cs="Arial"/>
                <w:sz w:val="22"/>
                <w:szCs w:val="17"/>
                <w:u w:val="single"/>
                <w:lang w:val="es-ES"/>
              </w:rPr>
              <w:t>voca</w:t>
            </w:r>
          </w:p>
          <w:p w14:paraId="35ECDB2C" w14:textId="77777777" w:rsidR="006306E1" w:rsidRPr="00F428F2" w:rsidRDefault="006306E1" w:rsidP="00746D0E">
            <w:pPr>
              <w:jc w:val="both"/>
              <w:rPr>
                <w:rFonts w:ascii="Arial" w:hAnsi="Arial" w:cs="Arial"/>
                <w:sz w:val="22"/>
                <w:szCs w:val="17"/>
                <w:lang w:val="es-ES"/>
              </w:rPr>
            </w:pPr>
          </w:p>
          <w:p w14:paraId="2552E1DB" w14:textId="07AFE49C" w:rsidR="006306E1" w:rsidRPr="00F428F2" w:rsidRDefault="006306E1" w:rsidP="000502DA">
            <w:pPr>
              <w:pStyle w:val="ListParagraph"/>
              <w:widowControl/>
              <w:numPr>
                <w:ilvl w:val="0"/>
                <w:numId w:val="6"/>
              </w:numPr>
              <w:autoSpaceDE/>
              <w:autoSpaceDN/>
              <w:adjustRightInd/>
              <w:ind w:hanging="662"/>
              <w:rPr>
                <w:rStyle w:val="file"/>
                <w:rFonts w:ascii="Arial" w:hAnsi="Arial" w:cs="Arial"/>
                <w:i/>
                <w:sz w:val="22"/>
                <w:u w:val="single"/>
                <w:lang w:val="es-ES"/>
              </w:rPr>
            </w:pPr>
            <w:r w:rsidRPr="00F428F2">
              <w:rPr>
                <w:rStyle w:val="file"/>
                <w:rFonts w:ascii="Arial" w:hAnsi="Arial" w:cs="Arial"/>
                <w:i/>
                <w:sz w:val="22"/>
                <w:u w:val="single"/>
                <w:lang w:val="es-ES"/>
              </w:rPr>
              <w:t xml:space="preserve">Recomendación 6.1, </w:t>
            </w:r>
            <w:r w:rsidR="00F428F2" w:rsidRPr="00F428F2">
              <w:rPr>
                <w:rStyle w:val="file"/>
                <w:rFonts w:ascii="Arial" w:hAnsi="Arial" w:cs="Arial"/>
                <w:i/>
                <w:sz w:val="22"/>
                <w:u w:val="single"/>
                <w:lang w:val="es-ES"/>
              </w:rPr>
              <w:t>Estandarización</w:t>
            </w:r>
            <w:r w:rsidRPr="00F428F2">
              <w:rPr>
                <w:rStyle w:val="file"/>
                <w:rFonts w:ascii="Arial" w:hAnsi="Arial" w:cs="Arial"/>
                <w:i/>
                <w:sz w:val="22"/>
                <w:u w:val="single"/>
                <w:lang w:val="es-ES"/>
              </w:rPr>
              <w:t xml:space="preserve"> de Nomenclatura para los Apéndices CMS;</w:t>
            </w:r>
          </w:p>
          <w:p w14:paraId="77AF434E" w14:textId="77777777" w:rsidR="006306E1" w:rsidRPr="00F428F2" w:rsidRDefault="006306E1" w:rsidP="000502DA">
            <w:pPr>
              <w:pStyle w:val="ListParagraph"/>
              <w:widowControl/>
              <w:autoSpaceDE/>
              <w:autoSpaceDN/>
              <w:adjustRightInd/>
              <w:ind w:left="1440" w:hanging="662"/>
              <w:rPr>
                <w:rStyle w:val="file"/>
                <w:rFonts w:ascii="Arial" w:hAnsi="Arial" w:cs="Arial"/>
                <w:i/>
                <w:sz w:val="22"/>
                <w:u w:val="single"/>
                <w:lang w:val="es-ES"/>
              </w:rPr>
            </w:pPr>
          </w:p>
          <w:p w14:paraId="19B602BF" w14:textId="78D905A4" w:rsidR="006306E1" w:rsidRPr="00F428F2" w:rsidRDefault="006306E1" w:rsidP="000502DA">
            <w:pPr>
              <w:pStyle w:val="ListParagraph"/>
              <w:widowControl/>
              <w:numPr>
                <w:ilvl w:val="0"/>
                <w:numId w:val="6"/>
              </w:numPr>
              <w:autoSpaceDE/>
              <w:autoSpaceDN/>
              <w:adjustRightInd/>
              <w:ind w:hanging="662"/>
              <w:rPr>
                <w:rFonts w:ascii="Arial" w:hAnsi="Arial" w:cs="Arial"/>
                <w:i/>
                <w:sz w:val="22"/>
                <w:u w:val="single"/>
                <w:lang w:val="es-ES"/>
              </w:rPr>
            </w:pPr>
            <w:r w:rsidRPr="00F428F2">
              <w:rPr>
                <w:rStyle w:val="file"/>
                <w:rFonts w:ascii="Arial" w:hAnsi="Arial" w:cs="Arial"/>
                <w:i/>
                <w:sz w:val="22"/>
                <w:u w:val="single"/>
                <w:lang w:val="es-ES"/>
              </w:rPr>
              <w:t xml:space="preserve">Recomendación 9.4, Nomenclatura </w:t>
            </w:r>
            <w:r w:rsidR="00F428F2" w:rsidRPr="00F428F2">
              <w:rPr>
                <w:rStyle w:val="file"/>
                <w:rFonts w:ascii="Arial" w:hAnsi="Arial" w:cs="Arial"/>
                <w:i/>
                <w:sz w:val="22"/>
                <w:u w:val="single"/>
                <w:lang w:val="es-ES"/>
              </w:rPr>
              <w:t>estandarizada</w:t>
            </w:r>
            <w:r w:rsidRPr="00F428F2">
              <w:rPr>
                <w:rStyle w:val="file"/>
                <w:rFonts w:ascii="Arial" w:hAnsi="Arial" w:cs="Arial"/>
                <w:i/>
                <w:sz w:val="22"/>
                <w:u w:val="single"/>
                <w:lang w:val="es-ES"/>
              </w:rPr>
              <w:t xml:space="preserve"> para los Apéndices de la CMS</w:t>
            </w:r>
            <w:r w:rsidRPr="00F428F2">
              <w:rPr>
                <w:rFonts w:ascii="Arial" w:hAnsi="Arial" w:cs="Arial"/>
                <w:i/>
                <w:color w:val="0000FF"/>
                <w:sz w:val="22"/>
                <w:u w:val="single"/>
                <w:lang w:val="es-ES"/>
              </w:rPr>
              <w:t>;</w:t>
            </w:r>
          </w:p>
          <w:p w14:paraId="76941327" w14:textId="77777777" w:rsidR="006306E1" w:rsidRPr="00F428F2" w:rsidRDefault="006306E1" w:rsidP="000502DA">
            <w:pPr>
              <w:ind w:hanging="662"/>
              <w:rPr>
                <w:rFonts w:ascii="Arial" w:hAnsi="Arial" w:cs="Arial"/>
                <w:i/>
                <w:sz w:val="22"/>
                <w:u w:val="single"/>
                <w:lang w:val="es-ES"/>
              </w:rPr>
            </w:pPr>
          </w:p>
          <w:p w14:paraId="29AFC118" w14:textId="09A12DE2" w:rsidR="006306E1" w:rsidRPr="00F428F2" w:rsidRDefault="006306E1" w:rsidP="000502DA">
            <w:pPr>
              <w:pStyle w:val="ListParagraph"/>
              <w:widowControl/>
              <w:numPr>
                <w:ilvl w:val="0"/>
                <w:numId w:val="6"/>
              </w:numPr>
              <w:autoSpaceDE/>
              <w:autoSpaceDN/>
              <w:adjustRightInd/>
              <w:ind w:hanging="662"/>
              <w:rPr>
                <w:rStyle w:val="file"/>
                <w:rFonts w:ascii="Arial" w:hAnsi="Arial" w:cs="Arial"/>
                <w:i/>
                <w:sz w:val="22"/>
                <w:u w:val="single"/>
                <w:lang w:val="es-ES"/>
              </w:rPr>
            </w:pPr>
            <w:r w:rsidRPr="00F428F2">
              <w:rPr>
                <w:rStyle w:val="file"/>
                <w:rFonts w:ascii="Arial" w:hAnsi="Arial" w:cs="Arial"/>
                <w:i/>
                <w:sz w:val="22"/>
                <w:u w:val="single"/>
                <w:lang w:val="es-ES"/>
              </w:rPr>
              <w:t>Resolución 10.13, Nomenclatura estándar para aves incluidas en los Apéndices de la CMS; y</w:t>
            </w:r>
          </w:p>
          <w:p w14:paraId="568F8E5C" w14:textId="77777777" w:rsidR="006306E1" w:rsidRPr="00F428F2" w:rsidRDefault="006306E1" w:rsidP="000502DA">
            <w:pPr>
              <w:ind w:hanging="662"/>
              <w:rPr>
                <w:rFonts w:ascii="Arial" w:hAnsi="Arial" w:cs="Arial"/>
                <w:i/>
                <w:sz w:val="22"/>
                <w:u w:val="single"/>
                <w:lang w:val="es-ES"/>
              </w:rPr>
            </w:pPr>
          </w:p>
          <w:p w14:paraId="13B7BAB1" w14:textId="739C27A0" w:rsidR="006306E1" w:rsidRPr="00F428F2" w:rsidRDefault="006306E1" w:rsidP="000502DA">
            <w:pPr>
              <w:pStyle w:val="ListParagraph"/>
              <w:widowControl/>
              <w:numPr>
                <w:ilvl w:val="0"/>
                <w:numId w:val="6"/>
              </w:numPr>
              <w:autoSpaceDE/>
              <w:autoSpaceDN/>
              <w:adjustRightInd/>
              <w:ind w:hanging="662"/>
              <w:rPr>
                <w:rFonts w:ascii="Arial" w:hAnsi="Arial" w:cs="Arial"/>
                <w:sz w:val="22"/>
                <w:lang w:val="es-ES"/>
              </w:rPr>
            </w:pPr>
            <w:r w:rsidRPr="00F428F2">
              <w:rPr>
                <w:rStyle w:val="file"/>
                <w:rFonts w:ascii="Arial" w:hAnsi="Arial" w:cs="Arial"/>
                <w:i/>
                <w:sz w:val="22"/>
                <w:u w:val="single"/>
                <w:lang w:val="es-ES"/>
              </w:rPr>
              <w:t>Resolución 11.19: La Taxonomía y Nomenclatura de las Aves incluidas en los Apéndices de la CMS</w:t>
            </w:r>
            <w:r w:rsidRPr="00F428F2">
              <w:rPr>
                <w:rStyle w:val="file"/>
                <w:rFonts w:ascii="Arial" w:hAnsi="Arial" w:cs="Arial"/>
                <w:sz w:val="22"/>
                <w:lang w:val="es-ES"/>
              </w:rPr>
              <w:t>.</w:t>
            </w:r>
          </w:p>
        </w:tc>
        <w:tc>
          <w:tcPr>
            <w:tcW w:w="2391" w:type="dxa"/>
            <w:shd w:val="clear" w:color="auto" w:fill="auto"/>
          </w:tcPr>
          <w:p w14:paraId="0A81C7BC" w14:textId="24141657" w:rsidR="006306E1" w:rsidRPr="00F428F2" w:rsidRDefault="006306E1" w:rsidP="00672C25">
            <w:pPr>
              <w:rPr>
                <w:rFonts w:ascii="Arial" w:hAnsi="Arial" w:cs="Arial"/>
                <w:sz w:val="22"/>
                <w:szCs w:val="22"/>
                <w:lang w:val="es-ES"/>
              </w:rPr>
            </w:pPr>
            <w:r w:rsidRPr="00F428F2">
              <w:rPr>
                <w:rFonts w:ascii="Arial" w:hAnsi="Arial" w:cs="Arial"/>
                <w:color w:val="000000" w:themeColor="text1"/>
                <w:sz w:val="22"/>
                <w:szCs w:val="22"/>
                <w:lang w:val="es-ES"/>
              </w:rPr>
              <w:lastRenderedPageBreak/>
              <w:t>Texto nuevo para reflejar la consolidación</w:t>
            </w:r>
          </w:p>
        </w:tc>
      </w:tr>
      <w:tr w:rsidR="006306E1" w:rsidRPr="00F428F2" w14:paraId="60ECB12C" w14:textId="77777777" w:rsidTr="00815B38">
        <w:trPr>
          <w:trHeight w:val="808"/>
        </w:trPr>
        <w:tc>
          <w:tcPr>
            <w:tcW w:w="6467" w:type="dxa"/>
            <w:shd w:val="clear" w:color="auto" w:fill="auto"/>
          </w:tcPr>
          <w:p w14:paraId="6310FFEC" w14:textId="24A25A76" w:rsidR="006306E1" w:rsidRPr="00F428F2" w:rsidRDefault="006306E1" w:rsidP="003222E8">
            <w:pPr>
              <w:jc w:val="both"/>
              <w:rPr>
                <w:rFonts w:ascii="Arial" w:hAnsi="Arial" w:cs="Arial"/>
                <w:sz w:val="22"/>
                <w:szCs w:val="22"/>
                <w:lang w:val="es-ES"/>
              </w:rPr>
            </w:pPr>
            <w:r w:rsidRPr="00F428F2">
              <w:rPr>
                <w:rFonts w:ascii="Arial" w:hAnsi="Arial" w:cs="Arial"/>
                <w:b/>
                <w:sz w:val="22"/>
                <w:szCs w:val="22"/>
                <w:lang w:val="es-ES"/>
              </w:rPr>
              <w:t>Anexo</w:t>
            </w:r>
          </w:p>
          <w:p w14:paraId="6996AF0E" w14:textId="72304096" w:rsidR="006306E1" w:rsidRPr="00F428F2" w:rsidRDefault="006306E1" w:rsidP="003222E8">
            <w:pPr>
              <w:jc w:val="both"/>
              <w:rPr>
                <w:rFonts w:ascii="Arial" w:hAnsi="Arial" w:cs="Arial"/>
                <w:sz w:val="22"/>
                <w:szCs w:val="22"/>
                <w:lang w:val="es-ES"/>
              </w:rPr>
            </w:pPr>
            <w:r w:rsidRPr="00F428F2">
              <w:rPr>
                <w:rFonts w:ascii="Arial" w:hAnsi="Arial" w:cs="Arial"/>
                <w:sz w:val="22"/>
                <w:szCs w:val="22"/>
                <w:lang w:val="es-ES"/>
              </w:rPr>
              <w:t>List</w:t>
            </w:r>
            <w:r w:rsidR="00827C30" w:rsidRPr="00F428F2">
              <w:rPr>
                <w:rFonts w:ascii="Arial" w:hAnsi="Arial" w:cs="Arial"/>
                <w:sz w:val="22"/>
                <w:szCs w:val="22"/>
                <w:lang w:val="es-ES"/>
              </w:rPr>
              <w:t>a de las referencias estandarizadas adoptada por la Conferencia de las Partes</w:t>
            </w:r>
          </w:p>
        </w:tc>
        <w:tc>
          <w:tcPr>
            <w:tcW w:w="2391" w:type="dxa"/>
            <w:shd w:val="clear" w:color="auto" w:fill="auto"/>
          </w:tcPr>
          <w:p w14:paraId="54C69270" w14:textId="1226CDF4"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Anexo nuevo</w:t>
            </w:r>
          </w:p>
        </w:tc>
      </w:tr>
      <w:tr w:rsidR="006306E1" w:rsidRPr="00F428F2" w14:paraId="68F77039" w14:textId="77777777" w:rsidTr="00815B38">
        <w:trPr>
          <w:trHeight w:val="304"/>
        </w:trPr>
        <w:tc>
          <w:tcPr>
            <w:tcW w:w="6467" w:type="dxa"/>
            <w:shd w:val="clear" w:color="auto" w:fill="auto"/>
          </w:tcPr>
          <w:p w14:paraId="75567EE1" w14:textId="2413D305" w:rsidR="006306E1" w:rsidRPr="00F428F2" w:rsidRDefault="006306E1" w:rsidP="003222E8">
            <w:pPr>
              <w:jc w:val="both"/>
              <w:rPr>
                <w:rFonts w:ascii="Arial" w:hAnsi="Arial" w:cs="Arial"/>
                <w:i/>
                <w:sz w:val="22"/>
                <w:szCs w:val="17"/>
                <w:lang w:val="es-ES"/>
              </w:rPr>
            </w:pPr>
            <w:r w:rsidRPr="00F428F2">
              <w:rPr>
                <w:rFonts w:ascii="Arial" w:hAnsi="Arial" w:cs="Arial"/>
                <w:i/>
                <w:sz w:val="22"/>
                <w:szCs w:val="17"/>
                <w:lang w:val="es-ES"/>
              </w:rPr>
              <w:t>Mamíferos</w:t>
            </w:r>
          </w:p>
        </w:tc>
        <w:tc>
          <w:tcPr>
            <w:tcW w:w="2391" w:type="dxa"/>
            <w:shd w:val="clear" w:color="auto" w:fill="auto"/>
          </w:tcPr>
          <w:p w14:paraId="124E82AA" w14:textId="77777777" w:rsidR="006306E1" w:rsidRPr="00F428F2" w:rsidRDefault="006306E1" w:rsidP="00EE04BC">
            <w:pPr>
              <w:jc w:val="both"/>
              <w:rPr>
                <w:rFonts w:ascii="Arial" w:hAnsi="Arial" w:cs="Arial"/>
                <w:sz w:val="22"/>
                <w:szCs w:val="22"/>
                <w:lang w:val="es-ES"/>
              </w:rPr>
            </w:pPr>
          </w:p>
        </w:tc>
      </w:tr>
      <w:tr w:rsidR="006306E1" w:rsidRPr="00451511" w14:paraId="7F345E36" w14:textId="77777777" w:rsidTr="00815B38">
        <w:trPr>
          <w:trHeight w:val="808"/>
        </w:trPr>
        <w:tc>
          <w:tcPr>
            <w:tcW w:w="6467" w:type="dxa"/>
            <w:shd w:val="clear" w:color="auto" w:fill="auto"/>
          </w:tcPr>
          <w:p w14:paraId="61D77922" w14:textId="5A3D1504" w:rsidR="006306E1" w:rsidRPr="00F428F2" w:rsidRDefault="006306E1" w:rsidP="003222E8">
            <w:pPr>
              <w:jc w:val="both"/>
              <w:rPr>
                <w:rFonts w:ascii="Arial" w:hAnsi="Arial" w:cs="Arial"/>
                <w:strike/>
                <w:sz w:val="22"/>
                <w:szCs w:val="17"/>
                <w:lang w:val="es-ES"/>
              </w:rPr>
            </w:pPr>
            <w:r w:rsidRPr="00F428F2">
              <w:rPr>
                <w:rFonts w:ascii="Arial" w:hAnsi="Arial" w:cs="Arial"/>
                <w:strike/>
                <w:sz w:val="22"/>
                <w:szCs w:val="17"/>
                <w:lang w:val="es-ES"/>
              </w:rPr>
              <w:t xml:space="preserve">Respecto de las órdenes de mamíferos </w:t>
            </w:r>
            <w:r w:rsidR="00F428F2" w:rsidRPr="00F428F2">
              <w:rPr>
                <w:rFonts w:ascii="Arial" w:hAnsi="Arial" w:cs="Arial"/>
                <w:strike/>
                <w:sz w:val="22"/>
                <w:szCs w:val="17"/>
                <w:lang w:val="es-ES"/>
              </w:rPr>
              <w:t>Cetácea</w:t>
            </w:r>
            <w:r w:rsidRPr="00F428F2">
              <w:rPr>
                <w:rFonts w:ascii="Arial" w:hAnsi="Arial" w:cs="Arial"/>
                <w:strike/>
                <w:sz w:val="22"/>
                <w:szCs w:val="17"/>
                <w:lang w:val="es-ES"/>
              </w:rPr>
              <w:t xml:space="preserve"> y Sirenia, y las familias Phocidae, Odobenidae y Otariidae del orden </w:t>
            </w:r>
            <w:r w:rsidR="00F428F2" w:rsidRPr="00F428F2">
              <w:rPr>
                <w:rFonts w:ascii="Arial" w:hAnsi="Arial" w:cs="Arial"/>
                <w:strike/>
                <w:sz w:val="22"/>
                <w:szCs w:val="17"/>
                <w:lang w:val="es-ES"/>
              </w:rPr>
              <w:t>Carnívora</w:t>
            </w:r>
            <w:r w:rsidRPr="00F428F2">
              <w:rPr>
                <w:rFonts w:ascii="Arial" w:hAnsi="Arial" w:cs="Arial"/>
                <w:strike/>
                <w:sz w:val="22"/>
                <w:szCs w:val="17"/>
                <w:lang w:val="es-ES"/>
              </w:rPr>
              <w:t>:</w:t>
            </w:r>
          </w:p>
          <w:p w14:paraId="27B59B6F" w14:textId="77777777" w:rsidR="006306E1" w:rsidRPr="00451511" w:rsidRDefault="006306E1" w:rsidP="003222E8">
            <w:pPr>
              <w:jc w:val="both"/>
              <w:rPr>
                <w:rFonts w:ascii="Arial" w:hAnsi="Arial" w:cs="Arial"/>
                <w:strike/>
                <w:sz w:val="22"/>
                <w:szCs w:val="17"/>
              </w:rPr>
            </w:pPr>
            <w:r w:rsidRPr="00451511">
              <w:rPr>
                <w:rFonts w:ascii="Arial" w:hAnsi="Arial" w:cs="Arial"/>
                <w:strike/>
                <w:sz w:val="22"/>
                <w:szCs w:val="17"/>
              </w:rPr>
              <w:t>a) Rice, D.W. (1998) Marine mammals of the world. Systematics and distribution. Special Publication of the Society for Marine Mammalogy, 4, 231 pp.</w:t>
            </w:r>
          </w:p>
          <w:p w14:paraId="1395914D" w14:textId="77777777" w:rsidR="006306E1" w:rsidRPr="00451511" w:rsidRDefault="006306E1" w:rsidP="003222E8">
            <w:pPr>
              <w:jc w:val="both"/>
              <w:rPr>
                <w:rFonts w:ascii="Arial" w:hAnsi="Arial" w:cs="Arial"/>
                <w:strike/>
                <w:sz w:val="22"/>
                <w:szCs w:val="17"/>
              </w:rPr>
            </w:pPr>
          </w:p>
          <w:p w14:paraId="70CF1D8E" w14:textId="7D18ADF0" w:rsidR="006306E1" w:rsidRPr="00F428F2" w:rsidRDefault="006306E1" w:rsidP="003222E8">
            <w:pPr>
              <w:jc w:val="both"/>
              <w:rPr>
                <w:rFonts w:ascii="Arial" w:hAnsi="Arial" w:cs="Arial"/>
                <w:strike/>
                <w:sz w:val="22"/>
                <w:szCs w:val="17"/>
                <w:lang w:val="es-ES"/>
              </w:rPr>
            </w:pPr>
            <w:r w:rsidRPr="00F428F2">
              <w:rPr>
                <w:rFonts w:ascii="Arial" w:hAnsi="Arial" w:cs="Arial"/>
                <w:strike/>
                <w:sz w:val="22"/>
                <w:szCs w:val="17"/>
                <w:lang w:val="es-ES"/>
              </w:rPr>
              <w:t>Respecto de todos los demás mamíferos:</w:t>
            </w:r>
          </w:p>
          <w:p w14:paraId="1DE2B82E" w14:textId="07704FB6" w:rsidR="006306E1" w:rsidRPr="00451511" w:rsidRDefault="006306E1" w:rsidP="003222E8">
            <w:pPr>
              <w:jc w:val="both"/>
              <w:rPr>
                <w:rFonts w:ascii="Arial" w:hAnsi="Arial" w:cs="Arial"/>
                <w:sz w:val="22"/>
                <w:szCs w:val="17"/>
              </w:rPr>
            </w:pPr>
            <w:r w:rsidRPr="00451511">
              <w:rPr>
                <w:rFonts w:ascii="Arial" w:hAnsi="Arial" w:cs="Arial"/>
                <w:strike/>
                <w:sz w:val="22"/>
                <w:szCs w:val="17"/>
              </w:rPr>
              <w:t>b) Wilson, D.E. and Reeder, D.M. (1993). Mammals species of the world. A taxonomic and geographic reference. 2</w:t>
            </w:r>
            <w:r w:rsidRPr="00451511">
              <w:rPr>
                <w:rFonts w:ascii="Arial" w:hAnsi="Arial" w:cs="Arial"/>
                <w:strike/>
                <w:sz w:val="22"/>
                <w:szCs w:val="11"/>
              </w:rPr>
              <w:t xml:space="preserve">nd </w:t>
            </w:r>
            <w:r w:rsidRPr="00451511">
              <w:rPr>
                <w:rFonts w:ascii="Arial" w:hAnsi="Arial" w:cs="Arial"/>
                <w:strike/>
                <w:sz w:val="22"/>
                <w:szCs w:val="17"/>
              </w:rPr>
              <w:t>ed. Smithsonian Institution Press, Washington, D.C.</w:t>
            </w:r>
          </w:p>
        </w:tc>
        <w:tc>
          <w:tcPr>
            <w:tcW w:w="2391" w:type="dxa"/>
            <w:shd w:val="clear" w:color="auto" w:fill="auto"/>
          </w:tcPr>
          <w:p w14:paraId="7B7C49CA" w14:textId="0E1C8FAC"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6.1</w:t>
            </w:r>
          </w:p>
          <w:p w14:paraId="6A27C3EA" w14:textId="77777777" w:rsidR="006306E1" w:rsidRPr="00F428F2" w:rsidRDefault="006306E1" w:rsidP="00672C25">
            <w:pPr>
              <w:rPr>
                <w:rFonts w:ascii="Arial" w:hAnsi="Arial" w:cs="Arial"/>
                <w:sz w:val="22"/>
                <w:szCs w:val="22"/>
                <w:lang w:val="es-ES"/>
              </w:rPr>
            </w:pPr>
          </w:p>
          <w:p w14:paraId="1DC08ED6" w14:textId="17867111"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w:t>
            </w:r>
            <w:r w:rsidR="00827C30" w:rsidRPr="00F428F2">
              <w:rPr>
                <w:rFonts w:ascii="Arial" w:hAnsi="Arial" w:cs="Arial"/>
                <w:sz w:val="22"/>
                <w:szCs w:val="22"/>
                <w:lang w:val="es-ES"/>
              </w:rPr>
              <w:t xml:space="preserve">vocar; sustituida por la </w:t>
            </w:r>
            <w:r w:rsidRPr="00F428F2">
              <w:rPr>
                <w:rFonts w:ascii="Arial" w:hAnsi="Arial" w:cs="Arial"/>
                <w:sz w:val="22"/>
                <w:szCs w:val="22"/>
                <w:lang w:val="es-ES"/>
              </w:rPr>
              <w:t>Recomendación 9.4</w:t>
            </w:r>
          </w:p>
        </w:tc>
      </w:tr>
      <w:tr w:rsidR="006306E1" w:rsidRPr="00F428F2" w14:paraId="22749C84" w14:textId="77777777" w:rsidTr="00815B38">
        <w:trPr>
          <w:trHeight w:val="808"/>
        </w:trPr>
        <w:tc>
          <w:tcPr>
            <w:tcW w:w="6467" w:type="dxa"/>
            <w:shd w:val="clear" w:color="auto" w:fill="auto"/>
          </w:tcPr>
          <w:p w14:paraId="77C4CF50" w14:textId="3B6D1C52" w:rsidR="00CC2A3B" w:rsidRPr="00F428F2" w:rsidRDefault="006306E1" w:rsidP="003222E8">
            <w:pPr>
              <w:jc w:val="both"/>
              <w:rPr>
                <w:rFonts w:ascii="Arial" w:hAnsi="Arial" w:cs="Arial"/>
                <w:sz w:val="22"/>
                <w:szCs w:val="17"/>
                <w:lang w:val="es-ES"/>
              </w:rPr>
            </w:pPr>
            <w:r w:rsidRPr="00F428F2">
              <w:rPr>
                <w:rFonts w:ascii="Arial" w:hAnsi="Arial" w:cs="Arial"/>
                <w:strike/>
                <w:sz w:val="22"/>
                <w:szCs w:val="17"/>
                <w:lang w:val="es-ES"/>
              </w:rPr>
              <w:t>1. Adopta</w:t>
            </w:r>
            <w:r w:rsidR="0073074C" w:rsidRPr="00F428F2">
              <w:rPr>
                <w:rFonts w:ascii="Arial" w:hAnsi="Arial" w:cs="Arial"/>
                <w:sz w:val="22"/>
                <w:szCs w:val="17"/>
                <w:lang w:val="es-ES"/>
              </w:rPr>
              <w:t xml:space="preserve"> </w:t>
            </w:r>
          </w:p>
          <w:p w14:paraId="63E45146" w14:textId="77777777" w:rsidR="00B55E97" w:rsidRPr="00F428F2" w:rsidRDefault="00B55E97" w:rsidP="003222E8">
            <w:pPr>
              <w:jc w:val="both"/>
              <w:rPr>
                <w:rFonts w:ascii="Arial" w:hAnsi="Arial" w:cs="Arial"/>
                <w:sz w:val="22"/>
                <w:szCs w:val="17"/>
                <w:lang w:val="es-ES"/>
              </w:rPr>
            </w:pPr>
          </w:p>
          <w:p w14:paraId="5E623EFD" w14:textId="4BF95712" w:rsidR="00CC2A3B" w:rsidRPr="00F428F2" w:rsidRDefault="00CC2A3B" w:rsidP="003222E8">
            <w:pPr>
              <w:jc w:val="both"/>
              <w:rPr>
                <w:rFonts w:ascii="Arial" w:hAnsi="Arial" w:cs="Arial"/>
                <w:sz w:val="22"/>
                <w:szCs w:val="17"/>
                <w:lang w:val="es-ES"/>
              </w:rPr>
            </w:pPr>
            <w:r w:rsidRPr="00F428F2">
              <w:rPr>
                <w:rFonts w:ascii="Arial" w:hAnsi="Arial" w:cs="Arial"/>
                <w:sz w:val="22"/>
                <w:szCs w:val="17"/>
                <w:lang w:val="es-ES"/>
              </w:rPr>
              <w:t>Mamíferos Marinos</w:t>
            </w:r>
          </w:p>
          <w:p w14:paraId="2D33B279" w14:textId="77777777" w:rsidR="00CC2A3B" w:rsidRPr="00F428F2" w:rsidRDefault="00CC2A3B" w:rsidP="003222E8">
            <w:pPr>
              <w:jc w:val="both"/>
              <w:rPr>
                <w:rFonts w:ascii="Arial" w:hAnsi="Arial" w:cs="Arial"/>
                <w:sz w:val="22"/>
                <w:szCs w:val="17"/>
                <w:lang w:val="es-ES"/>
              </w:rPr>
            </w:pPr>
          </w:p>
          <w:p w14:paraId="0C910B8D" w14:textId="54522254" w:rsidR="006306E1" w:rsidRPr="00F428F2" w:rsidRDefault="0073074C" w:rsidP="003222E8">
            <w:pPr>
              <w:jc w:val="both"/>
              <w:rPr>
                <w:rFonts w:ascii="Arial" w:hAnsi="Arial" w:cs="Arial"/>
                <w:sz w:val="22"/>
                <w:szCs w:val="17"/>
                <w:lang w:val="es-ES"/>
              </w:rPr>
            </w:pPr>
            <w:r w:rsidRPr="00F428F2">
              <w:rPr>
                <w:rFonts w:ascii="Arial" w:hAnsi="Arial" w:cs="Arial"/>
                <w:sz w:val="22"/>
                <w:szCs w:val="17"/>
                <w:lang w:val="es-ES"/>
              </w:rPr>
              <w:t>L</w:t>
            </w:r>
            <w:r w:rsidR="006306E1" w:rsidRPr="00F428F2">
              <w:rPr>
                <w:rFonts w:ascii="Arial" w:hAnsi="Arial" w:cs="Arial"/>
                <w:sz w:val="22"/>
                <w:szCs w:val="17"/>
                <w:lang w:val="es-ES"/>
              </w:rPr>
              <w:t xml:space="preserve">a Enciclopedia de los Mamíferos Marinos de Perrin, W.F., Wursig, B. y Thewissen, J.G.M. (Editores), (2009), Segunda edición. Academic Press, </w:t>
            </w:r>
            <w:r w:rsidR="006306E1" w:rsidRPr="00F428F2">
              <w:rPr>
                <w:rFonts w:ascii="Arial" w:hAnsi="Arial" w:cs="Arial"/>
                <w:strike/>
                <w:sz w:val="22"/>
                <w:szCs w:val="17"/>
                <w:lang w:val="es-ES"/>
              </w:rPr>
              <w:t>como la nomenclatura estándar de referencia para los mamíferos marinos según lo recomendado por la 15 ª reunión del Consejo Científico</w:t>
            </w:r>
            <w:r w:rsidR="006306E1" w:rsidRPr="00F428F2">
              <w:rPr>
                <w:rFonts w:ascii="Arial" w:hAnsi="Arial" w:cs="Arial"/>
                <w:sz w:val="22"/>
                <w:szCs w:val="17"/>
                <w:lang w:val="es-ES"/>
              </w:rPr>
              <w:t>;</w:t>
            </w:r>
          </w:p>
        </w:tc>
        <w:tc>
          <w:tcPr>
            <w:tcW w:w="2391" w:type="dxa"/>
            <w:shd w:val="clear" w:color="auto" w:fill="auto"/>
          </w:tcPr>
          <w:p w14:paraId="3374C9F5" w14:textId="7A42CE48"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Recomendación 9.4</w:t>
            </w:r>
          </w:p>
        </w:tc>
      </w:tr>
      <w:tr w:rsidR="006306E1" w:rsidRPr="00F428F2" w14:paraId="1A3F646E" w14:textId="77777777" w:rsidTr="00815B38">
        <w:trPr>
          <w:trHeight w:val="808"/>
        </w:trPr>
        <w:tc>
          <w:tcPr>
            <w:tcW w:w="6467" w:type="dxa"/>
            <w:shd w:val="clear" w:color="auto" w:fill="auto"/>
          </w:tcPr>
          <w:p w14:paraId="316EC8F7" w14:textId="77777777" w:rsidR="00CC2A3B" w:rsidRPr="00F428F2" w:rsidRDefault="006306E1" w:rsidP="003222E8">
            <w:pPr>
              <w:jc w:val="both"/>
              <w:rPr>
                <w:rFonts w:ascii="Arial" w:hAnsi="Arial" w:cs="Arial"/>
                <w:sz w:val="22"/>
                <w:szCs w:val="17"/>
                <w:lang w:val="es-ES"/>
              </w:rPr>
            </w:pPr>
            <w:r w:rsidRPr="00F428F2">
              <w:rPr>
                <w:rFonts w:ascii="Arial" w:hAnsi="Arial" w:cs="Arial"/>
                <w:strike/>
                <w:sz w:val="22"/>
                <w:szCs w:val="17"/>
                <w:lang w:val="es-ES"/>
              </w:rPr>
              <w:t>2. Aprueba</w:t>
            </w:r>
            <w:r w:rsidRPr="00F428F2">
              <w:rPr>
                <w:rFonts w:ascii="Arial" w:hAnsi="Arial" w:cs="Arial"/>
                <w:sz w:val="22"/>
                <w:szCs w:val="17"/>
                <w:lang w:val="es-ES"/>
              </w:rPr>
              <w:t xml:space="preserve"> </w:t>
            </w:r>
          </w:p>
          <w:p w14:paraId="44BBCD2F" w14:textId="77777777" w:rsidR="00CC2A3B" w:rsidRPr="00F428F2" w:rsidRDefault="00CC2A3B" w:rsidP="00CC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0"/>
                <w:lang w:val="es-ES"/>
              </w:rPr>
            </w:pPr>
            <w:r w:rsidRPr="00F428F2">
              <w:rPr>
                <w:rFonts w:ascii="Arial" w:hAnsi="Arial" w:cs="Arial"/>
                <w:sz w:val="22"/>
                <w:szCs w:val="20"/>
                <w:lang w:val="es-ES"/>
              </w:rPr>
              <w:t>Mamíferos terrestres</w:t>
            </w:r>
          </w:p>
          <w:p w14:paraId="6AEA664B" w14:textId="77777777" w:rsidR="00CC2A3B" w:rsidRPr="00F428F2" w:rsidRDefault="00CC2A3B" w:rsidP="003222E8">
            <w:pPr>
              <w:jc w:val="both"/>
              <w:rPr>
                <w:rFonts w:ascii="Arial" w:hAnsi="Arial" w:cs="Arial"/>
                <w:sz w:val="22"/>
                <w:szCs w:val="17"/>
                <w:lang w:val="es-ES"/>
              </w:rPr>
            </w:pPr>
          </w:p>
          <w:p w14:paraId="5E14CB03" w14:textId="02206E6C" w:rsidR="006306E1" w:rsidRPr="00F428F2" w:rsidRDefault="006306E1" w:rsidP="003222E8">
            <w:pPr>
              <w:jc w:val="both"/>
              <w:rPr>
                <w:rFonts w:ascii="Arial" w:hAnsi="Arial" w:cs="Arial"/>
                <w:sz w:val="22"/>
                <w:szCs w:val="17"/>
                <w:lang w:val="es-ES"/>
              </w:rPr>
            </w:pPr>
            <w:r w:rsidRPr="00F428F2">
              <w:rPr>
                <w:rFonts w:ascii="Arial" w:hAnsi="Arial" w:cs="Arial"/>
                <w:sz w:val="22"/>
                <w:szCs w:val="17"/>
                <w:lang w:val="es-ES"/>
              </w:rPr>
              <w:t xml:space="preserve">Especies de mamíferos del mundo. Una referencia taxonómica y geográfica. Wilson, DE &amp; Reeder, DM (ed.) (2005) Tercera edición, John Hopkins, University Press, </w:t>
            </w:r>
            <w:r w:rsidRPr="00F428F2">
              <w:rPr>
                <w:rFonts w:ascii="Arial" w:hAnsi="Arial" w:cs="Arial"/>
                <w:strike/>
                <w:sz w:val="22"/>
                <w:szCs w:val="17"/>
                <w:lang w:val="es-ES"/>
              </w:rPr>
              <w:t>como la nomenclatura estándar de referencia para los mamíferos terrestres, según lo recomendado por la 14ª reunión del Consejo Científico</w:t>
            </w:r>
            <w:r w:rsidRPr="00F428F2">
              <w:rPr>
                <w:rFonts w:ascii="Arial" w:hAnsi="Arial" w:cs="Arial"/>
                <w:sz w:val="22"/>
                <w:szCs w:val="17"/>
                <w:lang w:val="es-ES"/>
              </w:rPr>
              <w:t>;</w:t>
            </w:r>
          </w:p>
        </w:tc>
        <w:tc>
          <w:tcPr>
            <w:tcW w:w="2391" w:type="dxa"/>
            <w:shd w:val="clear" w:color="auto" w:fill="auto"/>
          </w:tcPr>
          <w:p w14:paraId="5EBD2B9F" w14:textId="7C75C47A"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Recomendación 9.4</w:t>
            </w:r>
          </w:p>
        </w:tc>
      </w:tr>
      <w:tr w:rsidR="006306E1" w:rsidRPr="00F428F2" w14:paraId="3FEA13D3" w14:textId="77777777" w:rsidTr="00815B38">
        <w:trPr>
          <w:trHeight w:val="250"/>
        </w:trPr>
        <w:tc>
          <w:tcPr>
            <w:tcW w:w="6467" w:type="dxa"/>
            <w:shd w:val="clear" w:color="auto" w:fill="auto"/>
          </w:tcPr>
          <w:p w14:paraId="40FBAB17" w14:textId="1B3CFC8C" w:rsidR="006306E1" w:rsidRPr="00F428F2" w:rsidRDefault="006306E1" w:rsidP="008166E2">
            <w:pPr>
              <w:rPr>
                <w:rFonts w:ascii="Arial" w:hAnsi="Arial" w:cs="Arial"/>
                <w:i/>
                <w:sz w:val="22"/>
                <w:szCs w:val="17"/>
                <w:lang w:val="es-ES"/>
              </w:rPr>
            </w:pPr>
            <w:r w:rsidRPr="00F428F2">
              <w:rPr>
                <w:rFonts w:ascii="Arial" w:hAnsi="Arial" w:cs="Arial"/>
                <w:i/>
                <w:sz w:val="22"/>
                <w:szCs w:val="17"/>
                <w:lang w:val="es-ES"/>
              </w:rPr>
              <w:t>Aves</w:t>
            </w:r>
          </w:p>
        </w:tc>
        <w:tc>
          <w:tcPr>
            <w:tcW w:w="2391" w:type="dxa"/>
            <w:shd w:val="clear" w:color="auto" w:fill="auto"/>
          </w:tcPr>
          <w:p w14:paraId="11DF55C5" w14:textId="77777777" w:rsidR="006306E1" w:rsidRPr="00F428F2" w:rsidRDefault="006306E1" w:rsidP="00EE04BC">
            <w:pPr>
              <w:jc w:val="both"/>
              <w:rPr>
                <w:rFonts w:ascii="Arial" w:hAnsi="Arial" w:cs="Arial"/>
                <w:sz w:val="22"/>
                <w:szCs w:val="22"/>
                <w:lang w:val="es-ES"/>
              </w:rPr>
            </w:pPr>
          </w:p>
        </w:tc>
      </w:tr>
      <w:tr w:rsidR="006306E1" w:rsidRPr="00F428F2" w14:paraId="798873F3" w14:textId="77777777" w:rsidTr="00815B38">
        <w:trPr>
          <w:trHeight w:val="808"/>
        </w:trPr>
        <w:tc>
          <w:tcPr>
            <w:tcW w:w="6467" w:type="dxa"/>
            <w:shd w:val="clear" w:color="auto" w:fill="auto"/>
          </w:tcPr>
          <w:p w14:paraId="407CB1C3" w14:textId="3C73954D" w:rsidR="006306E1" w:rsidRPr="00F428F2" w:rsidRDefault="006306E1" w:rsidP="003222E8">
            <w:pPr>
              <w:jc w:val="both"/>
              <w:rPr>
                <w:rFonts w:ascii="Arial" w:hAnsi="Arial" w:cs="Arial"/>
                <w:sz w:val="22"/>
                <w:szCs w:val="17"/>
                <w:lang w:val="es-ES"/>
              </w:rPr>
            </w:pPr>
            <w:r w:rsidRPr="00F428F2">
              <w:rPr>
                <w:rFonts w:ascii="Arial" w:hAnsi="Arial" w:cs="Arial"/>
                <w:strike/>
                <w:sz w:val="22"/>
                <w:szCs w:val="17"/>
                <w:lang w:val="es-ES"/>
              </w:rPr>
              <w:t xml:space="preserve">1. </w:t>
            </w:r>
            <w:r w:rsidRPr="00F428F2">
              <w:rPr>
                <w:rFonts w:ascii="Arial" w:hAnsi="Arial" w:cs="Arial"/>
                <w:i/>
                <w:iCs/>
                <w:strike/>
                <w:sz w:val="22"/>
                <w:szCs w:val="17"/>
                <w:lang w:val="es-ES"/>
              </w:rPr>
              <w:t xml:space="preserve">Adopta </w:t>
            </w:r>
            <w:r w:rsidRPr="00F428F2">
              <w:rPr>
                <w:rFonts w:ascii="Arial" w:hAnsi="Arial" w:cs="Arial"/>
                <w:strike/>
                <w:sz w:val="22"/>
                <w:szCs w:val="17"/>
                <w:lang w:val="es-ES"/>
              </w:rPr>
              <w:t>la referencia sugerida por la dieciochoava reunión del Consejo Científico como referencia estándar para la taxonomía de aves y su nomenclatura para las</w:t>
            </w:r>
            <w:r w:rsidRPr="00F428F2">
              <w:rPr>
                <w:rFonts w:ascii="Arial" w:hAnsi="Arial" w:cs="Arial"/>
                <w:sz w:val="22"/>
                <w:szCs w:val="17"/>
                <w:lang w:val="es-ES"/>
              </w:rPr>
              <w:t xml:space="preserve"> </w:t>
            </w:r>
            <w:r w:rsidRPr="00F428F2">
              <w:rPr>
                <w:rFonts w:ascii="Arial" w:hAnsi="Arial" w:cs="Arial"/>
                <w:strike/>
                <w:sz w:val="22"/>
                <w:szCs w:val="17"/>
                <w:u w:val="single"/>
                <w:lang w:val="es-ES"/>
              </w:rPr>
              <w:t>e</w:t>
            </w:r>
            <w:r w:rsidR="00AD5C58" w:rsidRPr="00F428F2">
              <w:rPr>
                <w:rFonts w:ascii="Arial" w:hAnsi="Arial" w:cs="Arial"/>
                <w:sz w:val="22"/>
                <w:szCs w:val="17"/>
                <w:u w:val="single"/>
                <w:lang w:val="es-ES"/>
              </w:rPr>
              <w:t>E</w:t>
            </w:r>
            <w:r w:rsidRPr="00F428F2">
              <w:rPr>
                <w:rFonts w:ascii="Arial" w:hAnsi="Arial" w:cs="Arial"/>
                <w:sz w:val="22"/>
                <w:szCs w:val="17"/>
                <w:lang w:val="es-ES"/>
              </w:rPr>
              <w:t>species no paseriformes: </w:t>
            </w:r>
          </w:p>
          <w:p w14:paraId="2CA5D187" w14:textId="77777777" w:rsidR="006306E1" w:rsidRPr="00F428F2" w:rsidRDefault="006306E1" w:rsidP="003222E8">
            <w:pPr>
              <w:jc w:val="both"/>
              <w:rPr>
                <w:rFonts w:ascii="Arial" w:hAnsi="Arial" w:cs="Arial"/>
                <w:sz w:val="22"/>
                <w:szCs w:val="17"/>
                <w:lang w:val="es-ES"/>
              </w:rPr>
            </w:pPr>
          </w:p>
          <w:p w14:paraId="636B54FC" w14:textId="75F1DBED" w:rsidR="006306E1" w:rsidRPr="00451511" w:rsidRDefault="006306E1" w:rsidP="003222E8">
            <w:pPr>
              <w:jc w:val="both"/>
              <w:rPr>
                <w:rFonts w:ascii="Arial" w:hAnsi="Arial" w:cs="Arial"/>
                <w:sz w:val="22"/>
                <w:szCs w:val="17"/>
              </w:rPr>
            </w:pPr>
            <w:r w:rsidRPr="00451511">
              <w:rPr>
                <w:rFonts w:ascii="Arial" w:hAnsi="Arial" w:cs="Arial"/>
                <w:sz w:val="22"/>
                <w:szCs w:val="17"/>
              </w:rPr>
              <w:t>Handbook of the Birds of the World /BirdLife International Illustrated Checklist of the Birds of the World, Volumen 1: no paseriformes, editado por Josep del Hoyo, Nigel J. Collar, David A. Christie, Andrew Elliot y Lincoln D.C. Fishpool (2014); </w:t>
            </w:r>
          </w:p>
        </w:tc>
        <w:tc>
          <w:tcPr>
            <w:tcW w:w="2391" w:type="dxa"/>
            <w:shd w:val="clear" w:color="auto" w:fill="auto"/>
          </w:tcPr>
          <w:p w14:paraId="33C0CDBA" w14:textId="047C08AE"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11.19</w:t>
            </w:r>
          </w:p>
          <w:p w14:paraId="06A115F1" w14:textId="77777777" w:rsidR="006306E1" w:rsidRPr="00F428F2" w:rsidRDefault="006306E1" w:rsidP="00672C25">
            <w:pPr>
              <w:rPr>
                <w:rFonts w:ascii="Arial" w:hAnsi="Arial" w:cs="Arial"/>
                <w:sz w:val="22"/>
                <w:szCs w:val="22"/>
                <w:lang w:val="es-ES"/>
              </w:rPr>
            </w:pPr>
          </w:p>
          <w:p w14:paraId="27A82B0E" w14:textId="7CCFA7B8"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724DA78A" w14:textId="77777777" w:rsidTr="00815B38">
        <w:trPr>
          <w:trHeight w:val="808"/>
        </w:trPr>
        <w:tc>
          <w:tcPr>
            <w:tcW w:w="6467" w:type="dxa"/>
            <w:shd w:val="clear" w:color="auto" w:fill="auto"/>
          </w:tcPr>
          <w:p w14:paraId="06EA9953" w14:textId="7C14EBE4" w:rsidR="006306E1" w:rsidRPr="00F428F2" w:rsidRDefault="006306E1" w:rsidP="003222E8">
            <w:pPr>
              <w:jc w:val="both"/>
              <w:rPr>
                <w:rFonts w:ascii="Arial" w:hAnsi="Arial" w:cs="Arial"/>
                <w:sz w:val="22"/>
                <w:szCs w:val="17"/>
                <w:lang w:val="es-ES"/>
              </w:rPr>
            </w:pPr>
            <w:r w:rsidRPr="00F428F2">
              <w:rPr>
                <w:rFonts w:ascii="Arial" w:hAnsi="Arial" w:cs="Arial"/>
                <w:sz w:val="22"/>
                <w:szCs w:val="17"/>
                <w:lang w:val="es-ES"/>
              </w:rPr>
              <w:t xml:space="preserve">2. </w:t>
            </w:r>
            <w:r w:rsidRPr="00F428F2">
              <w:rPr>
                <w:rFonts w:ascii="Arial" w:hAnsi="Arial" w:cs="Arial"/>
                <w:i/>
                <w:iCs/>
                <w:strike/>
                <w:sz w:val="22"/>
                <w:szCs w:val="17"/>
                <w:lang w:val="es-ES"/>
              </w:rPr>
              <w:t xml:space="preserve">Confirma </w:t>
            </w:r>
            <w:r w:rsidRPr="00F428F2">
              <w:rPr>
                <w:rFonts w:ascii="Arial" w:hAnsi="Arial" w:cs="Arial"/>
                <w:strike/>
                <w:sz w:val="22"/>
                <w:szCs w:val="17"/>
                <w:lang w:val="es-ES"/>
              </w:rPr>
              <w:t>que para las aves</w:t>
            </w:r>
            <w:r w:rsidRPr="00F428F2">
              <w:rPr>
                <w:rFonts w:ascii="Arial" w:hAnsi="Arial" w:cs="Arial"/>
                <w:sz w:val="22"/>
                <w:szCs w:val="17"/>
                <w:lang w:val="es-ES"/>
              </w:rPr>
              <w:t xml:space="preserve"> </w:t>
            </w:r>
            <w:r w:rsidR="009573A9" w:rsidRPr="00F428F2">
              <w:rPr>
                <w:rFonts w:ascii="Arial" w:hAnsi="Arial" w:cs="Arial"/>
                <w:sz w:val="22"/>
                <w:szCs w:val="17"/>
                <w:u w:val="single"/>
                <w:lang w:val="es-ES"/>
              </w:rPr>
              <w:t xml:space="preserve">Especies </w:t>
            </w:r>
            <w:r w:rsidRPr="00F428F2">
              <w:rPr>
                <w:rFonts w:ascii="Arial" w:hAnsi="Arial" w:cs="Arial"/>
                <w:sz w:val="22"/>
                <w:szCs w:val="17"/>
                <w:lang w:val="es-ES"/>
              </w:rPr>
              <w:t xml:space="preserve">paseriformes </w:t>
            </w:r>
            <w:r w:rsidRPr="00F428F2">
              <w:rPr>
                <w:rFonts w:ascii="Arial" w:hAnsi="Arial" w:cs="Arial"/>
                <w:strike/>
                <w:sz w:val="22"/>
                <w:szCs w:val="17"/>
                <w:lang w:val="es-ES"/>
              </w:rPr>
              <w:t>las referencias normalizadas para la taxonomía y la nomenclatura permanecen de momento tal como se describen en la Resolución 6.1, concretamente</w:t>
            </w:r>
            <w:r w:rsidRPr="00F428F2">
              <w:rPr>
                <w:rFonts w:ascii="Arial" w:hAnsi="Arial" w:cs="Arial"/>
                <w:sz w:val="22"/>
                <w:szCs w:val="17"/>
                <w:lang w:val="es-ES"/>
              </w:rPr>
              <w:t>: </w:t>
            </w:r>
          </w:p>
          <w:p w14:paraId="7063EBED" w14:textId="77777777" w:rsidR="006306E1" w:rsidRPr="00F428F2" w:rsidRDefault="006306E1" w:rsidP="003222E8">
            <w:pPr>
              <w:jc w:val="both"/>
              <w:rPr>
                <w:rFonts w:ascii="Arial" w:hAnsi="Arial" w:cs="Arial"/>
                <w:sz w:val="22"/>
                <w:szCs w:val="17"/>
                <w:lang w:val="es-ES"/>
              </w:rPr>
            </w:pPr>
          </w:p>
          <w:p w14:paraId="7108B720" w14:textId="77777777" w:rsidR="006306E1" w:rsidRPr="00F428F2" w:rsidRDefault="006306E1" w:rsidP="003222E8">
            <w:pPr>
              <w:jc w:val="both"/>
              <w:rPr>
                <w:rFonts w:ascii="Arial" w:hAnsi="Arial" w:cs="Arial"/>
                <w:sz w:val="22"/>
                <w:szCs w:val="17"/>
                <w:lang w:val="es-ES"/>
              </w:rPr>
            </w:pPr>
            <w:r w:rsidRPr="00F428F2">
              <w:rPr>
                <w:rFonts w:ascii="Arial" w:hAnsi="Arial" w:cs="Arial"/>
                <w:sz w:val="22"/>
                <w:szCs w:val="17"/>
                <w:lang w:val="es-ES"/>
              </w:rPr>
              <w:lastRenderedPageBreak/>
              <w:t>Para taxonomía y nomenclatura a nivel de orden y familia: </w:t>
            </w:r>
          </w:p>
          <w:p w14:paraId="76664CBE" w14:textId="77777777" w:rsidR="006306E1" w:rsidRPr="00451511" w:rsidRDefault="006306E1" w:rsidP="003222E8">
            <w:pPr>
              <w:jc w:val="both"/>
              <w:rPr>
                <w:rFonts w:ascii="Arial" w:hAnsi="Arial" w:cs="Arial"/>
                <w:sz w:val="22"/>
                <w:szCs w:val="17"/>
              </w:rPr>
            </w:pPr>
            <w:r w:rsidRPr="00451511">
              <w:rPr>
                <w:rFonts w:ascii="Arial" w:hAnsi="Arial" w:cs="Arial"/>
                <w:sz w:val="22"/>
                <w:szCs w:val="17"/>
              </w:rPr>
              <w:t>Morony, J.J., Bock, W.J. and Farrand, J. (1975). Reference List of the Birds of the World. Department of Ornithology, American Museum of Natural History, New York, New York. </w:t>
            </w:r>
          </w:p>
          <w:p w14:paraId="4D9B1A9F" w14:textId="77777777" w:rsidR="006306E1" w:rsidRPr="00F428F2" w:rsidRDefault="006306E1" w:rsidP="003222E8">
            <w:pPr>
              <w:jc w:val="both"/>
              <w:rPr>
                <w:rFonts w:ascii="Arial" w:hAnsi="Arial" w:cs="Arial"/>
                <w:sz w:val="22"/>
                <w:szCs w:val="17"/>
                <w:lang w:val="es-ES"/>
              </w:rPr>
            </w:pPr>
            <w:r w:rsidRPr="00F428F2">
              <w:rPr>
                <w:rFonts w:ascii="Arial" w:hAnsi="Arial" w:cs="Arial"/>
                <w:sz w:val="22"/>
                <w:szCs w:val="17"/>
                <w:lang w:val="es-ES"/>
              </w:rPr>
              <w:t>Para taxonomía y nomenclatura a nivel de género y especie. </w:t>
            </w:r>
          </w:p>
          <w:p w14:paraId="52591A81" w14:textId="77777777" w:rsidR="006306E1" w:rsidRPr="00451511" w:rsidRDefault="006306E1" w:rsidP="003222E8">
            <w:pPr>
              <w:jc w:val="both"/>
              <w:rPr>
                <w:rFonts w:ascii="Arial" w:hAnsi="Arial" w:cs="Arial"/>
                <w:sz w:val="22"/>
                <w:szCs w:val="17"/>
              </w:rPr>
            </w:pPr>
            <w:r w:rsidRPr="00451511">
              <w:rPr>
                <w:rFonts w:ascii="Arial" w:hAnsi="Arial" w:cs="Arial"/>
                <w:sz w:val="22"/>
                <w:szCs w:val="17"/>
              </w:rPr>
              <w:t>Sibley, C.G. and Monroe, B.L. (1990). Distribution and taxonomy of birds of the world. Yale University Press, New Haven. </w:t>
            </w:r>
          </w:p>
          <w:p w14:paraId="22F8ABDE" w14:textId="7643DBD1" w:rsidR="006306E1" w:rsidRPr="00F428F2" w:rsidRDefault="006306E1" w:rsidP="003222E8">
            <w:pPr>
              <w:jc w:val="both"/>
              <w:rPr>
                <w:rFonts w:ascii="Arial" w:hAnsi="Arial" w:cs="Arial"/>
                <w:sz w:val="22"/>
                <w:szCs w:val="17"/>
                <w:lang w:val="es-ES"/>
              </w:rPr>
            </w:pPr>
            <w:r w:rsidRPr="00451511">
              <w:rPr>
                <w:rFonts w:ascii="Arial" w:hAnsi="Arial" w:cs="Arial"/>
                <w:sz w:val="22"/>
                <w:szCs w:val="17"/>
              </w:rPr>
              <w:t xml:space="preserve">Sibley, C.G. and Monroe, B.L. (1993). A supplement to distribution and taxonomy of birds of the world. </w:t>
            </w:r>
            <w:r w:rsidRPr="00F428F2">
              <w:rPr>
                <w:rFonts w:ascii="Arial" w:hAnsi="Arial" w:cs="Arial"/>
                <w:sz w:val="22"/>
                <w:szCs w:val="17"/>
                <w:lang w:val="es-ES"/>
              </w:rPr>
              <w:t>Yale University Press, New Haven .</w:t>
            </w:r>
          </w:p>
        </w:tc>
        <w:tc>
          <w:tcPr>
            <w:tcW w:w="2391" w:type="dxa"/>
            <w:shd w:val="clear" w:color="auto" w:fill="auto"/>
          </w:tcPr>
          <w:p w14:paraId="056E77DE" w14:textId="4886CC23"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lastRenderedPageBreak/>
              <w:t>Resolución 11.19</w:t>
            </w:r>
          </w:p>
          <w:p w14:paraId="79F932AC" w14:textId="77777777" w:rsidR="006306E1" w:rsidRPr="00F428F2" w:rsidRDefault="006306E1" w:rsidP="00672C25">
            <w:pPr>
              <w:rPr>
                <w:rFonts w:ascii="Arial" w:hAnsi="Arial" w:cs="Arial"/>
                <w:sz w:val="22"/>
                <w:szCs w:val="22"/>
                <w:lang w:val="es-ES"/>
              </w:rPr>
            </w:pPr>
          </w:p>
          <w:p w14:paraId="38E6335F" w14:textId="4C34CFA9"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78DCE501" w14:textId="77777777" w:rsidTr="00815B38">
        <w:trPr>
          <w:trHeight w:val="808"/>
        </w:trPr>
        <w:tc>
          <w:tcPr>
            <w:tcW w:w="6467" w:type="dxa"/>
            <w:shd w:val="clear" w:color="auto" w:fill="auto"/>
          </w:tcPr>
          <w:p w14:paraId="247C5C47" w14:textId="02C0E90C" w:rsidR="00A370EE" w:rsidRPr="00F428F2" w:rsidRDefault="00F111C1" w:rsidP="003222E8">
            <w:pPr>
              <w:jc w:val="both"/>
              <w:rPr>
                <w:rFonts w:ascii="Arial" w:hAnsi="Arial" w:cs="Arial"/>
                <w:sz w:val="22"/>
                <w:szCs w:val="17"/>
                <w:u w:val="single"/>
                <w:lang w:val="es-ES"/>
              </w:rPr>
            </w:pPr>
            <w:r w:rsidRPr="00F428F2">
              <w:rPr>
                <w:rFonts w:ascii="Arial" w:hAnsi="Arial" w:cs="Arial"/>
                <w:sz w:val="22"/>
                <w:szCs w:val="17"/>
                <w:u w:val="single"/>
                <w:lang w:val="es-ES"/>
              </w:rPr>
              <w:t>Los albatros y grandes petreles</w:t>
            </w:r>
          </w:p>
          <w:p w14:paraId="5E5DF9AD" w14:textId="537C7D8C" w:rsidR="006306E1" w:rsidRPr="00F428F2" w:rsidRDefault="006306E1" w:rsidP="003222E8">
            <w:pPr>
              <w:jc w:val="both"/>
              <w:rPr>
                <w:rFonts w:ascii="Arial" w:hAnsi="Arial" w:cs="Arial"/>
                <w:sz w:val="22"/>
                <w:szCs w:val="17"/>
                <w:lang w:val="es-ES"/>
              </w:rPr>
            </w:pPr>
            <w:r w:rsidRPr="00F428F2">
              <w:rPr>
                <w:rFonts w:ascii="Arial" w:hAnsi="Arial" w:cs="Arial"/>
                <w:strike/>
                <w:sz w:val="22"/>
                <w:szCs w:val="17"/>
                <w:lang w:val="es-ES"/>
              </w:rPr>
              <w:t xml:space="preserve">1. </w:t>
            </w:r>
            <w:r w:rsidRPr="00F428F2">
              <w:rPr>
                <w:rFonts w:ascii="Arial" w:hAnsi="Arial" w:cs="Arial"/>
                <w:i/>
                <w:iCs/>
                <w:strike/>
                <w:sz w:val="22"/>
                <w:szCs w:val="17"/>
                <w:lang w:val="es-ES"/>
              </w:rPr>
              <w:t>Adopta</w:t>
            </w:r>
            <w:r w:rsidRPr="00F428F2">
              <w:rPr>
                <w:rFonts w:ascii="Arial" w:hAnsi="Arial" w:cs="Arial"/>
                <w:i/>
                <w:iCs/>
                <w:sz w:val="22"/>
                <w:szCs w:val="17"/>
                <w:lang w:val="es-ES"/>
              </w:rPr>
              <w:t xml:space="preserve"> </w:t>
            </w:r>
            <w:r w:rsidRPr="00F428F2">
              <w:rPr>
                <w:rFonts w:ascii="Arial" w:hAnsi="Arial" w:cs="Arial"/>
                <w:sz w:val="22"/>
                <w:szCs w:val="17"/>
                <w:lang w:val="es-ES"/>
              </w:rPr>
              <w:t xml:space="preserve">la taxonomía utilizada por ACAP </w:t>
            </w:r>
            <w:r w:rsidRPr="00F428F2">
              <w:rPr>
                <w:rFonts w:ascii="Arial" w:hAnsi="Arial" w:cs="Arial"/>
                <w:strike/>
                <w:sz w:val="22"/>
                <w:szCs w:val="17"/>
                <w:lang w:val="es-ES"/>
              </w:rPr>
              <w:t>como referencia estándar de nomenclatura de la Convención para los albatros y grandes petreles</w:t>
            </w:r>
            <w:r w:rsidRPr="00F428F2">
              <w:rPr>
                <w:rFonts w:ascii="Arial" w:hAnsi="Arial" w:cs="Arial"/>
                <w:sz w:val="22"/>
                <w:szCs w:val="17"/>
                <w:lang w:val="es-ES"/>
              </w:rPr>
              <w:t>; </w:t>
            </w:r>
          </w:p>
        </w:tc>
        <w:tc>
          <w:tcPr>
            <w:tcW w:w="2391" w:type="dxa"/>
            <w:shd w:val="clear" w:color="auto" w:fill="auto"/>
          </w:tcPr>
          <w:p w14:paraId="4475D5A8" w14:textId="49442DF1"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Resolución 10.13</w:t>
            </w:r>
          </w:p>
          <w:p w14:paraId="77925A01" w14:textId="77777777" w:rsidR="006306E1" w:rsidRPr="00F428F2" w:rsidRDefault="006306E1" w:rsidP="00672C25">
            <w:pPr>
              <w:rPr>
                <w:rFonts w:ascii="Arial" w:hAnsi="Arial" w:cs="Arial"/>
                <w:sz w:val="22"/>
                <w:szCs w:val="22"/>
                <w:lang w:val="es-ES"/>
              </w:rPr>
            </w:pPr>
          </w:p>
          <w:p w14:paraId="56403923" w14:textId="6752FF4D"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3592A763" w14:textId="77777777" w:rsidTr="00815B38">
        <w:trPr>
          <w:trHeight w:val="808"/>
        </w:trPr>
        <w:tc>
          <w:tcPr>
            <w:tcW w:w="6467" w:type="dxa"/>
            <w:shd w:val="clear" w:color="auto" w:fill="auto"/>
          </w:tcPr>
          <w:p w14:paraId="49DE323B" w14:textId="77777777" w:rsidR="006306E1" w:rsidRPr="00F428F2" w:rsidRDefault="006306E1" w:rsidP="003222E8">
            <w:pPr>
              <w:jc w:val="both"/>
              <w:rPr>
                <w:rFonts w:ascii="Arial" w:hAnsi="Arial" w:cs="Arial"/>
                <w:strike/>
                <w:sz w:val="22"/>
                <w:szCs w:val="17"/>
                <w:lang w:val="es-ES"/>
              </w:rPr>
            </w:pPr>
            <w:r w:rsidRPr="00F428F2">
              <w:rPr>
                <w:rFonts w:ascii="Arial" w:hAnsi="Arial" w:cs="Arial"/>
                <w:strike/>
                <w:sz w:val="22"/>
                <w:szCs w:val="17"/>
                <w:lang w:val="es-ES"/>
              </w:rPr>
              <w:t>Respecto de la clasificación taxonómica y la nomenclatura al nivel de los órdenes y las familias:</w:t>
            </w:r>
          </w:p>
          <w:p w14:paraId="6C39CB4F" w14:textId="77777777" w:rsidR="006306E1" w:rsidRPr="00451511" w:rsidRDefault="006306E1" w:rsidP="003222E8">
            <w:pPr>
              <w:jc w:val="both"/>
              <w:rPr>
                <w:rFonts w:ascii="Arial" w:hAnsi="Arial" w:cs="Arial"/>
                <w:strike/>
                <w:sz w:val="22"/>
                <w:szCs w:val="17"/>
              </w:rPr>
            </w:pPr>
            <w:r w:rsidRPr="00451511">
              <w:rPr>
                <w:rFonts w:ascii="Arial" w:hAnsi="Arial" w:cs="Arial"/>
                <w:strike/>
                <w:sz w:val="22"/>
                <w:szCs w:val="17"/>
              </w:rPr>
              <w:t>c) Morony, J.J., Bock. W.J. and Farrand, J. (1975). Reference List of the Birds of the World.</w:t>
            </w:r>
          </w:p>
          <w:p w14:paraId="003999A7" w14:textId="77777777" w:rsidR="006306E1" w:rsidRPr="00451511" w:rsidRDefault="006306E1" w:rsidP="003222E8">
            <w:pPr>
              <w:jc w:val="both"/>
              <w:rPr>
                <w:rFonts w:ascii="Arial" w:hAnsi="Arial" w:cs="Arial"/>
                <w:strike/>
                <w:sz w:val="22"/>
                <w:szCs w:val="17"/>
              </w:rPr>
            </w:pPr>
            <w:r w:rsidRPr="00451511">
              <w:rPr>
                <w:rFonts w:ascii="Arial" w:hAnsi="Arial" w:cs="Arial"/>
                <w:strike/>
                <w:sz w:val="22"/>
                <w:szCs w:val="17"/>
              </w:rPr>
              <w:t>Department of Ornithology, American Museum of Natural History, New York, New York.</w:t>
            </w:r>
          </w:p>
          <w:p w14:paraId="3CC84A33" w14:textId="77777777" w:rsidR="006306E1" w:rsidRPr="00451511" w:rsidRDefault="006306E1" w:rsidP="003222E8">
            <w:pPr>
              <w:jc w:val="both"/>
              <w:rPr>
                <w:rFonts w:ascii="Arial" w:hAnsi="Arial" w:cs="Arial"/>
                <w:strike/>
                <w:sz w:val="22"/>
                <w:szCs w:val="17"/>
              </w:rPr>
            </w:pPr>
          </w:p>
          <w:p w14:paraId="33BE022B" w14:textId="77777777" w:rsidR="006306E1" w:rsidRPr="00F428F2" w:rsidRDefault="006306E1" w:rsidP="003222E8">
            <w:pPr>
              <w:jc w:val="both"/>
              <w:rPr>
                <w:rFonts w:ascii="Arial" w:hAnsi="Arial" w:cs="Arial"/>
                <w:strike/>
                <w:sz w:val="22"/>
                <w:szCs w:val="17"/>
                <w:lang w:val="es-ES"/>
              </w:rPr>
            </w:pPr>
            <w:r w:rsidRPr="00F428F2">
              <w:rPr>
                <w:rFonts w:ascii="Arial" w:hAnsi="Arial" w:cs="Arial"/>
                <w:strike/>
                <w:sz w:val="22"/>
                <w:szCs w:val="17"/>
                <w:lang w:val="es-ES"/>
              </w:rPr>
              <w:t>Respecto de la clasificación taxonómica y la nomenclatura al nivel de los géneros y las especies:</w:t>
            </w:r>
          </w:p>
          <w:p w14:paraId="24B4869E" w14:textId="77777777" w:rsidR="006306E1" w:rsidRPr="00F428F2" w:rsidRDefault="006306E1" w:rsidP="003222E8">
            <w:pPr>
              <w:jc w:val="both"/>
              <w:rPr>
                <w:rFonts w:ascii="Arial" w:hAnsi="Arial" w:cs="Arial"/>
                <w:strike/>
                <w:sz w:val="22"/>
                <w:szCs w:val="17"/>
                <w:lang w:val="es-ES"/>
              </w:rPr>
            </w:pPr>
          </w:p>
          <w:p w14:paraId="78129F38" w14:textId="78D26B6D" w:rsidR="006306E1" w:rsidRPr="00451511" w:rsidRDefault="006306E1" w:rsidP="003222E8">
            <w:pPr>
              <w:jc w:val="both"/>
              <w:rPr>
                <w:rFonts w:ascii="Arial" w:hAnsi="Arial" w:cs="Arial"/>
                <w:strike/>
                <w:sz w:val="22"/>
                <w:szCs w:val="17"/>
              </w:rPr>
            </w:pPr>
            <w:r w:rsidRPr="00451511">
              <w:rPr>
                <w:rFonts w:ascii="Arial" w:hAnsi="Arial" w:cs="Arial"/>
                <w:strike/>
                <w:sz w:val="22"/>
                <w:szCs w:val="17"/>
              </w:rPr>
              <w:t>d) Sibley, C.G. and Monroe, B.L. (1990). Distribution and taxonomy of birds of the world. Yale University Press, New Haven.</w:t>
            </w:r>
          </w:p>
          <w:p w14:paraId="4F6F1EB6" w14:textId="24E514C2" w:rsidR="006306E1" w:rsidRPr="00F428F2" w:rsidRDefault="006306E1" w:rsidP="003222E8">
            <w:pPr>
              <w:jc w:val="both"/>
              <w:rPr>
                <w:rFonts w:ascii="Arial" w:hAnsi="Arial" w:cs="Arial"/>
                <w:strike/>
                <w:sz w:val="22"/>
                <w:szCs w:val="17"/>
                <w:lang w:val="es-ES"/>
              </w:rPr>
            </w:pPr>
            <w:r w:rsidRPr="00451511">
              <w:rPr>
                <w:rFonts w:ascii="Arial" w:hAnsi="Arial" w:cs="Arial"/>
                <w:strike/>
                <w:sz w:val="22"/>
                <w:szCs w:val="17"/>
              </w:rPr>
              <w:t xml:space="preserve">e) Sibley, C.G. and Monroe, B.L. (1993) A supplement to Distribution and taxonomy of birds of the world. </w:t>
            </w:r>
            <w:r w:rsidRPr="00F428F2">
              <w:rPr>
                <w:rFonts w:ascii="Arial" w:hAnsi="Arial" w:cs="Arial"/>
                <w:strike/>
                <w:sz w:val="22"/>
                <w:szCs w:val="17"/>
                <w:lang w:val="es-ES"/>
              </w:rPr>
              <w:t>Yale University Press, New Haven</w:t>
            </w:r>
          </w:p>
        </w:tc>
        <w:tc>
          <w:tcPr>
            <w:tcW w:w="2391" w:type="dxa"/>
            <w:shd w:val="clear" w:color="auto" w:fill="auto"/>
          </w:tcPr>
          <w:p w14:paraId="77F63843" w14:textId="7FCEF8A1" w:rsidR="006306E1" w:rsidRPr="00F428F2" w:rsidRDefault="006306E1" w:rsidP="00672C25">
            <w:pPr>
              <w:rPr>
                <w:rFonts w:ascii="Arial" w:hAnsi="Arial" w:cs="Arial"/>
                <w:sz w:val="22"/>
                <w:szCs w:val="22"/>
                <w:lang w:val="es-ES"/>
              </w:rPr>
            </w:pPr>
            <w:r w:rsidRPr="00F428F2">
              <w:rPr>
                <w:rFonts w:ascii="Arial" w:hAnsi="Arial" w:cs="Arial"/>
                <w:sz w:val="22"/>
                <w:szCs w:val="22"/>
                <w:lang w:val="es-ES"/>
              </w:rPr>
              <w:t>Recomendación 6.1</w:t>
            </w:r>
          </w:p>
          <w:p w14:paraId="3BD96551" w14:textId="77777777" w:rsidR="006306E1" w:rsidRPr="00F428F2" w:rsidRDefault="006306E1" w:rsidP="00672C25">
            <w:pPr>
              <w:rPr>
                <w:rFonts w:ascii="Arial" w:hAnsi="Arial" w:cs="Arial"/>
                <w:sz w:val="22"/>
                <w:szCs w:val="22"/>
                <w:lang w:val="es-ES"/>
              </w:rPr>
            </w:pPr>
          </w:p>
          <w:p w14:paraId="74F9FE03" w14:textId="53826BA7"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Revocar; redundante</w:t>
            </w:r>
          </w:p>
        </w:tc>
      </w:tr>
      <w:tr w:rsidR="006306E1" w:rsidRPr="00F428F2" w14:paraId="1AC8FCAC" w14:textId="77777777" w:rsidTr="00815B38">
        <w:trPr>
          <w:trHeight w:val="295"/>
        </w:trPr>
        <w:tc>
          <w:tcPr>
            <w:tcW w:w="6467" w:type="dxa"/>
            <w:shd w:val="clear" w:color="auto" w:fill="auto"/>
          </w:tcPr>
          <w:p w14:paraId="2B5F919B" w14:textId="22E763E5" w:rsidR="006306E1" w:rsidRPr="00F428F2" w:rsidRDefault="006306E1" w:rsidP="008C297C">
            <w:pPr>
              <w:rPr>
                <w:rFonts w:ascii="Arial" w:hAnsi="Arial" w:cs="Arial"/>
                <w:i/>
                <w:sz w:val="22"/>
                <w:szCs w:val="17"/>
                <w:lang w:val="es-ES"/>
              </w:rPr>
            </w:pPr>
            <w:r w:rsidRPr="00F428F2">
              <w:rPr>
                <w:rFonts w:ascii="Arial" w:hAnsi="Arial" w:cs="Arial"/>
                <w:i/>
                <w:sz w:val="22"/>
                <w:szCs w:val="17"/>
                <w:lang w:val="es-ES"/>
              </w:rPr>
              <w:t>Tortugas marinas</w:t>
            </w:r>
          </w:p>
        </w:tc>
        <w:tc>
          <w:tcPr>
            <w:tcW w:w="2391" w:type="dxa"/>
            <w:shd w:val="clear" w:color="auto" w:fill="auto"/>
          </w:tcPr>
          <w:p w14:paraId="0C61B0D1" w14:textId="77777777" w:rsidR="006306E1" w:rsidRPr="00F428F2" w:rsidRDefault="006306E1" w:rsidP="00EE04BC">
            <w:pPr>
              <w:jc w:val="both"/>
              <w:rPr>
                <w:rFonts w:ascii="Arial" w:hAnsi="Arial" w:cs="Arial"/>
                <w:sz w:val="22"/>
                <w:szCs w:val="22"/>
                <w:lang w:val="es-ES"/>
              </w:rPr>
            </w:pPr>
          </w:p>
        </w:tc>
      </w:tr>
      <w:tr w:rsidR="006306E1" w:rsidRPr="00F428F2" w14:paraId="1F60234A" w14:textId="77777777" w:rsidTr="00815B38">
        <w:trPr>
          <w:trHeight w:val="808"/>
        </w:trPr>
        <w:tc>
          <w:tcPr>
            <w:tcW w:w="6467" w:type="dxa"/>
            <w:shd w:val="clear" w:color="auto" w:fill="auto"/>
          </w:tcPr>
          <w:p w14:paraId="33A1E248" w14:textId="58334073" w:rsidR="006306E1" w:rsidRPr="00F428F2" w:rsidRDefault="006306E1" w:rsidP="00A61BDB">
            <w:pPr>
              <w:jc w:val="both"/>
              <w:rPr>
                <w:rFonts w:ascii="Arial" w:hAnsi="Arial" w:cs="Arial"/>
                <w:sz w:val="22"/>
                <w:szCs w:val="17"/>
                <w:lang w:val="es-ES"/>
              </w:rPr>
            </w:pPr>
            <w:r w:rsidRPr="00451511">
              <w:rPr>
                <w:rFonts w:ascii="Arial" w:hAnsi="Arial" w:cs="Arial"/>
                <w:strike/>
                <w:sz w:val="22"/>
                <w:szCs w:val="17"/>
              </w:rPr>
              <w:t>f)</w:t>
            </w:r>
            <w:r w:rsidRPr="00451511">
              <w:rPr>
                <w:rFonts w:ascii="Arial" w:hAnsi="Arial" w:cs="Arial"/>
                <w:sz w:val="22"/>
                <w:szCs w:val="17"/>
              </w:rPr>
              <w:t xml:space="preserve"> Eckert, K.L., Bjorndal, K.A., Abreu-Grobois, F.A. and Donnelly, M. (Eds) (1999). Research and Management techniques for the conservation of sea turtles. </w:t>
            </w:r>
            <w:r w:rsidRPr="00F428F2">
              <w:rPr>
                <w:rFonts w:ascii="Arial" w:hAnsi="Arial" w:cs="Arial"/>
                <w:sz w:val="22"/>
                <w:szCs w:val="17"/>
                <w:lang w:val="es-ES"/>
              </w:rPr>
              <w:t>IUCN/SSC Marine Turtle Specialist Group Publication N° 4.</w:t>
            </w:r>
          </w:p>
        </w:tc>
        <w:tc>
          <w:tcPr>
            <w:tcW w:w="2391" w:type="dxa"/>
            <w:shd w:val="clear" w:color="auto" w:fill="auto"/>
          </w:tcPr>
          <w:p w14:paraId="76191C50" w14:textId="77777777"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Recomendación 6.1</w:t>
            </w:r>
          </w:p>
          <w:p w14:paraId="4FA32CE2" w14:textId="77777777" w:rsidR="006306E1" w:rsidRPr="00F428F2" w:rsidRDefault="006306E1" w:rsidP="00EE04BC">
            <w:pPr>
              <w:jc w:val="both"/>
              <w:rPr>
                <w:rFonts w:ascii="Arial" w:hAnsi="Arial" w:cs="Arial"/>
                <w:sz w:val="22"/>
                <w:szCs w:val="22"/>
                <w:lang w:val="es-ES"/>
              </w:rPr>
            </w:pPr>
          </w:p>
          <w:p w14:paraId="6472B394" w14:textId="41FDA7BA"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r w:rsidR="006306E1" w:rsidRPr="00F428F2" w14:paraId="4A9D70AE" w14:textId="77777777" w:rsidTr="00815B38">
        <w:trPr>
          <w:trHeight w:val="367"/>
        </w:trPr>
        <w:tc>
          <w:tcPr>
            <w:tcW w:w="6467" w:type="dxa"/>
            <w:shd w:val="clear" w:color="auto" w:fill="auto"/>
          </w:tcPr>
          <w:p w14:paraId="5A7E1497" w14:textId="37C51544" w:rsidR="006306E1" w:rsidRPr="00F428F2" w:rsidRDefault="006306E1" w:rsidP="00A61BDB">
            <w:pPr>
              <w:jc w:val="both"/>
              <w:rPr>
                <w:rFonts w:ascii="Arial" w:hAnsi="Arial" w:cs="Arial"/>
                <w:i/>
                <w:sz w:val="22"/>
                <w:szCs w:val="22"/>
                <w:lang w:val="es-ES"/>
              </w:rPr>
            </w:pPr>
            <w:r w:rsidRPr="00F428F2">
              <w:rPr>
                <w:rFonts w:ascii="Arial" w:hAnsi="Arial" w:cs="Arial"/>
                <w:i/>
                <w:sz w:val="22"/>
                <w:szCs w:val="22"/>
                <w:lang w:val="es-ES"/>
              </w:rPr>
              <w:t>Peces</w:t>
            </w:r>
          </w:p>
        </w:tc>
        <w:tc>
          <w:tcPr>
            <w:tcW w:w="2391" w:type="dxa"/>
            <w:shd w:val="clear" w:color="auto" w:fill="auto"/>
          </w:tcPr>
          <w:p w14:paraId="31E8CA16" w14:textId="77777777" w:rsidR="006306E1" w:rsidRPr="00F428F2" w:rsidRDefault="006306E1" w:rsidP="00EE04BC">
            <w:pPr>
              <w:jc w:val="both"/>
              <w:rPr>
                <w:rFonts w:ascii="Arial" w:hAnsi="Arial" w:cs="Arial"/>
                <w:sz w:val="22"/>
                <w:szCs w:val="22"/>
                <w:lang w:val="es-ES"/>
              </w:rPr>
            </w:pPr>
          </w:p>
        </w:tc>
      </w:tr>
      <w:tr w:rsidR="006306E1" w:rsidRPr="00F428F2" w14:paraId="254A5F1C" w14:textId="77777777" w:rsidTr="00815B38">
        <w:trPr>
          <w:trHeight w:val="808"/>
        </w:trPr>
        <w:tc>
          <w:tcPr>
            <w:tcW w:w="6467" w:type="dxa"/>
            <w:shd w:val="clear" w:color="auto" w:fill="auto"/>
          </w:tcPr>
          <w:p w14:paraId="52D17C1B" w14:textId="269D615A" w:rsidR="006306E1" w:rsidRPr="00F428F2" w:rsidRDefault="006306E1" w:rsidP="00A61BDB">
            <w:pPr>
              <w:jc w:val="both"/>
              <w:rPr>
                <w:rFonts w:ascii="Arial" w:hAnsi="Arial" w:cs="Arial"/>
                <w:sz w:val="22"/>
                <w:szCs w:val="17"/>
                <w:lang w:val="es-ES"/>
              </w:rPr>
            </w:pPr>
            <w:r w:rsidRPr="00451511">
              <w:rPr>
                <w:rFonts w:ascii="Arial" w:hAnsi="Arial" w:cs="Arial"/>
                <w:strike/>
                <w:sz w:val="22"/>
                <w:szCs w:val="17"/>
              </w:rPr>
              <w:t>g)</w:t>
            </w:r>
            <w:r w:rsidRPr="00451511">
              <w:rPr>
                <w:rFonts w:ascii="Arial" w:hAnsi="Arial" w:cs="Arial"/>
                <w:sz w:val="22"/>
                <w:szCs w:val="17"/>
              </w:rPr>
              <w:t xml:space="preserve"> Eschmeyer, W.N. (1990). Catalogue of the Genera of Recent Fishes. </w:t>
            </w:r>
            <w:r w:rsidRPr="00F428F2">
              <w:rPr>
                <w:rFonts w:ascii="Arial" w:hAnsi="Arial" w:cs="Arial"/>
                <w:sz w:val="22"/>
                <w:szCs w:val="17"/>
                <w:lang w:val="es-ES"/>
              </w:rPr>
              <w:t>California Academy of Sciences, San Francisco, California.</w:t>
            </w:r>
          </w:p>
        </w:tc>
        <w:tc>
          <w:tcPr>
            <w:tcW w:w="2391" w:type="dxa"/>
            <w:shd w:val="clear" w:color="auto" w:fill="auto"/>
          </w:tcPr>
          <w:p w14:paraId="3B186B4E" w14:textId="77777777"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Recomendación 6.1</w:t>
            </w:r>
          </w:p>
          <w:p w14:paraId="32D955EB" w14:textId="77777777" w:rsidR="006306E1" w:rsidRPr="00F428F2" w:rsidRDefault="006306E1" w:rsidP="00EE04BC">
            <w:pPr>
              <w:jc w:val="both"/>
              <w:rPr>
                <w:rFonts w:ascii="Arial" w:hAnsi="Arial" w:cs="Arial"/>
                <w:sz w:val="22"/>
                <w:szCs w:val="22"/>
                <w:lang w:val="es-ES"/>
              </w:rPr>
            </w:pPr>
          </w:p>
          <w:p w14:paraId="4992F193" w14:textId="56C1F641" w:rsidR="006306E1" w:rsidRPr="00F428F2" w:rsidRDefault="006306E1" w:rsidP="00EE04BC">
            <w:pPr>
              <w:jc w:val="both"/>
              <w:rPr>
                <w:rFonts w:ascii="Arial" w:hAnsi="Arial" w:cs="Arial"/>
                <w:sz w:val="22"/>
                <w:szCs w:val="22"/>
                <w:lang w:val="es-ES"/>
              </w:rPr>
            </w:pPr>
            <w:r w:rsidRPr="00F428F2">
              <w:rPr>
                <w:rFonts w:ascii="Arial" w:hAnsi="Arial" w:cs="Arial"/>
                <w:sz w:val="22"/>
                <w:szCs w:val="22"/>
                <w:lang w:val="es-ES"/>
              </w:rPr>
              <w:t>Mantener</w:t>
            </w:r>
          </w:p>
        </w:tc>
      </w:tr>
    </w:tbl>
    <w:p w14:paraId="3ADE910B" w14:textId="77777777" w:rsidR="0048197A" w:rsidRPr="00F428F2" w:rsidRDefault="0048197A" w:rsidP="00D93411">
      <w:pPr>
        <w:jc w:val="both"/>
        <w:rPr>
          <w:rFonts w:ascii="Arial" w:hAnsi="Arial" w:cs="Arial"/>
          <w:sz w:val="22"/>
          <w:szCs w:val="22"/>
          <w:lang w:val="es-ES"/>
        </w:rPr>
      </w:pPr>
    </w:p>
    <w:p w14:paraId="118E9711" w14:textId="200DE2BC" w:rsidR="00D80EC0" w:rsidRPr="00F428F2"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F428F2" w:rsidRDefault="00E52FB6" w:rsidP="00672C25">
      <w:pPr>
        <w:ind w:left="330"/>
        <w:jc w:val="both"/>
        <w:rPr>
          <w:rFonts w:ascii="Arial" w:hAnsi="Arial" w:cs="Arial"/>
          <w:sz w:val="22"/>
          <w:szCs w:val="22"/>
          <w:lang w:val="es-ES"/>
        </w:rPr>
      </w:pPr>
      <w:r w:rsidRPr="00F428F2">
        <w:rPr>
          <w:rFonts w:ascii="Arial" w:hAnsi="Arial" w:cs="Arial"/>
          <w:sz w:val="22"/>
          <w:szCs w:val="22"/>
          <w:lang w:val="es-ES"/>
        </w:rPr>
        <w:t> </w:t>
      </w:r>
    </w:p>
    <w:p w14:paraId="28E84DFB" w14:textId="77777777" w:rsidR="00E52FB6" w:rsidRPr="00F428F2"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F428F2" w:rsidSect="000B0491">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F428F2"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F428F2">
        <w:rPr>
          <w:rFonts w:ascii="Arial" w:hAnsi="Arial" w:cs="Arial"/>
          <w:b/>
          <w:caps/>
          <w:sz w:val="22"/>
          <w:szCs w:val="22"/>
          <w:lang w:val="es-ES"/>
        </w:rPr>
        <w:lastRenderedPageBreak/>
        <w:t>Anexo</w:t>
      </w:r>
      <w:r w:rsidR="00D80EC0" w:rsidRPr="00F428F2">
        <w:rPr>
          <w:rFonts w:ascii="Arial" w:hAnsi="Arial" w:cs="Arial"/>
          <w:b/>
          <w:caps/>
          <w:sz w:val="22"/>
          <w:szCs w:val="22"/>
          <w:lang w:val="es-ES"/>
        </w:rPr>
        <w:t xml:space="preserve"> 2</w:t>
      </w:r>
    </w:p>
    <w:p w14:paraId="5ED39C0E" w14:textId="72A20675" w:rsidR="007B646D" w:rsidRPr="00F428F2" w:rsidRDefault="007B646D" w:rsidP="007B646D">
      <w:pPr>
        <w:spacing w:before="100" w:beforeAutospacing="1" w:after="100" w:afterAutospacing="1"/>
        <w:jc w:val="center"/>
        <w:rPr>
          <w:rFonts w:ascii="Arial" w:hAnsi="Arial" w:cs="Arial"/>
          <w:b/>
          <w:caps/>
          <w:sz w:val="22"/>
          <w:szCs w:val="22"/>
          <w:lang w:val="es-ES"/>
        </w:rPr>
      </w:pPr>
      <w:r w:rsidRPr="00F428F2">
        <w:rPr>
          <w:rFonts w:ascii="Arial" w:hAnsi="Arial" w:cs="Arial"/>
          <w:b/>
          <w:caps/>
          <w:sz w:val="22"/>
          <w:szCs w:val="22"/>
          <w:lang w:val="es-ES"/>
        </w:rPr>
        <w:t>Resolu</w:t>
      </w:r>
      <w:r w:rsidR="005103DA" w:rsidRPr="00F428F2">
        <w:rPr>
          <w:rFonts w:ascii="Arial" w:hAnsi="Arial" w:cs="Arial"/>
          <w:b/>
          <w:caps/>
          <w:sz w:val="22"/>
          <w:szCs w:val="22"/>
          <w:lang w:val="es-ES"/>
        </w:rPr>
        <w:t>ció</w:t>
      </w:r>
      <w:r w:rsidR="00E14C89" w:rsidRPr="00F428F2">
        <w:rPr>
          <w:rFonts w:ascii="Arial" w:hAnsi="Arial" w:cs="Arial"/>
          <w:b/>
          <w:caps/>
          <w:sz w:val="22"/>
          <w:szCs w:val="22"/>
          <w:lang w:val="es-ES"/>
        </w:rPr>
        <w:t>n 12.X</w:t>
      </w:r>
      <w:r w:rsidR="0000703C" w:rsidRPr="00F428F2">
        <w:rPr>
          <w:rFonts w:ascii="Arial" w:hAnsi="Arial" w:cs="Arial"/>
          <w:b/>
          <w:caps/>
          <w:sz w:val="22"/>
          <w:szCs w:val="22"/>
          <w:lang w:val="es-ES"/>
        </w:rPr>
        <w:t>X</w:t>
      </w:r>
    </w:p>
    <w:p w14:paraId="36902923" w14:textId="3E3E4741" w:rsidR="003415ED" w:rsidRPr="00F428F2" w:rsidRDefault="00673CB7" w:rsidP="005103DA">
      <w:pPr>
        <w:pStyle w:val="ListParagraph"/>
        <w:widowControl/>
        <w:autoSpaceDE/>
        <w:autoSpaceDN/>
        <w:adjustRightInd/>
        <w:ind w:left="0"/>
        <w:jc w:val="center"/>
        <w:rPr>
          <w:rFonts w:ascii="Arial" w:hAnsi="Arial" w:cs="Arial"/>
          <w:b/>
          <w:bCs/>
          <w:caps/>
          <w:sz w:val="22"/>
          <w:szCs w:val="22"/>
          <w:lang w:val="es-ES"/>
        </w:rPr>
      </w:pPr>
      <w:r w:rsidRPr="00F428F2">
        <w:rPr>
          <w:rFonts w:ascii="Arial" w:hAnsi="Arial" w:cs="Arial"/>
          <w:b/>
          <w:bCs/>
          <w:caps/>
          <w:sz w:val="22"/>
          <w:szCs w:val="22"/>
          <w:lang w:val="es-ES"/>
        </w:rPr>
        <w:t>taxonomia y Nomenclatura</w:t>
      </w:r>
    </w:p>
    <w:p w14:paraId="33267403" w14:textId="77777777" w:rsidR="005103DA" w:rsidRPr="00F428F2" w:rsidRDefault="005103DA" w:rsidP="008E7214">
      <w:pPr>
        <w:pStyle w:val="ListParagraph"/>
        <w:widowControl/>
        <w:autoSpaceDE/>
        <w:autoSpaceDN/>
        <w:adjustRightInd/>
        <w:ind w:left="360"/>
        <w:jc w:val="both"/>
        <w:rPr>
          <w:rFonts w:ascii="Arial" w:hAnsi="Arial" w:cs="Arial"/>
          <w:sz w:val="22"/>
          <w:szCs w:val="22"/>
          <w:lang w:val="es-ES"/>
        </w:rPr>
      </w:pPr>
    </w:p>
    <w:p w14:paraId="7EBD0370" w14:textId="77777777" w:rsidR="00FA58A3" w:rsidRPr="00F428F2" w:rsidRDefault="00FA58A3" w:rsidP="00FA58A3">
      <w:pPr>
        <w:pStyle w:val="ListParagraph"/>
        <w:widowControl/>
        <w:autoSpaceDE/>
        <w:autoSpaceDN/>
        <w:adjustRightInd/>
        <w:ind w:left="360"/>
        <w:jc w:val="both"/>
        <w:rPr>
          <w:rFonts w:ascii="Arial" w:hAnsi="Arial" w:cs="Arial"/>
          <w:sz w:val="22"/>
          <w:szCs w:val="22"/>
          <w:lang w:val="es-ES"/>
        </w:rPr>
      </w:pPr>
    </w:p>
    <w:p w14:paraId="6CFD7E93" w14:textId="42E44136" w:rsidR="00F478D2" w:rsidRPr="00F428F2" w:rsidRDefault="003C51DE" w:rsidP="001B031C">
      <w:pPr>
        <w:jc w:val="both"/>
        <w:rPr>
          <w:rFonts w:ascii="Arial" w:hAnsi="Arial" w:cs="Arial"/>
          <w:sz w:val="22"/>
          <w:szCs w:val="22"/>
          <w:lang w:val="es-ES"/>
        </w:rPr>
      </w:pPr>
      <w:r w:rsidRPr="00F428F2">
        <w:rPr>
          <w:rFonts w:ascii="Arial" w:hAnsi="Arial" w:cs="Arial"/>
          <w:i/>
          <w:sz w:val="22"/>
          <w:szCs w:val="22"/>
          <w:lang w:val="es-ES"/>
        </w:rPr>
        <w:t xml:space="preserve">Recordando </w:t>
      </w:r>
      <w:r w:rsidRPr="00F428F2">
        <w:rPr>
          <w:rFonts w:ascii="Arial" w:hAnsi="Arial" w:cs="Arial"/>
          <w:sz w:val="22"/>
          <w:szCs w:val="22"/>
          <w:lang w:val="es-ES"/>
        </w:rPr>
        <w:t>que con la Recomendación 6.1, la Recomendación 9.4, la Resolución 10.13 y la Resolución 11.19, la Conferencia de las Partes adoptó referencias normalizadas que deben ser reconocidas y utilizadas como base sobre las cuales deben prepararse los Apéndices de la CMS y sus enmiendas</w:t>
      </w:r>
    </w:p>
    <w:p w14:paraId="49A67E92" w14:textId="77777777" w:rsidR="003C51DE" w:rsidRPr="00F428F2" w:rsidRDefault="003C51DE" w:rsidP="001B031C">
      <w:pPr>
        <w:jc w:val="both"/>
        <w:rPr>
          <w:rFonts w:ascii="Arial" w:hAnsi="Arial" w:cs="Arial"/>
          <w:i/>
          <w:iCs/>
          <w:sz w:val="22"/>
          <w:szCs w:val="17"/>
          <w:lang w:val="es-ES"/>
        </w:rPr>
      </w:pPr>
    </w:p>
    <w:p w14:paraId="41232765"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Recordando </w:t>
      </w:r>
      <w:r w:rsidRPr="00F428F2">
        <w:rPr>
          <w:rFonts w:ascii="Arial" w:hAnsi="Arial" w:cs="Arial"/>
          <w:sz w:val="22"/>
          <w:szCs w:val="17"/>
          <w:lang w:val="es-ES"/>
        </w:rPr>
        <w:t>la Resolución 10.13 sobre Nomenclatura Estandarizada de las aves incluidas en los Apéndices de la CMS, que solicitaba al Presidente del Consejo Científico que hiciera de enlace con los Presidentes de los órganos asesores científicos de las convenciones relacionadas con la diversidad biológica, las Secretarías de los Acuerdos Ambientales Multilaterales (AAM) pertinentes y las organizaciones internacionales pertinentes, incluyendo a la UICN, BirdLife International, Wetlands International y el PNUMA-WCMC, con el objetivo de evaluar la posible adopción de una sola nomenclatura y taxonomía para las aves, y que informara al Consejo Científico en su dieciochoava reunión, con miras a la adopción de la Resolución correspondiente en la COP11; </w:t>
      </w:r>
    </w:p>
    <w:p w14:paraId="53EDAEBC" w14:textId="77777777" w:rsidR="00F478D2" w:rsidRPr="00F428F2" w:rsidRDefault="00F478D2" w:rsidP="001B031C">
      <w:pPr>
        <w:jc w:val="both"/>
        <w:rPr>
          <w:rFonts w:ascii="Arial" w:hAnsi="Arial" w:cs="Arial"/>
          <w:i/>
          <w:sz w:val="22"/>
          <w:szCs w:val="17"/>
          <w:lang w:val="es-ES"/>
        </w:rPr>
      </w:pPr>
    </w:p>
    <w:p w14:paraId="7CAB1D56" w14:textId="77777777" w:rsidR="00D14064" w:rsidRPr="00F428F2" w:rsidRDefault="00D14064" w:rsidP="001B031C">
      <w:pPr>
        <w:jc w:val="both"/>
        <w:rPr>
          <w:rFonts w:ascii="Arial" w:hAnsi="Arial" w:cs="Arial"/>
          <w:sz w:val="22"/>
          <w:szCs w:val="17"/>
          <w:lang w:val="es-ES"/>
        </w:rPr>
      </w:pPr>
      <w:r w:rsidRPr="00F428F2">
        <w:rPr>
          <w:rFonts w:ascii="Arial" w:hAnsi="Arial" w:cs="Arial"/>
          <w:i/>
          <w:sz w:val="22"/>
          <w:szCs w:val="17"/>
          <w:lang w:val="es-ES"/>
        </w:rPr>
        <w:t>Recordando</w:t>
      </w:r>
      <w:r w:rsidRPr="00F428F2">
        <w:rPr>
          <w:rFonts w:ascii="Arial" w:hAnsi="Arial" w:cs="Arial"/>
          <w:sz w:val="22"/>
          <w:szCs w:val="17"/>
          <w:lang w:val="es-ES"/>
        </w:rPr>
        <w:t xml:space="preserve"> que mediante la Resolución 3.1 (Ginebra, 1991) respecto de la inclusión de especies en los Apéndices de la Convención, la Conferencia de las Partes convino en que cualesquiera nuevas adiciones a los Apéndices de la Convención se limitasen a especies o grupos taxonómicos inferiores y que sólo cuando se estén elaborando ACUERDOS es necesario determinar las especies migratorias incluidas en enumeraciones de grupos taxonómicos superiores que ya figuran en el Apéndice II;</w:t>
      </w:r>
    </w:p>
    <w:p w14:paraId="60553A56" w14:textId="77777777" w:rsidR="00F478D2" w:rsidRPr="00F428F2" w:rsidRDefault="00F478D2" w:rsidP="001B031C">
      <w:pPr>
        <w:jc w:val="both"/>
        <w:rPr>
          <w:rFonts w:ascii="Arial" w:hAnsi="Arial" w:cs="Arial"/>
          <w:sz w:val="22"/>
          <w:szCs w:val="17"/>
          <w:lang w:val="es-ES"/>
        </w:rPr>
      </w:pPr>
    </w:p>
    <w:p w14:paraId="4B916FAB"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que la taxonomía y la nomenclatura biológica son dinámicas; </w:t>
      </w:r>
    </w:p>
    <w:p w14:paraId="1111B655" w14:textId="77777777" w:rsidR="00D14064" w:rsidRPr="00F428F2" w:rsidRDefault="00D14064" w:rsidP="001B031C">
      <w:pPr>
        <w:jc w:val="both"/>
        <w:rPr>
          <w:rFonts w:ascii="Arial" w:hAnsi="Arial" w:cs="Arial"/>
          <w:strike/>
          <w:sz w:val="22"/>
          <w:szCs w:val="17"/>
          <w:lang w:val="es-ES"/>
        </w:rPr>
      </w:pPr>
    </w:p>
    <w:p w14:paraId="6F8C830A"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Consciente </w:t>
      </w:r>
      <w:r w:rsidRPr="00F428F2">
        <w:rPr>
          <w:rFonts w:ascii="Arial" w:hAnsi="Arial" w:cs="Arial"/>
          <w:sz w:val="22"/>
          <w:szCs w:val="17"/>
          <w:lang w:val="es-ES"/>
        </w:rPr>
        <w:t>de que los esfuerzos internacionales para tomar medidas coherentes para la conservación y la utilización sostenible de la biodiversidad a nivel de especies pueden verse obstaculizados de forma significativa si no hay un entendimiento común de a qué animales o plantas se refiere un nombre en particular y que esta falta de comprensión puede representar dificultades particulares para actividades tales como la aplicación de las convenciones, posiblemente con implicaciones legales; </w:t>
      </w:r>
    </w:p>
    <w:p w14:paraId="7C8BFE41" w14:textId="40ABDF7E" w:rsidR="00D14064" w:rsidRPr="00F428F2" w:rsidRDefault="00D14064" w:rsidP="001B031C">
      <w:pPr>
        <w:jc w:val="both"/>
        <w:rPr>
          <w:rFonts w:ascii="Arial" w:hAnsi="Arial" w:cs="Arial"/>
          <w:i/>
          <w:iCs/>
          <w:strike/>
          <w:sz w:val="22"/>
          <w:szCs w:val="17"/>
          <w:lang w:val="es-ES"/>
        </w:rPr>
      </w:pPr>
    </w:p>
    <w:p w14:paraId="21A60BE9" w14:textId="77777777" w:rsidR="00D14064" w:rsidRPr="00F428F2" w:rsidRDefault="00D14064" w:rsidP="001B031C">
      <w:pPr>
        <w:jc w:val="both"/>
        <w:rPr>
          <w:rFonts w:ascii="Arial" w:hAnsi="Arial" w:cs="Arial"/>
          <w:sz w:val="22"/>
          <w:szCs w:val="22"/>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la 4ª reunión de los Presidentes de los órganos asesores científicos de las convenciones relativas a la biodiversidad (CSAB, Gland, Suiza, 13 de febrero 2011) expresó su apoyo a la idea de avanzar hacia la armonización de la nomenclatura y la taxonomía en las listas de especies utilizadas por las convenciones relativas a la biodiversidad, y elogió el proceso de armonización llevado a cabo por la CITES y la CMS; </w:t>
      </w:r>
    </w:p>
    <w:p w14:paraId="34843B6B" w14:textId="77777777" w:rsidR="00F478D2" w:rsidRPr="00F428F2" w:rsidRDefault="00F478D2" w:rsidP="001B031C">
      <w:pPr>
        <w:jc w:val="both"/>
        <w:rPr>
          <w:rFonts w:ascii="Arial" w:hAnsi="Arial" w:cs="Arial"/>
          <w:i/>
          <w:iCs/>
          <w:sz w:val="22"/>
          <w:szCs w:val="17"/>
          <w:lang w:val="es-ES"/>
        </w:rPr>
      </w:pPr>
    </w:p>
    <w:p w14:paraId="7A23ACB4" w14:textId="5DD3E2C9"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Reconociendo </w:t>
      </w:r>
      <w:r w:rsidR="00F428F2" w:rsidRPr="00F428F2">
        <w:rPr>
          <w:rFonts w:ascii="Arial" w:hAnsi="Arial" w:cs="Arial"/>
          <w:sz w:val="22"/>
          <w:szCs w:val="17"/>
          <w:lang w:val="es-ES"/>
        </w:rPr>
        <w:t>que,</w:t>
      </w:r>
      <w:r w:rsidRPr="00F428F2">
        <w:rPr>
          <w:rFonts w:ascii="Arial" w:hAnsi="Arial" w:cs="Arial"/>
          <w:sz w:val="22"/>
          <w:szCs w:val="17"/>
          <w:lang w:val="es-ES"/>
        </w:rPr>
        <w:t xml:space="preserve"> a fin de fortalecer el esfuerzo global para alcanzar los Objetivos de Aichi sobre Biodiversidad, con el fin de reducir la tasa de pérdida de biodiversidad para el año 2020, sería sensato tratar de lograr una mayor armonización entre los acuerdos ambientales multilaterales relacionados con la biodiversidad, en el campo de la taxonomía y nomenclatura; </w:t>
      </w:r>
    </w:p>
    <w:p w14:paraId="4FE84B6A" w14:textId="77777777" w:rsidR="00F478D2" w:rsidRPr="00F428F2" w:rsidRDefault="00F478D2" w:rsidP="001B031C">
      <w:pPr>
        <w:jc w:val="both"/>
        <w:rPr>
          <w:rFonts w:ascii="Arial" w:hAnsi="Arial" w:cs="Arial"/>
          <w:i/>
          <w:iCs/>
          <w:sz w:val="22"/>
          <w:szCs w:val="17"/>
          <w:lang w:val="es-ES"/>
        </w:rPr>
      </w:pPr>
    </w:p>
    <w:p w14:paraId="7521D69E" w14:textId="2AB960E2"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además </w:t>
      </w:r>
      <w:r w:rsidRPr="00F428F2">
        <w:rPr>
          <w:rFonts w:ascii="Arial" w:hAnsi="Arial" w:cs="Arial"/>
          <w:sz w:val="22"/>
          <w:szCs w:val="17"/>
          <w:lang w:val="es-ES"/>
        </w:rPr>
        <w:t xml:space="preserve">de que esta armonización es más apremiante por el hecho de que de las 124 Partes de la CMS, sólo </w:t>
      </w:r>
      <w:r w:rsidR="00167A91" w:rsidRPr="00F428F2">
        <w:rPr>
          <w:rFonts w:ascii="Arial" w:hAnsi="Arial" w:cs="Arial"/>
          <w:sz w:val="22"/>
          <w:szCs w:val="17"/>
          <w:lang w:val="es-ES"/>
        </w:rPr>
        <w:t>uno no es miembro</w:t>
      </w:r>
      <w:r w:rsidRPr="00F428F2">
        <w:rPr>
          <w:rFonts w:ascii="Arial" w:hAnsi="Arial" w:cs="Arial"/>
          <w:sz w:val="22"/>
          <w:szCs w:val="17"/>
          <w:lang w:val="es-ES"/>
        </w:rPr>
        <w:t xml:space="preserve"> de CITES; </w:t>
      </w:r>
    </w:p>
    <w:p w14:paraId="2E336F20" w14:textId="1DA20FA8" w:rsidR="00D14064" w:rsidRPr="00F428F2" w:rsidRDefault="00D14064" w:rsidP="001B031C">
      <w:pPr>
        <w:jc w:val="both"/>
        <w:rPr>
          <w:rFonts w:ascii="Arial" w:hAnsi="Arial" w:cs="Arial"/>
          <w:i/>
          <w:strike/>
          <w:sz w:val="22"/>
          <w:szCs w:val="17"/>
          <w:lang w:val="es-ES"/>
        </w:rPr>
      </w:pPr>
    </w:p>
    <w:p w14:paraId="063ADEB1"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la armonización de la nomenclatura puede conducir a un proceso más integrado, a la reducción de la duplicación de esfuerzos y a un mayor intercambio de información entre los Acuerdos Ambientales Multilaterales (AAM) relacionados con la biodiversidad; </w:t>
      </w:r>
    </w:p>
    <w:p w14:paraId="1B7DEB65"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lastRenderedPageBreak/>
        <w:t xml:space="preserve">Recordando </w:t>
      </w:r>
      <w:r w:rsidRPr="00F428F2">
        <w:rPr>
          <w:rFonts w:ascii="Arial" w:hAnsi="Arial" w:cs="Arial"/>
          <w:sz w:val="22"/>
          <w:szCs w:val="17"/>
          <w:lang w:val="es-ES"/>
        </w:rPr>
        <w:t>que este objetivo fue señalado por la 6ª Reunión del Grupo de Enlace de las Convenciones relativas a la Biodiversidad (Bonn, mayo de 2008), y por lo tanto se incluyó en la Lista de actividades conjuntas CITES/CMS, adoptada por la 34ª Reunión del Comité Permanente de la CMS (Roma, noviembre de 2008); y el Programa de Trabajo Conjunto CMS-CITES 2012-2014 adoptado en la 38ª reunión del Comité Permanente de la CMS (Bergen, noviembre de 2011);</w:t>
      </w:r>
    </w:p>
    <w:p w14:paraId="0A341D44" w14:textId="77777777" w:rsidR="001B031C" w:rsidRPr="00F428F2" w:rsidRDefault="001B031C" w:rsidP="001B031C">
      <w:pPr>
        <w:jc w:val="both"/>
        <w:rPr>
          <w:rFonts w:ascii="Arial" w:hAnsi="Arial" w:cs="Arial"/>
          <w:sz w:val="22"/>
          <w:szCs w:val="17"/>
          <w:lang w:val="es-ES"/>
        </w:rPr>
      </w:pPr>
    </w:p>
    <w:p w14:paraId="48BC32EB" w14:textId="77777777" w:rsidR="00D14064" w:rsidRPr="00F428F2" w:rsidRDefault="00D14064" w:rsidP="001B031C">
      <w:pPr>
        <w:pStyle w:val="p1"/>
        <w:jc w:val="both"/>
        <w:rPr>
          <w:rFonts w:ascii="Arial" w:eastAsia="Times New Roman" w:hAnsi="Arial" w:cs="Arial"/>
          <w:sz w:val="22"/>
          <w:lang w:val="es-ES"/>
        </w:rPr>
      </w:pPr>
      <w:r w:rsidRPr="00F428F2">
        <w:rPr>
          <w:rFonts w:ascii="Arial" w:hAnsi="Arial" w:cs="Arial"/>
          <w:i/>
          <w:iCs/>
          <w:sz w:val="22"/>
          <w:lang w:val="es-ES"/>
        </w:rPr>
        <w:t xml:space="preserve">Consciente además </w:t>
      </w:r>
      <w:r w:rsidRPr="00F428F2">
        <w:rPr>
          <w:rFonts w:ascii="Arial" w:hAnsi="Arial" w:cs="Arial"/>
          <w:sz w:val="22"/>
          <w:lang w:val="es-ES"/>
        </w:rPr>
        <w:t>de que una armonización de la taxonomía y la nomenclatura para las aves, en los AAM y otros socios, como la CMS, CITES, Ramsar, UICN, BirdLife International, Wetlands International y el PNUMA-WCMC, puede mejorar las sinergias que </w:t>
      </w:r>
      <w:r w:rsidRPr="00F428F2">
        <w:rPr>
          <w:rFonts w:ascii="Arial" w:eastAsia="Times New Roman" w:hAnsi="Arial" w:cs="Arial"/>
          <w:sz w:val="22"/>
          <w:lang w:val="es-ES"/>
        </w:rPr>
        <w:t>benefician a la conservación de las especies migratorias y a una mejor aplicación de los instrumentos de la familia de la CMS; </w:t>
      </w:r>
    </w:p>
    <w:p w14:paraId="0C5361CB" w14:textId="77777777" w:rsidR="001B031C" w:rsidRPr="00F428F2" w:rsidRDefault="001B031C" w:rsidP="001B031C">
      <w:pPr>
        <w:pStyle w:val="p1"/>
        <w:jc w:val="both"/>
        <w:rPr>
          <w:rFonts w:ascii="Arial" w:hAnsi="Arial" w:cs="Arial"/>
          <w:sz w:val="22"/>
          <w:szCs w:val="22"/>
          <w:lang w:val="es-ES"/>
        </w:rPr>
      </w:pPr>
    </w:p>
    <w:p w14:paraId="75DB630A" w14:textId="77777777" w:rsidR="001B031C"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los Presidentes de los órganos asesores científicos de las convenciones relacionadas con la diversidad biológica (CSAB) han expresado repetidamente su apoyo a la idea de avanzar hacia la armonización de la nomenclatura y la taxonomía en las listas de especies que utilizan, y han solicitado una mayor cooperación entre los AAM en relación a dicha meta;</w:t>
      </w:r>
    </w:p>
    <w:p w14:paraId="76FA482B" w14:textId="7C735C9B" w:rsidR="00D14064" w:rsidRPr="00F428F2" w:rsidRDefault="00D14064" w:rsidP="001B031C">
      <w:pPr>
        <w:jc w:val="both"/>
        <w:rPr>
          <w:rFonts w:ascii="Arial" w:hAnsi="Arial" w:cs="Arial"/>
          <w:sz w:val="22"/>
          <w:szCs w:val="17"/>
          <w:lang w:val="es-ES"/>
        </w:rPr>
      </w:pPr>
      <w:r w:rsidRPr="00F428F2">
        <w:rPr>
          <w:rFonts w:ascii="Arial" w:hAnsi="Arial" w:cs="Arial"/>
          <w:sz w:val="22"/>
          <w:szCs w:val="17"/>
          <w:lang w:val="es-ES"/>
        </w:rPr>
        <w:t> </w:t>
      </w:r>
    </w:p>
    <w:p w14:paraId="3EE3776F"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del informe de la Reunión Especial sobre Armonización de la Taxonomía de Aves que se celebró en Formia (Italia) el 8 de octubre de 2013 (PNUMA/CMS/ScC18/Inf.9.1) y agradeciendo al Presidente del Consejo Científico la convocatoria de dicha reunión; </w:t>
      </w:r>
    </w:p>
    <w:p w14:paraId="70B4AEC0" w14:textId="77777777" w:rsidR="001B031C" w:rsidRPr="00F428F2" w:rsidRDefault="001B031C" w:rsidP="001B031C">
      <w:pPr>
        <w:jc w:val="both"/>
        <w:rPr>
          <w:rFonts w:ascii="Arial" w:hAnsi="Arial" w:cs="Arial"/>
          <w:i/>
          <w:iCs/>
          <w:sz w:val="22"/>
          <w:szCs w:val="17"/>
          <w:lang w:val="es-ES"/>
        </w:rPr>
      </w:pPr>
    </w:p>
    <w:p w14:paraId="3769A6AE"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también del informe del Comité de Fauna de la CITES, que tuvo lugar en Veracruz (México) los días 28 de mayo a 3 de abril, 2014; </w:t>
      </w:r>
    </w:p>
    <w:p w14:paraId="5EA0F31C" w14:textId="77777777" w:rsidR="001B031C" w:rsidRPr="00F428F2" w:rsidRDefault="001B031C" w:rsidP="001B031C">
      <w:pPr>
        <w:jc w:val="both"/>
        <w:rPr>
          <w:rFonts w:ascii="Arial" w:hAnsi="Arial" w:cs="Arial"/>
          <w:sz w:val="22"/>
          <w:szCs w:val="17"/>
          <w:lang w:val="es-ES"/>
        </w:rPr>
      </w:pPr>
    </w:p>
    <w:p w14:paraId="6B2C3461" w14:textId="775E3954"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Reiterando </w:t>
      </w:r>
      <w:r w:rsidRPr="00F428F2">
        <w:rPr>
          <w:rFonts w:ascii="Arial" w:hAnsi="Arial" w:cs="Arial"/>
          <w:sz w:val="22"/>
          <w:szCs w:val="17"/>
          <w:lang w:val="es-ES"/>
        </w:rPr>
        <w:t>que independientemente de la adopción, por razones prácticas, de referencias de nomenclatura estándar al nivel de especies, la diversidad biológica en todos los niveles taxonómicos debe ser valorada, protegida y utilizada sosteniblemente</w:t>
      </w:r>
      <w:r w:rsidR="001B031C" w:rsidRPr="00F428F2">
        <w:rPr>
          <w:rFonts w:ascii="Arial" w:hAnsi="Arial" w:cs="Arial"/>
          <w:sz w:val="22"/>
          <w:szCs w:val="17"/>
          <w:lang w:val="es-ES"/>
        </w:rPr>
        <w:t>;</w:t>
      </w:r>
      <w:r w:rsidRPr="00F428F2">
        <w:rPr>
          <w:rFonts w:ascii="Arial" w:hAnsi="Arial" w:cs="Arial"/>
          <w:sz w:val="22"/>
          <w:szCs w:val="17"/>
          <w:lang w:val="es-ES"/>
        </w:rPr>
        <w:t> </w:t>
      </w:r>
    </w:p>
    <w:p w14:paraId="5F9B60A5" w14:textId="77777777" w:rsidR="001B031C" w:rsidRPr="00F428F2" w:rsidRDefault="001B031C" w:rsidP="001B031C">
      <w:pPr>
        <w:jc w:val="both"/>
        <w:rPr>
          <w:rFonts w:ascii="Arial" w:hAnsi="Arial" w:cs="Arial"/>
          <w:sz w:val="22"/>
          <w:szCs w:val="17"/>
          <w:lang w:val="es-ES"/>
        </w:rPr>
      </w:pPr>
    </w:p>
    <w:p w14:paraId="19E25EE8" w14:textId="0CC26675" w:rsidR="00D14064" w:rsidRPr="00F428F2" w:rsidRDefault="00D14064" w:rsidP="001B031C">
      <w:pPr>
        <w:jc w:val="both"/>
        <w:rPr>
          <w:rFonts w:ascii="Arial" w:hAnsi="Arial" w:cs="Arial"/>
          <w:sz w:val="22"/>
          <w:szCs w:val="17"/>
          <w:lang w:val="es-ES"/>
        </w:rPr>
      </w:pPr>
      <w:r w:rsidRPr="00F428F2">
        <w:rPr>
          <w:rFonts w:ascii="Arial" w:hAnsi="Arial" w:cs="Arial"/>
          <w:i/>
          <w:sz w:val="22"/>
          <w:szCs w:val="17"/>
          <w:lang w:val="es-ES"/>
        </w:rPr>
        <w:t>Tomando nota</w:t>
      </w:r>
      <w:r w:rsidRPr="00F428F2">
        <w:rPr>
          <w:rFonts w:ascii="Arial" w:hAnsi="Arial" w:cs="Arial"/>
          <w:sz w:val="22"/>
          <w:szCs w:val="17"/>
          <w:lang w:val="es-ES"/>
        </w:rPr>
        <w:t xml:space="preserve"> de las recomendaciones de la 15ª reunión del Consejo Científico de la CMS (Roma, 27-28 de noviembre de 2008), relativa a la revisión de la nomenclatura de referencia para las especies de mamíferos terrestres y acuáticos incluidas en los Apéndices de la CMS;</w:t>
      </w:r>
    </w:p>
    <w:p w14:paraId="18E15393" w14:textId="77777777" w:rsidR="001B031C" w:rsidRPr="00F428F2" w:rsidRDefault="001B031C" w:rsidP="001B031C">
      <w:pPr>
        <w:jc w:val="both"/>
        <w:rPr>
          <w:rFonts w:ascii="Arial" w:hAnsi="Arial" w:cs="Arial"/>
          <w:sz w:val="22"/>
          <w:szCs w:val="17"/>
          <w:lang w:val="es-ES"/>
        </w:rPr>
      </w:pPr>
    </w:p>
    <w:p w14:paraId="3868DF75" w14:textId="77777777" w:rsidR="001B031C"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la recomendación formulada por el Consejo Científico de la CMS en su 18ª Reunión (Bonn, 1-3 julio 2014), sobre una referencia de nomenclatura normalizada para las aves no paseriformes;</w:t>
      </w:r>
    </w:p>
    <w:p w14:paraId="1C5FB2E4" w14:textId="2A5160D9" w:rsidR="00D14064" w:rsidRPr="00F428F2" w:rsidRDefault="00D14064" w:rsidP="001B031C">
      <w:pPr>
        <w:jc w:val="both"/>
        <w:rPr>
          <w:rFonts w:ascii="Arial" w:hAnsi="Arial" w:cs="Arial"/>
          <w:sz w:val="22"/>
          <w:szCs w:val="17"/>
          <w:lang w:val="es-ES"/>
        </w:rPr>
      </w:pPr>
      <w:r w:rsidRPr="00F428F2">
        <w:rPr>
          <w:rFonts w:ascii="Arial" w:hAnsi="Arial" w:cs="Arial"/>
          <w:sz w:val="22"/>
          <w:szCs w:val="17"/>
          <w:lang w:val="es-ES"/>
        </w:rPr>
        <w:t> </w:t>
      </w:r>
    </w:p>
    <w:p w14:paraId="1E5E88AE" w14:textId="5E97C9D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que</w:t>
      </w:r>
      <w:r w:rsidR="00FD0AE9" w:rsidRPr="00F428F2">
        <w:rPr>
          <w:rFonts w:ascii="Arial" w:hAnsi="Arial" w:cs="Arial"/>
          <w:sz w:val="22"/>
          <w:szCs w:val="17"/>
          <w:lang w:val="es-ES"/>
        </w:rPr>
        <w:t>,</w:t>
      </w:r>
      <w:r w:rsidRPr="00F428F2">
        <w:rPr>
          <w:rFonts w:ascii="Arial" w:hAnsi="Arial" w:cs="Arial"/>
          <w:sz w:val="22"/>
          <w:szCs w:val="17"/>
          <w:lang w:val="es-ES"/>
        </w:rPr>
        <w:t xml:space="preserve"> en relación con los albatros y petreles, la COP10 adoptó la taxonomía utilizada por ACAP como referencia de nomenclatura estándar de la Convención, y que ACAP tiene en cuenta la información taxonómica más reciente sobre las especies de albatros y petreles; </w:t>
      </w:r>
    </w:p>
    <w:p w14:paraId="0EFD3A67" w14:textId="77777777" w:rsidR="001B031C" w:rsidRPr="00F428F2" w:rsidRDefault="001B031C" w:rsidP="001B031C">
      <w:pPr>
        <w:jc w:val="both"/>
        <w:rPr>
          <w:rFonts w:ascii="Arial" w:hAnsi="Arial" w:cs="Arial"/>
          <w:i/>
          <w:iCs/>
          <w:sz w:val="22"/>
          <w:szCs w:val="17"/>
          <w:lang w:val="es-ES"/>
        </w:rPr>
      </w:pPr>
    </w:p>
    <w:p w14:paraId="163D2D3A" w14:textId="3F3C6F58"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Reconociendo </w:t>
      </w:r>
      <w:r w:rsidRPr="00F428F2">
        <w:rPr>
          <w:rFonts w:ascii="Arial" w:hAnsi="Arial" w:cs="Arial"/>
          <w:sz w:val="22"/>
          <w:szCs w:val="17"/>
          <w:lang w:val="es-ES"/>
        </w:rPr>
        <w:t>que la adopción de una nueva referencia puede implicar casos de sinonimia, agregación de especies y/o la separación de especies, y que la CMS ha acordado normas sobre cómo actuar en estos casos y su consecuente reflejo en los Apéndices; </w:t>
      </w:r>
    </w:p>
    <w:p w14:paraId="23B64588" w14:textId="77777777" w:rsidR="001B031C" w:rsidRPr="00F428F2" w:rsidRDefault="001B031C" w:rsidP="001B031C">
      <w:pPr>
        <w:jc w:val="both"/>
        <w:rPr>
          <w:rFonts w:ascii="Arial" w:hAnsi="Arial" w:cs="Arial"/>
          <w:i/>
          <w:iCs/>
          <w:sz w:val="22"/>
          <w:szCs w:val="17"/>
          <w:lang w:val="es-ES"/>
        </w:rPr>
      </w:pPr>
    </w:p>
    <w:p w14:paraId="43FCBBBF" w14:textId="77777777"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Tomando nota </w:t>
      </w:r>
      <w:r w:rsidRPr="00F428F2">
        <w:rPr>
          <w:rFonts w:ascii="Arial" w:hAnsi="Arial" w:cs="Arial"/>
          <w:sz w:val="22"/>
          <w:szCs w:val="17"/>
          <w:lang w:val="es-ES"/>
        </w:rPr>
        <w:t>de las recomendaciones del Consejo Científico de la CMS en su 17 ª reunión (Bergen, noviembre de 2011); </w:t>
      </w:r>
    </w:p>
    <w:p w14:paraId="22962A28" w14:textId="77777777" w:rsidR="001B031C" w:rsidRPr="00F428F2" w:rsidRDefault="001B031C" w:rsidP="001B031C">
      <w:pPr>
        <w:jc w:val="both"/>
        <w:rPr>
          <w:rFonts w:ascii="Arial" w:hAnsi="Arial" w:cs="Arial"/>
          <w:i/>
          <w:iCs/>
          <w:sz w:val="22"/>
          <w:szCs w:val="17"/>
          <w:lang w:val="es-ES"/>
        </w:rPr>
      </w:pPr>
    </w:p>
    <w:p w14:paraId="51BB78A2" w14:textId="5DF864B8" w:rsidR="00D14064" w:rsidRPr="00F428F2" w:rsidRDefault="00D14064" w:rsidP="001B031C">
      <w:pPr>
        <w:jc w:val="both"/>
        <w:rPr>
          <w:rFonts w:ascii="Arial" w:hAnsi="Arial" w:cs="Arial"/>
          <w:sz w:val="22"/>
          <w:szCs w:val="17"/>
          <w:lang w:val="es-ES"/>
        </w:rPr>
      </w:pPr>
      <w:r w:rsidRPr="00F428F2">
        <w:rPr>
          <w:rFonts w:ascii="Arial" w:hAnsi="Arial" w:cs="Arial"/>
          <w:i/>
          <w:iCs/>
          <w:sz w:val="22"/>
          <w:szCs w:val="17"/>
          <w:lang w:val="es-ES"/>
        </w:rPr>
        <w:t xml:space="preserve">Destacando </w:t>
      </w:r>
      <w:r w:rsidRPr="00F428F2">
        <w:rPr>
          <w:rFonts w:ascii="Arial" w:hAnsi="Arial" w:cs="Arial"/>
          <w:sz w:val="22"/>
          <w:szCs w:val="17"/>
          <w:lang w:val="es-ES"/>
        </w:rPr>
        <w:t>que la estabilidad, a través del tiempo, de la taxonomía y nomenclatura de las especies listadas bajo la CMS es esencial para asegurar la garantía legal para la implementación de la Convención; </w:t>
      </w:r>
      <w:r w:rsidR="001B031C" w:rsidRPr="00F428F2">
        <w:rPr>
          <w:rFonts w:ascii="Arial" w:hAnsi="Arial" w:cs="Arial"/>
          <w:sz w:val="22"/>
          <w:szCs w:val="17"/>
          <w:lang w:val="es-ES"/>
        </w:rPr>
        <w:t>y</w:t>
      </w:r>
    </w:p>
    <w:p w14:paraId="75DBF966" w14:textId="77777777" w:rsidR="001B031C" w:rsidRPr="00F428F2" w:rsidRDefault="001B031C" w:rsidP="001B031C">
      <w:pPr>
        <w:jc w:val="both"/>
        <w:rPr>
          <w:rFonts w:ascii="Arial" w:hAnsi="Arial" w:cs="Arial"/>
          <w:sz w:val="22"/>
          <w:szCs w:val="17"/>
          <w:lang w:val="es-ES"/>
        </w:rPr>
      </w:pPr>
    </w:p>
    <w:p w14:paraId="200FCE6C" w14:textId="77777777" w:rsidR="00D14064" w:rsidRPr="00F428F2" w:rsidRDefault="00D14064" w:rsidP="001B031C">
      <w:pPr>
        <w:jc w:val="both"/>
        <w:rPr>
          <w:rFonts w:ascii="Arial" w:hAnsi="Arial" w:cs="Arial"/>
          <w:sz w:val="22"/>
          <w:szCs w:val="17"/>
          <w:lang w:val="es-ES"/>
        </w:rPr>
      </w:pPr>
      <w:r w:rsidRPr="00F428F2">
        <w:rPr>
          <w:rFonts w:ascii="Arial" w:hAnsi="Arial" w:cs="Arial"/>
          <w:i/>
          <w:sz w:val="22"/>
          <w:szCs w:val="17"/>
          <w:lang w:val="es-ES"/>
        </w:rPr>
        <w:t>Reconociendo</w:t>
      </w:r>
      <w:r w:rsidRPr="00F428F2">
        <w:rPr>
          <w:rFonts w:ascii="Arial" w:hAnsi="Arial" w:cs="Arial"/>
          <w:sz w:val="22"/>
          <w:szCs w:val="17"/>
          <w:lang w:val="es-ES"/>
        </w:rPr>
        <w:t xml:space="preserve"> que la clasificación taxonómica empleada en los Apéndices de la Convención será más útil para las Partes si se estandariza mediante referencias nomenclaturales;</w:t>
      </w:r>
    </w:p>
    <w:p w14:paraId="1D3CDDFB" w14:textId="77777777" w:rsidR="001B031C" w:rsidRPr="00F428F2" w:rsidRDefault="001B031C" w:rsidP="001B031C">
      <w:pPr>
        <w:jc w:val="both"/>
        <w:rPr>
          <w:rFonts w:ascii="Arial" w:hAnsi="Arial" w:cs="Arial"/>
          <w:sz w:val="22"/>
          <w:szCs w:val="17"/>
          <w:lang w:val="es-ES"/>
        </w:rPr>
      </w:pPr>
    </w:p>
    <w:p w14:paraId="633579A1" w14:textId="77777777" w:rsidR="00FD0AE9" w:rsidRPr="00F428F2" w:rsidRDefault="00D14064" w:rsidP="001B031C">
      <w:pPr>
        <w:jc w:val="center"/>
        <w:rPr>
          <w:rFonts w:ascii="Arial" w:hAnsi="Arial" w:cs="Arial"/>
          <w:bCs/>
          <w:i/>
          <w:iCs/>
          <w:sz w:val="22"/>
          <w:szCs w:val="22"/>
          <w:lang w:val="es-ES"/>
        </w:rPr>
      </w:pPr>
      <w:r w:rsidRPr="00F428F2">
        <w:rPr>
          <w:rFonts w:ascii="Arial" w:hAnsi="Arial" w:cs="Arial"/>
          <w:bCs/>
          <w:i/>
          <w:iCs/>
          <w:sz w:val="22"/>
          <w:szCs w:val="22"/>
          <w:lang w:val="es-ES"/>
        </w:rPr>
        <w:lastRenderedPageBreak/>
        <w:t xml:space="preserve">La Conferencia de las Partes de </w:t>
      </w:r>
    </w:p>
    <w:p w14:paraId="196ECA79" w14:textId="03F82F26" w:rsidR="00D14064" w:rsidRPr="00F428F2" w:rsidRDefault="00D14064" w:rsidP="001B031C">
      <w:pPr>
        <w:jc w:val="center"/>
        <w:rPr>
          <w:rFonts w:ascii="Arial" w:hAnsi="Arial" w:cs="Arial"/>
          <w:bCs/>
          <w:i/>
          <w:iCs/>
          <w:sz w:val="22"/>
          <w:szCs w:val="22"/>
          <w:lang w:val="es-ES"/>
        </w:rPr>
      </w:pPr>
      <w:r w:rsidRPr="00F428F2">
        <w:rPr>
          <w:rFonts w:ascii="Arial" w:hAnsi="Arial" w:cs="Arial"/>
          <w:bCs/>
          <w:i/>
          <w:iCs/>
          <w:sz w:val="22"/>
          <w:szCs w:val="22"/>
          <w:lang w:val="es-ES"/>
        </w:rPr>
        <w:t>la</w:t>
      </w:r>
      <w:r w:rsidRPr="00F428F2">
        <w:rPr>
          <w:rFonts w:ascii="Arial" w:hAnsi="Arial" w:cs="Arial"/>
          <w:bCs/>
          <w:sz w:val="22"/>
          <w:szCs w:val="22"/>
          <w:lang w:val="es-ES"/>
        </w:rPr>
        <w:t xml:space="preserve"> </w:t>
      </w:r>
      <w:r w:rsidRPr="00F428F2">
        <w:rPr>
          <w:rFonts w:ascii="Arial" w:hAnsi="Arial" w:cs="Arial"/>
          <w:bCs/>
          <w:i/>
          <w:iCs/>
          <w:sz w:val="22"/>
          <w:szCs w:val="22"/>
          <w:lang w:val="es-ES"/>
        </w:rPr>
        <w:t>Convención sobre la Conservación de Especies Migratorias de Animales Silvestres</w:t>
      </w:r>
    </w:p>
    <w:p w14:paraId="431CB8AE" w14:textId="77777777" w:rsidR="001B031C" w:rsidRPr="00F428F2" w:rsidRDefault="001B031C" w:rsidP="001B031C">
      <w:pPr>
        <w:jc w:val="center"/>
        <w:rPr>
          <w:rFonts w:ascii="Arial" w:hAnsi="Arial" w:cs="Arial"/>
          <w:sz w:val="22"/>
          <w:szCs w:val="22"/>
          <w:lang w:val="es-ES"/>
        </w:rPr>
      </w:pPr>
    </w:p>
    <w:p w14:paraId="4A5A3123" w14:textId="33C18EC8" w:rsidR="00D14064" w:rsidRPr="00F428F2" w:rsidRDefault="00D14064" w:rsidP="001B031C">
      <w:pPr>
        <w:pStyle w:val="ListParagraph"/>
        <w:numPr>
          <w:ilvl w:val="0"/>
          <w:numId w:val="8"/>
        </w:numPr>
        <w:ind w:left="360"/>
        <w:jc w:val="both"/>
        <w:rPr>
          <w:rFonts w:ascii="Arial" w:hAnsi="Arial" w:cs="Arial"/>
          <w:sz w:val="22"/>
          <w:szCs w:val="17"/>
          <w:lang w:val="es-ES"/>
        </w:rPr>
      </w:pPr>
      <w:r w:rsidRPr="00F428F2">
        <w:rPr>
          <w:rFonts w:ascii="Arial" w:hAnsi="Arial" w:cs="Arial"/>
          <w:sz w:val="22"/>
          <w:szCs w:val="17"/>
          <w:lang w:val="es-ES"/>
        </w:rPr>
        <w:t>Adopt</w:t>
      </w:r>
      <w:r w:rsidR="00827C30" w:rsidRPr="00F428F2">
        <w:rPr>
          <w:rFonts w:ascii="Arial" w:hAnsi="Arial" w:cs="Arial"/>
          <w:sz w:val="22"/>
          <w:szCs w:val="17"/>
          <w:lang w:val="es-ES"/>
        </w:rPr>
        <w:t>a</w:t>
      </w:r>
      <w:r w:rsidRPr="00F428F2">
        <w:rPr>
          <w:rFonts w:ascii="Arial" w:hAnsi="Arial" w:cs="Arial"/>
          <w:sz w:val="22"/>
          <w:szCs w:val="17"/>
          <w:lang w:val="es-ES"/>
        </w:rPr>
        <w:t xml:space="preserve"> la lista de referencias estánda</w:t>
      </w:r>
      <w:r w:rsidR="00FD0AE9" w:rsidRPr="00F428F2">
        <w:rPr>
          <w:rFonts w:ascii="Arial" w:hAnsi="Arial" w:cs="Arial"/>
          <w:sz w:val="22"/>
          <w:szCs w:val="17"/>
          <w:lang w:val="es-ES"/>
        </w:rPr>
        <w:t>rizadas</w:t>
      </w:r>
      <w:r w:rsidRPr="00F428F2">
        <w:rPr>
          <w:rStyle w:val="FootnoteReference"/>
          <w:rFonts w:ascii="Arial" w:hAnsi="Arial"/>
          <w:sz w:val="22"/>
          <w:szCs w:val="17"/>
          <w:vertAlign w:val="superscript"/>
          <w:lang w:val="es-ES"/>
        </w:rPr>
        <w:footnoteReference w:customMarkFollows="1" w:id="2"/>
        <w:t>1</w:t>
      </w:r>
      <w:r w:rsidRPr="00F428F2">
        <w:rPr>
          <w:rFonts w:ascii="Arial" w:hAnsi="Arial" w:cs="Arial"/>
          <w:sz w:val="22"/>
          <w:szCs w:val="11"/>
          <w:vertAlign w:val="superscript"/>
          <w:lang w:val="es-ES"/>
        </w:rPr>
        <w:t xml:space="preserve"> </w:t>
      </w:r>
      <w:r w:rsidRPr="00F428F2">
        <w:rPr>
          <w:rFonts w:ascii="Arial" w:hAnsi="Arial" w:cs="Arial"/>
          <w:sz w:val="22"/>
          <w:szCs w:val="17"/>
          <w:lang w:val="es-ES"/>
        </w:rPr>
        <w:t xml:space="preserve">que figura </w:t>
      </w:r>
      <w:r w:rsidR="00FD0AE9" w:rsidRPr="00F428F2">
        <w:rPr>
          <w:rFonts w:ascii="Arial" w:hAnsi="Arial" w:cs="Arial"/>
          <w:sz w:val="22"/>
          <w:szCs w:val="17"/>
          <w:lang w:val="es-ES"/>
        </w:rPr>
        <w:t xml:space="preserve">en el Anexo </w:t>
      </w:r>
      <w:r w:rsidRPr="00F428F2">
        <w:rPr>
          <w:rFonts w:ascii="Arial" w:hAnsi="Arial" w:cs="Arial"/>
          <w:sz w:val="22"/>
          <w:szCs w:val="17"/>
          <w:lang w:val="es-ES"/>
        </w:rPr>
        <w:t xml:space="preserve">se reconozca y se utilice como fundamento sobre cuya base se elaboran los Apéndices y las enmiendas de la </w:t>
      </w:r>
      <w:r w:rsidR="001B031C" w:rsidRPr="00F428F2">
        <w:rPr>
          <w:rFonts w:ascii="Arial" w:hAnsi="Arial" w:cs="Arial"/>
          <w:sz w:val="22"/>
          <w:szCs w:val="17"/>
          <w:lang w:val="es-ES"/>
        </w:rPr>
        <w:t>misma;</w:t>
      </w:r>
    </w:p>
    <w:p w14:paraId="4857BFDE" w14:textId="77777777" w:rsidR="001B031C" w:rsidRPr="00F428F2" w:rsidRDefault="001B031C" w:rsidP="001B031C">
      <w:pPr>
        <w:pStyle w:val="ListParagraph"/>
        <w:ind w:left="360"/>
        <w:jc w:val="both"/>
        <w:rPr>
          <w:rFonts w:ascii="Arial" w:hAnsi="Arial" w:cs="Arial"/>
          <w:sz w:val="22"/>
          <w:szCs w:val="17"/>
          <w:lang w:val="es-ES"/>
        </w:rPr>
      </w:pPr>
    </w:p>
    <w:p w14:paraId="00E299D4" w14:textId="336C7DFE" w:rsidR="00D14064" w:rsidRPr="00F428F2" w:rsidRDefault="00D14064" w:rsidP="001B031C">
      <w:pPr>
        <w:pStyle w:val="ListParagraph"/>
        <w:numPr>
          <w:ilvl w:val="0"/>
          <w:numId w:val="8"/>
        </w:numPr>
        <w:ind w:left="360"/>
        <w:jc w:val="both"/>
        <w:rPr>
          <w:rFonts w:ascii="Arial" w:hAnsi="Arial" w:cs="Arial"/>
          <w:sz w:val="22"/>
          <w:szCs w:val="17"/>
          <w:lang w:val="es-ES"/>
        </w:rPr>
      </w:pPr>
      <w:r w:rsidRPr="00F428F2">
        <w:rPr>
          <w:rFonts w:ascii="Arial" w:hAnsi="Arial" w:cs="Arial"/>
          <w:i/>
          <w:iCs/>
          <w:sz w:val="22"/>
          <w:szCs w:val="17"/>
          <w:lang w:val="es-ES"/>
        </w:rPr>
        <w:t xml:space="preserve">Reafirma </w:t>
      </w:r>
      <w:r w:rsidRPr="00F428F2">
        <w:rPr>
          <w:rFonts w:ascii="Arial" w:hAnsi="Arial" w:cs="Arial"/>
          <w:sz w:val="22"/>
          <w:szCs w:val="17"/>
          <w:lang w:val="es-ES"/>
        </w:rPr>
        <w:t>las normas adoptadas por la Convención para el tratamiento de los casos de sinonimia, de división y agregación de especies (agrupación) como resultado de un cambio de referencia de nomenclatura normalizada, de la siguiente manera: </w:t>
      </w:r>
    </w:p>
    <w:p w14:paraId="103412C7" w14:textId="77777777" w:rsidR="00D14064" w:rsidRPr="00F428F2" w:rsidRDefault="00D14064" w:rsidP="001B031C">
      <w:pPr>
        <w:jc w:val="both"/>
        <w:rPr>
          <w:rFonts w:ascii="Arial" w:hAnsi="Arial" w:cs="Arial"/>
          <w:sz w:val="22"/>
          <w:szCs w:val="17"/>
          <w:lang w:val="es-ES"/>
        </w:rPr>
      </w:pPr>
    </w:p>
    <w:p w14:paraId="38C11354" w14:textId="186DEA46" w:rsidR="00D14064" w:rsidRPr="00F428F2" w:rsidRDefault="00D14064" w:rsidP="00CC35AF">
      <w:pPr>
        <w:ind w:left="1440" w:hanging="720"/>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w:t>
      </w:r>
      <w:r w:rsidR="00CC35AF" w:rsidRPr="00F428F2">
        <w:rPr>
          <w:rFonts w:ascii="Arial" w:hAnsi="Arial" w:cs="Arial"/>
          <w:sz w:val="22"/>
          <w:szCs w:val="17"/>
          <w:lang w:val="es-ES"/>
        </w:rPr>
        <w:tab/>
      </w:r>
      <w:r w:rsidRPr="00F428F2">
        <w:rPr>
          <w:rFonts w:ascii="Arial" w:hAnsi="Arial" w:cs="Arial"/>
          <w:sz w:val="22"/>
          <w:szCs w:val="17"/>
          <w:lang w:val="es-ES"/>
        </w:rPr>
        <w:t>Sinonimia: se pueden hacer correcciones de forma automática ya que no hay cambio de estatus de ninguna población incluida en los Apéndices; </w:t>
      </w:r>
    </w:p>
    <w:p w14:paraId="620F5F98" w14:textId="77777777" w:rsidR="00D14064" w:rsidRPr="00F428F2" w:rsidRDefault="00D14064" w:rsidP="00CC35AF">
      <w:pPr>
        <w:ind w:left="1440" w:hanging="720"/>
        <w:jc w:val="both"/>
        <w:rPr>
          <w:rFonts w:ascii="Arial" w:hAnsi="Arial" w:cs="Arial"/>
          <w:sz w:val="22"/>
          <w:szCs w:val="17"/>
          <w:lang w:val="es-ES"/>
        </w:rPr>
      </w:pPr>
    </w:p>
    <w:p w14:paraId="02D34182" w14:textId="4BC12EB6" w:rsidR="00D14064" w:rsidRPr="00F428F2" w:rsidRDefault="00D14064" w:rsidP="00CC35AF">
      <w:pPr>
        <w:ind w:left="1440" w:hanging="720"/>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w:t>
      </w:r>
      <w:r w:rsidR="00CC35AF" w:rsidRPr="00F428F2">
        <w:rPr>
          <w:rFonts w:ascii="Arial" w:hAnsi="Arial" w:cs="Arial"/>
          <w:sz w:val="22"/>
          <w:szCs w:val="17"/>
          <w:lang w:val="es-ES"/>
        </w:rPr>
        <w:tab/>
      </w:r>
      <w:r w:rsidRPr="00F428F2">
        <w:rPr>
          <w:rFonts w:ascii="Arial" w:hAnsi="Arial" w:cs="Arial"/>
          <w:sz w:val="22"/>
          <w:szCs w:val="17"/>
          <w:lang w:val="es-ES"/>
        </w:rPr>
        <w:t>División: cuando un taxón listado se divide en dos o más, cada uno de los taxones resultante conserva el estatus del antiguo taxón agregado; </w:t>
      </w:r>
    </w:p>
    <w:p w14:paraId="7D84D24B" w14:textId="77777777" w:rsidR="00D14064" w:rsidRPr="00F428F2" w:rsidRDefault="00D14064" w:rsidP="00CC35AF">
      <w:pPr>
        <w:ind w:left="1440" w:hanging="720"/>
        <w:jc w:val="both"/>
        <w:rPr>
          <w:rFonts w:ascii="Arial" w:hAnsi="Arial" w:cs="Arial"/>
          <w:sz w:val="22"/>
          <w:szCs w:val="17"/>
          <w:lang w:val="es-ES"/>
        </w:rPr>
      </w:pPr>
    </w:p>
    <w:p w14:paraId="6B847EAF" w14:textId="4D29C732" w:rsidR="00D14064" w:rsidRPr="00F428F2" w:rsidRDefault="00D14064" w:rsidP="00CC35AF">
      <w:pPr>
        <w:ind w:left="1440" w:hanging="720"/>
        <w:jc w:val="both"/>
        <w:rPr>
          <w:rFonts w:ascii="Arial" w:hAnsi="Arial" w:cs="Arial"/>
          <w:sz w:val="22"/>
          <w:szCs w:val="17"/>
          <w:lang w:val="es-ES"/>
        </w:rPr>
      </w:pPr>
      <w:r w:rsidRPr="00F428F2">
        <w:rPr>
          <w:rFonts w:ascii="Arial" w:hAnsi="Arial" w:cs="Arial"/>
          <w:sz w:val="22"/>
          <w:szCs w:val="17"/>
          <w:lang w:val="es-ES"/>
        </w:rPr>
        <w:sym w:font="Symbol" w:char="F0B7"/>
      </w:r>
      <w:r w:rsidRPr="00F428F2">
        <w:rPr>
          <w:rFonts w:ascii="Arial" w:hAnsi="Arial" w:cs="Arial"/>
          <w:sz w:val="22"/>
          <w:szCs w:val="17"/>
          <w:lang w:val="es-ES"/>
        </w:rPr>
        <w:t xml:space="preserve"> </w:t>
      </w:r>
      <w:r w:rsidR="00CC35AF" w:rsidRPr="00F428F2">
        <w:rPr>
          <w:rFonts w:ascii="Arial" w:hAnsi="Arial" w:cs="Arial"/>
          <w:sz w:val="22"/>
          <w:szCs w:val="17"/>
          <w:lang w:val="es-ES"/>
        </w:rPr>
        <w:tab/>
      </w:r>
      <w:r w:rsidRPr="00F428F2">
        <w:rPr>
          <w:rFonts w:ascii="Arial" w:hAnsi="Arial" w:cs="Arial"/>
          <w:sz w:val="22"/>
          <w:szCs w:val="17"/>
          <w:lang w:val="es-ES"/>
        </w:rPr>
        <w:t>Agregación (fusión): Si un taxón que figura en el Apéndices I o Apéndice II de la Convención se fusiona con uno o más taxones no incluidos en los Apéndices, bajo su nombre o bajo uno de los taxones no incluidos, el taxón agregado entero se incluirá en el Apéndice que cubría originalmente el taxón, reducido, en todos los casos en que la entidad no incluida, y así añadida, tenga un estado de conservación igual o peor que uno de los taxones mencionados anteriormente. En los demás casos, se presentará una restricción taxonómica o geográfica, previo examen del Consejo Científico y de la Conferencia de las Partes de las propuestas para la extensión de la inclusión en los Apéndices; </w:t>
      </w:r>
    </w:p>
    <w:p w14:paraId="7F4E23A7" w14:textId="214F8C8B" w:rsidR="00D14064" w:rsidRPr="00F428F2" w:rsidRDefault="00D14064" w:rsidP="001B031C">
      <w:pPr>
        <w:jc w:val="both"/>
        <w:rPr>
          <w:rFonts w:ascii="Arial" w:hAnsi="Arial" w:cs="Arial"/>
          <w:strike/>
          <w:sz w:val="22"/>
          <w:szCs w:val="17"/>
          <w:lang w:val="es-ES"/>
        </w:rPr>
      </w:pPr>
    </w:p>
    <w:p w14:paraId="4FBABFAB" w14:textId="4A57F576" w:rsidR="00CC35AF" w:rsidRPr="00F428F2" w:rsidRDefault="00CC35AF" w:rsidP="00CC35AF">
      <w:pPr>
        <w:pStyle w:val="ListParagraph"/>
        <w:numPr>
          <w:ilvl w:val="0"/>
          <w:numId w:val="8"/>
        </w:numPr>
        <w:ind w:left="360"/>
        <w:jc w:val="both"/>
        <w:rPr>
          <w:rFonts w:ascii="Arial" w:hAnsi="Arial" w:cs="Arial"/>
          <w:sz w:val="22"/>
          <w:szCs w:val="17"/>
          <w:lang w:val="es-ES"/>
        </w:rPr>
      </w:pPr>
      <w:r w:rsidRPr="00F428F2">
        <w:rPr>
          <w:rFonts w:ascii="Arial" w:hAnsi="Arial" w:cs="Arial"/>
          <w:i/>
          <w:iCs/>
          <w:sz w:val="22"/>
          <w:szCs w:val="17"/>
          <w:lang w:val="es-ES"/>
        </w:rPr>
        <w:t xml:space="preserve">Insta </w:t>
      </w:r>
      <w:r w:rsidRPr="00F428F2">
        <w:rPr>
          <w:rFonts w:ascii="Arial" w:hAnsi="Arial" w:cs="Arial"/>
          <w:sz w:val="22"/>
          <w:szCs w:val="17"/>
          <w:lang w:val="es-ES"/>
        </w:rPr>
        <w:t>a otros AAM a adoptar la misma referencia taxonómica normalizada</w:t>
      </w:r>
    </w:p>
    <w:p w14:paraId="2B7090C0" w14:textId="77777777" w:rsidR="00CC35AF" w:rsidRPr="00F428F2" w:rsidRDefault="00CC35AF" w:rsidP="001B031C">
      <w:pPr>
        <w:jc w:val="both"/>
        <w:rPr>
          <w:rFonts w:ascii="Arial" w:hAnsi="Arial" w:cs="Arial"/>
          <w:strike/>
          <w:sz w:val="22"/>
          <w:szCs w:val="17"/>
          <w:lang w:val="es-ES"/>
        </w:rPr>
      </w:pPr>
    </w:p>
    <w:p w14:paraId="73BAB480" w14:textId="0FE1CB43" w:rsidR="00D14064" w:rsidRPr="00F428F2" w:rsidRDefault="00D14064" w:rsidP="00CC35AF">
      <w:pPr>
        <w:pStyle w:val="ListParagraph"/>
        <w:numPr>
          <w:ilvl w:val="0"/>
          <w:numId w:val="8"/>
        </w:numPr>
        <w:ind w:left="360"/>
        <w:jc w:val="both"/>
        <w:rPr>
          <w:rFonts w:ascii="Arial" w:hAnsi="Arial" w:cs="Arial"/>
          <w:i/>
          <w:sz w:val="22"/>
          <w:szCs w:val="17"/>
          <w:lang w:val="es-ES"/>
        </w:rPr>
      </w:pPr>
      <w:r w:rsidRPr="00F428F2">
        <w:rPr>
          <w:rFonts w:ascii="Arial" w:hAnsi="Arial" w:cs="Arial"/>
          <w:i/>
          <w:sz w:val="22"/>
          <w:szCs w:val="17"/>
          <w:lang w:val="es-ES"/>
        </w:rPr>
        <w:t>Revoca</w:t>
      </w:r>
    </w:p>
    <w:p w14:paraId="5CAB95FF" w14:textId="77777777" w:rsidR="00D14064" w:rsidRPr="00F428F2" w:rsidRDefault="00D14064" w:rsidP="001B031C">
      <w:pPr>
        <w:jc w:val="both"/>
        <w:rPr>
          <w:rFonts w:ascii="Arial" w:hAnsi="Arial" w:cs="Arial"/>
          <w:sz w:val="22"/>
          <w:szCs w:val="17"/>
          <w:lang w:val="es-ES"/>
        </w:rPr>
      </w:pPr>
    </w:p>
    <w:p w14:paraId="3DA64F73" w14:textId="7041B505" w:rsidR="00D14064" w:rsidRPr="00F428F2" w:rsidRDefault="00D14064" w:rsidP="00CC35AF">
      <w:pPr>
        <w:pStyle w:val="ListParagraph"/>
        <w:widowControl/>
        <w:numPr>
          <w:ilvl w:val="0"/>
          <w:numId w:val="7"/>
        </w:numPr>
        <w:autoSpaceDE/>
        <w:autoSpaceDN/>
        <w:adjustRightInd/>
        <w:ind w:hanging="720"/>
        <w:rPr>
          <w:rStyle w:val="file"/>
          <w:rFonts w:ascii="Arial" w:hAnsi="Arial" w:cs="Arial"/>
          <w:sz w:val="22"/>
          <w:lang w:val="es-ES"/>
        </w:rPr>
      </w:pPr>
      <w:r w:rsidRPr="00F428F2">
        <w:rPr>
          <w:rStyle w:val="file"/>
          <w:rFonts w:ascii="Arial" w:hAnsi="Arial" w:cs="Arial"/>
          <w:sz w:val="22"/>
          <w:lang w:val="es-ES"/>
        </w:rPr>
        <w:t xml:space="preserve">Recomendación 6.1, </w:t>
      </w:r>
      <w:r w:rsidR="00673C3A" w:rsidRPr="00F428F2">
        <w:rPr>
          <w:rStyle w:val="file"/>
          <w:rFonts w:ascii="Arial" w:hAnsi="Arial" w:cs="Arial"/>
          <w:sz w:val="22"/>
          <w:lang w:val="es-ES"/>
        </w:rPr>
        <w:t>Estandarización</w:t>
      </w:r>
      <w:r w:rsidRPr="00F428F2">
        <w:rPr>
          <w:rStyle w:val="file"/>
          <w:rFonts w:ascii="Arial" w:hAnsi="Arial" w:cs="Arial"/>
          <w:sz w:val="22"/>
          <w:lang w:val="es-ES"/>
        </w:rPr>
        <w:t xml:space="preserve"> de Nomenclatura para los Apéndices CMS;</w:t>
      </w:r>
    </w:p>
    <w:p w14:paraId="3042B343" w14:textId="77777777" w:rsidR="00D14064" w:rsidRPr="00F428F2" w:rsidRDefault="00D14064" w:rsidP="00CC35AF">
      <w:pPr>
        <w:pStyle w:val="ListParagraph"/>
        <w:widowControl/>
        <w:autoSpaceDE/>
        <w:autoSpaceDN/>
        <w:adjustRightInd/>
        <w:ind w:left="1440" w:hanging="720"/>
        <w:rPr>
          <w:rStyle w:val="file"/>
          <w:rFonts w:ascii="Arial" w:hAnsi="Arial" w:cs="Arial"/>
          <w:sz w:val="22"/>
          <w:lang w:val="es-ES"/>
        </w:rPr>
      </w:pPr>
    </w:p>
    <w:p w14:paraId="09E3EBEF" w14:textId="2DD7472D" w:rsidR="00D14064" w:rsidRPr="00F428F2" w:rsidRDefault="00D14064" w:rsidP="00CC35AF">
      <w:pPr>
        <w:pStyle w:val="ListParagraph"/>
        <w:widowControl/>
        <w:numPr>
          <w:ilvl w:val="0"/>
          <w:numId w:val="7"/>
        </w:numPr>
        <w:autoSpaceDE/>
        <w:autoSpaceDN/>
        <w:adjustRightInd/>
        <w:ind w:hanging="720"/>
        <w:rPr>
          <w:rFonts w:ascii="Arial" w:hAnsi="Arial" w:cs="Arial"/>
          <w:sz w:val="22"/>
          <w:lang w:val="es-ES"/>
        </w:rPr>
      </w:pPr>
      <w:r w:rsidRPr="00F428F2">
        <w:rPr>
          <w:rStyle w:val="file"/>
          <w:rFonts w:ascii="Arial" w:hAnsi="Arial" w:cs="Arial"/>
          <w:sz w:val="22"/>
          <w:lang w:val="es-ES"/>
        </w:rPr>
        <w:t xml:space="preserve">Recomendación 9.4, Nomenclatura </w:t>
      </w:r>
      <w:r w:rsidR="00673C3A" w:rsidRPr="00F428F2">
        <w:rPr>
          <w:rStyle w:val="file"/>
          <w:rFonts w:ascii="Arial" w:hAnsi="Arial" w:cs="Arial"/>
          <w:sz w:val="22"/>
          <w:lang w:val="es-ES"/>
        </w:rPr>
        <w:t>estandarizada</w:t>
      </w:r>
      <w:r w:rsidRPr="00F428F2">
        <w:rPr>
          <w:rStyle w:val="file"/>
          <w:rFonts w:ascii="Arial" w:hAnsi="Arial" w:cs="Arial"/>
          <w:sz w:val="22"/>
          <w:lang w:val="es-ES"/>
        </w:rPr>
        <w:t xml:space="preserve"> para los Apéndices de la CMS</w:t>
      </w:r>
      <w:r w:rsidRPr="00F428F2">
        <w:rPr>
          <w:rFonts w:ascii="Arial" w:hAnsi="Arial" w:cs="Arial"/>
          <w:color w:val="0000FF"/>
          <w:sz w:val="22"/>
          <w:u w:val="single"/>
          <w:lang w:val="es-ES"/>
        </w:rPr>
        <w:t>;</w:t>
      </w:r>
    </w:p>
    <w:p w14:paraId="07DED418" w14:textId="77777777" w:rsidR="00D14064" w:rsidRPr="00F428F2" w:rsidRDefault="00D14064" w:rsidP="00CC35AF">
      <w:pPr>
        <w:ind w:hanging="720"/>
        <w:rPr>
          <w:rFonts w:ascii="Arial" w:hAnsi="Arial" w:cs="Arial"/>
          <w:sz w:val="22"/>
          <w:lang w:val="es-ES"/>
        </w:rPr>
      </w:pPr>
    </w:p>
    <w:p w14:paraId="0A7B4CE7" w14:textId="77777777" w:rsidR="00D14064" w:rsidRPr="00F428F2" w:rsidRDefault="00D14064" w:rsidP="00CC35AF">
      <w:pPr>
        <w:pStyle w:val="ListParagraph"/>
        <w:widowControl/>
        <w:numPr>
          <w:ilvl w:val="0"/>
          <w:numId w:val="7"/>
        </w:numPr>
        <w:autoSpaceDE/>
        <w:autoSpaceDN/>
        <w:adjustRightInd/>
        <w:ind w:hanging="720"/>
        <w:rPr>
          <w:rStyle w:val="file"/>
          <w:rFonts w:ascii="Arial" w:hAnsi="Arial" w:cs="Arial"/>
          <w:sz w:val="22"/>
          <w:lang w:val="es-ES"/>
        </w:rPr>
      </w:pPr>
      <w:r w:rsidRPr="00F428F2">
        <w:rPr>
          <w:rStyle w:val="file"/>
          <w:rFonts w:ascii="Arial" w:hAnsi="Arial" w:cs="Arial"/>
          <w:sz w:val="22"/>
          <w:lang w:val="es-ES"/>
        </w:rPr>
        <w:t>Resolución 10.13, Nomenclatura estándar para aves incluidas en los Apéndices de la CMS; y</w:t>
      </w:r>
    </w:p>
    <w:p w14:paraId="3741E587" w14:textId="77777777" w:rsidR="00D14064" w:rsidRPr="00F428F2" w:rsidRDefault="00D14064" w:rsidP="00CC35AF">
      <w:pPr>
        <w:ind w:hanging="720"/>
        <w:rPr>
          <w:rFonts w:ascii="Arial" w:hAnsi="Arial" w:cs="Arial"/>
          <w:sz w:val="22"/>
          <w:lang w:val="es-ES"/>
        </w:rPr>
      </w:pPr>
    </w:p>
    <w:p w14:paraId="0B85E5D9" w14:textId="77777777" w:rsidR="00C645BC" w:rsidRPr="00F428F2" w:rsidRDefault="00D14064" w:rsidP="00CC35AF">
      <w:pPr>
        <w:pStyle w:val="ListParagraph"/>
        <w:widowControl/>
        <w:numPr>
          <w:ilvl w:val="0"/>
          <w:numId w:val="7"/>
        </w:numPr>
        <w:autoSpaceDE/>
        <w:autoSpaceDN/>
        <w:adjustRightInd/>
        <w:ind w:hanging="720"/>
        <w:rPr>
          <w:rStyle w:val="file"/>
          <w:rFonts w:ascii="Arial" w:hAnsi="Arial" w:cs="Arial"/>
          <w:sz w:val="22"/>
          <w:lang w:val="es-ES"/>
        </w:rPr>
        <w:sectPr w:rsidR="00C645BC" w:rsidRPr="00F428F2" w:rsidSect="000B0491">
          <w:headerReference w:type="even" r:id="rId23"/>
          <w:headerReference w:type="default" r:id="rId24"/>
          <w:headerReference w:type="first" r:id="rId25"/>
          <w:footnotePr>
            <w:numRestart w:val="eachPage"/>
          </w:footnotePr>
          <w:pgSz w:w="11907" w:h="16840"/>
          <w:pgMar w:top="1009" w:right="1412" w:bottom="1151" w:left="1412" w:header="720" w:footer="720" w:gutter="0"/>
          <w:cols w:space="720"/>
          <w:titlePg/>
          <w:docGrid w:linePitch="360"/>
        </w:sectPr>
      </w:pPr>
      <w:r w:rsidRPr="00F428F2">
        <w:rPr>
          <w:rStyle w:val="file"/>
          <w:rFonts w:ascii="Arial" w:hAnsi="Arial" w:cs="Arial"/>
          <w:sz w:val="22"/>
          <w:lang w:val="es-ES"/>
        </w:rPr>
        <w:t>Resolución 11.19: La Taxonomía y Nomenclatura de las Aves incluidas en los Apéndices de la CMS.</w:t>
      </w:r>
    </w:p>
    <w:p w14:paraId="415513A8" w14:textId="20F4C72C" w:rsidR="00D14064" w:rsidRPr="00F428F2" w:rsidRDefault="00D14064" w:rsidP="00C645BC">
      <w:pPr>
        <w:jc w:val="right"/>
        <w:rPr>
          <w:rFonts w:ascii="Arial" w:hAnsi="Arial" w:cs="Arial"/>
          <w:sz w:val="22"/>
          <w:szCs w:val="22"/>
          <w:lang w:val="es-ES"/>
        </w:rPr>
      </w:pPr>
      <w:r w:rsidRPr="00F428F2">
        <w:rPr>
          <w:rFonts w:ascii="Arial" w:hAnsi="Arial" w:cs="Arial"/>
          <w:b/>
          <w:sz w:val="22"/>
          <w:szCs w:val="22"/>
          <w:lang w:val="es-ES"/>
        </w:rPr>
        <w:lastRenderedPageBreak/>
        <w:t>A</w:t>
      </w:r>
      <w:r w:rsidR="00C645BC" w:rsidRPr="00F428F2">
        <w:rPr>
          <w:rFonts w:ascii="Arial" w:hAnsi="Arial" w:cs="Arial"/>
          <w:b/>
          <w:sz w:val="22"/>
          <w:szCs w:val="22"/>
          <w:lang w:val="es-ES"/>
        </w:rPr>
        <w:t>NEXO A LA RESOLUCIÓN</w:t>
      </w:r>
    </w:p>
    <w:p w14:paraId="77DFE147" w14:textId="77777777" w:rsidR="00D14064" w:rsidRPr="00F428F2" w:rsidRDefault="00D14064" w:rsidP="001B031C">
      <w:pPr>
        <w:jc w:val="both"/>
        <w:rPr>
          <w:rFonts w:ascii="Arial" w:hAnsi="Arial" w:cs="Arial"/>
          <w:sz w:val="22"/>
          <w:szCs w:val="22"/>
          <w:lang w:val="es-ES"/>
        </w:rPr>
      </w:pPr>
    </w:p>
    <w:p w14:paraId="4B6C0FEC" w14:textId="68AF3D47" w:rsidR="00C645BC" w:rsidRPr="00F428F2" w:rsidRDefault="00C645BC" w:rsidP="00C645BC">
      <w:pPr>
        <w:jc w:val="center"/>
        <w:rPr>
          <w:rFonts w:ascii="Arial" w:hAnsi="Arial" w:cs="Arial"/>
          <w:b/>
          <w:sz w:val="22"/>
          <w:szCs w:val="17"/>
          <w:lang w:val="es-ES"/>
        </w:rPr>
      </w:pPr>
      <w:r w:rsidRPr="00F428F2">
        <w:rPr>
          <w:rFonts w:ascii="Arial" w:hAnsi="Arial" w:cs="Arial"/>
          <w:b/>
          <w:sz w:val="22"/>
          <w:szCs w:val="17"/>
          <w:lang w:val="es-ES"/>
        </w:rPr>
        <w:t>LISTA DE LAS REFERENCIAS ESTANDAR</w:t>
      </w:r>
      <w:r w:rsidR="00FD0AE9" w:rsidRPr="00F428F2">
        <w:rPr>
          <w:rFonts w:ascii="Arial" w:hAnsi="Arial" w:cs="Arial"/>
          <w:b/>
          <w:sz w:val="22"/>
          <w:szCs w:val="17"/>
          <w:lang w:val="es-ES"/>
        </w:rPr>
        <w:t>IZAD</w:t>
      </w:r>
      <w:r w:rsidR="00673C3A">
        <w:rPr>
          <w:rFonts w:ascii="Arial" w:hAnsi="Arial" w:cs="Arial"/>
          <w:b/>
          <w:sz w:val="22"/>
          <w:szCs w:val="17"/>
          <w:lang w:val="es-ES"/>
        </w:rPr>
        <w:t>AS</w:t>
      </w:r>
      <w:r w:rsidRPr="00F428F2">
        <w:rPr>
          <w:rFonts w:ascii="Arial" w:hAnsi="Arial" w:cs="Arial"/>
          <w:b/>
          <w:sz w:val="22"/>
          <w:szCs w:val="17"/>
          <w:lang w:val="es-ES"/>
        </w:rPr>
        <w:t xml:space="preserve"> ADOPTADA POR</w:t>
      </w:r>
    </w:p>
    <w:p w14:paraId="74563C11" w14:textId="1D4DC42F" w:rsidR="00CC35AF" w:rsidRPr="00F428F2" w:rsidRDefault="00C645BC" w:rsidP="00C645BC">
      <w:pPr>
        <w:jc w:val="center"/>
        <w:rPr>
          <w:rFonts w:ascii="Arial" w:hAnsi="Arial" w:cs="Arial"/>
          <w:b/>
          <w:sz w:val="22"/>
          <w:szCs w:val="17"/>
          <w:lang w:val="es-ES"/>
        </w:rPr>
      </w:pPr>
      <w:r w:rsidRPr="00F428F2">
        <w:rPr>
          <w:rFonts w:ascii="Arial" w:hAnsi="Arial" w:cs="Arial"/>
          <w:b/>
          <w:sz w:val="22"/>
          <w:szCs w:val="17"/>
          <w:lang w:val="es-ES"/>
        </w:rPr>
        <w:t>LA CONFERENCIA DE LAS PARTES</w:t>
      </w:r>
    </w:p>
    <w:p w14:paraId="06B2ED6B" w14:textId="77777777" w:rsidR="00C645BC" w:rsidRPr="00F428F2" w:rsidRDefault="00C645BC" w:rsidP="001B031C">
      <w:pPr>
        <w:jc w:val="both"/>
        <w:rPr>
          <w:rFonts w:ascii="Arial" w:hAnsi="Arial" w:cs="Arial"/>
          <w:b/>
          <w:sz w:val="22"/>
          <w:szCs w:val="17"/>
          <w:lang w:val="es-ES"/>
        </w:rPr>
      </w:pPr>
    </w:p>
    <w:p w14:paraId="3D6F767C" w14:textId="77777777" w:rsidR="00D14064" w:rsidRPr="00F428F2" w:rsidRDefault="00D14064" w:rsidP="001B031C">
      <w:pPr>
        <w:jc w:val="both"/>
        <w:rPr>
          <w:rFonts w:ascii="Arial" w:hAnsi="Arial" w:cs="Arial"/>
          <w:i/>
          <w:sz w:val="22"/>
          <w:szCs w:val="17"/>
          <w:lang w:val="es-ES"/>
        </w:rPr>
      </w:pPr>
      <w:r w:rsidRPr="00F428F2">
        <w:rPr>
          <w:rFonts w:ascii="Arial" w:hAnsi="Arial" w:cs="Arial"/>
          <w:i/>
          <w:sz w:val="22"/>
          <w:szCs w:val="17"/>
          <w:lang w:val="es-ES"/>
        </w:rPr>
        <w:t>Mamíferos</w:t>
      </w:r>
    </w:p>
    <w:p w14:paraId="0334424E" w14:textId="77777777" w:rsidR="00CC35AF" w:rsidRPr="00F428F2" w:rsidRDefault="00CC35AF" w:rsidP="001B031C">
      <w:pPr>
        <w:jc w:val="both"/>
        <w:rPr>
          <w:rFonts w:ascii="Arial" w:hAnsi="Arial" w:cs="Arial"/>
          <w:sz w:val="22"/>
          <w:szCs w:val="17"/>
          <w:lang w:val="es-ES"/>
        </w:rPr>
      </w:pPr>
    </w:p>
    <w:p w14:paraId="61A0DBE5" w14:textId="53B8DC9B" w:rsidR="00F165E0" w:rsidRPr="00F428F2" w:rsidRDefault="00F165E0" w:rsidP="00F1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0"/>
          <w:lang w:val="es-ES"/>
        </w:rPr>
      </w:pPr>
      <w:r w:rsidRPr="00F428F2">
        <w:rPr>
          <w:rFonts w:ascii="Arial" w:hAnsi="Arial" w:cs="Arial"/>
          <w:sz w:val="22"/>
          <w:szCs w:val="20"/>
          <w:lang w:val="es-ES"/>
        </w:rPr>
        <w:tab/>
        <w:t>Mamíferos marinos</w:t>
      </w:r>
    </w:p>
    <w:p w14:paraId="378E1AA4" w14:textId="77777777" w:rsidR="00F165E0" w:rsidRPr="00F428F2" w:rsidRDefault="00F165E0" w:rsidP="001B031C">
      <w:pPr>
        <w:jc w:val="both"/>
        <w:rPr>
          <w:rFonts w:ascii="Arial" w:hAnsi="Arial" w:cs="Arial"/>
          <w:sz w:val="22"/>
          <w:szCs w:val="17"/>
          <w:lang w:val="es-ES"/>
        </w:rPr>
      </w:pPr>
    </w:p>
    <w:p w14:paraId="72998825" w14:textId="4E644295" w:rsidR="00D14064" w:rsidRPr="00F428F2" w:rsidRDefault="00D14064" w:rsidP="009A4C98">
      <w:pPr>
        <w:ind w:left="360" w:hanging="360"/>
        <w:jc w:val="both"/>
        <w:rPr>
          <w:rFonts w:ascii="Arial" w:hAnsi="Arial" w:cs="Arial"/>
          <w:sz w:val="20"/>
          <w:szCs w:val="20"/>
          <w:lang w:val="es-ES"/>
        </w:rPr>
      </w:pPr>
      <w:r w:rsidRPr="00F428F2">
        <w:rPr>
          <w:rFonts w:ascii="Arial" w:hAnsi="Arial" w:cs="Arial"/>
          <w:sz w:val="20"/>
          <w:szCs w:val="20"/>
          <w:lang w:val="es-ES"/>
        </w:rPr>
        <w:t>La Enciclopedia de los Mamíferos Marinos de Perrin, W.F., Wursig, B. y Thewissen, J.G.M. (Editores), (2009), Segunda edición. Academic Press</w:t>
      </w:r>
      <w:r w:rsidR="00CC35AF" w:rsidRPr="00F428F2">
        <w:rPr>
          <w:rFonts w:ascii="Arial" w:hAnsi="Arial" w:cs="Arial"/>
          <w:sz w:val="20"/>
          <w:szCs w:val="20"/>
          <w:lang w:val="es-ES"/>
        </w:rPr>
        <w:t>.</w:t>
      </w:r>
    </w:p>
    <w:p w14:paraId="55DB0539" w14:textId="77777777" w:rsidR="00CC35AF" w:rsidRPr="00F428F2" w:rsidRDefault="00CC35AF" w:rsidP="009A4C98">
      <w:pPr>
        <w:ind w:left="360" w:hanging="360"/>
        <w:jc w:val="both"/>
        <w:rPr>
          <w:rFonts w:ascii="Arial" w:hAnsi="Arial" w:cs="Arial"/>
          <w:sz w:val="20"/>
          <w:szCs w:val="20"/>
          <w:lang w:val="es-ES"/>
        </w:rPr>
      </w:pPr>
    </w:p>
    <w:p w14:paraId="01ECF775" w14:textId="7ADDEA63" w:rsidR="00F165E0" w:rsidRPr="00F428F2" w:rsidRDefault="00F165E0" w:rsidP="00F165E0">
      <w:pPr>
        <w:ind w:firstLine="720"/>
        <w:jc w:val="both"/>
        <w:rPr>
          <w:rFonts w:ascii="Arial" w:hAnsi="Arial" w:cs="Arial"/>
          <w:sz w:val="22"/>
          <w:szCs w:val="20"/>
          <w:lang w:val="es-ES"/>
        </w:rPr>
      </w:pPr>
      <w:r w:rsidRPr="00F428F2">
        <w:rPr>
          <w:rFonts w:ascii="Arial" w:hAnsi="Arial" w:cs="Arial"/>
          <w:sz w:val="22"/>
          <w:szCs w:val="20"/>
          <w:lang w:val="es-ES"/>
        </w:rPr>
        <w:t>Mamíferos terrestres</w:t>
      </w:r>
    </w:p>
    <w:p w14:paraId="2E75E296" w14:textId="77777777" w:rsidR="00F165E0" w:rsidRPr="00F428F2" w:rsidRDefault="00F165E0" w:rsidP="001B031C">
      <w:pPr>
        <w:jc w:val="both"/>
        <w:rPr>
          <w:rFonts w:ascii="Arial" w:hAnsi="Arial" w:cs="Arial"/>
          <w:sz w:val="22"/>
          <w:szCs w:val="17"/>
          <w:lang w:val="es-ES"/>
        </w:rPr>
      </w:pPr>
    </w:p>
    <w:p w14:paraId="0708E3EA" w14:textId="3F10C720" w:rsidR="00D14064" w:rsidRPr="00451511" w:rsidRDefault="00D14064" w:rsidP="009A4C98">
      <w:pPr>
        <w:ind w:left="360" w:hanging="360"/>
        <w:jc w:val="both"/>
        <w:rPr>
          <w:rFonts w:ascii="Arial" w:hAnsi="Arial" w:cs="Arial"/>
          <w:sz w:val="20"/>
          <w:szCs w:val="20"/>
        </w:rPr>
      </w:pPr>
      <w:r w:rsidRPr="00F428F2">
        <w:rPr>
          <w:rFonts w:ascii="Arial" w:hAnsi="Arial" w:cs="Arial"/>
          <w:sz w:val="20"/>
          <w:szCs w:val="20"/>
          <w:lang w:val="es-ES"/>
        </w:rPr>
        <w:t xml:space="preserve">Especies de mamíferos del mundo. Una referencia taxonómica y geográfica. </w:t>
      </w:r>
      <w:r w:rsidRPr="00451511">
        <w:rPr>
          <w:rFonts w:ascii="Arial" w:hAnsi="Arial" w:cs="Arial"/>
          <w:sz w:val="20"/>
          <w:szCs w:val="20"/>
        </w:rPr>
        <w:t xml:space="preserve">Wilson, DE &amp; Reeder, DM (ed.) (2005) Tercera edición, </w:t>
      </w:r>
      <w:r w:rsidR="00C83D41" w:rsidRPr="00451511">
        <w:rPr>
          <w:rFonts w:ascii="Arial" w:hAnsi="Arial" w:cs="Arial"/>
          <w:sz w:val="20"/>
          <w:szCs w:val="20"/>
        </w:rPr>
        <w:t>John Hopkins, University Press.</w:t>
      </w:r>
    </w:p>
    <w:p w14:paraId="015AECC6" w14:textId="77777777" w:rsidR="00CC35AF" w:rsidRPr="00451511" w:rsidRDefault="00CC35AF" w:rsidP="001B031C">
      <w:pPr>
        <w:jc w:val="both"/>
        <w:rPr>
          <w:rFonts w:ascii="Arial" w:hAnsi="Arial" w:cs="Arial"/>
          <w:sz w:val="22"/>
          <w:szCs w:val="17"/>
        </w:rPr>
      </w:pPr>
    </w:p>
    <w:p w14:paraId="7B1C2DD8" w14:textId="77777777" w:rsidR="00D14064" w:rsidRPr="00451511" w:rsidRDefault="00D14064" w:rsidP="001B031C">
      <w:pPr>
        <w:rPr>
          <w:rFonts w:ascii="Arial" w:hAnsi="Arial" w:cs="Arial"/>
          <w:i/>
          <w:sz w:val="22"/>
          <w:szCs w:val="17"/>
        </w:rPr>
      </w:pPr>
      <w:r w:rsidRPr="00451511">
        <w:rPr>
          <w:rFonts w:ascii="Arial" w:hAnsi="Arial" w:cs="Arial"/>
          <w:i/>
          <w:sz w:val="22"/>
          <w:szCs w:val="17"/>
        </w:rPr>
        <w:t>Aves</w:t>
      </w:r>
    </w:p>
    <w:p w14:paraId="183A2AB2" w14:textId="77777777" w:rsidR="00CC35AF" w:rsidRPr="00451511" w:rsidRDefault="00CC35AF" w:rsidP="001B031C">
      <w:pPr>
        <w:jc w:val="both"/>
        <w:rPr>
          <w:rFonts w:ascii="Arial" w:hAnsi="Arial" w:cs="Arial"/>
          <w:strike/>
          <w:sz w:val="22"/>
          <w:szCs w:val="17"/>
        </w:rPr>
      </w:pPr>
    </w:p>
    <w:p w14:paraId="0317AD43" w14:textId="68BB946D" w:rsidR="00D14064" w:rsidRPr="00451511" w:rsidRDefault="00CC35AF" w:rsidP="00077E6B">
      <w:pPr>
        <w:ind w:firstLine="720"/>
        <w:jc w:val="both"/>
        <w:rPr>
          <w:rFonts w:ascii="Arial" w:hAnsi="Arial" w:cs="Arial"/>
          <w:sz w:val="22"/>
          <w:szCs w:val="17"/>
        </w:rPr>
      </w:pPr>
      <w:r w:rsidRPr="00451511">
        <w:rPr>
          <w:rFonts w:ascii="Arial" w:hAnsi="Arial" w:cs="Arial"/>
          <w:sz w:val="22"/>
          <w:szCs w:val="17"/>
        </w:rPr>
        <w:t>Es</w:t>
      </w:r>
      <w:r w:rsidR="00077E6B" w:rsidRPr="00451511">
        <w:rPr>
          <w:rFonts w:ascii="Arial" w:hAnsi="Arial" w:cs="Arial"/>
          <w:sz w:val="22"/>
          <w:szCs w:val="17"/>
        </w:rPr>
        <w:t>pecies no paseriformes</w:t>
      </w:r>
    </w:p>
    <w:p w14:paraId="3E5E8522" w14:textId="77777777" w:rsidR="00D14064" w:rsidRPr="00451511" w:rsidRDefault="00D14064" w:rsidP="001B031C">
      <w:pPr>
        <w:jc w:val="both"/>
        <w:rPr>
          <w:rFonts w:ascii="Arial" w:hAnsi="Arial" w:cs="Arial"/>
          <w:sz w:val="22"/>
          <w:szCs w:val="17"/>
        </w:rPr>
      </w:pPr>
    </w:p>
    <w:p w14:paraId="4B26401F" w14:textId="43C6AF83" w:rsidR="00D14064" w:rsidRPr="00451511" w:rsidRDefault="00D14064" w:rsidP="009A4C98">
      <w:pPr>
        <w:ind w:left="360" w:hanging="360"/>
        <w:jc w:val="both"/>
        <w:rPr>
          <w:rFonts w:ascii="Arial" w:hAnsi="Arial" w:cs="Arial"/>
          <w:sz w:val="20"/>
          <w:szCs w:val="20"/>
        </w:rPr>
      </w:pPr>
      <w:r w:rsidRPr="00451511">
        <w:rPr>
          <w:rFonts w:ascii="Arial" w:hAnsi="Arial" w:cs="Arial"/>
          <w:sz w:val="20"/>
          <w:szCs w:val="20"/>
        </w:rPr>
        <w:t>Handbook of the Birds of the World /BirdLife International Illustrated Checklist of the Birds of the World, Volumen 1: no paseriformes, editado por Josep del Hoyo, Nigel J. Collar, David A. Christie, Andrew Elliot</w:t>
      </w:r>
      <w:r w:rsidR="00C83D41" w:rsidRPr="00451511">
        <w:rPr>
          <w:rFonts w:ascii="Arial" w:hAnsi="Arial" w:cs="Arial"/>
          <w:sz w:val="20"/>
          <w:szCs w:val="20"/>
        </w:rPr>
        <w:t xml:space="preserve"> y Lincoln D.C. Fishpool (2014).</w:t>
      </w:r>
    </w:p>
    <w:p w14:paraId="121BA46A" w14:textId="77777777" w:rsidR="00CC35AF" w:rsidRPr="00451511" w:rsidRDefault="00CC35AF" w:rsidP="001B031C">
      <w:pPr>
        <w:jc w:val="both"/>
        <w:rPr>
          <w:rFonts w:ascii="Arial" w:hAnsi="Arial" w:cs="Arial"/>
          <w:sz w:val="22"/>
          <w:szCs w:val="17"/>
          <w:u w:val="single"/>
        </w:rPr>
      </w:pPr>
    </w:p>
    <w:p w14:paraId="1576BCC8" w14:textId="7F3A14B4" w:rsidR="00D14064" w:rsidRPr="00F428F2" w:rsidRDefault="00D14064" w:rsidP="00077E6B">
      <w:pPr>
        <w:ind w:firstLine="720"/>
        <w:jc w:val="both"/>
        <w:rPr>
          <w:rFonts w:ascii="Arial" w:hAnsi="Arial" w:cs="Arial"/>
          <w:sz w:val="22"/>
          <w:szCs w:val="17"/>
          <w:lang w:val="es-ES"/>
        </w:rPr>
      </w:pPr>
      <w:r w:rsidRPr="00F428F2">
        <w:rPr>
          <w:rFonts w:ascii="Arial" w:hAnsi="Arial" w:cs="Arial"/>
          <w:sz w:val="22"/>
          <w:szCs w:val="17"/>
          <w:lang w:val="es-ES"/>
        </w:rPr>
        <w:t>Especies paseriformes</w:t>
      </w:r>
    </w:p>
    <w:p w14:paraId="0734FE21" w14:textId="77777777" w:rsidR="00D14064" w:rsidRPr="00F428F2" w:rsidRDefault="00D14064" w:rsidP="001B031C">
      <w:pPr>
        <w:jc w:val="both"/>
        <w:rPr>
          <w:rFonts w:ascii="Arial" w:hAnsi="Arial" w:cs="Arial"/>
          <w:sz w:val="22"/>
          <w:szCs w:val="17"/>
          <w:lang w:val="es-ES"/>
        </w:rPr>
      </w:pPr>
    </w:p>
    <w:p w14:paraId="1705F7AE" w14:textId="18CC0C4B" w:rsidR="00D14064" w:rsidRPr="00F428F2" w:rsidRDefault="00D14064" w:rsidP="001B031C">
      <w:pPr>
        <w:jc w:val="both"/>
        <w:rPr>
          <w:rFonts w:ascii="Arial" w:hAnsi="Arial" w:cs="Arial"/>
          <w:sz w:val="22"/>
          <w:szCs w:val="17"/>
          <w:lang w:val="es-ES"/>
        </w:rPr>
      </w:pPr>
      <w:r w:rsidRPr="00F428F2">
        <w:rPr>
          <w:rFonts w:ascii="Arial" w:hAnsi="Arial" w:cs="Arial"/>
          <w:sz w:val="22"/>
          <w:szCs w:val="17"/>
          <w:lang w:val="es-ES"/>
        </w:rPr>
        <w:t>Para taxonomía y nomencla</w:t>
      </w:r>
      <w:r w:rsidR="00554E2F" w:rsidRPr="00F428F2">
        <w:rPr>
          <w:rFonts w:ascii="Arial" w:hAnsi="Arial" w:cs="Arial"/>
          <w:sz w:val="22"/>
          <w:szCs w:val="17"/>
          <w:lang w:val="es-ES"/>
        </w:rPr>
        <w:t>tura a nivel de orden y familia</w:t>
      </w:r>
      <w:r w:rsidR="00E04296" w:rsidRPr="00F428F2">
        <w:rPr>
          <w:rFonts w:ascii="Arial" w:hAnsi="Arial" w:cs="Arial"/>
          <w:sz w:val="22"/>
          <w:szCs w:val="17"/>
          <w:lang w:val="es-ES"/>
        </w:rPr>
        <w:t>:</w:t>
      </w:r>
    </w:p>
    <w:p w14:paraId="5AFB90D2" w14:textId="77777777" w:rsidR="00D14064" w:rsidRPr="00F428F2" w:rsidRDefault="00D14064" w:rsidP="001B031C">
      <w:pPr>
        <w:jc w:val="both"/>
        <w:rPr>
          <w:rFonts w:ascii="Arial" w:hAnsi="Arial" w:cs="Arial"/>
          <w:sz w:val="22"/>
          <w:szCs w:val="17"/>
          <w:lang w:val="es-ES"/>
        </w:rPr>
      </w:pPr>
    </w:p>
    <w:p w14:paraId="7FEFB47B" w14:textId="77777777" w:rsidR="00D14064" w:rsidRPr="00451511" w:rsidRDefault="00D14064" w:rsidP="009A4C98">
      <w:pPr>
        <w:ind w:left="360" w:hanging="360"/>
        <w:jc w:val="both"/>
        <w:rPr>
          <w:rFonts w:ascii="Arial" w:hAnsi="Arial" w:cs="Arial"/>
          <w:sz w:val="20"/>
          <w:szCs w:val="20"/>
        </w:rPr>
      </w:pPr>
      <w:r w:rsidRPr="00451511">
        <w:rPr>
          <w:rFonts w:ascii="Arial" w:hAnsi="Arial" w:cs="Arial"/>
          <w:sz w:val="20"/>
          <w:szCs w:val="20"/>
        </w:rPr>
        <w:t>Morony, J.J., Bock, W.J. and Farrand, J. (1975). Reference List of the Birds of the World. Department of Ornithology, American Museum of Natural History, New York, New York. </w:t>
      </w:r>
    </w:p>
    <w:p w14:paraId="29EBDDFA" w14:textId="77777777" w:rsidR="00D14064" w:rsidRPr="00451511" w:rsidRDefault="00D14064" w:rsidP="001B031C">
      <w:pPr>
        <w:jc w:val="both"/>
        <w:rPr>
          <w:rFonts w:ascii="Arial" w:hAnsi="Arial" w:cs="Arial"/>
          <w:sz w:val="22"/>
          <w:szCs w:val="17"/>
        </w:rPr>
      </w:pPr>
    </w:p>
    <w:p w14:paraId="58AF8D12" w14:textId="4429F5EB" w:rsidR="00D14064" w:rsidRPr="00F428F2" w:rsidRDefault="00D14064" w:rsidP="001B031C">
      <w:pPr>
        <w:jc w:val="both"/>
        <w:rPr>
          <w:rFonts w:ascii="Arial" w:hAnsi="Arial" w:cs="Arial"/>
          <w:sz w:val="22"/>
          <w:szCs w:val="17"/>
          <w:lang w:val="es-ES"/>
        </w:rPr>
      </w:pPr>
      <w:r w:rsidRPr="00F428F2">
        <w:rPr>
          <w:rFonts w:ascii="Arial" w:hAnsi="Arial" w:cs="Arial"/>
          <w:sz w:val="22"/>
          <w:szCs w:val="17"/>
          <w:lang w:val="es-ES"/>
        </w:rPr>
        <w:t>Para taxonomía y nomenclat</w:t>
      </w:r>
      <w:r w:rsidR="00554E2F" w:rsidRPr="00F428F2">
        <w:rPr>
          <w:rFonts w:ascii="Arial" w:hAnsi="Arial" w:cs="Arial"/>
          <w:sz w:val="22"/>
          <w:szCs w:val="17"/>
          <w:lang w:val="es-ES"/>
        </w:rPr>
        <w:t>ura a nivel de género y especie</w:t>
      </w:r>
      <w:r w:rsidR="00E04296" w:rsidRPr="00F428F2">
        <w:rPr>
          <w:rFonts w:ascii="Arial" w:hAnsi="Arial" w:cs="Arial"/>
          <w:sz w:val="22"/>
          <w:szCs w:val="17"/>
          <w:lang w:val="es-ES"/>
        </w:rPr>
        <w:t>:</w:t>
      </w:r>
    </w:p>
    <w:p w14:paraId="61C3CFCB" w14:textId="77777777" w:rsidR="00D14064" w:rsidRPr="00F428F2" w:rsidRDefault="00D14064" w:rsidP="001B031C">
      <w:pPr>
        <w:jc w:val="both"/>
        <w:rPr>
          <w:rFonts w:ascii="Arial" w:hAnsi="Arial" w:cs="Arial"/>
          <w:sz w:val="22"/>
          <w:szCs w:val="17"/>
          <w:lang w:val="es-ES"/>
        </w:rPr>
      </w:pPr>
    </w:p>
    <w:p w14:paraId="300779EF" w14:textId="396EA5C9" w:rsidR="00D14064" w:rsidRPr="00451511" w:rsidRDefault="00D14064" w:rsidP="009A4C98">
      <w:pPr>
        <w:ind w:left="360" w:hanging="360"/>
        <w:jc w:val="both"/>
        <w:rPr>
          <w:rFonts w:ascii="Arial" w:hAnsi="Arial" w:cs="Arial"/>
          <w:sz w:val="20"/>
          <w:szCs w:val="20"/>
        </w:rPr>
      </w:pPr>
      <w:r w:rsidRPr="00451511">
        <w:rPr>
          <w:rFonts w:ascii="Arial" w:hAnsi="Arial" w:cs="Arial"/>
          <w:sz w:val="20"/>
          <w:szCs w:val="20"/>
        </w:rPr>
        <w:t>Sibley, C.G. and Monroe, B.L. (1990). Distribution and taxonomy of birds of the world. Yale University Press, New Haven.</w:t>
      </w:r>
    </w:p>
    <w:p w14:paraId="64DAE67C" w14:textId="77777777" w:rsidR="003C00D6" w:rsidRPr="00451511" w:rsidRDefault="003C00D6" w:rsidP="009A4C98">
      <w:pPr>
        <w:ind w:left="360" w:hanging="360"/>
        <w:jc w:val="both"/>
        <w:rPr>
          <w:rFonts w:ascii="Arial" w:hAnsi="Arial" w:cs="Arial"/>
          <w:sz w:val="20"/>
          <w:szCs w:val="20"/>
        </w:rPr>
      </w:pPr>
    </w:p>
    <w:p w14:paraId="29DDA1D6" w14:textId="2CE24C96" w:rsidR="00D14064" w:rsidRPr="00F428F2" w:rsidRDefault="00D14064" w:rsidP="009A4C98">
      <w:pPr>
        <w:ind w:left="360" w:hanging="360"/>
        <w:jc w:val="both"/>
        <w:rPr>
          <w:rFonts w:ascii="Arial" w:hAnsi="Arial" w:cs="Arial"/>
          <w:sz w:val="22"/>
          <w:szCs w:val="17"/>
          <w:lang w:val="es-ES"/>
        </w:rPr>
      </w:pPr>
      <w:r w:rsidRPr="00451511">
        <w:rPr>
          <w:rFonts w:ascii="Arial" w:hAnsi="Arial" w:cs="Arial"/>
          <w:sz w:val="20"/>
          <w:szCs w:val="20"/>
        </w:rPr>
        <w:t xml:space="preserve">Sibley, C.G. and Monroe, B.L. (1993). A supplement to distribution and taxonomy of birds of the world. </w:t>
      </w:r>
      <w:r w:rsidRPr="00F428F2">
        <w:rPr>
          <w:rFonts w:ascii="Arial" w:hAnsi="Arial" w:cs="Arial"/>
          <w:sz w:val="20"/>
          <w:szCs w:val="20"/>
          <w:lang w:val="es-ES"/>
        </w:rPr>
        <w:t>Yale University Press, New Haven</w:t>
      </w:r>
      <w:r w:rsidRPr="00F428F2">
        <w:rPr>
          <w:rFonts w:ascii="Arial" w:hAnsi="Arial" w:cs="Arial"/>
          <w:sz w:val="22"/>
          <w:szCs w:val="17"/>
          <w:lang w:val="es-ES"/>
        </w:rPr>
        <w:t>.</w:t>
      </w:r>
    </w:p>
    <w:p w14:paraId="00A0D343" w14:textId="77777777" w:rsidR="00CC35AF" w:rsidRPr="00F428F2" w:rsidRDefault="00CC35AF" w:rsidP="001B031C">
      <w:pPr>
        <w:jc w:val="both"/>
        <w:rPr>
          <w:rFonts w:ascii="Arial" w:hAnsi="Arial" w:cs="Arial"/>
          <w:sz w:val="22"/>
          <w:szCs w:val="17"/>
          <w:lang w:val="es-ES"/>
        </w:rPr>
      </w:pPr>
    </w:p>
    <w:p w14:paraId="36966AAE" w14:textId="77777777" w:rsidR="00D14064" w:rsidRPr="00F428F2" w:rsidRDefault="00D14064" w:rsidP="00077E6B">
      <w:pPr>
        <w:ind w:firstLine="720"/>
        <w:jc w:val="both"/>
        <w:rPr>
          <w:rFonts w:ascii="Arial" w:hAnsi="Arial" w:cs="Arial"/>
          <w:sz w:val="22"/>
          <w:szCs w:val="17"/>
          <w:lang w:val="es-ES"/>
        </w:rPr>
      </w:pPr>
      <w:r w:rsidRPr="00F428F2">
        <w:rPr>
          <w:rFonts w:ascii="Arial" w:hAnsi="Arial" w:cs="Arial"/>
          <w:sz w:val="22"/>
          <w:szCs w:val="17"/>
          <w:lang w:val="es-ES"/>
        </w:rPr>
        <w:t>Los albatros y grandes petreles</w:t>
      </w:r>
    </w:p>
    <w:p w14:paraId="43876A2E" w14:textId="77777777" w:rsidR="00D14064" w:rsidRPr="00F428F2" w:rsidRDefault="00D14064" w:rsidP="001B031C">
      <w:pPr>
        <w:jc w:val="both"/>
        <w:rPr>
          <w:rFonts w:ascii="Arial" w:hAnsi="Arial" w:cs="Arial"/>
          <w:sz w:val="22"/>
          <w:szCs w:val="17"/>
          <w:u w:val="single"/>
          <w:lang w:val="es-ES"/>
        </w:rPr>
      </w:pPr>
    </w:p>
    <w:p w14:paraId="3D013FCD" w14:textId="1D8BE3F8" w:rsidR="00D14064" w:rsidRPr="00F428F2" w:rsidRDefault="00CC35AF" w:rsidP="001B031C">
      <w:pPr>
        <w:jc w:val="both"/>
        <w:rPr>
          <w:rFonts w:ascii="Arial" w:hAnsi="Arial" w:cs="Arial"/>
          <w:sz w:val="22"/>
          <w:szCs w:val="17"/>
          <w:lang w:val="es-ES"/>
        </w:rPr>
      </w:pPr>
      <w:r w:rsidRPr="00F428F2">
        <w:rPr>
          <w:rFonts w:ascii="Arial" w:hAnsi="Arial" w:cs="Arial"/>
          <w:sz w:val="22"/>
          <w:szCs w:val="17"/>
          <w:lang w:val="es-ES"/>
        </w:rPr>
        <w:t>L</w:t>
      </w:r>
      <w:r w:rsidR="00D14064" w:rsidRPr="00F428F2">
        <w:rPr>
          <w:rFonts w:ascii="Arial" w:hAnsi="Arial" w:cs="Arial"/>
          <w:sz w:val="22"/>
          <w:szCs w:val="17"/>
          <w:lang w:val="es-ES"/>
        </w:rPr>
        <w:t>a taxonomía utilizada por ACAP</w:t>
      </w:r>
      <w:r w:rsidR="00C83D41" w:rsidRPr="00F428F2">
        <w:rPr>
          <w:rFonts w:ascii="Arial" w:hAnsi="Arial" w:cs="Arial"/>
          <w:sz w:val="22"/>
          <w:szCs w:val="17"/>
          <w:lang w:val="es-ES"/>
        </w:rPr>
        <w:t>.</w:t>
      </w:r>
      <w:r w:rsidR="00D14064" w:rsidRPr="00F428F2">
        <w:rPr>
          <w:rFonts w:ascii="Arial" w:hAnsi="Arial" w:cs="Arial"/>
          <w:sz w:val="22"/>
          <w:szCs w:val="17"/>
          <w:lang w:val="es-ES"/>
        </w:rPr>
        <w:t> </w:t>
      </w:r>
    </w:p>
    <w:p w14:paraId="077D881D" w14:textId="77777777" w:rsidR="00CC35AF" w:rsidRPr="00F428F2" w:rsidRDefault="00CC35AF" w:rsidP="001B031C">
      <w:pPr>
        <w:rPr>
          <w:rFonts w:ascii="Arial" w:hAnsi="Arial" w:cs="Arial"/>
          <w:i/>
          <w:sz w:val="22"/>
          <w:szCs w:val="17"/>
          <w:lang w:val="es-ES"/>
        </w:rPr>
      </w:pPr>
    </w:p>
    <w:p w14:paraId="5F5C54EC" w14:textId="77777777" w:rsidR="00D14064" w:rsidRPr="00451511" w:rsidRDefault="00D14064" w:rsidP="001B031C">
      <w:pPr>
        <w:rPr>
          <w:rFonts w:ascii="Arial" w:hAnsi="Arial" w:cs="Arial"/>
          <w:i/>
          <w:sz w:val="22"/>
          <w:szCs w:val="17"/>
        </w:rPr>
      </w:pPr>
      <w:r w:rsidRPr="00451511">
        <w:rPr>
          <w:rFonts w:ascii="Arial" w:hAnsi="Arial" w:cs="Arial"/>
          <w:i/>
          <w:sz w:val="22"/>
          <w:szCs w:val="17"/>
        </w:rPr>
        <w:t>Tortugas marinas</w:t>
      </w:r>
    </w:p>
    <w:p w14:paraId="75DB6625" w14:textId="77777777" w:rsidR="00CC35AF" w:rsidRPr="00451511" w:rsidRDefault="00CC35AF" w:rsidP="001B031C">
      <w:pPr>
        <w:jc w:val="both"/>
        <w:rPr>
          <w:rFonts w:ascii="Arial" w:hAnsi="Arial" w:cs="Arial"/>
          <w:strike/>
          <w:sz w:val="22"/>
          <w:szCs w:val="17"/>
        </w:rPr>
      </w:pPr>
    </w:p>
    <w:p w14:paraId="7432CE87" w14:textId="766EC217" w:rsidR="00D14064" w:rsidRPr="00451511" w:rsidRDefault="00D14064" w:rsidP="009A4C98">
      <w:pPr>
        <w:ind w:left="360" w:hanging="360"/>
        <w:jc w:val="both"/>
        <w:rPr>
          <w:rFonts w:ascii="Arial" w:hAnsi="Arial" w:cs="Arial"/>
          <w:sz w:val="20"/>
          <w:szCs w:val="20"/>
        </w:rPr>
      </w:pPr>
      <w:r w:rsidRPr="00451511">
        <w:rPr>
          <w:rFonts w:ascii="Arial" w:hAnsi="Arial" w:cs="Arial"/>
          <w:sz w:val="20"/>
          <w:szCs w:val="20"/>
        </w:rPr>
        <w:t>Eckert, K.L., Bjorndal, K.A., Abreu-Grobois, F.A. and Donnelly, M. (Eds) (1999). Research and Management techniques for the conservation of sea turtles. IUCN/SSC Marine Turtle Specialist Group Publication N° 4.</w:t>
      </w:r>
    </w:p>
    <w:p w14:paraId="1218E0A6" w14:textId="77777777" w:rsidR="00CC35AF" w:rsidRPr="00451511" w:rsidRDefault="00CC35AF" w:rsidP="001B031C">
      <w:pPr>
        <w:jc w:val="both"/>
        <w:rPr>
          <w:rFonts w:ascii="Arial" w:hAnsi="Arial" w:cs="Arial"/>
          <w:i/>
          <w:sz w:val="22"/>
          <w:szCs w:val="22"/>
        </w:rPr>
      </w:pPr>
    </w:p>
    <w:p w14:paraId="5C2A075A" w14:textId="77777777" w:rsidR="00D14064" w:rsidRPr="00451511" w:rsidRDefault="00D14064" w:rsidP="001B031C">
      <w:pPr>
        <w:jc w:val="both"/>
        <w:rPr>
          <w:rFonts w:ascii="Arial" w:hAnsi="Arial" w:cs="Arial"/>
          <w:i/>
          <w:sz w:val="22"/>
          <w:szCs w:val="22"/>
        </w:rPr>
      </w:pPr>
      <w:r w:rsidRPr="00451511">
        <w:rPr>
          <w:rFonts w:ascii="Arial" w:hAnsi="Arial" w:cs="Arial"/>
          <w:i/>
          <w:sz w:val="22"/>
          <w:szCs w:val="22"/>
        </w:rPr>
        <w:t>Peces</w:t>
      </w:r>
    </w:p>
    <w:p w14:paraId="6118A2F4" w14:textId="77777777" w:rsidR="00C3372D" w:rsidRPr="00451511" w:rsidRDefault="00C3372D" w:rsidP="001B031C">
      <w:pPr>
        <w:jc w:val="both"/>
        <w:rPr>
          <w:rFonts w:ascii="Arial" w:hAnsi="Arial" w:cs="Arial"/>
          <w:sz w:val="22"/>
          <w:szCs w:val="17"/>
        </w:rPr>
      </w:pPr>
    </w:p>
    <w:p w14:paraId="536900B4" w14:textId="4AF0C227" w:rsidR="00D14064" w:rsidRPr="00F428F2" w:rsidRDefault="00D14064" w:rsidP="009A4C98">
      <w:pPr>
        <w:ind w:left="360" w:hanging="360"/>
        <w:jc w:val="both"/>
        <w:rPr>
          <w:rFonts w:ascii="Arial" w:hAnsi="Arial" w:cs="Arial"/>
          <w:sz w:val="20"/>
          <w:szCs w:val="20"/>
          <w:lang w:val="es-ES"/>
        </w:rPr>
      </w:pPr>
      <w:r w:rsidRPr="00451511">
        <w:rPr>
          <w:rFonts w:ascii="Arial" w:hAnsi="Arial" w:cs="Arial"/>
          <w:sz w:val="20"/>
          <w:szCs w:val="20"/>
        </w:rPr>
        <w:t xml:space="preserve">Eschmeyer, W.N. (1990). Catalogue of the Genera of Recent Fishes. </w:t>
      </w:r>
      <w:r w:rsidRPr="00F428F2">
        <w:rPr>
          <w:rFonts w:ascii="Arial" w:hAnsi="Arial" w:cs="Arial"/>
          <w:sz w:val="20"/>
          <w:szCs w:val="20"/>
          <w:lang w:val="es-ES"/>
        </w:rPr>
        <w:t>California Academy of Sciences, San Francisco, California.</w:t>
      </w:r>
    </w:p>
    <w:p w14:paraId="50891ED1" w14:textId="77777777" w:rsidR="00FA58A3" w:rsidRPr="00F428F2" w:rsidRDefault="00FA58A3" w:rsidP="008E7214">
      <w:pPr>
        <w:pStyle w:val="ListParagraph"/>
        <w:widowControl/>
        <w:autoSpaceDE/>
        <w:autoSpaceDN/>
        <w:adjustRightInd/>
        <w:ind w:left="360"/>
        <w:jc w:val="both"/>
        <w:rPr>
          <w:rFonts w:ascii="Arial" w:hAnsi="Arial" w:cs="Arial"/>
          <w:sz w:val="22"/>
          <w:szCs w:val="22"/>
          <w:lang w:val="es-ES"/>
        </w:rPr>
      </w:pPr>
    </w:p>
    <w:p w14:paraId="236CCC85" w14:textId="77777777" w:rsidR="009A4C98" w:rsidRPr="00F428F2" w:rsidRDefault="009A4C98" w:rsidP="0020544E">
      <w:pPr>
        <w:pStyle w:val="ListParagraph"/>
        <w:widowControl/>
        <w:autoSpaceDE/>
        <w:autoSpaceDN/>
        <w:adjustRightInd/>
        <w:ind w:left="360"/>
        <w:jc w:val="right"/>
        <w:rPr>
          <w:rFonts w:ascii="Arial" w:hAnsi="Arial" w:cs="Arial"/>
          <w:b/>
          <w:sz w:val="22"/>
          <w:szCs w:val="22"/>
          <w:lang w:val="es-ES"/>
        </w:rPr>
        <w:sectPr w:rsidR="009A4C98" w:rsidRPr="00F428F2" w:rsidSect="000B0491">
          <w:headerReference w:type="first" r:id="rId26"/>
          <w:footnotePr>
            <w:numRestart w:val="eachPage"/>
          </w:footnotePr>
          <w:pgSz w:w="11907" w:h="16840"/>
          <w:pgMar w:top="1009" w:right="1412" w:bottom="1151" w:left="1412" w:header="720" w:footer="720" w:gutter="0"/>
          <w:cols w:space="720"/>
          <w:titlePg/>
          <w:docGrid w:linePitch="360"/>
        </w:sectPr>
      </w:pPr>
    </w:p>
    <w:p w14:paraId="48C1F4CE" w14:textId="779B7F3A" w:rsidR="00FA58A3" w:rsidRPr="00F428F2" w:rsidRDefault="00EF2A42" w:rsidP="0020544E">
      <w:pPr>
        <w:pStyle w:val="ListParagraph"/>
        <w:widowControl/>
        <w:autoSpaceDE/>
        <w:autoSpaceDN/>
        <w:adjustRightInd/>
        <w:ind w:left="360"/>
        <w:jc w:val="right"/>
        <w:rPr>
          <w:rFonts w:ascii="Arial" w:hAnsi="Arial" w:cs="Arial"/>
          <w:b/>
          <w:sz w:val="22"/>
          <w:szCs w:val="22"/>
          <w:lang w:val="es-ES"/>
        </w:rPr>
      </w:pPr>
      <w:r w:rsidRPr="00F428F2">
        <w:rPr>
          <w:rFonts w:ascii="Arial" w:hAnsi="Arial" w:cs="Arial"/>
          <w:b/>
          <w:sz w:val="22"/>
          <w:szCs w:val="22"/>
          <w:lang w:val="es-ES"/>
        </w:rPr>
        <w:lastRenderedPageBreak/>
        <w:t>ANEXO</w:t>
      </w:r>
      <w:r w:rsidR="0020544E" w:rsidRPr="00F428F2">
        <w:rPr>
          <w:rFonts w:ascii="Arial" w:hAnsi="Arial" w:cs="Arial"/>
          <w:b/>
          <w:sz w:val="22"/>
          <w:szCs w:val="22"/>
          <w:lang w:val="es-ES"/>
        </w:rPr>
        <w:t xml:space="preserve"> 3</w:t>
      </w:r>
    </w:p>
    <w:p w14:paraId="0B1BBA56" w14:textId="77777777" w:rsidR="0020544E" w:rsidRPr="00F428F2" w:rsidRDefault="0020544E" w:rsidP="008E7214">
      <w:pPr>
        <w:pStyle w:val="ListParagraph"/>
        <w:widowControl/>
        <w:autoSpaceDE/>
        <w:autoSpaceDN/>
        <w:adjustRightInd/>
        <w:ind w:left="360"/>
        <w:jc w:val="both"/>
        <w:rPr>
          <w:rFonts w:ascii="Arial" w:hAnsi="Arial" w:cs="Arial"/>
          <w:sz w:val="22"/>
          <w:szCs w:val="22"/>
          <w:lang w:val="es-ES"/>
        </w:rPr>
      </w:pPr>
    </w:p>
    <w:p w14:paraId="7A787107" w14:textId="2E2B6379" w:rsidR="00684205" w:rsidRPr="00F428F2" w:rsidRDefault="00684205" w:rsidP="00684205">
      <w:pPr>
        <w:pStyle w:val="ListParagraph"/>
        <w:widowControl/>
        <w:autoSpaceDE/>
        <w:autoSpaceDN/>
        <w:adjustRightInd/>
        <w:ind w:left="0"/>
        <w:jc w:val="center"/>
        <w:rPr>
          <w:rFonts w:ascii="Arial" w:hAnsi="Arial" w:cs="Arial"/>
          <w:b/>
          <w:sz w:val="22"/>
          <w:szCs w:val="22"/>
          <w:lang w:val="es-ES"/>
        </w:rPr>
      </w:pPr>
      <w:r w:rsidRPr="00F428F2">
        <w:rPr>
          <w:rFonts w:ascii="Arial" w:hAnsi="Arial" w:cs="Arial"/>
          <w:b/>
          <w:sz w:val="22"/>
          <w:szCs w:val="22"/>
          <w:lang w:val="es-ES"/>
        </w:rPr>
        <w:t xml:space="preserve">PROYECTOS DE DECISIÓN </w:t>
      </w:r>
    </w:p>
    <w:p w14:paraId="799506B6" w14:textId="77777777" w:rsidR="00684205" w:rsidRPr="00F428F2" w:rsidRDefault="00684205" w:rsidP="008E7214">
      <w:pPr>
        <w:pStyle w:val="ListParagraph"/>
        <w:widowControl/>
        <w:autoSpaceDE/>
        <w:autoSpaceDN/>
        <w:adjustRightInd/>
        <w:ind w:left="360"/>
        <w:jc w:val="both"/>
        <w:rPr>
          <w:rFonts w:ascii="Arial" w:hAnsi="Arial" w:cs="Arial"/>
          <w:sz w:val="22"/>
          <w:szCs w:val="22"/>
          <w:lang w:val="es-ES"/>
        </w:rPr>
      </w:pPr>
    </w:p>
    <w:p w14:paraId="60E889F9" w14:textId="79FD24F5" w:rsidR="00684205" w:rsidRPr="00F428F2" w:rsidRDefault="005B4F1E" w:rsidP="005B4F1E">
      <w:pPr>
        <w:jc w:val="both"/>
        <w:rPr>
          <w:rFonts w:ascii="Arial" w:hAnsi="Arial" w:cs="Arial"/>
          <w:b/>
          <w:i/>
          <w:sz w:val="22"/>
          <w:szCs w:val="22"/>
          <w:lang w:val="es-ES"/>
        </w:rPr>
      </w:pPr>
      <w:r w:rsidRPr="00F428F2">
        <w:rPr>
          <w:rFonts w:ascii="Arial" w:hAnsi="Arial" w:cs="Arial"/>
          <w:b/>
          <w:bCs/>
          <w:i/>
          <w:sz w:val="22"/>
          <w:szCs w:val="22"/>
          <w:lang w:val="es-ES"/>
        </w:rPr>
        <w:t>Dirigida a la Secretaría </w:t>
      </w:r>
    </w:p>
    <w:p w14:paraId="368B2B28" w14:textId="77777777" w:rsidR="005B4F1E" w:rsidRPr="00F428F2" w:rsidRDefault="005B4F1E" w:rsidP="00FB768A">
      <w:pPr>
        <w:pStyle w:val="p1"/>
        <w:ind w:left="720" w:hanging="720"/>
        <w:jc w:val="both"/>
        <w:rPr>
          <w:rFonts w:ascii="Arial" w:hAnsi="Arial" w:cs="Arial"/>
          <w:iCs/>
          <w:sz w:val="22"/>
          <w:szCs w:val="22"/>
          <w:lang w:val="es-ES"/>
        </w:rPr>
      </w:pPr>
    </w:p>
    <w:p w14:paraId="4D284796" w14:textId="46B23A5A" w:rsidR="00FF5106" w:rsidRPr="00F428F2" w:rsidRDefault="00FB768A" w:rsidP="005B4F1E">
      <w:pPr>
        <w:pStyle w:val="p1"/>
        <w:ind w:left="720" w:hanging="720"/>
        <w:jc w:val="both"/>
        <w:rPr>
          <w:rFonts w:ascii="Arial" w:hAnsi="Arial" w:cs="Arial"/>
          <w:sz w:val="22"/>
          <w:szCs w:val="22"/>
          <w:lang w:val="es-ES"/>
        </w:rPr>
      </w:pPr>
      <w:r w:rsidRPr="00F428F2">
        <w:rPr>
          <w:rFonts w:ascii="Arial" w:hAnsi="Arial" w:cs="Arial"/>
          <w:iCs/>
          <w:sz w:val="22"/>
          <w:szCs w:val="22"/>
          <w:lang w:val="es-ES"/>
        </w:rPr>
        <w:t>12.AA</w:t>
      </w:r>
      <w:r w:rsidRPr="00F428F2">
        <w:rPr>
          <w:rFonts w:ascii="Arial" w:hAnsi="Arial" w:cs="Arial"/>
          <w:iCs/>
          <w:sz w:val="22"/>
          <w:szCs w:val="22"/>
          <w:lang w:val="es-ES"/>
        </w:rPr>
        <w:tab/>
      </w:r>
      <w:r w:rsidR="007155AD" w:rsidRPr="00F428F2">
        <w:rPr>
          <w:rFonts w:ascii="Arial" w:hAnsi="Arial" w:cs="Arial"/>
          <w:i/>
          <w:iCs/>
          <w:strike/>
          <w:sz w:val="22"/>
          <w:lang w:val="es-ES"/>
        </w:rPr>
        <w:t xml:space="preserve">Encarga </w:t>
      </w:r>
      <w:r w:rsidR="007155AD" w:rsidRPr="00F428F2">
        <w:rPr>
          <w:rFonts w:ascii="Arial" w:hAnsi="Arial" w:cs="Arial"/>
          <w:strike/>
          <w:sz w:val="22"/>
          <w:lang w:val="es-ES"/>
        </w:rPr>
        <w:t>a</w:t>
      </w:r>
      <w:r w:rsidR="007155AD" w:rsidRPr="00F428F2">
        <w:rPr>
          <w:rFonts w:ascii="Arial" w:hAnsi="Arial" w:cs="Arial"/>
          <w:sz w:val="22"/>
          <w:lang w:val="es-ES"/>
        </w:rPr>
        <w:t xml:space="preserve"> </w:t>
      </w:r>
      <w:r w:rsidR="005B4F1E" w:rsidRPr="00F428F2">
        <w:rPr>
          <w:rFonts w:ascii="Arial" w:hAnsi="Arial" w:cs="Arial"/>
          <w:sz w:val="22"/>
          <w:lang w:val="es-ES"/>
        </w:rPr>
        <w:t>L</w:t>
      </w:r>
      <w:r w:rsidR="007155AD" w:rsidRPr="00F428F2">
        <w:rPr>
          <w:rFonts w:ascii="Arial" w:hAnsi="Arial" w:cs="Arial"/>
          <w:sz w:val="22"/>
          <w:lang w:val="es-ES"/>
        </w:rPr>
        <w:t xml:space="preserve">a Secretaría que, en consulta con el Consejo Científico y el Depositario, adapte los Apéndices de la CMS de acuerdo con la nueva referencia de aves adoptada y las reglas </w:t>
      </w:r>
      <w:r w:rsidR="007155AD" w:rsidRPr="00F428F2">
        <w:rPr>
          <w:rFonts w:ascii="Arial" w:hAnsi="Arial" w:cs="Arial"/>
          <w:strike/>
          <w:sz w:val="22"/>
          <w:lang w:val="es-ES"/>
        </w:rPr>
        <w:t>descritas anteriormente</w:t>
      </w:r>
      <w:r w:rsidR="007B6345" w:rsidRPr="00F428F2">
        <w:rPr>
          <w:rFonts w:ascii="Arial" w:hAnsi="Arial" w:cs="Arial"/>
          <w:sz w:val="22"/>
          <w:u w:val="single"/>
          <w:lang w:val="es-ES"/>
        </w:rPr>
        <w:t xml:space="preserve"> en la Resolución</w:t>
      </w:r>
      <w:r w:rsidR="005B4F1E" w:rsidRPr="00F428F2">
        <w:rPr>
          <w:rFonts w:ascii="Arial" w:hAnsi="Arial" w:cs="Arial"/>
          <w:sz w:val="22"/>
          <w:u w:val="single"/>
          <w:lang w:val="es-ES"/>
        </w:rPr>
        <w:t xml:space="preserve"> 12.X </w:t>
      </w:r>
      <w:r w:rsidR="007B6345" w:rsidRPr="00F428F2">
        <w:rPr>
          <w:rFonts w:ascii="Arial" w:hAnsi="Arial" w:cs="Arial"/>
          <w:sz w:val="22"/>
          <w:u w:val="single"/>
          <w:lang w:val="es-ES"/>
        </w:rPr>
        <w:t>sobre taxonomía y nomenclatura.</w:t>
      </w:r>
    </w:p>
    <w:p w14:paraId="1D4F3058" w14:textId="6AD6EA9B" w:rsidR="00FF5106" w:rsidRPr="00F428F2" w:rsidRDefault="00FF5106" w:rsidP="00FB768A">
      <w:pPr>
        <w:pStyle w:val="p1"/>
        <w:ind w:left="720" w:hanging="720"/>
        <w:jc w:val="both"/>
        <w:rPr>
          <w:rFonts w:ascii="Arial" w:hAnsi="Arial" w:cs="Arial"/>
          <w:sz w:val="22"/>
          <w:szCs w:val="22"/>
          <w:lang w:val="es-ES"/>
        </w:rPr>
      </w:pPr>
    </w:p>
    <w:sectPr w:rsidR="00FF5106" w:rsidRPr="00F428F2" w:rsidSect="000B0491">
      <w:headerReference w:type="first" r:id="rId27"/>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C19C" w14:textId="77777777" w:rsidR="00F428F2" w:rsidRDefault="00F428F2">
      <w:r>
        <w:separator/>
      </w:r>
    </w:p>
  </w:endnote>
  <w:endnote w:type="continuationSeparator" w:id="0">
    <w:p w14:paraId="3294DB83" w14:textId="77777777" w:rsidR="00F428F2" w:rsidRDefault="00F4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729B9CA6" w:rsidR="00F428F2" w:rsidRPr="00922791" w:rsidRDefault="00F428F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B56CF">
      <w:rPr>
        <w:rFonts w:ascii="Arial" w:hAnsi="Arial" w:cs="Arial"/>
        <w:noProof/>
        <w:sz w:val="18"/>
        <w:szCs w:val="18"/>
      </w:rPr>
      <w:t>14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1A490EFA" w:rsidR="00F428F2" w:rsidRPr="00922791" w:rsidRDefault="00F428F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B56CF">
      <w:rPr>
        <w:rFonts w:ascii="Arial" w:hAnsi="Arial" w:cs="Arial"/>
        <w:noProof/>
        <w:sz w:val="18"/>
        <w:szCs w:val="18"/>
      </w:rPr>
      <w:t>13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9890" w14:textId="77777777" w:rsidR="00F428F2" w:rsidRDefault="00F4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2D51FCA" w:rsidR="00F428F2" w:rsidRPr="00332843" w:rsidRDefault="00F428F2"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B56CF">
      <w:rPr>
        <w:rFonts w:ascii="Arial" w:hAnsi="Arial" w:cs="Arial"/>
        <w:noProof/>
        <w:sz w:val="18"/>
        <w:szCs w:val="18"/>
      </w:rPr>
      <w:t>16</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F90F" w14:textId="77777777" w:rsidR="00F428F2" w:rsidRDefault="00F428F2">
      <w:r>
        <w:separator/>
      </w:r>
    </w:p>
  </w:footnote>
  <w:footnote w:type="continuationSeparator" w:id="0">
    <w:p w14:paraId="371E036B" w14:textId="77777777" w:rsidR="00F428F2" w:rsidRDefault="00F428F2">
      <w:r>
        <w:continuationSeparator/>
      </w:r>
    </w:p>
  </w:footnote>
  <w:footnote w:id="1">
    <w:p w14:paraId="3499A267" w14:textId="28C7295A" w:rsidR="00F428F2" w:rsidRPr="003A4182" w:rsidRDefault="00F428F2" w:rsidP="0074489A">
      <w:pPr>
        <w:pStyle w:val="p1"/>
        <w:rPr>
          <w:sz w:val="15"/>
          <w:szCs w:val="15"/>
          <w:lang w:val="es-ES"/>
        </w:rPr>
      </w:pPr>
      <w:r w:rsidRPr="003A4182">
        <w:rPr>
          <w:rStyle w:val="FootnoteReference"/>
          <w:rFonts w:ascii="Arial" w:hAnsi="Arial" w:cs="Arial"/>
          <w:sz w:val="22"/>
          <w:vertAlign w:val="superscript"/>
          <w:lang w:val="es-ES"/>
        </w:rPr>
        <w:t>1</w:t>
      </w:r>
      <w:r w:rsidRPr="003A4182">
        <w:rPr>
          <w:rFonts w:ascii="Arial" w:hAnsi="Arial" w:cs="Arial"/>
          <w:sz w:val="22"/>
          <w:vertAlign w:val="superscript"/>
          <w:lang w:val="es-ES"/>
        </w:rPr>
        <w:t xml:space="preserve"> </w:t>
      </w:r>
      <w:r w:rsidRPr="003A4182">
        <w:rPr>
          <w:rFonts w:ascii="Arial" w:eastAsia="Times New Roman" w:hAnsi="Arial" w:cs="Arial"/>
          <w:sz w:val="22"/>
          <w:szCs w:val="15"/>
          <w:lang w:val="es-ES"/>
        </w:rPr>
        <w:t> </w:t>
      </w:r>
      <w:r w:rsidRPr="00A813DD">
        <w:rPr>
          <w:rFonts w:ascii="Arial" w:eastAsia="Times New Roman" w:hAnsi="Arial" w:cs="Arial"/>
          <w:sz w:val="20"/>
          <w:szCs w:val="20"/>
          <w:lang w:val="es-ES"/>
        </w:rPr>
        <w:t xml:space="preserve">Aún no se ha presentado la necesidad de utilizar una referencia taxonómica estándar para los insectos o los </w:t>
      </w:r>
      <w:r w:rsidRPr="00A813DD">
        <w:rPr>
          <w:rFonts w:ascii="Arial" w:hAnsi="Arial" w:cs="Arial"/>
          <w:sz w:val="20"/>
          <w:szCs w:val="20"/>
          <w:lang w:val="es-ES"/>
        </w:rPr>
        <w:t>reptiles.</w:t>
      </w:r>
    </w:p>
  </w:footnote>
  <w:footnote w:id="2">
    <w:p w14:paraId="7EB367EA" w14:textId="77777777" w:rsidR="00F428F2" w:rsidRPr="00FD0AE9" w:rsidRDefault="00F428F2" w:rsidP="00D14064">
      <w:pPr>
        <w:pStyle w:val="p1"/>
        <w:rPr>
          <w:sz w:val="18"/>
          <w:szCs w:val="18"/>
          <w:lang w:val="es-ES"/>
        </w:rPr>
      </w:pPr>
      <w:r w:rsidRPr="00FD0AE9">
        <w:rPr>
          <w:rStyle w:val="FootnoteReference"/>
          <w:rFonts w:ascii="Arial" w:hAnsi="Arial" w:cs="Arial"/>
          <w:sz w:val="18"/>
          <w:szCs w:val="18"/>
          <w:vertAlign w:val="superscript"/>
          <w:lang w:val="es-ES"/>
        </w:rPr>
        <w:t>1</w:t>
      </w:r>
      <w:r w:rsidRPr="00FD0AE9">
        <w:rPr>
          <w:rFonts w:ascii="Arial" w:hAnsi="Arial" w:cs="Arial"/>
          <w:sz w:val="18"/>
          <w:szCs w:val="18"/>
          <w:vertAlign w:val="superscript"/>
          <w:lang w:val="es-ES"/>
        </w:rPr>
        <w:t xml:space="preserve"> </w:t>
      </w:r>
      <w:r w:rsidRPr="00FD0AE9">
        <w:rPr>
          <w:rFonts w:ascii="Arial" w:eastAsia="Times New Roman" w:hAnsi="Arial" w:cs="Arial"/>
          <w:sz w:val="18"/>
          <w:szCs w:val="18"/>
          <w:lang w:val="es-ES"/>
        </w:rPr>
        <w:t xml:space="preserve"> Aún no se ha presentado la necesidad de utilizar una referencia taxonómica estándar para los insectos o los </w:t>
      </w:r>
      <w:r w:rsidRPr="00FD0AE9">
        <w:rPr>
          <w:rFonts w:ascii="Arial" w:hAnsi="Arial" w:cs="Arial"/>
          <w:sz w:val="18"/>
          <w:szCs w:val="18"/>
          <w:lang w:val="es-ES"/>
        </w:rPr>
        <w:t>reptiles.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7C8C3292" w:rsidR="00F428F2" w:rsidRPr="00922791" w:rsidRDefault="00F428F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UNEP/CMS/COP12/Doc.21.2.2/Rev.1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06EF" w14:textId="77777777" w:rsidR="00F428F2" w:rsidRPr="00922791" w:rsidRDefault="00F428F2" w:rsidP="009A4C98">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2</w:t>
    </w:r>
  </w:p>
  <w:p w14:paraId="1787D119" w14:textId="77777777" w:rsidR="00F428F2" w:rsidRDefault="00F428F2" w:rsidP="000669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D199" w14:textId="38DB0388" w:rsidR="00F428F2" w:rsidRPr="00922791" w:rsidRDefault="00F428F2" w:rsidP="009A4C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3</w:t>
    </w:r>
  </w:p>
  <w:p w14:paraId="6FE8C20E" w14:textId="77777777" w:rsidR="00F428F2" w:rsidRDefault="00F428F2"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F428F2" w:rsidRPr="00922791" w:rsidRDefault="00F428F2"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F428F2" w:rsidRPr="00354A9C" w:rsidRDefault="00F428F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4289BCEB" w:rsidR="00F428F2" w:rsidRDefault="00F428F2" w:rsidP="00894D19">
    <w:pPr>
      <w:pStyle w:val="Header"/>
    </w:pPr>
    <w:r w:rsidRPr="003A4182">
      <w:rPr>
        <w:noProof/>
        <w:szCs w:val="24"/>
        <w:lang w:val="en-US"/>
      </w:rPr>
      <w:drawing>
        <wp:anchor distT="0" distB="0" distL="114300" distR="114300" simplePos="0" relativeHeight="251664384" behindDoc="1" locked="0" layoutInCell="1" allowOverlap="1" wp14:anchorId="392154F8" wp14:editId="008FF098">
          <wp:simplePos x="0" y="0"/>
          <wp:positionH relativeFrom="column">
            <wp:posOffset>-224790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F428F2" w:rsidRDefault="00F428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171BD0D" w:rsidR="00F428F2" w:rsidRPr="00922791" w:rsidRDefault="00F428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1</w:t>
    </w:r>
  </w:p>
  <w:p w14:paraId="258B8046" w14:textId="77777777" w:rsidR="00F428F2" w:rsidRPr="00332843" w:rsidRDefault="00F428F2"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F586EB6" w:rsidR="00F428F2" w:rsidRPr="00922791" w:rsidRDefault="00F428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1</w:t>
    </w:r>
  </w:p>
  <w:p w14:paraId="54EDFE72" w14:textId="77777777" w:rsidR="00F428F2" w:rsidRPr="00354A9C" w:rsidRDefault="00F428F2"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5B44550" w:rsidR="00F428F2" w:rsidRPr="00922791" w:rsidRDefault="00F428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1</w:t>
    </w:r>
  </w:p>
  <w:p w14:paraId="6917FDE7" w14:textId="77777777" w:rsidR="00F428F2" w:rsidRDefault="00F428F2"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6E89171E" w:rsidR="00F428F2" w:rsidRPr="00922791" w:rsidRDefault="00F428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2</w:t>
    </w:r>
  </w:p>
  <w:p w14:paraId="0FC1ADD4" w14:textId="77777777" w:rsidR="00F428F2" w:rsidRPr="00332843" w:rsidRDefault="00F428F2"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B08D9EB" w:rsidR="00F428F2" w:rsidRPr="00922791" w:rsidRDefault="00F428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2</w:t>
    </w:r>
  </w:p>
  <w:p w14:paraId="375DF668" w14:textId="77777777" w:rsidR="00F428F2" w:rsidRPr="00354A9C" w:rsidRDefault="00F428F2"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06235785" w:rsidR="00F428F2" w:rsidRPr="00922791" w:rsidRDefault="00F428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.21.2.2/Rev.1/Anexo 2</w:t>
    </w:r>
  </w:p>
  <w:p w14:paraId="5289A6EE" w14:textId="77777777" w:rsidR="00F428F2" w:rsidRDefault="00F428F2"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ED7D8B"/>
    <w:multiLevelType w:val="hybridMultilevel"/>
    <w:tmpl w:val="CE86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451F1"/>
    <w:multiLevelType w:val="hybridMultilevel"/>
    <w:tmpl w:val="B6A0B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B7979"/>
    <w:multiLevelType w:val="hybridMultilevel"/>
    <w:tmpl w:val="CC962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1505"/>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007A0"/>
    <w:multiLevelType w:val="hybridMultilevel"/>
    <w:tmpl w:val="143ED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2013A"/>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0C0350"/>
    <w:multiLevelType w:val="hybridMultilevel"/>
    <w:tmpl w:val="8CA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7E25"/>
    <w:multiLevelType w:val="hybridMultilevel"/>
    <w:tmpl w:val="E620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4"/>
  </w:num>
  <w:num w:numId="4">
    <w:abstractNumId w:val="2"/>
  </w:num>
  <w:num w:numId="5">
    <w:abstractNumId w:val="8"/>
  </w:num>
  <w:num w:numId="6">
    <w:abstractNumId w:val="9"/>
  </w:num>
  <w:num w:numId="7">
    <w:abstractNumId w:val="6"/>
  </w:num>
  <w:num w:numId="8">
    <w:abstractNumId w:val="11"/>
  </w:num>
  <w:num w:numId="9">
    <w:abstractNumId w:val="1"/>
  </w:num>
  <w:num w:numId="10">
    <w:abstractNumId w:val="5"/>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413C"/>
    <w:rsid w:val="000175F8"/>
    <w:rsid w:val="00021D23"/>
    <w:rsid w:val="000254DF"/>
    <w:rsid w:val="0003449E"/>
    <w:rsid w:val="00036C53"/>
    <w:rsid w:val="00043AA3"/>
    <w:rsid w:val="000502DA"/>
    <w:rsid w:val="000518C2"/>
    <w:rsid w:val="000519B9"/>
    <w:rsid w:val="0005519A"/>
    <w:rsid w:val="00055248"/>
    <w:rsid w:val="00056DC1"/>
    <w:rsid w:val="00060156"/>
    <w:rsid w:val="000669DF"/>
    <w:rsid w:val="000676F4"/>
    <w:rsid w:val="00070BBC"/>
    <w:rsid w:val="00073C92"/>
    <w:rsid w:val="00077E6B"/>
    <w:rsid w:val="00080F03"/>
    <w:rsid w:val="0008791E"/>
    <w:rsid w:val="000900E1"/>
    <w:rsid w:val="0009076A"/>
    <w:rsid w:val="000916F1"/>
    <w:rsid w:val="00096D44"/>
    <w:rsid w:val="000A117F"/>
    <w:rsid w:val="000A2B7B"/>
    <w:rsid w:val="000B0491"/>
    <w:rsid w:val="000B56CF"/>
    <w:rsid w:val="000B6220"/>
    <w:rsid w:val="000C21B1"/>
    <w:rsid w:val="000C3C87"/>
    <w:rsid w:val="000C7460"/>
    <w:rsid w:val="000C7DC2"/>
    <w:rsid w:val="000E01C1"/>
    <w:rsid w:val="000E1475"/>
    <w:rsid w:val="000E2969"/>
    <w:rsid w:val="000E5C74"/>
    <w:rsid w:val="000F0B93"/>
    <w:rsid w:val="000F0CA5"/>
    <w:rsid w:val="000F1156"/>
    <w:rsid w:val="000F1281"/>
    <w:rsid w:val="000F2B08"/>
    <w:rsid w:val="000F52BA"/>
    <w:rsid w:val="0010114E"/>
    <w:rsid w:val="00104143"/>
    <w:rsid w:val="001151A3"/>
    <w:rsid w:val="001171CE"/>
    <w:rsid w:val="001245DF"/>
    <w:rsid w:val="00130BFD"/>
    <w:rsid w:val="00130E27"/>
    <w:rsid w:val="00136EC2"/>
    <w:rsid w:val="001419C7"/>
    <w:rsid w:val="00143928"/>
    <w:rsid w:val="00150AC4"/>
    <w:rsid w:val="00152E9A"/>
    <w:rsid w:val="00155EEC"/>
    <w:rsid w:val="00156159"/>
    <w:rsid w:val="00160AC8"/>
    <w:rsid w:val="00162D88"/>
    <w:rsid w:val="001644D0"/>
    <w:rsid w:val="00166ABA"/>
    <w:rsid w:val="00167A91"/>
    <w:rsid w:val="001743FD"/>
    <w:rsid w:val="001764E6"/>
    <w:rsid w:val="00176B22"/>
    <w:rsid w:val="001808F1"/>
    <w:rsid w:val="001822AD"/>
    <w:rsid w:val="0018586B"/>
    <w:rsid w:val="0018792D"/>
    <w:rsid w:val="001A0DEE"/>
    <w:rsid w:val="001A33B6"/>
    <w:rsid w:val="001B031C"/>
    <w:rsid w:val="001B5BD5"/>
    <w:rsid w:val="001B78F5"/>
    <w:rsid w:val="001C6038"/>
    <w:rsid w:val="001E151A"/>
    <w:rsid w:val="001F2677"/>
    <w:rsid w:val="001F60A1"/>
    <w:rsid w:val="00200A67"/>
    <w:rsid w:val="00201F88"/>
    <w:rsid w:val="00202332"/>
    <w:rsid w:val="0020544E"/>
    <w:rsid w:val="00211080"/>
    <w:rsid w:val="002210F4"/>
    <w:rsid w:val="002246A2"/>
    <w:rsid w:val="00225DC8"/>
    <w:rsid w:val="002304BA"/>
    <w:rsid w:val="00234510"/>
    <w:rsid w:val="0023700E"/>
    <w:rsid w:val="0024025F"/>
    <w:rsid w:val="00246A7E"/>
    <w:rsid w:val="00251377"/>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A37C2"/>
    <w:rsid w:val="002A38B7"/>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16B13"/>
    <w:rsid w:val="003222E8"/>
    <w:rsid w:val="0032277E"/>
    <w:rsid w:val="003331C6"/>
    <w:rsid w:val="003341A1"/>
    <w:rsid w:val="003415ED"/>
    <w:rsid w:val="00343FBB"/>
    <w:rsid w:val="00345044"/>
    <w:rsid w:val="003469D9"/>
    <w:rsid w:val="003475C8"/>
    <w:rsid w:val="00351095"/>
    <w:rsid w:val="00354A9C"/>
    <w:rsid w:val="00357210"/>
    <w:rsid w:val="003613E4"/>
    <w:rsid w:val="00363882"/>
    <w:rsid w:val="00364973"/>
    <w:rsid w:val="00364C8C"/>
    <w:rsid w:val="00372347"/>
    <w:rsid w:val="00375325"/>
    <w:rsid w:val="00375807"/>
    <w:rsid w:val="0037588F"/>
    <w:rsid w:val="00375FA2"/>
    <w:rsid w:val="003779D4"/>
    <w:rsid w:val="00377A55"/>
    <w:rsid w:val="00382398"/>
    <w:rsid w:val="003831BA"/>
    <w:rsid w:val="00383B26"/>
    <w:rsid w:val="003909E4"/>
    <w:rsid w:val="003A3E30"/>
    <w:rsid w:val="003A4182"/>
    <w:rsid w:val="003A616F"/>
    <w:rsid w:val="003A70FE"/>
    <w:rsid w:val="003B0C35"/>
    <w:rsid w:val="003B219E"/>
    <w:rsid w:val="003B4050"/>
    <w:rsid w:val="003C00D6"/>
    <w:rsid w:val="003C01B6"/>
    <w:rsid w:val="003C51DE"/>
    <w:rsid w:val="003C59FA"/>
    <w:rsid w:val="003D0AA3"/>
    <w:rsid w:val="003D3586"/>
    <w:rsid w:val="003E16E4"/>
    <w:rsid w:val="003E21B3"/>
    <w:rsid w:val="003E2FBA"/>
    <w:rsid w:val="003F7603"/>
    <w:rsid w:val="00401DE0"/>
    <w:rsid w:val="0040259C"/>
    <w:rsid w:val="00407CAD"/>
    <w:rsid w:val="00411E65"/>
    <w:rsid w:val="0041321C"/>
    <w:rsid w:val="00420040"/>
    <w:rsid w:val="0042146C"/>
    <w:rsid w:val="00423388"/>
    <w:rsid w:val="00426D73"/>
    <w:rsid w:val="00431B20"/>
    <w:rsid w:val="00433799"/>
    <w:rsid w:val="00435FEB"/>
    <w:rsid w:val="00451511"/>
    <w:rsid w:val="00454913"/>
    <w:rsid w:val="004549E7"/>
    <w:rsid w:val="00455A86"/>
    <w:rsid w:val="00455B14"/>
    <w:rsid w:val="00456D9C"/>
    <w:rsid w:val="00457441"/>
    <w:rsid w:val="004579F6"/>
    <w:rsid w:val="004656D0"/>
    <w:rsid w:val="00465B53"/>
    <w:rsid w:val="00467B67"/>
    <w:rsid w:val="00473ABD"/>
    <w:rsid w:val="0048197A"/>
    <w:rsid w:val="00482DCA"/>
    <w:rsid w:val="00483A10"/>
    <w:rsid w:val="00487179"/>
    <w:rsid w:val="00495E7B"/>
    <w:rsid w:val="004A0D3E"/>
    <w:rsid w:val="004A6258"/>
    <w:rsid w:val="004B2186"/>
    <w:rsid w:val="004B5130"/>
    <w:rsid w:val="004B6CFD"/>
    <w:rsid w:val="004C204D"/>
    <w:rsid w:val="004C373E"/>
    <w:rsid w:val="004D0436"/>
    <w:rsid w:val="004D0936"/>
    <w:rsid w:val="004D3AD5"/>
    <w:rsid w:val="004E3083"/>
    <w:rsid w:val="004E5AD0"/>
    <w:rsid w:val="004E5C7D"/>
    <w:rsid w:val="004F243D"/>
    <w:rsid w:val="004F3D8D"/>
    <w:rsid w:val="00500714"/>
    <w:rsid w:val="005045A0"/>
    <w:rsid w:val="005076F1"/>
    <w:rsid w:val="00507E51"/>
    <w:rsid w:val="005103DA"/>
    <w:rsid w:val="00512B91"/>
    <w:rsid w:val="005158EB"/>
    <w:rsid w:val="0052082F"/>
    <w:rsid w:val="00533D65"/>
    <w:rsid w:val="005346EB"/>
    <w:rsid w:val="00542FCC"/>
    <w:rsid w:val="005503BC"/>
    <w:rsid w:val="00554E2F"/>
    <w:rsid w:val="0055762E"/>
    <w:rsid w:val="00561587"/>
    <w:rsid w:val="005616A5"/>
    <w:rsid w:val="00565445"/>
    <w:rsid w:val="00571D96"/>
    <w:rsid w:val="0057502C"/>
    <w:rsid w:val="00575334"/>
    <w:rsid w:val="00577E4F"/>
    <w:rsid w:val="00580090"/>
    <w:rsid w:val="005826A2"/>
    <w:rsid w:val="00586F7D"/>
    <w:rsid w:val="0059253F"/>
    <w:rsid w:val="00593736"/>
    <w:rsid w:val="005A1C56"/>
    <w:rsid w:val="005A3181"/>
    <w:rsid w:val="005A4C81"/>
    <w:rsid w:val="005B0F06"/>
    <w:rsid w:val="005B23E3"/>
    <w:rsid w:val="005B4579"/>
    <w:rsid w:val="005B4F1E"/>
    <w:rsid w:val="005B6141"/>
    <w:rsid w:val="005B6BD1"/>
    <w:rsid w:val="005C0131"/>
    <w:rsid w:val="005C3F15"/>
    <w:rsid w:val="005C641B"/>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15DD0"/>
    <w:rsid w:val="00622E71"/>
    <w:rsid w:val="006306E1"/>
    <w:rsid w:val="006356C4"/>
    <w:rsid w:val="00640685"/>
    <w:rsid w:val="00651341"/>
    <w:rsid w:val="00654213"/>
    <w:rsid w:val="00663677"/>
    <w:rsid w:val="00672C25"/>
    <w:rsid w:val="00673A5F"/>
    <w:rsid w:val="00673C3A"/>
    <w:rsid w:val="00673CB7"/>
    <w:rsid w:val="006815B2"/>
    <w:rsid w:val="00682B31"/>
    <w:rsid w:val="00684205"/>
    <w:rsid w:val="006864E1"/>
    <w:rsid w:val="00691001"/>
    <w:rsid w:val="00694183"/>
    <w:rsid w:val="006A394B"/>
    <w:rsid w:val="006B029A"/>
    <w:rsid w:val="006B1037"/>
    <w:rsid w:val="006B5FD3"/>
    <w:rsid w:val="006C6352"/>
    <w:rsid w:val="006D02CB"/>
    <w:rsid w:val="006D11D3"/>
    <w:rsid w:val="006D2318"/>
    <w:rsid w:val="006D719A"/>
    <w:rsid w:val="006E56AD"/>
    <w:rsid w:val="006E5763"/>
    <w:rsid w:val="006E5A06"/>
    <w:rsid w:val="006F056B"/>
    <w:rsid w:val="007101BB"/>
    <w:rsid w:val="00713308"/>
    <w:rsid w:val="00713F90"/>
    <w:rsid w:val="007155AD"/>
    <w:rsid w:val="00716AD9"/>
    <w:rsid w:val="00727E01"/>
    <w:rsid w:val="0073074C"/>
    <w:rsid w:val="00743569"/>
    <w:rsid w:val="0074489A"/>
    <w:rsid w:val="00746D0E"/>
    <w:rsid w:val="00752E19"/>
    <w:rsid w:val="00757614"/>
    <w:rsid w:val="00765060"/>
    <w:rsid w:val="00767ECE"/>
    <w:rsid w:val="007728B4"/>
    <w:rsid w:val="00772DAA"/>
    <w:rsid w:val="00774542"/>
    <w:rsid w:val="00775235"/>
    <w:rsid w:val="0077622E"/>
    <w:rsid w:val="00777FE4"/>
    <w:rsid w:val="00780677"/>
    <w:rsid w:val="007816B7"/>
    <w:rsid w:val="0079075D"/>
    <w:rsid w:val="007910DD"/>
    <w:rsid w:val="00797467"/>
    <w:rsid w:val="007A3FA3"/>
    <w:rsid w:val="007A614F"/>
    <w:rsid w:val="007B6345"/>
    <w:rsid w:val="007B646D"/>
    <w:rsid w:val="007C1468"/>
    <w:rsid w:val="007C41D7"/>
    <w:rsid w:val="007D708C"/>
    <w:rsid w:val="007E6DF6"/>
    <w:rsid w:val="007F023E"/>
    <w:rsid w:val="007F16FB"/>
    <w:rsid w:val="007F1BBA"/>
    <w:rsid w:val="007F5C95"/>
    <w:rsid w:val="007F6489"/>
    <w:rsid w:val="00801792"/>
    <w:rsid w:val="0080585F"/>
    <w:rsid w:val="00815B38"/>
    <w:rsid w:val="0081600F"/>
    <w:rsid w:val="008166E2"/>
    <w:rsid w:val="008206B0"/>
    <w:rsid w:val="00821BC3"/>
    <w:rsid w:val="0082530A"/>
    <w:rsid w:val="0082722D"/>
    <w:rsid w:val="00827432"/>
    <w:rsid w:val="008274F7"/>
    <w:rsid w:val="00827C30"/>
    <w:rsid w:val="0083068C"/>
    <w:rsid w:val="008441F9"/>
    <w:rsid w:val="00844F6D"/>
    <w:rsid w:val="00846A99"/>
    <w:rsid w:val="00860C3E"/>
    <w:rsid w:val="008641D1"/>
    <w:rsid w:val="0087226B"/>
    <w:rsid w:val="00872F67"/>
    <w:rsid w:val="00875B68"/>
    <w:rsid w:val="00877EDA"/>
    <w:rsid w:val="008879E9"/>
    <w:rsid w:val="00893346"/>
    <w:rsid w:val="00894A9B"/>
    <w:rsid w:val="00894D19"/>
    <w:rsid w:val="00895BF3"/>
    <w:rsid w:val="008A0029"/>
    <w:rsid w:val="008A0D8D"/>
    <w:rsid w:val="008A43D2"/>
    <w:rsid w:val="008B1A69"/>
    <w:rsid w:val="008B7D04"/>
    <w:rsid w:val="008C1A39"/>
    <w:rsid w:val="008C297C"/>
    <w:rsid w:val="008D00AA"/>
    <w:rsid w:val="008D1208"/>
    <w:rsid w:val="008E5C53"/>
    <w:rsid w:val="008E70F6"/>
    <w:rsid w:val="008E7214"/>
    <w:rsid w:val="008E7DFB"/>
    <w:rsid w:val="008F43CD"/>
    <w:rsid w:val="008F7327"/>
    <w:rsid w:val="0090059C"/>
    <w:rsid w:val="009009F3"/>
    <w:rsid w:val="009066A3"/>
    <w:rsid w:val="009076C8"/>
    <w:rsid w:val="00915BBE"/>
    <w:rsid w:val="00916241"/>
    <w:rsid w:val="009203E8"/>
    <w:rsid w:val="00921D62"/>
    <w:rsid w:val="00922791"/>
    <w:rsid w:val="009228C1"/>
    <w:rsid w:val="00927CD6"/>
    <w:rsid w:val="00931A2B"/>
    <w:rsid w:val="00933572"/>
    <w:rsid w:val="009363C7"/>
    <w:rsid w:val="0094452B"/>
    <w:rsid w:val="00953352"/>
    <w:rsid w:val="009573A9"/>
    <w:rsid w:val="0097205F"/>
    <w:rsid w:val="00972D36"/>
    <w:rsid w:val="00977008"/>
    <w:rsid w:val="00977AC4"/>
    <w:rsid w:val="00977C9D"/>
    <w:rsid w:val="00980406"/>
    <w:rsid w:val="009913A8"/>
    <w:rsid w:val="009935D6"/>
    <w:rsid w:val="009A2C8F"/>
    <w:rsid w:val="009A4C98"/>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0E86"/>
    <w:rsid w:val="00A1324E"/>
    <w:rsid w:val="00A235E6"/>
    <w:rsid w:val="00A27BE3"/>
    <w:rsid w:val="00A338D4"/>
    <w:rsid w:val="00A339B9"/>
    <w:rsid w:val="00A34317"/>
    <w:rsid w:val="00A348AC"/>
    <w:rsid w:val="00A35066"/>
    <w:rsid w:val="00A370EE"/>
    <w:rsid w:val="00A371C4"/>
    <w:rsid w:val="00A40EDF"/>
    <w:rsid w:val="00A53AD1"/>
    <w:rsid w:val="00A55876"/>
    <w:rsid w:val="00A568DF"/>
    <w:rsid w:val="00A61BDB"/>
    <w:rsid w:val="00A6577C"/>
    <w:rsid w:val="00A67142"/>
    <w:rsid w:val="00A701B6"/>
    <w:rsid w:val="00A73A79"/>
    <w:rsid w:val="00A7478D"/>
    <w:rsid w:val="00A75CC2"/>
    <w:rsid w:val="00A80DBC"/>
    <w:rsid w:val="00A813DD"/>
    <w:rsid w:val="00A90782"/>
    <w:rsid w:val="00A91511"/>
    <w:rsid w:val="00A93C52"/>
    <w:rsid w:val="00A95F65"/>
    <w:rsid w:val="00AA7368"/>
    <w:rsid w:val="00AB1861"/>
    <w:rsid w:val="00AB4FF9"/>
    <w:rsid w:val="00AB7626"/>
    <w:rsid w:val="00AD5C58"/>
    <w:rsid w:val="00AE254A"/>
    <w:rsid w:val="00AE7B21"/>
    <w:rsid w:val="00AF1980"/>
    <w:rsid w:val="00AF2021"/>
    <w:rsid w:val="00AF2C4E"/>
    <w:rsid w:val="00AF5C36"/>
    <w:rsid w:val="00B01C28"/>
    <w:rsid w:val="00B1043F"/>
    <w:rsid w:val="00B26136"/>
    <w:rsid w:val="00B42661"/>
    <w:rsid w:val="00B442DA"/>
    <w:rsid w:val="00B471BD"/>
    <w:rsid w:val="00B50C2D"/>
    <w:rsid w:val="00B55E97"/>
    <w:rsid w:val="00B61E4C"/>
    <w:rsid w:val="00B626D9"/>
    <w:rsid w:val="00B64904"/>
    <w:rsid w:val="00B737D8"/>
    <w:rsid w:val="00B77EEA"/>
    <w:rsid w:val="00B8281D"/>
    <w:rsid w:val="00B86D88"/>
    <w:rsid w:val="00BA4000"/>
    <w:rsid w:val="00BA60CE"/>
    <w:rsid w:val="00BC5607"/>
    <w:rsid w:val="00BE0D1D"/>
    <w:rsid w:val="00BE2448"/>
    <w:rsid w:val="00BE24D4"/>
    <w:rsid w:val="00BE3458"/>
    <w:rsid w:val="00BE7681"/>
    <w:rsid w:val="00BF269B"/>
    <w:rsid w:val="00BF2BE7"/>
    <w:rsid w:val="00BF71A1"/>
    <w:rsid w:val="00BF7FEC"/>
    <w:rsid w:val="00C0199D"/>
    <w:rsid w:val="00C045C3"/>
    <w:rsid w:val="00C05102"/>
    <w:rsid w:val="00C0539E"/>
    <w:rsid w:val="00C1004B"/>
    <w:rsid w:val="00C13FA6"/>
    <w:rsid w:val="00C169ED"/>
    <w:rsid w:val="00C3372D"/>
    <w:rsid w:val="00C35AE4"/>
    <w:rsid w:val="00C367EA"/>
    <w:rsid w:val="00C44232"/>
    <w:rsid w:val="00C44645"/>
    <w:rsid w:val="00C50D82"/>
    <w:rsid w:val="00C5172D"/>
    <w:rsid w:val="00C53D57"/>
    <w:rsid w:val="00C5484D"/>
    <w:rsid w:val="00C57493"/>
    <w:rsid w:val="00C618F2"/>
    <w:rsid w:val="00C622FB"/>
    <w:rsid w:val="00C645BC"/>
    <w:rsid w:val="00C66A51"/>
    <w:rsid w:val="00C73207"/>
    <w:rsid w:val="00C7602A"/>
    <w:rsid w:val="00C82ED9"/>
    <w:rsid w:val="00C83D41"/>
    <w:rsid w:val="00C869F3"/>
    <w:rsid w:val="00C87D68"/>
    <w:rsid w:val="00C9281B"/>
    <w:rsid w:val="00CA091C"/>
    <w:rsid w:val="00CA2CB7"/>
    <w:rsid w:val="00CA3583"/>
    <w:rsid w:val="00CA367A"/>
    <w:rsid w:val="00CB1CF2"/>
    <w:rsid w:val="00CB1D26"/>
    <w:rsid w:val="00CB556B"/>
    <w:rsid w:val="00CC2A3B"/>
    <w:rsid w:val="00CC35AF"/>
    <w:rsid w:val="00CC4C21"/>
    <w:rsid w:val="00CC57AD"/>
    <w:rsid w:val="00CC6932"/>
    <w:rsid w:val="00CD169A"/>
    <w:rsid w:val="00CD2327"/>
    <w:rsid w:val="00CD2F28"/>
    <w:rsid w:val="00CE0202"/>
    <w:rsid w:val="00CE10B7"/>
    <w:rsid w:val="00CE5B83"/>
    <w:rsid w:val="00CE6017"/>
    <w:rsid w:val="00CF23C9"/>
    <w:rsid w:val="00CF6EDD"/>
    <w:rsid w:val="00D00521"/>
    <w:rsid w:val="00D05922"/>
    <w:rsid w:val="00D14064"/>
    <w:rsid w:val="00D1642B"/>
    <w:rsid w:val="00D30072"/>
    <w:rsid w:val="00D30C59"/>
    <w:rsid w:val="00D3599D"/>
    <w:rsid w:val="00D42AE1"/>
    <w:rsid w:val="00D54E33"/>
    <w:rsid w:val="00D605A4"/>
    <w:rsid w:val="00D61B13"/>
    <w:rsid w:val="00D6261C"/>
    <w:rsid w:val="00D63BD5"/>
    <w:rsid w:val="00D65E3B"/>
    <w:rsid w:val="00D72DDB"/>
    <w:rsid w:val="00D754B9"/>
    <w:rsid w:val="00D7746A"/>
    <w:rsid w:val="00D77D1B"/>
    <w:rsid w:val="00D80EC0"/>
    <w:rsid w:val="00D838FE"/>
    <w:rsid w:val="00D8406F"/>
    <w:rsid w:val="00D859C7"/>
    <w:rsid w:val="00D9021F"/>
    <w:rsid w:val="00D93411"/>
    <w:rsid w:val="00D95B35"/>
    <w:rsid w:val="00DA1080"/>
    <w:rsid w:val="00DA12C2"/>
    <w:rsid w:val="00DA3AA8"/>
    <w:rsid w:val="00DA7930"/>
    <w:rsid w:val="00DA7A73"/>
    <w:rsid w:val="00DB13E0"/>
    <w:rsid w:val="00DB30A6"/>
    <w:rsid w:val="00DB4517"/>
    <w:rsid w:val="00DB7625"/>
    <w:rsid w:val="00DC71B1"/>
    <w:rsid w:val="00DD6A9E"/>
    <w:rsid w:val="00DD7E60"/>
    <w:rsid w:val="00DE6934"/>
    <w:rsid w:val="00DF3DEC"/>
    <w:rsid w:val="00E04296"/>
    <w:rsid w:val="00E14C89"/>
    <w:rsid w:val="00E213C6"/>
    <w:rsid w:val="00E23367"/>
    <w:rsid w:val="00E31B92"/>
    <w:rsid w:val="00E365CF"/>
    <w:rsid w:val="00E42A79"/>
    <w:rsid w:val="00E43A2A"/>
    <w:rsid w:val="00E440EC"/>
    <w:rsid w:val="00E4510B"/>
    <w:rsid w:val="00E466DB"/>
    <w:rsid w:val="00E475D4"/>
    <w:rsid w:val="00E50B6E"/>
    <w:rsid w:val="00E52FB6"/>
    <w:rsid w:val="00E6587F"/>
    <w:rsid w:val="00E71764"/>
    <w:rsid w:val="00E71E4D"/>
    <w:rsid w:val="00E74D1C"/>
    <w:rsid w:val="00E8776E"/>
    <w:rsid w:val="00E912C2"/>
    <w:rsid w:val="00E9237A"/>
    <w:rsid w:val="00EA0B88"/>
    <w:rsid w:val="00EB2285"/>
    <w:rsid w:val="00EC228E"/>
    <w:rsid w:val="00EC22A1"/>
    <w:rsid w:val="00EC4294"/>
    <w:rsid w:val="00EC4CD8"/>
    <w:rsid w:val="00EC681E"/>
    <w:rsid w:val="00ED02D3"/>
    <w:rsid w:val="00ED1F3E"/>
    <w:rsid w:val="00ED2EF6"/>
    <w:rsid w:val="00ED4B91"/>
    <w:rsid w:val="00ED5E31"/>
    <w:rsid w:val="00EE04BC"/>
    <w:rsid w:val="00EE3FD6"/>
    <w:rsid w:val="00EE6234"/>
    <w:rsid w:val="00EE64C1"/>
    <w:rsid w:val="00EF2A42"/>
    <w:rsid w:val="00F05AA0"/>
    <w:rsid w:val="00F061CB"/>
    <w:rsid w:val="00F06336"/>
    <w:rsid w:val="00F111C1"/>
    <w:rsid w:val="00F165E0"/>
    <w:rsid w:val="00F16F45"/>
    <w:rsid w:val="00F17035"/>
    <w:rsid w:val="00F17A5D"/>
    <w:rsid w:val="00F233B6"/>
    <w:rsid w:val="00F24050"/>
    <w:rsid w:val="00F248AA"/>
    <w:rsid w:val="00F31539"/>
    <w:rsid w:val="00F428F2"/>
    <w:rsid w:val="00F433F3"/>
    <w:rsid w:val="00F444EC"/>
    <w:rsid w:val="00F45FE3"/>
    <w:rsid w:val="00F478D2"/>
    <w:rsid w:val="00F54D03"/>
    <w:rsid w:val="00F56B73"/>
    <w:rsid w:val="00F62022"/>
    <w:rsid w:val="00F62C51"/>
    <w:rsid w:val="00F6347A"/>
    <w:rsid w:val="00F65178"/>
    <w:rsid w:val="00F7503A"/>
    <w:rsid w:val="00F818DD"/>
    <w:rsid w:val="00F81FEF"/>
    <w:rsid w:val="00F90BB1"/>
    <w:rsid w:val="00F9407E"/>
    <w:rsid w:val="00F978B9"/>
    <w:rsid w:val="00FA0A7A"/>
    <w:rsid w:val="00FA4F1C"/>
    <w:rsid w:val="00FA58A3"/>
    <w:rsid w:val="00FA61AF"/>
    <w:rsid w:val="00FB1535"/>
    <w:rsid w:val="00FB19AF"/>
    <w:rsid w:val="00FB3575"/>
    <w:rsid w:val="00FB768A"/>
    <w:rsid w:val="00FB775E"/>
    <w:rsid w:val="00FD0AE9"/>
    <w:rsid w:val="00FD3A06"/>
    <w:rsid w:val="00FD7D14"/>
    <w:rsid w:val="00FE0092"/>
    <w:rsid w:val="00FE0216"/>
    <w:rsid w:val="00FE088B"/>
    <w:rsid w:val="00FE24DA"/>
    <w:rsid w:val="00FE499C"/>
    <w:rsid w:val="00FE6674"/>
    <w:rsid w:val="00FE79B8"/>
    <w:rsid w:val="00FF5106"/>
    <w:rsid w:val="00F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235"/>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sz w:val="20"/>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color w:val="000000"/>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spacing w:before="100" w:beforeAutospacing="1" w:after="100" w:afterAutospacing="1"/>
    </w:p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rPr>
      <w:sz w:val="17"/>
      <w:szCs w:val="17"/>
    </w:rPr>
  </w:style>
  <w:style w:type="paragraph" w:styleId="HTMLPreformatted">
    <w:name w:val="HTML Preformatted"/>
    <w:basedOn w:val="Normal"/>
    <w:link w:val="HTMLPreformattedChar"/>
    <w:uiPriority w:val="99"/>
    <w:semiHidden/>
    <w:unhideWhenUsed/>
    <w:rsid w:val="00C4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 w:type="character" w:customStyle="1" w:styleId="s1">
    <w:name w:val="s1"/>
    <w:basedOn w:val="DefaultParagraphFont"/>
    <w:rsid w:val="0074489A"/>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44">
      <w:bodyDiv w:val="1"/>
      <w:marLeft w:val="0"/>
      <w:marRight w:val="0"/>
      <w:marTop w:val="0"/>
      <w:marBottom w:val="0"/>
      <w:divBdr>
        <w:top w:val="none" w:sz="0" w:space="0" w:color="auto"/>
        <w:left w:val="none" w:sz="0" w:space="0" w:color="auto"/>
        <w:bottom w:val="none" w:sz="0" w:space="0" w:color="auto"/>
        <w:right w:val="none" w:sz="0" w:space="0" w:color="auto"/>
      </w:divBdr>
    </w:div>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24604460">
      <w:bodyDiv w:val="1"/>
      <w:marLeft w:val="0"/>
      <w:marRight w:val="0"/>
      <w:marTop w:val="0"/>
      <w:marBottom w:val="0"/>
      <w:divBdr>
        <w:top w:val="none" w:sz="0" w:space="0" w:color="auto"/>
        <w:left w:val="none" w:sz="0" w:space="0" w:color="auto"/>
        <w:bottom w:val="none" w:sz="0" w:space="0" w:color="auto"/>
        <w:right w:val="none" w:sz="0" w:space="0" w:color="auto"/>
      </w:divBdr>
    </w:div>
    <w:div w:id="39208463">
      <w:bodyDiv w:val="1"/>
      <w:marLeft w:val="0"/>
      <w:marRight w:val="0"/>
      <w:marTop w:val="0"/>
      <w:marBottom w:val="0"/>
      <w:divBdr>
        <w:top w:val="none" w:sz="0" w:space="0" w:color="auto"/>
        <w:left w:val="none" w:sz="0" w:space="0" w:color="auto"/>
        <w:bottom w:val="none" w:sz="0" w:space="0" w:color="auto"/>
        <w:right w:val="none" w:sz="0" w:space="0" w:color="auto"/>
      </w:divBdr>
    </w:div>
    <w:div w:id="41564184">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76364264">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077711">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37110335">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4320614">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04831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096567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1353291">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73288449">
      <w:bodyDiv w:val="1"/>
      <w:marLeft w:val="0"/>
      <w:marRight w:val="0"/>
      <w:marTop w:val="0"/>
      <w:marBottom w:val="0"/>
      <w:divBdr>
        <w:top w:val="none" w:sz="0" w:space="0" w:color="auto"/>
        <w:left w:val="none" w:sz="0" w:space="0" w:color="auto"/>
        <w:bottom w:val="none" w:sz="0" w:space="0" w:color="auto"/>
        <w:right w:val="none" w:sz="0" w:space="0" w:color="auto"/>
      </w:divBdr>
    </w:div>
    <w:div w:id="284971083">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2711386">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39507235">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63361788">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19764968">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59373631">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13363835">
      <w:bodyDiv w:val="1"/>
      <w:marLeft w:val="0"/>
      <w:marRight w:val="0"/>
      <w:marTop w:val="0"/>
      <w:marBottom w:val="0"/>
      <w:divBdr>
        <w:top w:val="none" w:sz="0" w:space="0" w:color="auto"/>
        <w:left w:val="none" w:sz="0" w:space="0" w:color="auto"/>
        <w:bottom w:val="none" w:sz="0" w:space="0" w:color="auto"/>
        <w:right w:val="none" w:sz="0" w:space="0" w:color="auto"/>
      </w:divBdr>
    </w:div>
    <w:div w:id="616107712">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38610704">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36436383">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1998020">
      <w:bodyDiv w:val="1"/>
      <w:marLeft w:val="0"/>
      <w:marRight w:val="0"/>
      <w:marTop w:val="0"/>
      <w:marBottom w:val="0"/>
      <w:divBdr>
        <w:top w:val="none" w:sz="0" w:space="0" w:color="auto"/>
        <w:left w:val="none" w:sz="0" w:space="0" w:color="auto"/>
        <w:bottom w:val="none" w:sz="0" w:space="0" w:color="auto"/>
        <w:right w:val="none" w:sz="0" w:space="0" w:color="auto"/>
      </w:divBdr>
    </w:div>
    <w:div w:id="762801968">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78642107">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618302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997534586">
      <w:bodyDiv w:val="1"/>
      <w:marLeft w:val="0"/>
      <w:marRight w:val="0"/>
      <w:marTop w:val="0"/>
      <w:marBottom w:val="0"/>
      <w:divBdr>
        <w:top w:val="none" w:sz="0" w:space="0" w:color="auto"/>
        <w:left w:val="none" w:sz="0" w:space="0" w:color="auto"/>
        <w:bottom w:val="none" w:sz="0" w:space="0" w:color="auto"/>
        <w:right w:val="none" w:sz="0" w:space="0" w:color="auto"/>
      </w:divBdr>
    </w:div>
    <w:div w:id="1010446137">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43558203">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58433749">
      <w:bodyDiv w:val="1"/>
      <w:marLeft w:val="0"/>
      <w:marRight w:val="0"/>
      <w:marTop w:val="0"/>
      <w:marBottom w:val="0"/>
      <w:divBdr>
        <w:top w:val="none" w:sz="0" w:space="0" w:color="auto"/>
        <w:left w:val="none" w:sz="0" w:space="0" w:color="auto"/>
        <w:bottom w:val="none" w:sz="0" w:space="0" w:color="auto"/>
        <w:right w:val="none" w:sz="0" w:space="0" w:color="auto"/>
      </w:divBdr>
    </w:div>
    <w:div w:id="1063723272">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8739231">
      <w:bodyDiv w:val="1"/>
      <w:marLeft w:val="0"/>
      <w:marRight w:val="0"/>
      <w:marTop w:val="0"/>
      <w:marBottom w:val="0"/>
      <w:divBdr>
        <w:top w:val="none" w:sz="0" w:space="0" w:color="auto"/>
        <w:left w:val="none" w:sz="0" w:space="0" w:color="auto"/>
        <w:bottom w:val="none" w:sz="0" w:space="0" w:color="auto"/>
        <w:right w:val="none" w:sz="0" w:space="0" w:color="auto"/>
      </w:divBdr>
    </w:div>
    <w:div w:id="1129471977">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72573777">
      <w:bodyDiv w:val="1"/>
      <w:marLeft w:val="0"/>
      <w:marRight w:val="0"/>
      <w:marTop w:val="0"/>
      <w:marBottom w:val="0"/>
      <w:divBdr>
        <w:top w:val="none" w:sz="0" w:space="0" w:color="auto"/>
        <w:left w:val="none" w:sz="0" w:space="0" w:color="auto"/>
        <w:bottom w:val="none" w:sz="0" w:space="0" w:color="auto"/>
        <w:right w:val="none" w:sz="0" w:space="0" w:color="auto"/>
      </w:divBdr>
    </w:div>
    <w:div w:id="1179274345">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07984362">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68928426">
      <w:bodyDiv w:val="1"/>
      <w:marLeft w:val="0"/>
      <w:marRight w:val="0"/>
      <w:marTop w:val="0"/>
      <w:marBottom w:val="0"/>
      <w:divBdr>
        <w:top w:val="none" w:sz="0" w:space="0" w:color="auto"/>
        <w:left w:val="none" w:sz="0" w:space="0" w:color="auto"/>
        <w:bottom w:val="none" w:sz="0" w:space="0" w:color="auto"/>
        <w:right w:val="none" w:sz="0" w:space="0" w:color="auto"/>
      </w:divBdr>
    </w:div>
    <w:div w:id="1271352460">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090608">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7759329">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4339461">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6319823">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06368354">
      <w:bodyDiv w:val="1"/>
      <w:marLeft w:val="0"/>
      <w:marRight w:val="0"/>
      <w:marTop w:val="0"/>
      <w:marBottom w:val="0"/>
      <w:divBdr>
        <w:top w:val="none" w:sz="0" w:space="0" w:color="auto"/>
        <w:left w:val="none" w:sz="0" w:space="0" w:color="auto"/>
        <w:bottom w:val="none" w:sz="0" w:space="0" w:color="auto"/>
        <w:right w:val="none" w:sz="0" w:space="0" w:color="auto"/>
      </w:divBdr>
    </w:div>
    <w:div w:id="1407456903">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17039017">
      <w:bodyDiv w:val="1"/>
      <w:marLeft w:val="0"/>
      <w:marRight w:val="0"/>
      <w:marTop w:val="0"/>
      <w:marBottom w:val="0"/>
      <w:divBdr>
        <w:top w:val="none" w:sz="0" w:space="0" w:color="auto"/>
        <w:left w:val="none" w:sz="0" w:space="0" w:color="auto"/>
        <w:bottom w:val="none" w:sz="0" w:space="0" w:color="auto"/>
        <w:right w:val="none" w:sz="0" w:space="0" w:color="auto"/>
      </w:divBdr>
    </w:div>
    <w:div w:id="1527645195">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349357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5022138">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54003588">
      <w:bodyDiv w:val="1"/>
      <w:marLeft w:val="0"/>
      <w:marRight w:val="0"/>
      <w:marTop w:val="0"/>
      <w:marBottom w:val="0"/>
      <w:divBdr>
        <w:top w:val="none" w:sz="0" w:space="0" w:color="auto"/>
        <w:left w:val="none" w:sz="0" w:space="0" w:color="auto"/>
        <w:bottom w:val="none" w:sz="0" w:space="0" w:color="auto"/>
        <w:right w:val="none" w:sz="0" w:space="0" w:color="auto"/>
      </w:divBdr>
    </w:div>
    <w:div w:id="1560743170">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36009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2492469">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0631004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683315023">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6364165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28131750">
      <w:bodyDiv w:val="1"/>
      <w:marLeft w:val="0"/>
      <w:marRight w:val="0"/>
      <w:marTop w:val="0"/>
      <w:marBottom w:val="0"/>
      <w:divBdr>
        <w:top w:val="none" w:sz="0" w:space="0" w:color="auto"/>
        <w:left w:val="none" w:sz="0" w:space="0" w:color="auto"/>
        <w:bottom w:val="none" w:sz="0" w:space="0" w:color="auto"/>
        <w:right w:val="none" w:sz="0" w:space="0" w:color="auto"/>
      </w:divBdr>
    </w:div>
    <w:div w:id="184243287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75658038">
      <w:bodyDiv w:val="1"/>
      <w:marLeft w:val="0"/>
      <w:marRight w:val="0"/>
      <w:marTop w:val="0"/>
      <w:marBottom w:val="0"/>
      <w:divBdr>
        <w:top w:val="none" w:sz="0" w:space="0" w:color="auto"/>
        <w:left w:val="none" w:sz="0" w:space="0" w:color="auto"/>
        <w:bottom w:val="none" w:sz="0" w:space="0" w:color="auto"/>
        <w:right w:val="none" w:sz="0" w:space="0" w:color="auto"/>
      </w:divBdr>
    </w:div>
    <w:div w:id="1886796709">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3396389">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5186596">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7642702">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76401682">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0824816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17223429">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74497562">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8969345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096510344">
      <w:bodyDiv w:val="1"/>
      <w:marLeft w:val="0"/>
      <w:marRight w:val="0"/>
      <w:marTop w:val="0"/>
      <w:marBottom w:val="0"/>
      <w:divBdr>
        <w:top w:val="none" w:sz="0" w:space="0" w:color="auto"/>
        <w:left w:val="none" w:sz="0" w:space="0" w:color="auto"/>
        <w:bottom w:val="none" w:sz="0" w:space="0" w:color="auto"/>
        <w:right w:val="none" w:sz="0" w:space="0" w:color="auto"/>
      </w:divBdr>
    </w:div>
    <w:div w:id="2100641750">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ms.int/sites/default/files/document/Res_11_19_Taxonom%C3%ADa_y_nomenclatura_aves.pdf"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sites/default/files/document/10_13_nomenclature_s_0_0.pdf"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cms.int/sites/default/files/document/Rec_9_04_StandrdNomenclature_CMSCITES_S_0.pdf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ms.int/sites/default/files/document/Rec6_1_S_0_0.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25FB4D-AEA9-4750-B732-71F6ABA7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14</TotalTime>
  <Pages>16</Pages>
  <Words>5825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11</cp:revision>
  <cp:lastPrinted>2017-07-10T12:42:00Z</cp:lastPrinted>
  <dcterms:created xsi:type="dcterms:W3CDTF">2017-06-19T10:00:00Z</dcterms:created>
  <dcterms:modified xsi:type="dcterms:W3CDTF">2017-07-10T12:42:00Z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