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8C84E" w14:textId="77777777" w:rsidR="00682B31" w:rsidRPr="00FB1754" w:rsidRDefault="00682B31" w:rsidP="00682B31">
      <w:pPr>
        <w:tabs>
          <w:tab w:val="left" w:pos="-1057"/>
          <w:tab w:val="left" w:pos="-720"/>
        </w:tabs>
        <w:ind w:left="-90"/>
        <w:rPr>
          <w:spacing w:val="-8"/>
          <w:sz w:val="12"/>
          <w:szCs w:val="12"/>
          <w:lang w:val="en-GB"/>
        </w:rPr>
      </w:pPr>
    </w:p>
    <w:p w14:paraId="62191BFF" w14:textId="77777777" w:rsidR="00260772" w:rsidRPr="00835891" w:rsidRDefault="00260772" w:rsidP="003A0D8F">
      <w:pPr>
        <w:tabs>
          <w:tab w:val="left" w:pos="-1057"/>
          <w:tab w:val="left" w:pos="-720"/>
        </w:tabs>
        <w:rPr>
          <w:lang w:val="fr-FR"/>
        </w:rPr>
      </w:pPr>
      <w:r w:rsidRPr="00835891">
        <w:rPr>
          <w:lang w:val="fr-FR"/>
        </w:rPr>
        <w:t>12</w:t>
      </w:r>
      <w:r w:rsidRPr="00835891">
        <w:rPr>
          <w:vertAlign w:val="superscript"/>
          <w:lang w:val="fr-FR"/>
        </w:rPr>
        <w:t>ème</w:t>
      </w:r>
      <w:r w:rsidRPr="00835891">
        <w:rPr>
          <w:lang w:val="fr-FR"/>
        </w:rPr>
        <w:t xml:space="preserve"> SESSION DE LA CONFÉRENCE DES PARTIES</w:t>
      </w:r>
    </w:p>
    <w:p w14:paraId="7853E04C" w14:textId="77777777" w:rsidR="00260772" w:rsidRPr="00835891" w:rsidRDefault="00260772" w:rsidP="003A0D8F">
      <w:pPr>
        <w:pStyle w:val="Heading2"/>
        <w:keepNext w:val="0"/>
        <w:spacing w:line="228" w:lineRule="auto"/>
        <w:rPr>
          <w:b w:val="0"/>
          <w:bCs w:val="0"/>
          <w:sz w:val="22"/>
          <w:lang w:val="pt-PT"/>
        </w:rPr>
      </w:pPr>
      <w:r w:rsidRPr="00835891">
        <w:rPr>
          <w:b w:val="0"/>
          <w:sz w:val="22"/>
          <w:lang w:val="pt-PT"/>
        </w:rPr>
        <w:t>Manille, P</w:t>
      </w:r>
      <w:r w:rsidR="00436CD2" w:rsidRPr="00835891">
        <w:rPr>
          <w:b w:val="0"/>
          <w:sz w:val="22"/>
          <w:lang w:val="pt-PT"/>
        </w:rPr>
        <w:t>hilippines, 23 - 28 octobre 2017</w:t>
      </w:r>
    </w:p>
    <w:p w14:paraId="44D0BB92" w14:textId="30A8F8E2" w:rsidR="00260772" w:rsidRPr="00835891" w:rsidRDefault="00260772" w:rsidP="003A0D8F">
      <w:pPr>
        <w:spacing w:line="228" w:lineRule="auto"/>
        <w:rPr>
          <w:iCs/>
          <w:lang w:val="pt-PT"/>
        </w:rPr>
      </w:pPr>
      <w:r w:rsidRPr="00835891">
        <w:rPr>
          <w:iCs/>
          <w:lang w:val="pt-PT"/>
        </w:rPr>
        <w:t xml:space="preserve">Point </w:t>
      </w:r>
      <w:r w:rsidR="00E8526A" w:rsidRPr="00835891">
        <w:rPr>
          <w:iCs/>
          <w:lang w:val="pt-PT"/>
        </w:rPr>
        <w:t>21.2.1</w:t>
      </w:r>
      <w:r w:rsidR="000366FB">
        <w:rPr>
          <w:iCs/>
          <w:lang w:val="pt-PT"/>
        </w:rPr>
        <w:t>2</w:t>
      </w:r>
      <w:r w:rsidRPr="00835891">
        <w:rPr>
          <w:iCs/>
          <w:lang w:val="pt-PT"/>
        </w:rPr>
        <w:t xml:space="preserve"> de l’ordre du jour</w:t>
      </w:r>
    </w:p>
    <w:tbl>
      <w:tblPr>
        <w:tblpPr w:leftFromText="180" w:rightFromText="180" w:horzAnchor="margin" w:tblpY="-401"/>
        <w:tblW w:w="9648" w:type="dxa"/>
        <w:tblLayout w:type="fixed"/>
        <w:tblCellMar>
          <w:top w:w="198" w:type="dxa"/>
        </w:tblCellMar>
        <w:tblLook w:val="0000" w:firstRow="0" w:lastRow="0" w:firstColumn="0" w:lastColumn="0" w:noHBand="0" w:noVBand="0"/>
      </w:tblPr>
      <w:tblGrid>
        <w:gridCol w:w="1526"/>
        <w:gridCol w:w="4072"/>
        <w:gridCol w:w="4050"/>
      </w:tblGrid>
      <w:tr w:rsidR="0081600F" w:rsidRPr="00835891" w14:paraId="6F27823F" w14:textId="77777777" w:rsidTr="00972D36">
        <w:trPr>
          <w:trHeight w:val="365"/>
        </w:trPr>
        <w:tc>
          <w:tcPr>
            <w:tcW w:w="9648" w:type="dxa"/>
            <w:gridSpan w:val="3"/>
            <w:tcBorders>
              <w:top w:val="nil"/>
              <w:left w:val="nil"/>
              <w:bottom w:val="single" w:sz="12" w:space="0" w:color="auto"/>
              <w:right w:val="nil"/>
            </w:tcBorders>
            <w:tcMar>
              <w:top w:w="85" w:type="dxa"/>
              <w:left w:w="108" w:type="dxa"/>
              <w:bottom w:w="0" w:type="dxa"/>
              <w:right w:w="108" w:type="dxa"/>
            </w:tcMar>
          </w:tcPr>
          <w:p w14:paraId="16B8A28A" w14:textId="77777777" w:rsidR="0081600F" w:rsidRPr="00FB1754" w:rsidRDefault="00EB2285" w:rsidP="00EB2285">
            <w:pPr>
              <w:tabs>
                <w:tab w:val="left" w:pos="-1057"/>
                <w:tab w:val="left" w:pos="-720"/>
                <w:tab w:val="left" w:pos="0"/>
                <w:tab w:val="left" w:pos="141"/>
                <w:tab w:val="left" w:pos="720"/>
                <w:tab w:val="left" w:pos="1155"/>
                <w:tab w:val="right" w:pos="9072"/>
                <w:tab w:val="right" w:pos="9432"/>
              </w:tabs>
              <w:rPr>
                <w:sz w:val="28"/>
                <w:szCs w:val="28"/>
                <w:lang w:val="en-GB"/>
              </w:rPr>
            </w:pPr>
            <w:r w:rsidRPr="00835891">
              <w:rPr>
                <w:b/>
                <w:lang w:val="fr-FR"/>
              </w:rPr>
              <w:tab/>
            </w:r>
            <w:r w:rsidRPr="00835891">
              <w:rPr>
                <w:b/>
                <w:lang w:val="fr-FR"/>
              </w:rPr>
              <w:tab/>
            </w:r>
            <w:r w:rsidRPr="00835891">
              <w:rPr>
                <w:b/>
                <w:lang w:val="fr-FR"/>
              </w:rPr>
              <w:tab/>
            </w:r>
            <w:r w:rsidRPr="00835891">
              <w:rPr>
                <w:b/>
                <w:lang w:val="fr-FR"/>
              </w:rPr>
              <w:tab/>
            </w:r>
            <w:r w:rsidR="00FA61AF" w:rsidRPr="00FB1754">
              <w:rPr>
                <w:b/>
                <w:sz w:val="28"/>
                <w:szCs w:val="28"/>
                <w:lang w:val="en-GB"/>
              </w:rPr>
              <w:t>CMS</w:t>
            </w:r>
          </w:p>
          <w:p w14:paraId="44403B16" w14:textId="77777777" w:rsidR="00FA61AF" w:rsidRPr="00835891" w:rsidRDefault="00FA61AF" w:rsidP="00972D36">
            <w:pPr>
              <w:tabs>
                <w:tab w:val="left" w:pos="-1057"/>
                <w:tab w:val="left" w:pos="-720"/>
                <w:tab w:val="left" w:pos="0"/>
                <w:tab w:val="left" w:pos="141"/>
                <w:tab w:val="left" w:pos="720"/>
                <w:tab w:val="right" w:pos="9072"/>
              </w:tabs>
              <w:rPr>
                <w:lang w:val="en-GB"/>
              </w:rPr>
            </w:pPr>
          </w:p>
        </w:tc>
      </w:tr>
      <w:tr w:rsidR="00260772" w:rsidRPr="00FB1754" w14:paraId="208791ED" w14:textId="77777777" w:rsidTr="00682B31">
        <w:trPr>
          <w:trHeight w:val="1328"/>
        </w:trPr>
        <w:tc>
          <w:tcPr>
            <w:tcW w:w="1526" w:type="dxa"/>
            <w:tcBorders>
              <w:top w:val="single" w:sz="12" w:space="0" w:color="auto"/>
              <w:left w:val="nil"/>
              <w:bottom w:val="single" w:sz="12" w:space="0" w:color="auto"/>
              <w:right w:val="nil"/>
            </w:tcBorders>
            <w:tcMar>
              <w:top w:w="85" w:type="dxa"/>
              <w:left w:w="108" w:type="dxa"/>
              <w:bottom w:w="0" w:type="dxa"/>
              <w:right w:w="108" w:type="dxa"/>
            </w:tcMar>
          </w:tcPr>
          <w:p w14:paraId="59BCA11F" w14:textId="77777777" w:rsidR="00260772" w:rsidRPr="00835891" w:rsidRDefault="009A4CD2" w:rsidP="00260772">
            <w:pPr>
              <w:rPr>
                <w:lang w:val="en-GB"/>
              </w:rPr>
            </w:pPr>
            <w:r w:rsidRPr="00835891">
              <w:rPr>
                <w:noProof/>
              </w:rPr>
              <w:drawing>
                <wp:inline distT="0" distB="0" distL="0" distR="0" wp14:anchorId="6612F111" wp14:editId="7FB7103C">
                  <wp:extent cx="752475" cy="7715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2533" t="-726" r="-2533" b="-726"/>
                          <a:stretch>
                            <a:fillRect/>
                          </a:stretch>
                        </pic:blipFill>
                        <pic:spPr bwMode="auto">
                          <a:xfrm>
                            <a:off x="0" y="0"/>
                            <a:ext cx="752475" cy="771525"/>
                          </a:xfrm>
                          <a:prstGeom prst="rect">
                            <a:avLst/>
                          </a:prstGeom>
                          <a:noFill/>
                          <a:ln>
                            <a:noFill/>
                          </a:ln>
                        </pic:spPr>
                      </pic:pic>
                    </a:graphicData>
                  </a:graphic>
                </wp:inline>
              </w:drawing>
            </w:r>
          </w:p>
          <w:p w14:paraId="347E1461" w14:textId="77777777" w:rsidR="00260772" w:rsidRPr="00835891" w:rsidRDefault="00260772" w:rsidP="00260772">
            <w:pPr>
              <w:rPr>
                <w:lang w:val="en-GB"/>
              </w:rPr>
            </w:pPr>
          </w:p>
        </w:tc>
        <w:tc>
          <w:tcPr>
            <w:tcW w:w="4072" w:type="dxa"/>
            <w:tcBorders>
              <w:top w:val="single" w:sz="12" w:space="0" w:color="auto"/>
              <w:left w:val="nil"/>
              <w:bottom w:val="single" w:sz="12" w:space="0" w:color="auto"/>
              <w:right w:val="nil"/>
            </w:tcBorders>
            <w:tcMar>
              <w:top w:w="85" w:type="dxa"/>
              <w:left w:w="108" w:type="dxa"/>
              <w:bottom w:w="0" w:type="dxa"/>
              <w:right w:w="108" w:type="dxa"/>
            </w:tcMar>
          </w:tcPr>
          <w:p w14:paraId="63E09937" w14:textId="77777777" w:rsidR="00260772" w:rsidRPr="00FB1754" w:rsidRDefault="00260772" w:rsidP="00260772">
            <w:pPr>
              <w:pStyle w:val="Heading2"/>
              <w:pBdr>
                <w:top w:val="none" w:sz="0" w:space="0" w:color="auto"/>
                <w:left w:val="none" w:sz="0" w:space="0" w:color="auto"/>
                <w:bottom w:val="none" w:sz="0" w:space="0" w:color="auto"/>
                <w:right w:val="none" w:sz="0" w:space="0" w:color="auto"/>
              </w:pBdr>
              <w:ind w:left="-108"/>
              <w:rPr>
                <w:b w:val="0"/>
                <w:bCs w:val="0"/>
                <w:sz w:val="32"/>
                <w:szCs w:val="32"/>
              </w:rPr>
            </w:pPr>
          </w:p>
          <w:p w14:paraId="3A62B3DD" w14:textId="77777777" w:rsidR="00260772" w:rsidRPr="00FB1754" w:rsidRDefault="00260772" w:rsidP="00260772">
            <w:pPr>
              <w:pStyle w:val="Heading2"/>
              <w:pBdr>
                <w:top w:val="none" w:sz="0" w:space="0" w:color="auto"/>
                <w:left w:val="none" w:sz="0" w:space="0" w:color="auto"/>
                <w:bottom w:val="none" w:sz="0" w:space="0" w:color="auto"/>
                <w:right w:val="none" w:sz="0" w:space="0" w:color="auto"/>
              </w:pBdr>
              <w:ind w:left="-108"/>
              <w:rPr>
                <w:bCs w:val="0"/>
                <w:sz w:val="32"/>
                <w:szCs w:val="32"/>
                <w:lang w:val="fr-FR"/>
              </w:rPr>
            </w:pPr>
            <w:r w:rsidRPr="00FB1754">
              <w:rPr>
                <w:bCs w:val="0"/>
                <w:sz w:val="32"/>
                <w:szCs w:val="32"/>
                <w:lang w:val="fr-FR"/>
              </w:rPr>
              <w:t>CONVENTION SUR</w:t>
            </w:r>
          </w:p>
          <w:p w14:paraId="779AF9CD" w14:textId="77777777" w:rsidR="00260772" w:rsidRPr="00FB1754" w:rsidRDefault="00260772" w:rsidP="00260772">
            <w:pPr>
              <w:pStyle w:val="Heading2"/>
              <w:pBdr>
                <w:top w:val="none" w:sz="0" w:space="0" w:color="auto"/>
                <w:left w:val="none" w:sz="0" w:space="0" w:color="auto"/>
                <w:bottom w:val="none" w:sz="0" w:space="0" w:color="auto"/>
                <w:right w:val="none" w:sz="0" w:space="0" w:color="auto"/>
              </w:pBdr>
              <w:ind w:left="-108"/>
              <w:rPr>
                <w:bCs w:val="0"/>
                <w:sz w:val="32"/>
                <w:szCs w:val="32"/>
                <w:lang w:val="fr-FR"/>
              </w:rPr>
            </w:pPr>
            <w:r w:rsidRPr="00FB1754">
              <w:rPr>
                <w:bCs w:val="0"/>
                <w:sz w:val="32"/>
                <w:szCs w:val="32"/>
                <w:lang w:val="fr-FR"/>
              </w:rPr>
              <w:t>LES ESPÈCES</w:t>
            </w:r>
          </w:p>
          <w:p w14:paraId="0F6E297B" w14:textId="77777777" w:rsidR="00260772" w:rsidRPr="00FB1754" w:rsidRDefault="00260772" w:rsidP="00260772">
            <w:pPr>
              <w:pStyle w:val="Heading2"/>
              <w:pBdr>
                <w:top w:val="none" w:sz="0" w:space="0" w:color="auto"/>
                <w:left w:val="none" w:sz="0" w:space="0" w:color="auto"/>
                <w:bottom w:val="none" w:sz="0" w:space="0" w:color="auto"/>
                <w:right w:val="none" w:sz="0" w:space="0" w:color="auto"/>
              </w:pBdr>
              <w:ind w:left="-108"/>
              <w:rPr>
                <w:b w:val="0"/>
                <w:bCs w:val="0"/>
                <w:sz w:val="32"/>
                <w:szCs w:val="32"/>
                <w:lang w:val="fr-FR"/>
              </w:rPr>
            </w:pPr>
            <w:r w:rsidRPr="00FB1754">
              <w:rPr>
                <w:bCs w:val="0"/>
                <w:sz w:val="32"/>
                <w:szCs w:val="32"/>
                <w:lang w:val="fr-FR"/>
              </w:rPr>
              <w:t>MIGRATRICES</w:t>
            </w:r>
          </w:p>
        </w:tc>
        <w:tc>
          <w:tcPr>
            <w:tcW w:w="4050" w:type="dxa"/>
            <w:tcBorders>
              <w:top w:val="single" w:sz="12" w:space="0" w:color="auto"/>
              <w:left w:val="nil"/>
              <w:bottom w:val="single" w:sz="12" w:space="0" w:color="auto"/>
              <w:right w:val="nil"/>
            </w:tcBorders>
            <w:tcMar>
              <w:top w:w="85" w:type="dxa"/>
              <w:left w:w="108" w:type="dxa"/>
              <w:bottom w:w="0" w:type="dxa"/>
              <w:right w:w="108" w:type="dxa"/>
            </w:tcMar>
          </w:tcPr>
          <w:p w14:paraId="103A1ED7" w14:textId="77777777" w:rsidR="00260772" w:rsidRPr="00FB1754" w:rsidRDefault="00260772" w:rsidP="00260772">
            <w:pPr>
              <w:tabs>
                <w:tab w:val="left" w:pos="5040"/>
                <w:tab w:val="left" w:pos="5760"/>
                <w:tab w:val="left" w:pos="6008"/>
                <w:tab w:val="left" w:pos="6480"/>
                <w:tab w:val="left" w:pos="7200"/>
                <w:tab w:val="left" w:pos="7920"/>
                <w:tab w:val="left" w:pos="8640"/>
              </w:tabs>
              <w:rPr>
                <w:sz w:val="12"/>
                <w:szCs w:val="12"/>
                <w:lang w:val="fr-FR"/>
              </w:rPr>
            </w:pPr>
          </w:p>
          <w:p w14:paraId="20BDD8B4" w14:textId="77777777" w:rsidR="00260772" w:rsidRPr="00FB1754" w:rsidRDefault="00260772" w:rsidP="00260772">
            <w:pPr>
              <w:tabs>
                <w:tab w:val="left" w:pos="5040"/>
                <w:tab w:val="left" w:pos="5760"/>
                <w:tab w:val="left" w:pos="6008"/>
                <w:tab w:val="left" w:pos="6480"/>
                <w:tab w:val="left" w:pos="7200"/>
                <w:tab w:val="left" w:pos="7920"/>
                <w:tab w:val="left" w:pos="8640"/>
              </w:tabs>
              <w:rPr>
                <w:lang w:val="fr-FR"/>
              </w:rPr>
            </w:pPr>
            <w:r w:rsidRPr="00FB1754">
              <w:rPr>
                <w:lang w:val="fr-FR"/>
              </w:rPr>
              <w:t>Distribution: Générale</w:t>
            </w:r>
          </w:p>
          <w:p w14:paraId="2E2F2684" w14:textId="77777777" w:rsidR="00260772" w:rsidRPr="00FB1754" w:rsidRDefault="00260772" w:rsidP="00260772">
            <w:pPr>
              <w:tabs>
                <w:tab w:val="left" w:pos="-1057"/>
                <w:tab w:val="left" w:pos="-720"/>
                <w:tab w:val="left" w:pos="5040"/>
                <w:tab w:val="left" w:pos="5760"/>
                <w:tab w:val="left" w:pos="6008"/>
                <w:tab w:val="left" w:pos="6480"/>
                <w:tab w:val="left" w:pos="7200"/>
                <w:tab w:val="left" w:pos="7920"/>
                <w:tab w:val="left" w:pos="8640"/>
              </w:tabs>
              <w:rPr>
                <w:lang w:val="fr-FR"/>
              </w:rPr>
            </w:pPr>
          </w:p>
          <w:p w14:paraId="61E56779" w14:textId="2F1F901B" w:rsidR="00260772" w:rsidRPr="00FB1754" w:rsidRDefault="00FB1754" w:rsidP="00260772">
            <w:pPr>
              <w:tabs>
                <w:tab w:val="left" w:pos="5040"/>
                <w:tab w:val="left" w:pos="5760"/>
                <w:tab w:val="left" w:pos="6008"/>
                <w:tab w:val="left" w:pos="6480"/>
                <w:tab w:val="left" w:pos="7200"/>
                <w:tab w:val="left" w:pos="7920"/>
                <w:tab w:val="left" w:pos="8640"/>
              </w:tabs>
              <w:rPr>
                <w:lang w:val="fr-FR"/>
              </w:rPr>
            </w:pPr>
            <w:r w:rsidRPr="00FB1754">
              <w:rPr>
                <w:lang w:val="fr-FR"/>
              </w:rPr>
              <w:t>UNEP</w:t>
            </w:r>
            <w:r w:rsidR="00260772" w:rsidRPr="00FB1754">
              <w:rPr>
                <w:lang w:val="fr-FR"/>
              </w:rPr>
              <w:t>/CMS/COP12/Doc.</w:t>
            </w:r>
            <w:r w:rsidR="005612BD" w:rsidRPr="00FB1754">
              <w:rPr>
                <w:lang w:val="fr-FR"/>
              </w:rPr>
              <w:t>21.</w:t>
            </w:r>
            <w:r w:rsidR="000366FB" w:rsidRPr="00FB1754">
              <w:rPr>
                <w:lang w:val="fr-FR"/>
              </w:rPr>
              <w:t>2.12</w:t>
            </w:r>
          </w:p>
          <w:p w14:paraId="38BF7EC6" w14:textId="7CCDD8FB" w:rsidR="00260772" w:rsidRPr="00FB1754" w:rsidRDefault="00FB1754" w:rsidP="00260772">
            <w:pPr>
              <w:tabs>
                <w:tab w:val="left" w:pos="5040"/>
                <w:tab w:val="left" w:pos="5760"/>
                <w:tab w:val="left" w:pos="6008"/>
                <w:tab w:val="left" w:pos="6480"/>
                <w:tab w:val="left" w:pos="7200"/>
                <w:tab w:val="left" w:pos="7920"/>
                <w:tab w:val="left" w:pos="8640"/>
              </w:tabs>
              <w:rPr>
                <w:lang w:val="fr-FR"/>
              </w:rPr>
            </w:pPr>
            <w:r w:rsidRPr="00FB1754">
              <w:rPr>
                <w:lang w:val="fr-FR"/>
              </w:rPr>
              <w:t xml:space="preserve">10 juillet </w:t>
            </w:r>
            <w:r w:rsidR="00436CD2" w:rsidRPr="00FB1754">
              <w:rPr>
                <w:lang w:val="fr-FR"/>
              </w:rPr>
              <w:t>2017</w:t>
            </w:r>
          </w:p>
          <w:p w14:paraId="256F4866" w14:textId="77777777" w:rsidR="00260772" w:rsidRPr="00FB1754" w:rsidRDefault="00260772" w:rsidP="00260772">
            <w:pPr>
              <w:tabs>
                <w:tab w:val="left" w:pos="5040"/>
                <w:tab w:val="left" w:pos="5760"/>
                <w:tab w:val="left" w:pos="6008"/>
                <w:tab w:val="left" w:pos="6480"/>
                <w:tab w:val="left" w:pos="7200"/>
                <w:tab w:val="left" w:pos="7920"/>
                <w:tab w:val="left" w:pos="8640"/>
              </w:tabs>
              <w:rPr>
                <w:lang w:val="fr-FR"/>
              </w:rPr>
            </w:pPr>
          </w:p>
          <w:p w14:paraId="39393C0F" w14:textId="77777777" w:rsidR="00260772" w:rsidRPr="00FB1754" w:rsidRDefault="00260772" w:rsidP="00260772">
            <w:pPr>
              <w:rPr>
                <w:lang w:val="fr-FR"/>
              </w:rPr>
            </w:pPr>
            <w:r w:rsidRPr="00FB1754">
              <w:rPr>
                <w:lang w:val="fr-FR"/>
              </w:rPr>
              <w:t>Français</w:t>
            </w:r>
          </w:p>
          <w:p w14:paraId="63C1DE78" w14:textId="77777777" w:rsidR="00260772" w:rsidRPr="00FB1754" w:rsidRDefault="00260772" w:rsidP="00260772">
            <w:pPr>
              <w:rPr>
                <w:lang w:val="fr-FR"/>
              </w:rPr>
            </w:pPr>
            <w:r w:rsidRPr="00FB1754">
              <w:rPr>
                <w:lang w:val="fr-FR"/>
              </w:rPr>
              <w:t>Original: Anglais</w:t>
            </w:r>
          </w:p>
          <w:p w14:paraId="1F808553" w14:textId="77777777" w:rsidR="00260772" w:rsidRPr="00FB1754" w:rsidRDefault="00260772" w:rsidP="00260772">
            <w:pPr>
              <w:rPr>
                <w:sz w:val="12"/>
                <w:szCs w:val="12"/>
                <w:lang w:val="fr-FR"/>
              </w:rPr>
            </w:pPr>
          </w:p>
        </w:tc>
      </w:tr>
    </w:tbl>
    <w:p w14:paraId="0BF60399" w14:textId="77777777" w:rsidR="00354A9C" w:rsidRPr="00FB1754" w:rsidRDefault="00354A9C" w:rsidP="00922791">
      <w:pPr>
        <w:tabs>
          <w:tab w:val="left" w:pos="7020"/>
        </w:tabs>
        <w:rPr>
          <w:lang w:val="fr-FR"/>
        </w:rPr>
      </w:pPr>
    </w:p>
    <w:p w14:paraId="77F4B788" w14:textId="77777777" w:rsidR="0052082F" w:rsidRPr="00FB1754" w:rsidRDefault="0052082F" w:rsidP="00354A9C">
      <w:pPr>
        <w:rPr>
          <w:b/>
          <w:lang w:val="fr-FR"/>
        </w:rPr>
      </w:pPr>
    </w:p>
    <w:p w14:paraId="1F59D700" w14:textId="77777777" w:rsidR="00FB1754" w:rsidRDefault="00FB1754" w:rsidP="004600BB">
      <w:pPr>
        <w:pStyle w:val="p1"/>
        <w:jc w:val="center"/>
        <w:rPr>
          <w:b/>
          <w:sz w:val="22"/>
          <w:szCs w:val="15"/>
          <w:lang w:val="fr-FR"/>
        </w:rPr>
      </w:pPr>
      <w:r>
        <w:rPr>
          <w:b/>
          <w:sz w:val="22"/>
          <w:szCs w:val="15"/>
          <w:lang w:val="fr-FR"/>
        </w:rPr>
        <w:t xml:space="preserve">REGROUPEMENT DE </w:t>
      </w:r>
      <w:r w:rsidR="004600BB" w:rsidRPr="00FB1754">
        <w:rPr>
          <w:b/>
          <w:sz w:val="22"/>
          <w:szCs w:val="15"/>
          <w:lang w:val="fr-FR"/>
        </w:rPr>
        <w:t>R</w:t>
      </w:r>
      <w:r w:rsidR="004600BB" w:rsidRPr="00FB1754">
        <w:rPr>
          <w:b/>
          <w:bCs/>
          <w:sz w:val="22"/>
          <w:lang w:val="fr-FR"/>
        </w:rPr>
        <w:t>É</w:t>
      </w:r>
      <w:r w:rsidR="004600BB" w:rsidRPr="00FB1754">
        <w:rPr>
          <w:b/>
          <w:sz w:val="22"/>
          <w:szCs w:val="15"/>
          <w:lang w:val="fr-FR"/>
        </w:rPr>
        <w:t xml:space="preserve">SOLUTIONS: </w:t>
      </w:r>
    </w:p>
    <w:p w14:paraId="5EF17F53" w14:textId="60726356" w:rsidR="004600BB" w:rsidRPr="00FB1754" w:rsidRDefault="000366FB" w:rsidP="004600BB">
      <w:pPr>
        <w:pStyle w:val="p1"/>
        <w:jc w:val="center"/>
        <w:rPr>
          <w:b/>
          <w:sz w:val="22"/>
          <w:lang w:val="fr-FR"/>
        </w:rPr>
      </w:pPr>
      <w:r w:rsidRPr="000366FB">
        <w:rPr>
          <w:b/>
          <w:sz w:val="22"/>
          <w:lang w:val="fr-FR"/>
        </w:rPr>
        <w:t>APPLICATION DES ARTICLES IV ET V DE LA CONVENTION</w:t>
      </w:r>
    </w:p>
    <w:p w14:paraId="05269D57" w14:textId="52C374B5" w:rsidR="00E8526A" w:rsidRPr="00FB1754" w:rsidRDefault="00E8526A" w:rsidP="00E8526A">
      <w:pPr>
        <w:widowControl/>
        <w:autoSpaceDE/>
        <w:autoSpaceDN/>
        <w:adjustRightInd/>
        <w:jc w:val="center"/>
        <w:rPr>
          <w:b/>
          <w:szCs w:val="15"/>
          <w:lang w:val="fr-FR"/>
        </w:rPr>
      </w:pPr>
      <w:r w:rsidRPr="00FB1754">
        <w:rPr>
          <w:b/>
          <w:szCs w:val="15"/>
          <w:lang w:val="fr-FR"/>
        </w:rPr>
        <w:t> </w:t>
      </w:r>
    </w:p>
    <w:p w14:paraId="2F0A3A59" w14:textId="443049B9" w:rsidR="001764E6" w:rsidRPr="00835891" w:rsidRDefault="005612BD" w:rsidP="005612BD">
      <w:pPr>
        <w:jc w:val="center"/>
        <w:rPr>
          <w:lang w:val="fr-FR"/>
        </w:rPr>
      </w:pPr>
      <w:r w:rsidRPr="00835891">
        <w:rPr>
          <w:i/>
          <w:lang w:val="fr-FR"/>
        </w:rPr>
        <w:t>(</w:t>
      </w:r>
      <w:r w:rsidR="00FB1754">
        <w:rPr>
          <w:bCs/>
          <w:i/>
          <w:lang w:val="fr-FR"/>
        </w:rPr>
        <w:t>Préparé</w:t>
      </w:r>
      <w:r w:rsidRPr="00835891">
        <w:rPr>
          <w:bCs/>
          <w:i/>
          <w:lang w:val="fr-FR"/>
        </w:rPr>
        <w:t xml:space="preserve"> par le Secrétariat au nom du</w:t>
      </w:r>
      <w:r w:rsidRPr="00835891">
        <w:rPr>
          <w:bCs/>
          <w:lang w:val="fr-FR"/>
        </w:rPr>
        <w:t xml:space="preserve"> </w:t>
      </w:r>
      <w:r w:rsidRPr="00835891">
        <w:rPr>
          <w:bCs/>
          <w:i/>
          <w:lang w:val="fr-FR"/>
        </w:rPr>
        <w:t>Comité permanent)</w:t>
      </w:r>
    </w:p>
    <w:p w14:paraId="366D3941" w14:textId="77777777" w:rsidR="001764E6" w:rsidRPr="00835891" w:rsidRDefault="001764E6" w:rsidP="00D605A4">
      <w:pPr>
        <w:tabs>
          <w:tab w:val="left" w:pos="8295"/>
        </w:tabs>
        <w:jc w:val="both"/>
        <w:rPr>
          <w:lang w:val="fr-FR"/>
        </w:rPr>
      </w:pPr>
    </w:p>
    <w:p w14:paraId="173A530C" w14:textId="5F5DE658" w:rsidR="00D605A4" w:rsidRPr="00835891" w:rsidRDefault="00D605A4" w:rsidP="001764E6">
      <w:pPr>
        <w:jc w:val="both"/>
        <w:rPr>
          <w:lang w:val="fr-FR"/>
        </w:rPr>
      </w:pPr>
    </w:p>
    <w:p w14:paraId="3390C46F" w14:textId="6FAD023E" w:rsidR="00D605A4" w:rsidRPr="00835891" w:rsidRDefault="00D605A4" w:rsidP="00D605A4">
      <w:pPr>
        <w:rPr>
          <w:lang w:val="fr-FR"/>
        </w:rPr>
      </w:pPr>
    </w:p>
    <w:p w14:paraId="53CC9E54" w14:textId="5B3BEB40" w:rsidR="00D605A4" w:rsidRPr="00835891" w:rsidRDefault="00F55FDA" w:rsidP="00D605A4">
      <w:pPr>
        <w:rPr>
          <w:lang w:val="fr-FR"/>
        </w:rPr>
      </w:pPr>
      <w:r w:rsidRPr="00835891">
        <w:rPr>
          <w:noProof/>
        </w:rPr>
        <mc:AlternateContent>
          <mc:Choice Requires="wps">
            <w:drawing>
              <wp:anchor distT="0" distB="0" distL="114300" distR="114300" simplePos="0" relativeHeight="251657728" behindDoc="0" locked="0" layoutInCell="1" allowOverlap="1" wp14:anchorId="2CF6BFB0" wp14:editId="25DA1492">
                <wp:simplePos x="0" y="0"/>
                <wp:positionH relativeFrom="column">
                  <wp:posOffset>713739</wp:posOffset>
                </wp:positionH>
                <wp:positionV relativeFrom="paragraph">
                  <wp:posOffset>15240</wp:posOffset>
                </wp:positionV>
                <wp:extent cx="4410075" cy="1057275"/>
                <wp:effectExtent l="0" t="0" r="28575"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057275"/>
                        </a:xfrm>
                        <a:prstGeom prst="rect">
                          <a:avLst/>
                        </a:prstGeom>
                        <a:solidFill>
                          <a:srgbClr val="FFFFFF"/>
                        </a:solidFill>
                        <a:ln w="3175">
                          <a:solidFill>
                            <a:srgbClr val="000000"/>
                          </a:solidFill>
                          <a:miter lim="800000"/>
                          <a:headEnd/>
                          <a:tailEnd/>
                        </a:ln>
                      </wps:spPr>
                      <wps:txbx>
                        <w:txbxContent>
                          <w:p w14:paraId="3CC66167" w14:textId="77777777" w:rsidR="00E546AA" w:rsidRPr="00FB1754" w:rsidRDefault="00E546AA" w:rsidP="00E475D4">
                            <w:r w:rsidRPr="00FB1754">
                              <w:t>Résumé:</w:t>
                            </w:r>
                          </w:p>
                          <w:p w14:paraId="219388F5" w14:textId="77777777" w:rsidR="00E546AA" w:rsidRPr="00FB1754" w:rsidRDefault="00E546AA" w:rsidP="00E475D4"/>
                          <w:p w14:paraId="7BD0BC30" w14:textId="4BE08D9E" w:rsidR="00E546AA" w:rsidRPr="00FB1754" w:rsidRDefault="00E546AA" w:rsidP="00FB1754">
                            <w:pPr>
                              <w:jc w:val="both"/>
                              <w:rPr>
                                <w:lang w:val="fr-FR"/>
                              </w:rPr>
                            </w:pPr>
                            <w:r w:rsidRPr="00FB1754">
                              <w:rPr>
                                <w:lang w:val="fr-FR"/>
                              </w:rPr>
                              <w:t xml:space="preserve">Ce document regroupe quatre Résolutions relatives à </w:t>
                            </w:r>
                            <w:r>
                              <w:rPr>
                                <w:lang w:val="fr-FR"/>
                              </w:rPr>
                              <w:t>l’application des Accords conformément aux Article IV et V de la Convention.</w:t>
                            </w:r>
                          </w:p>
                          <w:p w14:paraId="13EC94C3" w14:textId="77777777" w:rsidR="00E546AA" w:rsidRPr="00FB1754" w:rsidRDefault="00E546AA" w:rsidP="00E475D4">
                            <w:pPr>
                              <w:rPr>
                                <w:sz w:val="21"/>
                                <w:szCs w:val="21"/>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6BFB0" id="_x0000_t202" coordsize="21600,21600" o:spt="202" path="m,l,21600r21600,l21600,xe">
                <v:stroke joinstyle="miter"/>
                <v:path gradientshapeok="t" o:connecttype="rect"/>
              </v:shapetype>
              <v:shape id="Text Box 4" o:spid="_x0000_s1026" type="#_x0000_t202" style="position:absolute;margin-left:56.2pt;margin-top:1.2pt;width:347.25pt;height:8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" strokeweight=".25pt">
                <v:textbox>
                  <w:txbxContent>
                    <w:p w14:paraId="3CC66167" w14:textId="77777777" w:rsidR="00E546AA" w:rsidRPr="00FB1754" w:rsidRDefault="00E546AA" w:rsidP="00E475D4">
                      <w:r w:rsidRPr="00FB1754">
                        <w:t>Résumé:</w:t>
                      </w:r>
                    </w:p>
                    <w:p w14:paraId="219388F5" w14:textId="77777777" w:rsidR="00E546AA" w:rsidRPr="00FB1754" w:rsidRDefault="00E546AA" w:rsidP="00E475D4"/>
                    <w:p w14:paraId="7BD0BC30" w14:textId="4BE08D9E" w:rsidR="00E546AA" w:rsidRPr="00FB1754" w:rsidRDefault="00E546AA" w:rsidP="00FB1754">
                      <w:pPr>
                        <w:jc w:val="both"/>
                        <w:rPr>
                          <w:lang w:val="fr-FR"/>
                        </w:rPr>
                      </w:pPr>
                      <w:r w:rsidRPr="00FB1754">
                        <w:rPr>
                          <w:lang w:val="fr-FR"/>
                        </w:rPr>
                        <w:t xml:space="preserve">Ce document regroupe quatre Résolutions relatives à </w:t>
                      </w:r>
                      <w:r>
                        <w:rPr>
                          <w:lang w:val="fr-FR"/>
                        </w:rPr>
                        <w:t>l’application des Accords conformément aux Article IV et V de la Convention.</w:t>
                      </w:r>
                    </w:p>
                    <w:p w14:paraId="13EC94C3" w14:textId="77777777" w:rsidR="00E546AA" w:rsidRPr="00FB1754" w:rsidRDefault="00E546AA" w:rsidP="00E475D4">
                      <w:pPr>
                        <w:rPr>
                          <w:sz w:val="21"/>
                          <w:szCs w:val="21"/>
                          <w:lang w:val="fr-FR"/>
                        </w:rPr>
                      </w:pPr>
                    </w:p>
                  </w:txbxContent>
                </v:textbox>
              </v:shape>
            </w:pict>
          </mc:Fallback>
        </mc:AlternateContent>
      </w:r>
    </w:p>
    <w:p w14:paraId="6BE2EBB5" w14:textId="1394546E" w:rsidR="00D605A4" w:rsidRPr="00835891" w:rsidRDefault="00D605A4" w:rsidP="00D605A4">
      <w:pPr>
        <w:rPr>
          <w:lang w:val="fr-FR"/>
        </w:rPr>
      </w:pPr>
    </w:p>
    <w:p w14:paraId="7B796DDF" w14:textId="77777777" w:rsidR="00D605A4" w:rsidRPr="00835891" w:rsidRDefault="00D605A4" w:rsidP="00D605A4">
      <w:pPr>
        <w:rPr>
          <w:lang w:val="fr-FR"/>
        </w:rPr>
      </w:pPr>
    </w:p>
    <w:p w14:paraId="7C78EC3C" w14:textId="77777777" w:rsidR="00D605A4" w:rsidRPr="00835891" w:rsidRDefault="00D605A4" w:rsidP="00D605A4">
      <w:pPr>
        <w:rPr>
          <w:lang w:val="fr-FR"/>
        </w:rPr>
      </w:pPr>
    </w:p>
    <w:p w14:paraId="460BAD1D" w14:textId="77777777" w:rsidR="00D605A4" w:rsidRPr="00835891" w:rsidRDefault="00D605A4" w:rsidP="00D605A4">
      <w:pPr>
        <w:rPr>
          <w:lang w:val="fr-FR"/>
        </w:rPr>
      </w:pPr>
    </w:p>
    <w:p w14:paraId="48FCF9FE" w14:textId="77777777" w:rsidR="00D605A4" w:rsidRPr="00835891" w:rsidRDefault="00D605A4" w:rsidP="00D605A4">
      <w:pPr>
        <w:rPr>
          <w:lang w:val="fr-FR"/>
        </w:rPr>
      </w:pPr>
    </w:p>
    <w:p w14:paraId="2C0F518D" w14:textId="77777777" w:rsidR="00D605A4" w:rsidRPr="00835891" w:rsidRDefault="00D605A4" w:rsidP="00D605A4">
      <w:pPr>
        <w:rPr>
          <w:lang w:val="fr-FR"/>
        </w:rPr>
      </w:pPr>
    </w:p>
    <w:p w14:paraId="62B8649D" w14:textId="77777777" w:rsidR="00D605A4" w:rsidRPr="00835891" w:rsidRDefault="00D605A4" w:rsidP="00D605A4">
      <w:pPr>
        <w:rPr>
          <w:lang w:val="fr-FR"/>
        </w:rPr>
      </w:pPr>
    </w:p>
    <w:p w14:paraId="56F8C56F" w14:textId="77777777" w:rsidR="00D605A4" w:rsidRPr="00835891" w:rsidRDefault="00D605A4" w:rsidP="00D605A4">
      <w:pPr>
        <w:rPr>
          <w:lang w:val="fr-FR"/>
        </w:rPr>
      </w:pPr>
    </w:p>
    <w:p w14:paraId="20BB0A78" w14:textId="77777777" w:rsidR="00D605A4" w:rsidRPr="00835891" w:rsidRDefault="00D605A4" w:rsidP="00D605A4">
      <w:pPr>
        <w:rPr>
          <w:lang w:val="fr-FR"/>
        </w:rPr>
      </w:pPr>
    </w:p>
    <w:p w14:paraId="428D5A96" w14:textId="77777777" w:rsidR="00D605A4" w:rsidRPr="00835891" w:rsidRDefault="00D605A4" w:rsidP="00D605A4">
      <w:pPr>
        <w:rPr>
          <w:lang w:val="fr-FR"/>
        </w:rPr>
      </w:pPr>
    </w:p>
    <w:p w14:paraId="43D900C9" w14:textId="77777777" w:rsidR="00D605A4" w:rsidRPr="00835891" w:rsidRDefault="00D605A4" w:rsidP="00D605A4">
      <w:pPr>
        <w:rPr>
          <w:lang w:val="fr-FR"/>
        </w:rPr>
      </w:pPr>
    </w:p>
    <w:p w14:paraId="7700061E" w14:textId="77777777" w:rsidR="00D605A4" w:rsidRPr="00835891" w:rsidRDefault="00D605A4" w:rsidP="00D605A4">
      <w:pPr>
        <w:rPr>
          <w:lang w:val="fr-FR"/>
        </w:rPr>
      </w:pPr>
    </w:p>
    <w:p w14:paraId="56F7AAB4" w14:textId="77777777" w:rsidR="00D605A4" w:rsidRPr="00835891" w:rsidRDefault="00D605A4" w:rsidP="00D605A4">
      <w:pPr>
        <w:rPr>
          <w:lang w:val="fr-FR"/>
        </w:rPr>
      </w:pPr>
    </w:p>
    <w:p w14:paraId="765C9454" w14:textId="77777777" w:rsidR="00D605A4" w:rsidRPr="00835891" w:rsidRDefault="00D605A4" w:rsidP="00D605A4">
      <w:pPr>
        <w:rPr>
          <w:lang w:val="fr-FR"/>
        </w:rPr>
      </w:pPr>
    </w:p>
    <w:p w14:paraId="58B34BA8" w14:textId="77777777" w:rsidR="00D605A4" w:rsidRPr="00835891" w:rsidRDefault="00D605A4" w:rsidP="00D605A4">
      <w:pPr>
        <w:rPr>
          <w:lang w:val="fr-FR"/>
        </w:rPr>
      </w:pPr>
    </w:p>
    <w:p w14:paraId="716A50A8" w14:textId="77777777" w:rsidR="00D605A4" w:rsidRPr="00835891" w:rsidRDefault="00D605A4" w:rsidP="00D605A4">
      <w:pPr>
        <w:rPr>
          <w:lang w:val="fr-FR"/>
        </w:rPr>
      </w:pPr>
    </w:p>
    <w:p w14:paraId="16A53B10" w14:textId="77777777" w:rsidR="00D605A4" w:rsidRPr="00835891" w:rsidRDefault="00D605A4" w:rsidP="00D605A4">
      <w:pPr>
        <w:rPr>
          <w:lang w:val="fr-FR"/>
        </w:rPr>
      </w:pPr>
    </w:p>
    <w:p w14:paraId="5BD79C5E" w14:textId="77777777" w:rsidR="00D605A4" w:rsidRPr="00835891" w:rsidRDefault="00D605A4" w:rsidP="00D605A4">
      <w:pPr>
        <w:rPr>
          <w:lang w:val="fr-FR"/>
        </w:rPr>
      </w:pPr>
    </w:p>
    <w:p w14:paraId="7996ADE4" w14:textId="77777777" w:rsidR="00D605A4" w:rsidRPr="00835891" w:rsidRDefault="00D605A4" w:rsidP="00D605A4">
      <w:pPr>
        <w:rPr>
          <w:lang w:val="fr-FR"/>
        </w:rPr>
      </w:pPr>
    </w:p>
    <w:p w14:paraId="249A0BAD" w14:textId="77777777" w:rsidR="00D605A4" w:rsidRPr="00835891" w:rsidRDefault="00D605A4" w:rsidP="00D605A4">
      <w:pPr>
        <w:rPr>
          <w:lang w:val="fr-FR"/>
        </w:rPr>
      </w:pPr>
    </w:p>
    <w:p w14:paraId="44BEAB76" w14:textId="25A3F226" w:rsidR="002218C5" w:rsidRPr="00835891" w:rsidRDefault="002218C5">
      <w:pPr>
        <w:widowControl/>
        <w:autoSpaceDE/>
        <w:autoSpaceDN/>
        <w:adjustRightInd/>
        <w:rPr>
          <w:lang w:val="fr-FR"/>
        </w:rPr>
      </w:pPr>
    </w:p>
    <w:p w14:paraId="1D8D51E8" w14:textId="77777777" w:rsidR="004600BB" w:rsidRPr="00835891" w:rsidRDefault="004600BB">
      <w:pPr>
        <w:widowControl/>
        <w:autoSpaceDE/>
        <w:autoSpaceDN/>
        <w:adjustRightInd/>
        <w:rPr>
          <w:lang w:val="fr-FR"/>
        </w:rPr>
      </w:pPr>
    </w:p>
    <w:p w14:paraId="518BF5CD" w14:textId="0161AABB" w:rsidR="004600BB" w:rsidRPr="00835891" w:rsidRDefault="004600BB">
      <w:pPr>
        <w:widowControl/>
        <w:autoSpaceDE/>
        <w:autoSpaceDN/>
        <w:adjustRightInd/>
        <w:rPr>
          <w:lang w:val="fr-FR"/>
        </w:rPr>
      </w:pPr>
      <w:r w:rsidRPr="00835891">
        <w:rPr>
          <w:lang w:val="fr-FR"/>
        </w:rPr>
        <w:br w:type="page"/>
      </w:r>
    </w:p>
    <w:p w14:paraId="1ADF7D49" w14:textId="77777777" w:rsidR="004600BB" w:rsidRPr="00835891" w:rsidRDefault="004600BB">
      <w:pPr>
        <w:widowControl/>
        <w:autoSpaceDE/>
        <w:autoSpaceDN/>
        <w:adjustRightInd/>
        <w:rPr>
          <w:lang w:val="fr-FR"/>
        </w:rPr>
      </w:pPr>
    </w:p>
    <w:p w14:paraId="40A1D955" w14:textId="77777777" w:rsidR="00FB1754" w:rsidRDefault="00FB1754" w:rsidP="00FB1754">
      <w:pPr>
        <w:pStyle w:val="p1"/>
        <w:jc w:val="center"/>
        <w:rPr>
          <w:b/>
          <w:sz w:val="22"/>
          <w:szCs w:val="15"/>
          <w:lang w:val="fr-FR"/>
        </w:rPr>
      </w:pPr>
      <w:r>
        <w:rPr>
          <w:b/>
          <w:sz w:val="22"/>
          <w:szCs w:val="15"/>
          <w:lang w:val="fr-FR"/>
        </w:rPr>
        <w:t xml:space="preserve">REGROUPEMENT DE </w:t>
      </w:r>
      <w:r w:rsidRPr="00FB1754">
        <w:rPr>
          <w:b/>
          <w:sz w:val="22"/>
          <w:szCs w:val="15"/>
          <w:lang w:val="fr-FR"/>
        </w:rPr>
        <w:t>R</w:t>
      </w:r>
      <w:r w:rsidRPr="00FB1754">
        <w:rPr>
          <w:b/>
          <w:bCs/>
          <w:sz w:val="22"/>
          <w:lang w:val="fr-FR"/>
        </w:rPr>
        <w:t>É</w:t>
      </w:r>
      <w:r w:rsidRPr="00FB1754">
        <w:rPr>
          <w:b/>
          <w:sz w:val="22"/>
          <w:szCs w:val="15"/>
          <w:lang w:val="fr-FR"/>
        </w:rPr>
        <w:t xml:space="preserve">SOLUTIONS: </w:t>
      </w:r>
    </w:p>
    <w:p w14:paraId="1C1B72B0" w14:textId="77777777" w:rsidR="00FB1754" w:rsidRPr="00FB1754" w:rsidRDefault="00FB1754" w:rsidP="00FB1754">
      <w:pPr>
        <w:pStyle w:val="p1"/>
        <w:jc w:val="center"/>
        <w:rPr>
          <w:b/>
          <w:sz w:val="22"/>
          <w:lang w:val="fr-FR"/>
        </w:rPr>
      </w:pPr>
      <w:r w:rsidRPr="000366FB">
        <w:rPr>
          <w:b/>
          <w:sz w:val="22"/>
          <w:lang w:val="fr-FR"/>
        </w:rPr>
        <w:t>APPLICATION DES ARTICLES IV ET V DE LA CONVENTION</w:t>
      </w:r>
    </w:p>
    <w:p w14:paraId="3C720819" w14:textId="77777777" w:rsidR="004600BB" w:rsidRPr="00835891" w:rsidRDefault="004600BB">
      <w:pPr>
        <w:widowControl/>
        <w:autoSpaceDE/>
        <w:autoSpaceDN/>
        <w:adjustRightInd/>
        <w:rPr>
          <w:lang w:val="fr-FR"/>
        </w:rPr>
      </w:pPr>
    </w:p>
    <w:p w14:paraId="6CFFCC6B" w14:textId="77777777" w:rsidR="004600BB" w:rsidRPr="00835891" w:rsidRDefault="004600BB">
      <w:pPr>
        <w:widowControl/>
        <w:autoSpaceDE/>
        <w:autoSpaceDN/>
        <w:adjustRightInd/>
        <w:rPr>
          <w:lang w:val="fr-FR"/>
        </w:rPr>
      </w:pPr>
    </w:p>
    <w:p w14:paraId="016ECF7C" w14:textId="7254717E" w:rsidR="004600BB" w:rsidRPr="00835891" w:rsidRDefault="00FB1754" w:rsidP="004600BB">
      <w:pPr>
        <w:jc w:val="both"/>
        <w:rPr>
          <w:u w:val="single"/>
          <w:lang w:val="en-GB"/>
        </w:rPr>
      </w:pPr>
      <w:r>
        <w:rPr>
          <w:u w:val="single"/>
          <w:lang w:val="en-GB"/>
        </w:rPr>
        <w:t>Contexte</w:t>
      </w:r>
    </w:p>
    <w:p w14:paraId="131A6D70" w14:textId="77777777" w:rsidR="004600BB" w:rsidRPr="00835891" w:rsidRDefault="004600BB" w:rsidP="004600BB">
      <w:pPr>
        <w:jc w:val="both"/>
        <w:rPr>
          <w:lang w:val="en-GB"/>
        </w:rPr>
      </w:pPr>
    </w:p>
    <w:p w14:paraId="1430673D" w14:textId="08C869CF" w:rsidR="00C129C6" w:rsidRPr="00FB1754" w:rsidRDefault="00FB1754" w:rsidP="008C79D1">
      <w:pPr>
        <w:numPr>
          <w:ilvl w:val="0"/>
          <w:numId w:val="2"/>
        </w:numPr>
        <w:ind w:left="360" w:hanging="360"/>
        <w:contextualSpacing/>
        <w:jc w:val="both"/>
        <w:rPr>
          <w:lang w:val="fr-FR"/>
        </w:rPr>
      </w:pPr>
      <w:r w:rsidRPr="00FB1754">
        <w:rPr>
          <w:lang w:val="fr-FR"/>
        </w:rPr>
        <w:t xml:space="preserve">Quatre </w:t>
      </w:r>
      <w:r w:rsidR="00C86A8D" w:rsidRPr="00FB1754">
        <w:rPr>
          <w:lang w:val="fr-FR"/>
        </w:rPr>
        <w:t>Résolution</w:t>
      </w:r>
      <w:r w:rsidR="00C129C6" w:rsidRPr="00FB1754">
        <w:rPr>
          <w:lang w:val="fr-FR"/>
        </w:rPr>
        <w:t xml:space="preserve">s </w:t>
      </w:r>
      <w:r w:rsidRPr="00FB1754">
        <w:rPr>
          <w:lang w:val="fr-FR"/>
        </w:rPr>
        <w:t>donnent des conseils aux Parties sur l’application des Accords</w:t>
      </w:r>
      <w:r>
        <w:rPr>
          <w:lang w:val="fr-FR"/>
        </w:rPr>
        <w:t xml:space="preserve"> </w:t>
      </w:r>
      <w:r w:rsidR="00E546AA">
        <w:rPr>
          <w:lang w:val="fr-FR"/>
        </w:rPr>
        <w:t>conformément aux</w:t>
      </w:r>
      <w:r>
        <w:rPr>
          <w:lang w:val="fr-FR"/>
        </w:rPr>
        <w:t xml:space="preserve"> Articles IV et V de la Convention</w:t>
      </w:r>
      <w:r w:rsidR="00C129C6" w:rsidRPr="00FB1754">
        <w:rPr>
          <w:lang w:val="fr-FR"/>
        </w:rPr>
        <w:t xml:space="preserve">: </w:t>
      </w:r>
    </w:p>
    <w:p w14:paraId="1FF54E7A" w14:textId="77777777" w:rsidR="00C129C6" w:rsidRPr="00FB1754" w:rsidRDefault="00C129C6" w:rsidP="00C129C6">
      <w:pPr>
        <w:widowControl/>
        <w:autoSpaceDE/>
        <w:autoSpaceDN/>
        <w:adjustRightInd/>
        <w:ind w:left="1080"/>
        <w:jc w:val="both"/>
        <w:rPr>
          <w:rFonts w:eastAsia="MS Mincho"/>
          <w:lang w:val="fr-FR"/>
        </w:rPr>
      </w:pPr>
    </w:p>
    <w:p w14:paraId="41BA0281" w14:textId="6E73001E" w:rsidR="00C901B2" w:rsidRPr="00FB1754" w:rsidRDefault="00E546AA" w:rsidP="008C79D1">
      <w:pPr>
        <w:pStyle w:val="ListParagraph"/>
        <w:widowControl/>
        <w:numPr>
          <w:ilvl w:val="0"/>
          <w:numId w:val="6"/>
        </w:numPr>
        <w:autoSpaceDE/>
        <w:autoSpaceDN/>
        <w:adjustRightInd/>
        <w:ind w:hanging="720"/>
        <w:jc w:val="both"/>
        <w:rPr>
          <w:rStyle w:val="file"/>
          <w:rFonts w:eastAsia="MS Mincho"/>
          <w:lang w:val="fr-FR"/>
        </w:rPr>
      </w:pPr>
      <w:hyperlink r:id="rId8" w:tooltip="Res2.6_F_0_0.pdf" w:history="1">
        <w:r w:rsidR="00C901B2" w:rsidRPr="00FB1754">
          <w:rPr>
            <w:rStyle w:val="Hyperlink"/>
            <w:rFonts w:cs="Arial"/>
            <w:lang w:val="fr-FR"/>
          </w:rPr>
          <w:t xml:space="preserve">Résolution 2.6: </w:t>
        </w:r>
        <w:r w:rsidR="00C901B2" w:rsidRPr="00E546AA">
          <w:rPr>
            <w:rStyle w:val="Hyperlink"/>
            <w:rFonts w:cs="Arial"/>
            <w:i/>
            <w:lang w:val="fr-FR"/>
          </w:rPr>
          <w:t>Application des A</w:t>
        </w:r>
        <w:r w:rsidR="00C901B2" w:rsidRPr="00E546AA">
          <w:rPr>
            <w:rStyle w:val="Hyperlink"/>
            <w:rFonts w:cs="Arial"/>
            <w:i/>
            <w:lang w:val="fr-FR"/>
          </w:rPr>
          <w:t>r</w:t>
        </w:r>
        <w:r w:rsidR="00C901B2" w:rsidRPr="00E546AA">
          <w:rPr>
            <w:rStyle w:val="Hyperlink"/>
            <w:rFonts w:cs="Arial"/>
            <w:i/>
            <w:lang w:val="fr-FR"/>
          </w:rPr>
          <w:t>ticles IV et V de la Convention</w:t>
        </w:r>
      </w:hyperlink>
      <w:r w:rsidR="008B1CA9" w:rsidRPr="00FB1754">
        <w:rPr>
          <w:rStyle w:val="file"/>
          <w:lang w:val="fr-FR"/>
        </w:rPr>
        <w:t>;</w:t>
      </w:r>
    </w:p>
    <w:p w14:paraId="32B90B62" w14:textId="77777777" w:rsidR="008B1CA9" w:rsidRPr="00FB1754" w:rsidRDefault="008B1CA9" w:rsidP="008B1CA9">
      <w:pPr>
        <w:pStyle w:val="ListParagraph"/>
        <w:widowControl/>
        <w:autoSpaceDE/>
        <w:autoSpaceDN/>
        <w:adjustRightInd/>
        <w:ind w:left="1440"/>
        <w:jc w:val="both"/>
        <w:rPr>
          <w:rStyle w:val="file"/>
          <w:rFonts w:eastAsia="MS Mincho"/>
          <w:lang w:val="fr-FR"/>
        </w:rPr>
      </w:pPr>
    </w:p>
    <w:p w14:paraId="1DF1682B" w14:textId="3EC2B6CE" w:rsidR="00C901B2" w:rsidRPr="008B1CA9" w:rsidRDefault="00E546AA" w:rsidP="008C79D1">
      <w:pPr>
        <w:pStyle w:val="ListParagraph"/>
        <w:widowControl/>
        <w:numPr>
          <w:ilvl w:val="0"/>
          <w:numId w:val="6"/>
        </w:numPr>
        <w:autoSpaceDE/>
        <w:autoSpaceDN/>
        <w:adjustRightInd/>
        <w:ind w:hanging="720"/>
        <w:jc w:val="both"/>
        <w:rPr>
          <w:rStyle w:val="file"/>
          <w:rFonts w:eastAsia="MS Mincho"/>
        </w:rPr>
      </w:pPr>
      <w:hyperlink r:id="rId9" w:tooltip="Res2.7_F_0_0.pdf" w:history="1">
        <w:r w:rsidR="00C901B2" w:rsidRPr="008B1CA9">
          <w:rPr>
            <w:rStyle w:val="Hyperlink"/>
            <w:rFonts w:cs="Arial"/>
          </w:rPr>
          <w:t xml:space="preserve">Résolution 2.7: </w:t>
        </w:r>
        <w:r w:rsidR="00C901B2" w:rsidRPr="00E546AA">
          <w:rPr>
            <w:rStyle w:val="Hyperlink"/>
            <w:rFonts w:cs="Arial"/>
            <w:i/>
          </w:rPr>
          <w:t>Administration des accords</w:t>
        </w:r>
      </w:hyperlink>
      <w:r w:rsidR="008B1CA9">
        <w:rPr>
          <w:rStyle w:val="file"/>
        </w:rPr>
        <w:t>;</w:t>
      </w:r>
    </w:p>
    <w:p w14:paraId="4EEBDDDE" w14:textId="77777777" w:rsidR="008B1CA9" w:rsidRPr="008B1CA9" w:rsidRDefault="008B1CA9" w:rsidP="008B1CA9">
      <w:pPr>
        <w:widowControl/>
        <w:autoSpaceDE/>
        <w:autoSpaceDN/>
        <w:adjustRightInd/>
        <w:jc w:val="both"/>
        <w:rPr>
          <w:rFonts w:eastAsia="MS Mincho"/>
        </w:rPr>
      </w:pPr>
    </w:p>
    <w:p w14:paraId="139B82FC" w14:textId="7567ACEF" w:rsidR="00C901B2" w:rsidRPr="00FB1754" w:rsidRDefault="00E546AA" w:rsidP="008C79D1">
      <w:pPr>
        <w:pStyle w:val="ListParagraph"/>
        <w:widowControl/>
        <w:numPr>
          <w:ilvl w:val="0"/>
          <w:numId w:val="6"/>
        </w:numPr>
        <w:autoSpaceDE/>
        <w:autoSpaceDN/>
        <w:adjustRightInd/>
        <w:ind w:hanging="720"/>
        <w:jc w:val="both"/>
        <w:rPr>
          <w:rStyle w:val="file"/>
          <w:rFonts w:eastAsia="MS Mincho"/>
          <w:lang w:val="fr-FR"/>
        </w:rPr>
      </w:pPr>
      <w:hyperlink r:id="rId10" w:tooltip="Res3.5_F_0_0.pdf" w:history="1">
        <w:r w:rsidR="00C901B2" w:rsidRPr="00E546AA">
          <w:rPr>
            <w:rStyle w:val="Hyperlink"/>
            <w:rFonts w:cs="Arial"/>
            <w:lang w:val="fr-FR"/>
          </w:rPr>
          <w:t>Résolution 3.5: Ap</w:t>
        </w:r>
        <w:r w:rsidR="00C901B2" w:rsidRPr="00E546AA">
          <w:rPr>
            <w:rStyle w:val="Hyperlink"/>
            <w:rFonts w:cs="Arial"/>
            <w:lang w:val="fr-FR"/>
          </w:rPr>
          <w:t>p</w:t>
        </w:r>
        <w:r w:rsidR="00C901B2" w:rsidRPr="00E546AA">
          <w:rPr>
            <w:rStyle w:val="Hyperlink"/>
            <w:rFonts w:cs="Arial"/>
            <w:lang w:val="fr-FR"/>
          </w:rPr>
          <w:t>lication du paragraphe 4 de l'article IV de la Convention relatif aux A</w:t>
        </w:r>
        <w:r>
          <w:rPr>
            <w:rStyle w:val="Hyperlink"/>
            <w:rFonts w:cs="Arial"/>
            <w:lang w:val="fr-FR"/>
          </w:rPr>
          <w:t>ccords</w:t>
        </w:r>
        <w:r w:rsidR="008B1CA9" w:rsidRPr="00E546AA">
          <w:rPr>
            <w:rStyle w:val="Hyperlink"/>
            <w:rFonts w:cs="Arial"/>
            <w:lang w:val="fr-FR"/>
          </w:rPr>
          <w:t>;</w:t>
        </w:r>
      </w:hyperlink>
      <w:r w:rsidR="008B1CA9" w:rsidRPr="00FB1754">
        <w:rPr>
          <w:rStyle w:val="file"/>
          <w:lang w:val="fr-FR"/>
        </w:rPr>
        <w:t xml:space="preserve"> et</w:t>
      </w:r>
    </w:p>
    <w:p w14:paraId="310D2805" w14:textId="77777777" w:rsidR="008B1CA9" w:rsidRPr="00FB1754" w:rsidRDefault="008B1CA9" w:rsidP="008B1CA9">
      <w:pPr>
        <w:widowControl/>
        <w:autoSpaceDE/>
        <w:autoSpaceDN/>
        <w:adjustRightInd/>
        <w:jc w:val="both"/>
        <w:rPr>
          <w:rFonts w:eastAsia="MS Mincho"/>
          <w:lang w:val="fr-FR"/>
        </w:rPr>
      </w:pPr>
    </w:p>
    <w:p w14:paraId="781A9694" w14:textId="3B952288" w:rsidR="00C901B2" w:rsidRPr="00FB1754" w:rsidRDefault="00E546AA" w:rsidP="008C79D1">
      <w:pPr>
        <w:pStyle w:val="ListParagraph"/>
        <w:widowControl/>
        <w:numPr>
          <w:ilvl w:val="0"/>
          <w:numId w:val="6"/>
        </w:numPr>
        <w:autoSpaceDE/>
        <w:autoSpaceDN/>
        <w:adjustRightInd/>
        <w:ind w:hanging="720"/>
        <w:jc w:val="both"/>
        <w:rPr>
          <w:rFonts w:eastAsia="MS Mincho"/>
          <w:lang w:val="fr-FR"/>
        </w:rPr>
      </w:pPr>
      <w:hyperlink r:id="rId11" w:tooltip="Res_11_12_Evaluation_propositions_nouveaux_accords_F.pdf" w:history="1">
        <w:r w:rsidR="00C901B2" w:rsidRPr="00FB1754">
          <w:rPr>
            <w:rStyle w:val="Hyperlink"/>
            <w:rFonts w:cs="Arial"/>
            <w:lang w:val="fr-FR"/>
          </w:rPr>
          <w:t>Rés</w:t>
        </w:r>
        <w:r w:rsidR="008B1CA9" w:rsidRPr="00FB1754">
          <w:rPr>
            <w:rStyle w:val="Hyperlink"/>
            <w:rFonts w:cs="Arial"/>
            <w:lang w:val="fr-FR"/>
          </w:rPr>
          <w:t xml:space="preserve">olution </w:t>
        </w:r>
        <w:r w:rsidR="00C901B2" w:rsidRPr="00FB1754">
          <w:rPr>
            <w:rStyle w:val="Hyperlink"/>
            <w:rFonts w:cs="Arial"/>
            <w:lang w:val="fr-FR"/>
          </w:rPr>
          <w:t xml:space="preserve">11.12: </w:t>
        </w:r>
        <w:r w:rsidR="00C901B2" w:rsidRPr="00E546AA">
          <w:rPr>
            <w:rStyle w:val="Hyperlink"/>
            <w:rFonts w:cs="Arial"/>
            <w:i/>
            <w:lang w:val="fr-FR"/>
          </w:rPr>
          <w:t>Critères d'évaluation des propositions de nouveaux accords</w:t>
        </w:r>
      </w:hyperlink>
    </w:p>
    <w:p w14:paraId="5D8A76BD" w14:textId="77777777" w:rsidR="004600BB" w:rsidRPr="00FB1754" w:rsidRDefault="004600BB" w:rsidP="004600BB">
      <w:pPr>
        <w:spacing w:after="240"/>
        <w:contextualSpacing/>
        <w:jc w:val="both"/>
        <w:rPr>
          <w:lang w:val="fr-FR"/>
        </w:rPr>
      </w:pPr>
    </w:p>
    <w:p w14:paraId="23FA0D0C" w14:textId="251E75AC" w:rsidR="004600BB" w:rsidRDefault="00E546AA" w:rsidP="008C79D1">
      <w:pPr>
        <w:numPr>
          <w:ilvl w:val="0"/>
          <w:numId w:val="2"/>
        </w:numPr>
        <w:ind w:left="360" w:hanging="360"/>
        <w:contextualSpacing/>
        <w:jc w:val="both"/>
        <w:rPr>
          <w:lang w:val="fr-FR"/>
        </w:rPr>
      </w:pPr>
      <w:r>
        <w:rPr>
          <w:lang w:val="fr-FR"/>
        </w:rPr>
        <w:t>L'A</w:t>
      </w:r>
      <w:r w:rsidRPr="00F75264">
        <w:rPr>
          <w:lang w:val="fr-FR"/>
        </w:rPr>
        <w:t xml:space="preserve">nnexe 1 présente un projet de Résolution </w:t>
      </w:r>
      <w:r>
        <w:rPr>
          <w:lang w:val="fr-FR"/>
        </w:rPr>
        <w:t>regroupée</w:t>
      </w:r>
      <w:r w:rsidRPr="00F75264">
        <w:rPr>
          <w:lang w:val="fr-FR"/>
        </w:rPr>
        <w:t xml:space="preserve"> qui comprend, dans la colonne de gauche, le texte original et le préambule des Résolutions regroupé</w:t>
      </w:r>
      <w:r>
        <w:rPr>
          <w:lang w:val="fr-FR"/>
        </w:rPr>
        <w:t>e</w:t>
      </w:r>
      <w:r w:rsidRPr="00F75264">
        <w:rPr>
          <w:lang w:val="fr-FR"/>
        </w:rPr>
        <w:t>s. La colonne de droite indique la source du texte et un commentaire concernant tout changement proposé</w:t>
      </w:r>
      <w:r>
        <w:rPr>
          <w:lang w:val="fr-FR"/>
        </w:rPr>
        <w:t>.</w:t>
      </w:r>
    </w:p>
    <w:p w14:paraId="1C950527" w14:textId="77777777" w:rsidR="00E546AA" w:rsidRDefault="00E546AA" w:rsidP="00E546AA">
      <w:pPr>
        <w:ind w:left="360"/>
        <w:contextualSpacing/>
        <w:jc w:val="both"/>
        <w:rPr>
          <w:lang w:val="fr-FR"/>
        </w:rPr>
      </w:pPr>
    </w:p>
    <w:p w14:paraId="67DAB14C" w14:textId="77777777" w:rsidR="00E546AA" w:rsidRDefault="00E546AA" w:rsidP="00E546AA">
      <w:pPr>
        <w:numPr>
          <w:ilvl w:val="0"/>
          <w:numId w:val="2"/>
        </w:numPr>
        <w:ind w:left="360" w:hanging="360"/>
        <w:contextualSpacing/>
        <w:jc w:val="both"/>
        <w:rPr>
          <w:lang w:val="fr-FR"/>
        </w:rPr>
      </w:pPr>
      <w:r>
        <w:rPr>
          <w:lang w:val="fr-FR"/>
        </w:rPr>
        <w:t>L'Annexe 2 contient la version propre du projet de Résolution regroupée, en tenant compte des commentaires figurant à l'Annexe 1</w:t>
      </w:r>
      <w:r w:rsidRPr="002655AA">
        <w:rPr>
          <w:lang w:val="fr-FR"/>
        </w:rPr>
        <w:t>.</w:t>
      </w:r>
    </w:p>
    <w:p w14:paraId="7E356C8A" w14:textId="77777777" w:rsidR="00E546AA" w:rsidRPr="00E546AA" w:rsidRDefault="00E546AA" w:rsidP="00E546AA">
      <w:pPr>
        <w:ind w:left="360"/>
        <w:contextualSpacing/>
        <w:jc w:val="both"/>
        <w:rPr>
          <w:lang w:val="fr-FR"/>
        </w:rPr>
      </w:pPr>
    </w:p>
    <w:p w14:paraId="4AD35DC6" w14:textId="77777777" w:rsidR="004600BB" w:rsidRPr="00E546AA" w:rsidRDefault="004600BB" w:rsidP="004600BB">
      <w:pPr>
        <w:ind w:left="360"/>
        <w:contextualSpacing/>
        <w:jc w:val="both"/>
        <w:rPr>
          <w:lang w:val="fr-FR"/>
        </w:rPr>
      </w:pPr>
    </w:p>
    <w:p w14:paraId="0B0CFBBF" w14:textId="1182BDCA" w:rsidR="004600BB" w:rsidRPr="00835891" w:rsidRDefault="00E546AA" w:rsidP="004600BB">
      <w:pPr>
        <w:rPr>
          <w:u w:val="single"/>
        </w:rPr>
      </w:pPr>
      <w:r>
        <w:rPr>
          <w:u w:val="single"/>
        </w:rPr>
        <w:t>Actions recommandées</w:t>
      </w:r>
      <w:r w:rsidR="004600BB" w:rsidRPr="00835891">
        <w:rPr>
          <w:u w:val="single"/>
        </w:rPr>
        <w:t>:</w:t>
      </w:r>
    </w:p>
    <w:p w14:paraId="0C229067" w14:textId="77777777" w:rsidR="004600BB" w:rsidRPr="00835891" w:rsidRDefault="004600BB" w:rsidP="004600BB"/>
    <w:p w14:paraId="250A73DF" w14:textId="79728094" w:rsidR="004600BB" w:rsidRPr="00E546AA" w:rsidRDefault="00E546AA" w:rsidP="00E546AA">
      <w:pPr>
        <w:numPr>
          <w:ilvl w:val="0"/>
          <w:numId w:val="2"/>
        </w:numPr>
        <w:ind w:left="360" w:hanging="360"/>
        <w:contextualSpacing/>
        <w:jc w:val="both"/>
        <w:rPr>
          <w:lang w:val="fr-FR"/>
        </w:rPr>
      </w:pPr>
      <w:r w:rsidRPr="00FA29B8">
        <w:rPr>
          <w:lang w:val="fr-FR"/>
        </w:rPr>
        <w:t xml:space="preserve">La Conférence des Parties est </w:t>
      </w:r>
      <w:r>
        <w:rPr>
          <w:lang w:val="fr-FR"/>
        </w:rPr>
        <w:t>invité</w:t>
      </w:r>
      <w:r w:rsidRPr="00FA29B8">
        <w:rPr>
          <w:lang w:val="fr-FR"/>
        </w:rPr>
        <w:t>e à:</w:t>
      </w:r>
    </w:p>
    <w:p w14:paraId="1D0BEB2F" w14:textId="77777777" w:rsidR="004600BB" w:rsidRPr="00E546AA" w:rsidRDefault="004600BB" w:rsidP="004600BB">
      <w:pPr>
        <w:ind w:left="1080"/>
        <w:contextualSpacing/>
        <w:jc w:val="both"/>
        <w:rPr>
          <w:lang w:val="fr-FR"/>
        </w:rPr>
      </w:pPr>
    </w:p>
    <w:p w14:paraId="7DAD6E56" w14:textId="515A2F48" w:rsidR="004600BB" w:rsidRPr="00E546AA" w:rsidRDefault="00E546AA" w:rsidP="008C79D1">
      <w:pPr>
        <w:pStyle w:val="ListParagraph"/>
        <w:widowControl/>
        <w:numPr>
          <w:ilvl w:val="0"/>
          <w:numId w:val="3"/>
        </w:numPr>
        <w:autoSpaceDE/>
        <w:autoSpaceDN/>
        <w:adjustRightInd/>
        <w:ind w:left="1440" w:hanging="720"/>
        <w:rPr>
          <w:lang w:val="fr-FR"/>
        </w:rPr>
      </w:pPr>
      <w:r w:rsidRPr="00FA29B8">
        <w:rPr>
          <w:lang w:val="fr-FR"/>
        </w:rPr>
        <w:t xml:space="preserve">adopter la Résolution </w:t>
      </w:r>
      <w:r>
        <w:rPr>
          <w:lang w:val="fr-FR"/>
        </w:rPr>
        <w:t>regroupée</w:t>
      </w:r>
      <w:r w:rsidRPr="00FA29B8">
        <w:rPr>
          <w:lang w:val="fr-FR"/>
        </w:rPr>
        <w:t xml:space="preserve"> figurant à l’Annexe 2</w:t>
      </w:r>
      <w:r w:rsidR="004600BB" w:rsidRPr="00E546AA">
        <w:rPr>
          <w:lang w:val="fr-FR"/>
        </w:rPr>
        <w:t>.</w:t>
      </w:r>
    </w:p>
    <w:p w14:paraId="18A3F08B" w14:textId="77777777" w:rsidR="00D605A4" w:rsidRPr="00E546AA" w:rsidRDefault="00D605A4" w:rsidP="00D605A4">
      <w:pPr>
        <w:tabs>
          <w:tab w:val="left" w:pos="1020"/>
        </w:tabs>
        <w:rPr>
          <w:lang w:val="fr-FR"/>
        </w:rPr>
        <w:sectPr w:rsidR="00D605A4" w:rsidRPr="00E546AA" w:rsidSect="0052082F">
          <w:headerReference w:type="even" r:id="rId12"/>
          <w:headerReference w:type="default" r:id="rId13"/>
          <w:footerReference w:type="even" r:id="rId14"/>
          <w:footerReference w:type="default" r:id="rId15"/>
          <w:headerReference w:type="first" r:id="rId16"/>
          <w:endnotePr>
            <w:numFmt w:val="decimal"/>
          </w:endnotePr>
          <w:pgSz w:w="11905" w:h="16837" w:code="9"/>
          <w:pgMar w:top="1008" w:right="1411" w:bottom="1152" w:left="1411" w:header="432" w:footer="432" w:gutter="0"/>
          <w:cols w:space="720"/>
          <w:noEndnote/>
          <w:titlePg/>
          <w:docGrid w:linePitch="272"/>
        </w:sectPr>
      </w:pPr>
    </w:p>
    <w:p w14:paraId="72701F09" w14:textId="7E8AA342" w:rsidR="008A3AC6" w:rsidRPr="00FB1754" w:rsidRDefault="008A3AC6" w:rsidP="00E546AA">
      <w:pPr>
        <w:pBdr>
          <w:top w:val="single" w:sz="6" w:space="0" w:color="FFFFFF"/>
          <w:left w:val="single" w:sz="6" w:space="0" w:color="FFFFFF"/>
          <w:bottom w:val="single" w:sz="6" w:space="0" w:color="FFFFFF"/>
          <w:right w:val="single" w:sz="6" w:space="0" w:color="FFFFFF"/>
        </w:pBdr>
        <w:ind w:right="-415"/>
        <w:jc w:val="right"/>
        <w:outlineLvl w:val="1"/>
        <w:rPr>
          <w:b/>
          <w:caps/>
          <w:lang w:val="fr-FR"/>
        </w:rPr>
      </w:pPr>
      <w:r w:rsidRPr="00FB1754">
        <w:rPr>
          <w:b/>
          <w:caps/>
          <w:lang w:val="fr-FR"/>
        </w:rPr>
        <w:lastRenderedPageBreak/>
        <w:t>AnnexE 1</w:t>
      </w:r>
    </w:p>
    <w:p w14:paraId="5263A311" w14:textId="77777777" w:rsidR="008A3AC6" w:rsidRPr="00FB1754" w:rsidRDefault="008A3AC6" w:rsidP="008A3AC6">
      <w:pPr>
        <w:pBdr>
          <w:top w:val="single" w:sz="6" w:space="0" w:color="FFFFFF"/>
          <w:left w:val="single" w:sz="6" w:space="0" w:color="FFFFFF"/>
          <w:bottom w:val="single" w:sz="6" w:space="0" w:color="FFFFFF"/>
          <w:right w:val="single" w:sz="6" w:space="0" w:color="FFFFFF"/>
        </w:pBdr>
        <w:ind w:left="-90" w:right="-367"/>
        <w:jc w:val="center"/>
        <w:outlineLvl w:val="1"/>
        <w:rPr>
          <w:bCs/>
          <w:caps/>
          <w:lang w:val="fr-FR"/>
        </w:rPr>
      </w:pPr>
    </w:p>
    <w:p w14:paraId="1F5BBA58" w14:textId="23AE3D47" w:rsidR="00566AF2" w:rsidRPr="00E546AA" w:rsidRDefault="00275105" w:rsidP="00E546AA">
      <w:pPr>
        <w:jc w:val="center"/>
        <w:rPr>
          <w:b/>
          <w:lang w:val="fr-FR"/>
        </w:rPr>
      </w:pPr>
      <w:r w:rsidRPr="00FB1754">
        <w:rPr>
          <w:b/>
          <w:lang w:val="fr-FR"/>
        </w:rPr>
        <w:t>PROJET DE RÉSOLUTION</w:t>
      </w:r>
      <w:r w:rsidR="00E546AA">
        <w:rPr>
          <w:b/>
          <w:lang w:val="fr-FR"/>
        </w:rPr>
        <w:t xml:space="preserve"> REGROUPÉE :</w:t>
      </w:r>
    </w:p>
    <w:p w14:paraId="7514F08F" w14:textId="494261F7" w:rsidR="008A3AC6" w:rsidRPr="00835891" w:rsidRDefault="003F133F" w:rsidP="008A3AC6">
      <w:pPr>
        <w:jc w:val="center"/>
        <w:rPr>
          <w:b/>
          <w:lang w:val="fr-FR"/>
        </w:rPr>
      </w:pPr>
      <w:r w:rsidRPr="00835891">
        <w:rPr>
          <w:b/>
          <w:lang w:val="fr-FR"/>
        </w:rPr>
        <w:t>APPLICATION DES ARTICLES IV ET V DE LA CONVENTION</w:t>
      </w:r>
    </w:p>
    <w:p w14:paraId="12B52AC2" w14:textId="77777777" w:rsidR="003F133F" w:rsidRPr="00FB1754" w:rsidRDefault="003F133F" w:rsidP="008A3AC6">
      <w:pPr>
        <w:jc w:val="center"/>
        <w:rPr>
          <w:lang w:val="fr-FR"/>
        </w:rPr>
      </w:pPr>
    </w:p>
    <w:p w14:paraId="61C4AFDF" w14:textId="38A4A8D2" w:rsidR="00E8776E" w:rsidRPr="00FB1754" w:rsidRDefault="008A3AC6" w:rsidP="00FB70A2">
      <w:pPr>
        <w:jc w:val="both"/>
        <w:rPr>
          <w:lang w:val="fr-FR"/>
        </w:rPr>
      </w:pPr>
      <w:r w:rsidRPr="00FB1754">
        <w:rPr>
          <w:i/>
          <w:lang w:val="fr-FR"/>
        </w:rPr>
        <w:t>NB:</w:t>
      </w:r>
      <w:r w:rsidRPr="00FB1754">
        <w:rPr>
          <w:i/>
          <w:lang w:val="fr-FR"/>
        </w:rPr>
        <w:tab/>
      </w:r>
      <w:r w:rsidRPr="00835891">
        <w:rPr>
          <w:i/>
          <w:iCs/>
          <w:color w:val="000000" w:themeColor="text1"/>
          <w:lang w:val="fr-FR"/>
        </w:rPr>
        <w:t xml:space="preserve">Le nouveau texte est </w:t>
      </w:r>
      <w:r w:rsidRPr="00835891">
        <w:rPr>
          <w:i/>
          <w:iCs/>
          <w:color w:val="000000" w:themeColor="text1"/>
          <w:u w:val="single"/>
          <w:lang w:val="fr-FR"/>
        </w:rPr>
        <w:t>souligné</w:t>
      </w:r>
      <w:r w:rsidRPr="00835891">
        <w:rPr>
          <w:i/>
          <w:iCs/>
          <w:color w:val="000000" w:themeColor="text1"/>
          <w:lang w:val="fr-FR"/>
        </w:rPr>
        <w:t xml:space="preserve">. Le texte à effacer est </w:t>
      </w:r>
      <w:r w:rsidRPr="00835891">
        <w:rPr>
          <w:i/>
          <w:iCs/>
          <w:strike/>
          <w:color w:val="000000" w:themeColor="text1"/>
          <w:lang w:val="fr-FR"/>
        </w:rPr>
        <w:t>barré</w:t>
      </w:r>
      <w:r w:rsidRPr="00835891">
        <w:rPr>
          <w:i/>
          <w:iCs/>
          <w:color w:val="000000" w:themeColor="text1"/>
          <w:lang w:val="fr-FR"/>
        </w:rPr>
        <w:t>.</w:t>
      </w:r>
    </w:p>
    <w:p w14:paraId="272CC510" w14:textId="77777777" w:rsidR="00593041" w:rsidRPr="00FB1754" w:rsidRDefault="00593041" w:rsidP="00593041">
      <w:pPr>
        <w:rPr>
          <w:lang w:val="fr-F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2576"/>
      </w:tblGrid>
      <w:tr w:rsidR="00994EDF" w:rsidRPr="00835891" w14:paraId="4DDF28D4" w14:textId="77777777" w:rsidTr="00E546AA">
        <w:trPr>
          <w:tblHeader/>
        </w:trPr>
        <w:tc>
          <w:tcPr>
            <w:tcW w:w="6917" w:type="dxa"/>
            <w:shd w:val="clear" w:color="auto" w:fill="D9D9D9" w:themeFill="background1" w:themeFillShade="D9"/>
          </w:tcPr>
          <w:p w14:paraId="7B90CCC0" w14:textId="2CB6ED8F" w:rsidR="00496B06" w:rsidRPr="00835891" w:rsidRDefault="00E546AA" w:rsidP="00226389">
            <w:pPr>
              <w:rPr>
                <w:b/>
              </w:rPr>
            </w:pPr>
            <w:r>
              <w:rPr>
                <w:b/>
              </w:rPr>
              <w:t>Texte de Résolutions existantes</w:t>
            </w:r>
          </w:p>
        </w:tc>
        <w:tc>
          <w:tcPr>
            <w:tcW w:w="2576" w:type="dxa"/>
            <w:shd w:val="clear" w:color="auto" w:fill="D9D9D9" w:themeFill="background1" w:themeFillShade="D9"/>
          </w:tcPr>
          <w:p w14:paraId="7D0BEF10" w14:textId="3D3027B1" w:rsidR="00496B06" w:rsidRPr="00835891" w:rsidRDefault="00496B06" w:rsidP="00226389">
            <w:pPr>
              <w:rPr>
                <w:b/>
              </w:rPr>
            </w:pPr>
            <w:r w:rsidRPr="00835891">
              <w:rPr>
                <w:b/>
                <w:lang w:val="fr-FR"/>
              </w:rPr>
              <w:t>Commentaires</w:t>
            </w:r>
          </w:p>
        </w:tc>
      </w:tr>
      <w:tr w:rsidR="00213B10" w:rsidRPr="00FB1754" w14:paraId="144336C6" w14:textId="77777777" w:rsidTr="00E546AA">
        <w:tc>
          <w:tcPr>
            <w:tcW w:w="6917" w:type="dxa"/>
            <w:shd w:val="clear" w:color="auto" w:fill="auto"/>
          </w:tcPr>
          <w:p w14:paraId="052E3C23" w14:textId="56A78102" w:rsidR="00213B10" w:rsidRPr="00E546AA" w:rsidRDefault="00213B10" w:rsidP="00FC71A6">
            <w:pPr>
              <w:widowControl/>
              <w:autoSpaceDE/>
              <w:autoSpaceDN/>
              <w:adjustRightInd/>
              <w:jc w:val="both"/>
              <w:rPr>
                <w:szCs w:val="17"/>
                <w:lang w:val="fr-FR"/>
              </w:rPr>
            </w:pPr>
            <w:r w:rsidRPr="00E546AA">
              <w:rPr>
                <w:i/>
                <w:szCs w:val="17"/>
                <w:u w:val="single"/>
                <w:lang w:val="fr-FR"/>
              </w:rPr>
              <w:t>R</w:t>
            </w:r>
            <w:r w:rsidR="00E546AA" w:rsidRPr="00E546AA">
              <w:rPr>
                <w:i/>
                <w:szCs w:val="17"/>
                <w:u w:val="single"/>
                <w:lang w:val="fr-FR"/>
              </w:rPr>
              <w:t>appelant les</w:t>
            </w:r>
            <w:r w:rsidRPr="00E546AA">
              <w:rPr>
                <w:i/>
                <w:szCs w:val="17"/>
                <w:u w:val="single"/>
                <w:lang w:val="fr-FR"/>
              </w:rPr>
              <w:t xml:space="preserve"> </w:t>
            </w:r>
            <w:r w:rsidRPr="00E546AA">
              <w:rPr>
                <w:szCs w:val="17"/>
                <w:u w:val="single"/>
                <w:lang w:val="fr-FR"/>
              </w:rPr>
              <w:t>Résolution</w:t>
            </w:r>
            <w:r w:rsidR="00E546AA" w:rsidRPr="00E546AA">
              <w:rPr>
                <w:szCs w:val="17"/>
                <w:u w:val="single"/>
                <w:lang w:val="fr-FR"/>
              </w:rPr>
              <w:t>s 2.6, 2.7, 3.5, et</w:t>
            </w:r>
            <w:r w:rsidRPr="00E546AA">
              <w:rPr>
                <w:szCs w:val="17"/>
                <w:u w:val="single"/>
                <w:lang w:val="fr-FR"/>
              </w:rPr>
              <w:t xml:space="preserve"> 11.12 rela</w:t>
            </w:r>
            <w:r w:rsidR="00E546AA" w:rsidRPr="00E546AA">
              <w:rPr>
                <w:szCs w:val="17"/>
                <w:u w:val="single"/>
                <w:lang w:val="fr-FR"/>
              </w:rPr>
              <w:t>tives à l’appli</w:t>
            </w:r>
            <w:r w:rsidR="00E546AA">
              <w:rPr>
                <w:szCs w:val="17"/>
                <w:u w:val="single"/>
                <w:lang w:val="fr-FR"/>
              </w:rPr>
              <w:t>cation des Acc</w:t>
            </w:r>
            <w:r w:rsidR="00E546AA" w:rsidRPr="00E546AA">
              <w:rPr>
                <w:szCs w:val="17"/>
                <w:u w:val="single"/>
                <w:lang w:val="fr-FR"/>
              </w:rPr>
              <w:t>o</w:t>
            </w:r>
            <w:r w:rsidR="00E546AA">
              <w:rPr>
                <w:szCs w:val="17"/>
                <w:u w:val="single"/>
                <w:lang w:val="fr-FR"/>
              </w:rPr>
              <w:t>r</w:t>
            </w:r>
            <w:r w:rsidR="00E546AA" w:rsidRPr="00E546AA">
              <w:rPr>
                <w:szCs w:val="17"/>
                <w:u w:val="single"/>
                <w:lang w:val="fr-FR"/>
              </w:rPr>
              <w:t>ds conform</w:t>
            </w:r>
            <w:r w:rsidR="00E546AA">
              <w:rPr>
                <w:szCs w:val="17"/>
                <w:u w:val="single"/>
                <w:lang w:val="fr-FR"/>
              </w:rPr>
              <w:t>ément aux Articles IV et</w:t>
            </w:r>
            <w:r w:rsidRPr="00E546AA">
              <w:rPr>
                <w:szCs w:val="17"/>
                <w:u w:val="single"/>
                <w:lang w:val="fr-FR"/>
              </w:rPr>
              <w:t xml:space="preserve"> V</w:t>
            </w:r>
            <w:r w:rsidRPr="00E546AA">
              <w:rPr>
                <w:szCs w:val="17"/>
                <w:lang w:val="fr-FR"/>
              </w:rPr>
              <w:t xml:space="preserve">; </w:t>
            </w:r>
          </w:p>
        </w:tc>
        <w:tc>
          <w:tcPr>
            <w:tcW w:w="2576" w:type="dxa"/>
            <w:shd w:val="clear" w:color="auto" w:fill="auto"/>
          </w:tcPr>
          <w:p w14:paraId="59C5CC80" w14:textId="450293E7" w:rsidR="00213B10" w:rsidRPr="00FB1754" w:rsidRDefault="00E546AA" w:rsidP="00226389">
            <w:pPr>
              <w:rPr>
                <w:lang w:val="fr-FR"/>
              </w:rPr>
            </w:pPr>
            <w:r>
              <w:rPr>
                <w:color w:val="000000" w:themeColor="text1"/>
                <w:lang w:val="fr-FR"/>
              </w:rPr>
              <w:t>Nouveau texte pour illustrer le regroupement</w:t>
            </w:r>
          </w:p>
        </w:tc>
      </w:tr>
      <w:tr w:rsidR="00994EDF" w:rsidRPr="00835891" w14:paraId="62EAFB41" w14:textId="77777777" w:rsidTr="00E546AA">
        <w:tc>
          <w:tcPr>
            <w:tcW w:w="6917" w:type="dxa"/>
            <w:shd w:val="clear" w:color="auto" w:fill="auto"/>
          </w:tcPr>
          <w:p w14:paraId="71990F76" w14:textId="21A814DF" w:rsidR="00760641" w:rsidRPr="00701C76" w:rsidRDefault="00B55132" w:rsidP="00FC71A6">
            <w:pPr>
              <w:jc w:val="both"/>
              <w:rPr>
                <w:strike/>
                <w:lang w:val="fr-FR"/>
              </w:rPr>
            </w:pPr>
            <w:r w:rsidRPr="00701C76">
              <w:rPr>
                <w:i/>
                <w:strike/>
                <w:lang w:val="fr-FR"/>
              </w:rPr>
              <w:t>Considérant</w:t>
            </w:r>
            <w:r w:rsidRPr="00701C76">
              <w:rPr>
                <w:strike/>
                <w:lang w:val="fr-FR"/>
              </w:rPr>
              <w:t xml:space="preserve"> les résolutions 2.6 et 2.7 que la Conférence des Parties a adoptées à sa deuxième session,</w:t>
            </w:r>
          </w:p>
        </w:tc>
        <w:tc>
          <w:tcPr>
            <w:tcW w:w="2576" w:type="dxa"/>
            <w:shd w:val="clear" w:color="auto" w:fill="auto"/>
          </w:tcPr>
          <w:p w14:paraId="111A3EEC" w14:textId="3E831706" w:rsidR="00760641" w:rsidRPr="00835891" w:rsidRDefault="00C86A8D" w:rsidP="00226389">
            <w:pPr>
              <w:jc w:val="both"/>
            </w:pPr>
            <w:r>
              <w:t>Résolution</w:t>
            </w:r>
            <w:r w:rsidR="00760641" w:rsidRPr="00835891">
              <w:t xml:space="preserve"> 3.5</w:t>
            </w:r>
          </w:p>
          <w:p w14:paraId="36ECAB84" w14:textId="77777777" w:rsidR="00760641" w:rsidRPr="00835891" w:rsidRDefault="00760641" w:rsidP="00226389">
            <w:pPr>
              <w:jc w:val="both"/>
            </w:pPr>
          </w:p>
          <w:p w14:paraId="17F3114A" w14:textId="09020508" w:rsidR="00760641" w:rsidRPr="00835891" w:rsidRDefault="00E546AA" w:rsidP="00226389">
            <w:r>
              <w:t>Abroger, redondant</w:t>
            </w:r>
          </w:p>
        </w:tc>
      </w:tr>
      <w:tr w:rsidR="00994EDF" w:rsidRPr="00835891" w14:paraId="32583B04" w14:textId="77777777" w:rsidTr="00E546AA">
        <w:tc>
          <w:tcPr>
            <w:tcW w:w="6917" w:type="dxa"/>
            <w:shd w:val="clear" w:color="auto" w:fill="auto"/>
          </w:tcPr>
          <w:p w14:paraId="6BB5CF5E" w14:textId="13493AD2" w:rsidR="00760641" w:rsidRPr="00FB1754" w:rsidRDefault="004A45B2" w:rsidP="00701C76">
            <w:pPr>
              <w:widowControl/>
              <w:autoSpaceDE/>
              <w:autoSpaceDN/>
              <w:adjustRightInd/>
              <w:jc w:val="both"/>
              <w:rPr>
                <w:szCs w:val="17"/>
                <w:lang w:val="fr-FR"/>
              </w:rPr>
            </w:pPr>
            <w:r w:rsidRPr="00FB1754">
              <w:rPr>
                <w:i/>
                <w:iCs/>
                <w:szCs w:val="17"/>
                <w:lang w:val="fr-FR"/>
              </w:rPr>
              <w:t xml:space="preserve">Rappelant </w:t>
            </w:r>
            <w:r w:rsidRPr="00FB1754">
              <w:rPr>
                <w:szCs w:val="17"/>
                <w:lang w:val="fr-FR"/>
              </w:rPr>
              <w:t>que l’Article IV de la Convention prévoit la conclusion d’accords pour les espèces migratrices et d’ACCORDS pour les espèces inscrites à l’Annexe II de la Convention, en particulier pour celles dont l’état de conservation est défavorable; </w:t>
            </w:r>
          </w:p>
        </w:tc>
        <w:tc>
          <w:tcPr>
            <w:tcW w:w="2576" w:type="dxa"/>
            <w:shd w:val="clear" w:color="auto" w:fill="auto"/>
          </w:tcPr>
          <w:p w14:paraId="3D0E3CA4" w14:textId="00549668" w:rsidR="00760641" w:rsidRPr="00835891" w:rsidRDefault="00C86A8D" w:rsidP="00226389">
            <w:pPr>
              <w:jc w:val="both"/>
            </w:pPr>
            <w:r>
              <w:t>Résolution</w:t>
            </w:r>
            <w:r w:rsidR="00760641" w:rsidRPr="00835891">
              <w:t xml:space="preserve"> 11.12</w:t>
            </w:r>
          </w:p>
          <w:p w14:paraId="6639469A" w14:textId="77777777" w:rsidR="00760641" w:rsidRPr="00835891" w:rsidRDefault="00760641" w:rsidP="00226389">
            <w:pPr>
              <w:jc w:val="both"/>
            </w:pPr>
          </w:p>
          <w:p w14:paraId="38E1326C" w14:textId="1AC63B7A" w:rsidR="00760641" w:rsidRPr="00835891" w:rsidRDefault="00C86A8D" w:rsidP="00226389">
            <w:r>
              <w:t>Conserver</w:t>
            </w:r>
          </w:p>
        </w:tc>
      </w:tr>
      <w:tr w:rsidR="00994EDF" w:rsidRPr="00835891" w14:paraId="7415AC76" w14:textId="77777777" w:rsidTr="00E546AA">
        <w:tc>
          <w:tcPr>
            <w:tcW w:w="6917" w:type="dxa"/>
            <w:shd w:val="clear" w:color="auto" w:fill="auto"/>
          </w:tcPr>
          <w:p w14:paraId="1E5912E4" w14:textId="6E4CCC5F" w:rsidR="00760641" w:rsidRPr="00FB1754" w:rsidRDefault="00923703" w:rsidP="00701C76">
            <w:pPr>
              <w:widowControl/>
              <w:autoSpaceDE/>
              <w:autoSpaceDN/>
              <w:adjustRightInd/>
              <w:jc w:val="both"/>
              <w:rPr>
                <w:szCs w:val="17"/>
                <w:lang w:val="fr-FR"/>
              </w:rPr>
            </w:pPr>
            <w:r w:rsidRPr="00FB1754">
              <w:rPr>
                <w:i/>
                <w:iCs/>
                <w:szCs w:val="17"/>
                <w:lang w:val="fr-FR"/>
              </w:rPr>
              <w:t xml:space="preserve">Notant </w:t>
            </w:r>
            <w:r w:rsidRPr="00FB1754">
              <w:rPr>
                <w:szCs w:val="17"/>
                <w:lang w:val="fr-FR"/>
              </w:rPr>
              <w:t>que dans le langage courant et dans la présente résolution, le terme « Accords » est utilisé au sens générique pour désigner les ACCORDS, Accords et Mémorandums d’entente, selon le contexte; </w:t>
            </w:r>
          </w:p>
        </w:tc>
        <w:tc>
          <w:tcPr>
            <w:tcW w:w="2576" w:type="dxa"/>
            <w:shd w:val="clear" w:color="auto" w:fill="auto"/>
          </w:tcPr>
          <w:p w14:paraId="16646DA5" w14:textId="441C1A84" w:rsidR="00760641" w:rsidRPr="00835891" w:rsidRDefault="00C86A8D" w:rsidP="00226389">
            <w:pPr>
              <w:jc w:val="both"/>
            </w:pPr>
            <w:r>
              <w:t>Résolution</w:t>
            </w:r>
            <w:r w:rsidR="00760641" w:rsidRPr="00835891">
              <w:t xml:space="preserve"> 11.12</w:t>
            </w:r>
          </w:p>
          <w:p w14:paraId="25CF1661" w14:textId="77777777" w:rsidR="00760641" w:rsidRPr="00835891" w:rsidRDefault="00760641" w:rsidP="00226389">
            <w:pPr>
              <w:jc w:val="both"/>
            </w:pPr>
          </w:p>
          <w:p w14:paraId="5A3666E1" w14:textId="74299709" w:rsidR="00760641" w:rsidRPr="00835891" w:rsidRDefault="00C86A8D" w:rsidP="00226389">
            <w:r>
              <w:t>Conserver</w:t>
            </w:r>
          </w:p>
        </w:tc>
      </w:tr>
      <w:tr w:rsidR="00994EDF" w:rsidRPr="00E546AA" w14:paraId="5AC03F18" w14:textId="77777777" w:rsidTr="00E546AA">
        <w:tc>
          <w:tcPr>
            <w:tcW w:w="6917" w:type="dxa"/>
            <w:shd w:val="clear" w:color="auto" w:fill="auto"/>
          </w:tcPr>
          <w:p w14:paraId="3B4112A8" w14:textId="77777777" w:rsidR="00022A8A" w:rsidRPr="00701C76" w:rsidRDefault="00022A8A" w:rsidP="00FC71A6">
            <w:pPr>
              <w:jc w:val="both"/>
              <w:rPr>
                <w:strike/>
                <w:lang w:val="fr-FR"/>
              </w:rPr>
            </w:pPr>
            <w:r w:rsidRPr="00701C76">
              <w:rPr>
                <w:i/>
                <w:strike/>
                <w:lang w:val="fr-FR"/>
              </w:rPr>
              <w:t>Ayant noté</w:t>
            </w:r>
            <w:r w:rsidRPr="00701C76">
              <w:rPr>
                <w:strike/>
                <w:lang w:val="fr-FR"/>
              </w:rPr>
              <w:t xml:space="preserve"> l’intention exprimée par le Gouvernement de la Ré</w:t>
            </w:r>
            <w:r w:rsidRPr="00701C76">
              <w:rPr>
                <w:rFonts w:hint="eastAsia"/>
                <w:strike/>
                <w:lang w:val="fr-FR"/>
              </w:rPr>
              <w:t>publique f</w:t>
            </w:r>
            <w:r w:rsidRPr="00701C76">
              <w:rPr>
                <w:strike/>
                <w:lang w:val="fr-FR"/>
              </w:rPr>
              <w:t>édérale d’Allemagne en tant que dépositaire de la Convention, dans sa note verbale datée du 28 janvier 1982, qui a été distribuée aux Parties, d’aligner le libellé de l’article IV, paragraphe 4, sur le texte des documents de négociation en écrivant le mot « accords » en lettres minuscules,</w:t>
            </w:r>
          </w:p>
          <w:p w14:paraId="2D8C9C2F" w14:textId="22CE5715" w:rsidR="00760641" w:rsidRPr="00FB1754" w:rsidRDefault="00760641" w:rsidP="00FC71A6">
            <w:pPr>
              <w:widowControl/>
              <w:autoSpaceDE/>
              <w:autoSpaceDN/>
              <w:adjustRightInd/>
              <w:jc w:val="both"/>
              <w:rPr>
                <w:szCs w:val="17"/>
                <w:lang w:val="fr-FR"/>
              </w:rPr>
            </w:pPr>
          </w:p>
        </w:tc>
        <w:tc>
          <w:tcPr>
            <w:tcW w:w="2576" w:type="dxa"/>
            <w:shd w:val="clear" w:color="auto" w:fill="auto"/>
          </w:tcPr>
          <w:p w14:paraId="7E88B098" w14:textId="6C4DEE81" w:rsidR="00760641" w:rsidRPr="00E546AA" w:rsidRDefault="00C86A8D" w:rsidP="00226389">
            <w:pPr>
              <w:rPr>
                <w:lang w:val="fr-FR"/>
              </w:rPr>
            </w:pPr>
            <w:r w:rsidRPr="00E546AA">
              <w:rPr>
                <w:lang w:val="fr-FR"/>
              </w:rPr>
              <w:t>Résolution</w:t>
            </w:r>
            <w:r w:rsidR="00760641" w:rsidRPr="00E546AA">
              <w:rPr>
                <w:lang w:val="fr-FR"/>
              </w:rPr>
              <w:t xml:space="preserve"> 2.6</w:t>
            </w:r>
          </w:p>
          <w:p w14:paraId="5CEBAEE1" w14:textId="77777777" w:rsidR="00760641" w:rsidRPr="00E546AA" w:rsidRDefault="00760641" w:rsidP="00226389">
            <w:pPr>
              <w:rPr>
                <w:lang w:val="fr-FR"/>
              </w:rPr>
            </w:pPr>
          </w:p>
          <w:p w14:paraId="065089B9" w14:textId="6C2D6962" w:rsidR="00760641" w:rsidRPr="00E546AA" w:rsidRDefault="00E546AA" w:rsidP="00C86A8D">
            <w:pPr>
              <w:rPr>
                <w:lang w:val="fr-FR"/>
              </w:rPr>
            </w:pPr>
            <w:r w:rsidRPr="00E546AA">
              <w:rPr>
                <w:lang w:val="fr-FR"/>
              </w:rPr>
              <w:t>Abroger, remplacé par les paragraphes précédents</w:t>
            </w:r>
          </w:p>
        </w:tc>
      </w:tr>
      <w:tr w:rsidR="00994EDF" w:rsidRPr="00E546AA" w14:paraId="59394045" w14:textId="77777777" w:rsidTr="00E546AA">
        <w:tc>
          <w:tcPr>
            <w:tcW w:w="6917" w:type="dxa"/>
            <w:shd w:val="clear" w:color="auto" w:fill="auto"/>
          </w:tcPr>
          <w:p w14:paraId="38580050" w14:textId="20797366" w:rsidR="00760641" w:rsidRPr="00FB1754" w:rsidRDefault="00022A8A" w:rsidP="00FC71A6">
            <w:pPr>
              <w:widowControl/>
              <w:autoSpaceDE/>
              <w:autoSpaceDN/>
              <w:adjustRightInd/>
              <w:jc w:val="both"/>
              <w:rPr>
                <w:strike/>
                <w:szCs w:val="17"/>
                <w:lang w:val="fr-FR"/>
              </w:rPr>
            </w:pPr>
            <w:r w:rsidRPr="00701C76">
              <w:rPr>
                <w:i/>
                <w:strike/>
                <w:lang w:val="fr-FR"/>
              </w:rPr>
              <w:t>Notant</w:t>
            </w:r>
            <w:r w:rsidRPr="00701C76">
              <w:rPr>
                <w:strike/>
                <w:lang w:val="fr-FR"/>
              </w:rPr>
              <w:t xml:space="preserve"> en outre que le dépositaire a l’intention d’apporter cette correction dans le texte une fois que les Parties l’auront officiellement approuvée</w:t>
            </w:r>
            <w:r w:rsidR="00701C76">
              <w:rPr>
                <w:strike/>
                <w:lang w:val="fr-FR"/>
              </w:rPr>
              <w:t> ;</w:t>
            </w:r>
          </w:p>
        </w:tc>
        <w:tc>
          <w:tcPr>
            <w:tcW w:w="2576" w:type="dxa"/>
            <w:shd w:val="clear" w:color="auto" w:fill="auto"/>
          </w:tcPr>
          <w:p w14:paraId="2B8E0502" w14:textId="62AEC6D3" w:rsidR="00760641" w:rsidRPr="00E546AA" w:rsidRDefault="00C86A8D" w:rsidP="00226389">
            <w:pPr>
              <w:rPr>
                <w:lang w:val="fr-FR"/>
              </w:rPr>
            </w:pPr>
            <w:r w:rsidRPr="00E546AA">
              <w:rPr>
                <w:lang w:val="fr-FR"/>
              </w:rPr>
              <w:t>Résolution</w:t>
            </w:r>
            <w:r w:rsidR="00760641" w:rsidRPr="00E546AA">
              <w:rPr>
                <w:lang w:val="fr-FR"/>
              </w:rPr>
              <w:t xml:space="preserve"> 2.6</w:t>
            </w:r>
          </w:p>
          <w:p w14:paraId="0262E37D" w14:textId="77777777" w:rsidR="00760641" w:rsidRPr="00E546AA" w:rsidRDefault="00760641" w:rsidP="00226389">
            <w:pPr>
              <w:rPr>
                <w:lang w:val="fr-FR"/>
              </w:rPr>
            </w:pPr>
          </w:p>
          <w:p w14:paraId="2310DE9F" w14:textId="04FF7DDB" w:rsidR="00760641" w:rsidRPr="00E546AA" w:rsidRDefault="00E546AA" w:rsidP="00226389">
            <w:pPr>
              <w:rPr>
                <w:lang w:val="fr-FR"/>
              </w:rPr>
            </w:pPr>
            <w:r w:rsidRPr="00E546AA">
              <w:rPr>
                <w:lang w:val="fr-FR"/>
              </w:rPr>
              <w:t>Abroger, remplacé par les paragraphes précédents</w:t>
            </w:r>
          </w:p>
        </w:tc>
      </w:tr>
      <w:tr w:rsidR="00994EDF" w:rsidRPr="00835891" w14:paraId="0675C475" w14:textId="77777777" w:rsidTr="00E546AA">
        <w:tc>
          <w:tcPr>
            <w:tcW w:w="6917" w:type="dxa"/>
            <w:shd w:val="clear" w:color="auto" w:fill="auto"/>
          </w:tcPr>
          <w:p w14:paraId="2AA1594C" w14:textId="1B1F6BF4" w:rsidR="00760641" w:rsidRPr="00FB1754" w:rsidRDefault="00022A8A" w:rsidP="00FC71A6">
            <w:pPr>
              <w:widowControl/>
              <w:autoSpaceDE/>
              <w:autoSpaceDN/>
              <w:adjustRightInd/>
              <w:jc w:val="both"/>
              <w:rPr>
                <w:szCs w:val="17"/>
                <w:lang w:val="fr-FR"/>
              </w:rPr>
            </w:pPr>
            <w:r w:rsidRPr="00835891">
              <w:rPr>
                <w:i/>
                <w:lang w:val="fr-FR"/>
              </w:rPr>
              <w:t>Reconnaissant</w:t>
            </w:r>
            <w:r w:rsidRPr="00835891">
              <w:rPr>
                <w:lang w:val="fr-FR"/>
              </w:rPr>
              <w:t xml:space="preserve"> qu’il importe d’appliquer intégralement les mesures de conservation envisagées dans la Convention</w:t>
            </w:r>
            <w:r w:rsidR="00701C76">
              <w:rPr>
                <w:lang w:val="fr-FR"/>
              </w:rPr>
              <w:t> ;</w:t>
            </w:r>
          </w:p>
        </w:tc>
        <w:tc>
          <w:tcPr>
            <w:tcW w:w="2576" w:type="dxa"/>
            <w:shd w:val="clear" w:color="auto" w:fill="auto"/>
          </w:tcPr>
          <w:p w14:paraId="5EC72006" w14:textId="51596320" w:rsidR="00760641" w:rsidRPr="00835891" w:rsidRDefault="00C86A8D" w:rsidP="00226389">
            <w:pPr>
              <w:jc w:val="both"/>
            </w:pPr>
            <w:r>
              <w:t>Résolution</w:t>
            </w:r>
            <w:r w:rsidR="00760641" w:rsidRPr="00835891">
              <w:t xml:space="preserve"> 2.6</w:t>
            </w:r>
          </w:p>
          <w:p w14:paraId="18247A19" w14:textId="77777777" w:rsidR="00760641" w:rsidRPr="00835891" w:rsidRDefault="00760641" w:rsidP="00226389">
            <w:pPr>
              <w:jc w:val="both"/>
            </w:pPr>
          </w:p>
          <w:p w14:paraId="0AEB7860" w14:textId="213268C7" w:rsidR="00760641" w:rsidRPr="00835891" w:rsidRDefault="00C86A8D" w:rsidP="00226389">
            <w:r>
              <w:t>Conserver</w:t>
            </w:r>
          </w:p>
        </w:tc>
      </w:tr>
      <w:tr w:rsidR="00994EDF" w:rsidRPr="00835891" w14:paraId="0D5B8FBA" w14:textId="77777777" w:rsidTr="00E546AA">
        <w:tc>
          <w:tcPr>
            <w:tcW w:w="6917" w:type="dxa"/>
            <w:shd w:val="clear" w:color="auto" w:fill="auto"/>
          </w:tcPr>
          <w:p w14:paraId="5DE15F20" w14:textId="04B44530" w:rsidR="00022A8A" w:rsidRPr="00835891" w:rsidRDefault="00022A8A" w:rsidP="00FC71A6">
            <w:pPr>
              <w:jc w:val="both"/>
              <w:rPr>
                <w:lang w:val="fr-FR"/>
              </w:rPr>
            </w:pPr>
            <w:r w:rsidRPr="00835891">
              <w:rPr>
                <w:i/>
                <w:lang w:val="fr-FR"/>
              </w:rPr>
              <w:t>Convaincue</w:t>
            </w:r>
            <w:r w:rsidRPr="00835891">
              <w:rPr>
                <w:lang w:val="fr-FR"/>
              </w:rPr>
              <w:t xml:space="preserve"> qu’il est souhaitable de conclure des </w:t>
            </w:r>
            <w:r w:rsidRPr="00701C76">
              <w:rPr>
                <w:strike/>
                <w:lang w:val="fr-FR"/>
              </w:rPr>
              <w:t>ACCORDs</w:t>
            </w:r>
            <w:r w:rsidRPr="00835891">
              <w:rPr>
                <w:lang w:val="fr-FR"/>
              </w:rPr>
              <w:t xml:space="preserve"> </w:t>
            </w:r>
            <w:r w:rsidR="00701C76" w:rsidRPr="00701C76">
              <w:rPr>
                <w:u w:val="single"/>
                <w:lang w:val="fr-FR"/>
              </w:rPr>
              <w:t>ACCORDS</w:t>
            </w:r>
            <w:r w:rsidR="00701C76" w:rsidRPr="00835891">
              <w:rPr>
                <w:lang w:val="fr-FR"/>
              </w:rPr>
              <w:t xml:space="preserve"> </w:t>
            </w:r>
            <w:r w:rsidRPr="00835891">
              <w:rPr>
                <w:lang w:val="fr-FR"/>
              </w:rPr>
              <w:t xml:space="preserve">conformément aux articles IV, paragraphe 3, et V de la Convention dans les cas où l’état de conservation d’espèces migratrices particulières bénéficierait de tels </w:t>
            </w:r>
            <w:r w:rsidR="00701C76" w:rsidRPr="00701C76">
              <w:rPr>
                <w:strike/>
                <w:lang w:val="fr-FR"/>
              </w:rPr>
              <w:t>ACCORDs</w:t>
            </w:r>
            <w:r w:rsidR="00701C76" w:rsidRPr="00835891">
              <w:rPr>
                <w:lang w:val="fr-FR"/>
              </w:rPr>
              <w:t xml:space="preserve"> </w:t>
            </w:r>
            <w:r w:rsidR="00701C76" w:rsidRPr="00701C76">
              <w:rPr>
                <w:u w:val="single"/>
                <w:lang w:val="fr-FR"/>
              </w:rPr>
              <w:t>ACCORD</w:t>
            </w:r>
            <w:r w:rsidR="00701C76">
              <w:rPr>
                <w:u w:val="single"/>
                <w:lang w:val="fr-FR"/>
              </w:rPr>
              <w:t>S</w:t>
            </w:r>
            <w:r w:rsidR="00701C76">
              <w:rPr>
                <w:lang w:val="fr-FR"/>
              </w:rPr>
              <w:t>;</w:t>
            </w:r>
          </w:p>
          <w:p w14:paraId="2F68ADD4" w14:textId="77777777" w:rsidR="00760641" w:rsidRPr="00FB1754" w:rsidRDefault="00760641" w:rsidP="00FC71A6">
            <w:pPr>
              <w:jc w:val="both"/>
              <w:rPr>
                <w:szCs w:val="17"/>
                <w:lang w:val="fr-FR"/>
              </w:rPr>
            </w:pPr>
          </w:p>
        </w:tc>
        <w:tc>
          <w:tcPr>
            <w:tcW w:w="2576" w:type="dxa"/>
            <w:shd w:val="clear" w:color="auto" w:fill="auto"/>
          </w:tcPr>
          <w:p w14:paraId="49BA93C0" w14:textId="4B81996D" w:rsidR="00760641" w:rsidRPr="00835891" w:rsidRDefault="00C86A8D" w:rsidP="00226389">
            <w:pPr>
              <w:jc w:val="both"/>
            </w:pPr>
            <w:r>
              <w:t>Résolution</w:t>
            </w:r>
            <w:r w:rsidR="00760641" w:rsidRPr="00835891">
              <w:t xml:space="preserve"> 2.6</w:t>
            </w:r>
          </w:p>
          <w:p w14:paraId="15C30A43" w14:textId="77777777" w:rsidR="00760641" w:rsidRPr="00835891" w:rsidRDefault="00760641" w:rsidP="00226389">
            <w:pPr>
              <w:jc w:val="both"/>
            </w:pPr>
          </w:p>
          <w:p w14:paraId="4B260A07" w14:textId="2ABBB8F6" w:rsidR="00760641" w:rsidRPr="00835891" w:rsidRDefault="00C86A8D" w:rsidP="00226389">
            <w:r>
              <w:t>Conserver</w:t>
            </w:r>
          </w:p>
        </w:tc>
      </w:tr>
      <w:tr w:rsidR="00994EDF" w:rsidRPr="00835891" w14:paraId="3F02CC90" w14:textId="77777777" w:rsidTr="00E546AA">
        <w:tc>
          <w:tcPr>
            <w:tcW w:w="6917" w:type="dxa"/>
            <w:shd w:val="clear" w:color="auto" w:fill="auto"/>
          </w:tcPr>
          <w:p w14:paraId="632CF9E4" w14:textId="77777777" w:rsidR="00994EDF" w:rsidRPr="00835891" w:rsidRDefault="00994EDF" w:rsidP="00FC71A6">
            <w:pPr>
              <w:jc w:val="both"/>
              <w:rPr>
                <w:lang w:val="fr-FR"/>
              </w:rPr>
            </w:pPr>
            <w:r w:rsidRPr="00835891">
              <w:rPr>
                <w:i/>
                <w:lang w:val="fr-FR"/>
              </w:rPr>
              <w:t>Reconnaissant</w:t>
            </w:r>
            <w:r w:rsidRPr="00835891">
              <w:rPr>
                <w:lang w:val="fr-FR"/>
              </w:rPr>
              <w:t xml:space="preserve"> que de tels accords sont ouverts à l’adhésion de tous les États de l’aire de répartition,</w:t>
            </w:r>
          </w:p>
          <w:p w14:paraId="5F802962" w14:textId="006EAB99" w:rsidR="00760641" w:rsidRPr="00FB1754" w:rsidRDefault="00760641" w:rsidP="00FC71A6">
            <w:pPr>
              <w:widowControl/>
              <w:autoSpaceDE/>
              <w:autoSpaceDN/>
              <w:adjustRightInd/>
              <w:jc w:val="both"/>
              <w:rPr>
                <w:szCs w:val="17"/>
                <w:lang w:val="fr-FR"/>
              </w:rPr>
            </w:pPr>
          </w:p>
        </w:tc>
        <w:tc>
          <w:tcPr>
            <w:tcW w:w="2576" w:type="dxa"/>
            <w:shd w:val="clear" w:color="auto" w:fill="auto"/>
          </w:tcPr>
          <w:p w14:paraId="60F57913" w14:textId="666AD9BD" w:rsidR="00760641" w:rsidRPr="00835891" w:rsidRDefault="00C86A8D" w:rsidP="00226389">
            <w:pPr>
              <w:jc w:val="both"/>
            </w:pPr>
            <w:r>
              <w:t>Résolution</w:t>
            </w:r>
            <w:r w:rsidR="00760641" w:rsidRPr="00835891">
              <w:t xml:space="preserve"> 2.7</w:t>
            </w:r>
          </w:p>
          <w:p w14:paraId="4432AEA3" w14:textId="77777777" w:rsidR="00760641" w:rsidRPr="00835891" w:rsidRDefault="00760641" w:rsidP="00226389">
            <w:pPr>
              <w:jc w:val="both"/>
            </w:pPr>
          </w:p>
          <w:p w14:paraId="52C086DE" w14:textId="478A0CF2" w:rsidR="00760641" w:rsidRPr="00835891" w:rsidRDefault="00C86A8D" w:rsidP="00226389">
            <w:r>
              <w:t>Conserver</w:t>
            </w:r>
          </w:p>
        </w:tc>
      </w:tr>
      <w:tr w:rsidR="00994EDF" w:rsidRPr="00835891" w14:paraId="08764DB2" w14:textId="77777777" w:rsidTr="00E546AA">
        <w:tc>
          <w:tcPr>
            <w:tcW w:w="6917" w:type="dxa"/>
            <w:shd w:val="clear" w:color="auto" w:fill="auto"/>
          </w:tcPr>
          <w:p w14:paraId="33FBD788" w14:textId="5DB82A04" w:rsidR="00760641" w:rsidRPr="00835891" w:rsidRDefault="00B55132" w:rsidP="00FC71A6">
            <w:pPr>
              <w:jc w:val="both"/>
              <w:rPr>
                <w:lang w:val="fr-FR"/>
              </w:rPr>
            </w:pPr>
            <w:r w:rsidRPr="00835891">
              <w:rPr>
                <w:i/>
                <w:lang w:val="fr-FR"/>
              </w:rPr>
              <w:t>Constatant</w:t>
            </w:r>
            <w:r w:rsidRPr="00835891">
              <w:rPr>
                <w:lang w:val="fr-FR"/>
              </w:rPr>
              <w:t xml:space="preserve"> qu’eu égard à l’expérience acquise depuis la deuxième session de la Conférence des Parties, de nouvelles directives et clarifications sont souhaitables quant aux accords conclus en application du paragraphe 4 de l’article IV,</w:t>
            </w:r>
          </w:p>
        </w:tc>
        <w:tc>
          <w:tcPr>
            <w:tcW w:w="2576" w:type="dxa"/>
            <w:shd w:val="clear" w:color="auto" w:fill="auto"/>
          </w:tcPr>
          <w:p w14:paraId="458194FF" w14:textId="4B3FFFF2" w:rsidR="00760641" w:rsidRPr="00835891" w:rsidRDefault="00C86A8D" w:rsidP="00226389">
            <w:pPr>
              <w:jc w:val="both"/>
            </w:pPr>
            <w:r>
              <w:t>Résolution</w:t>
            </w:r>
            <w:r w:rsidR="00760641" w:rsidRPr="00835891">
              <w:t xml:space="preserve"> 3.5</w:t>
            </w:r>
          </w:p>
          <w:p w14:paraId="173DC4F8" w14:textId="77777777" w:rsidR="00760641" w:rsidRPr="00835891" w:rsidRDefault="00760641" w:rsidP="00226389">
            <w:pPr>
              <w:jc w:val="both"/>
            </w:pPr>
          </w:p>
          <w:p w14:paraId="5F883C18" w14:textId="512FAB8B" w:rsidR="00760641" w:rsidRPr="00835891" w:rsidRDefault="00C86A8D" w:rsidP="00226389">
            <w:r>
              <w:t>Conserver</w:t>
            </w:r>
          </w:p>
        </w:tc>
      </w:tr>
      <w:tr w:rsidR="00994EDF" w:rsidRPr="00636B51" w14:paraId="7DA7AE7D" w14:textId="77777777" w:rsidTr="00E546AA">
        <w:tc>
          <w:tcPr>
            <w:tcW w:w="6917" w:type="dxa"/>
            <w:shd w:val="clear" w:color="auto" w:fill="auto"/>
          </w:tcPr>
          <w:p w14:paraId="3F70755A" w14:textId="67FA5FD9" w:rsidR="00760641" w:rsidRPr="00835891" w:rsidRDefault="00994EDF" w:rsidP="00FC71A6">
            <w:pPr>
              <w:jc w:val="both"/>
              <w:rPr>
                <w:lang w:val="fr-FR"/>
              </w:rPr>
            </w:pPr>
            <w:r w:rsidRPr="00835891">
              <w:rPr>
                <w:i/>
                <w:lang w:val="fr-FR"/>
              </w:rPr>
              <w:t>Tenant compte</w:t>
            </w:r>
            <w:r w:rsidRPr="00835891">
              <w:rPr>
                <w:lang w:val="fr-FR"/>
              </w:rPr>
              <w:t xml:space="preserve"> de ce qu’il est nécessaire que des arrangements administratifs efficaces président aux accords visés à l’Article IV, </w:t>
            </w:r>
            <w:r w:rsidRPr="00701C76">
              <w:rPr>
                <w:strike/>
                <w:lang w:val="fr-FR"/>
              </w:rPr>
              <w:t>qui s’entendent, aux fins des présentes, comme des ACCORDs au sens du paragraphe 3, et des accords au sens du paragraphe 4 dudit article</w:t>
            </w:r>
            <w:r w:rsidRPr="00835891">
              <w:rPr>
                <w:lang w:val="fr-FR"/>
              </w:rPr>
              <w:t>,</w:t>
            </w:r>
          </w:p>
        </w:tc>
        <w:tc>
          <w:tcPr>
            <w:tcW w:w="2576" w:type="dxa"/>
            <w:shd w:val="clear" w:color="auto" w:fill="auto"/>
          </w:tcPr>
          <w:p w14:paraId="7954D34B" w14:textId="5A2810ED" w:rsidR="00760641" w:rsidRPr="00835891" w:rsidRDefault="00C86A8D" w:rsidP="00226389">
            <w:pPr>
              <w:jc w:val="both"/>
            </w:pPr>
            <w:r>
              <w:t>Résolution</w:t>
            </w:r>
            <w:r w:rsidR="00760641" w:rsidRPr="00835891">
              <w:t xml:space="preserve"> 2.7</w:t>
            </w:r>
          </w:p>
          <w:p w14:paraId="463AD803" w14:textId="77777777" w:rsidR="00760641" w:rsidRPr="00835891" w:rsidRDefault="00760641" w:rsidP="00226389">
            <w:pPr>
              <w:jc w:val="both"/>
            </w:pPr>
          </w:p>
          <w:p w14:paraId="5852DAFB" w14:textId="36663247" w:rsidR="00760641" w:rsidRPr="00636B51" w:rsidRDefault="00636B51" w:rsidP="00226389">
            <w:pPr>
              <w:rPr>
                <w:lang w:val="fr-FR"/>
              </w:rPr>
            </w:pPr>
            <w:r>
              <w:rPr>
                <w:lang w:val="fr-FR"/>
              </w:rPr>
              <w:t>Abroger, texte indiqué inutile</w:t>
            </w:r>
            <w:r>
              <w:rPr>
                <w:lang w:val="fr-FR"/>
              </w:rPr>
              <w:t xml:space="preserve"> à la lumière des paragraphes précédents</w:t>
            </w:r>
          </w:p>
        </w:tc>
      </w:tr>
      <w:tr w:rsidR="00994EDF" w:rsidRPr="00835891" w14:paraId="6242FBAC" w14:textId="77777777" w:rsidTr="00E546AA">
        <w:trPr>
          <w:trHeight w:val="2572"/>
        </w:trPr>
        <w:tc>
          <w:tcPr>
            <w:tcW w:w="6917" w:type="dxa"/>
            <w:shd w:val="clear" w:color="auto" w:fill="auto"/>
          </w:tcPr>
          <w:p w14:paraId="4F37F764" w14:textId="25BB1B10" w:rsidR="00760641" w:rsidRPr="00FB1754" w:rsidRDefault="00923703" w:rsidP="00FC71A6">
            <w:pPr>
              <w:widowControl/>
              <w:autoSpaceDE/>
              <w:autoSpaceDN/>
              <w:adjustRightInd/>
              <w:jc w:val="both"/>
              <w:rPr>
                <w:szCs w:val="17"/>
                <w:lang w:val="fr-FR"/>
              </w:rPr>
            </w:pPr>
            <w:r w:rsidRPr="00FB1754">
              <w:rPr>
                <w:i/>
                <w:iCs/>
                <w:szCs w:val="17"/>
                <w:lang w:val="fr-FR"/>
              </w:rPr>
              <w:lastRenderedPageBreak/>
              <w:t xml:space="preserve">Reconnaissant </w:t>
            </w:r>
            <w:r w:rsidRPr="00FB1754">
              <w:rPr>
                <w:szCs w:val="17"/>
                <w:lang w:val="fr-FR"/>
              </w:rPr>
              <w:t xml:space="preserve">que l’élaboration et la gestion des Accords sont subordonnées aux ressources disponibles, </w:t>
            </w:r>
            <w:r w:rsidRPr="00FB1754">
              <w:rPr>
                <w:i/>
                <w:iCs/>
                <w:szCs w:val="17"/>
                <w:lang w:val="fr-FR"/>
              </w:rPr>
              <w:t xml:space="preserve">se félicitant </w:t>
            </w:r>
            <w:r w:rsidRPr="00FB1754">
              <w:rPr>
                <w:szCs w:val="17"/>
                <w:lang w:val="fr-FR"/>
              </w:rPr>
              <w:t xml:space="preserve">des efforts continus prodigués par le Secrétariat, conformément aux Résolutions 7.7, 8.5, 9.2 et 10.16, pour encourager des partenariats avec les gouvernements et les organisations concernées afin de soutenir le fonctionnement des Accords au titre de la Convention, et </w:t>
            </w:r>
            <w:r w:rsidRPr="00FB1754">
              <w:rPr>
                <w:i/>
                <w:iCs/>
                <w:szCs w:val="17"/>
                <w:lang w:val="fr-FR"/>
              </w:rPr>
              <w:t xml:space="preserve">exprimant sa reconnaissance </w:t>
            </w:r>
            <w:r w:rsidRPr="00FB1754">
              <w:rPr>
                <w:szCs w:val="17"/>
                <w:lang w:val="fr-FR"/>
              </w:rPr>
              <w:t>pour le généreux soutien de ce type apporté à ce jour par de nombreux gouvernements et organisations, y compris les contributions financières et en nature mentionnées dans le document PNUE/CMS/COP11/Doc.14.4 ; </w:t>
            </w:r>
          </w:p>
        </w:tc>
        <w:tc>
          <w:tcPr>
            <w:tcW w:w="2576" w:type="dxa"/>
            <w:shd w:val="clear" w:color="auto" w:fill="auto"/>
          </w:tcPr>
          <w:p w14:paraId="23E20830" w14:textId="76342919" w:rsidR="00760641" w:rsidRPr="00835891" w:rsidRDefault="00C86A8D" w:rsidP="00226389">
            <w:pPr>
              <w:jc w:val="both"/>
            </w:pPr>
            <w:r>
              <w:t>Résolution</w:t>
            </w:r>
            <w:r w:rsidR="00760641" w:rsidRPr="00835891">
              <w:t xml:space="preserve"> 11.12</w:t>
            </w:r>
          </w:p>
          <w:p w14:paraId="3160F214" w14:textId="77777777" w:rsidR="00760641" w:rsidRPr="00835891" w:rsidRDefault="00760641" w:rsidP="00226389">
            <w:pPr>
              <w:jc w:val="both"/>
            </w:pPr>
          </w:p>
          <w:p w14:paraId="311A8A93" w14:textId="7AADEFB9" w:rsidR="00760641" w:rsidRPr="00835891" w:rsidRDefault="00C86A8D" w:rsidP="00226389">
            <w:r>
              <w:t>Conserver</w:t>
            </w:r>
          </w:p>
        </w:tc>
      </w:tr>
      <w:tr w:rsidR="00994EDF" w:rsidRPr="00835891" w14:paraId="6D9317DA" w14:textId="77777777" w:rsidTr="00E546AA">
        <w:tc>
          <w:tcPr>
            <w:tcW w:w="6917" w:type="dxa"/>
            <w:shd w:val="clear" w:color="auto" w:fill="auto"/>
          </w:tcPr>
          <w:p w14:paraId="63031754" w14:textId="160A024B" w:rsidR="00760641" w:rsidRPr="00FB1754" w:rsidRDefault="00923703" w:rsidP="00FC71A6">
            <w:pPr>
              <w:widowControl/>
              <w:autoSpaceDE/>
              <w:autoSpaceDN/>
              <w:adjustRightInd/>
              <w:jc w:val="both"/>
              <w:rPr>
                <w:szCs w:val="17"/>
                <w:lang w:val="fr-FR"/>
              </w:rPr>
            </w:pPr>
            <w:r w:rsidRPr="00FB1754">
              <w:rPr>
                <w:i/>
                <w:iCs/>
                <w:szCs w:val="17"/>
                <w:lang w:val="fr-FR"/>
              </w:rPr>
              <w:t xml:space="preserve">Rappelant </w:t>
            </w:r>
            <w:r w:rsidRPr="00FB1754">
              <w:rPr>
                <w:szCs w:val="17"/>
                <w:lang w:val="fr-FR"/>
              </w:rPr>
              <w:t>que le paragraphe 41 du Plan stratégique de la CMS 2006-2014 a recommandé un certain nombre de mesures pour s’assurer que les Accords utilisent des systèmes semblables pour planifier et présenter leurs travaux, de sorte qu’ils soient stratégiquement harmonisés avec la Convention ; </w:t>
            </w:r>
          </w:p>
        </w:tc>
        <w:tc>
          <w:tcPr>
            <w:tcW w:w="2576" w:type="dxa"/>
            <w:shd w:val="clear" w:color="auto" w:fill="auto"/>
          </w:tcPr>
          <w:p w14:paraId="2F215C5F" w14:textId="54C61602" w:rsidR="00760641" w:rsidRPr="00835891" w:rsidRDefault="00C86A8D" w:rsidP="00226389">
            <w:pPr>
              <w:jc w:val="both"/>
            </w:pPr>
            <w:r>
              <w:t>Résolution</w:t>
            </w:r>
            <w:r w:rsidR="00760641" w:rsidRPr="00835891">
              <w:t xml:space="preserve"> 11.12</w:t>
            </w:r>
          </w:p>
          <w:p w14:paraId="2DE170D2" w14:textId="77777777" w:rsidR="00760641" w:rsidRPr="00835891" w:rsidRDefault="00760641" w:rsidP="00226389">
            <w:pPr>
              <w:jc w:val="both"/>
            </w:pPr>
          </w:p>
          <w:p w14:paraId="08A2EE0D" w14:textId="0E760B85" w:rsidR="00760641" w:rsidRPr="00835891" w:rsidRDefault="00C86A8D" w:rsidP="00226389">
            <w:r>
              <w:t>Conserver</w:t>
            </w:r>
          </w:p>
        </w:tc>
      </w:tr>
      <w:tr w:rsidR="00994EDF" w:rsidRPr="00835891" w14:paraId="0DC15BA6" w14:textId="77777777" w:rsidTr="00E546AA">
        <w:tc>
          <w:tcPr>
            <w:tcW w:w="6917" w:type="dxa"/>
            <w:shd w:val="clear" w:color="auto" w:fill="auto"/>
          </w:tcPr>
          <w:p w14:paraId="4AD374D6" w14:textId="37C5F0EC" w:rsidR="00760641" w:rsidRPr="00636B51" w:rsidRDefault="00923703" w:rsidP="00F50DAA">
            <w:pPr>
              <w:widowControl/>
              <w:autoSpaceDE/>
              <w:autoSpaceDN/>
              <w:adjustRightInd/>
              <w:jc w:val="both"/>
              <w:rPr>
                <w:szCs w:val="17"/>
                <w:lang w:val="fr-FR"/>
              </w:rPr>
            </w:pPr>
            <w:r w:rsidRPr="00636B51">
              <w:rPr>
                <w:i/>
                <w:iCs/>
                <w:szCs w:val="17"/>
                <w:lang w:val="fr-FR"/>
              </w:rPr>
              <w:t xml:space="preserve">Rappelant également </w:t>
            </w:r>
            <w:r w:rsidRPr="00636B51">
              <w:rPr>
                <w:szCs w:val="17"/>
                <w:lang w:val="fr-FR"/>
              </w:rPr>
              <w:t xml:space="preserve">que dans la Résolution 10.16, les Parties ont décidé qu’un certain nombre de considérations doivent être examinées lorsque des propositions de nouveaux Accords sont faites, y compris une disposition prévoyant qu’une proposition ne sera plus considérée comme une proposition en cours d’élaboration si aucune expression claire d’intérêt ou offre de conduire ce processus ne voit le jour au bout d’une certaine période, et a demandé au Secrétariat d’élaborer, pour examen et adoption à </w:t>
            </w:r>
            <w:r w:rsidR="00636B51" w:rsidRPr="00636B51">
              <w:rPr>
                <w:szCs w:val="17"/>
                <w:lang w:val="fr-FR"/>
              </w:rPr>
              <w:t xml:space="preserve">la </w:t>
            </w:r>
            <w:r w:rsidR="006F19B5" w:rsidRPr="00636B51">
              <w:rPr>
                <w:szCs w:val="17"/>
                <w:u w:val="single"/>
                <w:lang w:val="fr-FR"/>
              </w:rPr>
              <w:t>COP11</w:t>
            </w:r>
            <w:r w:rsidR="006F19B5" w:rsidRPr="00636B51">
              <w:rPr>
                <w:szCs w:val="17"/>
                <w:lang w:val="fr-FR"/>
              </w:rPr>
              <w:t xml:space="preserve"> </w:t>
            </w:r>
            <w:r w:rsidRPr="00636B51">
              <w:rPr>
                <w:strike/>
                <w:szCs w:val="17"/>
                <w:lang w:val="fr-FR"/>
              </w:rPr>
              <w:t>la présente réunion</w:t>
            </w:r>
            <w:r w:rsidRPr="00636B51">
              <w:rPr>
                <w:szCs w:val="17"/>
                <w:lang w:val="fr-FR"/>
              </w:rPr>
              <w:t>, une politique pour l’élaboration, la dotation en ressources et la gestion des Accords, dans le contexte de la Résolution 10.9 sur la structure et les stratégies futures de la CMS et de la Famille CMS; </w:t>
            </w:r>
          </w:p>
        </w:tc>
        <w:tc>
          <w:tcPr>
            <w:tcW w:w="2576" w:type="dxa"/>
            <w:shd w:val="clear" w:color="auto" w:fill="auto"/>
          </w:tcPr>
          <w:p w14:paraId="0FE98D20" w14:textId="1A108353" w:rsidR="00760641" w:rsidRPr="00835891" w:rsidRDefault="00C86A8D" w:rsidP="00226389">
            <w:pPr>
              <w:jc w:val="both"/>
            </w:pPr>
            <w:r>
              <w:t>Résolution</w:t>
            </w:r>
            <w:r w:rsidR="00760641" w:rsidRPr="00835891">
              <w:t xml:space="preserve"> 11.12</w:t>
            </w:r>
          </w:p>
          <w:p w14:paraId="0DD7C7EA" w14:textId="77777777" w:rsidR="00760641" w:rsidRPr="00835891" w:rsidRDefault="00760641" w:rsidP="00226389">
            <w:pPr>
              <w:jc w:val="both"/>
            </w:pPr>
          </w:p>
          <w:p w14:paraId="2D360DEF" w14:textId="044ED6B2" w:rsidR="00760641" w:rsidRPr="00835891" w:rsidRDefault="00C86A8D" w:rsidP="00226389">
            <w:r>
              <w:t>Conserver</w:t>
            </w:r>
          </w:p>
        </w:tc>
      </w:tr>
      <w:tr w:rsidR="00994EDF" w:rsidRPr="00835891" w14:paraId="4366FA58" w14:textId="77777777" w:rsidTr="00E546AA">
        <w:tc>
          <w:tcPr>
            <w:tcW w:w="6917" w:type="dxa"/>
            <w:shd w:val="clear" w:color="auto" w:fill="auto"/>
          </w:tcPr>
          <w:p w14:paraId="6D097839" w14:textId="2D3FBB49" w:rsidR="00760641" w:rsidRPr="00FB1754" w:rsidRDefault="00923703" w:rsidP="00F50DAA">
            <w:pPr>
              <w:widowControl/>
              <w:autoSpaceDE/>
              <w:autoSpaceDN/>
              <w:adjustRightInd/>
              <w:jc w:val="both"/>
              <w:rPr>
                <w:szCs w:val="17"/>
                <w:lang w:val="fr-FR"/>
              </w:rPr>
            </w:pPr>
            <w:r w:rsidRPr="00FB1754">
              <w:rPr>
                <w:i/>
                <w:iCs/>
                <w:szCs w:val="17"/>
                <w:lang w:val="fr-FR"/>
              </w:rPr>
              <w:t xml:space="preserve">Rappelant en outre </w:t>
            </w:r>
            <w:r w:rsidRPr="00FB1754">
              <w:rPr>
                <w:szCs w:val="17"/>
                <w:lang w:val="fr-FR"/>
              </w:rPr>
              <w:t>la Résolution 10.9, par laquelle les Parties ont, entre autres, adopté une liste d’activités à réaliser en 2012-2014, dont une évaluation des Mémorandums d’entente de la CMS et de leur viabilité (activité 16.3), l’établissement de critères au regard desquels les propositions de nouveaux Accords seront évaluées (activité 12.3), et l’élaboration d’une politique exigeant que le suivi de la mise en oeuvre fasse partie intégrante de tout futur MdE (activité 12.5); </w:t>
            </w:r>
          </w:p>
        </w:tc>
        <w:tc>
          <w:tcPr>
            <w:tcW w:w="2576" w:type="dxa"/>
            <w:shd w:val="clear" w:color="auto" w:fill="auto"/>
          </w:tcPr>
          <w:p w14:paraId="388E9238" w14:textId="15CA05C5" w:rsidR="00760641" w:rsidRPr="00835891" w:rsidRDefault="00C86A8D" w:rsidP="00226389">
            <w:pPr>
              <w:jc w:val="both"/>
            </w:pPr>
            <w:r>
              <w:t>Résolution</w:t>
            </w:r>
            <w:r w:rsidR="00760641" w:rsidRPr="00835891">
              <w:t xml:space="preserve"> 11.12</w:t>
            </w:r>
          </w:p>
          <w:p w14:paraId="508C3EE4" w14:textId="77777777" w:rsidR="00760641" w:rsidRPr="00835891" w:rsidRDefault="00760641" w:rsidP="00226389">
            <w:pPr>
              <w:jc w:val="both"/>
            </w:pPr>
          </w:p>
          <w:p w14:paraId="1F560E15" w14:textId="12D4421D" w:rsidR="00760641" w:rsidRPr="00835891" w:rsidRDefault="00C86A8D" w:rsidP="00226389">
            <w:r>
              <w:t>Conserver</w:t>
            </w:r>
          </w:p>
        </w:tc>
      </w:tr>
      <w:tr w:rsidR="00994EDF" w:rsidRPr="00835891" w14:paraId="268458F8" w14:textId="77777777" w:rsidTr="00E546AA">
        <w:tc>
          <w:tcPr>
            <w:tcW w:w="6917" w:type="dxa"/>
            <w:shd w:val="clear" w:color="auto" w:fill="auto"/>
          </w:tcPr>
          <w:p w14:paraId="57F4FD8B" w14:textId="57F00013" w:rsidR="00760641" w:rsidRPr="00FB1754" w:rsidRDefault="00923703" w:rsidP="00F50DAA">
            <w:pPr>
              <w:widowControl/>
              <w:autoSpaceDE/>
              <w:autoSpaceDN/>
              <w:adjustRightInd/>
              <w:jc w:val="both"/>
              <w:rPr>
                <w:szCs w:val="17"/>
                <w:lang w:val="fr-FR"/>
              </w:rPr>
            </w:pPr>
            <w:r w:rsidRPr="00FB1754">
              <w:rPr>
                <w:i/>
                <w:iCs/>
                <w:szCs w:val="17"/>
                <w:lang w:val="fr-FR"/>
              </w:rPr>
              <w:t xml:space="preserve">Prenant note </w:t>
            </w:r>
            <w:r w:rsidRPr="00FB1754">
              <w:rPr>
                <w:szCs w:val="17"/>
                <w:lang w:val="fr-FR"/>
              </w:rPr>
              <w:t>du rapport fourni par le Secrétariat dans le document PNUE/CMS/COP11/Doc.22.3 sur une évaluation des MdE de la CMS et de leur viabilité; et </w:t>
            </w:r>
          </w:p>
        </w:tc>
        <w:tc>
          <w:tcPr>
            <w:tcW w:w="2576" w:type="dxa"/>
            <w:shd w:val="clear" w:color="auto" w:fill="auto"/>
          </w:tcPr>
          <w:p w14:paraId="0139A257" w14:textId="3E714865" w:rsidR="00760641" w:rsidRPr="00835891" w:rsidRDefault="00C86A8D" w:rsidP="00226389">
            <w:pPr>
              <w:jc w:val="both"/>
            </w:pPr>
            <w:r>
              <w:t>Résolution</w:t>
            </w:r>
            <w:r w:rsidR="00760641" w:rsidRPr="00835891">
              <w:t xml:space="preserve"> 11.12</w:t>
            </w:r>
          </w:p>
          <w:p w14:paraId="1B158361" w14:textId="77777777" w:rsidR="00760641" w:rsidRPr="00835891" w:rsidRDefault="00760641" w:rsidP="00226389">
            <w:pPr>
              <w:jc w:val="both"/>
            </w:pPr>
          </w:p>
          <w:p w14:paraId="6CAF9216" w14:textId="32997C13" w:rsidR="00760641" w:rsidRPr="00835891" w:rsidRDefault="00C86A8D" w:rsidP="00226389">
            <w:r>
              <w:t>Conserver</w:t>
            </w:r>
          </w:p>
        </w:tc>
      </w:tr>
      <w:tr w:rsidR="00994EDF" w:rsidRPr="00835891" w14:paraId="73F0304B" w14:textId="77777777" w:rsidTr="00E546AA">
        <w:tc>
          <w:tcPr>
            <w:tcW w:w="6917" w:type="dxa"/>
            <w:shd w:val="clear" w:color="auto" w:fill="auto"/>
          </w:tcPr>
          <w:p w14:paraId="5E1186BE" w14:textId="77777777" w:rsidR="00760641" w:rsidRDefault="00923703" w:rsidP="00F50DAA">
            <w:pPr>
              <w:widowControl/>
              <w:autoSpaceDE/>
              <w:autoSpaceDN/>
              <w:adjustRightInd/>
              <w:jc w:val="both"/>
              <w:rPr>
                <w:szCs w:val="17"/>
                <w:lang w:val="fr-FR"/>
              </w:rPr>
            </w:pPr>
            <w:r w:rsidRPr="00FB1754">
              <w:rPr>
                <w:i/>
                <w:iCs/>
                <w:szCs w:val="17"/>
                <w:lang w:val="fr-FR"/>
              </w:rPr>
              <w:t xml:space="preserve">Prenant note également </w:t>
            </w:r>
            <w:r w:rsidRPr="00FB1754">
              <w:rPr>
                <w:szCs w:val="17"/>
                <w:lang w:val="fr-FR"/>
              </w:rPr>
              <w:t xml:space="preserve">du rapport fourni par le Secrétariat dans le document PNUE/CMS/COP11/Doc.22.2 sur une politique pour l’élaboration, la dotation en ressources et la gestion des Accords de la CMS, et </w:t>
            </w:r>
            <w:r w:rsidRPr="00FB1754">
              <w:rPr>
                <w:i/>
                <w:iCs/>
                <w:szCs w:val="17"/>
                <w:lang w:val="fr-FR"/>
              </w:rPr>
              <w:t xml:space="preserve">exprimant ses remerciements </w:t>
            </w:r>
            <w:r w:rsidRPr="00FB1754">
              <w:rPr>
                <w:szCs w:val="17"/>
                <w:lang w:val="fr-FR"/>
              </w:rPr>
              <w:t>au Gouvernement allemand pour son généreux soutien financier apporté à ces travaux; </w:t>
            </w:r>
          </w:p>
          <w:p w14:paraId="57579214" w14:textId="69AAF1F7" w:rsidR="00636B51" w:rsidRPr="00FB1754" w:rsidRDefault="00636B51" w:rsidP="00F50DAA">
            <w:pPr>
              <w:widowControl/>
              <w:autoSpaceDE/>
              <w:autoSpaceDN/>
              <w:adjustRightInd/>
              <w:jc w:val="both"/>
              <w:rPr>
                <w:szCs w:val="17"/>
                <w:lang w:val="fr-FR"/>
              </w:rPr>
            </w:pPr>
          </w:p>
        </w:tc>
        <w:tc>
          <w:tcPr>
            <w:tcW w:w="2576" w:type="dxa"/>
            <w:shd w:val="clear" w:color="auto" w:fill="auto"/>
          </w:tcPr>
          <w:p w14:paraId="61A6EF9E" w14:textId="7D267A12" w:rsidR="00760641" w:rsidRPr="00835891" w:rsidRDefault="00C86A8D" w:rsidP="00226389">
            <w:pPr>
              <w:jc w:val="both"/>
            </w:pPr>
            <w:r>
              <w:t>Résolution</w:t>
            </w:r>
            <w:r w:rsidR="00760641" w:rsidRPr="00835891">
              <w:t xml:space="preserve"> 11.12</w:t>
            </w:r>
          </w:p>
          <w:p w14:paraId="5C436DD4" w14:textId="77777777" w:rsidR="00760641" w:rsidRPr="00835891" w:rsidRDefault="00760641" w:rsidP="00226389">
            <w:pPr>
              <w:jc w:val="both"/>
            </w:pPr>
          </w:p>
          <w:p w14:paraId="558BEC2C" w14:textId="51C4E2CD" w:rsidR="00760641" w:rsidRPr="00835891" w:rsidRDefault="00C86A8D" w:rsidP="00226389">
            <w:r>
              <w:t>Conserver</w:t>
            </w:r>
          </w:p>
        </w:tc>
      </w:tr>
      <w:tr w:rsidR="00760641" w:rsidRPr="00FB1754" w14:paraId="295EB332" w14:textId="77777777" w:rsidTr="00E546AA">
        <w:tc>
          <w:tcPr>
            <w:tcW w:w="9493" w:type="dxa"/>
            <w:gridSpan w:val="2"/>
            <w:shd w:val="clear" w:color="auto" w:fill="D9D9D9" w:themeFill="background1" w:themeFillShade="D9"/>
          </w:tcPr>
          <w:p w14:paraId="1FC7C5A6" w14:textId="77777777" w:rsidR="00636B51" w:rsidRDefault="00760641" w:rsidP="00275105">
            <w:pPr>
              <w:jc w:val="center"/>
              <w:rPr>
                <w:i/>
                <w:lang w:val="fr-FR"/>
              </w:rPr>
            </w:pPr>
            <w:r w:rsidRPr="00835891">
              <w:rPr>
                <w:i/>
                <w:lang w:val="fr-FR"/>
              </w:rPr>
              <w:t xml:space="preserve">La Conférence des Parties à la </w:t>
            </w:r>
          </w:p>
          <w:p w14:paraId="140F488B" w14:textId="6B57BBAD" w:rsidR="00760641" w:rsidRPr="00FB1754" w:rsidRDefault="00760641" w:rsidP="00275105">
            <w:pPr>
              <w:jc w:val="center"/>
              <w:rPr>
                <w:lang w:val="fr-FR"/>
              </w:rPr>
            </w:pPr>
            <w:r w:rsidRPr="00835891">
              <w:rPr>
                <w:i/>
                <w:lang w:val="fr-FR"/>
              </w:rPr>
              <w:t>Convention sur la conservation des espèces migratrices appartenant à la faune sauvage</w:t>
            </w:r>
          </w:p>
        </w:tc>
      </w:tr>
      <w:tr w:rsidR="00760641" w:rsidRPr="00835891" w14:paraId="70275F65" w14:textId="77777777" w:rsidTr="00E546AA">
        <w:tc>
          <w:tcPr>
            <w:tcW w:w="6917" w:type="dxa"/>
            <w:shd w:val="clear" w:color="auto" w:fill="auto"/>
          </w:tcPr>
          <w:p w14:paraId="30AAF781" w14:textId="4FE5BAE2" w:rsidR="00760641" w:rsidRPr="00636B51" w:rsidRDefault="007B07AD" w:rsidP="00FC71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szCs w:val="20"/>
                <w:u w:val="single"/>
              </w:rPr>
            </w:pPr>
            <w:r w:rsidRPr="00636B51">
              <w:rPr>
                <w:b/>
                <w:szCs w:val="20"/>
                <w:u w:val="single"/>
                <w:lang w:val="fr-FR"/>
              </w:rPr>
              <w:t>Interprétation</w:t>
            </w:r>
          </w:p>
        </w:tc>
        <w:tc>
          <w:tcPr>
            <w:tcW w:w="2576" w:type="dxa"/>
            <w:shd w:val="clear" w:color="auto" w:fill="auto"/>
          </w:tcPr>
          <w:p w14:paraId="29E5CE48" w14:textId="545FBD07" w:rsidR="00760641" w:rsidRPr="00835891" w:rsidRDefault="00636B51" w:rsidP="00226389">
            <w:r w:rsidRPr="00636B51">
              <w:t>Nouveau titre</w:t>
            </w:r>
          </w:p>
        </w:tc>
      </w:tr>
      <w:tr w:rsidR="00760641" w:rsidRPr="00835891" w14:paraId="4C9E7D78" w14:textId="77777777" w:rsidTr="00E546AA">
        <w:trPr>
          <w:trHeight w:val="295"/>
        </w:trPr>
        <w:tc>
          <w:tcPr>
            <w:tcW w:w="6917" w:type="dxa"/>
            <w:shd w:val="clear" w:color="auto" w:fill="auto"/>
          </w:tcPr>
          <w:p w14:paraId="04CFD20E" w14:textId="77777777" w:rsidR="00760641" w:rsidRDefault="00B55132" w:rsidP="00F50DAA">
            <w:pPr>
              <w:widowControl/>
              <w:autoSpaceDE/>
              <w:autoSpaceDN/>
              <w:adjustRightInd/>
              <w:jc w:val="both"/>
              <w:rPr>
                <w:lang w:val="fr-FR"/>
              </w:rPr>
            </w:pPr>
            <w:r w:rsidRPr="00636B51">
              <w:rPr>
                <w:lang w:val="fr-FR"/>
              </w:rPr>
              <w:t>1. </w:t>
            </w:r>
            <w:r w:rsidRPr="00636B51">
              <w:rPr>
                <w:i/>
                <w:lang w:val="fr-FR"/>
              </w:rPr>
              <w:t>Considère</w:t>
            </w:r>
            <w:r w:rsidRPr="00636B51">
              <w:rPr>
                <w:lang w:val="fr-FR"/>
              </w:rPr>
              <w:t xml:space="preserve"> que l’alinéa j) du paragraphe 1 de l’article premier vise l’ (les) ACCORD(S) conclu(s) conformément aux principes de base régissant ces instruments qui figurent au paragraphe 3 de l’article IV et à l’article V;</w:t>
            </w:r>
          </w:p>
          <w:p w14:paraId="31838B38" w14:textId="41AD5BD0" w:rsidR="00636B51" w:rsidRPr="00636B51" w:rsidRDefault="00636B51" w:rsidP="00F50DAA">
            <w:pPr>
              <w:widowControl/>
              <w:autoSpaceDE/>
              <w:autoSpaceDN/>
              <w:adjustRightInd/>
              <w:jc w:val="both"/>
              <w:rPr>
                <w:szCs w:val="17"/>
                <w:lang w:val="fr-FR"/>
              </w:rPr>
            </w:pPr>
          </w:p>
        </w:tc>
        <w:tc>
          <w:tcPr>
            <w:tcW w:w="2576" w:type="dxa"/>
            <w:shd w:val="clear" w:color="auto" w:fill="auto"/>
          </w:tcPr>
          <w:p w14:paraId="21EC4F7B" w14:textId="723DE50C" w:rsidR="00760641" w:rsidRPr="00636B51" w:rsidRDefault="00C86A8D" w:rsidP="00226389">
            <w:pPr>
              <w:jc w:val="both"/>
            </w:pPr>
            <w:r w:rsidRPr="00636B51">
              <w:t>Résolution</w:t>
            </w:r>
            <w:r w:rsidR="00760641" w:rsidRPr="00636B51">
              <w:t xml:space="preserve"> 3.5</w:t>
            </w:r>
          </w:p>
          <w:p w14:paraId="01B1F070" w14:textId="77777777" w:rsidR="00760641" w:rsidRPr="00636B51" w:rsidRDefault="00760641" w:rsidP="00226389">
            <w:pPr>
              <w:jc w:val="both"/>
            </w:pPr>
          </w:p>
          <w:p w14:paraId="1E80C1FB" w14:textId="1E3088ED" w:rsidR="00760641" w:rsidRPr="00835891" w:rsidRDefault="00C86A8D" w:rsidP="00226389">
            <w:r w:rsidRPr="00636B51">
              <w:t>Conserver</w:t>
            </w:r>
          </w:p>
        </w:tc>
      </w:tr>
      <w:tr w:rsidR="00760641" w:rsidRPr="00835891" w14:paraId="212282B0" w14:textId="77777777" w:rsidTr="00E546AA">
        <w:tc>
          <w:tcPr>
            <w:tcW w:w="6917" w:type="dxa"/>
            <w:shd w:val="clear" w:color="auto" w:fill="auto"/>
          </w:tcPr>
          <w:p w14:paraId="28C2D43B" w14:textId="77777777" w:rsidR="00636B51" w:rsidRDefault="00B55132" w:rsidP="00F50DAA">
            <w:pPr>
              <w:widowControl/>
              <w:autoSpaceDE/>
              <w:autoSpaceDN/>
              <w:adjustRightInd/>
              <w:jc w:val="both"/>
              <w:rPr>
                <w:lang w:val="fr-FR"/>
              </w:rPr>
            </w:pPr>
            <w:r w:rsidRPr="00835891">
              <w:rPr>
                <w:lang w:val="fr-FR"/>
              </w:rPr>
              <w:t>2</w:t>
            </w:r>
            <w:r w:rsidRPr="00835891">
              <w:rPr>
                <w:i/>
                <w:lang w:val="fr-FR"/>
              </w:rPr>
              <w:t>. Décide</w:t>
            </w:r>
            <w:r w:rsidRPr="00835891">
              <w:rPr>
                <w:lang w:val="fr-FR"/>
              </w:rPr>
              <w:t xml:space="preserve"> d’appliquer </w:t>
            </w:r>
            <w:r w:rsidRPr="00835891">
              <w:rPr>
                <w:i/>
                <w:lang w:val="fr-FR"/>
              </w:rPr>
              <w:t>mutatis mutandis</w:t>
            </w:r>
            <w:r w:rsidRPr="00835891">
              <w:rPr>
                <w:lang w:val="fr-FR"/>
              </w:rPr>
              <w:t xml:space="preserve"> aux instruments conclus en application du paragraphe 4 de l’article IV les principes énoncés au paragraphe 5 de l’article IV, à l’alinéa d) du paragraphe 5 de l’article VII et aux alinéas b) et h) du paragraphe 4 de l’article IX;</w:t>
            </w:r>
          </w:p>
          <w:p w14:paraId="774042C7" w14:textId="369261E8" w:rsidR="00636B51" w:rsidRPr="00636B51" w:rsidRDefault="00636B51" w:rsidP="00F50DAA">
            <w:pPr>
              <w:widowControl/>
              <w:autoSpaceDE/>
              <w:autoSpaceDN/>
              <w:adjustRightInd/>
              <w:jc w:val="both"/>
              <w:rPr>
                <w:lang w:val="fr-FR"/>
              </w:rPr>
            </w:pPr>
          </w:p>
        </w:tc>
        <w:tc>
          <w:tcPr>
            <w:tcW w:w="2576" w:type="dxa"/>
            <w:shd w:val="clear" w:color="auto" w:fill="auto"/>
          </w:tcPr>
          <w:p w14:paraId="1789BF46" w14:textId="61437155" w:rsidR="00760641" w:rsidRPr="00835891" w:rsidRDefault="00C86A8D" w:rsidP="00226389">
            <w:pPr>
              <w:jc w:val="both"/>
            </w:pPr>
            <w:r>
              <w:t>Résolution</w:t>
            </w:r>
            <w:r w:rsidR="00760641" w:rsidRPr="00835891">
              <w:t xml:space="preserve"> 3.5</w:t>
            </w:r>
          </w:p>
          <w:p w14:paraId="1A7B8E37" w14:textId="77777777" w:rsidR="00760641" w:rsidRPr="00835891" w:rsidRDefault="00760641" w:rsidP="00226389">
            <w:pPr>
              <w:jc w:val="both"/>
            </w:pPr>
          </w:p>
          <w:p w14:paraId="774EB27E" w14:textId="271C7C01" w:rsidR="00760641" w:rsidRPr="00835891" w:rsidRDefault="00C86A8D" w:rsidP="00226389">
            <w:r>
              <w:t>Conserver</w:t>
            </w:r>
          </w:p>
        </w:tc>
      </w:tr>
      <w:tr w:rsidR="00760641" w:rsidRPr="00636B51" w14:paraId="1FB93180" w14:textId="77777777" w:rsidTr="00E546AA">
        <w:tc>
          <w:tcPr>
            <w:tcW w:w="6917" w:type="dxa"/>
            <w:shd w:val="clear" w:color="auto" w:fill="auto"/>
          </w:tcPr>
          <w:p w14:paraId="0140FC0F" w14:textId="1643130E" w:rsidR="00760641" w:rsidRPr="00FB1754" w:rsidRDefault="00022A8A" w:rsidP="0089725D">
            <w:pPr>
              <w:widowControl/>
              <w:autoSpaceDE/>
              <w:autoSpaceDN/>
              <w:adjustRightInd/>
              <w:jc w:val="both"/>
              <w:rPr>
                <w:szCs w:val="17"/>
                <w:lang w:val="fr-FR"/>
              </w:rPr>
            </w:pPr>
            <w:r w:rsidRPr="0089725D">
              <w:rPr>
                <w:strike/>
                <w:lang w:val="fr-FR"/>
              </w:rPr>
              <w:lastRenderedPageBreak/>
              <w:t>2</w:t>
            </w:r>
            <w:r w:rsidRPr="0089725D">
              <w:rPr>
                <w:i/>
                <w:strike/>
                <w:lang w:val="fr-FR"/>
              </w:rPr>
              <w:t>.</w:t>
            </w:r>
            <w:r w:rsidRPr="00835891">
              <w:rPr>
                <w:i/>
                <w:lang w:val="fr-FR"/>
              </w:rPr>
              <w:t xml:space="preserve"> </w:t>
            </w:r>
            <w:r w:rsidR="0089725D" w:rsidRPr="0089725D">
              <w:rPr>
                <w:u w:val="single"/>
                <w:lang w:val="fr-FR"/>
              </w:rPr>
              <w:t>3.</w:t>
            </w:r>
            <w:r w:rsidR="0089725D">
              <w:rPr>
                <w:i/>
                <w:u w:val="single"/>
                <w:lang w:val="fr-FR"/>
              </w:rPr>
              <w:t xml:space="preserve"> </w:t>
            </w:r>
            <w:r w:rsidRPr="00835891">
              <w:rPr>
                <w:i/>
                <w:lang w:val="fr-FR"/>
              </w:rPr>
              <w:t>Recommande</w:t>
            </w:r>
            <w:r w:rsidRPr="00835891">
              <w:rPr>
                <w:lang w:val="fr-FR"/>
              </w:rPr>
              <w:t xml:space="preserve"> aux Parties d’appliquer, lorsqu’il y a lieu, les dispositions de l’article IV, paragraphe 4, tel qu’il a été modifié, dans l’esprit de la Convention, en utilisant des instruments autres que les </w:t>
            </w:r>
            <w:r w:rsidRPr="00A164D4">
              <w:rPr>
                <w:strike/>
                <w:lang w:val="fr-FR"/>
              </w:rPr>
              <w:t>ACCORDs</w:t>
            </w:r>
            <w:r w:rsidRPr="00835891">
              <w:rPr>
                <w:lang w:val="fr-FR"/>
              </w:rPr>
              <w:t xml:space="preserve"> </w:t>
            </w:r>
            <w:r w:rsidR="00A164D4" w:rsidRPr="00A164D4">
              <w:rPr>
                <w:u w:val="single"/>
                <w:lang w:val="fr-FR"/>
              </w:rPr>
              <w:t>ACCORDS</w:t>
            </w:r>
            <w:r w:rsidR="00A164D4" w:rsidRPr="00835891">
              <w:rPr>
                <w:lang w:val="fr-FR"/>
              </w:rPr>
              <w:t xml:space="preserve"> </w:t>
            </w:r>
            <w:r w:rsidRPr="00835891">
              <w:rPr>
                <w:lang w:val="fr-FR"/>
              </w:rPr>
              <w:t xml:space="preserve">au sens de l’article V, </w:t>
            </w:r>
            <w:r w:rsidRPr="0089725D">
              <w:rPr>
                <w:strike/>
                <w:lang w:val="fr-FR"/>
              </w:rPr>
              <w:t>étant entendu que ces instruments peuvent être conçus comme un premier pas vers la conclusion d’un ACCORD au sens de l’article V</w:t>
            </w:r>
            <w:r w:rsidRPr="00835891">
              <w:rPr>
                <w:lang w:val="fr-FR"/>
              </w:rPr>
              <w:t>;</w:t>
            </w:r>
          </w:p>
        </w:tc>
        <w:tc>
          <w:tcPr>
            <w:tcW w:w="2576" w:type="dxa"/>
            <w:shd w:val="clear" w:color="auto" w:fill="auto"/>
          </w:tcPr>
          <w:p w14:paraId="023E8658" w14:textId="381E2FBF" w:rsidR="00760641" w:rsidRPr="00835891" w:rsidRDefault="00C86A8D" w:rsidP="00226389">
            <w:pPr>
              <w:jc w:val="both"/>
            </w:pPr>
            <w:r>
              <w:t>Résolution</w:t>
            </w:r>
            <w:r w:rsidR="00760641" w:rsidRPr="00835891">
              <w:t xml:space="preserve"> 2.6</w:t>
            </w:r>
          </w:p>
          <w:p w14:paraId="33B48FB9" w14:textId="77777777" w:rsidR="00760641" w:rsidRPr="00835891" w:rsidRDefault="00760641" w:rsidP="00226389">
            <w:pPr>
              <w:jc w:val="both"/>
            </w:pPr>
          </w:p>
          <w:p w14:paraId="35127257" w14:textId="662EE26A" w:rsidR="00760641" w:rsidRPr="00636B51" w:rsidRDefault="00C86A8D" w:rsidP="00226389">
            <w:pPr>
              <w:rPr>
                <w:lang w:val="fr-FR"/>
              </w:rPr>
            </w:pPr>
            <w:r w:rsidRPr="00636B51">
              <w:rPr>
                <w:lang w:val="fr-FR"/>
              </w:rPr>
              <w:t>Conserver</w:t>
            </w:r>
            <w:r w:rsidR="00760641" w:rsidRPr="00636B51">
              <w:rPr>
                <w:lang w:val="fr-FR"/>
              </w:rPr>
              <w:t xml:space="preserve"> </w:t>
            </w:r>
            <w:r w:rsidR="00636B51" w:rsidRPr="00636B51">
              <w:rPr>
                <w:lang w:val="fr-FR"/>
              </w:rPr>
              <w:t>mais abroger le texte indiqué à la lumière du paragraphe 7 ci-dessous</w:t>
            </w:r>
          </w:p>
        </w:tc>
      </w:tr>
      <w:tr w:rsidR="00760641" w:rsidRPr="00835891" w14:paraId="62B77684" w14:textId="77777777" w:rsidTr="00E546AA">
        <w:tc>
          <w:tcPr>
            <w:tcW w:w="6917" w:type="dxa"/>
            <w:shd w:val="clear" w:color="auto" w:fill="auto"/>
          </w:tcPr>
          <w:p w14:paraId="374A716A" w14:textId="496D04E5" w:rsidR="00760641" w:rsidRPr="00FB1754" w:rsidRDefault="00022A8A" w:rsidP="000E3E9F">
            <w:pPr>
              <w:widowControl/>
              <w:autoSpaceDE/>
              <w:autoSpaceDN/>
              <w:adjustRightInd/>
              <w:jc w:val="both"/>
              <w:rPr>
                <w:szCs w:val="17"/>
                <w:lang w:val="fr-FR"/>
              </w:rPr>
            </w:pPr>
            <w:r w:rsidRPr="0089725D">
              <w:rPr>
                <w:strike/>
                <w:lang w:val="fr-FR"/>
              </w:rPr>
              <w:t>3.</w:t>
            </w:r>
            <w:r w:rsidRPr="00835891">
              <w:rPr>
                <w:lang w:val="fr-FR"/>
              </w:rPr>
              <w:t xml:space="preserve"> </w:t>
            </w:r>
            <w:r w:rsidR="0089725D">
              <w:rPr>
                <w:u w:val="single"/>
                <w:lang w:val="fr-FR"/>
              </w:rPr>
              <w:t xml:space="preserve">4. </w:t>
            </w:r>
            <w:r w:rsidRPr="00835891">
              <w:rPr>
                <w:i/>
                <w:lang w:val="fr-FR"/>
              </w:rPr>
              <w:t>Suggère</w:t>
            </w:r>
            <w:r w:rsidRPr="00835891">
              <w:rPr>
                <w:lang w:val="fr-FR"/>
              </w:rPr>
              <w:t xml:space="preserve"> que, chaque fois que cela sera approprié et réalisable, ces instruments prennent la forme, par exemple, d’accords administratifs, de </w:t>
            </w:r>
            <w:r w:rsidRPr="000E3E9F">
              <w:rPr>
                <w:strike/>
                <w:lang w:val="fr-FR"/>
              </w:rPr>
              <w:t>mémorandums d’accords</w:t>
            </w:r>
            <w:r w:rsidR="000E3E9F">
              <w:rPr>
                <w:strike/>
                <w:lang w:val="fr-FR"/>
              </w:rPr>
              <w:t xml:space="preserve"> </w:t>
            </w:r>
            <w:r w:rsidR="000E3E9F" w:rsidRPr="00FB1754">
              <w:rPr>
                <w:u w:val="single"/>
                <w:lang w:val="fr-FR"/>
              </w:rPr>
              <w:t>m</w:t>
            </w:r>
            <w:r w:rsidR="00990E51" w:rsidRPr="00FB1754">
              <w:rPr>
                <w:szCs w:val="17"/>
                <w:u w:val="single"/>
                <w:lang w:val="fr-FR"/>
              </w:rPr>
              <w:t>é</w:t>
            </w:r>
            <w:r w:rsidR="000E3E9F" w:rsidRPr="00FB1754">
              <w:rPr>
                <w:u w:val="single"/>
                <w:lang w:val="fr-FR"/>
              </w:rPr>
              <w:t>morandums d’entente</w:t>
            </w:r>
            <w:r w:rsidRPr="00835891">
              <w:rPr>
                <w:lang w:val="fr-FR"/>
              </w:rPr>
              <w:t>, ou de résolutions proposées par les États Parties de l’air de répartition et adoptées par la Conférence des parties.  L’article V. paragraphe 2 de la Convention devrait également s’appliquer à ces instruments</w:t>
            </w:r>
            <w:r w:rsidR="0089725D">
              <w:rPr>
                <w:lang w:val="fr-FR"/>
              </w:rPr>
              <w:t>;</w:t>
            </w:r>
          </w:p>
        </w:tc>
        <w:tc>
          <w:tcPr>
            <w:tcW w:w="2576" w:type="dxa"/>
            <w:shd w:val="clear" w:color="auto" w:fill="auto"/>
          </w:tcPr>
          <w:p w14:paraId="13B67CE7" w14:textId="0BBE9085" w:rsidR="00760641" w:rsidRPr="00835891" w:rsidRDefault="00C86A8D" w:rsidP="00226389">
            <w:pPr>
              <w:jc w:val="both"/>
            </w:pPr>
            <w:r>
              <w:t>Résolution</w:t>
            </w:r>
            <w:r w:rsidR="00760641" w:rsidRPr="00835891">
              <w:t xml:space="preserve"> 2.6</w:t>
            </w:r>
          </w:p>
          <w:p w14:paraId="5AE26675" w14:textId="77777777" w:rsidR="00760641" w:rsidRPr="00835891" w:rsidRDefault="00760641" w:rsidP="00226389">
            <w:pPr>
              <w:jc w:val="both"/>
            </w:pPr>
          </w:p>
          <w:p w14:paraId="3DEDB14C" w14:textId="370774E5" w:rsidR="00760641" w:rsidRPr="00835891" w:rsidRDefault="00C86A8D" w:rsidP="00226389">
            <w:r>
              <w:t>Conserver</w:t>
            </w:r>
          </w:p>
        </w:tc>
      </w:tr>
      <w:tr w:rsidR="00760641" w:rsidRPr="00835891" w14:paraId="1DDC105C" w14:textId="77777777" w:rsidTr="00E546AA">
        <w:tc>
          <w:tcPr>
            <w:tcW w:w="6917" w:type="dxa"/>
            <w:shd w:val="clear" w:color="auto" w:fill="auto"/>
          </w:tcPr>
          <w:p w14:paraId="3B6A71E9" w14:textId="65632B5A" w:rsidR="00760641" w:rsidRPr="00636B51" w:rsidRDefault="00636B51" w:rsidP="00FC71A6">
            <w:pPr>
              <w:widowControl/>
              <w:autoSpaceDE/>
              <w:autoSpaceDN/>
              <w:adjustRightInd/>
              <w:jc w:val="both"/>
              <w:rPr>
                <w:b/>
                <w:szCs w:val="17"/>
                <w:u w:val="single"/>
              </w:rPr>
            </w:pPr>
            <w:r w:rsidRPr="00636B51">
              <w:rPr>
                <w:b/>
                <w:szCs w:val="17"/>
                <w:u w:val="single"/>
              </w:rPr>
              <w:t>Dé</w:t>
            </w:r>
            <w:r w:rsidR="007B07AD" w:rsidRPr="00636B51">
              <w:rPr>
                <w:b/>
                <w:szCs w:val="17"/>
                <w:u w:val="single"/>
              </w:rPr>
              <w:t>velop</w:t>
            </w:r>
            <w:r w:rsidRPr="00636B51">
              <w:rPr>
                <w:b/>
                <w:szCs w:val="17"/>
                <w:u w:val="single"/>
              </w:rPr>
              <w:t>pe</w:t>
            </w:r>
            <w:r w:rsidR="007B07AD" w:rsidRPr="00636B51">
              <w:rPr>
                <w:b/>
                <w:szCs w:val="17"/>
                <w:u w:val="single"/>
              </w:rPr>
              <w:t xml:space="preserve">ment </w:t>
            </w:r>
            <w:r w:rsidRPr="00636B51">
              <w:rPr>
                <w:b/>
                <w:szCs w:val="17"/>
                <w:u w:val="single"/>
              </w:rPr>
              <w:t>d’Accords</w:t>
            </w:r>
          </w:p>
        </w:tc>
        <w:tc>
          <w:tcPr>
            <w:tcW w:w="2576" w:type="dxa"/>
            <w:shd w:val="clear" w:color="auto" w:fill="auto"/>
          </w:tcPr>
          <w:p w14:paraId="7DA0D36E" w14:textId="71EB7357" w:rsidR="00760641" w:rsidRPr="00835891" w:rsidRDefault="00636B51" w:rsidP="00226389">
            <w:r w:rsidRPr="00636B51">
              <w:t>Nouveau titre</w:t>
            </w:r>
          </w:p>
        </w:tc>
      </w:tr>
      <w:tr w:rsidR="00760641" w:rsidRPr="00835891" w14:paraId="4043C15F" w14:textId="77777777" w:rsidTr="00E546AA">
        <w:tc>
          <w:tcPr>
            <w:tcW w:w="6917" w:type="dxa"/>
            <w:shd w:val="clear" w:color="auto" w:fill="auto"/>
          </w:tcPr>
          <w:p w14:paraId="1EBE1887" w14:textId="02FEFE64" w:rsidR="00760641" w:rsidRPr="00FB1754" w:rsidRDefault="00022A8A" w:rsidP="00F50DAA">
            <w:pPr>
              <w:widowControl/>
              <w:autoSpaceDE/>
              <w:autoSpaceDN/>
              <w:adjustRightInd/>
              <w:jc w:val="both"/>
              <w:rPr>
                <w:szCs w:val="17"/>
                <w:lang w:val="fr-FR"/>
              </w:rPr>
            </w:pPr>
            <w:r w:rsidRPr="0037368A">
              <w:rPr>
                <w:strike/>
                <w:lang w:val="fr-FR"/>
              </w:rPr>
              <w:t>1.</w:t>
            </w:r>
            <w:r w:rsidRPr="00835891">
              <w:rPr>
                <w:lang w:val="fr-FR"/>
              </w:rPr>
              <w:t xml:space="preserve"> </w:t>
            </w:r>
            <w:r w:rsidR="0037368A">
              <w:rPr>
                <w:u w:val="single"/>
                <w:lang w:val="fr-FR"/>
              </w:rPr>
              <w:t xml:space="preserve">5. </w:t>
            </w:r>
            <w:r w:rsidRPr="00835891">
              <w:rPr>
                <w:i/>
                <w:lang w:val="fr-FR"/>
              </w:rPr>
              <w:t>Souligne</w:t>
            </w:r>
            <w:r w:rsidRPr="00835891">
              <w:rPr>
                <w:lang w:val="fr-FR"/>
              </w:rPr>
              <w:t xml:space="preserve"> qu’il est souhaitable de conclure des </w:t>
            </w:r>
            <w:r w:rsidR="0037368A" w:rsidRPr="00701C76">
              <w:rPr>
                <w:strike/>
                <w:lang w:val="fr-FR"/>
              </w:rPr>
              <w:t>ACCORDs</w:t>
            </w:r>
            <w:r w:rsidR="0037368A" w:rsidRPr="00835891">
              <w:rPr>
                <w:lang w:val="fr-FR"/>
              </w:rPr>
              <w:t xml:space="preserve"> </w:t>
            </w:r>
            <w:r w:rsidR="0037368A" w:rsidRPr="00701C76">
              <w:rPr>
                <w:u w:val="single"/>
                <w:lang w:val="fr-FR"/>
              </w:rPr>
              <w:t>ACCORD</w:t>
            </w:r>
            <w:r w:rsidR="0037368A">
              <w:rPr>
                <w:u w:val="single"/>
                <w:lang w:val="fr-FR"/>
              </w:rPr>
              <w:t>S</w:t>
            </w:r>
            <w:r w:rsidRPr="00835891">
              <w:rPr>
                <w:lang w:val="fr-FR"/>
              </w:rPr>
              <w:t xml:space="preserve"> conformément à l’article V de la Convention chaque fois que de tels </w:t>
            </w:r>
            <w:r w:rsidR="0037368A" w:rsidRPr="00701C76">
              <w:rPr>
                <w:strike/>
                <w:lang w:val="fr-FR"/>
              </w:rPr>
              <w:t>ACCORDs</w:t>
            </w:r>
            <w:r w:rsidR="0037368A" w:rsidRPr="00835891">
              <w:rPr>
                <w:lang w:val="fr-FR"/>
              </w:rPr>
              <w:t xml:space="preserve"> </w:t>
            </w:r>
            <w:r w:rsidR="0037368A" w:rsidRPr="00701C76">
              <w:rPr>
                <w:u w:val="single"/>
                <w:lang w:val="fr-FR"/>
              </w:rPr>
              <w:t>ACCORD</w:t>
            </w:r>
            <w:r w:rsidR="0037368A">
              <w:rPr>
                <w:u w:val="single"/>
                <w:lang w:val="fr-FR"/>
              </w:rPr>
              <w:t>S</w:t>
            </w:r>
            <w:r w:rsidR="0037368A" w:rsidRPr="00835891">
              <w:rPr>
                <w:lang w:val="fr-FR"/>
              </w:rPr>
              <w:t xml:space="preserve"> </w:t>
            </w:r>
            <w:r w:rsidRPr="00835891">
              <w:rPr>
                <w:lang w:val="fr-FR"/>
              </w:rPr>
              <w:t>sont nécessaires en raison de la nature des obligations dont les Parties doivent s’acquitter;</w:t>
            </w:r>
          </w:p>
        </w:tc>
        <w:tc>
          <w:tcPr>
            <w:tcW w:w="2576" w:type="dxa"/>
            <w:shd w:val="clear" w:color="auto" w:fill="auto"/>
          </w:tcPr>
          <w:p w14:paraId="3AE0DF1C" w14:textId="27D7BF0A" w:rsidR="00760641" w:rsidRPr="00835891" w:rsidRDefault="00C86A8D" w:rsidP="00226389">
            <w:pPr>
              <w:jc w:val="both"/>
            </w:pPr>
            <w:r>
              <w:t>Résolution</w:t>
            </w:r>
            <w:r w:rsidR="00760641" w:rsidRPr="00835891">
              <w:t xml:space="preserve"> 2.6</w:t>
            </w:r>
          </w:p>
          <w:p w14:paraId="5FDBFCCD" w14:textId="77777777" w:rsidR="00760641" w:rsidRPr="00835891" w:rsidRDefault="00760641" w:rsidP="00226389">
            <w:pPr>
              <w:jc w:val="both"/>
            </w:pPr>
          </w:p>
          <w:p w14:paraId="7DBFC05E" w14:textId="39002665" w:rsidR="00760641" w:rsidRPr="00835891" w:rsidRDefault="00C86A8D" w:rsidP="00226389">
            <w:r>
              <w:rPr>
                <w:bCs/>
                <w:lang w:val="en-GB"/>
              </w:rPr>
              <w:t>Conserver</w:t>
            </w:r>
          </w:p>
        </w:tc>
      </w:tr>
      <w:tr w:rsidR="00760641" w:rsidRPr="00835891" w14:paraId="12F9A031" w14:textId="77777777" w:rsidTr="00E546AA">
        <w:tc>
          <w:tcPr>
            <w:tcW w:w="6917" w:type="dxa"/>
            <w:shd w:val="clear" w:color="auto" w:fill="auto"/>
          </w:tcPr>
          <w:p w14:paraId="4DF36C7A" w14:textId="0B71ECA1" w:rsidR="00760641" w:rsidRPr="00FB1754" w:rsidRDefault="00B55132" w:rsidP="00F50DAA">
            <w:pPr>
              <w:widowControl/>
              <w:autoSpaceDE/>
              <w:autoSpaceDN/>
              <w:adjustRightInd/>
              <w:jc w:val="both"/>
              <w:rPr>
                <w:szCs w:val="17"/>
                <w:lang w:val="fr-FR"/>
              </w:rPr>
            </w:pPr>
            <w:r w:rsidRPr="0037368A">
              <w:rPr>
                <w:strike/>
                <w:lang w:val="fr-FR"/>
              </w:rPr>
              <w:t>3.</w:t>
            </w:r>
            <w:r w:rsidRPr="00835891">
              <w:rPr>
                <w:lang w:val="fr-FR"/>
              </w:rPr>
              <w:t xml:space="preserve"> </w:t>
            </w:r>
            <w:r w:rsidR="0037368A">
              <w:rPr>
                <w:u w:val="single"/>
                <w:lang w:val="fr-FR"/>
              </w:rPr>
              <w:t xml:space="preserve">6. </w:t>
            </w:r>
            <w:r w:rsidRPr="00835891">
              <w:rPr>
                <w:i/>
                <w:lang w:val="fr-FR"/>
              </w:rPr>
              <w:t>Décide</w:t>
            </w:r>
            <w:r w:rsidRPr="00835891">
              <w:rPr>
                <w:lang w:val="fr-FR"/>
              </w:rPr>
              <w:t xml:space="preserve"> que, si la finalité générale des accords conclus en application du paragraphe 4 de l’article IV doit être de couvrir l’ensemble de l’aire de répartition des espèces migratrices, et d’être ouverts à l’adhésion de tous les États de l’aire de répartition, il n’est pas nécessaire de le faire si la conclusion ou l’application de tels accords découlant de la Convention devaient de ce fait s’en trouver compromises; et</w:t>
            </w:r>
          </w:p>
        </w:tc>
        <w:tc>
          <w:tcPr>
            <w:tcW w:w="2576" w:type="dxa"/>
            <w:shd w:val="clear" w:color="auto" w:fill="auto"/>
          </w:tcPr>
          <w:p w14:paraId="261809CD" w14:textId="1F471E69" w:rsidR="00760641" w:rsidRPr="00835891" w:rsidRDefault="00C86A8D" w:rsidP="00226389">
            <w:pPr>
              <w:jc w:val="both"/>
            </w:pPr>
            <w:r>
              <w:t>Résolution</w:t>
            </w:r>
            <w:r w:rsidR="00760641" w:rsidRPr="00835891">
              <w:t xml:space="preserve"> 3.5</w:t>
            </w:r>
          </w:p>
          <w:p w14:paraId="033CBD64" w14:textId="77777777" w:rsidR="00760641" w:rsidRPr="00835891" w:rsidRDefault="00760641" w:rsidP="00226389">
            <w:pPr>
              <w:jc w:val="both"/>
            </w:pPr>
          </w:p>
          <w:p w14:paraId="0E955C11" w14:textId="52279D5B" w:rsidR="00760641" w:rsidRPr="00835891" w:rsidRDefault="00C86A8D" w:rsidP="00226389">
            <w:r>
              <w:t>Conserver</w:t>
            </w:r>
          </w:p>
        </w:tc>
      </w:tr>
      <w:tr w:rsidR="00760641" w:rsidRPr="00835891" w14:paraId="15F565CC" w14:textId="77777777" w:rsidTr="00E546AA">
        <w:tc>
          <w:tcPr>
            <w:tcW w:w="6917" w:type="dxa"/>
            <w:shd w:val="clear" w:color="auto" w:fill="auto"/>
          </w:tcPr>
          <w:p w14:paraId="19311ED7" w14:textId="1AC80D02" w:rsidR="00760641" w:rsidRPr="00FB1754" w:rsidRDefault="00B55132" w:rsidP="00FC71A6">
            <w:pPr>
              <w:widowControl/>
              <w:tabs>
                <w:tab w:val="left" w:pos="1600"/>
              </w:tabs>
              <w:autoSpaceDE/>
              <w:autoSpaceDN/>
              <w:adjustRightInd/>
              <w:jc w:val="both"/>
              <w:rPr>
                <w:szCs w:val="17"/>
                <w:lang w:val="fr-FR"/>
              </w:rPr>
            </w:pPr>
            <w:r w:rsidRPr="00FB1754">
              <w:rPr>
                <w:strike/>
                <w:szCs w:val="17"/>
                <w:lang w:val="fr-FR"/>
              </w:rPr>
              <w:t>4</w:t>
            </w:r>
            <w:r w:rsidRPr="00FB1754">
              <w:rPr>
                <w:szCs w:val="17"/>
                <w:lang w:val="fr-FR"/>
              </w:rPr>
              <w:t xml:space="preserve">. </w:t>
            </w:r>
            <w:r w:rsidR="0037368A" w:rsidRPr="00FB1754">
              <w:rPr>
                <w:szCs w:val="17"/>
                <w:u w:val="single"/>
                <w:lang w:val="fr-FR"/>
              </w:rPr>
              <w:t xml:space="preserve">7. </w:t>
            </w:r>
            <w:r w:rsidRPr="00835891">
              <w:rPr>
                <w:i/>
                <w:lang w:val="fr-FR"/>
              </w:rPr>
              <w:t>Estime</w:t>
            </w:r>
            <w:r w:rsidRPr="00835891">
              <w:rPr>
                <w:lang w:val="fr-FR"/>
              </w:rPr>
              <w:t xml:space="preserve"> que, si dans certains cas, de tels accords peuvent être élaborés à titre de première mesure dans la voie de la conclusion des ACCORDS visés au paragraphe 3 de l’article IV, il se peut que cela se révèle inapproprié dans d’autres cas</w:t>
            </w:r>
            <w:r w:rsidR="00F50DAA">
              <w:rPr>
                <w:lang w:val="fr-FR"/>
              </w:rPr>
              <w:t> ;</w:t>
            </w:r>
          </w:p>
        </w:tc>
        <w:tc>
          <w:tcPr>
            <w:tcW w:w="2576" w:type="dxa"/>
            <w:shd w:val="clear" w:color="auto" w:fill="auto"/>
          </w:tcPr>
          <w:p w14:paraId="75148C84" w14:textId="221FE1B5" w:rsidR="00760641" w:rsidRPr="00835891" w:rsidRDefault="00C86A8D" w:rsidP="00226389">
            <w:pPr>
              <w:jc w:val="both"/>
            </w:pPr>
            <w:r>
              <w:t>Résolution</w:t>
            </w:r>
            <w:r w:rsidR="00760641" w:rsidRPr="00835891">
              <w:t xml:space="preserve"> 3.5</w:t>
            </w:r>
          </w:p>
          <w:p w14:paraId="305FA102" w14:textId="77777777" w:rsidR="00760641" w:rsidRPr="00835891" w:rsidRDefault="00760641" w:rsidP="00226389">
            <w:pPr>
              <w:jc w:val="both"/>
            </w:pPr>
          </w:p>
          <w:p w14:paraId="0C78EBA9" w14:textId="44706348" w:rsidR="00760641" w:rsidRPr="00835891" w:rsidRDefault="00C86A8D" w:rsidP="00226389">
            <w:r>
              <w:t>Conserver</w:t>
            </w:r>
          </w:p>
        </w:tc>
      </w:tr>
      <w:tr w:rsidR="00760641" w:rsidRPr="00835891" w14:paraId="1531A7B1" w14:textId="77777777" w:rsidTr="00E546AA">
        <w:tc>
          <w:tcPr>
            <w:tcW w:w="6917" w:type="dxa"/>
            <w:shd w:val="clear" w:color="auto" w:fill="auto"/>
          </w:tcPr>
          <w:p w14:paraId="5D11BAD6" w14:textId="700B58BA" w:rsidR="00760641" w:rsidRPr="00FB1754" w:rsidRDefault="00923703" w:rsidP="00751C68">
            <w:pPr>
              <w:widowControl/>
              <w:autoSpaceDE/>
              <w:autoSpaceDN/>
              <w:adjustRightInd/>
              <w:jc w:val="both"/>
              <w:rPr>
                <w:szCs w:val="17"/>
                <w:lang w:val="fr-FR"/>
              </w:rPr>
            </w:pPr>
            <w:r w:rsidRPr="00FB1754">
              <w:rPr>
                <w:strike/>
                <w:szCs w:val="17"/>
                <w:lang w:val="fr-FR"/>
              </w:rPr>
              <w:t>1</w:t>
            </w:r>
            <w:r w:rsidRPr="00FB1754">
              <w:rPr>
                <w:szCs w:val="17"/>
                <w:lang w:val="fr-FR"/>
              </w:rPr>
              <w:t xml:space="preserve">. </w:t>
            </w:r>
            <w:r w:rsidR="0037368A" w:rsidRPr="00FB1754">
              <w:rPr>
                <w:szCs w:val="17"/>
                <w:u w:val="single"/>
                <w:lang w:val="fr-FR"/>
              </w:rPr>
              <w:t xml:space="preserve">8. </w:t>
            </w:r>
            <w:r w:rsidRPr="00FB1754">
              <w:rPr>
                <w:i/>
                <w:iCs/>
                <w:szCs w:val="17"/>
                <w:lang w:val="fr-FR"/>
              </w:rPr>
              <w:t xml:space="preserve">Demande </w:t>
            </w:r>
            <w:r w:rsidRPr="00FB1754">
              <w:rPr>
                <w:szCs w:val="17"/>
                <w:lang w:val="fr-FR"/>
              </w:rPr>
              <w:t xml:space="preserve">au Secrétariat et au Conseil scientifique, </w:t>
            </w:r>
            <w:r w:rsidRPr="00FB1754">
              <w:rPr>
                <w:i/>
                <w:iCs/>
                <w:szCs w:val="17"/>
                <w:lang w:val="fr-FR"/>
              </w:rPr>
              <w:t xml:space="preserve">prie instamment </w:t>
            </w:r>
            <w:r w:rsidRPr="00FB1754">
              <w:rPr>
                <w:szCs w:val="17"/>
                <w:lang w:val="fr-FR"/>
              </w:rPr>
              <w:t xml:space="preserve">les Parties et </w:t>
            </w:r>
            <w:r w:rsidRPr="00FB1754">
              <w:rPr>
                <w:i/>
                <w:iCs/>
                <w:szCs w:val="17"/>
                <w:lang w:val="fr-FR"/>
              </w:rPr>
              <w:t xml:space="preserve">invite </w:t>
            </w:r>
            <w:r w:rsidRPr="00FB1754">
              <w:rPr>
                <w:szCs w:val="17"/>
                <w:lang w:val="fr-FR"/>
              </w:rPr>
              <w:t>les autres parties prenantes concernées à appliquer les critères figurant dans l’annexe à la présente résolution dans le cadre de l’élaboration et l’évaluation des propositions de futurs Accords; </w:t>
            </w:r>
          </w:p>
        </w:tc>
        <w:tc>
          <w:tcPr>
            <w:tcW w:w="2576" w:type="dxa"/>
            <w:shd w:val="clear" w:color="auto" w:fill="auto"/>
          </w:tcPr>
          <w:p w14:paraId="176B78BF" w14:textId="17C7194B" w:rsidR="00760641" w:rsidRPr="00835891" w:rsidRDefault="00C86A8D" w:rsidP="00226389">
            <w:pPr>
              <w:jc w:val="both"/>
            </w:pPr>
            <w:r>
              <w:t>Résolution</w:t>
            </w:r>
            <w:r w:rsidR="00760641" w:rsidRPr="00835891">
              <w:t xml:space="preserve"> 11.12</w:t>
            </w:r>
          </w:p>
          <w:p w14:paraId="1103F1C2" w14:textId="77777777" w:rsidR="00760641" w:rsidRPr="00835891" w:rsidRDefault="00760641" w:rsidP="00226389">
            <w:pPr>
              <w:jc w:val="both"/>
            </w:pPr>
          </w:p>
          <w:p w14:paraId="0C3981B5" w14:textId="047B9AE7" w:rsidR="00760641" w:rsidRPr="00835891" w:rsidRDefault="00C86A8D" w:rsidP="00226389">
            <w:r>
              <w:t>Conserver</w:t>
            </w:r>
          </w:p>
        </w:tc>
      </w:tr>
      <w:tr w:rsidR="00760641" w:rsidRPr="00835891" w14:paraId="7F57A44A" w14:textId="77777777" w:rsidTr="00E546AA">
        <w:tc>
          <w:tcPr>
            <w:tcW w:w="6917" w:type="dxa"/>
            <w:shd w:val="clear" w:color="auto" w:fill="auto"/>
          </w:tcPr>
          <w:p w14:paraId="1E790DA4" w14:textId="7E57D1DA" w:rsidR="00760641" w:rsidRPr="00FB1754" w:rsidRDefault="00923703" w:rsidP="00751C68">
            <w:pPr>
              <w:widowControl/>
              <w:autoSpaceDE/>
              <w:autoSpaceDN/>
              <w:adjustRightInd/>
              <w:jc w:val="both"/>
              <w:rPr>
                <w:szCs w:val="17"/>
                <w:lang w:val="fr-FR"/>
              </w:rPr>
            </w:pPr>
            <w:r w:rsidRPr="00FB1754">
              <w:rPr>
                <w:strike/>
                <w:szCs w:val="17"/>
                <w:lang w:val="fr-FR"/>
              </w:rPr>
              <w:t>2</w:t>
            </w:r>
            <w:r w:rsidRPr="00FB1754">
              <w:rPr>
                <w:szCs w:val="17"/>
                <w:lang w:val="fr-FR"/>
              </w:rPr>
              <w:t xml:space="preserve">. </w:t>
            </w:r>
            <w:r w:rsidR="0037368A" w:rsidRPr="00FB1754">
              <w:rPr>
                <w:szCs w:val="17"/>
                <w:u w:val="single"/>
                <w:lang w:val="fr-FR"/>
              </w:rPr>
              <w:t xml:space="preserve">9. </w:t>
            </w:r>
            <w:r w:rsidRPr="00FB1754">
              <w:rPr>
                <w:i/>
                <w:iCs/>
                <w:szCs w:val="17"/>
                <w:lang w:val="fr-FR"/>
              </w:rPr>
              <w:t xml:space="preserve">Prie instamment </w:t>
            </w:r>
            <w:r w:rsidRPr="00FB1754">
              <w:rPr>
                <w:szCs w:val="17"/>
                <w:lang w:val="fr-FR"/>
              </w:rPr>
              <w:t>tous les États de l’aire de répartition des Accords existants au titre de la Convention qui ne l’ont pas encore fait, de signer ou de ratifier ces Accords, ou d’y adhérer, selon qu’il convient, et de contribuer activement à leur mise en oeuvre; </w:t>
            </w:r>
          </w:p>
        </w:tc>
        <w:tc>
          <w:tcPr>
            <w:tcW w:w="2576" w:type="dxa"/>
            <w:shd w:val="clear" w:color="auto" w:fill="auto"/>
          </w:tcPr>
          <w:p w14:paraId="437E2B56" w14:textId="537E36A2" w:rsidR="00760641" w:rsidRPr="00835891" w:rsidRDefault="00C86A8D" w:rsidP="00226389">
            <w:pPr>
              <w:jc w:val="both"/>
            </w:pPr>
            <w:r>
              <w:t>Résolution</w:t>
            </w:r>
            <w:r w:rsidR="00760641" w:rsidRPr="00835891">
              <w:t xml:space="preserve"> 11.12</w:t>
            </w:r>
          </w:p>
          <w:p w14:paraId="5A514C92" w14:textId="77777777" w:rsidR="00760641" w:rsidRPr="00835891" w:rsidRDefault="00760641" w:rsidP="00226389">
            <w:pPr>
              <w:jc w:val="both"/>
            </w:pPr>
          </w:p>
          <w:p w14:paraId="250D03CD" w14:textId="2D66877C" w:rsidR="00760641" w:rsidRPr="00835891" w:rsidRDefault="00C86A8D" w:rsidP="00226389">
            <w:r>
              <w:t>Conserver</w:t>
            </w:r>
          </w:p>
        </w:tc>
      </w:tr>
      <w:tr w:rsidR="00760641" w:rsidRPr="00835891" w14:paraId="16C3418B" w14:textId="77777777" w:rsidTr="00E546AA">
        <w:tc>
          <w:tcPr>
            <w:tcW w:w="6917" w:type="dxa"/>
            <w:shd w:val="clear" w:color="auto" w:fill="auto"/>
          </w:tcPr>
          <w:p w14:paraId="3F23EC73" w14:textId="0A1A82D2" w:rsidR="00760641" w:rsidRPr="00FB1754" w:rsidRDefault="00923703" w:rsidP="00751C68">
            <w:pPr>
              <w:widowControl/>
              <w:autoSpaceDE/>
              <w:autoSpaceDN/>
              <w:adjustRightInd/>
              <w:jc w:val="both"/>
              <w:rPr>
                <w:szCs w:val="17"/>
                <w:lang w:val="fr-FR"/>
              </w:rPr>
            </w:pPr>
            <w:r w:rsidRPr="00FB1754">
              <w:rPr>
                <w:strike/>
                <w:szCs w:val="17"/>
                <w:lang w:val="fr-FR"/>
              </w:rPr>
              <w:t>3.</w:t>
            </w:r>
            <w:r w:rsidRPr="00FB1754">
              <w:rPr>
                <w:szCs w:val="17"/>
                <w:lang w:val="fr-FR"/>
              </w:rPr>
              <w:t xml:space="preserve"> </w:t>
            </w:r>
            <w:r w:rsidR="0037368A" w:rsidRPr="00FB1754">
              <w:rPr>
                <w:szCs w:val="17"/>
                <w:u w:val="single"/>
                <w:lang w:val="fr-FR"/>
              </w:rPr>
              <w:t xml:space="preserve">10. </w:t>
            </w:r>
            <w:r w:rsidRPr="00FB1754">
              <w:rPr>
                <w:i/>
                <w:iCs/>
                <w:szCs w:val="17"/>
                <w:lang w:val="fr-FR"/>
              </w:rPr>
              <w:t xml:space="preserve">Invite </w:t>
            </w:r>
            <w:r w:rsidRPr="00FB1754">
              <w:rPr>
                <w:szCs w:val="17"/>
                <w:lang w:val="fr-FR"/>
              </w:rPr>
              <w:t>les Parties, les autres gouvernements et les organisations intéressées à fournir un appui financier volontaire et d’autres formes d’appui, lorsque cela est possible, pour assurer un fonctionnement efficace des Accords au titre de la Convention; </w:t>
            </w:r>
          </w:p>
        </w:tc>
        <w:tc>
          <w:tcPr>
            <w:tcW w:w="2576" w:type="dxa"/>
            <w:shd w:val="clear" w:color="auto" w:fill="auto"/>
          </w:tcPr>
          <w:p w14:paraId="426CBAFF" w14:textId="00A51A9D" w:rsidR="00760641" w:rsidRPr="00835891" w:rsidRDefault="00C86A8D" w:rsidP="00226389">
            <w:pPr>
              <w:jc w:val="both"/>
            </w:pPr>
            <w:r>
              <w:t>Résolution</w:t>
            </w:r>
            <w:r w:rsidR="00760641" w:rsidRPr="00835891">
              <w:t xml:space="preserve"> 11.12</w:t>
            </w:r>
          </w:p>
          <w:p w14:paraId="604E9630" w14:textId="77777777" w:rsidR="00760641" w:rsidRPr="00835891" w:rsidRDefault="00760641" w:rsidP="00226389">
            <w:pPr>
              <w:jc w:val="both"/>
            </w:pPr>
          </w:p>
          <w:p w14:paraId="6032C52D" w14:textId="2EBFDAA8" w:rsidR="00760641" w:rsidRPr="00835891" w:rsidRDefault="00C86A8D" w:rsidP="00226389">
            <w:r>
              <w:t>Conserver</w:t>
            </w:r>
          </w:p>
        </w:tc>
      </w:tr>
      <w:tr w:rsidR="00760641" w:rsidRPr="00835891" w14:paraId="5ABE26E8" w14:textId="77777777" w:rsidTr="00E546AA">
        <w:tc>
          <w:tcPr>
            <w:tcW w:w="6917" w:type="dxa"/>
            <w:shd w:val="clear" w:color="auto" w:fill="auto"/>
          </w:tcPr>
          <w:p w14:paraId="229C5B70" w14:textId="3619780C" w:rsidR="00760641" w:rsidRPr="00FB1754" w:rsidRDefault="00923703" w:rsidP="00751C68">
            <w:pPr>
              <w:widowControl/>
              <w:autoSpaceDE/>
              <w:autoSpaceDN/>
              <w:adjustRightInd/>
              <w:jc w:val="both"/>
              <w:rPr>
                <w:szCs w:val="17"/>
                <w:lang w:val="fr-FR"/>
              </w:rPr>
            </w:pPr>
            <w:r w:rsidRPr="00FB1754">
              <w:rPr>
                <w:strike/>
                <w:szCs w:val="17"/>
                <w:lang w:val="fr-FR"/>
              </w:rPr>
              <w:t>4.</w:t>
            </w:r>
            <w:r w:rsidRPr="00FB1754">
              <w:rPr>
                <w:szCs w:val="17"/>
                <w:lang w:val="fr-FR"/>
              </w:rPr>
              <w:t xml:space="preserve"> </w:t>
            </w:r>
            <w:r w:rsidR="0037368A" w:rsidRPr="00FB1754">
              <w:rPr>
                <w:szCs w:val="17"/>
                <w:u w:val="single"/>
                <w:lang w:val="fr-FR"/>
              </w:rPr>
              <w:t xml:space="preserve">11. </w:t>
            </w:r>
            <w:r w:rsidRPr="00FB1754">
              <w:rPr>
                <w:i/>
                <w:iCs/>
                <w:szCs w:val="17"/>
                <w:lang w:val="fr-FR"/>
              </w:rPr>
              <w:t xml:space="preserve">Prie </w:t>
            </w:r>
            <w:r w:rsidRPr="00FB1754">
              <w:rPr>
                <w:szCs w:val="17"/>
                <w:lang w:val="fr-FR"/>
              </w:rPr>
              <w:t>le Secrétariat de poursuivre ses efforts pour rechercher des partenariats avec des gouvernements et des organisations concernées, afin d’appuyer et de renforcer le fonctionnement efficace des Accords au titre de la Convention; </w:t>
            </w:r>
          </w:p>
        </w:tc>
        <w:tc>
          <w:tcPr>
            <w:tcW w:w="2576" w:type="dxa"/>
            <w:shd w:val="clear" w:color="auto" w:fill="auto"/>
          </w:tcPr>
          <w:p w14:paraId="77705A97" w14:textId="24D86255" w:rsidR="00760641" w:rsidRPr="00835891" w:rsidRDefault="00C86A8D" w:rsidP="00226389">
            <w:pPr>
              <w:jc w:val="both"/>
            </w:pPr>
            <w:r>
              <w:t>Résolution</w:t>
            </w:r>
            <w:r w:rsidR="00760641" w:rsidRPr="00835891">
              <w:t xml:space="preserve"> 11.12</w:t>
            </w:r>
          </w:p>
          <w:p w14:paraId="2C5056BB" w14:textId="77777777" w:rsidR="00760641" w:rsidRPr="00835891" w:rsidRDefault="00760641" w:rsidP="00226389">
            <w:pPr>
              <w:jc w:val="both"/>
            </w:pPr>
          </w:p>
          <w:p w14:paraId="636CA9E2" w14:textId="1AC45CB4" w:rsidR="00760641" w:rsidRPr="00835891" w:rsidRDefault="00C86A8D" w:rsidP="00226389">
            <w:r>
              <w:t>Conserver</w:t>
            </w:r>
          </w:p>
        </w:tc>
      </w:tr>
      <w:tr w:rsidR="00760641" w:rsidRPr="00835891" w14:paraId="768C7EAC" w14:textId="77777777" w:rsidTr="00E546AA">
        <w:tc>
          <w:tcPr>
            <w:tcW w:w="6917" w:type="dxa"/>
            <w:shd w:val="clear" w:color="auto" w:fill="auto"/>
          </w:tcPr>
          <w:p w14:paraId="7FC8BF46" w14:textId="24EEDDF2" w:rsidR="00760641" w:rsidRPr="00636B51" w:rsidRDefault="008B638A" w:rsidP="00FC71A6">
            <w:pPr>
              <w:widowControl/>
              <w:autoSpaceDE/>
              <w:autoSpaceDN/>
              <w:adjustRightInd/>
              <w:jc w:val="both"/>
              <w:rPr>
                <w:b/>
                <w:szCs w:val="17"/>
              </w:rPr>
            </w:pPr>
            <w:r>
              <w:rPr>
                <w:rStyle w:val="file"/>
                <w:b/>
                <w:u w:val="single"/>
              </w:rPr>
              <w:t>Administration des A</w:t>
            </w:r>
            <w:r w:rsidR="008F4601" w:rsidRPr="00636B51">
              <w:rPr>
                <w:rStyle w:val="file"/>
                <w:b/>
                <w:u w:val="single"/>
              </w:rPr>
              <w:t>ccords</w:t>
            </w:r>
          </w:p>
        </w:tc>
        <w:tc>
          <w:tcPr>
            <w:tcW w:w="2576" w:type="dxa"/>
            <w:shd w:val="clear" w:color="auto" w:fill="auto"/>
          </w:tcPr>
          <w:p w14:paraId="535ECA87" w14:textId="45219302" w:rsidR="00760641" w:rsidRPr="00835891" w:rsidRDefault="00636B51" w:rsidP="00226389">
            <w:r w:rsidRPr="00636B51">
              <w:t>Nouveau titre</w:t>
            </w:r>
          </w:p>
        </w:tc>
      </w:tr>
      <w:tr w:rsidR="00760641" w:rsidRPr="00835891" w14:paraId="6473CAE8" w14:textId="77777777" w:rsidTr="00E546AA">
        <w:tc>
          <w:tcPr>
            <w:tcW w:w="6917" w:type="dxa"/>
            <w:shd w:val="clear" w:color="auto" w:fill="auto"/>
          </w:tcPr>
          <w:p w14:paraId="2785391C" w14:textId="46442550" w:rsidR="00B55132" w:rsidRPr="008B638A" w:rsidRDefault="0037368A" w:rsidP="00636B51">
            <w:pPr>
              <w:jc w:val="both"/>
              <w:rPr>
                <w:lang w:val="fr-FR"/>
              </w:rPr>
            </w:pPr>
            <w:r>
              <w:rPr>
                <w:u w:val="single"/>
                <w:lang w:val="fr-FR"/>
              </w:rPr>
              <w:t xml:space="preserve">12. </w:t>
            </w:r>
            <w:r w:rsidR="00B55132" w:rsidRPr="008B638A">
              <w:rPr>
                <w:i/>
                <w:lang w:val="fr-FR"/>
              </w:rPr>
              <w:t>Décide</w:t>
            </w:r>
            <w:r w:rsidR="00B55132" w:rsidRPr="008B638A">
              <w:rPr>
                <w:lang w:val="fr-FR"/>
              </w:rPr>
              <w:t>:</w:t>
            </w:r>
          </w:p>
          <w:p w14:paraId="3CECA450" w14:textId="77777777" w:rsidR="00B55132" w:rsidRPr="00835891" w:rsidRDefault="00B55132" w:rsidP="00636B51">
            <w:pPr>
              <w:ind w:firstLine="720"/>
              <w:jc w:val="both"/>
              <w:rPr>
                <w:lang w:val="fr-FR"/>
              </w:rPr>
            </w:pPr>
          </w:p>
          <w:p w14:paraId="5D68734B" w14:textId="77777777" w:rsidR="00B55132" w:rsidRPr="00835891" w:rsidRDefault="00B55132" w:rsidP="008B638A">
            <w:pPr>
              <w:pStyle w:val="ListParagraph"/>
              <w:widowControl/>
              <w:numPr>
                <w:ilvl w:val="0"/>
                <w:numId w:val="4"/>
              </w:numPr>
              <w:autoSpaceDE/>
              <w:autoSpaceDN/>
              <w:adjustRightInd/>
              <w:ind w:left="306"/>
              <w:jc w:val="both"/>
              <w:rPr>
                <w:lang w:val="fr-FR"/>
              </w:rPr>
            </w:pPr>
            <w:r w:rsidRPr="00835891">
              <w:rPr>
                <w:lang w:val="fr-FR"/>
              </w:rPr>
              <w:t xml:space="preserve">Que les arrangements viseront à assurer l’administration et la coordination les plus efficaces, économiques et appropriées et, en conséquence, que les Parties à l’accord peuvent décider de confier cette administration à une partie à celui-ci, ou à un organisme national ou international, ou au Secrétariat de la Convention.  En prenant de tels arrangements, les Parties à l’accord tiennent compte du besoin de souplesse nécessaire pour </w:t>
            </w:r>
            <w:r w:rsidRPr="00835891">
              <w:rPr>
                <w:lang w:val="fr-FR"/>
              </w:rPr>
              <w:lastRenderedPageBreak/>
              <w:t>apporter, à une date ultérieure, les changements propres à assurer la réalisation des objectifs de la Convention</w:t>
            </w:r>
            <w:r w:rsidRPr="00835891">
              <w:rPr>
                <w:rFonts w:eastAsiaTheme="minorHAnsi"/>
                <w:lang w:val="fr-FR" w:eastAsia="ja-JP"/>
              </w:rPr>
              <w:t> ;</w:t>
            </w:r>
          </w:p>
          <w:p w14:paraId="0B1BE31C" w14:textId="77777777" w:rsidR="00B55132" w:rsidRPr="00835891" w:rsidRDefault="00B55132" w:rsidP="008B638A">
            <w:pPr>
              <w:pStyle w:val="ListParagraph"/>
              <w:ind w:left="306"/>
              <w:jc w:val="both"/>
              <w:rPr>
                <w:lang w:val="fr-FR"/>
              </w:rPr>
            </w:pPr>
          </w:p>
          <w:p w14:paraId="47E45B00" w14:textId="77777777" w:rsidR="00B55132" w:rsidRPr="00835891" w:rsidRDefault="00B55132" w:rsidP="008B638A">
            <w:pPr>
              <w:pStyle w:val="ListParagraph"/>
              <w:widowControl/>
              <w:numPr>
                <w:ilvl w:val="0"/>
                <w:numId w:val="4"/>
              </w:numPr>
              <w:autoSpaceDE/>
              <w:autoSpaceDN/>
              <w:adjustRightInd/>
              <w:ind w:left="306"/>
              <w:jc w:val="both"/>
              <w:rPr>
                <w:lang w:val="fr-FR"/>
              </w:rPr>
            </w:pPr>
            <w:r w:rsidRPr="00835891">
              <w:rPr>
                <w:lang w:val="fr-FR"/>
              </w:rPr>
              <w:t>Que tous les États de l’aire de répartition qui sont Parties à un accord prennent à leur charge une part des coûts de son administration conformément à la décision des Parties à l’accord ;</w:t>
            </w:r>
          </w:p>
          <w:p w14:paraId="1E83E0D3" w14:textId="77777777" w:rsidR="00B55132" w:rsidRPr="00835891" w:rsidRDefault="00B55132" w:rsidP="008B638A">
            <w:pPr>
              <w:pStyle w:val="ListParagraph"/>
              <w:ind w:left="306"/>
              <w:jc w:val="both"/>
              <w:rPr>
                <w:lang w:val="fr-FR"/>
              </w:rPr>
            </w:pPr>
          </w:p>
          <w:p w14:paraId="4454BF9E" w14:textId="77777777" w:rsidR="00B55132" w:rsidRPr="00835891" w:rsidRDefault="00B55132" w:rsidP="008B638A">
            <w:pPr>
              <w:pStyle w:val="ListParagraph"/>
              <w:widowControl/>
              <w:numPr>
                <w:ilvl w:val="0"/>
                <w:numId w:val="4"/>
              </w:numPr>
              <w:autoSpaceDE/>
              <w:autoSpaceDN/>
              <w:adjustRightInd/>
              <w:ind w:left="306"/>
              <w:jc w:val="both"/>
              <w:rPr>
                <w:lang w:val="fr-FR"/>
              </w:rPr>
            </w:pPr>
            <w:r w:rsidRPr="00835891">
              <w:rPr>
                <w:lang w:val="fr-FR"/>
              </w:rPr>
              <w:t>Que les contributions financières des Parties à un accord peuvent être versées directement à la Patrie ou à l’organisme qui administre l’accord ou par l’intermédiaire du Fonds d’affectation spéciale pour la Convention, selon ce que les parties à l’accord décident ;</w:t>
            </w:r>
          </w:p>
          <w:p w14:paraId="0247D663" w14:textId="77777777" w:rsidR="00B55132" w:rsidRPr="00835891" w:rsidRDefault="00B55132" w:rsidP="008B638A">
            <w:pPr>
              <w:pStyle w:val="ListParagraph"/>
              <w:ind w:left="306"/>
              <w:jc w:val="both"/>
              <w:rPr>
                <w:lang w:val="fr-FR"/>
              </w:rPr>
            </w:pPr>
          </w:p>
          <w:p w14:paraId="18F83A1B" w14:textId="77777777" w:rsidR="00B55132" w:rsidRPr="00835891" w:rsidRDefault="00B55132" w:rsidP="008B638A">
            <w:pPr>
              <w:pStyle w:val="ListParagraph"/>
              <w:widowControl/>
              <w:numPr>
                <w:ilvl w:val="0"/>
                <w:numId w:val="4"/>
              </w:numPr>
              <w:autoSpaceDE/>
              <w:autoSpaceDN/>
              <w:adjustRightInd/>
              <w:ind w:left="306"/>
              <w:jc w:val="both"/>
              <w:rPr>
                <w:lang w:val="fr-FR"/>
              </w:rPr>
            </w:pPr>
            <w:r w:rsidRPr="00835891">
              <w:rPr>
                <w:lang w:val="fr-FR"/>
              </w:rPr>
              <w:t>Que la Partie ou l’organisme chargé d’administrer un accord tient le secrétariat de la Convention fidèlement informé de la situation de l’accord et présente régulièrement des rapports aux sessions des Parties à la Convention ;</w:t>
            </w:r>
          </w:p>
          <w:p w14:paraId="05D9E2C0" w14:textId="77777777" w:rsidR="00B55132" w:rsidRPr="00835891" w:rsidRDefault="00B55132" w:rsidP="00636B51">
            <w:pPr>
              <w:pStyle w:val="ListParagraph"/>
              <w:jc w:val="both"/>
              <w:rPr>
                <w:lang w:val="fr-FR"/>
              </w:rPr>
            </w:pPr>
          </w:p>
          <w:p w14:paraId="4F1872D8" w14:textId="4D0AB1E5" w:rsidR="00760641" w:rsidRPr="00835891" w:rsidRDefault="00B55132" w:rsidP="008B638A">
            <w:pPr>
              <w:pStyle w:val="ListParagraph"/>
              <w:widowControl/>
              <w:numPr>
                <w:ilvl w:val="0"/>
                <w:numId w:val="4"/>
              </w:numPr>
              <w:autoSpaceDE/>
              <w:autoSpaceDN/>
              <w:adjustRightInd/>
              <w:ind w:left="306"/>
              <w:jc w:val="both"/>
              <w:rPr>
                <w:lang w:val="fr-FR"/>
              </w:rPr>
            </w:pPr>
            <w:r w:rsidRPr="00835891">
              <w:rPr>
                <w:lang w:val="fr-FR"/>
              </w:rPr>
              <w:t>Qu’avant d’attribuer l’administration d’un accord au Secrétariat de la Convention, il est nécessaire de demander l’assentiment du Comité permanent de la Convention.</w:t>
            </w:r>
          </w:p>
        </w:tc>
        <w:tc>
          <w:tcPr>
            <w:tcW w:w="2576" w:type="dxa"/>
            <w:shd w:val="clear" w:color="auto" w:fill="auto"/>
          </w:tcPr>
          <w:p w14:paraId="3F9AECD4" w14:textId="095912A7" w:rsidR="00760641" w:rsidRPr="00835891" w:rsidRDefault="00C86A8D" w:rsidP="00226389">
            <w:pPr>
              <w:jc w:val="both"/>
            </w:pPr>
            <w:r>
              <w:lastRenderedPageBreak/>
              <w:t>Résolution</w:t>
            </w:r>
            <w:r w:rsidR="00760641" w:rsidRPr="00835891">
              <w:t xml:space="preserve"> 2.7</w:t>
            </w:r>
          </w:p>
          <w:p w14:paraId="357C6007" w14:textId="77777777" w:rsidR="00760641" w:rsidRPr="00835891" w:rsidRDefault="00760641" w:rsidP="00226389">
            <w:pPr>
              <w:jc w:val="both"/>
            </w:pPr>
          </w:p>
          <w:p w14:paraId="77FA9D5C" w14:textId="5FCDF497" w:rsidR="00760641" w:rsidRPr="00835891" w:rsidRDefault="008B638A" w:rsidP="00226389">
            <w:r>
              <w:t>Conserver</w:t>
            </w:r>
          </w:p>
        </w:tc>
      </w:tr>
      <w:tr w:rsidR="00760641" w:rsidRPr="00835891" w14:paraId="12DE87C5" w14:textId="77777777" w:rsidTr="00E546AA">
        <w:tc>
          <w:tcPr>
            <w:tcW w:w="6917" w:type="dxa"/>
            <w:shd w:val="clear" w:color="auto" w:fill="auto"/>
          </w:tcPr>
          <w:p w14:paraId="55F14CD0" w14:textId="77777777" w:rsidR="00923703" w:rsidRPr="00FB1754" w:rsidRDefault="00923703" w:rsidP="00FC71A6">
            <w:pPr>
              <w:widowControl/>
              <w:autoSpaceDE/>
              <w:autoSpaceDN/>
              <w:adjustRightInd/>
              <w:jc w:val="both"/>
              <w:rPr>
                <w:strike/>
                <w:szCs w:val="17"/>
                <w:lang w:val="fr-FR"/>
              </w:rPr>
            </w:pPr>
            <w:r w:rsidRPr="00FB1754">
              <w:rPr>
                <w:strike/>
                <w:szCs w:val="17"/>
                <w:lang w:val="fr-FR"/>
              </w:rPr>
              <w:t xml:space="preserve">5. </w:t>
            </w:r>
            <w:r w:rsidRPr="00FB1754">
              <w:rPr>
                <w:i/>
                <w:iCs/>
                <w:strike/>
                <w:szCs w:val="17"/>
                <w:lang w:val="fr-FR"/>
              </w:rPr>
              <w:t xml:space="preserve">Abroge </w:t>
            </w:r>
            <w:r w:rsidRPr="00FB1754">
              <w:rPr>
                <w:strike/>
                <w:szCs w:val="17"/>
                <w:lang w:val="fr-FR"/>
              </w:rPr>
              <w:t>les paragraphes 5 et 6 de la Résolution 10.16. </w:t>
            </w:r>
          </w:p>
          <w:p w14:paraId="0F2913D8" w14:textId="77777777" w:rsidR="00760641" w:rsidRPr="00FB1754" w:rsidRDefault="00760641" w:rsidP="00FC71A6">
            <w:pPr>
              <w:widowControl/>
              <w:autoSpaceDE/>
              <w:autoSpaceDN/>
              <w:adjustRightInd/>
              <w:jc w:val="both"/>
              <w:rPr>
                <w:szCs w:val="17"/>
                <w:lang w:val="fr-FR"/>
              </w:rPr>
            </w:pPr>
          </w:p>
        </w:tc>
        <w:tc>
          <w:tcPr>
            <w:tcW w:w="2576" w:type="dxa"/>
            <w:shd w:val="clear" w:color="auto" w:fill="auto"/>
          </w:tcPr>
          <w:p w14:paraId="7F7CAC4E" w14:textId="18B5EFF4" w:rsidR="00760641" w:rsidRPr="00835891" w:rsidRDefault="00C86A8D" w:rsidP="00226389">
            <w:pPr>
              <w:jc w:val="both"/>
            </w:pPr>
            <w:r>
              <w:t>Résolution</w:t>
            </w:r>
            <w:r w:rsidR="00760641" w:rsidRPr="00835891">
              <w:t xml:space="preserve"> 11.12</w:t>
            </w:r>
          </w:p>
          <w:p w14:paraId="6CEB1C47" w14:textId="77777777" w:rsidR="00760641" w:rsidRPr="00835891" w:rsidRDefault="00760641" w:rsidP="00226389">
            <w:pPr>
              <w:jc w:val="both"/>
            </w:pPr>
          </w:p>
          <w:p w14:paraId="35EAFC51" w14:textId="60AE7BE0" w:rsidR="00760641" w:rsidRPr="00835891" w:rsidRDefault="008B638A" w:rsidP="00226389">
            <w:r>
              <w:rPr>
                <w:color w:val="000000" w:themeColor="text1"/>
                <w:lang w:val="fr-FR"/>
              </w:rPr>
              <w:t>Abroger, travail</w:t>
            </w:r>
            <w:r w:rsidR="00213B10" w:rsidRPr="00C079EF">
              <w:rPr>
                <w:color w:val="000000" w:themeColor="text1"/>
                <w:lang w:val="fr-FR"/>
              </w:rPr>
              <w:t xml:space="preserve"> achevé</w:t>
            </w:r>
          </w:p>
        </w:tc>
      </w:tr>
      <w:tr w:rsidR="00213B10" w:rsidRPr="00FB1754" w14:paraId="18B028B9" w14:textId="77777777" w:rsidTr="00E546AA">
        <w:tc>
          <w:tcPr>
            <w:tcW w:w="6917" w:type="dxa"/>
            <w:shd w:val="clear" w:color="auto" w:fill="auto"/>
          </w:tcPr>
          <w:p w14:paraId="5D6CF765" w14:textId="435B4699" w:rsidR="00213B10" w:rsidRPr="00C80541" w:rsidRDefault="00213B10" w:rsidP="008830A9">
            <w:pPr>
              <w:widowControl/>
              <w:autoSpaceDE/>
              <w:autoSpaceDN/>
              <w:adjustRightInd/>
              <w:jc w:val="both"/>
              <w:rPr>
                <w:i/>
                <w:iCs/>
                <w:szCs w:val="17"/>
                <w:u w:val="single"/>
              </w:rPr>
            </w:pPr>
            <w:r>
              <w:rPr>
                <w:iCs/>
                <w:szCs w:val="17"/>
                <w:u w:val="single"/>
              </w:rPr>
              <w:t xml:space="preserve">13. </w:t>
            </w:r>
            <w:r w:rsidRPr="00C80541">
              <w:rPr>
                <w:i/>
                <w:iCs/>
                <w:szCs w:val="17"/>
                <w:u w:val="single"/>
              </w:rPr>
              <w:t xml:space="preserve">Abroge </w:t>
            </w:r>
          </w:p>
          <w:p w14:paraId="63E9C6CF" w14:textId="77777777" w:rsidR="00213B10" w:rsidRPr="00C80541" w:rsidRDefault="00213B10" w:rsidP="008830A9">
            <w:pPr>
              <w:widowControl/>
              <w:autoSpaceDE/>
              <w:autoSpaceDN/>
              <w:adjustRightInd/>
              <w:jc w:val="both"/>
              <w:rPr>
                <w:i/>
                <w:iCs/>
                <w:szCs w:val="17"/>
                <w:u w:val="single"/>
              </w:rPr>
            </w:pPr>
          </w:p>
          <w:p w14:paraId="661A9751" w14:textId="59AFA78F" w:rsidR="00213B10" w:rsidRPr="008B638A" w:rsidRDefault="008B638A" w:rsidP="008C79D1">
            <w:pPr>
              <w:pStyle w:val="ListParagraph"/>
              <w:widowControl/>
              <w:numPr>
                <w:ilvl w:val="0"/>
                <w:numId w:val="5"/>
              </w:numPr>
              <w:autoSpaceDE/>
              <w:autoSpaceDN/>
              <w:adjustRightInd/>
              <w:jc w:val="both"/>
              <w:rPr>
                <w:i/>
                <w:szCs w:val="24"/>
                <w:u w:val="single"/>
                <w:lang w:val="fr-FR"/>
              </w:rPr>
            </w:pPr>
            <w:r>
              <w:rPr>
                <w:rStyle w:val="file"/>
                <w:u w:val="single"/>
                <w:lang w:val="fr-FR"/>
              </w:rPr>
              <w:t xml:space="preserve">La </w:t>
            </w:r>
            <w:r w:rsidR="00213B10" w:rsidRPr="00FB1754">
              <w:rPr>
                <w:rStyle w:val="file"/>
                <w:u w:val="single"/>
                <w:lang w:val="fr-FR"/>
              </w:rPr>
              <w:t xml:space="preserve">Résolution 2.6: </w:t>
            </w:r>
            <w:r w:rsidR="00213B10" w:rsidRPr="008B638A">
              <w:rPr>
                <w:rStyle w:val="file"/>
                <w:i/>
                <w:u w:val="single"/>
                <w:lang w:val="fr-FR"/>
              </w:rPr>
              <w:t>Application des Articles IV et V de la Convention</w:t>
            </w:r>
          </w:p>
          <w:p w14:paraId="252BF1F8" w14:textId="77777777" w:rsidR="00213B10" w:rsidRPr="00FB1754" w:rsidRDefault="00213B10" w:rsidP="00FC71A6">
            <w:pPr>
              <w:widowControl/>
              <w:autoSpaceDE/>
              <w:autoSpaceDN/>
              <w:adjustRightInd/>
              <w:ind w:left="1440"/>
              <w:contextualSpacing/>
              <w:jc w:val="both"/>
              <w:rPr>
                <w:u w:val="single"/>
                <w:lang w:val="fr-FR"/>
              </w:rPr>
            </w:pPr>
          </w:p>
          <w:p w14:paraId="21EE6E05" w14:textId="0150E4DD" w:rsidR="00213B10" w:rsidRPr="008B638A" w:rsidRDefault="008B638A" w:rsidP="008C79D1">
            <w:pPr>
              <w:pStyle w:val="ListParagraph"/>
              <w:widowControl/>
              <w:numPr>
                <w:ilvl w:val="0"/>
                <w:numId w:val="5"/>
              </w:numPr>
              <w:autoSpaceDE/>
              <w:autoSpaceDN/>
              <w:adjustRightInd/>
              <w:jc w:val="both"/>
              <w:rPr>
                <w:szCs w:val="24"/>
                <w:u w:val="single"/>
                <w:lang w:val="fr-FR"/>
              </w:rPr>
            </w:pPr>
            <w:r w:rsidRPr="008B638A">
              <w:rPr>
                <w:rStyle w:val="file"/>
                <w:u w:val="single"/>
                <w:lang w:val="fr-FR"/>
              </w:rPr>
              <w:t xml:space="preserve">La </w:t>
            </w:r>
            <w:r w:rsidR="00213B10" w:rsidRPr="008B638A">
              <w:rPr>
                <w:rStyle w:val="file"/>
                <w:u w:val="single"/>
                <w:lang w:val="fr-FR"/>
              </w:rPr>
              <w:t xml:space="preserve">Résolution 2.7: </w:t>
            </w:r>
            <w:r w:rsidR="00213B10" w:rsidRPr="008B638A">
              <w:rPr>
                <w:rStyle w:val="file"/>
                <w:i/>
                <w:u w:val="single"/>
                <w:lang w:val="fr-FR"/>
              </w:rPr>
              <w:t>Administration des accords</w:t>
            </w:r>
          </w:p>
          <w:p w14:paraId="52FF6EC3" w14:textId="77777777" w:rsidR="00213B10" w:rsidRPr="008B638A" w:rsidRDefault="00213B10" w:rsidP="00FC71A6">
            <w:pPr>
              <w:widowControl/>
              <w:autoSpaceDE/>
              <w:autoSpaceDN/>
              <w:adjustRightInd/>
              <w:jc w:val="both"/>
              <w:rPr>
                <w:u w:val="single"/>
                <w:lang w:val="fr-FR"/>
              </w:rPr>
            </w:pPr>
          </w:p>
          <w:p w14:paraId="0923C9C8" w14:textId="1B1B311C" w:rsidR="00213B10" w:rsidRPr="00FB1754" w:rsidRDefault="008B638A" w:rsidP="008C79D1">
            <w:pPr>
              <w:pStyle w:val="ListParagraph"/>
              <w:widowControl/>
              <w:numPr>
                <w:ilvl w:val="0"/>
                <w:numId w:val="5"/>
              </w:numPr>
              <w:autoSpaceDE/>
              <w:autoSpaceDN/>
              <w:adjustRightInd/>
              <w:jc w:val="both"/>
              <w:rPr>
                <w:szCs w:val="24"/>
                <w:u w:val="single"/>
                <w:lang w:val="fr-FR"/>
              </w:rPr>
            </w:pPr>
            <w:r>
              <w:rPr>
                <w:rStyle w:val="file"/>
                <w:u w:val="single"/>
                <w:lang w:val="fr-FR"/>
              </w:rPr>
              <w:t xml:space="preserve">La </w:t>
            </w:r>
            <w:r w:rsidR="00213B10" w:rsidRPr="00FB1754">
              <w:rPr>
                <w:rStyle w:val="file"/>
                <w:u w:val="single"/>
                <w:lang w:val="fr-FR"/>
              </w:rPr>
              <w:t xml:space="preserve">Résolution 3.5: </w:t>
            </w:r>
            <w:r w:rsidR="00213B10" w:rsidRPr="008B638A">
              <w:rPr>
                <w:rStyle w:val="file"/>
                <w:i/>
                <w:u w:val="single"/>
                <w:lang w:val="fr-FR"/>
              </w:rPr>
              <w:t>Application du paragraphe 4 de l'article IV de la Convention relatif aux ACCORDS</w:t>
            </w:r>
          </w:p>
          <w:p w14:paraId="3D00C0DE" w14:textId="77777777" w:rsidR="00213B10" w:rsidRPr="00FB1754" w:rsidRDefault="00213B10" w:rsidP="00FC71A6">
            <w:pPr>
              <w:widowControl/>
              <w:autoSpaceDE/>
              <w:autoSpaceDN/>
              <w:adjustRightInd/>
              <w:jc w:val="both"/>
              <w:rPr>
                <w:u w:val="single"/>
                <w:lang w:val="fr-FR"/>
              </w:rPr>
            </w:pPr>
          </w:p>
          <w:p w14:paraId="20D8C5F3" w14:textId="54B3CCED" w:rsidR="00213B10" w:rsidRPr="00FB1754" w:rsidRDefault="008B638A" w:rsidP="008C79D1">
            <w:pPr>
              <w:pStyle w:val="ListParagraph"/>
              <w:widowControl/>
              <w:numPr>
                <w:ilvl w:val="0"/>
                <w:numId w:val="5"/>
              </w:numPr>
              <w:autoSpaceDE/>
              <w:autoSpaceDN/>
              <w:adjustRightInd/>
              <w:jc w:val="both"/>
              <w:rPr>
                <w:szCs w:val="24"/>
                <w:lang w:val="fr-FR"/>
              </w:rPr>
            </w:pPr>
            <w:r>
              <w:rPr>
                <w:rStyle w:val="file"/>
                <w:u w:val="single"/>
                <w:lang w:val="fr-FR"/>
              </w:rPr>
              <w:t xml:space="preserve">La </w:t>
            </w:r>
            <w:r w:rsidR="00213B10" w:rsidRPr="00FB1754">
              <w:rPr>
                <w:rStyle w:val="file"/>
                <w:u w:val="single"/>
                <w:lang w:val="fr-FR"/>
              </w:rPr>
              <w:t xml:space="preserve">Rés.11.12: </w:t>
            </w:r>
            <w:r w:rsidR="00213B10" w:rsidRPr="008B638A">
              <w:rPr>
                <w:rStyle w:val="file"/>
                <w:i/>
                <w:u w:val="single"/>
                <w:lang w:val="fr-FR"/>
              </w:rPr>
              <w:t>Critères d'évaluation des propositions de nouveaux accords</w:t>
            </w:r>
            <w:r w:rsidR="00213B10" w:rsidRPr="00FB1754">
              <w:rPr>
                <w:rStyle w:val="file"/>
                <w:u w:val="single"/>
                <w:lang w:val="fr-FR"/>
              </w:rPr>
              <w:t>.</w:t>
            </w:r>
          </w:p>
        </w:tc>
        <w:tc>
          <w:tcPr>
            <w:tcW w:w="2576" w:type="dxa"/>
            <w:shd w:val="clear" w:color="auto" w:fill="auto"/>
          </w:tcPr>
          <w:p w14:paraId="372EC7B4" w14:textId="7FF15CEA" w:rsidR="00213B10" w:rsidRPr="00FB1754" w:rsidRDefault="00213B10" w:rsidP="00226389">
            <w:pPr>
              <w:rPr>
                <w:lang w:val="fr-FR"/>
              </w:rPr>
            </w:pPr>
            <w:r w:rsidRPr="00C079EF">
              <w:rPr>
                <w:color w:val="000000" w:themeColor="text1"/>
                <w:lang w:val="fr-FR"/>
              </w:rPr>
              <w:t>Nouveau texte pour illustrer l</w:t>
            </w:r>
            <w:r w:rsidR="008B638A">
              <w:rPr>
                <w:color w:val="000000" w:themeColor="text1"/>
                <w:lang w:val="fr-FR"/>
              </w:rPr>
              <w:t>e regroupement</w:t>
            </w:r>
          </w:p>
        </w:tc>
      </w:tr>
      <w:tr w:rsidR="00760641" w:rsidRPr="00835891" w14:paraId="2DA1DC87" w14:textId="77777777" w:rsidTr="00E546AA">
        <w:tc>
          <w:tcPr>
            <w:tcW w:w="6917" w:type="dxa"/>
            <w:shd w:val="clear" w:color="auto" w:fill="auto"/>
          </w:tcPr>
          <w:p w14:paraId="7F3C0257" w14:textId="55BE258E" w:rsidR="00923703" w:rsidRPr="00FB1754" w:rsidRDefault="00923703" w:rsidP="00FC71A6">
            <w:pPr>
              <w:widowControl/>
              <w:autoSpaceDE/>
              <w:autoSpaceDN/>
              <w:adjustRightInd/>
              <w:jc w:val="both"/>
              <w:rPr>
                <w:szCs w:val="17"/>
                <w:lang w:val="fr-FR"/>
              </w:rPr>
            </w:pPr>
            <w:r w:rsidRPr="00FB1754">
              <w:rPr>
                <w:b/>
                <w:bCs/>
                <w:szCs w:val="17"/>
                <w:lang w:val="fr-FR"/>
              </w:rPr>
              <w:t xml:space="preserve">Annexe </w:t>
            </w:r>
          </w:p>
          <w:p w14:paraId="51E576A0" w14:textId="77777777" w:rsidR="00085DCD" w:rsidRPr="00FB1754" w:rsidRDefault="00085DCD" w:rsidP="00FC71A6">
            <w:pPr>
              <w:widowControl/>
              <w:autoSpaceDE/>
              <w:autoSpaceDN/>
              <w:adjustRightInd/>
              <w:jc w:val="both"/>
              <w:rPr>
                <w:b/>
                <w:bCs/>
                <w:szCs w:val="17"/>
                <w:lang w:val="fr-FR"/>
              </w:rPr>
            </w:pPr>
          </w:p>
          <w:p w14:paraId="3C32AF94" w14:textId="77777777" w:rsidR="00923703" w:rsidRPr="00FB1754" w:rsidRDefault="00923703" w:rsidP="00FC71A6">
            <w:pPr>
              <w:widowControl/>
              <w:autoSpaceDE/>
              <w:autoSpaceDN/>
              <w:adjustRightInd/>
              <w:jc w:val="both"/>
              <w:rPr>
                <w:szCs w:val="17"/>
                <w:lang w:val="fr-FR"/>
              </w:rPr>
            </w:pPr>
            <w:r w:rsidRPr="00FB1754">
              <w:rPr>
                <w:b/>
                <w:bCs/>
                <w:szCs w:val="17"/>
                <w:lang w:val="fr-FR"/>
              </w:rPr>
              <w:t>CRITÈRES D’ÉVALUATION DES PROPOSITIONS DE NOUVEAUX ACCORDS </w:t>
            </w:r>
          </w:p>
          <w:p w14:paraId="6B04AA05" w14:textId="77777777" w:rsidR="00085DCD" w:rsidRPr="00FB1754" w:rsidRDefault="00085DCD" w:rsidP="00FC71A6">
            <w:pPr>
              <w:widowControl/>
              <w:autoSpaceDE/>
              <w:autoSpaceDN/>
              <w:adjustRightInd/>
              <w:jc w:val="both"/>
              <w:rPr>
                <w:szCs w:val="17"/>
                <w:lang w:val="fr-FR"/>
              </w:rPr>
            </w:pPr>
          </w:p>
          <w:p w14:paraId="7F8690DC" w14:textId="77777777" w:rsidR="00923703" w:rsidRPr="00FB1754" w:rsidRDefault="00923703" w:rsidP="00FC71A6">
            <w:pPr>
              <w:widowControl/>
              <w:autoSpaceDE/>
              <w:autoSpaceDN/>
              <w:adjustRightInd/>
              <w:jc w:val="both"/>
              <w:rPr>
                <w:szCs w:val="17"/>
                <w:lang w:val="fr-FR"/>
              </w:rPr>
            </w:pPr>
            <w:r w:rsidRPr="00FB1754">
              <w:rPr>
                <w:szCs w:val="17"/>
                <w:lang w:val="fr-FR"/>
              </w:rPr>
              <w:t>Le principal élément de l’approche suggérée pour élaborer des Accords est une méthode d’évaluation systématique des possibilités, des risques, du caractère approprié et de la priorité relative de toute nouvelle proposition d’élaboration d’un Accord. Ceci inclut de tester ces propositions au regard d’une série de critères. Un formulaire type pourrait être mis au point, peut-être sous forme de questionnaire, pour capturer les informations requises afin que chaque proposition puisse être examinée par le Conseil scientifique, le Comité permanent et la COP. Ajoutées aux informations indiquant comment la proposition répond aux critères, de telles informations donneraient des précisions sur les personnes ayant un rôle de chef de file, les prévisions budgétaires et d’autres détails connexes. </w:t>
            </w:r>
          </w:p>
          <w:p w14:paraId="2CFB701D" w14:textId="77777777" w:rsidR="00085DCD" w:rsidRPr="00FB1754" w:rsidRDefault="00085DCD" w:rsidP="00FC71A6">
            <w:pPr>
              <w:widowControl/>
              <w:autoSpaceDE/>
              <w:autoSpaceDN/>
              <w:adjustRightInd/>
              <w:jc w:val="both"/>
              <w:rPr>
                <w:szCs w:val="17"/>
                <w:lang w:val="fr-FR"/>
              </w:rPr>
            </w:pPr>
          </w:p>
          <w:p w14:paraId="68704ECA" w14:textId="5F5654DD" w:rsidR="00923703" w:rsidRPr="00FB1754" w:rsidRDefault="00923703" w:rsidP="00FC71A6">
            <w:pPr>
              <w:widowControl/>
              <w:autoSpaceDE/>
              <w:autoSpaceDN/>
              <w:adjustRightInd/>
              <w:jc w:val="both"/>
              <w:rPr>
                <w:szCs w:val="17"/>
                <w:lang w:val="fr-FR"/>
              </w:rPr>
            </w:pPr>
            <w:r w:rsidRPr="00FB1754">
              <w:rPr>
                <w:szCs w:val="17"/>
                <w:lang w:val="fr-FR"/>
              </w:rPr>
              <w:lastRenderedPageBreak/>
              <w:t>Les critères ci-dessous sont un résumé des critères proposés dans le rapport intitulé « Élaboration, dotation en ressources et gestion des Accords de la CMS – une politique générale » (PNUE/CMS/COP11/Doc.22.2)</w:t>
            </w:r>
            <w:r w:rsidRPr="00FB1754">
              <w:rPr>
                <w:rStyle w:val="FootnoteReference"/>
                <w:rFonts w:cs="Arial"/>
                <w:szCs w:val="17"/>
                <w:vertAlign w:val="superscript"/>
                <w:lang w:val="fr-FR"/>
              </w:rPr>
              <w:footnoteReference w:customMarkFollows="1" w:id="1"/>
              <w:t>1</w:t>
            </w:r>
            <w:r w:rsidRPr="00FB1754">
              <w:rPr>
                <w:szCs w:val="17"/>
                <w:lang w:val="fr-FR"/>
              </w:rPr>
              <w:t>. D’autres conseils sur les questions à examiner dans le cadre de chaque critère sont fournis dans ce rapport. </w:t>
            </w:r>
          </w:p>
          <w:p w14:paraId="4508CA66" w14:textId="77777777" w:rsidR="00085DCD" w:rsidRPr="00FB1754" w:rsidRDefault="00085DCD" w:rsidP="00FC71A6">
            <w:pPr>
              <w:widowControl/>
              <w:autoSpaceDE/>
              <w:autoSpaceDN/>
              <w:adjustRightInd/>
              <w:jc w:val="both"/>
              <w:rPr>
                <w:szCs w:val="17"/>
                <w:lang w:val="fr-FR"/>
              </w:rPr>
            </w:pPr>
          </w:p>
          <w:p w14:paraId="378B99CA" w14:textId="77777777" w:rsidR="00923703" w:rsidRPr="00FB1754" w:rsidRDefault="00923703" w:rsidP="00FC71A6">
            <w:pPr>
              <w:widowControl/>
              <w:autoSpaceDE/>
              <w:autoSpaceDN/>
              <w:adjustRightInd/>
              <w:jc w:val="both"/>
              <w:rPr>
                <w:szCs w:val="17"/>
                <w:lang w:val="fr-FR"/>
              </w:rPr>
            </w:pPr>
            <w:r w:rsidRPr="00FB1754">
              <w:rPr>
                <w:szCs w:val="17"/>
                <w:lang w:val="fr-FR"/>
              </w:rPr>
              <w:t>Les critères peuvent être appliqués avec une certaine souplesse, vu la diversité des formes que peuvent prendre les Accords de la CMS et la diversité des situations qu’ils gèrent. En principe, cependant, plus les éléments fournis à l’appui d’une proposition sont objectifs et transparents, plus la proposition a de chances d’aboutir. </w:t>
            </w:r>
          </w:p>
          <w:p w14:paraId="7D4977ED" w14:textId="77777777" w:rsidR="00085DCD" w:rsidRPr="00FB1754" w:rsidRDefault="00085DCD" w:rsidP="00FC71A6">
            <w:pPr>
              <w:widowControl/>
              <w:autoSpaceDE/>
              <w:autoSpaceDN/>
              <w:adjustRightInd/>
              <w:jc w:val="both"/>
              <w:rPr>
                <w:szCs w:val="17"/>
                <w:lang w:val="fr-FR"/>
              </w:rPr>
            </w:pPr>
          </w:p>
          <w:p w14:paraId="01979E46" w14:textId="77777777" w:rsidR="00923703" w:rsidRPr="00FB1754" w:rsidRDefault="00923703" w:rsidP="00FC71A6">
            <w:pPr>
              <w:widowControl/>
              <w:autoSpaceDE/>
              <w:autoSpaceDN/>
              <w:adjustRightInd/>
              <w:jc w:val="both"/>
              <w:rPr>
                <w:szCs w:val="17"/>
                <w:lang w:val="fr-FR"/>
              </w:rPr>
            </w:pPr>
            <w:r w:rsidRPr="00FB1754">
              <w:rPr>
                <w:szCs w:val="17"/>
                <w:lang w:val="fr-FR"/>
              </w:rPr>
              <w:t>Certains critères pourraient constituer une norme absolue pour déterminer le bien-fondé d’une proposition (comme le critère iii) sur un but clair, ou le critère ix) sur les perspectives de leadership); tandis que d’autres critères pourraient être utilisés d’une manière plus relative, pour comparer deux propositions ou plus qui sont en concurrence pour être prioritaires. Dans tous les cas de figure, les informations consolidées devraient fournir, autant que possible, une évaluation équilibrée des avantages et des risques liés à chaque question traitée, plutôt qu’être considérées uniquement comme un outil de persuasion. </w:t>
            </w:r>
          </w:p>
          <w:p w14:paraId="068ACD3E" w14:textId="77777777" w:rsidR="00085DCD" w:rsidRPr="00FB1754" w:rsidRDefault="00085DCD" w:rsidP="00FC71A6">
            <w:pPr>
              <w:widowControl/>
              <w:autoSpaceDE/>
              <w:autoSpaceDN/>
              <w:adjustRightInd/>
              <w:jc w:val="both"/>
              <w:rPr>
                <w:szCs w:val="17"/>
                <w:lang w:val="fr-FR"/>
              </w:rPr>
            </w:pPr>
          </w:p>
          <w:p w14:paraId="309F8646" w14:textId="77777777" w:rsidR="00923703" w:rsidRPr="00FB1754" w:rsidRDefault="00923703" w:rsidP="00FC71A6">
            <w:pPr>
              <w:widowControl/>
              <w:autoSpaceDE/>
              <w:autoSpaceDN/>
              <w:adjustRightInd/>
              <w:jc w:val="both"/>
              <w:rPr>
                <w:b/>
                <w:bCs/>
                <w:szCs w:val="17"/>
                <w:lang w:val="fr-FR"/>
              </w:rPr>
            </w:pPr>
            <w:r w:rsidRPr="00FB1754">
              <w:rPr>
                <w:b/>
                <w:bCs/>
                <w:szCs w:val="17"/>
                <w:lang w:val="fr-FR"/>
              </w:rPr>
              <w:t>(i) Priorité en matière de conservation </w:t>
            </w:r>
          </w:p>
          <w:p w14:paraId="15F066AB" w14:textId="77777777" w:rsidR="00085DCD" w:rsidRPr="00FB1754" w:rsidRDefault="00085DCD" w:rsidP="00FC71A6">
            <w:pPr>
              <w:widowControl/>
              <w:autoSpaceDE/>
              <w:autoSpaceDN/>
              <w:adjustRightInd/>
              <w:jc w:val="both"/>
              <w:rPr>
                <w:szCs w:val="17"/>
                <w:lang w:val="fr-FR"/>
              </w:rPr>
            </w:pPr>
          </w:p>
          <w:p w14:paraId="72EEF0A9" w14:textId="77777777" w:rsidR="00923703" w:rsidRPr="00FB1754" w:rsidRDefault="00923703" w:rsidP="00FC71A6">
            <w:pPr>
              <w:widowControl/>
              <w:autoSpaceDE/>
              <w:autoSpaceDN/>
              <w:adjustRightInd/>
              <w:jc w:val="both"/>
              <w:rPr>
                <w:i/>
                <w:iCs/>
                <w:szCs w:val="17"/>
                <w:lang w:val="fr-FR"/>
              </w:rPr>
            </w:pPr>
            <w:r w:rsidRPr="00FB1754">
              <w:rPr>
                <w:i/>
                <w:iCs/>
                <w:szCs w:val="17"/>
                <w:lang w:val="fr-FR"/>
              </w:rPr>
              <w:t>Les propositions devraient préciser la gravité du besoin de conservation, en ce qui concerne par exemple le degré de mise en danger ou de l’état de conservation défavorable des espèces, tel que défini par la Convention, et le niveau d’urgence nécessitant une forme particulière de coopération internationale. Il conviendra peut-être aussi de décrire les liens avec les questions de migration et la confiance dans les données scientifiques qui sous-tendent la proposition. </w:t>
            </w:r>
          </w:p>
          <w:p w14:paraId="1731CD99" w14:textId="77777777" w:rsidR="00085DCD" w:rsidRPr="00FB1754" w:rsidRDefault="00085DCD" w:rsidP="00FC71A6">
            <w:pPr>
              <w:widowControl/>
              <w:autoSpaceDE/>
              <w:autoSpaceDN/>
              <w:adjustRightInd/>
              <w:jc w:val="both"/>
              <w:rPr>
                <w:szCs w:val="17"/>
                <w:lang w:val="fr-FR"/>
              </w:rPr>
            </w:pPr>
          </w:p>
          <w:p w14:paraId="539388CE" w14:textId="77777777" w:rsidR="00923703" w:rsidRPr="00FB1754" w:rsidRDefault="00923703" w:rsidP="00FC71A6">
            <w:pPr>
              <w:widowControl/>
              <w:autoSpaceDE/>
              <w:autoSpaceDN/>
              <w:adjustRightInd/>
              <w:jc w:val="both"/>
              <w:rPr>
                <w:szCs w:val="17"/>
                <w:lang w:val="fr-FR"/>
              </w:rPr>
            </w:pPr>
            <w:r w:rsidRPr="00FB1754">
              <w:rPr>
                <w:b/>
                <w:bCs/>
                <w:szCs w:val="17"/>
                <w:lang w:val="fr-FR"/>
              </w:rPr>
              <w:t>(ii) Exécution d’un mandat spécifique existant de la COP </w:t>
            </w:r>
          </w:p>
          <w:p w14:paraId="6CA932EE" w14:textId="77777777" w:rsidR="00085DCD" w:rsidRPr="00FB1754" w:rsidRDefault="00085DCD" w:rsidP="00FC71A6">
            <w:pPr>
              <w:widowControl/>
              <w:autoSpaceDE/>
              <w:autoSpaceDN/>
              <w:adjustRightInd/>
              <w:jc w:val="both"/>
              <w:rPr>
                <w:i/>
                <w:iCs/>
                <w:szCs w:val="17"/>
                <w:lang w:val="fr-FR"/>
              </w:rPr>
            </w:pPr>
          </w:p>
          <w:p w14:paraId="5DF41D60" w14:textId="77777777" w:rsidR="00923703" w:rsidRPr="00FB1754" w:rsidRDefault="00923703" w:rsidP="00FC71A6">
            <w:pPr>
              <w:widowControl/>
              <w:autoSpaceDE/>
              <w:autoSpaceDN/>
              <w:adjustRightInd/>
              <w:jc w:val="both"/>
              <w:rPr>
                <w:szCs w:val="17"/>
                <w:lang w:val="fr-FR"/>
              </w:rPr>
            </w:pPr>
            <w:r w:rsidRPr="00FB1754">
              <w:rPr>
                <w:i/>
                <w:iCs/>
                <w:szCs w:val="17"/>
                <w:lang w:val="fr-FR"/>
              </w:rPr>
              <w:t>Les propositions devraient indiquer comment elles répondent à des objectifs particulièrement pertinents énoncés dans les stratégies de la CMS et d’autres décisions des Parties. </w:t>
            </w:r>
          </w:p>
          <w:p w14:paraId="6E2F9FB4" w14:textId="77777777" w:rsidR="00760641" w:rsidRPr="00FB1754" w:rsidRDefault="00760641" w:rsidP="00FC71A6">
            <w:pPr>
              <w:widowControl/>
              <w:autoSpaceDE/>
              <w:autoSpaceDN/>
              <w:adjustRightInd/>
              <w:jc w:val="both"/>
              <w:rPr>
                <w:szCs w:val="17"/>
                <w:lang w:val="fr-FR"/>
              </w:rPr>
            </w:pPr>
          </w:p>
          <w:p w14:paraId="5B0D8551" w14:textId="77777777" w:rsidR="00835891" w:rsidRPr="00FB1754" w:rsidRDefault="00835891" w:rsidP="00FC71A6">
            <w:pPr>
              <w:widowControl/>
              <w:autoSpaceDE/>
              <w:autoSpaceDN/>
              <w:adjustRightInd/>
              <w:jc w:val="both"/>
              <w:rPr>
                <w:szCs w:val="17"/>
                <w:lang w:val="fr-FR"/>
              </w:rPr>
            </w:pPr>
            <w:r w:rsidRPr="00FB1754">
              <w:rPr>
                <w:b/>
                <w:bCs/>
                <w:szCs w:val="17"/>
                <w:lang w:val="fr-FR"/>
              </w:rPr>
              <w:t>(iii) But défini clair et spécifique </w:t>
            </w:r>
          </w:p>
          <w:p w14:paraId="3213D830" w14:textId="77777777" w:rsidR="00085DCD" w:rsidRPr="00FB1754" w:rsidRDefault="00085DCD" w:rsidP="00FC71A6">
            <w:pPr>
              <w:widowControl/>
              <w:autoSpaceDE/>
              <w:autoSpaceDN/>
              <w:adjustRightInd/>
              <w:jc w:val="both"/>
              <w:rPr>
                <w:i/>
                <w:iCs/>
                <w:szCs w:val="17"/>
                <w:lang w:val="fr-FR"/>
              </w:rPr>
            </w:pPr>
          </w:p>
          <w:p w14:paraId="30C05E3A" w14:textId="77777777" w:rsidR="00835891" w:rsidRPr="00FB1754" w:rsidRDefault="00835891" w:rsidP="00FC71A6">
            <w:pPr>
              <w:widowControl/>
              <w:autoSpaceDE/>
              <w:autoSpaceDN/>
              <w:adjustRightInd/>
              <w:jc w:val="both"/>
              <w:rPr>
                <w:szCs w:val="17"/>
                <w:lang w:val="fr-FR"/>
              </w:rPr>
            </w:pPr>
            <w:r w:rsidRPr="00FB1754">
              <w:rPr>
                <w:i/>
                <w:iCs/>
                <w:szCs w:val="17"/>
                <w:lang w:val="fr-FR"/>
              </w:rPr>
              <w:t>Les propositions devraient définir les résultats attendus en matière de conservation, et devraient en particulier indiquer clairement la façon dont les espèces ciblées bénéficieront ou devraient bénéficier d’une coopération internationale. Plus le but énoncé est spécifique, réaliste et mesurable, mieux ce sera. Les propositions devraient aussi tenir compte (selon qu’il convient) de l’Article V de la CMS. </w:t>
            </w:r>
          </w:p>
          <w:p w14:paraId="3E596980" w14:textId="325AB382" w:rsidR="00085DCD" w:rsidRDefault="00085DCD" w:rsidP="00FC71A6">
            <w:pPr>
              <w:widowControl/>
              <w:autoSpaceDE/>
              <w:autoSpaceDN/>
              <w:adjustRightInd/>
              <w:jc w:val="both"/>
              <w:rPr>
                <w:b/>
                <w:bCs/>
                <w:szCs w:val="17"/>
                <w:lang w:val="fr-FR"/>
              </w:rPr>
            </w:pPr>
          </w:p>
          <w:p w14:paraId="5CA554A5" w14:textId="6FCFCAF5" w:rsidR="008B638A" w:rsidRDefault="008B638A" w:rsidP="00FC71A6">
            <w:pPr>
              <w:widowControl/>
              <w:autoSpaceDE/>
              <w:autoSpaceDN/>
              <w:adjustRightInd/>
              <w:jc w:val="both"/>
              <w:rPr>
                <w:b/>
                <w:bCs/>
                <w:szCs w:val="17"/>
                <w:lang w:val="fr-FR"/>
              </w:rPr>
            </w:pPr>
          </w:p>
          <w:p w14:paraId="11AA1769" w14:textId="77777777" w:rsidR="008B638A" w:rsidRPr="00FB1754" w:rsidRDefault="008B638A" w:rsidP="00FC71A6">
            <w:pPr>
              <w:widowControl/>
              <w:autoSpaceDE/>
              <w:autoSpaceDN/>
              <w:adjustRightInd/>
              <w:jc w:val="both"/>
              <w:rPr>
                <w:b/>
                <w:bCs/>
                <w:szCs w:val="17"/>
                <w:lang w:val="fr-FR"/>
              </w:rPr>
            </w:pPr>
          </w:p>
          <w:p w14:paraId="5EEB9CD4" w14:textId="77777777" w:rsidR="00835891" w:rsidRPr="00FB1754" w:rsidRDefault="00835891" w:rsidP="00FC71A6">
            <w:pPr>
              <w:widowControl/>
              <w:autoSpaceDE/>
              <w:autoSpaceDN/>
              <w:adjustRightInd/>
              <w:jc w:val="both"/>
              <w:rPr>
                <w:szCs w:val="17"/>
                <w:lang w:val="fr-FR"/>
              </w:rPr>
            </w:pPr>
            <w:r w:rsidRPr="00FB1754">
              <w:rPr>
                <w:b/>
                <w:bCs/>
                <w:szCs w:val="17"/>
                <w:lang w:val="fr-FR"/>
              </w:rPr>
              <w:lastRenderedPageBreak/>
              <w:t>(iv) Absence de meilleures solutions à l’extérieur du système de la CMS </w:t>
            </w:r>
          </w:p>
          <w:p w14:paraId="073138F5" w14:textId="77777777" w:rsidR="00085DCD" w:rsidRPr="00FB1754" w:rsidRDefault="00085DCD" w:rsidP="00FC71A6">
            <w:pPr>
              <w:widowControl/>
              <w:autoSpaceDE/>
              <w:autoSpaceDN/>
              <w:adjustRightInd/>
              <w:jc w:val="both"/>
              <w:rPr>
                <w:i/>
                <w:iCs/>
                <w:szCs w:val="17"/>
                <w:lang w:val="fr-FR"/>
              </w:rPr>
            </w:pPr>
          </w:p>
          <w:p w14:paraId="0FEC4EFB" w14:textId="77777777" w:rsidR="00835891" w:rsidRPr="00FB1754" w:rsidRDefault="00835891" w:rsidP="00FC71A6">
            <w:pPr>
              <w:widowControl/>
              <w:autoSpaceDE/>
              <w:autoSpaceDN/>
              <w:adjustRightInd/>
              <w:jc w:val="both"/>
              <w:rPr>
                <w:szCs w:val="17"/>
                <w:lang w:val="fr-FR"/>
              </w:rPr>
            </w:pPr>
            <w:r w:rsidRPr="00FB1754">
              <w:rPr>
                <w:i/>
                <w:iCs/>
                <w:szCs w:val="17"/>
                <w:lang w:val="fr-FR"/>
              </w:rPr>
              <w:t>Les propositions devraient comparer l’option d’un Accord de la CMS avec d’autres options possibles à l’extérieur des mécanismes de la Convention, et expliquer pourquoi un Accord de la CMS constitue le meilleur moyen de répondre au besoin de conservation défini. </w:t>
            </w:r>
          </w:p>
          <w:p w14:paraId="4A7AB9EB" w14:textId="77777777" w:rsidR="00085DCD" w:rsidRPr="00FB1754" w:rsidRDefault="00085DCD" w:rsidP="00FC71A6">
            <w:pPr>
              <w:widowControl/>
              <w:autoSpaceDE/>
              <w:autoSpaceDN/>
              <w:adjustRightInd/>
              <w:jc w:val="both"/>
              <w:rPr>
                <w:b/>
                <w:bCs/>
                <w:szCs w:val="17"/>
                <w:lang w:val="fr-FR"/>
              </w:rPr>
            </w:pPr>
          </w:p>
          <w:p w14:paraId="779E9E1D" w14:textId="5778A5BA" w:rsidR="00835891" w:rsidRPr="00FB1754" w:rsidRDefault="00835891" w:rsidP="00FC71A6">
            <w:pPr>
              <w:widowControl/>
              <w:autoSpaceDE/>
              <w:autoSpaceDN/>
              <w:adjustRightInd/>
              <w:jc w:val="both"/>
              <w:rPr>
                <w:b/>
                <w:bCs/>
                <w:szCs w:val="17"/>
                <w:lang w:val="fr-FR"/>
              </w:rPr>
            </w:pPr>
            <w:r w:rsidRPr="00FB1754">
              <w:rPr>
                <w:b/>
                <w:bCs/>
                <w:szCs w:val="17"/>
                <w:lang w:val="fr-FR"/>
              </w:rPr>
              <w:t>(v) Absence de meilleures solutions à l’intérieur du système de la CMS </w:t>
            </w:r>
          </w:p>
          <w:p w14:paraId="613B550B" w14:textId="77777777" w:rsidR="00085DCD" w:rsidRPr="00FB1754" w:rsidRDefault="00085DCD" w:rsidP="00FC71A6">
            <w:pPr>
              <w:widowControl/>
              <w:autoSpaceDE/>
              <w:autoSpaceDN/>
              <w:adjustRightInd/>
              <w:jc w:val="both"/>
              <w:rPr>
                <w:i/>
                <w:iCs/>
                <w:szCs w:val="17"/>
                <w:lang w:val="fr-FR"/>
              </w:rPr>
            </w:pPr>
          </w:p>
          <w:p w14:paraId="1B24C1D0" w14:textId="77777777" w:rsidR="00835891" w:rsidRPr="00FB1754" w:rsidRDefault="00835891" w:rsidP="00FC71A6">
            <w:pPr>
              <w:widowControl/>
              <w:autoSpaceDE/>
              <w:autoSpaceDN/>
              <w:adjustRightInd/>
              <w:jc w:val="both"/>
              <w:rPr>
                <w:i/>
                <w:iCs/>
                <w:szCs w:val="17"/>
                <w:lang w:val="fr-FR"/>
              </w:rPr>
            </w:pPr>
            <w:r w:rsidRPr="00FB1754">
              <w:rPr>
                <w:i/>
                <w:iCs/>
                <w:szCs w:val="17"/>
                <w:lang w:val="fr-FR"/>
              </w:rPr>
              <w:t>Les propositions devraient comparer l’option d’un Accord de la CMS avec d’autres options disponibles à l’intérieur du système de la Convention (telles que des « actions concertées », des plans d’action internationaux pour des espèces et d’autres initiatives en matière de coopération), et expliquer pourquoi un Accord de la CMS constitue le meilleur moyen de répondre au besoin de conservation défini. </w:t>
            </w:r>
          </w:p>
          <w:p w14:paraId="3C3A7DAF" w14:textId="77777777" w:rsidR="00085DCD" w:rsidRPr="00FB1754" w:rsidRDefault="00085DCD" w:rsidP="00FC71A6">
            <w:pPr>
              <w:widowControl/>
              <w:autoSpaceDE/>
              <w:autoSpaceDN/>
              <w:adjustRightInd/>
              <w:jc w:val="both"/>
              <w:rPr>
                <w:szCs w:val="17"/>
                <w:lang w:val="fr-FR"/>
              </w:rPr>
            </w:pPr>
          </w:p>
          <w:p w14:paraId="6C2C0507" w14:textId="77777777" w:rsidR="00835891" w:rsidRPr="00FB1754" w:rsidRDefault="00835891" w:rsidP="00FC71A6">
            <w:pPr>
              <w:widowControl/>
              <w:autoSpaceDE/>
              <w:autoSpaceDN/>
              <w:adjustRightInd/>
              <w:jc w:val="both"/>
              <w:rPr>
                <w:b/>
                <w:bCs/>
                <w:szCs w:val="17"/>
                <w:lang w:val="fr-FR"/>
              </w:rPr>
            </w:pPr>
            <w:r w:rsidRPr="00FB1754">
              <w:rPr>
                <w:b/>
                <w:bCs/>
                <w:szCs w:val="17"/>
                <w:lang w:val="fr-FR"/>
              </w:rPr>
              <w:t>(vi) Si un instrument de la CMS est préférable, l’extension d’un Accord existant n’est pas faisable </w:t>
            </w:r>
          </w:p>
          <w:p w14:paraId="2AF471A0" w14:textId="77777777" w:rsidR="00085DCD" w:rsidRPr="00FB1754" w:rsidRDefault="00085DCD" w:rsidP="00FC71A6">
            <w:pPr>
              <w:widowControl/>
              <w:autoSpaceDE/>
              <w:autoSpaceDN/>
              <w:adjustRightInd/>
              <w:jc w:val="both"/>
              <w:rPr>
                <w:szCs w:val="17"/>
                <w:lang w:val="fr-FR"/>
              </w:rPr>
            </w:pPr>
          </w:p>
          <w:p w14:paraId="6FC9CDC8" w14:textId="77777777" w:rsidR="00835891" w:rsidRPr="00FB1754" w:rsidRDefault="00835891" w:rsidP="00FC71A6">
            <w:pPr>
              <w:widowControl/>
              <w:autoSpaceDE/>
              <w:autoSpaceDN/>
              <w:adjustRightInd/>
              <w:jc w:val="both"/>
              <w:rPr>
                <w:i/>
                <w:iCs/>
                <w:szCs w:val="17"/>
                <w:lang w:val="fr-FR"/>
              </w:rPr>
            </w:pPr>
            <w:r w:rsidRPr="00FB1754">
              <w:rPr>
                <w:i/>
                <w:iCs/>
                <w:szCs w:val="17"/>
                <w:lang w:val="fr-FR"/>
              </w:rPr>
              <w:t>Les propositions devraient montrer qu’il existe des raisons impérieuses justifiant qu’une solution ne peut pas être trouvée en élargissant le champ d’application taxonomique ou géographique d’un Accord existant, en tenant compte du risque de perte d'efficacité de l'accord existant (UE et ses États membres). </w:t>
            </w:r>
          </w:p>
          <w:p w14:paraId="7EB7D2CD" w14:textId="77777777" w:rsidR="00085DCD" w:rsidRPr="00FB1754" w:rsidRDefault="00085DCD" w:rsidP="00FC71A6">
            <w:pPr>
              <w:widowControl/>
              <w:autoSpaceDE/>
              <w:autoSpaceDN/>
              <w:adjustRightInd/>
              <w:jc w:val="both"/>
              <w:rPr>
                <w:szCs w:val="17"/>
                <w:lang w:val="fr-FR"/>
              </w:rPr>
            </w:pPr>
          </w:p>
          <w:p w14:paraId="2BE875C2" w14:textId="77777777" w:rsidR="00835891" w:rsidRPr="00FB1754" w:rsidRDefault="00835891" w:rsidP="00FC71A6">
            <w:pPr>
              <w:widowControl/>
              <w:autoSpaceDE/>
              <w:autoSpaceDN/>
              <w:adjustRightInd/>
              <w:jc w:val="both"/>
              <w:rPr>
                <w:b/>
                <w:bCs/>
                <w:szCs w:val="17"/>
                <w:lang w:val="fr-FR"/>
              </w:rPr>
            </w:pPr>
            <w:r w:rsidRPr="00FB1754">
              <w:rPr>
                <w:b/>
                <w:bCs/>
                <w:szCs w:val="17"/>
                <w:lang w:val="fr-FR"/>
              </w:rPr>
              <w:t>(vii) Perspectives de financement </w:t>
            </w:r>
          </w:p>
          <w:p w14:paraId="6D1EEDD8" w14:textId="77777777" w:rsidR="00085DCD" w:rsidRPr="00FB1754" w:rsidRDefault="00085DCD" w:rsidP="00FC71A6">
            <w:pPr>
              <w:widowControl/>
              <w:autoSpaceDE/>
              <w:autoSpaceDN/>
              <w:adjustRightInd/>
              <w:jc w:val="both"/>
              <w:rPr>
                <w:szCs w:val="17"/>
                <w:lang w:val="fr-FR"/>
              </w:rPr>
            </w:pPr>
          </w:p>
          <w:p w14:paraId="0FFA4FF2" w14:textId="77777777" w:rsidR="00835891" w:rsidRPr="00FB1754" w:rsidRDefault="00835891" w:rsidP="00FC71A6">
            <w:pPr>
              <w:widowControl/>
              <w:autoSpaceDE/>
              <w:autoSpaceDN/>
              <w:adjustRightInd/>
              <w:jc w:val="both"/>
              <w:rPr>
                <w:i/>
                <w:iCs/>
                <w:szCs w:val="17"/>
                <w:lang w:val="fr-FR"/>
              </w:rPr>
            </w:pPr>
            <w:r w:rsidRPr="00FB1754">
              <w:rPr>
                <w:i/>
                <w:iCs/>
                <w:szCs w:val="17"/>
                <w:lang w:val="fr-FR"/>
              </w:rPr>
              <w:t>Les propositions devraient montrer qu’il existe de bonnes perspectives de financement, en particulier des pays géographiquement concernés (UE et ses États membres). La proposition ne doit pas forcément démontrer qu’un financement complet est en place avant de pouvoir approuver la proposition, mais elle devrait fournir une évaluation (et des garanties) concernant un financement probable. Il sera utile d’inclure un budget prévisionnel, d’évaluer le niveau de financement minimum requis pour lancer l’Accord, et d’indiquer dans quelle mesure le plan de financement est considéré comme durable. </w:t>
            </w:r>
          </w:p>
          <w:p w14:paraId="56975C8C" w14:textId="77777777" w:rsidR="00085DCD" w:rsidRPr="00FB1754" w:rsidRDefault="00085DCD" w:rsidP="00FC71A6">
            <w:pPr>
              <w:widowControl/>
              <w:autoSpaceDE/>
              <w:autoSpaceDN/>
              <w:adjustRightInd/>
              <w:jc w:val="both"/>
              <w:rPr>
                <w:szCs w:val="17"/>
                <w:lang w:val="fr-FR"/>
              </w:rPr>
            </w:pPr>
          </w:p>
          <w:p w14:paraId="10D9C0CC" w14:textId="77777777" w:rsidR="00835891" w:rsidRPr="00FB1754" w:rsidRDefault="00835891" w:rsidP="00FC71A6">
            <w:pPr>
              <w:widowControl/>
              <w:autoSpaceDE/>
              <w:autoSpaceDN/>
              <w:adjustRightInd/>
              <w:jc w:val="both"/>
              <w:rPr>
                <w:b/>
                <w:bCs/>
                <w:szCs w:val="17"/>
                <w:lang w:val="fr-FR"/>
              </w:rPr>
            </w:pPr>
            <w:r w:rsidRPr="00FB1754">
              <w:rPr>
                <w:b/>
                <w:bCs/>
                <w:szCs w:val="17"/>
                <w:lang w:val="fr-FR"/>
              </w:rPr>
              <w:t>(viii) Synergies et rentabilité </w:t>
            </w:r>
          </w:p>
          <w:p w14:paraId="07C6420D" w14:textId="77777777" w:rsidR="00085DCD" w:rsidRPr="00FB1754" w:rsidRDefault="00085DCD" w:rsidP="00FC71A6">
            <w:pPr>
              <w:widowControl/>
              <w:autoSpaceDE/>
              <w:autoSpaceDN/>
              <w:adjustRightInd/>
              <w:jc w:val="both"/>
              <w:rPr>
                <w:szCs w:val="17"/>
                <w:lang w:val="fr-FR"/>
              </w:rPr>
            </w:pPr>
          </w:p>
          <w:p w14:paraId="0CC60956" w14:textId="77777777" w:rsidR="00835891" w:rsidRPr="00FB1754" w:rsidRDefault="00835891" w:rsidP="00FC71A6">
            <w:pPr>
              <w:widowControl/>
              <w:autoSpaceDE/>
              <w:autoSpaceDN/>
              <w:adjustRightInd/>
              <w:jc w:val="both"/>
              <w:rPr>
                <w:szCs w:val="17"/>
                <w:lang w:val="fr-FR"/>
              </w:rPr>
            </w:pPr>
            <w:r w:rsidRPr="00FB1754">
              <w:rPr>
                <w:i/>
                <w:iCs/>
                <w:szCs w:val="17"/>
                <w:lang w:val="fr-FR"/>
              </w:rPr>
              <w:t>Les propositions devraient indiquer les possibilités de relier l’Accord proposé à d’autres initiatives, de sorte que la valeur de tous soit renforcée (par exemple par des économies d’échelle, ou des nouvelles possibilités offertes en conjuguant les efforts, qui n’existeraient pas autrement, etc.). Ces possibilités peuvent aussi inclure des effets catalyseurs et des avantages connexes (secondaires). Les propositions devraient préciser les ressources dont elles ont besoin, mais aussi relier ces ressources à l’ampleur de l’impact attendu, afin de pouvoir déterminer le rapport coût-efficacité de l’Accord proposé. </w:t>
            </w:r>
          </w:p>
          <w:p w14:paraId="2460D6B3" w14:textId="5D586F69" w:rsidR="00835891" w:rsidRDefault="00835891" w:rsidP="00FC71A6">
            <w:pPr>
              <w:widowControl/>
              <w:autoSpaceDE/>
              <w:autoSpaceDN/>
              <w:adjustRightInd/>
              <w:jc w:val="both"/>
              <w:rPr>
                <w:szCs w:val="17"/>
                <w:lang w:val="fr-FR"/>
              </w:rPr>
            </w:pPr>
          </w:p>
          <w:p w14:paraId="24B6F9C5" w14:textId="2515CD75" w:rsidR="008B638A" w:rsidRDefault="008B638A" w:rsidP="00FC71A6">
            <w:pPr>
              <w:widowControl/>
              <w:autoSpaceDE/>
              <w:autoSpaceDN/>
              <w:adjustRightInd/>
              <w:jc w:val="both"/>
              <w:rPr>
                <w:szCs w:val="17"/>
                <w:lang w:val="fr-FR"/>
              </w:rPr>
            </w:pPr>
          </w:p>
          <w:p w14:paraId="5077C6BD" w14:textId="77777777" w:rsidR="008B638A" w:rsidRPr="00FB1754" w:rsidRDefault="008B638A" w:rsidP="00FC71A6">
            <w:pPr>
              <w:widowControl/>
              <w:autoSpaceDE/>
              <w:autoSpaceDN/>
              <w:adjustRightInd/>
              <w:jc w:val="both"/>
              <w:rPr>
                <w:szCs w:val="17"/>
                <w:lang w:val="fr-FR"/>
              </w:rPr>
            </w:pPr>
          </w:p>
          <w:p w14:paraId="1FDE35F5" w14:textId="77777777" w:rsidR="00835891" w:rsidRPr="00FB1754" w:rsidRDefault="00835891" w:rsidP="00FC71A6">
            <w:pPr>
              <w:widowControl/>
              <w:autoSpaceDE/>
              <w:autoSpaceDN/>
              <w:adjustRightInd/>
              <w:jc w:val="both"/>
              <w:rPr>
                <w:b/>
                <w:bCs/>
                <w:szCs w:val="17"/>
                <w:lang w:val="fr-FR"/>
              </w:rPr>
            </w:pPr>
            <w:r w:rsidRPr="00FB1754">
              <w:rPr>
                <w:b/>
                <w:bCs/>
                <w:szCs w:val="17"/>
                <w:lang w:val="fr-FR"/>
              </w:rPr>
              <w:lastRenderedPageBreak/>
              <w:t>(ix) Perspectives de leadership dans le cadre de l’élaboration de l’Accord </w:t>
            </w:r>
          </w:p>
          <w:p w14:paraId="5BE0A25F" w14:textId="77777777" w:rsidR="00085DCD" w:rsidRPr="00FB1754" w:rsidRDefault="00085DCD" w:rsidP="00FC71A6">
            <w:pPr>
              <w:widowControl/>
              <w:autoSpaceDE/>
              <w:autoSpaceDN/>
              <w:adjustRightInd/>
              <w:jc w:val="both"/>
              <w:rPr>
                <w:szCs w:val="17"/>
                <w:lang w:val="fr-FR"/>
              </w:rPr>
            </w:pPr>
          </w:p>
          <w:p w14:paraId="2AC8B9CB" w14:textId="77777777" w:rsidR="00835891" w:rsidRPr="00FB1754" w:rsidRDefault="00835891" w:rsidP="00FC71A6">
            <w:pPr>
              <w:widowControl/>
              <w:autoSpaceDE/>
              <w:autoSpaceDN/>
              <w:adjustRightInd/>
              <w:jc w:val="both"/>
              <w:rPr>
                <w:i/>
                <w:iCs/>
                <w:szCs w:val="17"/>
                <w:lang w:val="fr-FR"/>
              </w:rPr>
            </w:pPr>
            <w:r w:rsidRPr="00FB1754">
              <w:rPr>
                <w:i/>
                <w:iCs/>
                <w:szCs w:val="17"/>
                <w:lang w:val="fr-FR"/>
              </w:rPr>
              <w:t>Les propositions devraient montrer qu’elles ont de bonnes perspectives de leadership dans le cadre du processus d’élaboration de l’Accord, telles qu’un gouvernement ou un autre organisme faisant une proposition ferme de conduire le processus de négociation, d’accueillir des réunions et de coordonner la collecte de fonds. </w:t>
            </w:r>
          </w:p>
          <w:p w14:paraId="53C1F273" w14:textId="77777777" w:rsidR="00085DCD" w:rsidRPr="00FB1754" w:rsidRDefault="00085DCD" w:rsidP="00FC71A6">
            <w:pPr>
              <w:widowControl/>
              <w:autoSpaceDE/>
              <w:autoSpaceDN/>
              <w:adjustRightInd/>
              <w:jc w:val="both"/>
              <w:rPr>
                <w:szCs w:val="17"/>
                <w:lang w:val="fr-FR"/>
              </w:rPr>
            </w:pPr>
          </w:p>
          <w:p w14:paraId="718C66A7" w14:textId="77777777" w:rsidR="00835891" w:rsidRPr="00FB1754" w:rsidRDefault="00835891" w:rsidP="00FC71A6">
            <w:pPr>
              <w:widowControl/>
              <w:autoSpaceDE/>
              <w:autoSpaceDN/>
              <w:adjustRightInd/>
              <w:jc w:val="both"/>
              <w:rPr>
                <w:b/>
                <w:bCs/>
                <w:szCs w:val="17"/>
                <w:lang w:val="fr-FR"/>
              </w:rPr>
            </w:pPr>
            <w:r w:rsidRPr="00FB1754">
              <w:rPr>
                <w:b/>
                <w:bCs/>
                <w:szCs w:val="17"/>
                <w:lang w:val="fr-FR"/>
              </w:rPr>
              <w:t>(x) Perspectives de coordination de la mise en oeuvre de l’Accord </w:t>
            </w:r>
          </w:p>
          <w:p w14:paraId="527EFABF" w14:textId="77777777" w:rsidR="00085DCD" w:rsidRPr="00FB1754" w:rsidRDefault="00085DCD" w:rsidP="00FC71A6">
            <w:pPr>
              <w:widowControl/>
              <w:autoSpaceDE/>
              <w:autoSpaceDN/>
              <w:adjustRightInd/>
              <w:jc w:val="both"/>
              <w:rPr>
                <w:szCs w:val="17"/>
                <w:lang w:val="fr-FR"/>
              </w:rPr>
            </w:pPr>
          </w:p>
          <w:p w14:paraId="324B0091" w14:textId="77777777" w:rsidR="00835891" w:rsidRPr="00FB1754" w:rsidRDefault="00835891" w:rsidP="00FC71A6">
            <w:pPr>
              <w:widowControl/>
              <w:autoSpaceDE/>
              <w:autoSpaceDN/>
              <w:adjustRightInd/>
              <w:jc w:val="both"/>
              <w:rPr>
                <w:i/>
                <w:iCs/>
                <w:szCs w:val="17"/>
                <w:lang w:val="fr-FR"/>
              </w:rPr>
            </w:pPr>
            <w:r w:rsidRPr="00FB1754">
              <w:rPr>
                <w:i/>
                <w:iCs/>
                <w:szCs w:val="17"/>
                <w:lang w:val="fr-FR"/>
              </w:rPr>
              <w:t>Les propositions devraient montrer qu’il existe de bonnes perspectives de coordination de la mise en oeuvre de l’Accord sur une base permanente après son adoption (telles que l’hébergement d’un secrétariat, l’organisation de réunions et la gestion de projets). </w:t>
            </w:r>
          </w:p>
          <w:p w14:paraId="6C664A79" w14:textId="77777777" w:rsidR="00085DCD" w:rsidRPr="00FB1754" w:rsidRDefault="00085DCD" w:rsidP="00FC71A6">
            <w:pPr>
              <w:widowControl/>
              <w:autoSpaceDE/>
              <w:autoSpaceDN/>
              <w:adjustRightInd/>
              <w:jc w:val="both"/>
              <w:rPr>
                <w:szCs w:val="17"/>
                <w:lang w:val="fr-FR"/>
              </w:rPr>
            </w:pPr>
          </w:p>
          <w:p w14:paraId="026183BC" w14:textId="77777777" w:rsidR="00835891" w:rsidRPr="00FB1754" w:rsidRDefault="00835891" w:rsidP="00FC71A6">
            <w:pPr>
              <w:widowControl/>
              <w:autoSpaceDE/>
              <w:autoSpaceDN/>
              <w:adjustRightInd/>
              <w:jc w:val="both"/>
              <w:rPr>
                <w:b/>
                <w:bCs/>
                <w:szCs w:val="17"/>
                <w:lang w:val="fr-FR"/>
              </w:rPr>
            </w:pPr>
            <w:r w:rsidRPr="00FB1754">
              <w:rPr>
                <w:b/>
                <w:bCs/>
                <w:szCs w:val="17"/>
                <w:lang w:val="fr-FR"/>
              </w:rPr>
              <w:t>(xi) Faisabilité à d’autres égards </w:t>
            </w:r>
          </w:p>
          <w:p w14:paraId="2B440309" w14:textId="77777777" w:rsidR="00085DCD" w:rsidRPr="00FB1754" w:rsidRDefault="00085DCD" w:rsidP="00FC71A6">
            <w:pPr>
              <w:widowControl/>
              <w:autoSpaceDE/>
              <w:autoSpaceDN/>
              <w:adjustRightInd/>
              <w:jc w:val="both"/>
              <w:rPr>
                <w:szCs w:val="17"/>
                <w:lang w:val="fr-FR"/>
              </w:rPr>
            </w:pPr>
          </w:p>
          <w:p w14:paraId="72077A97" w14:textId="77777777" w:rsidR="00835891" w:rsidRPr="00FB1754" w:rsidRDefault="00835891" w:rsidP="00FC71A6">
            <w:pPr>
              <w:widowControl/>
              <w:autoSpaceDE/>
              <w:autoSpaceDN/>
              <w:adjustRightInd/>
              <w:jc w:val="both"/>
              <w:rPr>
                <w:i/>
                <w:iCs/>
                <w:szCs w:val="17"/>
                <w:lang w:val="fr-FR"/>
              </w:rPr>
            </w:pPr>
            <w:r w:rsidRPr="00FB1754">
              <w:rPr>
                <w:i/>
                <w:iCs/>
                <w:szCs w:val="17"/>
                <w:lang w:val="fr-FR"/>
              </w:rPr>
              <w:t>Les propositions devraient examiner toutes les autres questions importantes relatives à la faisabilité en pratique du lancement et du fonctionnement de l’Accord (comme la stabilité politique ou les obstacles diplomatiques à la coopération). </w:t>
            </w:r>
          </w:p>
          <w:p w14:paraId="6B354C81" w14:textId="77777777" w:rsidR="00085DCD" w:rsidRPr="00FB1754" w:rsidRDefault="00085DCD" w:rsidP="00FC71A6">
            <w:pPr>
              <w:widowControl/>
              <w:autoSpaceDE/>
              <w:autoSpaceDN/>
              <w:adjustRightInd/>
              <w:jc w:val="both"/>
              <w:rPr>
                <w:szCs w:val="17"/>
                <w:lang w:val="fr-FR"/>
              </w:rPr>
            </w:pPr>
          </w:p>
          <w:p w14:paraId="23F6F503" w14:textId="77777777" w:rsidR="00835891" w:rsidRDefault="00835891" w:rsidP="00FC71A6">
            <w:pPr>
              <w:widowControl/>
              <w:autoSpaceDE/>
              <w:autoSpaceDN/>
              <w:adjustRightInd/>
              <w:jc w:val="both"/>
              <w:rPr>
                <w:b/>
                <w:bCs/>
                <w:szCs w:val="17"/>
              </w:rPr>
            </w:pPr>
            <w:r w:rsidRPr="00835891">
              <w:rPr>
                <w:b/>
                <w:bCs/>
                <w:szCs w:val="17"/>
              </w:rPr>
              <w:t>(xii) Chances de succès </w:t>
            </w:r>
          </w:p>
          <w:p w14:paraId="76C4E1B4" w14:textId="77777777" w:rsidR="00085DCD" w:rsidRPr="00835891" w:rsidRDefault="00085DCD" w:rsidP="00FC71A6">
            <w:pPr>
              <w:widowControl/>
              <w:autoSpaceDE/>
              <w:autoSpaceDN/>
              <w:adjustRightInd/>
              <w:jc w:val="both"/>
              <w:rPr>
                <w:szCs w:val="17"/>
              </w:rPr>
            </w:pPr>
          </w:p>
          <w:p w14:paraId="54222BC3" w14:textId="77777777" w:rsidR="00835891" w:rsidRPr="00FB1754" w:rsidRDefault="00835891" w:rsidP="00FC71A6">
            <w:pPr>
              <w:widowControl/>
              <w:autoSpaceDE/>
              <w:autoSpaceDN/>
              <w:adjustRightInd/>
              <w:jc w:val="both"/>
              <w:rPr>
                <w:i/>
                <w:iCs/>
                <w:szCs w:val="17"/>
                <w:lang w:val="fr-FR"/>
              </w:rPr>
            </w:pPr>
            <w:r w:rsidRPr="00FB1754">
              <w:rPr>
                <w:i/>
                <w:iCs/>
                <w:szCs w:val="17"/>
                <w:lang w:val="fr-FR"/>
              </w:rPr>
              <w:t>En plus d’évaluer la probabilité qu’un Accord proposé puisse être appliqué (critères vii), x) et xi) ci-dessus), les propositions devraient évaluer la probabilité que sa mise en oeuvre aboutisse aux résultats escomptés. Les facteurs de risques à prendre en considération incluent : les incertitudes au sujet des effets écologiques; l’absence de « mécanisme d’héritage » pour assurer le maintien des résultats obtenus; les activités menées par d’autres entités qui peuvent limiter ou annuler les résultats de l’Accord. </w:t>
            </w:r>
          </w:p>
          <w:p w14:paraId="7A13A582" w14:textId="77777777" w:rsidR="00085DCD" w:rsidRPr="00FB1754" w:rsidRDefault="00085DCD" w:rsidP="00FC71A6">
            <w:pPr>
              <w:widowControl/>
              <w:autoSpaceDE/>
              <w:autoSpaceDN/>
              <w:adjustRightInd/>
              <w:jc w:val="both"/>
              <w:rPr>
                <w:szCs w:val="17"/>
                <w:lang w:val="fr-FR"/>
              </w:rPr>
            </w:pPr>
          </w:p>
          <w:p w14:paraId="3DF5B01B" w14:textId="77777777" w:rsidR="00835891" w:rsidRPr="00FB1754" w:rsidRDefault="00835891" w:rsidP="00FC71A6">
            <w:pPr>
              <w:widowControl/>
              <w:autoSpaceDE/>
              <w:autoSpaceDN/>
              <w:adjustRightInd/>
              <w:jc w:val="both"/>
              <w:rPr>
                <w:b/>
                <w:bCs/>
                <w:szCs w:val="17"/>
                <w:lang w:val="fr-FR"/>
              </w:rPr>
            </w:pPr>
            <w:r w:rsidRPr="00FB1754">
              <w:rPr>
                <w:b/>
                <w:bCs/>
                <w:szCs w:val="17"/>
                <w:lang w:val="fr-FR"/>
              </w:rPr>
              <w:t>(xiii) Ampleur de l’impact probable </w:t>
            </w:r>
          </w:p>
          <w:p w14:paraId="5EC15473" w14:textId="77777777" w:rsidR="00085DCD" w:rsidRPr="00FB1754" w:rsidRDefault="00085DCD" w:rsidP="00FC71A6">
            <w:pPr>
              <w:widowControl/>
              <w:autoSpaceDE/>
              <w:autoSpaceDN/>
              <w:adjustRightInd/>
              <w:jc w:val="both"/>
              <w:rPr>
                <w:szCs w:val="17"/>
                <w:lang w:val="fr-FR"/>
              </w:rPr>
            </w:pPr>
          </w:p>
          <w:p w14:paraId="1571D49A" w14:textId="1DDD30A1" w:rsidR="00835891" w:rsidRPr="00FB1754" w:rsidRDefault="00835891" w:rsidP="00FC71A6">
            <w:pPr>
              <w:widowControl/>
              <w:autoSpaceDE/>
              <w:autoSpaceDN/>
              <w:adjustRightInd/>
              <w:jc w:val="both"/>
              <w:rPr>
                <w:i/>
                <w:iCs/>
                <w:szCs w:val="17"/>
                <w:lang w:val="fr-FR"/>
              </w:rPr>
            </w:pPr>
            <w:r w:rsidRPr="00FB1754">
              <w:rPr>
                <w:i/>
                <w:iCs/>
                <w:szCs w:val="17"/>
                <w:lang w:val="fr-FR"/>
              </w:rPr>
              <w:t>Afin d’établir une priorité entre plusieurs propositions qui peuvent être égales à d’autres titres, les propositions devraient fournir des informations sur: le nombre d’espèces, le nombre de pays ou l’étendue de la zone qui bénéficieront de l’Accord; la possibilité d’avoir des effets catalyseurs et multiplicateurs; et tout autre aspect lié à l’ampleur de l’impact dans son ensemble. </w:t>
            </w:r>
          </w:p>
          <w:p w14:paraId="39D1B318" w14:textId="77777777" w:rsidR="00085DCD" w:rsidRPr="00FB1754" w:rsidRDefault="00085DCD" w:rsidP="00FC71A6">
            <w:pPr>
              <w:widowControl/>
              <w:autoSpaceDE/>
              <w:autoSpaceDN/>
              <w:adjustRightInd/>
              <w:jc w:val="both"/>
              <w:rPr>
                <w:szCs w:val="17"/>
                <w:lang w:val="fr-FR"/>
              </w:rPr>
            </w:pPr>
          </w:p>
          <w:p w14:paraId="4AF5D4C9" w14:textId="77777777" w:rsidR="00835891" w:rsidRPr="00FB1754" w:rsidRDefault="00835891" w:rsidP="00FC71A6">
            <w:pPr>
              <w:widowControl/>
              <w:autoSpaceDE/>
              <w:autoSpaceDN/>
              <w:adjustRightInd/>
              <w:jc w:val="both"/>
              <w:rPr>
                <w:b/>
                <w:bCs/>
                <w:szCs w:val="17"/>
                <w:lang w:val="fr-FR"/>
              </w:rPr>
            </w:pPr>
            <w:r w:rsidRPr="00FB1754">
              <w:rPr>
                <w:b/>
                <w:bCs/>
                <w:szCs w:val="17"/>
                <w:lang w:val="fr-FR"/>
              </w:rPr>
              <w:t>(xiv) Dispositions concernant le suivi et l’évaluation </w:t>
            </w:r>
          </w:p>
          <w:p w14:paraId="3CD0681A" w14:textId="77777777" w:rsidR="00085DCD" w:rsidRPr="00FB1754" w:rsidRDefault="00085DCD" w:rsidP="00FC71A6">
            <w:pPr>
              <w:widowControl/>
              <w:autoSpaceDE/>
              <w:autoSpaceDN/>
              <w:adjustRightInd/>
              <w:jc w:val="both"/>
              <w:rPr>
                <w:szCs w:val="17"/>
                <w:lang w:val="fr-FR"/>
              </w:rPr>
            </w:pPr>
          </w:p>
          <w:p w14:paraId="53F10FBD" w14:textId="223672C2" w:rsidR="00835891" w:rsidRPr="00FB1754" w:rsidRDefault="00835891" w:rsidP="00FC71A6">
            <w:pPr>
              <w:widowControl/>
              <w:autoSpaceDE/>
              <w:autoSpaceDN/>
              <w:adjustRightInd/>
              <w:jc w:val="both"/>
              <w:rPr>
                <w:i/>
                <w:iCs/>
                <w:szCs w:val="17"/>
                <w:lang w:val="fr-FR"/>
              </w:rPr>
            </w:pPr>
            <w:r w:rsidRPr="00FB1754">
              <w:rPr>
                <w:i/>
                <w:iCs/>
                <w:szCs w:val="17"/>
                <w:lang w:val="fr-FR"/>
              </w:rPr>
              <w:t>Les propositions devraient indiquer la façon dont la réalisation des buts définis au titre du critère iii) peut être mesurée et communiquée. Des bonnes pratiques à cet égard incluent la mise en place d’un cadre d’évaluation simple et facile à utiliser, comprenant au moins les éléments minimums ci-après: </w:t>
            </w:r>
          </w:p>
          <w:p w14:paraId="7C9984AC" w14:textId="77777777" w:rsidR="00085DCD" w:rsidRPr="00FB1754" w:rsidRDefault="00085DCD" w:rsidP="00FC71A6">
            <w:pPr>
              <w:widowControl/>
              <w:autoSpaceDE/>
              <w:autoSpaceDN/>
              <w:adjustRightInd/>
              <w:jc w:val="both"/>
              <w:rPr>
                <w:szCs w:val="17"/>
                <w:lang w:val="fr-FR"/>
              </w:rPr>
            </w:pPr>
          </w:p>
          <w:p w14:paraId="61F5B500" w14:textId="2883C601" w:rsidR="00835891" w:rsidRPr="00FB1754" w:rsidRDefault="00835891" w:rsidP="00085DCD">
            <w:pPr>
              <w:widowControl/>
              <w:autoSpaceDE/>
              <w:autoSpaceDN/>
              <w:adjustRightInd/>
              <w:spacing w:after="51"/>
              <w:ind w:left="330" w:hanging="330"/>
              <w:jc w:val="both"/>
              <w:rPr>
                <w:szCs w:val="17"/>
                <w:lang w:val="fr-FR"/>
              </w:rPr>
            </w:pPr>
            <w:r w:rsidRPr="00FB1754">
              <w:rPr>
                <w:szCs w:val="17"/>
                <w:lang w:val="fr-FR"/>
              </w:rPr>
              <w:t xml:space="preserve">- </w:t>
            </w:r>
            <w:r w:rsidR="00085DCD" w:rsidRPr="00FB1754">
              <w:rPr>
                <w:szCs w:val="17"/>
                <w:lang w:val="fr-FR"/>
              </w:rPr>
              <w:t xml:space="preserve"> </w:t>
            </w:r>
            <w:r w:rsidRPr="00FB1754">
              <w:rPr>
                <w:i/>
                <w:iCs/>
                <w:szCs w:val="17"/>
                <w:lang w:val="fr-FR"/>
              </w:rPr>
              <w:t>Une déclaration ou une description sur la façon dont le suivi, l’évaluation et l’établissement de rapports seront effectués pour l’Accord concerné; </w:t>
            </w:r>
          </w:p>
          <w:p w14:paraId="2A2DBE0F" w14:textId="624FD03B" w:rsidR="00835891" w:rsidRPr="00FB1754" w:rsidRDefault="00835891" w:rsidP="00085DCD">
            <w:pPr>
              <w:widowControl/>
              <w:autoSpaceDE/>
              <w:autoSpaceDN/>
              <w:adjustRightInd/>
              <w:ind w:left="330" w:hanging="330"/>
              <w:jc w:val="both"/>
              <w:rPr>
                <w:szCs w:val="17"/>
                <w:lang w:val="fr-FR"/>
              </w:rPr>
            </w:pPr>
            <w:r w:rsidRPr="00FB1754">
              <w:rPr>
                <w:szCs w:val="17"/>
                <w:lang w:val="fr-FR"/>
              </w:rPr>
              <w:lastRenderedPageBreak/>
              <w:t xml:space="preserve">- </w:t>
            </w:r>
            <w:r w:rsidR="00085DCD" w:rsidRPr="00FB1754">
              <w:rPr>
                <w:szCs w:val="17"/>
                <w:lang w:val="fr-FR"/>
              </w:rPr>
              <w:t xml:space="preserve"> </w:t>
            </w:r>
            <w:r w:rsidRPr="00FB1754">
              <w:rPr>
                <w:i/>
                <w:iCs/>
                <w:szCs w:val="17"/>
                <w:lang w:val="fr-FR"/>
              </w:rPr>
              <w:t>Une définition au moins de certains objectifs fondamentaux qui peuvent être mesurés, ainsi qu’une définition des principales mesures qui seront utilisées pour évaluer les progrès accomplis dans la réalisation de chaque objectif; </w:t>
            </w:r>
          </w:p>
          <w:p w14:paraId="660BCAD2" w14:textId="77777777" w:rsidR="00835891" w:rsidRPr="00FB1754" w:rsidRDefault="00835891" w:rsidP="00085DCD">
            <w:pPr>
              <w:widowControl/>
              <w:autoSpaceDE/>
              <w:autoSpaceDN/>
              <w:adjustRightInd/>
              <w:ind w:left="330" w:hanging="330"/>
              <w:jc w:val="both"/>
              <w:rPr>
                <w:szCs w:val="18"/>
                <w:lang w:val="fr-FR"/>
              </w:rPr>
            </w:pPr>
          </w:p>
          <w:p w14:paraId="6D70CB94" w14:textId="2AF4464B" w:rsidR="00835891" w:rsidRPr="00FB1754" w:rsidRDefault="00835891" w:rsidP="00085DCD">
            <w:pPr>
              <w:widowControl/>
              <w:autoSpaceDE/>
              <w:autoSpaceDN/>
              <w:adjustRightInd/>
              <w:spacing w:after="50"/>
              <w:ind w:left="330" w:hanging="330"/>
              <w:jc w:val="both"/>
              <w:rPr>
                <w:szCs w:val="17"/>
                <w:lang w:val="fr-FR"/>
              </w:rPr>
            </w:pPr>
            <w:r w:rsidRPr="00FB1754">
              <w:rPr>
                <w:szCs w:val="17"/>
                <w:lang w:val="fr-FR"/>
              </w:rPr>
              <w:t xml:space="preserve">- </w:t>
            </w:r>
            <w:r w:rsidR="00085DCD" w:rsidRPr="00FB1754">
              <w:rPr>
                <w:szCs w:val="17"/>
                <w:lang w:val="fr-FR"/>
              </w:rPr>
              <w:t xml:space="preserve"> </w:t>
            </w:r>
            <w:r w:rsidRPr="00FB1754">
              <w:rPr>
                <w:i/>
                <w:iCs/>
                <w:szCs w:val="17"/>
                <w:lang w:val="fr-FR"/>
              </w:rPr>
              <w:t>Une distinction entre : a) les progrès accomplis dans la réalisation des activités</w:t>
            </w:r>
            <w:r w:rsidR="00FC71A6" w:rsidRPr="00FB1754">
              <w:rPr>
                <w:rStyle w:val="FootnoteReference"/>
                <w:i/>
                <w:iCs/>
                <w:szCs w:val="17"/>
                <w:vertAlign w:val="superscript"/>
                <w:lang w:val="fr-FR"/>
              </w:rPr>
              <w:footnoteReference w:customMarkFollows="1" w:id="2"/>
              <w:t>2</w:t>
            </w:r>
            <w:r w:rsidRPr="00FB1754">
              <w:rPr>
                <w:i/>
                <w:iCs/>
                <w:szCs w:val="17"/>
                <w:lang w:val="fr-FR"/>
              </w:rPr>
              <w:t>; et b) les progrès accomplis en vue d’atteindre des résultats (écologiques)</w:t>
            </w:r>
            <w:r w:rsidR="00FC71A6" w:rsidRPr="00FB1754">
              <w:rPr>
                <w:rStyle w:val="FootnoteReference"/>
                <w:i/>
                <w:iCs/>
                <w:szCs w:val="17"/>
                <w:vertAlign w:val="superscript"/>
                <w:lang w:val="fr-FR"/>
              </w:rPr>
              <w:footnoteReference w:customMarkFollows="1" w:id="3"/>
              <w:t>3</w:t>
            </w:r>
            <w:r w:rsidRPr="00FB1754">
              <w:rPr>
                <w:i/>
                <w:iCs/>
                <w:szCs w:val="17"/>
                <w:vertAlign w:val="superscript"/>
                <w:lang w:val="fr-FR"/>
              </w:rPr>
              <w:t>;</w:t>
            </w:r>
            <w:r w:rsidRPr="00FB1754">
              <w:rPr>
                <w:i/>
                <w:iCs/>
                <w:szCs w:val="17"/>
                <w:lang w:val="fr-FR"/>
              </w:rPr>
              <w:t xml:space="preserve"> avec au moins une mesure pouvant faire l’objet d’un suivi périodique, définie pour chacun d’entre eux; </w:t>
            </w:r>
          </w:p>
          <w:p w14:paraId="1B3EEAA6" w14:textId="7839836F" w:rsidR="00835891" w:rsidRPr="00FB1754" w:rsidRDefault="00835891" w:rsidP="00085DCD">
            <w:pPr>
              <w:widowControl/>
              <w:autoSpaceDE/>
              <w:autoSpaceDN/>
              <w:adjustRightInd/>
              <w:spacing w:after="50"/>
              <w:ind w:left="330" w:hanging="330"/>
              <w:jc w:val="both"/>
              <w:rPr>
                <w:szCs w:val="17"/>
                <w:lang w:val="fr-FR"/>
              </w:rPr>
            </w:pPr>
            <w:r w:rsidRPr="00FB1754">
              <w:rPr>
                <w:szCs w:val="17"/>
                <w:lang w:val="fr-FR"/>
              </w:rPr>
              <w:t xml:space="preserve">- </w:t>
            </w:r>
            <w:r w:rsidR="00085DCD" w:rsidRPr="00FB1754">
              <w:rPr>
                <w:szCs w:val="17"/>
                <w:lang w:val="fr-FR"/>
              </w:rPr>
              <w:t xml:space="preserve"> </w:t>
            </w:r>
            <w:r w:rsidRPr="00FB1754">
              <w:rPr>
                <w:i/>
                <w:iCs/>
                <w:szCs w:val="17"/>
                <w:lang w:val="fr-FR"/>
              </w:rPr>
              <w:t>Une capacité à démontrer une cause logique permettant d’attribuer des résultats à des activités menées au titre de l’Accord (les résultats de cette relation deviennent ensuite une mesure de l’efficacité de l’Accord); </w:t>
            </w:r>
          </w:p>
          <w:p w14:paraId="57BC9BC6" w14:textId="51743182" w:rsidR="00835891" w:rsidRPr="00FB1754" w:rsidRDefault="00835891" w:rsidP="00085DCD">
            <w:pPr>
              <w:widowControl/>
              <w:autoSpaceDE/>
              <w:autoSpaceDN/>
              <w:adjustRightInd/>
              <w:spacing w:after="50"/>
              <w:ind w:left="330" w:hanging="330"/>
              <w:jc w:val="both"/>
              <w:rPr>
                <w:szCs w:val="17"/>
                <w:lang w:val="fr-FR"/>
              </w:rPr>
            </w:pPr>
            <w:r w:rsidRPr="00FB1754">
              <w:rPr>
                <w:szCs w:val="17"/>
                <w:lang w:val="fr-FR"/>
              </w:rPr>
              <w:t xml:space="preserve">- </w:t>
            </w:r>
            <w:r w:rsidR="00085DCD" w:rsidRPr="00FB1754">
              <w:rPr>
                <w:szCs w:val="17"/>
                <w:lang w:val="fr-FR"/>
              </w:rPr>
              <w:t xml:space="preserve"> </w:t>
            </w:r>
            <w:r w:rsidRPr="00FB1754">
              <w:rPr>
                <w:i/>
                <w:iCs/>
                <w:szCs w:val="17"/>
                <w:lang w:val="fr-FR"/>
              </w:rPr>
              <w:t>Des méthodes pour recueillir et analyser les informations, qui sont suffisamment exhaustives, cohérentes, transparentes et fiables à cette fin; </w:t>
            </w:r>
          </w:p>
          <w:p w14:paraId="79B0E0FB" w14:textId="719C2F8D" w:rsidR="00835891" w:rsidRPr="00FB1754" w:rsidRDefault="00835891" w:rsidP="00085DCD">
            <w:pPr>
              <w:widowControl/>
              <w:autoSpaceDE/>
              <w:autoSpaceDN/>
              <w:adjustRightInd/>
              <w:spacing w:after="50"/>
              <w:ind w:left="330" w:hanging="330"/>
              <w:jc w:val="both"/>
              <w:rPr>
                <w:szCs w:val="17"/>
                <w:lang w:val="fr-FR"/>
              </w:rPr>
            </w:pPr>
            <w:r w:rsidRPr="00FB1754">
              <w:rPr>
                <w:szCs w:val="17"/>
                <w:lang w:val="fr-FR"/>
              </w:rPr>
              <w:t xml:space="preserve">- </w:t>
            </w:r>
            <w:r w:rsidR="00085DCD" w:rsidRPr="00FB1754">
              <w:rPr>
                <w:szCs w:val="17"/>
                <w:lang w:val="fr-FR"/>
              </w:rPr>
              <w:t xml:space="preserve"> </w:t>
            </w:r>
            <w:r w:rsidRPr="00FB1754">
              <w:rPr>
                <w:i/>
                <w:iCs/>
                <w:szCs w:val="17"/>
                <w:lang w:val="fr-FR"/>
              </w:rPr>
              <w:t>Un engagement à produire des informations de façon périodique et en temps voulu, à la fois pour les processus de gouvernance de l’Accord lui-même et pour des synthèses pertinentes à l’échelle du système de la CMS; </w:t>
            </w:r>
          </w:p>
          <w:p w14:paraId="6598C723" w14:textId="0FD92092" w:rsidR="00835891" w:rsidRPr="00FB1754" w:rsidRDefault="00835891" w:rsidP="00085DCD">
            <w:pPr>
              <w:widowControl/>
              <w:autoSpaceDE/>
              <w:autoSpaceDN/>
              <w:adjustRightInd/>
              <w:ind w:left="330" w:hanging="330"/>
              <w:jc w:val="both"/>
              <w:rPr>
                <w:szCs w:val="17"/>
                <w:lang w:val="fr-FR"/>
              </w:rPr>
            </w:pPr>
            <w:r w:rsidRPr="00FB1754">
              <w:rPr>
                <w:szCs w:val="17"/>
                <w:lang w:val="fr-FR"/>
              </w:rPr>
              <w:t xml:space="preserve">- </w:t>
            </w:r>
            <w:r w:rsidR="00085DCD" w:rsidRPr="00FB1754">
              <w:rPr>
                <w:szCs w:val="17"/>
                <w:lang w:val="fr-FR"/>
              </w:rPr>
              <w:t xml:space="preserve"> </w:t>
            </w:r>
            <w:r w:rsidRPr="00FB1754">
              <w:rPr>
                <w:i/>
                <w:iCs/>
                <w:szCs w:val="17"/>
                <w:lang w:val="fr-FR"/>
              </w:rPr>
              <w:t>Des efforts prodigués pour relier les conclusions du suivi et de l’évaluation aux buts stratégiques et aux objectifs adoptés par la CMS (dans le Plan stratégique pour les espèces migratrices, par exemple), et aux objectifs de l’Accord lui-même. </w:t>
            </w:r>
          </w:p>
        </w:tc>
        <w:tc>
          <w:tcPr>
            <w:tcW w:w="2576" w:type="dxa"/>
            <w:shd w:val="clear" w:color="auto" w:fill="auto"/>
          </w:tcPr>
          <w:p w14:paraId="702EA1F2" w14:textId="557A4A26" w:rsidR="00760641" w:rsidRPr="00835891" w:rsidRDefault="00C86A8D" w:rsidP="00226389">
            <w:pPr>
              <w:jc w:val="both"/>
            </w:pPr>
            <w:r>
              <w:lastRenderedPageBreak/>
              <w:t>Résolution</w:t>
            </w:r>
            <w:r w:rsidR="00760641" w:rsidRPr="00835891">
              <w:t xml:space="preserve"> 11.12 </w:t>
            </w:r>
          </w:p>
          <w:p w14:paraId="4807ACBC" w14:textId="77777777" w:rsidR="00760641" w:rsidRPr="00835891" w:rsidRDefault="00760641" w:rsidP="00226389">
            <w:pPr>
              <w:jc w:val="both"/>
            </w:pPr>
          </w:p>
          <w:p w14:paraId="311C8187" w14:textId="7FF22361" w:rsidR="00760641" w:rsidRPr="00835891" w:rsidRDefault="00C86A8D" w:rsidP="00226389">
            <w:r>
              <w:t>Conserver</w:t>
            </w:r>
          </w:p>
        </w:tc>
      </w:tr>
    </w:tbl>
    <w:p w14:paraId="4025EFA9" w14:textId="77777777" w:rsidR="00593041" w:rsidRPr="00835891" w:rsidRDefault="00593041" w:rsidP="00593041">
      <w:pPr>
        <w:jc w:val="both"/>
      </w:pPr>
    </w:p>
    <w:p w14:paraId="0A67EE54" w14:textId="77777777" w:rsidR="00593041" w:rsidRPr="00835891" w:rsidRDefault="00593041" w:rsidP="00593041">
      <w:pPr>
        <w:pBdr>
          <w:top w:val="single" w:sz="6" w:space="0" w:color="FFFFFF"/>
          <w:left w:val="single" w:sz="6" w:space="0" w:color="FFFFFF"/>
          <w:bottom w:val="single" w:sz="6" w:space="0" w:color="FFFFFF"/>
          <w:right w:val="single" w:sz="6" w:space="0" w:color="FFFFFF"/>
        </w:pBdr>
        <w:jc w:val="right"/>
        <w:outlineLvl w:val="1"/>
        <w:rPr>
          <w:b/>
          <w:caps/>
          <w:lang w:val="en-GB"/>
        </w:rPr>
        <w:sectPr w:rsidR="00593041" w:rsidRPr="00835891" w:rsidSect="00226389">
          <w:headerReference w:type="even" r:id="rId17"/>
          <w:headerReference w:type="default" r:id="rId18"/>
          <w:headerReference w:type="first" r:id="rId19"/>
          <w:footerReference w:type="first" r:id="rId20"/>
          <w:footnotePr>
            <w:numRestart w:val="eachPage"/>
          </w:footnotePr>
          <w:pgSz w:w="11907" w:h="16840"/>
          <w:pgMar w:top="1009" w:right="1412" w:bottom="1151" w:left="1412" w:header="720" w:footer="720" w:gutter="0"/>
          <w:cols w:space="720"/>
          <w:titlePg/>
          <w:docGrid w:linePitch="360"/>
        </w:sectPr>
      </w:pPr>
    </w:p>
    <w:p w14:paraId="502ECE60" w14:textId="2274A103" w:rsidR="00593041" w:rsidRPr="00835891" w:rsidRDefault="00593041" w:rsidP="00593041">
      <w:pPr>
        <w:pBdr>
          <w:top w:val="single" w:sz="6" w:space="0" w:color="FFFFFF"/>
          <w:left w:val="single" w:sz="6" w:space="0" w:color="FFFFFF"/>
          <w:bottom w:val="single" w:sz="6" w:space="0" w:color="FFFFFF"/>
          <w:right w:val="single" w:sz="6" w:space="0" w:color="FFFFFF"/>
        </w:pBdr>
        <w:jc w:val="right"/>
        <w:outlineLvl w:val="1"/>
        <w:rPr>
          <w:b/>
          <w:caps/>
          <w:lang w:val="en-GB"/>
        </w:rPr>
      </w:pPr>
      <w:r w:rsidRPr="00835891">
        <w:rPr>
          <w:b/>
          <w:caps/>
          <w:lang w:val="en-GB"/>
        </w:rPr>
        <w:lastRenderedPageBreak/>
        <w:t>AnnexE 2</w:t>
      </w:r>
    </w:p>
    <w:p w14:paraId="2EB02C1E" w14:textId="77777777" w:rsidR="00593041" w:rsidRPr="00835891" w:rsidRDefault="00593041" w:rsidP="00593041">
      <w:pPr>
        <w:pBdr>
          <w:top w:val="single" w:sz="6" w:space="0" w:color="FFFFFF"/>
          <w:left w:val="single" w:sz="6" w:space="0" w:color="FFFFFF"/>
          <w:bottom w:val="single" w:sz="6" w:space="0" w:color="FFFFFF"/>
          <w:right w:val="single" w:sz="6" w:space="0" w:color="FFFFFF"/>
        </w:pBdr>
        <w:jc w:val="right"/>
        <w:outlineLvl w:val="1"/>
        <w:rPr>
          <w:b/>
          <w:caps/>
          <w:lang w:val="en-GB"/>
        </w:rPr>
      </w:pPr>
    </w:p>
    <w:p w14:paraId="1F79E1F1" w14:textId="3E72E22C" w:rsidR="00EE6091" w:rsidRPr="008B638A" w:rsidRDefault="008B638A" w:rsidP="00EE6091">
      <w:pPr>
        <w:jc w:val="center"/>
      </w:pPr>
      <w:r w:rsidRPr="008B638A">
        <w:rPr>
          <w:caps/>
        </w:rPr>
        <w:t>PROJET DE RÉSOLUTION</w:t>
      </w:r>
    </w:p>
    <w:p w14:paraId="21DDA8DA" w14:textId="77777777" w:rsidR="00EE6091" w:rsidRPr="00835891" w:rsidRDefault="00EE6091" w:rsidP="00EE6091">
      <w:pPr>
        <w:jc w:val="center"/>
        <w:rPr>
          <w:b/>
        </w:rPr>
      </w:pPr>
    </w:p>
    <w:p w14:paraId="519BEE54" w14:textId="4B3608C7" w:rsidR="0079075D" w:rsidRPr="00FB1754" w:rsidRDefault="003F133F" w:rsidP="00EE6091">
      <w:pPr>
        <w:jc w:val="center"/>
        <w:rPr>
          <w:lang w:val="fr-FR"/>
        </w:rPr>
      </w:pPr>
      <w:r w:rsidRPr="00835891">
        <w:rPr>
          <w:b/>
          <w:lang w:val="fr-FR"/>
        </w:rPr>
        <w:t>APPLICATION DES ARTICLES IV ET V DE LA CONVENTION</w:t>
      </w:r>
    </w:p>
    <w:p w14:paraId="442B035B" w14:textId="77777777" w:rsidR="00DB735D" w:rsidRPr="00FB1754" w:rsidRDefault="00DB735D" w:rsidP="00DB735D">
      <w:pPr>
        <w:jc w:val="both"/>
        <w:rPr>
          <w:lang w:val="fr-FR"/>
        </w:rPr>
      </w:pPr>
    </w:p>
    <w:p w14:paraId="39139D49" w14:textId="0E08BD35" w:rsidR="00226389" w:rsidRPr="00120CD3" w:rsidRDefault="00226389" w:rsidP="00120CD3">
      <w:pPr>
        <w:widowControl/>
        <w:autoSpaceDE/>
        <w:autoSpaceDN/>
        <w:adjustRightInd/>
        <w:jc w:val="both"/>
        <w:rPr>
          <w:szCs w:val="17"/>
          <w:lang w:val="fr-FR"/>
        </w:rPr>
      </w:pPr>
      <w:r w:rsidRPr="00120CD3">
        <w:rPr>
          <w:i/>
          <w:szCs w:val="17"/>
          <w:lang w:val="fr-FR"/>
        </w:rPr>
        <w:t>R</w:t>
      </w:r>
      <w:r w:rsidR="00120CD3" w:rsidRPr="00120CD3">
        <w:rPr>
          <w:i/>
          <w:szCs w:val="17"/>
          <w:lang w:val="fr-FR"/>
        </w:rPr>
        <w:t>appelant les</w:t>
      </w:r>
      <w:r w:rsidRPr="00120CD3">
        <w:rPr>
          <w:i/>
          <w:szCs w:val="17"/>
          <w:lang w:val="fr-FR"/>
        </w:rPr>
        <w:t xml:space="preserve"> </w:t>
      </w:r>
      <w:r w:rsidR="00120CD3" w:rsidRPr="00120CD3">
        <w:rPr>
          <w:szCs w:val="17"/>
          <w:lang w:val="fr-FR"/>
        </w:rPr>
        <w:t>Résolutions 2.6, 2.7, 3.5, et</w:t>
      </w:r>
      <w:r w:rsidRPr="00120CD3">
        <w:rPr>
          <w:szCs w:val="17"/>
          <w:lang w:val="fr-FR"/>
        </w:rPr>
        <w:t xml:space="preserve"> 11.12 </w:t>
      </w:r>
      <w:r w:rsidR="00120CD3" w:rsidRPr="00120CD3">
        <w:rPr>
          <w:szCs w:val="17"/>
          <w:lang w:val="fr-FR"/>
        </w:rPr>
        <w:t>relatives à l’application des Accords conformément aux Articles IV et V;</w:t>
      </w:r>
    </w:p>
    <w:p w14:paraId="004F62A4" w14:textId="77777777" w:rsidR="00120CD3" w:rsidRPr="00120CD3" w:rsidRDefault="00120CD3" w:rsidP="00120CD3">
      <w:pPr>
        <w:widowControl/>
        <w:autoSpaceDE/>
        <w:autoSpaceDN/>
        <w:adjustRightInd/>
        <w:jc w:val="both"/>
        <w:rPr>
          <w:strike/>
          <w:lang w:val="fr-FR"/>
        </w:rPr>
      </w:pPr>
    </w:p>
    <w:p w14:paraId="4085BC22" w14:textId="77777777" w:rsidR="00226389" w:rsidRPr="00FB1754" w:rsidRDefault="00226389" w:rsidP="00226389">
      <w:pPr>
        <w:widowControl/>
        <w:autoSpaceDE/>
        <w:autoSpaceDN/>
        <w:adjustRightInd/>
        <w:jc w:val="both"/>
        <w:rPr>
          <w:szCs w:val="17"/>
          <w:lang w:val="fr-FR"/>
        </w:rPr>
      </w:pPr>
      <w:r w:rsidRPr="00FB1754">
        <w:rPr>
          <w:i/>
          <w:iCs/>
          <w:szCs w:val="17"/>
          <w:lang w:val="fr-FR"/>
        </w:rPr>
        <w:t xml:space="preserve">Rappelant </w:t>
      </w:r>
      <w:r w:rsidRPr="00FB1754">
        <w:rPr>
          <w:szCs w:val="17"/>
          <w:lang w:val="fr-FR"/>
        </w:rPr>
        <w:t>que l’Article IV de la Convention prévoit la conclusion d’accords pour les espèces migratrices et d’ACCORDS pour les espèces inscrites à l’Annexe II de la Convention, en particulier pour celles dont l’état de conservation est défavorable; </w:t>
      </w:r>
    </w:p>
    <w:p w14:paraId="442DBBF5" w14:textId="77777777" w:rsidR="00226389" w:rsidRPr="00FB1754" w:rsidRDefault="00226389" w:rsidP="00226389">
      <w:pPr>
        <w:widowControl/>
        <w:autoSpaceDE/>
        <w:autoSpaceDN/>
        <w:adjustRightInd/>
        <w:jc w:val="both"/>
        <w:rPr>
          <w:i/>
          <w:iCs/>
          <w:szCs w:val="17"/>
          <w:lang w:val="fr-FR"/>
        </w:rPr>
      </w:pPr>
    </w:p>
    <w:p w14:paraId="658F2A2F" w14:textId="77777777" w:rsidR="00226389" w:rsidRPr="00FB1754" w:rsidRDefault="00226389" w:rsidP="00226389">
      <w:pPr>
        <w:widowControl/>
        <w:autoSpaceDE/>
        <w:autoSpaceDN/>
        <w:adjustRightInd/>
        <w:jc w:val="both"/>
        <w:rPr>
          <w:szCs w:val="17"/>
          <w:lang w:val="fr-FR"/>
        </w:rPr>
      </w:pPr>
      <w:r w:rsidRPr="00FB1754">
        <w:rPr>
          <w:i/>
          <w:iCs/>
          <w:szCs w:val="17"/>
          <w:lang w:val="fr-FR"/>
        </w:rPr>
        <w:t xml:space="preserve">Notant </w:t>
      </w:r>
      <w:r w:rsidRPr="00FB1754">
        <w:rPr>
          <w:szCs w:val="17"/>
          <w:lang w:val="fr-FR"/>
        </w:rPr>
        <w:t>que dans le langage courant et dans la présente résolution, le terme « Accords » est utilisé au sens générique pour désigner les ACCORDS, Accords et Mémorandums d’entente, selon le contexte; </w:t>
      </w:r>
    </w:p>
    <w:p w14:paraId="299076DA" w14:textId="77777777" w:rsidR="00226389" w:rsidRDefault="00226389" w:rsidP="00226389">
      <w:pPr>
        <w:widowControl/>
        <w:autoSpaceDE/>
        <w:autoSpaceDN/>
        <w:adjustRightInd/>
        <w:jc w:val="both"/>
        <w:rPr>
          <w:i/>
          <w:lang w:val="fr-FR"/>
        </w:rPr>
      </w:pPr>
    </w:p>
    <w:p w14:paraId="392B2C2E" w14:textId="0FD1C297" w:rsidR="00226389" w:rsidRPr="00FB1754" w:rsidRDefault="00226389" w:rsidP="00226389">
      <w:pPr>
        <w:widowControl/>
        <w:autoSpaceDE/>
        <w:autoSpaceDN/>
        <w:adjustRightInd/>
        <w:jc w:val="both"/>
        <w:rPr>
          <w:szCs w:val="17"/>
          <w:lang w:val="fr-FR"/>
        </w:rPr>
      </w:pPr>
      <w:r w:rsidRPr="00835891">
        <w:rPr>
          <w:i/>
          <w:lang w:val="fr-FR"/>
        </w:rPr>
        <w:t>Reconnaissant</w:t>
      </w:r>
      <w:r w:rsidRPr="00835891">
        <w:rPr>
          <w:lang w:val="fr-FR"/>
        </w:rPr>
        <w:t xml:space="preserve"> qu’il importe d’appliquer intégralement les mesures de conservation envisagées dans la Convention</w:t>
      </w:r>
      <w:r>
        <w:rPr>
          <w:lang w:val="fr-FR"/>
        </w:rPr>
        <w:t>;</w:t>
      </w:r>
    </w:p>
    <w:p w14:paraId="262C62A9" w14:textId="77777777" w:rsidR="00226389" w:rsidRDefault="00226389" w:rsidP="00226389">
      <w:pPr>
        <w:jc w:val="both"/>
        <w:rPr>
          <w:i/>
          <w:lang w:val="fr-FR"/>
        </w:rPr>
      </w:pPr>
    </w:p>
    <w:p w14:paraId="484ABC59" w14:textId="1D91C7EF" w:rsidR="00226389" w:rsidRPr="00835891" w:rsidRDefault="00226389" w:rsidP="00226389">
      <w:pPr>
        <w:jc w:val="both"/>
        <w:rPr>
          <w:lang w:val="fr-FR"/>
        </w:rPr>
      </w:pPr>
      <w:r w:rsidRPr="00835891">
        <w:rPr>
          <w:i/>
          <w:lang w:val="fr-FR"/>
        </w:rPr>
        <w:t>Convaincue</w:t>
      </w:r>
      <w:r w:rsidRPr="00835891">
        <w:rPr>
          <w:lang w:val="fr-FR"/>
        </w:rPr>
        <w:t xml:space="preserve"> qu’il est souhaitable de conclure des </w:t>
      </w:r>
      <w:r w:rsidRPr="00226389">
        <w:rPr>
          <w:lang w:val="fr-FR"/>
        </w:rPr>
        <w:t>ACCORDS conformément aux articles IV, paragraphe 3, et V de la Convention dans les cas où l’état de conservation d’espèces migratrices particulières bénéficierait de tels ACCORDS</w:t>
      </w:r>
      <w:r>
        <w:rPr>
          <w:lang w:val="fr-FR"/>
        </w:rPr>
        <w:t>;</w:t>
      </w:r>
    </w:p>
    <w:p w14:paraId="762881CA" w14:textId="77777777" w:rsidR="00226389" w:rsidRPr="00FB1754" w:rsidRDefault="00226389" w:rsidP="00226389">
      <w:pPr>
        <w:jc w:val="both"/>
        <w:rPr>
          <w:szCs w:val="17"/>
          <w:lang w:val="fr-FR"/>
        </w:rPr>
      </w:pPr>
    </w:p>
    <w:p w14:paraId="0B080BF6" w14:textId="7578DF55" w:rsidR="00226389" w:rsidRPr="00835891" w:rsidRDefault="00226389" w:rsidP="00226389">
      <w:pPr>
        <w:jc w:val="both"/>
        <w:rPr>
          <w:lang w:val="fr-FR"/>
        </w:rPr>
      </w:pPr>
      <w:r w:rsidRPr="00835891">
        <w:rPr>
          <w:i/>
          <w:lang w:val="fr-FR"/>
        </w:rPr>
        <w:t>Reconnaissant</w:t>
      </w:r>
      <w:r w:rsidRPr="00835891">
        <w:rPr>
          <w:lang w:val="fr-FR"/>
        </w:rPr>
        <w:t xml:space="preserve"> que de tels accords sont ouverts à l’adhésion de tous les État</w:t>
      </w:r>
      <w:r>
        <w:rPr>
          <w:lang w:val="fr-FR"/>
        </w:rPr>
        <w:t>s de l’aire de répartition ;</w:t>
      </w:r>
    </w:p>
    <w:p w14:paraId="4EBF8D4B" w14:textId="77777777" w:rsidR="00226389" w:rsidRPr="00FB1754" w:rsidRDefault="00226389" w:rsidP="00226389">
      <w:pPr>
        <w:widowControl/>
        <w:autoSpaceDE/>
        <w:autoSpaceDN/>
        <w:adjustRightInd/>
        <w:jc w:val="both"/>
        <w:rPr>
          <w:szCs w:val="17"/>
          <w:lang w:val="fr-FR"/>
        </w:rPr>
      </w:pPr>
    </w:p>
    <w:p w14:paraId="259C678A" w14:textId="42E59347" w:rsidR="00226389" w:rsidRDefault="00226389" w:rsidP="00226389">
      <w:pPr>
        <w:jc w:val="both"/>
        <w:rPr>
          <w:lang w:val="fr-FR"/>
        </w:rPr>
      </w:pPr>
      <w:r w:rsidRPr="00835891">
        <w:rPr>
          <w:i/>
          <w:lang w:val="fr-FR"/>
        </w:rPr>
        <w:t>Constatant</w:t>
      </w:r>
      <w:r w:rsidRPr="00835891">
        <w:rPr>
          <w:lang w:val="fr-FR"/>
        </w:rPr>
        <w:t xml:space="preserve"> qu’eu égard à l’expérience acquise depuis la deuxième session de la Conférence des Parties, de nouvelles directives et clarifications sont souhaitables quant aux accords conclus en application </w:t>
      </w:r>
      <w:r>
        <w:rPr>
          <w:lang w:val="fr-FR"/>
        </w:rPr>
        <w:t>du paragraphe 4 de l’article IV ;</w:t>
      </w:r>
    </w:p>
    <w:p w14:paraId="7C4FD1AC" w14:textId="77777777" w:rsidR="00226389" w:rsidRPr="00835891" w:rsidRDefault="00226389" w:rsidP="00226389">
      <w:pPr>
        <w:jc w:val="both"/>
        <w:rPr>
          <w:lang w:val="fr-FR"/>
        </w:rPr>
      </w:pPr>
    </w:p>
    <w:p w14:paraId="7C3CE52F" w14:textId="1A595A27" w:rsidR="00226389" w:rsidRPr="00835891" w:rsidRDefault="00226389" w:rsidP="00226389">
      <w:pPr>
        <w:jc w:val="both"/>
        <w:rPr>
          <w:lang w:val="fr-FR"/>
        </w:rPr>
      </w:pPr>
      <w:r w:rsidRPr="00835891">
        <w:rPr>
          <w:i/>
          <w:lang w:val="fr-FR"/>
        </w:rPr>
        <w:t>Tenant compte</w:t>
      </w:r>
      <w:r w:rsidRPr="00835891">
        <w:rPr>
          <w:lang w:val="fr-FR"/>
        </w:rPr>
        <w:t xml:space="preserve"> de ce qu’il est nécessaire que des arrangements administratifs efficaces président aux accords visés</w:t>
      </w:r>
      <w:r>
        <w:rPr>
          <w:lang w:val="fr-FR"/>
        </w:rPr>
        <w:t xml:space="preserve"> à l’Article IV ;</w:t>
      </w:r>
    </w:p>
    <w:p w14:paraId="7CAFCC39" w14:textId="77777777" w:rsidR="00226389" w:rsidRPr="00FB1754" w:rsidRDefault="00226389" w:rsidP="00226389">
      <w:pPr>
        <w:widowControl/>
        <w:autoSpaceDE/>
        <w:autoSpaceDN/>
        <w:adjustRightInd/>
        <w:jc w:val="both"/>
        <w:rPr>
          <w:i/>
          <w:iCs/>
          <w:szCs w:val="17"/>
          <w:lang w:val="fr-FR"/>
        </w:rPr>
      </w:pPr>
    </w:p>
    <w:p w14:paraId="473123ED" w14:textId="77777777" w:rsidR="00226389" w:rsidRPr="00FB1754" w:rsidRDefault="00226389" w:rsidP="00226389">
      <w:pPr>
        <w:widowControl/>
        <w:autoSpaceDE/>
        <w:autoSpaceDN/>
        <w:adjustRightInd/>
        <w:jc w:val="both"/>
        <w:rPr>
          <w:szCs w:val="17"/>
          <w:lang w:val="fr-FR"/>
        </w:rPr>
      </w:pPr>
      <w:r w:rsidRPr="00FB1754">
        <w:rPr>
          <w:i/>
          <w:iCs/>
          <w:szCs w:val="17"/>
          <w:lang w:val="fr-FR"/>
        </w:rPr>
        <w:t xml:space="preserve">Reconnaissant </w:t>
      </w:r>
      <w:r w:rsidRPr="00FB1754">
        <w:rPr>
          <w:szCs w:val="17"/>
          <w:lang w:val="fr-FR"/>
        </w:rPr>
        <w:t xml:space="preserve">que l’élaboration et la gestion des Accords sont subordonnées aux ressources disponibles, </w:t>
      </w:r>
      <w:r w:rsidRPr="00FB1754">
        <w:rPr>
          <w:i/>
          <w:iCs/>
          <w:szCs w:val="17"/>
          <w:lang w:val="fr-FR"/>
        </w:rPr>
        <w:t xml:space="preserve">se félicitant </w:t>
      </w:r>
      <w:r w:rsidRPr="00FB1754">
        <w:rPr>
          <w:szCs w:val="17"/>
          <w:lang w:val="fr-FR"/>
        </w:rPr>
        <w:t xml:space="preserve">des efforts continus prodigués par le Secrétariat, conformément aux Résolutions 7.7, 8.5, 9.2 et 10.16, pour encourager des partenariats avec les gouvernements et les organisations concernées afin de soutenir le fonctionnement des Accords au titre de la Convention, et </w:t>
      </w:r>
      <w:r w:rsidRPr="00FB1754">
        <w:rPr>
          <w:i/>
          <w:iCs/>
          <w:szCs w:val="17"/>
          <w:lang w:val="fr-FR"/>
        </w:rPr>
        <w:t xml:space="preserve">exprimant sa reconnaissance </w:t>
      </w:r>
      <w:r w:rsidRPr="00FB1754">
        <w:rPr>
          <w:szCs w:val="17"/>
          <w:lang w:val="fr-FR"/>
        </w:rPr>
        <w:t>pour le généreux soutien de ce type apporté à ce jour par de nombreux gouvernements et organisations, y compris les contributions financières et en nature mentionnées dans le document PNUE/CMS/COP11/Doc.14.4 ; </w:t>
      </w:r>
    </w:p>
    <w:p w14:paraId="0A1633E4" w14:textId="77777777" w:rsidR="00226389" w:rsidRPr="00FB1754" w:rsidRDefault="00226389" w:rsidP="00226389">
      <w:pPr>
        <w:widowControl/>
        <w:autoSpaceDE/>
        <w:autoSpaceDN/>
        <w:adjustRightInd/>
        <w:jc w:val="both"/>
        <w:rPr>
          <w:i/>
          <w:iCs/>
          <w:szCs w:val="17"/>
          <w:lang w:val="fr-FR"/>
        </w:rPr>
      </w:pPr>
    </w:p>
    <w:p w14:paraId="433C0BA5" w14:textId="020BF2DD" w:rsidR="00226389" w:rsidRPr="00FB1754" w:rsidRDefault="00226389" w:rsidP="00226389">
      <w:pPr>
        <w:widowControl/>
        <w:autoSpaceDE/>
        <w:autoSpaceDN/>
        <w:adjustRightInd/>
        <w:jc w:val="both"/>
        <w:rPr>
          <w:szCs w:val="17"/>
          <w:lang w:val="fr-FR"/>
        </w:rPr>
      </w:pPr>
      <w:r w:rsidRPr="00FB1754">
        <w:rPr>
          <w:i/>
          <w:iCs/>
          <w:szCs w:val="17"/>
          <w:lang w:val="fr-FR"/>
        </w:rPr>
        <w:t xml:space="preserve">Rappelant </w:t>
      </w:r>
      <w:r w:rsidRPr="00FB1754">
        <w:rPr>
          <w:szCs w:val="17"/>
          <w:lang w:val="fr-FR"/>
        </w:rPr>
        <w:t>que le paragraphe 41 du Plan stratégique de la CMS 2006-2014 a recommandé un certain nombre de mesures pour s’assurer que les Accords utilisent des systèmes semblables pour planifier et présenter leurs travaux, de sorte qu’ils soient stratégiquement harmonisés avec la Convention; </w:t>
      </w:r>
    </w:p>
    <w:p w14:paraId="7F3AB3F1" w14:textId="77777777" w:rsidR="00226389" w:rsidRPr="00FB1754" w:rsidRDefault="00226389" w:rsidP="00226389">
      <w:pPr>
        <w:widowControl/>
        <w:autoSpaceDE/>
        <w:autoSpaceDN/>
        <w:adjustRightInd/>
        <w:jc w:val="both"/>
        <w:rPr>
          <w:i/>
          <w:iCs/>
          <w:szCs w:val="17"/>
          <w:lang w:val="fr-FR"/>
        </w:rPr>
      </w:pPr>
    </w:p>
    <w:p w14:paraId="429AFC9E" w14:textId="30DB1F8A" w:rsidR="00226389" w:rsidRPr="00FB1754" w:rsidRDefault="00226389" w:rsidP="00226389">
      <w:pPr>
        <w:widowControl/>
        <w:autoSpaceDE/>
        <w:autoSpaceDN/>
        <w:adjustRightInd/>
        <w:jc w:val="both"/>
        <w:rPr>
          <w:szCs w:val="17"/>
          <w:lang w:val="fr-FR"/>
        </w:rPr>
      </w:pPr>
      <w:r w:rsidRPr="00120CD3">
        <w:rPr>
          <w:i/>
          <w:iCs/>
          <w:szCs w:val="17"/>
          <w:lang w:val="fr-FR"/>
        </w:rPr>
        <w:t xml:space="preserve">Rappelant également </w:t>
      </w:r>
      <w:r w:rsidRPr="00120CD3">
        <w:rPr>
          <w:szCs w:val="17"/>
          <w:lang w:val="fr-FR"/>
        </w:rPr>
        <w:t xml:space="preserve">que dans la Résolution 10.16, les Parties ont décidé qu’un certain nombre de considérations doivent être examinées lorsque des propositions de nouveaux Accords sont faites, y compris une disposition prévoyant qu’une proposition ne sera plus considérée comme une proposition en cours d’élaboration si aucune expression claire d’intérêt ou offre de conduire ce processus ne voit le jour au bout d’une certaine période, et a demandé au Secrétariat d’élaborer, pour examen et adoption à </w:t>
      </w:r>
      <w:r w:rsidR="00120CD3" w:rsidRPr="00120CD3">
        <w:rPr>
          <w:szCs w:val="17"/>
          <w:lang w:val="fr-FR"/>
        </w:rPr>
        <w:t xml:space="preserve">la </w:t>
      </w:r>
      <w:r w:rsidR="006F19B5" w:rsidRPr="00120CD3">
        <w:rPr>
          <w:szCs w:val="17"/>
          <w:lang w:val="fr-FR"/>
        </w:rPr>
        <w:t>COP11</w:t>
      </w:r>
      <w:r w:rsidRPr="00120CD3">
        <w:rPr>
          <w:szCs w:val="17"/>
          <w:lang w:val="fr-FR"/>
        </w:rPr>
        <w:t>, une politique pour l’élaboration, la dotation en ressources et la gestion des Accords, dans le contexte de la Résolution 10.9 sur la structure et les stratégies futures de la CMS et de la Famille CMS;</w:t>
      </w:r>
    </w:p>
    <w:p w14:paraId="71979CE5" w14:textId="4EDA199B" w:rsidR="00226389" w:rsidRPr="00FB1754" w:rsidRDefault="00226389" w:rsidP="00226389">
      <w:pPr>
        <w:widowControl/>
        <w:autoSpaceDE/>
        <w:autoSpaceDN/>
        <w:adjustRightInd/>
        <w:jc w:val="both"/>
        <w:rPr>
          <w:szCs w:val="17"/>
          <w:lang w:val="fr-FR"/>
        </w:rPr>
      </w:pPr>
      <w:r w:rsidRPr="00FB1754">
        <w:rPr>
          <w:szCs w:val="17"/>
          <w:lang w:val="fr-FR"/>
        </w:rPr>
        <w:t> </w:t>
      </w:r>
    </w:p>
    <w:p w14:paraId="6825D979" w14:textId="77777777" w:rsidR="00226389" w:rsidRPr="00FB1754" w:rsidRDefault="00226389" w:rsidP="00226389">
      <w:pPr>
        <w:widowControl/>
        <w:autoSpaceDE/>
        <w:autoSpaceDN/>
        <w:adjustRightInd/>
        <w:jc w:val="both"/>
        <w:rPr>
          <w:szCs w:val="17"/>
          <w:lang w:val="fr-FR"/>
        </w:rPr>
      </w:pPr>
      <w:r w:rsidRPr="00FB1754">
        <w:rPr>
          <w:i/>
          <w:iCs/>
          <w:szCs w:val="17"/>
          <w:lang w:val="fr-FR"/>
        </w:rPr>
        <w:lastRenderedPageBreak/>
        <w:t xml:space="preserve">Rappelant en outre </w:t>
      </w:r>
      <w:r w:rsidRPr="00FB1754">
        <w:rPr>
          <w:szCs w:val="17"/>
          <w:lang w:val="fr-FR"/>
        </w:rPr>
        <w:t>la Résolution 10.9, par laquelle les Parties ont, entre autres, adopté une liste d’activités à réaliser en 2012-2014, dont une évaluation des Mémorandums d’entente de la CMS et de leur viabilité (activité 16.3), l’établissement de critères au regard desquels les propositions de nouveaux Accords seront évaluées (activité 12.3), et l’élaboration d’une politique exigeant que le suivi de la mise en oeuvre fasse partie intégrante de tout futur MdE (activité 12.5);</w:t>
      </w:r>
    </w:p>
    <w:p w14:paraId="606AE2DE" w14:textId="0F14E508" w:rsidR="00226389" w:rsidRPr="00FB1754" w:rsidRDefault="00226389" w:rsidP="00226389">
      <w:pPr>
        <w:widowControl/>
        <w:autoSpaceDE/>
        <w:autoSpaceDN/>
        <w:adjustRightInd/>
        <w:jc w:val="both"/>
        <w:rPr>
          <w:szCs w:val="17"/>
          <w:lang w:val="fr-FR"/>
        </w:rPr>
      </w:pPr>
      <w:r w:rsidRPr="00FB1754">
        <w:rPr>
          <w:szCs w:val="17"/>
          <w:lang w:val="fr-FR"/>
        </w:rPr>
        <w:t> </w:t>
      </w:r>
    </w:p>
    <w:p w14:paraId="7F8E4B37" w14:textId="6D77FEDF" w:rsidR="00226389" w:rsidRPr="00FB1754" w:rsidRDefault="00226389" w:rsidP="00226389">
      <w:pPr>
        <w:widowControl/>
        <w:autoSpaceDE/>
        <w:autoSpaceDN/>
        <w:adjustRightInd/>
        <w:jc w:val="both"/>
        <w:rPr>
          <w:szCs w:val="17"/>
          <w:lang w:val="fr-FR"/>
        </w:rPr>
      </w:pPr>
      <w:r w:rsidRPr="00FB1754">
        <w:rPr>
          <w:i/>
          <w:iCs/>
          <w:szCs w:val="17"/>
          <w:lang w:val="fr-FR"/>
        </w:rPr>
        <w:t xml:space="preserve">Prenant note </w:t>
      </w:r>
      <w:r w:rsidRPr="00FB1754">
        <w:rPr>
          <w:szCs w:val="17"/>
          <w:lang w:val="fr-FR"/>
        </w:rPr>
        <w:t>du rapport fourni par le Secrétariat dans le document PNUE/CMS/COP11/Doc.22.3 sur une évaluation des MdE de la CMS et de leur viabilité; et </w:t>
      </w:r>
    </w:p>
    <w:p w14:paraId="1DCAC787" w14:textId="77777777" w:rsidR="00226389" w:rsidRPr="00FB1754" w:rsidRDefault="00226389" w:rsidP="00226389">
      <w:pPr>
        <w:widowControl/>
        <w:autoSpaceDE/>
        <w:autoSpaceDN/>
        <w:adjustRightInd/>
        <w:jc w:val="both"/>
        <w:rPr>
          <w:i/>
          <w:iCs/>
          <w:szCs w:val="17"/>
          <w:lang w:val="fr-FR"/>
        </w:rPr>
      </w:pPr>
    </w:p>
    <w:p w14:paraId="10E884C1" w14:textId="685FD5DE" w:rsidR="00226389" w:rsidRPr="00FB1754" w:rsidRDefault="00226389" w:rsidP="00226389">
      <w:pPr>
        <w:widowControl/>
        <w:autoSpaceDE/>
        <w:autoSpaceDN/>
        <w:adjustRightInd/>
        <w:jc w:val="both"/>
        <w:rPr>
          <w:szCs w:val="17"/>
          <w:lang w:val="fr-FR"/>
        </w:rPr>
      </w:pPr>
      <w:r w:rsidRPr="00FB1754">
        <w:rPr>
          <w:i/>
          <w:iCs/>
          <w:szCs w:val="17"/>
          <w:lang w:val="fr-FR"/>
        </w:rPr>
        <w:t xml:space="preserve">Prenant note également </w:t>
      </w:r>
      <w:r w:rsidRPr="00FB1754">
        <w:rPr>
          <w:szCs w:val="17"/>
          <w:lang w:val="fr-FR"/>
        </w:rPr>
        <w:t xml:space="preserve">du rapport fourni par le Secrétariat dans le document PNUE/CMS/COP11/Doc.22.2 sur une politique pour l’élaboration, la dotation en ressources et la gestion des Accords de la CMS, et </w:t>
      </w:r>
      <w:r w:rsidRPr="00FB1754">
        <w:rPr>
          <w:i/>
          <w:iCs/>
          <w:szCs w:val="17"/>
          <w:lang w:val="fr-FR"/>
        </w:rPr>
        <w:t xml:space="preserve">exprimant ses remerciements </w:t>
      </w:r>
      <w:r w:rsidRPr="00FB1754">
        <w:rPr>
          <w:szCs w:val="17"/>
          <w:lang w:val="fr-FR"/>
        </w:rPr>
        <w:t>au Gouvernement allemand pour son généreux soutien financier apporté à ces travaux; </w:t>
      </w:r>
    </w:p>
    <w:p w14:paraId="2FA310DD" w14:textId="2523B0F0" w:rsidR="00226389" w:rsidRDefault="00226389" w:rsidP="00226389">
      <w:pPr>
        <w:jc w:val="center"/>
        <w:rPr>
          <w:i/>
          <w:lang w:val="fr-FR"/>
        </w:rPr>
      </w:pPr>
    </w:p>
    <w:p w14:paraId="65479AF6" w14:textId="77777777" w:rsidR="00120CD3" w:rsidRDefault="00120CD3" w:rsidP="00226389">
      <w:pPr>
        <w:jc w:val="center"/>
        <w:rPr>
          <w:i/>
          <w:lang w:val="fr-FR"/>
        </w:rPr>
      </w:pPr>
    </w:p>
    <w:p w14:paraId="1B192418" w14:textId="77777777" w:rsidR="00120CD3" w:rsidRDefault="00226389" w:rsidP="00226389">
      <w:pPr>
        <w:jc w:val="center"/>
        <w:rPr>
          <w:i/>
          <w:lang w:val="fr-FR"/>
        </w:rPr>
      </w:pPr>
      <w:r w:rsidRPr="00835891">
        <w:rPr>
          <w:i/>
          <w:lang w:val="fr-FR"/>
        </w:rPr>
        <w:t xml:space="preserve">La Conférence des Parties à la </w:t>
      </w:r>
    </w:p>
    <w:p w14:paraId="433998AF" w14:textId="70957DE1" w:rsidR="00226389" w:rsidRDefault="00226389" w:rsidP="00226389">
      <w:pPr>
        <w:jc w:val="center"/>
        <w:rPr>
          <w:i/>
          <w:lang w:val="fr-FR"/>
        </w:rPr>
      </w:pPr>
      <w:r w:rsidRPr="00835891">
        <w:rPr>
          <w:i/>
          <w:lang w:val="fr-FR"/>
        </w:rPr>
        <w:t>Convention sur la conservation des espèces migratrices appartenant à la faune sauvage</w:t>
      </w:r>
    </w:p>
    <w:p w14:paraId="320B2789" w14:textId="77777777" w:rsidR="00120CD3" w:rsidRPr="00FB1754" w:rsidRDefault="00120CD3" w:rsidP="00226389">
      <w:pPr>
        <w:jc w:val="center"/>
        <w:rPr>
          <w:lang w:val="fr-FR"/>
        </w:rPr>
      </w:pPr>
    </w:p>
    <w:p w14:paraId="77349222" w14:textId="77777777" w:rsidR="00226389" w:rsidRPr="00226389" w:rsidRDefault="00226389" w:rsidP="0022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szCs w:val="20"/>
        </w:rPr>
      </w:pPr>
      <w:r w:rsidRPr="007B07AD">
        <w:rPr>
          <w:b/>
          <w:szCs w:val="20"/>
          <w:lang w:val="fr-FR"/>
        </w:rPr>
        <w:t>Interprétation</w:t>
      </w:r>
    </w:p>
    <w:p w14:paraId="73A6722A" w14:textId="77777777" w:rsidR="00226389" w:rsidRDefault="00226389" w:rsidP="0022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szCs w:val="20"/>
          <w:u w:val="single"/>
        </w:rPr>
      </w:pPr>
    </w:p>
    <w:p w14:paraId="7B5D09FF" w14:textId="0CE8039B" w:rsidR="00226389" w:rsidRPr="00120CD3" w:rsidRDefault="00226389" w:rsidP="008C79D1">
      <w:pPr>
        <w:pStyle w:val="ListParagraph"/>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lang w:val="fr-FR"/>
        </w:rPr>
      </w:pPr>
      <w:r w:rsidRPr="00120CD3">
        <w:rPr>
          <w:i/>
          <w:lang w:val="fr-FR"/>
        </w:rPr>
        <w:t>Considère</w:t>
      </w:r>
      <w:r w:rsidRPr="00120CD3">
        <w:rPr>
          <w:lang w:val="fr-FR"/>
        </w:rPr>
        <w:t xml:space="preserve"> que l’alinéa j) du paragraphe 1 de l’article premier vise l’ (les) ACCORD(S) conclu(s) conformément aux principes de base régissant ces instruments qui figurent au paragraphe 3 de l’article IV et à l’article V;</w:t>
      </w:r>
    </w:p>
    <w:p w14:paraId="54A345BA" w14:textId="77777777" w:rsidR="00226389" w:rsidRDefault="00226389" w:rsidP="00226389">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lang w:val="fr-FR"/>
        </w:rPr>
      </w:pPr>
    </w:p>
    <w:p w14:paraId="3B556357" w14:textId="5F78F758" w:rsidR="00226389" w:rsidRDefault="00226389" w:rsidP="008C79D1">
      <w:pPr>
        <w:pStyle w:val="ListParagraph"/>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lang w:val="fr-FR"/>
        </w:rPr>
      </w:pPr>
      <w:r w:rsidRPr="00226389">
        <w:rPr>
          <w:i/>
          <w:lang w:val="fr-FR"/>
        </w:rPr>
        <w:t>Décide</w:t>
      </w:r>
      <w:r w:rsidRPr="00226389">
        <w:rPr>
          <w:lang w:val="fr-FR"/>
        </w:rPr>
        <w:t xml:space="preserve"> d’appliquer </w:t>
      </w:r>
      <w:r w:rsidRPr="00226389">
        <w:rPr>
          <w:i/>
          <w:lang w:val="fr-FR"/>
        </w:rPr>
        <w:t>mutatis mutandis</w:t>
      </w:r>
      <w:r w:rsidRPr="00226389">
        <w:rPr>
          <w:lang w:val="fr-FR"/>
        </w:rPr>
        <w:t xml:space="preserve"> aux instruments conclus en application du paragraphe 4 de l’article IV les principes énoncés au paragraphe 5 de l’article IV, à l’alinéa d) du paragraphe 5 de l’article VII et aux alinéas b) et h) du paragraphe 4 de l’article IX ;</w:t>
      </w:r>
    </w:p>
    <w:p w14:paraId="3966843B" w14:textId="77777777" w:rsidR="00226389" w:rsidRPr="00226389" w:rsidRDefault="00226389" w:rsidP="0022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val="fr-FR"/>
        </w:rPr>
      </w:pPr>
    </w:p>
    <w:p w14:paraId="55D0C311" w14:textId="0DA735D2" w:rsidR="00226389" w:rsidRDefault="00226389" w:rsidP="008C79D1">
      <w:pPr>
        <w:pStyle w:val="ListParagraph"/>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lang w:val="fr-FR"/>
        </w:rPr>
      </w:pPr>
      <w:r w:rsidRPr="00226389">
        <w:rPr>
          <w:i/>
          <w:lang w:val="fr-FR"/>
        </w:rPr>
        <w:t>Recommande</w:t>
      </w:r>
      <w:r w:rsidRPr="00226389">
        <w:rPr>
          <w:lang w:val="fr-FR"/>
        </w:rPr>
        <w:t xml:space="preserve"> aux Parties d’appliquer, lorsqu’il y a lieu, les dispositions de l’article IV, paragraphe 4, tel qu’il a été modifié, dans l’esprit de la Convention, en utilisant des instruments autres que les ACCORD</w:t>
      </w:r>
      <w:r w:rsidR="00DD5048">
        <w:rPr>
          <w:lang w:val="fr-FR"/>
        </w:rPr>
        <w:t>S</w:t>
      </w:r>
      <w:r>
        <w:rPr>
          <w:lang w:val="fr-FR"/>
        </w:rPr>
        <w:t xml:space="preserve"> au sens de l’article V</w:t>
      </w:r>
      <w:r w:rsidRPr="00226389">
        <w:rPr>
          <w:lang w:val="fr-FR"/>
        </w:rPr>
        <w:t>;</w:t>
      </w:r>
    </w:p>
    <w:p w14:paraId="0B4745E1" w14:textId="77777777" w:rsidR="00226389" w:rsidRPr="00226389" w:rsidRDefault="00226389" w:rsidP="0022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val="fr-FR"/>
        </w:rPr>
      </w:pPr>
    </w:p>
    <w:p w14:paraId="44D84170" w14:textId="1810EF84" w:rsidR="00226389" w:rsidRDefault="00226389" w:rsidP="008C79D1">
      <w:pPr>
        <w:pStyle w:val="ListParagraph"/>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lang w:val="fr-FR"/>
        </w:rPr>
      </w:pPr>
      <w:r w:rsidRPr="00226389">
        <w:rPr>
          <w:i/>
          <w:lang w:val="fr-FR"/>
        </w:rPr>
        <w:t>Suggère</w:t>
      </w:r>
      <w:r w:rsidRPr="00226389">
        <w:rPr>
          <w:lang w:val="fr-FR"/>
        </w:rPr>
        <w:t xml:space="preserve"> que, chaque fois que cela sera approprié et réalisable, ces instruments prennent la forme, par exemple, d’accords administratifs, de </w:t>
      </w:r>
      <w:r w:rsidRPr="00FB1754">
        <w:rPr>
          <w:lang w:val="fr-FR"/>
        </w:rPr>
        <w:t>m</w:t>
      </w:r>
      <w:r w:rsidRPr="00FB1754">
        <w:rPr>
          <w:szCs w:val="17"/>
          <w:lang w:val="fr-FR"/>
        </w:rPr>
        <w:t>é</w:t>
      </w:r>
      <w:r w:rsidRPr="00FB1754">
        <w:rPr>
          <w:lang w:val="fr-FR"/>
        </w:rPr>
        <w:t>morandums d’entente</w:t>
      </w:r>
      <w:r w:rsidRPr="00226389">
        <w:rPr>
          <w:lang w:val="fr-FR"/>
        </w:rPr>
        <w:t>, ou de résolutions proposées par les États Parties de l’air de répartition et adoptées par la Conférence des parties.  L’article V. paragraphe 2 de la Convention devrait également s’appliquer à ces instruments;</w:t>
      </w:r>
    </w:p>
    <w:p w14:paraId="5CC15924" w14:textId="77777777" w:rsidR="00226389" w:rsidRPr="00226389" w:rsidRDefault="00226389" w:rsidP="0022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val="fr-FR"/>
        </w:rPr>
      </w:pPr>
    </w:p>
    <w:p w14:paraId="4EA24A8E" w14:textId="25A389BD" w:rsidR="00226389" w:rsidRPr="00120CD3" w:rsidRDefault="00120CD3" w:rsidP="00226389">
      <w:pPr>
        <w:widowControl/>
        <w:autoSpaceDE/>
        <w:autoSpaceDN/>
        <w:adjustRightInd/>
        <w:jc w:val="both"/>
        <w:rPr>
          <w:b/>
          <w:szCs w:val="17"/>
        </w:rPr>
      </w:pPr>
      <w:r w:rsidRPr="00120CD3">
        <w:rPr>
          <w:b/>
          <w:szCs w:val="17"/>
        </w:rPr>
        <w:t>Développement d’Accords</w:t>
      </w:r>
    </w:p>
    <w:p w14:paraId="0DE7D9E6" w14:textId="77777777" w:rsidR="00120CD3" w:rsidRDefault="00120CD3" w:rsidP="00226389">
      <w:pPr>
        <w:widowControl/>
        <w:autoSpaceDE/>
        <w:autoSpaceDN/>
        <w:adjustRightInd/>
        <w:jc w:val="both"/>
        <w:rPr>
          <w:strike/>
          <w:lang w:val="fr-FR"/>
        </w:rPr>
      </w:pPr>
    </w:p>
    <w:p w14:paraId="0CDED091" w14:textId="2E2EE697" w:rsidR="00226389" w:rsidRPr="00FB1754" w:rsidRDefault="00226389" w:rsidP="008C79D1">
      <w:pPr>
        <w:pStyle w:val="ListParagraph"/>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szCs w:val="17"/>
          <w:lang w:val="fr-FR"/>
        </w:rPr>
      </w:pPr>
      <w:r w:rsidRPr="00835891">
        <w:rPr>
          <w:i/>
          <w:lang w:val="fr-FR"/>
        </w:rPr>
        <w:t>Souligne</w:t>
      </w:r>
      <w:r w:rsidRPr="00835891">
        <w:rPr>
          <w:lang w:val="fr-FR"/>
        </w:rPr>
        <w:t xml:space="preserve"> qu’il est souhaitable de conclure des </w:t>
      </w:r>
      <w:r w:rsidRPr="00437D7F">
        <w:rPr>
          <w:lang w:val="fr-FR"/>
        </w:rPr>
        <w:t>ACCORDS conformément à l’article V de la Convention chaque fois que de tels ACCORDS</w:t>
      </w:r>
      <w:r w:rsidRPr="00835891">
        <w:rPr>
          <w:lang w:val="fr-FR"/>
        </w:rPr>
        <w:t xml:space="preserve"> sont nécessaires en raison de la nature des obligations dont les Parties doivent s’acquitter;</w:t>
      </w:r>
    </w:p>
    <w:p w14:paraId="22674EBA" w14:textId="77777777" w:rsidR="00226389" w:rsidRPr="00FB1754" w:rsidRDefault="00226389" w:rsidP="00226389">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szCs w:val="17"/>
          <w:lang w:val="fr-FR"/>
        </w:rPr>
      </w:pPr>
    </w:p>
    <w:p w14:paraId="5AF408A4" w14:textId="22EF291C" w:rsidR="00226389" w:rsidRPr="00FB1754" w:rsidRDefault="00226389" w:rsidP="008C79D1">
      <w:pPr>
        <w:pStyle w:val="ListParagraph"/>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szCs w:val="17"/>
          <w:lang w:val="fr-FR"/>
        </w:rPr>
      </w:pPr>
      <w:r w:rsidRPr="00437D7F">
        <w:rPr>
          <w:i/>
          <w:lang w:val="fr-FR"/>
        </w:rPr>
        <w:t>Décide</w:t>
      </w:r>
      <w:r w:rsidRPr="00437D7F">
        <w:rPr>
          <w:lang w:val="fr-FR"/>
        </w:rPr>
        <w:t xml:space="preserve"> que, si la finalité générale des accords conclus en application du paragraphe 4 de l’article IV doit être de couvrir l’ensemble de l’aire de répartition des espèces migratrices, et d’être ouverts à l’adhésion de tous les États de l’aire de répartition, il n’est pas nécessaire de le faire si la conclusion ou l’application de tels accords découlant de la Convention devaient de ce fa</w:t>
      </w:r>
      <w:r w:rsidR="00437D7F">
        <w:rPr>
          <w:lang w:val="fr-FR"/>
        </w:rPr>
        <w:t>it s’en trouver compromises;</w:t>
      </w:r>
    </w:p>
    <w:p w14:paraId="0D83183B" w14:textId="77777777" w:rsidR="00437D7F" w:rsidRPr="00FB1754" w:rsidRDefault="00437D7F" w:rsidP="00437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Cs w:val="17"/>
          <w:lang w:val="fr-FR"/>
        </w:rPr>
      </w:pPr>
    </w:p>
    <w:p w14:paraId="5EFC5DBC" w14:textId="21F0FFDD" w:rsidR="00226389" w:rsidRPr="00FB1754" w:rsidRDefault="00226389" w:rsidP="008C79D1">
      <w:pPr>
        <w:pStyle w:val="ListParagraph"/>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szCs w:val="17"/>
          <w:lang w:val="fr-FR"/>
        </w:rPr>
      </w:pPr>
      <w:r w:rsidRPr="00437D7F">
        <w:rPr>
          <w:i/>
          <w:lang w:val="fr-FR"/>
        </w:rPr>
        <w:t>Estime</w:t>
      </w:r>
      <w:r w:rsidRPr="00437D7F">
        <w:rPr>
          <w:lang w:val="fr-FR"/>
        </w:rPr>
        <w:t xml:space="preserve"> que, si dans certains cas, de tels accords peuvent être élaborés à titre de première mesure dans la voie de la conclusion des ACCORDS visés au paragraphe 3 de l’article IV, il se peut que cela se révèle inapproprié dans d’autres cas</w:t>
      </w:r>
      <w:r w:rsidR="00437D7F">
        <w:rPr>
          <w:lang w:val="fr-FR"/>
        </w:rPr>
        <w:t>;</w:t>
      </w:r>
    </w:p>
    <w:p w14:paraId="1C8F4029" w14:textId="3E9EEA88" w:rsidR="00437D7F" w:rsidRDefault="00437D7F" w:rsidP="00437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Cs w:val="17"/>
          <w:lang w:val="fr-FR"/>
        </w:rPr>
      </w:pPr>
    </w:p>
    <w:p w14:paraId="719845EF" w14:textId="69BAB6BA" w:rsidR="00120CD3" w:rsidRDefault="00120CD3" w:rsidP="00437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Cs w:val="17"/>
          <w:lang w:val="fr-FR"/>
        </w:rPr>
      </w:pPr>
    </w:p>
    <w:p w14:paraId="3B00EAE4" w14:textId="77777777" w:rsidR="00120CD3" w:rsidRPr="00FB1754" w:rsidRDefault="00120CD3" w:rsidP="00437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Cs w:val="17"/>
          <w:lang w:val="fr-FR"/>
        </w:rPr>
      </w:pPr>
    </w:p>
    <w:p w14:paraId="12A4CD31" w14:textId="72DE3602" w:rsidR="00226389" w:rsidRPr="00FB1754" w:rsidRDefault="00226389" w:rsidP="008C79D1">
      <w:pPr>
        <w:pStyle w:val="ListParagraph"/>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szCs w:val="17"/>
          <w:lang w:val="fr-FR"/>
        </w:rPr>
      </w:pPr>
      <w:r w:rsidRPr="00FB1754">
        <w:rPr>
          <w:i/>
          <w:iCs/>
          <w:szCs w:val="17"/>
          <w:lang w:val="fr-FR"/>
        </w:rPr>
        <w:lastRenderedPageBreak/>
        <w:t xml:space="preserve">Demande </w:t>
      </w:r>
      <w:r w:rsidRPr="00FB1754">
        <w:rPr>
          <w:szCs w:val="17"/>
          <w:lang w:val="fr-FR"/>
        </w:rPr>
        <w:t xml:space="preserve">au Secrétariat et au Conseil scientifique, </w:t>
      </w:r>
      <w:r w:rsidRPr="00FB1754">
        <w:rPr>
          <w:i/>
          <w:iCs/>
          <w:szCs w:val="17"/>
          <w:lang w:val="fr-FR"/>
        </w:rPr>
        <w:t xml:space="preserve">prie instamment </w:t>
      </w:r>
      <w:r w:rsidRPr="00FB1754">
        <w:rPr>
          <w:szCs w:val="17"/>
          <w:lang w:val="fr-FR"/>
        </w:rPr>
        <w:t xml:space="preserve">les Parties et </w:t>
      </w:r>
      <w:r w:rsidRPr="00FB1754">
        <w:rPr>
          <w:i/>
          <w:iCs/>
          <w:szCs w:val="17"/>
          <w:lang w:val="fr-FR"/>
        </w:rPr>
        <w:t xml:space="preserve">invite </w:t>
      </w:r>
      <w:r w:rsidRPr="00FB1754">
        <w:rPr>
          <w:szCs w:val="17"/>
          <w:lang w:val="fr-FR"/>
        </w:rPr>
        <w:t>les autres parties prenantes concernées à appliquer les critères figurant dans l’annexe à la présente résolution dans le cadre de l’élaboration et l’évaluation des propositions de futurs Accords; </w:t>
      </w:r>
    </w:p>
    <w:p w14:paraId="6C9B8C8F" w14:textId="77777777" w:rsidR="00437D7F" w:rsidRPr="00FB1754" w:rsidRDefault="00437D7F" w:rsidP="00437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Cs w:val="17"/>
          <w:lang w:val="fr-FR"/>
        </w:rPr>
      </w:pPr>
    </w:p>
    <w:p w14:paraId="576086C0" w14:textId="22E5003D" w:rsidR="00226389" w:rsidRPr="00FB1754" w:rsidRDefault="00226389" w:rsidP="008C79D1">
      <w:pPr>
        <w:pStyle w:val="ListParagraph"/>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szCs w:val="17"/>
          <w:lang w:val="fr-FR"/>
        </w:rPr>
      </w:pPr>
      <w:r w:rsidRPr="00FB1754">
        <w:rPr>
          <w:i/>
          <w:iCs/>
          <w:szCs w:val="17"/>
          <w:lang w:val="fr-FR"/>
        </w:rPr>
        <w:t xml:space="preserve">Prie instamment </w:t>
      </w:r>
      <w:r w:rsidRPr="00FB1754">
        <w:rPr>
          <w:szCs w:val="17"/>
          <w:lang w:val="fr-FR"/>
        </w:rPr>
        <w:t>tous les États de l’aire de répartition des Accords existants au titre de la Convention qui ne l’ont pas encore fait, de signer ou de ratifier ces Accords, ou d’y adhérer, selon qu’il convient, et de contribuer activement à leur mise en oeuvre; </w:t>
      </w:r>
    </w:p>
    <w:p w14:paraId="279D3073" w14:textId="77777777" w:rsidR="00437D7F" w:rsidRPr="00FB1754" w:rsidRDefault="00437D7F" w:rsidP="00437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Cs w:val="17"/>
          <w:lang w:val="fr-FR"/>
        </w:rPr>
      </w:pPr>
    </w:p>
    <w:p w14:paraId="2D1E4533" w14:textId="5A899A76" w:rsidR="00226389" w:rsidRPr="00FB1754" w:rsidRDefault="00226389" w:rsidP="008C79D1">
      <w:pPr>
        <w:pStyle w:val="ListParagraph"/>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szCs w:val="17"/>
          <w:lang w:val="fr-FR"/>
        </w:rPr>
      </w:pPr>
      <w:r w:rsidRPr="00FB1754">
        <w:rPr>
          <w:i/>
          <w:iCs/>
          <w:szCs w:val="17"/>
          <w:lang w:val="fr-FR"/>
        </w:rPr>
        <w:t xml:space="preserve">Invite </w:t>
      </w:r>
      <w:r w:rsidRPr="00FB1754">
        <w:rPr>
          <w:szCs w:val="17"/>
          <w:lang w:val="fr-FR"/>
        </w:rPr>
        <w:t>les Parties, les autres gouvernements et les organisations intéressées à fournir un appui financier volontaire et d’autres formes d’appui, lorsque cela est possible, pour assurer un fonctionnement efficace des Accords au titre de la Convention; </w:t>
      </w:r>
    </w:p>
    <w:p w14:paraId="0691F553" w14:textId="77777777" w:rsidR="00437D7F" w:rsidRPr="00FB1754" w:rsidRDefault="00437D7F" w:rsidP="00437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Cs w:val="17"/>
          <w:lang w:val="fr-FR"/>
        </w:rPr>
      </w:pPr>
    </w:p>
    <w:p w14:paraId="7D517A02" w14:textId="74218BD1" w:rsidR="00226389" w:rsidRPr="00FB1754" w:rsidRDefault="00226389" w:rsidP="008C79D1">
      <w:pPr>
        <w:pStyle w:val="ListParagraph"/>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szCs w:val="17"/>
          <w:lang w:val="fr-FR"/>
        </w:rPr>
      </w:pPr>
      <w:r w:rsidRPr="00FB1754">
        <w:rPr>
          <w:i/>
          <w:iCs/>
          <w:szCs w:val="17"/>
          <w:lang w:val="fr-FR"/>
        </w:rPr>
        <w:t xml:space="preserve">Prie </w:t>
      </w:r>
      <w:r w:rsidRPr="00FB1754">
        <w:rPr>
          <w:szCs w:val="17"/>
          <w:lang w:val="fr-FR"/>
        </w:rPr>
        <w:t>le Secrétariat de poursuivre ses efforts pour rechercher des partenariats avec des gouvernements et des organisations concernées, afin d’appuyer et de renforcer le fonctionnement efficace des Accords au titre de la Convention; </w:t>
      </w:r>
    </w:p>
    <w:p w14:paraId="45FDD2B4" w14:textId="77777777" w:rsidR="00437D7F" w:rsidRPr="00FB1754" w:rsidRDefault="00437D7F" w:rsidP="00226389">
      <w:pPr>
        <w:widowControl/>
        <w:autoSpaceDE/>
        <w:autoSpaceDN/>
        <w:adjustRightInd/>
        <w:jc w:val="both"/>
        <w:rPr>
          <w:rStyle w:val="file"/>
          <w:b/>
          <w:u w:val="single"/>
          <w:lang w:val="fr-FR"/>
        </w:rPr>
      </w:pPr>
    </w:p>
    <w:p w14:paraId="39C29FAE" w14:textId="44952210" w:rsidR="00226389" w:rsidRPr="00437D7F" w:rsidRDefault="00120CD3" w:rsidP="00226389">
      <w:pPr>
        <w:widowControl/>
        <w:autoSpaceDE/>
        <w:autoSpaceDN/>
        <w:adjustRightInd/>
        <w:jc w:val="both"/>
        <w:rPr>
          <w:b/>
          <w:szCs w:val="17"/>
        </w:rPr>
      </w:pPr>
      <w:r>
        <w:rPr>
          <w:rStyle w:val="file"/>
          <w:b/>
        </w:rPr>
        <w:t>Administration des A</w:t>
      </w:r>
      <w:r w:rsidR="00226389" w:rsidRPr="00437D7F">
        <w:rPr>
          <w:rStyle w:val="file"/>
          <w:b/>
        </w:rPr>
        <w:t>ccords</w:t>
      </w:r>
    </w:p>
    <w:p w14:paraId="35890DF2" w14:textId="77777777" w:rsidR="00437D7F" w:rsidRDefault="00437D7F" w:rsidP="00226389">
      <w:pPr>
        <w:jc w:val="both"/>
        <w:rPr>
          <w:u w:val="single"/>
          <w:lang w:val="fr-FR"/>
        </w:rPr>
      </w:pPr>
    </w:p>
    <w:p w14:paraId="7A74A0E9" w14:textId="4E36FBEF" w:rsidR="00226389" w:rsidRPr="00835891" w:rsidRDefault="00226389" w:rsidP="008C79D1">
      <w:pPr>
        <w:pStyle w:val="ListParagraph"/>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lang w:val="fr-FR"/>
        </w:rPr>
      </w:pPr>
      <w:r w:rsidRPr="008830A9">
        <w:rPr>
          <w:i/>
          <w:lang w:val="fr-FR"/>
        </w:rPr>
        <w:t>Décide</w:t>
      </w:r>
      <w:r w:rsidRPr="00835891">
        <w:rPr>
          <w:lang w:val="fr-FR"/>
        </w:rPr>
        <w:t>:</w:t>
      </w:r>
    </w:p>
    <w:p w14:paraId="674E0E84" w14:textId="77777777" w:rsidR="00226389" w:rsidRPr="00835891" w:rsidRDefault="00226389" w:rsidP="00226389">
      <w:pPr>
        <w:ind w:firstLine="720"/>
        <w:jc w:val="both"/>
        <w:rPr>
          <w:lang w:val="fr-FR"/>
        </w:rPr>
      </w:pPr>
    </w:p>
    <w:p w14:paraId="388FD22B" w14:textId="086647FA" w:rsidR="00226389" w:rsidRPr="00437D7F" w:rsidRDefault="00226389" w:rsidP="008C79D1">
      <w:pPr>
        <w:pStyle w:val="ListParagraph"/>
        <w:widowControl/>
        <w:numPr>
          <w:ilvl w:val="0"/>
          <w:numId w:val="8"/>
        </w:numPr>
        <w:autoSpaceDE/>
        <w:autoSpaceDN/>
        <w:adjustRightInd/>
        <w:spacing w:after="160" w:line="259" w:lineRule="auto"/>
        <w:ind w:hanging="720"/>
        <w:jc w:val="both"/>
        <w:rPr>
          <w:lang w:val="fr-FR"/>
        </w:rPr>
      </w:pPr>
      <w:r w:rsidRPr="00835891">
        <w:rPr>
          <w:lang w:val="fr-FR"/>
        </w:rPr>
        <w:t>Que les arrangements viseront à assurer l’administration et la coordination les plus efficaces, économiques et appropriées et, en conséquence, que les Parties à l’accord peuvent décider de confier cette administration à une partie à celui-ci, ou à un organisme national ou international, ou au Secrétariat de la Convention.  En prenant de tels arrangements, les Parties à l’accord tiennent compte du besoin de souplesse nécessaire pour apporter, à une date ultérieure, les changements propres à assurer la réalisation des objectifs de la Convention</w:t>
      </w:r>
      <w:r w:rsidRPr="00835891">
        <w:rPr>
          <w:rFonts w:eastAsiaTheme="minorHAnsi"/>
          <w:lang w:val="fr-FR" w:eastAsia="ja-JP"/>
        </w:rPr>
        <w:t>;</w:t>
      </w:r>
    </w:p>
    <w:p w14:paraId="012F62D4" w14:textId="77777777" w:rsidR="00437D7F" w:rsidRPr="00437D7F" w:rsidRDefault="00437D7F" w:rsidP="00437D7F">
      <w:pPr>
        <w:pStyle w:val="ListParagraph"/>
        <w:widowControl/>
        <w:autoSpaceDE/>
        <w:autoSpaceDN/>
        <w:adjustRightInd/>
        <w:spacing w:after="160" w:line="259" w:lineRule="auto"/>
        <w:ind w:left="1440"/>
        <w:jc w:val="both"/>
        <w:rPr>
          <w:lang w:val="fr-FR"/>
        </w:rPr>
      </w:pPr>
    </w:p>
    <w:p w14:paraId="417B6D19" w14:textId="4F55F126" w:rsidR="00437D7F" w:rsidRDefault="00226389" w:rsidP="008C79D1">
      <w:pPr>
        <w:pStyle w:val="ListParagraph"/>
        <w:widowControl/>
        <w:numPr>
          <w:ilvl w:val="0"/>
          <w:numId w:val="8"/>
        </w:numPr>
        <w:autoSpaceDE/>
        <w:autoSpaceDN/>
        <w:adjustRightInd/>
        <w:ind w:hanging="720"/>
        <w:jc w:val="both"/>
        <w:rPr>
          <w:lang w:val="fr-FR"/>
        </w:rPr>
      </w:pPr>
      <w:r w:rsidRPr="00437D7F">
        <w:rPr>
          <w:lang w:val="fr-FR"/>
        </w:rPr>
        <w:t xml:space="preserve">Que tous les États de l’aire de répartition qui sont Parties à un accord prennent à leur charge une part des coûts de son administration conformément à la </w:t>
      </w:r>
      <w:r w:rsidR="00437D7F" w:rsidRPr="00437D7F">
        <w:rPr>
          <w:lang w:val="fr-FR"/>
        </w:rPr>
        <w:t>décision des Parties à l’accord</w:t>
      </w:r>
      <w:r w:rsidRPr="00437D7F">
        <w:rPr>
          <w:lang w:val="fr-FR"/>
        </w:rPr>
        <w:t>;</w:t>
      </w:r>
    </w:p>
    <w:p w14:paraId="2F11138D" w14:textId="77777777" w:rsidR="00437D7F" w:rsidRPr="00437D7F" w:rsidRDefault="00437D7F" w:rsidP="00437D7F">
      <w:pPr>
        <w:widowControl/>
        <w:autoSpaceDE/>
        <w:autoSpaceDN/>
        <w:adjustRightInd/>
        <w:spacing w:after="160" w:line="259" w:lineRule="auto"/>
        <w:jc w:val="both"/>
        <w:rPr>
          <w:lang w:val="fr-FR"/>
        </w:rPr>
      </w:pPr>
    </w:p>
    <w:p w14:paraId="24A435D1" w14:textId="06E3A2FA" w:rsidR="00226389" w:rsidRDefault="00226389" w:rsidP="008C79D1">
      <w:pPr>
        <w:pStyle w:val="ListParagraph"/>
        <w:widowControl/>
        <w:numPr>
          <w:ilvl w:val="0"/>
          <w:numId w:val="8"/>
        </w:numPr>
        <w:autoSpaceDE/>
        <w:autoSpaceDN/>
        <w:adjustRightInd/>
        <w:ind w:hanging="720"/>
        <w:jc w:val="both"/>
        <w:rPr>
          <w:lang w:val="fr-FR"/>
        </w:rPr>
      </w:pPr>
      <w:r w:rsidRPr="00437D7F">
        <w:rPr>
          <w:lang w:val="fr-FR"/>
        </w:rPr>
        <w:t>Que les contributions financières des Parties à un accord peuvent être versées directement à la Patrie ou à l’organisme qui administre l’accord ou par l’intermédiaire du Fonds d’affectation spéciale pour la Convention, selon ce que les parties à l’accord décident;</w:t>
      </w:r>
    </w:p>
    <w:p w14:paraId="43D349EE" w14:textId="77777777" w:rsidR="00437D7F" w:rsidRPr="00437D7F" w:rsidRDefault="00437D7F" w:rsidP="00E6371F">
      <w:pPr>
        <w:widowControl/>
        <w:autoSpaceDE/>
        <w:autoSpaceDN/>
        <w:adjustRightInd/>
        <w:jc w:val="both"/>
        <w:rPr>
          <w:lang w:val="fr-FR"/>
        </w:rPr>
      </w:pPr>
    </w:p>
    <w:p w14:paraId="136A0F98" w14:textId="61B0F38E" w:rsidR="00226389" w:rsidRDefault="00226389" w:rsidP="008C79D1">
      <w:pPr>
        <w:pStyle w:val="ListParagraph"/>
        <w:widowControl/>
        <w:numPr>
          <w:ilvl w:val="0"/>
          <w:numId w:val="8"/>
        </w:numPr>
        <w:autoSpaceDE/>
        <w:autoSpaceDN/>
        <w:adjustRightInd/>
        <w:ind w:hanging="720"/>
        <w:jc w:val="both"/>
        <w:rPr>
          <w:lang w:val="fr-FR"/>
        </w:rPr>
      </w:pPr>
      <w:r w:rsidRPr="00437D7F">
        <w:rPr>
          <w:lang w:val="fr-FR"/>
        </w:rPr>
        <w:t>Que la Partie ou l’organisme chargé d’administrer un accord tient le secrétariat de la Convention fidèlement informé de la situation de l’accord et présente régulièrement des rapports aux sessi</w:t>
      </w:r>
      <w:r w:rsidR="00437D7F">
        <w:rPr>
          <w:lang w:val="fr-FR"/>
        </w:rPr>
        <w:t>ons des Parties à la Convention</w:t>
      </w:r>
      <w:r w:rsidRPr="00437D7F">
        <w:rPr>
          <w:lang w:val="fr-FR"/>
        </w:rPr>
        <w:t>;</w:t>
      </w:r>
    </w:p>
    <w:p w14:paraId="2EC42C7B" w14:textId="77777777" w:rsidR="00437D7F" w:rsidRPr="00437D7F" w:rsidRDefault="00437D7F" w:rsidP="00E6371F">
      <w:pPr>
        <w:widowControl/>
        <w:autoSpaceDE/>
        <w:autoSpaceDN/>
        <w:adjustRightInd/>
        <w:jc w:val="both"/>
        <w:rPr>
          <w:lang w:val="fr-FR"/>
        </w:rPr>
      </w:pPr>
    </w:p>
    <w:p w14:paraId="78E6E72B" w14:textId="77777777" w:rsidR="00226389" w:rsidRDefault="00226389" w:rsidP="008C79D1">
      <w:pPr>
        <w:pStyle w:val="ListParagraph"/>
        <w:widowControl/>
        <w:numPr>
          <w:ilvl w:val="0"/>
          <w:numId w:val="8"/>
        </w:numPr>
        <w:autoSpaceDE/>
        <w:autoSpaceDN/>
        <w:adjustRightInd/>
        <w:ind w:hanging="720"/>
        <w:jc w:val="both"/>
        <w:rPr>
          <w:lang w:val="fr-FR"/>
        </w:rPr>
      </w:pPr>
      <w:r w:rsidRPr="00437D7F">
        <w:rPr>
          <w:lang w:val="fr-FR"/>
        </w:rPr>
        <w:t>Qu’avant d’attribuer l’administration d’un accord au Secrétariat de la Convention, il est nécessaire de demander l’assentiment du Comité permanent de la Convention.</w:t>
      </w:r>
    </w:p>
    <w:p w14:paraId="7C62CD5E" w14:textId="77777777" w:rsidR="005036C9" w:rsidRPr="005036C9" w:rsidRDefault="005036C9" w:rsidP="005036C9">
      <w:pPr>
        <w:widowControl/>
        <w:autoSpaceDE/>
        <w:autoSpaceDN/>
        <w:adjustRightInd/>
        <w:jc w:val="both"/>
        <w:rPr>
          <w:lang w:val="fr-FR"/>
        </w:rPr>
      </w:pPr>
    </w:p>
    <w:p w14:paraId="38ABE3E2" w14:textId="4427C0EE" w:rsidR="00226389" w:rsidRPr="00437D7F" w:rsidRDefault="00226389" w:rsidP="008C79D1">
      <w:pPr>
        <w:pStyle w:val="ListParagraph"/>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i/>
          <w:iCs/>
          <w:szCs w:val="17"/>
        </w:rPr>
      </w:pPr>
      <w:r w:rsidRPr="00437D7F">
        <w:rPr>
          <w:i/>
          <w:iCs/>
          <w:szCs w:val="17"/>
        </w:rPr>
        <w:t xml:space="preserve">Abroge </w:t>
      </w:r>
    </w:p>
    <w:p w14:paraId="355239E2" w14:textId="77777777" w:rsidR="00226389" w:rsidRPr="00437D7F" w:rsidRDefault="00226389" w:rsidP="00226389">
      <w:pPr>
        <w:widowControl/>
        <w:autoSpaceDE/>
        <w:autoSpaceDN/>
        <w:adjustRightInd/>
        <w:jc w:val="both"/>
        <w:rPr>
          <w:i/>
          <w:iCs/>
          <w:szCs w:val="17"/>
        </w:rPr>
      </w:pPr>
    </w:p>
    <w:p w14:paraId="2E835258" w14:textId="24E94BAF" w:rsidR="00226389" w:rsidRPr="00FB1754" w:rsidRDefault="00120CD3" w:rsidP="008C79D1">
      <w:pPr>
        <w:pStyle w:val="ListParagraph"/>
        <w:widowControl/>
        <w:numPr>
          <w:ilvl w:val="0"/>
          <w:numId w:val="9"/>
        </w:numPr>
        <w:autoSpaceDE/>
        <w:autoSpaceDN/>
        <w:adjustRightInd/>
        <w:ind w:left="1440" w:hanging="720"/>
        <w:jc w:val="both"/>
        <w:rPr>
          <w:rStyle w:val="file"/>
          <w:szCs w:val="24"/>
          <w:lang w:val="fr-FR"/>
        </w:rPr>
      </w:pPr>
      <w:r>
        <w:rPr>
          <w:rStyle w:val="file"/>
          <w:lang w:val="fr-FR"/>
        </w:rPr>
        <w:t xml:space="preserve">La </w:t>
      </w:r>
      <w:r w:rsidR="00226389" w:rsidRPr="00FB1754">
        <w:rPr>
          <w:rStyle w:val="file"/>
          <w:lang w:val="fr-FR"/>
        </w:rPr>
        <w:t xml:space="preserve">Résolution 2.6: </w:t>
      </w:r>
      <w:r w:rsidR="00226389" w:rsidRPr="00120CD3">
        <w:rPr>
          <w:rStyle w:val="file"/>
          <w:i/>
          <w:lang w:val="fr-FR"/>
        </w:rPr>
        <w:t>Application des Articles IV et V de la Convention</w:t>
      </w:r>
      <w:r w:rsidR="00437D7F" w:rsidRPr="00FB1754">
        <w:rPr>
          <w:rStyle w:val="file"/>
          <w:lang w:val="fr-FR"/>
        </w:rPr>
        <w:t>;</w:t>
      </w:r>
    </w:p>
    <w:p w14:paraId="02FB89FB" w14:textId="77777777" w:rsidR="00437D7F" w:rsidRPr="00FB1754" w:rsidRDefault="00437D7F" w:rsidP="00437D7F">
      <w:pPr>
        <w:pStyle w:val="ListParagraph"/>
        <w:widowControl/>
        <w:autoSpaceDE/>
        <w:autoSpaceDN/>
        <w:adjustRightInd/>
        <w:ind w:left="1440"/>
        <w:jc w:val="both"/>
        <w:rPr>
          <w:rStyle w:val="file"/>
          <w:szCs w:val="24"/>
          <w:lang w:val="fr-FR"/>
        </w:rPr>
      </w:pPr>
    </w:p>
    <w:p w14:paraId="739D2BE9" w14:textId="5F03308A" w:rsidR="00226389" w:rsidRPr="00120CD3" w:rsidRDefault="00120CD3" w:rsidP="008C79D1">
      <w:pPr>
        <w:pStyle w:val="ListParagraph"/>
        <w:widowControl/>
        <w:numPr>
          <w:ilvl w:val="0"/>
          <w:numId w:val="9"/>
        </w:numPr>
        <w:autoSpaceDE/>
        <w:autoSpaceDN/>
        <w:adjustRightInd/>
        <w:ind w:left="1440" w:hanging="720"/>
        <w:jc w:val="both"/>
        <w:rPr>
          <w:rStyle w:val="file"/>
          <w:szCs w:val="24"/>
          <w:lang w:val="fr-FR"/>
        </w:rPr>
      </w:pPr>
      <w:r w:rsidRPr="00120CD3">
        <w:rPr>
          <w:rStyle w:val="file"/>
          <w:lang w:val="fr-FR"/>
        </w:rPr>
        <w:t xml:space="preserve">La </w:t>
      </w:r>
      <w:r w:rsidR="00226389" w:rsidRPr="00120CD3">
        <w:rPr>
          <w:rStyle w:val="file"/>
          <w:lang w:val="fr-FR"/>
        </w:rPr>
        <w:t xml:space="preserve">Résolution 2.7: </w:t>
      </w:r>
      <w:r w:rsidR="00226389" w:rsidRPr="00120CD3">
        <w:rPr>
          <w:rStyle w:val="file"/>
          <w:i/>
          <w:lang w:val="fr-FR"/>
        </w:rPr>
        <w:t>Administration des accords</w:t>
      </w:r>
      <w:r w:rsidR="00437D7F" w:rsidRPr="00120CD3">
        <w:rPr>
          <w:rStyle w:val="file"/>
          <w:lang w:val="fr-FR"/>
        </w:rPr>
        <w:t>;</w:t>
      </w:r>
    </w:p>
    <w:p w14:paraId="0A8D7FCC" w14:textId="77777777" w:rsidR="00437D7F" w:rsidRPr="00120CD3" w:rsidRDefault="00437D7F" w:rsidP="00437D7F">
      <w:pPr>
        <w:widowControl/>
        <w:autoSpaceDE/>
        <w:autoSpaceDN/>
        <w:adjustRightInd/>
        <w:jc w:val="both"/>
        <w:rPr>
          <w:szCs w:val="24"/>
          <w:lang w:val="fr-FR"/>
        </w:rPr>
      </w:pPr>
    </w:p>
    <w:p w14:paraId="78104E45" w14:textId="2E5F5D41" w:rsidR="00226389" w:rsidRPr="00FB1754" w:rsidRDefault="00120CD3" w:rsidP="008C79D1">
      <w:pPr>
        <w:pStyle w:val="ListParagraph"/>
        <w:widowControl/>
        <w:numPr>
          <w:ilvl w:val="0"/>
          <w:numId w:val="9"/>
        </w:numPr>
        <w:autoSpaceDE/>
        <w:autoSpaceDN/>
        <w:adjustRightInd/>
        <w:ind w:left="1440" w:hanging="720"/>
        <w:jc w:val="both"/>
        <w:rPr>
          <w:rStyle w:val="file"/>
          <w:szCs w:val="24"/>
          <w:lang w:val="fr-FR"/>
        </w:rPr>
      </w:pPr>
      <w:r>
        <w:rPr>
          <w:rStyle w:val="file"/>
          <w:lang w:val="fr-FR"/>
        </w:rPr>
        <w:t xml:space="preserve">La </w:t>
      </w:r>
      <w:r w:rsidR="00226389" w:rsidRPr="00FB1754">
        <w:rPr>
          <w:rStyle w:val="file"/>
          <w:lang w:val="fr-FR"/>
        </w:rPr>
        <w:t xml:space="preserve">Résolution 3.5: </w:t>
      </w:r>
      <w:r w:rsidR="00226389" w:rsidRPr="00120CD3">
        <w:rPr>
          <w:rStyle w:val="file"/>
          <w:i/>
          <w:lang w:val="fr-FR"/>
        </w:rPr>
        <w:t xml:space="preserve">Application du paragraphe 4 de l'article IV de la Convention relatif aux </w:t>
      </w:r>
      <w:r>
        <w:rPr>
          <w:rStyle w:val="file"/>
          <w:i/>
          <w:lang w:val="fr-FR"/>
        </w:rPr>
        <w:t>accords</w:t>
      </w:r>
      <w:r>
        <w:rPr>
          <w:rStyle w:val="file"/>
          <w:lang w:val="fr-FR"/>
        </w:rPr>
        <w:t>; et</w:t>
      </w:r>
    </w:p>
    <w:p w14:paraId="3E6BB234" w14:textId="77777777" w:rsidR="00437D7F" w:rsidRPr="00FB1754" w:rsidRDefault="00437D7F" w:rsidP="00437D7F">
      <w:pPr>
        <w:widowControl/>
        <w:autoSpaceDE/>
        <w:autoSpaceDN/>
        <w:adjustRightInd/>
        <w:jc w:val="both"/>
        <w:rPr>
          <w:szCs w:val="24"/>
          <w:lang w:val="fr-FR"/>
        </w:rPr>
      </w:pPr>
    </w:p>
    <w:p w14:paraId="6B7CEF30" w14:textId="1B3508CB" w:rsidR="00226389" w:rsidRPr="00FB1754" w:rsidRDefault="00120CD3" w:rsidP="008C79D1">
      <w:pPr>
        <w:pStyle w:val="ListParagraph"/>
        <w:widowControl/>
        <w:numPr>
          <w:ilvl w:val="0"/>
          <w:numId w:val="9"/>
        </w:numPr>
        <w:autoSpaceDE/>
        <w:autoSpaceDN/>
        <w:adjustRightInd/>
        <w:ind w:left="1440" w:hanging="720"/>
        <w:jc w:val="both"/>
        <w:rPr>
          <w:szCs w:val="24"/>
          <w:lang w:val="fr-FR"/>
        </w:rPr>
      </w:pPr>
      <w:r>
        <w:rPr>
          <w:rStyle w:val="file"/>
          <w:lang w:val="fr-FR"/>
        </w:rPr>
        <w:t xml:space="preserve">La </w:t>
      </w:r>
      <w:r w:rsidR="00226389" w:rsidRPr="00FB1754">
        <w:rPr>
          <w:rStyle w:val="file"/>
          <w:lang w:val="fr-FR"/>
        </w:rPr>
        <w:t xml:space="preserve">Rés.11.12: </w:t>
      </w:r>
      <w:r w:rsidR="00226389" w:rsidRPr="00120CD3">
        <w:rPr>
          <w:rStyle w:val="file"/>
          <w:i/>
          <w:lang w:val="fr-FR"/>
        </w:rPr>
        <w:t>Critères d'évaluation des propositions de nouveaux accords</w:t>
      </w:r>
      <w:r w:rsidR="00226389" w:rsidRPr="00FB1754">
        <w:rPr>
          <w:rStyle w:val="file"/>
          <w:lang w:val="fr-FR"/>
        </w:rPr>
        <w:t>.</w:t>
      </w:r>
    </w:p>
    <w:p w14:paraId="32F0F92D" w14:textId="5172E125" w:rsidR="00226389" w:rsidRPr="00FB1754" w:rsidRDefault="00120CD3" w:rsidP="00120CD3">
      <w:pPr>
        <w:widowControl/>
        <w:autoSpaceDE/>
        <w:autoSpaceDN/>
        <w:adjustRightInd/>
        <w:jc w:val="right"/>
        <w:rPr>
          <w:szCs w:val="17"/>
          <w:lang w:val="fr-FR"/>
        </w:rPr>
      </w:pPr>
      <w:r>
        <w:rPr>
          <w:b/>
          <w:bCs/>
          <w:szCs w:val="17"/>
          <w:lang w:val="fr-FR"/>
        </w:rPr>
        <w:lastRenderedPageBreak/>
        <w:t>Annexe à la Résolution</w:t>
      </w:r>
    </w:p>
    <w:p w14:paraId="61940D2F" w14:textId="77777777" w:rsidR="00226389" w:rsidRPr="00FB1754" w:rsidRDefault="00226389" w:rsidP="00226389">
      <w:pPr>
        <w:widowControl/>
        <w:autoSpaceDE/>
        <w:autoSpaceDN/>
        <w:adjustRightInd/>
        <w:jc w:val="both"/>
        <w:rPr>
          <w:b/>
          <w:bCs/>
          <w:szCs w:val="17"/>
          <w:lang w:val="fr-FR"/>
        </w:rPr>
      </w:pPr>
    </w:p>
    <w:p w14:paraId="07CABC1D" w14:textId="67377960" w:rsidR="00226389" w:rsidRPr="00FB1754" w:rsidRDefault="00226389" w:rsidP="00120CD3">
      <w:pPr>
        <w:widowControl/>
        <w:autoSpaceDE/>
        <w:autoSpaceDN/>
        <w:adjustRightInd/>
        <w:jc w:val="center"/>
        <w:rPr>
          <w:szCs w:val="17"/>
          <w:lang w:val="fr-FR"/>
        </w:rPr>
      </w:pPr>
      <w:r w:rsidRPr="00FB1754">
        <w:rPr>
          <w:b/>
          <w:bCs/>
          <w:szCs w:val="17"/>
          <w:lang w:val="fr-FR"/>
        </w:rPr>
        <w:t>CRITÈRES D’ÉVALUATION DES PROPOSITIONS DE NOUVEAUX ACCORDS</w:t>
      </w:r>
    </w:p>
    <w:p w14:paraId="079F5791" w14:textId="77777777" w:rsidR="00226389" w:rsidRPr="00FB1754" w:rsidRDefault="00226389" w:rsidP="00226389">
      <w:pPr>
        <w:widowControl/>
        <w:autoSpaceDE/>
        <w:autoSpaceDN/>
        <w:adjustRightInd/>
        <w:jc w:val="both"/>
        <w:rPr>
          <w:szCs w:val="17"/>
          <w:lang w:val="fr-FR"/>
        </w:rPr>
      </w:pPr>
    </w:p>
    <w:p w14:paraId="06EEFD8B" w14:textId="77777777" w:rsidR="00226389" w:rsidRPr="00FB1754" w:rsidRDefault="00226389" w:rsidP="00226389">
      <w:pPr>
        <w:widowControl/>
        <w:autoSpaceDE/>
        <w:autoSpaceDN/>
        <w:adjustRightInd/>
        <w:jc w:val="both"/>
        <w:rPr>
          <w:szCs w:val="17"/>
          <w:lang w:val="fr-FR"/>
        </w:rPr>
      </w:pPr>
      <w:r w:rsidRPr="00FB1754">
        <w:rPr>
          <w:szCs w:val="17"/>
          <w:lang w:val="fr-FR"/>
        </w:rPr>
        <w:t>Le principal élément de l’approche suggérée pour élaborer des Accords est une méthode d’évaluation systématique des possibilités, des risques, du caractère approprié et de la priorité relative de toute nouvelle proposition d’élaboration d’un Accord. Ceci inclut de tester ces propositions au regard d’une série de critères. Un formulaire type pourrait être mis au point, peut-être sous forme de questionnaire, pour capturer les informations requises afin que chaque proposition puisse être examinée par le Conseil scientifique, le Comité permanent et la COP. Ajoutées aux informations indiquant comment la proposition répond aux critères, de telles informations donneraient des précisions sur les personnes ayant un rôle de chef de file, les prévisions budgétaires et d’autres détails connexes. </w:t>
      </w:r>
    </w:p>
    <w:p w14:paraId="198162E3" w14:textId="77777777" w:rsidR="00226389" w:rsidRPr="00FB1754" w:rsidRDefault="00226389" w:rsidP="00226389">
      <w:pPr>
        <w:widowControl/>
        <w:autoSpaceDE/>
        <w:autoSpaceDN/>
        <w:adjustRightInd/>
        <w:jc w:val="both"/>
        <w:rPr>
          <w:szCs w:val="17"/>
          <w:lang w:val="fr-FR"/>
        </w:rPr>
      </w:pPr>
    </w:p>
    <w:p w14:paraId="13BB6A72" w14:textId="77777777" w:rsidR="00226389" w:rsidRPr="00FB1754" w:rsidRDefault="00226389" w:rsidP="00226389">
      <w:pPr>
        <w:widowControl/>
        <w:autoSpaceDE/>
        <w:autoSpaceDN/>
        <w:adjustRightInd/>
        <w:jc w:val="both"/>
        <w:rPr>
          <w:szCs w:val="17"/>
          <w:lang w:val="fr-FR"/>
        </w:rPr>
      </w:pPr>
      <w:r w:rsidRPr="00FB1754">
        <w:rPr>
          <w:szCs w:val="17"/>
          <w:lang w:val="fr-FR"/>
        </w:rPr>
        <w:t>Les critères ci-dessous sont un résumé des critères proposés dans le rapport intitulé « Élaboration, dotation en ressources et gestion des Accords de la CMS – une politique générale » (PNUE/CMS/COP11/Doc.22.2)</w:t>
      </w:r>
      <w:r w:rsidRPr="00FB1754">
        <w:rPr>
          <w:rStyle w:val="FootnoteReference"/>
          <w:rFonts w:cs="Arial"/>
          <w:szCs w:val="17"/>
          <w:vertAlign w:val="superscript"/>
          <w:lang w:val="fr-FR"/>
        </w:rPr>
        <w:footnoteReference w:customMarkFollows="1" w:id="4"/>
        <w:t>1</w:t>
      </w:r>
      <w:r w:rsidRPr="00FB1754">
        <w:rPr>
          <w:szCs w:val="17"/>
          <w:lang w:val="fr-FR"/>
        </w:rPr>
        <w:t>. D’autres conseils sur les questions à examiner dans le cadre de chaque critère sont fournis dans ce rapport. </w:t>
      </w:r>
    </w:p>
    <w:p w14:paraId="17EF51F0" w14:textId="77777777" w:rsidR="00226389" w:rsidRPr="00FB1754" w:rsidRDefault="00226389" w:rsidP="00226389">
      <w:pPr>
        <w:widowControl/>
        <w:autoSpaceDE/>
        <w:autoSpaceDN/>
        <w:adjustRightInd/>
        <w:jc w:val="both"/>
        <w:rPr>
          <w:szCs w:val="17"/>
          <w:lang w:val="fr-FR"/>
        </w:rPr>
      </w:pPr>
    </w:p>
    <w:p w14:paraId="53271258" w14:textId="77777777" w:rsidR="00226389" w:rsidRPr="00FB1754" w:rsidRDefault="00226389" w:rsidP="00226389">
      <w:pPr>
        <w:widowControl/>
        <w:autoSpaceDE/>
        <w:autoSpaceDN/>
        <w:adjustRightInd/>
        <w:jc w:val="both"/>
        <w:rPr>
          <w:szCs w:val="17"/>
          <w:lang w:val="fr-FR"/>
        </w:rPr>
      </w:pPr>
      <w:r w:rsidRPr="00FB1754">
        <w:rPr>
          <w:szCs w:val="17"/>
          <w:lang w:val="fr-FR"/>
        </w:rPr>
        <w:t>Les critères peuvent être appliqués avec une certaine souplesse, vu la diversité des formes que peuvent prendre les Accords de la CMS et la diversité des situations qu’ils gèrent. En principe, cependant, plus les éléments fournis à l’appui d’une proposition sont objectifs et transparents, plus la proposition a de chances d’aboutir. </w:t>
      </w:r>
    </w:p>
    <w:p w14:paraId="1CF78F9D" w14:textId="77777777" w:rsidR="00226389" w:rsidRPr="00FB1754" w:rsidRDefault="00226389" w:rsidP="00226389">
      <w:pPr>
        <w:widowControl/>
        <w:autoSpaceDE/>
        <w:autoSpaceDN/>
        <w:adjustRightInd/>
        <w:jc w:val="both"/>
        <w:rPr>
          <w:szCs w:val="17"/>
          <w:lang w:val="fr-FR"/>
        </w:rPr>
      </w:pPr>
    </w:p>
    <w:p w14:paraId="604D451D" w14:textId="77777777" w:rsidR="00226389" w:rsidRPr="00FB1754" w:rsidRDefault="00226389" w:rsidP="00226389">
      <w:pPr>
        <w:widowControl/>
        <w:autoSpaceDE/>
        <w:autoSpaceDN/>
        <w:adjustRightInd/>
        <w:jc w:val="both"/>
        <w:rPr>
          <w:szCs w:val="17"/>
          <w:lang w:val="fr-FR"/>
        </w:rPr>
      </w:pPr>
      <w:r w:rsidRPr="00FB1754">
        <w:rPr>
          <w:szCs w:val="17"/>
          <w:lang w:val="fr-FR"/>
        </w:rPr>
        <w:t>Certains critères pourraient constituer une norme absolue pour déterminer le bien-fondé d’une proposition (comme le critère iii) sur un but clair, ou le critère ix) sur les perspectives de leadership); tandis que d’autres critères pourraient être utilisés d’une manière plus relative, pour comparer deux propositions ou plus qui sont en concurrence pour être prioritaires. Dans tous les cas de figure, les informations consolidées devraient fournir, autant que possible, une évaluation équilibrée des avantages et des risques liés à chaque question traitée, plutôt qu’être considérées uniquement comme un outil de persuasion. </w:t>
      </w:r>
    </w:p>
    <w:p w14:paraId="0F614387" w14:textId="77777777" w:rsidR="00226389" w:rsidRPr="00FB1754" w:rsidRDefault="00226389" w:rsidP="00226389">
      <w:pPr>
        <w:widowControl/>
        <w:autoSpaceDE/>
        <w:autoSpaceDN/>
        <w:adjustRightInd/>
        <w:jc w:val="both"/>
        <w:rPr>
          <w:szCs w:val="17"/>
          <w:lang w:val="fr-FR"/>
        </w:rPr>
      </w:pPr>
    </w:p>
    <w:p w14:paraId="21684B4A" w14:textId="77777777" w:rsidR="00226389" w:rsidRPr="00FB1754" w:rsidRDefault="00226389" w:rsidP="00226389">
      <w:pPr>
        <w:widowControl/>
        <w:autoSpaceDE/>
        <w:autoSpaceDN/>
        <w:adjustRightInd/>
        <w:jc w:val="both"/>
        <w:rPr>
          <w:b/>
          <w:bCs/>
          <w:szCs w:val="17"/>
          <w:lang w:val="fr-FR"/>
        </w:rPr>
      </w:pPr>
      <w:r w:rsidRPr="00FB1754">
        <w:rPr>
          <w:b/>
          <w:bCs/>
          <w:szCs w:val="17"/>
          <w:lang w:val="fr-FR"/>
        </w:rPr>
        <w:t>(i) Priorité en matière de conservation </w:t>
      </w:r>
    </w:p>
    <w:p w14:paraId="2E6F2CE2" w14:textId="48C41C7A" w:rsidR="00226389" w:rsidRPr="00FB1754" w:rsidRDefault="00226389" w:rsidP="00226389">
      <w:pPr>
        <w:widowControl/>
        <w:autoSpaceDE/>
        <w:autoSpaceDN/>
        <w:adjustRightInd/>
        <w:jc w:val="both"/>
        <w:rPr>
          <w:i/>
          <w:iCs/>
          <w:szCs w:val="17"/>
          <w:lang w:val="fr-FR"/>
        </w:rPr>
      </w:pPr>
      <w:r w:rsidRPr="00FB1754">
        <w:rPr>
          <w:i/>
          <w:iCs/>
          <w:szCs w:val="17"/>
          <w:lang w:val="fr-FR"/>
        </w:rPr>
        <w:t>Les propositions devraient préciser la gravité du besoin de conservation, en ce qui concerne par exemple le degré de mise en danger ou de l’état de conservation défavorable des espèces, tel que défini par la Convention, et le niveau d’urgence nécessitant une forme particulière de coopération internationale. Il conviendra peut-être aussi de décrire les liens avec les questions de migration et la confiance dans les données scientifiques qui sous-tendent la proposition. </w:t>
      </w:r>
    </w:p>
    <w:p w14:paraId="7A199ECF" w14:textId="77777777" w:rsidR="00226389" w:rsidRPr="00FB1754" w:rsidRDefault="00226389" w:rsidP="00226389">
      <w:pPr>
        <w:widowControl/>
        <w:autoSpaceDE/>
        <w:autoSpaceDN/>
        <w:adjustRightInd/>
        <w:jc w:val="both"/>
        <w:rPr>
          <w:szCs w:val="17"/>
          <w:lang w:val="fr-FR"/>
        </w:rPr>
      </w:pPr>
    </w:p>
    <w:p w14:paraId="43EE5AB1" w14:textId="77777777" w:rsidR="00226389" w:rsidRPr="00FB1754" w:rsidRDefault="00226389" w:rsidP="00226389">
      <w:pPr>
        <w:widowControl/>
        <w:autoSpaceDE/>
        <w:autoSpaceDN/>
        <w:adjustRightInd/>
        <w:jc w:val="both"/>
        <w:rPr>
          <w:szCs w:val="17"/>
          <w:lang w:val="fr-FR"/>
        </w:rPr>
      </w:pPr>
      <w:r w:rsidRPr="00FB1754">
        <w:rPr>
          <w:b/>
          <w:bCs/>
          <w:szCs w:val="17"/>
          <w:lang w:val="fr-FR"/>
        </w:rPr>
        <w:t>(ii) Exécution d’un mandat spécifique existant de la COP </w:t>
      </w:r>
    </w:p>
    <w:p w14:paraId="46D4AE20" w14:textId="666BB208" w:rsidR="00226389" w:rsidRPr="00FB1754" w:rsidRDefault="00226389" w:rsidP="00226389">
      <w:pPr>
        <w:widowControl/>
        <w:autoSpaceDE/>
        <w:autoSpaceDN/>
        <w:adjustRightInd/>
        <w:jc w:val="both"/>
        <w:rPr>
          <w:szCs w:val="17"/>
          <w:lang w:val="fr-FR"/>
        </w:rPr>
      </w:pPr>
      <w:r w:rsidRPr="00FB1754">
        <w:rPr>
          <w:i/>
          <w:iCs/>
          <w:szCs w:val="17"/>
          <w:lang w:val="fr-FR"/>
        </w:rPr>
        <w:t>Les propositions devraient indiquer comment elles répondent à des objectifs particulièrement pertinents énoncés dans les stratégies de la CMS et d’autres décisions des Parties. </w:t>
      </w:r>
    </w:p>
    <w:p w14:paraId="6828EF65" w14:textId="77777777" w:rsidR="00226389" w:rsidRPr="00FB1754" w:rsidRDefault="00226389" w:rsidP="00226389">
      <w:pPr>
        <w:widowControl/>
        <w:autoSpaceDE/>
        <w:autoSpaceDN/>
        <w:adjustRightInd/>
        <w:jc w:val="both"/>
        <w:rPr>
          <w:szCs w:val="17"/>
          <w:lang w:val="fr-FR"/>
        </w:rPr>
      </w:pPr>
    </w:p>
    <w:p w14:paraId="0574D381" w14:textId="77777777" w:rsidR="00226389" w:rsidRPr="00FB1754" w:rsidRDefault="00226389" w:rsidP="00226389">
      <w:pPr>
        <w:widowControl/>
        <w:autoSpaceDE/>
        <w:autoSpaceDN/>
        <w:adjustRightInd/>
        <w:jc w:val="both"/>
        <w:rPr>
          <w:szCs w:val="17"/>
          <w:lang w:val="fr-FR"/>
        </w:rPr>
      </w:pPr>
      <w:r w:rsidRPr="00FB1754">
        <w:rPr>
          <w:b/>
          <w:bCs/>
          <w:szCs w:val="17"/>
          <w:lang w:val="fr-FR"/>
        </w:rPr>
        <w:t>(iii) But défini clair et spécifique </w:t>
      </w:r>
    </w:p>
    <w:p w14:paraId="2ECED2DD" w14:textId="0F1C55A1" w:rsidR="00226389" w:rsidRPr="00FB1754" w:rsidRDefault="00226389" w:rsidP="00226389">
      <w:pPr>
        <w:widowControl/>
        <w:autoSpaceDE/>
        <w:autoSpaceDN/>
        <w:adjustRightInd/>
        <w:jc w:val="both"/>
        <w:rPr>
          <w:szCs w:val="17"/>
          <w:lang w:val="fr-FR"/>
        </w:rPr>
      </w:pPr>
      <w:r w:rsidRPr="00FB1754">
        <w:rPr>
          <w:i/>
          <w:iCs/>
          <w:szCs w:val="17"/>
          <w:lang w:val="fr-FR"/>
        </w:rPr>
        <w:t>Les propositions devraient définir les résultats attendus en matière de conservation, et devraient en particulier indiquer clairement la façon dont les espèces ciblées bénéficieront ou devraient bénéficier d’une coopération internationale. Plus le but énoncé est spécifique, réaliste et mesurable, mieux ce sera. Les propositions devraient aussi tenir compte (selon qu’il convient) de l’Article V de la CMS. </w:t>
      </w:r>
    </w:p>
    <w:p w14:paraId="4F7C2427" w14:textId="77777777" w:rsidR="00226389" w:rsidRPr="00FB1754" w:rsidRDefault="00226389" w:rsidP="00226389">
      <w:pPr>
        <w:widowControl/>
        <w:autoSpaceDE/>
        <w:autoSpaceDN/>
        <w:adjustRightInd/>
        <w:jc w:val="both"/>
        <w:rPr>
          <w:b/>
          <w:bCs/>
          <w:szCs w:val="17"/>
          <w:lang w:val="fr-FR"/>
        </w:rPr>
      </w:pPr>
    </w:p>
    <w:p w14:paraId="6883CB06" w14:textId="77777777" w:rsidR="00226389" w:rsidRPr="00FB1754" w:rsidRDefault="00226389" w:rsidP="00226389">
      <w:pPr>
        <w:widowControl/>
        <w:autoSpaceDE/>
        <w:autoSpaceDN/>
        <w:adjustRightInd/>
        <w:jc w:val="both"/>
        <w:rPr>
          <w:szCs w:val="17"/>
          <w:lang w:val="fr-FR"/>
        </w:rPr>
      </w:pPr>
      <w:r w:rsidRPr="00FB1754">
        <w:rPr>
          <w:b/>
          <w:bCs/>
          <w:szCs w:val="17"/>
          <w:lang w:val="fr-FR"/>
        </w:rPr>
        <w:t>(iv) Absence de meilleures solutions à l’extérieur du système de la CMS </w:t>
      </w:r>
    </w:p>
    <w:p w14:paraId="5066351E" w14:textId="693AD0D0" w:rsidR="00226389" w:rsidRPr="00FB1754" w:rsidRDefault="00226389" w:rsidP="00226389">
      <w:pPr>
        <w:widowControl/>
        <w:autoSpaceDE/>
        <w:autoSpaceDN/>
        <w:adjustRightInd/>
        <w:jc w:val="both"/>
        <w:rPr>
          <w:szCs w:val="17"/>
          <w:lang w:val="fr-FR"/>
        </w:rPr>
      </w:pPr>
      <w:r w:rsidRPr="00FB1754">
        <w:rPr>
          <w:i/>
          <w:iCs/>
          <w:szCs w:val="17"/>
          <w:lang w:val="fr-FR"/>
        </w:rPr>
        <w:t>Les propositions devraient comparer l’option d’un Accord de la CMS avec d’autres options possibles à l’extérieur des mécanismes de la Convention, et expliquer pourquoi un Accord de la CMS constitue le meilleur moyen de répondre au besoin de conservation défini. </w:t>
      </w:r>
    </w:p>
    <w:p w14:paraId="7C10A739" w14:textId="77777777" w:rsidR="00226389" w:rsidRPr="00FB1754" w:rsidRDefault="00226389" w:rsidP="00226389">
      <w:pPr>
        <w:widowControl/>
        <w:autoSpaceDE/>
        <w:autoSpaceDN/>
        <w:adjustRightInd/>
        <w:jc w:val="both"/>
        <w:rPr>
          <w:b/>
          <w:bCs/>
          <w:szCs w:val="17"/>
          <w:lang w:val="fr-FR"/>
        </w:rPr>
      </w:pPr>
    </w:p>
    <w:p w14:paraId="25EC220E" w14:textId="77777777" w:rsidR="00226389" w:rsidRPr="00FB1754" w:rsidRDefault="00226389" w:rsidP="00226389">
      <w:pPr>
        <w:widowControl/>
        <w:autoSpaceDE/>
        <w:autoSpaceDN/>
        <w:adjustRightInd/>
        <w:jc w:val="both"/>
        <w:rPr>
          <w:b/>
          <w:bCs/>
          <w:szCs w:val="17"/>
          <w:lang w:val="fr-FR"/>
        </w:rPr>
      </w:pPr>
      <w:r w:rsidRPr="00FB1754">
        <w:rPr>
          <w:b/>
          <w:bCs/>
          <w:szCs w:val="17"/>
          <w:lang w:val="fr-FR"/>
        </w:rPr>
        <w:lastRenderedPageBreak/>
        <w:t>(v) Absence de meilleures solutions à l’intérieur du système de la CMS </w:t>
      </w:r>
    </w:p>
    <w:p w14:paraId="1F110888" w14:textId="17930425" w:rsidR="00226389" w:rsidRPr="00FB1754" w:rsidRDefault="00226389" w:rsidP="00226389">
      <w:pPr>
        <w:widowControl/>
        <w:autoSpaceDE/>
        <w:autoSpaceDN/>
        <w:adjustRightInd/>
        <w:jc w:val="both"/>
        <w:rPr>
          <w:i/>
          <w:iCs/>
          <w:szCs w:val="17"/>
          <w:lang w:val="fr-FR"/>
        </w:rPr>
      </w:pPr>
      <w:r w:rsidRPr="00FB1754">
        <w:rPr>
          <w:i/>
          <w:iCs/>
          <w:szCs w:val="17"/>
          <w:lang w:val="fr-FR"/>
        </w:rPr>
        <w:t>Les propositions devraient comparer l’option d’un Accord de la CMS avec d’autres options disponibles à l’intérieur du système de la Convention (telles que des « actions concertées », des plans d’action internationaux pour des espèces et d’autres initiatives en matière de coopération), et expliquer pourquoi un Accord de la CMS constitue le meilleur moyen de répondre au besoin de conservation défini. </w:t>
      </w:r>
    </w:p>
    <w:p w14:paraId="6B811F59" w14:textId="77777777" w:rsidR="00226389" w:rsidRPr="00FB1754" w:rsidRDefault="00226389" w:rsidP="00226389">
      <w:pPr>
        <w:widowControl/>
        <w:autoSpaceDE/>
        <w:autoSpaceDN/>
        <w:adjustRightInd/>
        <w:jc w:val="both"/>
        <w:rPr>
          <w:szCs w:val="17"/>
          <w:lang w:val="fr-FR"/>
        </w:rPr>
      </w:pPr>
    </w:p>
    <w:p w14:paraId="2A276CD4" w14:textId="77777777" w:rsidR="00120CD3" w:rsidRDefault="00226389" w:rsidP="00226389">
      <w:pPr>
        <w:widowControl/>
        <w:autoSpaceDE/>
        <w:autoSpaceDN/>
        <w:adjustRightInd/>
        <w:jc w:val="both"/>
        <w:rPr>
          <w:b/>
          <w:bCs/>
          <w:szCs w:val="17"/>
          <w:lang w:val="fr-FR"/>
        </w:rPr>
      </w:pPr>
      <w:r w:rsidRPr="00FB1754">
        <w:rPr>
          <w:b/>
          <w:bCs/>
          <w:szCs w:val="17"/>
          <w:lang w:val="fr-FR"/>
        </w:rPr>
        <w:t>(vi) Si un instrument de la CMS est préférable, l’extension d’un Accord existant n’est pas faisable </w:t>
      </w:r>
    </w:p>
    <w:p w14:paraId="28AE9908" w14:textId="53D4EA25" w:rsidR="00226389" w:rsidRPr="00120CD3" w:rsidRDefault="00226389" w:rsidP="00226389">
      <w:pPr>
        <w:widowControl/>
        <w:autoSpaceDE/>
        <w:autoSpaceDN/>
        <w:adjustRightInd/>
        <w:jc w:val="both"/>
        <w:rPr>
          <w:b/>
          <w:bCs/>
          <w:szCs w:val="17"/>
          <w:lang w:val="fr-FR"/>
        </w:rPr>
      </w:pPr>
      <w:r w:rsidRPr="00FB1754">
        <w:rPr>
          <w:i/>
          <w:iCs/>
          <w:szCs w:val="17"/>
          <w:lang w:val="fr-FR"/>
        </w:rPr>
        <w:t>Les propositions devraient montrer qu’il existe des raisons impérieuses justifiant qu’une solution ne peut pas être trouvée en élargissant le champ d’application taxonomique ou géographique d’un Accord existant, en tenant compte du risque de perte d'efficacité de l'accord existant (UE et ses États membres). </w:t>
      </w:r>
    </w:p>
    <w:p w14:paraId="4D3182B9" w14:textId="77777777" w:rsidR="00226389" w:rsidRPr="00FB1754" w:rsidRDefault="00226389" w:rsidP="00226389">
      <w:pPr>
        <w:widowControl/>
        <w:autoSpaceDE/>
        <w:autoSpaceDN/>
        <w:adjustRightInd/>
        <w:jc w:val="both"/>
        <w:rPr>
          <w:szCs w:val="17"/>
          <w:lang w:val="fr-FR"/>
        </w:rPr>
      </w:pPr>
    </w:p>
    <w:p w14:paraId="7F70E399" w14:textId="77777777" w:rsidR="00226389" w:rsidRPr="00FB1754" w:rsidRDefault="00226389" w:rsidP="00226389">
      <w:pPr>
        <w:widowControl/>
        <w:autoSpaceDE/>
        <w:autoSpaceDN/>
        <w:adjustRightInd/>
        <w:jc w:val="both"/>
        <w:rPr>
          <w:b/>
          <w:bCs/>
          <w:szCs w:val="17"/>
          <w:lang w:val="fr-FR"/>
        </w:rPr>
      </w:pPr>
      <w:r w:rsidRPr="00FB1754">
        <w:rPr>
          <w:b/>
          <w:bCs/>
          <w:szCs w:val="17"/>
          <w:lang w:val="fr-FR"/>
        </w:rPr>
        <w:t>(vii) Perspectives de financement </w:t>
      </w:r>
    </w:p>
    <w:p w14:paraId="0D85E877" w14:textId="5645BF9D" w:rsidR="00226389" w:rsidRPr="00FB1754" w:rsidRDefault="00226389" w:rsidP="00226389">
      <w:pPr>
        <w:widowControl/>
        <w:autoSpaceDE/>
        <w:autoSpaceDN/>
        <w:adjustRightInd/>
        <w:jc w:val="both"/>
        <w:rPr>
          <w:i/>
          <w:iCs/>
          <w:szCs w:val="17"/>
          <w:lang w:val="fr-FR"/>
        </w:rPr>
      </w:pPr>
      <w:r w:rsidRPr="00FB1754">
        <w:rPr>
          <w:i/>
          <w:iCs/>
          <w:szCs w:val="17"/>
          <w:lang w:val="fr-FR"/>
        </w:rPr>
        <w:t>Les propositions devraient montrer qu’il existe de bonnes perspectives de financement, en particulier des pays géographiquement concernés (UE et ses États membres). La proposition ne doit pas forcément démontrer qu’un financement complet est en place avant de pouvoir approuver la proposition, mais elle devrait fournir une évaluation (et des garanties) concernant un financement probable. Il sera utile d’inclure un budget prévisionnel, d’évaluer le niveau de financement minimum requis pour lancer l’Accord, et d’indiquer dans quelle mesure le plan de financement est considéré comme durable. </w:t>
      </w:r>
    </w:p>
    <w:p w14:paraId="6533C9BC" w14:textId="77777777" w:rsidR="00226389" w:rsidRPr="00FB1754" w:rsidRDefault="00226389" w:rsidP="00226389">
      <w:pPr>
        <w:widowControl/>
        <w:autoSpaceDE/>
        <w:autoSpaceDN/>
        <w:adjustRightInd/>
        <w:jc w:val="both"/>
        <w:rPr>
          <w:szCs w:val="17"/>
          <w:lang w:val="fr-FR"/>
        </w:rPr>
      </w:pPr>
    </w:p>
    <w:p w14:paraId="0ECF2D75" w14:textId="77777777" w:rsidR="00226389" w:rsidRPr="00FB1754" w:rsidRDefault="00226389" w:rsidP="00226389">
      <w:pPr>
        <w:widowControl/>
        <w:autoSpaceDE/>
        <w:autoSpaceDN/>
        <w:adjustRightInd/>
        <w:jc w:val="both"/>
        <w:rPr>
          <w:b/>
          <w:bCs/>
          <w:szCs w:val="17"/>
          <w:lang w:val="fr-FR"/>
        </w:rPr>
      </w:pPr>
      <w:r w:rsidRPr="00FB1754">
        <w:rPr>
          <w:b/>
          <w:bCs/>
          <w:szCs w:val="17"/>
          <w:lang w:val="fr-FR"/>
        </w:rPr>
        <w:t>(viii) Synergies et rentabilité </w:t>
      </w:r>
    </w:p>
    <w:p w14:paraId="19B39448" w14:textId="0CEFB42D" w:rsidR="00226389" w:rsidRPr="00FB1754" w:rsidRDefault="00226389" w:rsidP="00226389">
      <w:pPr>
        <w:widowControl/>
        <w:autoSpaceDE/>
        <w:autoSpaceDN/>
        <w:adjustRightInd/>
        <w:jc w:val="both"/>
        <w:rPr>
          <w:szCs w:val="17"/>
          <w:lang w:val="fr-FR"/>
        </w:rPr>
      </w:pPr>
      <w:r w:rsidRPr="00FB1754">
        <w:rPr>
          <w:i/>
          <w:iCs/>
          <w:szCs w:val="17"/>
          <w:lang w:val="fr-FR"/>
        </w:rPr>
        <w:t>Les propositions devraient indiquer les possibilités de relier l’Accord proposé à d’autres initiatives, de sorte que la valeur de tous soit renforcée (par exemple par des économies d’échelle, ou des nouvelles possibilités offertes en conjuguant les efforts, qui n’existeraient pas autrement, etc.). Ces possibilités peuvent aussi inclure des effets catalyseurs et des avantages connexes (secondaires). Les propositions devraient préciser les ressources dont elles ont besoin, mais aussi relier ces ressources à l’ampleur de l’impact attendu, afin de pouvoir déterminer le rapport coût-efficacité de l’Accord proposé. </w:t>
      </w:r>
    </w:p>
    <w:p w14:paraId="194C4827" w14:textId="77777777" w:rsidR="00226389" w:rsidRPr="00FB1754" w:rsidRDefault="00226389" w:rsidP="00226389">
      <w:pPr>
        <w:widowControl/>
        <w:autoSpaceDE/>
        <w:autoSpaceDN/>
        <w:adjustRightInd/>
        <w:jc w:val="both"/>
        <w:rPr>
          <w:szCs w:val="17"/>
          <w:lang w:val="fr-FR"/>
        </w:rPr>
      </w:pPr>
    </w:p>
    <w:p w14:paraId="1E78CA46" w14:textId="77777777" w:rsidR="00226389" w:rsidRPr="00FB1754" w:rsidRDefault="00226389" w:rsidP="00226389">
      <w:pPr>
        <w:widowControl/>
        <w:autoSpaceDE/>
        <w:autoSpaceDN/>
        <w:adjustRightInd/>
        <w:jc w:val="both"/>
        <w:rPr>
          <w:b/>
          <w:bCs/>
          <w:szCs w:val="17"/>
          <w:lang w:val="fr-FR"/>
        </w:rPr>
      </w:pPr>
      <w:r w:rsidRPr="00FB1754">
        <w:rPr>
          <w:b/>
          <w:bCs/>
          <w:szCs w:val="17"/>
          <w:lang w:val="fr-FR"/>
        </w:rPr>
        <w:t>(ix) Perspectives de leadership dans le cadre de l’élaboration de l’Accord </w:t>
      </w:r>
    </w:p>
    <w:p w14:paraId="37665568" w14:textId="34D9385B" w:rsidR="00226389" w:rsidRPr="00FB1754" w:rsidRDefault="00226389" w:rsidP="00226389">
      <w:pPr>
        <w:widowControl/>
        <w:autoSpaceDE/>
        <w:autoSpaceDN/>
        <w:adjustRightInd/>
        <w:jc w:val="both"/>
        <w:rPr>
          <w:i/>
          <w:iCs/>
          <w:szCs w:val="17"/>
          <w:lang w:val="fr-FR"/>
        </w:rPr>
      </w:pPr>
      <w:r w:rsidRPr="00FB1754">
        <w:rPr>
          <w:i/>
          <w:iCs/>
          <w:szCs w:val="17"/>
          <w:lang w:val="fr-FR"/>
        </w:rPr>
        <w:t>Les propositions devraient montrer qu’elles ont de bonnes perspectives de leadership dans le cadre du processus d’élaboration de l’Accord, telles qu’un gouvernement ou un autre organisme faisant une proposition ferme de conduire le processus de négociation, d’accueillir des réunions et de coordonner la collecte de fonds. </w:t>
      </w:r>
    </w:p>
    <w:p w14:paraId="6BE7430E" w14:textId="77777777" w:rsidR="00226389" w:rsidRPr="00FB1754" w:rsidRDefault="00226389" w:rsidP="00226389">
      <w:pPr>
        <w:widowControl/>
        <w:autoSpaceDE/>
        <w:autoSpaceDN/>
        <w:adjustRightInd/>
        <w:jc w:val="both"/>
        <w:rPr>
          <w:szCs w:val="17"/>
          <w:lang w:val="fr-FR"/>
        </w:rPr>
      </w:pPr>
    </w:p>
    <w:p w14:paraId="22046CD8" w14:textId="77777777" w:rsidR="00226389" w:rsidRPr="00FB1754" w:rsidRDefault="00226389" w:rsidP="00226389">
      <w:pPr>
        <w:widowControl/>
        <w:autoSpaceDE/>
        <w:autoSpaceDN/>
        <w:adjustRightInd/>
        <w:jc w:val="both"/>
        <w:rPr>
          <w:b/>
          <w:bCs/>
          <w:szCs w:val="17"/>
          <w:lang w:val="fr-FR"/>
        </w:rPr>
      </w:pPr>
      <w:r w:rsidRPr="00FB1754">
        <w:rPr>
          <w:b/>
          <w:bCs/>
          <w:szCs w:val="17"/>
          <w:lang w:val="fr-FR"/>
        </w:rPr>
        <w:t>(x) Perspectives de coordination de la mise en oeuvre de l’Accord </w:t>
      </w:r>
    </w:p>
    <w:p w14:paraId="3AC931E0" w14:textId="6E4F92F8" w:rsidR="00226389" w:rsidRPr="00FB1754" w:rsidRDefault="00226389" w:rsidP="00226389">
      <w:pPr>
        <w:widowControl/>
        <w:autoSpaceDE/>
        <w:autoSpaceDN/>
        <w:adjustRightInd/>
        <w:jc w:val="both"/>
        <w:rPr>
          <w:i/>
          <w:iCs/>
          <w:szCs w:val="17"/>
          <w:lang w:val="fr-FR"/>
        </w:rPr>
      </w:pPr>
      <w:r w:rsidRPr="00FB1754">
        <w:rPr>
          <w:i/>
          <w:iCs/>
          <w:szCs w:val="17"/>
          <w:lang w:val="fr-FR"/>
        </w:rPr>
        <w:t>Les propositions devraient montrer qu’il existe de bonnes perspectives de coordination de la mise en oeuvre de l’Accord sur une base permanente après son adoption (telles que l’hébergement d’un secrétariat, l’organisation de réunions et la gestion de projets). </w:t>
      </w:r>
    </w:p>
    <w:p w14:paraId="538B3D9C" w14:textId="77777777" w:rsidR="00226389" w:rsidRPr="00FB1754" w:rsidRDefault="00226389" w:rsidP="00226389">
      <w:pPr>
        <w:widowControl/>
        <w:autoSpaceDE/>
        <w:autoSpaceDN/>
        <w:adjustRightInd/>
        <w:jc w:val="both"/>
        <w:rPr>
          <w:szCs w:val="17"/>
          <w:lang w:val="fr-FR"/>
        </w:rPr>
      </w:pPr>
    </w:p>
    <w:p w14:paraId="1FC75E58" w14:textId="77777777" w:rsidR="00226389" w:rsidRPr="00FB1754" w:rsidRDefault="00226389" w:rsidP="00226389">
      <w:pPr>
        <w:widowControl/>
        <w:autoSpaceDE/>
        <w:autoSpaceDN/>
        <w:adjustRightInd/>
        <w:jc w:val="both"/>
        <w:rPr>
          <w:b/>
          <w:bCs/>
          <w:szCs w:val="17"/>
          <w:lang w:val="fr-FR"/>
        </w:rPr>
      </w:pPr>
      <w:r w:rsidRPr="00FB1754">
        <w:rPr>
          <w:b/>
          <w:bCs/>
          <w:szCs w:val="17"/>
          <w:lang w:val="fr-FR"/>
        </w:rPr>
        <w:t>(xi) Faisabilité à d’autres égards </w:t>
      </w:r>
    </w:p>
    <w:p w14:paraId="129BDB47" w14:textId="75791C3E" w:rsidR="00226389" w:rsidRPr="00FB1754" w:rsidRDefault="00226389" w:rsidP="00226389">
      <w:pPr>
        <w:widowControl/>
        <w:autoSpaceDE/>
        <w:autoSpaceDN/>
        <w:adjustRightInd/>
        <w:jc w:val="both"/>
        <w:rPr>
          <w:i/>
          <w:iCs/>
          <w:szCs w:val="17"/>
          <w:lang w:val="fr-FR"/>
        </w:rPr>
      </w:pPr>
      <w:r w:rsidRPr="00FB1754">
        <w:rPr>
          <w:i/>
          <w:iCs/>
          <w:szCs w:val="17"/>
          <w:lang w:val="fr-FR"/>
        </w:rPr>
        <w:t>Les propositions devraient examiner toutes les autres questions importantes relatives à la faisabilité en pratique du lancement et du fonctionnement de l’Accord (comme la stabilité politique ou les obstacles diplomatiques à la coopération). </w:t>
      </w:r>
    </w:p>
    <w:p w14:paraId="0037E72C" w14:textId="77777777" w:rsidR="00226389" w:rsidRPr="00FB1754" w:rsidRDefault="00226389" w:rsidP="00226389">
      <w:pPr>
        <w:widowControl/>
        <w:autoSpaceDE/>
        <w:autoSpaceDN/>
        <w:adjustRightInd/>
        <w:jc w:val="both"/>
        <w:rPr>
          <w:szCs w:val="17"/>
          <w:lang w:val="fr-FR"/>
        </w:rPr>
      </w:pPr>
    </w:p>
    <w:p w14:paraId="461B48F1" w14:textId="77777777" w:rsidR="00120CD3" w:rsidRDefault="00226389" w:rsidP="00226389">
      <w:pPr>
        <w:widowControl/>
        <w:autoSpaceDE/>
        <w:autoSpaceDN/>
        <w:adjustRightInd/>
        <w:jc w:val="both"/>
        <w:rPr>
          <w:b/>
          <w:bCs/>
          <w:szCs w:val="17"/>
        </w:rPr>
      </w:pPr>
      <w:r w:rsidRPr="00835891">
        <w:rPr>
          <w:b/>
          <w:bCs/>
          <w:szCs w:val="17"/>
        </w:rPr>
        <w:t>(xii) Chances de succès </w:t>
      </w:r>
    </w:p>
    <w:p w14:paraId="319D73D8" w14:textId="562AE18A" w:rsidR="00226389" w:rsidRPr="00120CD3" w:rsidRDefault="00226389" w:rsidP="00226389">
      <w:pPr>
        <w:widowControl/>
        <w:autoSpaceDE/>
        <w:autoSpaceDN/>
        <w:adjustRightInd/>
        <w:jc w:val="both"/>
        <w:rPr>
          <w:b/>
          <w:bCs/>
          <w:szCs w:val="17"/>
        </w:rPr>
      </w:pPr>
      <w:r w:rsidRPr="00FB1754">
        <w:rPr>
          <w:i/>
          <w:iCs/>
          <w:szCs w:val="17"/>
          <w:lang w:val="fr-FR"/>
        </w:rPr>
        <w:t>En plus d’évaluer la probabilité qu’un Accord proposé puisse être appliqué (critères vii), x) et xi) ci-dessus), les propositions devraient évaluer la probabilité que sa mise en oeuvre aboutisse aux résultats escomptés. Les facteurs de risques à prendre en considération incluent : les incertitudes au sujet des effets écologiques; l’absence de « mécanisme d’héritage » pour assurer le maintien des résultats obtenus; les activités menées par d’autres entités qui peuvent limiter ou annuler les résultats de l’Accord. </w:t>
      </w:r>
    </w:p>
    <w:p w14:paraId="0071EF81" w14:textId="2F794C61" w:rsidR="00226389" w:rsidRDefault="00226389" w:rsidP="00226389">
      <w:pPr>
        <w:widowControl/>
        <w:autoSpaceDE/>
        <w:autoSpaceDN/>
        <w:adjustRightInd/>
        <w:jc w:val="both"/>
        <w:rPr>
          <w:szCs w:val="17"/>
          <w:lang w:val="fr-FR"/>
        </w:rPr>
      </w:pPr>
    </w:p>
    <w:p w14:paraId="5B73EA2C" w14:textId="67847334" w:rsidR="00120CD3" w:rsidRDefault="00120CD3" w:rsidP="00226389">
      <w:pPr>
        <w:widowControl/>
        <w:autoSpaceDE/>
        <w:autoSpaceDN/>
        <w:adjustRightInd/>
        <w:jc w:val="both"/>
        <w:rPr>
          <w:szCs w:val="17"/>
          <w:lang w:val="fr-FR"/>
        </w:rPr>
      </w:pPr>
    </w:p>
    <w:p w14:paraId="5F447086" w14:textId="77777777" w:rsidR="00120CD3" w:rsidRPr="00FB1754" w:rsidRDefault="00120CD3" w:rsidP="00226389">
      <w:pPr>
        <w:widowControl/>
        <w:autoSpaceDE/>
        <w:autoSpaceDN/>
        <w:adjustRightInd/>
        <w:jc w:val="both"/>
        <w:rPr>
          <w:szCs w:val="17"/>
          <w:lang w:val="fr-FR"/>
        </w:rPr>
      </w:pPr>
    </w:p>
    <w:p w14:paraId="2DFDC6A9" w14:textId="77777777" w:rsidR="00226389" w:rsidRPr="00FB1754" w:rsidRDefault="00226389" w:rsidP="00226389">
      <w:pPr>
        <w:widowControl/>
        <w:autoSpaceDE/>
        <w:autoSpaceDN/>
        <w:adjustRightInd/>
        <w:jc w:val="both"/>
        <w:rPr>
          <w:b/>
          <w:bCs/>
          <w:szCs w:val="17"/>
          <w:lang w:val="fr-FR"/>
        </w:rPr>
      </w:pPr>
      <w:r w:rsidRPr="00FB1754">
        <w:rPr>
          <w:b/>
          <w:bCs/>
          <w:szCs w:val="17"/>
          <w:lang w:val="fr-FR"/>
        </w:rPr>
        <w:lastRenderedPageBreak/>
        <w:t>(xiii) Ampleur de l’impact probable </w:t>
      </w:r>
    </w:p>
    <w:p w14:paraId="5213E0DC" w14:textId="5DB42B03" w:rsidR="00226389" w:rsidRPr="00FB1754" w:rsidRDefault="00226389" w:rsidP="00226389">
      <w:pPr>
        <w:widowControl/>
        <w:autoSpaceDE/>
        <w:autoSpaceDN/>
        <w:adjustRightInd/>
        <w:jc w:val="both"/>
        <w:rPr>
          <w:i/>
          <w:iCs/>
          <w:szCs w:val="17"/>
          <w:lang w:val="fr-FR"/>
        </w:rPr>
      </w:pPr>
      <w:r w:rsidRPr="00FB1754">
        <w:rPr>
          <w:i/>
          <w:iCs/>
          <w:szCs w:val="17"/>
          <w:lang w:val="fr-FR"/>
        </w:rPr>
        <w:t>Afin d’établir une priorité entre plusieurs propositions qui peuvent être égales à d’autres titres, les propositions devraient fournir des informations sur: le nombre d’espèces, le nombre de pays ou l’étendue de la zone qui bénéficieront de l’Accord; la possibilité d’avoir des effets catalyseurs et multiplicateurs; et tout autre aspect lié à l’ampleur de l’impact dans son ensemble. </w:t>
      </w:r>
    </w:p>
    <w:p w14:paraId="5FA64098" w14:textId="77777777" w:rsidR="00226389" w:rsidRPr="00FB1754" w:rsidRDefault="00226389" w:rsidP="00226389">
      <w:pPr>
        <w:widowControl/>
        <w:autoSpaceDE/>
        <w:autoSpaceDN/>
        <w:adjustRightInd/>
        <w:jc w:val="both"/>
        <w:rPr>
          <w:szCs w:val="17"/>
          <w:lang w:val="fr-FR"/>
        </w:rPr>
      </w:pPr>
    </w:p>
    <w:p w14:paraId="0808FDE9" w14:textId="77777777" w:rsidR="00226389" w:rsidRPr="00FB1754" w:rsidRDefault="00226389" w:rsidP="00226389">
      <w:pPr>
        <w:widowControl/>
        <w:autoSpaceDE/>
        <w:autoSpaceDN/>
        <w:adjustRightInd/>
        <w:jc w:val="both"/>
        <w:rPr>
          <w:b/>
          <w:bCs/>
          <w:szCs w:val="17"/>
          <w:lang w:val="fr-FR"/>
        </w:rPr>
      </w:pPr>
      <w:r w:rsidRPr="00FB1754">
        <w:rPr>
          <w:b/>
          <w:bCs/>
          <w:szCs w:val="17"/>
          <w:lang w:val="fr-FR"/>
        </w:rPr>
        <w:t>(xiv) Dispositions concernant le suivi et l’évaluation </w:t>
      </w:r>
    </w:p>
    <w:p w14:paraId="400B948F" w14:textId="2952DA5C" w:rsidR="00226389" w:rsidRPr="00FB1754" w:rsidRDefault="00226389" w:rsidP="00226389">
      <w:pPr>
        <w:widowControl/>
        <w:autoSpaceDE/>
        <w:autoSpaceDN/>
        <w:adjustRightInd/>
        <w:jc w:val="both"/>
        <w:rPr>
          <w:i/>
          <w:iCs/>
          <w:szCs w:val="17"/>
          <w:lang w:val="fr-FR"/>
        </w:rPr>
      </w:pPr>
      <w:r w:rsidRPr="00FB1754">
        <w:rPr>
          <w:i/>
          <w:iCs/>
          <w:szCs w:val="17"/>
          <w:lang w:val="fr-FR"/>
        </w:rPr>
        <w:t>Les propositions devraient indiquer la façon dont la réalisation des buts définis au titre du critère iii) peut être mesurée et communiquée. Des bonnes pratiques à cet égard incluent la mise en place d’un cadre d’évaluation simple et facile à utiliser, comprenant au moins les éléments minimums ci-après: </w:t>
      </w:r>
    </w:p>
    <w:p w14:paraId="174EF6F6" w14:textId="77777777" w:rsidR="00226389" w:rsidRPr="00FB1754" w:rsidRDefault="00226389" w:rsidP="00226389">
      <w:pPr>
        <w:widowControl/>
        <w:autoSpaceDE/>
        <w:autoSpaceDN/>
        <w:adjustRightInd/>
        <w:jc w:val="both"/>
        <w:rPr>
          <w:szCs w:val="17"/>
          <w:lang w:val="fr-FR"/>
        </w:rPr>
      </w:pPr>
    </w:p>
    <w:p w14:paraId="4B64FA02" w14:textId="572612B3" w:rsidR="00226389" w:rsidRPr="00FB1754" w:rsidRDefault="00226389" w:rsidP="00FE7424">
      <w:pPr>
        <w:widowControl/>
        <w:autoSpaceDE/>
        <w:autoSpaceDN/>
        <w:adjustRightInd/>
        <w:spacing w:after="51"/>
        <w:ind w:left="720" w:hanging="720"/>
        <w:jc w:val="both"/>
        <w:rPr>
          <w:szCs w:val="17"/>
          <w:lang w:val="fr-FR"/>
        </w:rPr>
      </w:pPr>
      <w:r w:rsidRPr="00FB1754">
        <w:rPr>
          <w:szCs w:val="17"/>
          <w:lang w:val="fr-FR"/>
        </w:rPr>
        <w:t xml:space="preserve">-  </w:t>
      </w:r>
      <w:r w:rsidR="00FE7424" w:rsidRPr="00FB1754">
        <w:rPr>
          <w:szCs w:val="17"/>
          <w:lang w:val="fr-FR"/>
        </w:rPr>
        <w:tab/>
      </w:r>
      <w:r w:rsidRPr="00FB1754">
        <w:rPr>
          <w:i/>
          <w:iCs/>
          <w:szCs w:val="17"/>
          <w:lang w:val="fr-FR"/>
        </w:rPr>
        <w:t>Une déclaration ou une description sur la façon dont le suivi, l’évaluation et l’établissement de rapports seront effectués pour l’Accord concerné; </w:t>
      </w:r>
    </w:p>
    <w:p w14:paraId="7BD7F2DE" w14:textId="2DC8A530" w:rsidR="00226389" w:rsidRPr="00FB1754" w:rsidRDefault="00226389" w:rsidP="00FE7424">
      <w:pPr>
        <w:widowControl/>
        <w:autoSpaceDE/>
        <w:autoSpaceDN/>
        <w:adjustRightInd/>
        <w:spacing w:after="51"/>
        <w:ind w:left="720" w:hanging="720"/>
        <w:jc w:val="both"/>
        <w:rPr>
          <w:i/>
          <w:iCs/>
          <w:szCs w:val="17"/>
          <w:lang w:val="fr-FR"/>
        </w:rPr>
      </w:pPr>
      <w:r w:rsidRPr="00FB1754">
        <w:rPr>
          <w:szCs w:val="17"/>
          <w:lang w:val="fr-FR"/>
        </w:rPr>
        <w:t xml:space="preserve">-  </w:t>
      </w:r>
      <w:r w:rsidR="00FE7424" w:rsidRPr="00FB1754">
        <w:rPr>
          <w:szCs w:val="17"/>
          <w:lang w:val="fr-FR"/>
        </w:rPr>
        <w:tab/>
      </w:r>
      <w:r w:rsidRPr="00FB1754">
        <w:rPr>
          <w:i/>
          <w:iCs/>
          <w:szCs w:val="17"/>
          <w:lang w:val="fr-FR"/>
        </w:rPr>
        <w:t>Une définition au moins de certains objectifs fondamentaux qui peuvent être mesurés, ainsi qu’une définition des principales mesures qui seront utilisées pour évaluer les progrès accomplis dans la réalisation de chaque objectif; </w:t>
      </w:r>
    </w:p>
    <w:p w14:paraId="1131542F" w14:textId="3B866475" w:rsidR="00226389" w:rsidRPr="00FB1754" w:rsidRDefault="00226389" w:rsidP="00FE7424">
      <w:pPr>
        <w:widowControl/>
        <w:autoSpaceDE/>
        <w:autoSpaceDN/>
        <w:adjustRightInd/>
        <w:spacing w:after="51"/>
        <w:ind w:left="720" w:hanging="720"/>
        <w:jc w:val="both"/>
        <w:rPr>
          <w:i/>
          <w:iCs/>
          <w:szCs w:val="17"/>
          <w:lang w:val="fr-FR"/>
        </w:rPr>
      </w:pPr>
      <w:r w:rsidRPr="00FB1754">
        <w:rPr>
          <w:i/>
          <w:iCs/>
          <w:szCs w:val="17"/>
          <w:lang w:val="fr-FR"/>
        </w:rPr>
        <w:t xml:space="preserve">-  </w:t>
      </w:r>
      <w:r w:rsidR="00FE7424" w:rsidRPr="00FB1754">
        <w:rPr>
          <w:i/>
          <w:iCs/>
          <w:szCs w:val="17"/>
          <w:lang w:val="fr-FR"/>
        </w:rPr>
        <w:tab/>
      </w:r>
      <w:r w:rsidRPr="00FB1754">
        <w:rPr>
          <w:i/>
          <w:iCs/>
          <w:szCs w:val="17"/>
          <w:lang w:val="fr-FR"/>
        </w:rPr>
        <w:t>Une distinction entre : a) les progrès accomplis dans la réalisation des activités</w:t>
      </w:r>
      <w:r w:rsidRPr="00FB1754">
        <w:rPr>
          <w:lang w:val="fr-FR"/>
        </w:rPr>
        <w:footnoteReference w:customMarkFollows="1" w:id="5"/>
        <w:t>2</w:t>
      </w:r>
      <w:r w:rsidRPr="00FB1754">
        <w:rPr>
          <w:i/>
          <w:iCs/>
          <w:szCs w:val="17"/>
          <w:lang w:val="fr-FR"/>
        </w:rPr>
        <w:t>; et b) les progrès accomplis en vue d’atteindre des résultats (écologiques)</w:t>
      </w:r>
      <w:r w:rsidRPr="00FB1754">
        <w:rPr>
          <w:lang w:val="fr-FR"/>
        </w:rPr>
        <w:footnoteReference w:customMarkFollows="1" w:id="6"/>
        <w:t>3</w:t>
      </w:r>
      <w:r w:rsidRPr="00FB1754">
        <w:rPr>
          <w:i/>
          <w:iCs/>
          <w:szCs w:val="17"/>
          <w:lang w:val="fr-FR"/>
        </w:rPr>
        <w:t>; avec au moins une mesure pouvant faire l’objet d’un suivi périodique, définie pour chacun d’entre eux; </w:t>
      </w:r>
    </w:p>
    <w:p w14:paraId="2C774EC4" w14:textId="0575DD43" w:rsidR="00226389" w:rsidRPr="00FB1754" w:rsidRDefault="00226389" w:rsidP="00FE7424">
      <w:pPr>
        <w:widowControl/>
        <w:autoSpaceDE/>
        <w:autoSpaceDN/>
        <w:adjustRightInd/>
        <w:spacing w:after="51"/>
        <w:ind w:left="720" w:hanging="720"/>
        <w:jc w:val="both"/>
        <w:rPr>
          <w:i/>
          <w:iCs/>
          <w:szCs w:val="17"/>
          <w:lang w:val="fr-FR"/>
        </w:rPr>
      </w:pPr>
      <w:r w:rsidRPr="00FB1754">
        <w:rPr>
          <w:i/>
          <w:iCs/>
          <w:szCs w:val="17"/>
          <w:lang w:val="fr-FR"/>
        </w:rPr>
        <w:t xml:space="preserve">-  </w:t>
      </w:r>
      <w:r w:rsidR="00FE7424" w:rsidRPr="00FB1754">
        <w:rPr>
          <w:i/>
          <w:iCs/>
          <w:szCs w:val="17"/>
          <w:lang w:val="fr-FR"/>
        </w:rPr>
        <w:tab/>
      </w:r>
      <w:r w:rsidRPr="00FB1754">
        <w:rPr>
          <w:i/>
          <w:iCs/>
          <w:szCs w:val="17"/>
          <w:lang w:val="fr-FR"/>
        </w:rPr>
        <w:t>Une capacité à démontrer une cause logique permettant d’attribuer des résultats à des activités menées au titre de l’Accord (les résultats de cette relation deviennent ensuite une mesure de l’efficacité de l’Accord); </w:t>
      </w:r>
    </w:p>
    <w:p w14:paraId="781577D0" w14:textId="15B5F702" w:rsidR="00226389" w:rsidRPr="00FB1754" w:rsidRDefault="00226389" w:rsidP="00FE7424">
      <w:pPr>
        <w:widowControl/>
        <w:autoSpaceDE/>
        <w:autoSpaceDN/>
        <w:adjustRightInd/>
        <w:spacing w:after="51"/>
        <w:ind w:left="720" w:hanging="720"/>
        <w:jc w:val="both"/>
        <w:rPr>
          <w:i/>
          <w:iCs/>
          <w:szCs w:val="17"/>
          <w:lang w:val="fr-FR"/>
        </w:rPr>
      </w:pPr>
      <w:r w:rsidRPr="00FB1754">
        <w:rPr>
          <w:i/>
          <w:iCs/>
          <w:szCs w:val="17"/>
          <w:lang w:val="fr-FR"/>
        </w:rPr>
        <w:t xml:space="preserve">-  </w:t>
      </w:r>
      <w:r w:rsidR="00FE7424" w:rsidRPr="00FB1754">
        <w:rPr>
          <w:i/>
          <w:iCs/>
          <w:szCs w:val="17"/>
          <w:lang w:val="fr-FR"/>
        </w:rPr>
        <w:tab/>
      </w:r>
      <w:r w:rsidRPr="00FB1754">
        <w:rPr>
          <w:i/>
          <w:iCs/>
          <w:szCs w:val="17"/>
          <w:lang w:val="fr-FR"/>
        </w:rPr>
        <w:t>Des méthodes pour recueillir et analyser les informations, qui sont suffisamment exhaustives, cohére</w:t>
      </w:r>
      <w:bookmarkStart w:id="0" w:name="_GoBack"/>
      <w:bookmarkEnd w:id="0"/>
      <w:r w:rsidRPr="00FB1754">
        <w:rPr>
          <w:i/>
          <w:iCs/>
          <w:szCs w:val="17"/>
          <w:lang w:val="fr-FR"/>
        </w:rPr>
        <w:t>ntes, transparentes et fiables à cette fin; </w:t>
      </w:r>
    </w:p>
    <w:p w14:paraId="6AA252C2" w14:textId="00D1CCE4" w:rsidR="00226389" w:rsidRPr="00FB1754" w:rsidRDefault="00226389" w:rsidP="00FE7424">
      <w:pPr>
        <w:widowControl/>
        <w:autoSpaceDE/>
        <w:autoSpaceDN/>
        <w:adjustRightInd/>
        <w:spacing w:after="51"/>
        <w:ind w:left="720" w:hanging="720"/>
        <w:jc w:val="both"/>
        <w:rPr>
          <w:i/>
          <w:iCs/>
          <w:szCs w:val="17"/>
          <w:lang w:val="fr-FR"/>
        </w:rPr>
      </w:pPr>
      <w:r w:rsidRPr="00FB1754">
        <w:rPr>
          <w:i/>
          <w:iCs/>
          <w:szCs w:val="17"/>
          <w:lang w:val="fr-FR"/>
        </w:rPr>
        <w:t xml:space="preserve">-  </w:t>
      </w:r>
      <w:r w:rsidR="00FE7424" w:rsidRPr="00FB1754">
        <w:rPr>
          <w:i/>
          <w:iCs/>
          <w:szCs w:val="17"/>
          <w:lang w:val="fr-FR"/>
        </w:rPr>
        <w:tab/>
      </w:r>
      <w:r w:rsidRPr="00FB1754">
        <w:rPr>
          <w:i/>
          <w:iCs/>
          <w:szCs w:val="17"/>
          <w:lang w:val="fr-FR"/>
        </w:rPr>
        <w:t>Un engagement à produire des informations de façon périodique et en temps voulu, à la fois pour les processus de gouvernance de l’Accord lui-même et pour des synthèses pertinentes à l’échelle du système de la CMS; </w:t>
      </w:r>
    </w:p>
    <w:p w14:paraId="704DC167" w14:textId="0BADED0C" w:rsidR="00226389" w:rsidRPr="00FB1754" w:rsidRDefault="00226389" w:rsidP="00FE7424">
      <w:pPr>
        <w:widowControl/>
        <w:autoSpaceDE/>
        <w:autoSpaceDN/>
        <w:adjustRightInd/>
        <w:spacing w:after="51"/>
        <w:ind w:left="720" w:hanging="720"/>
        <w:jc w:val="both"/>
        <w:rPr>
          <w:szCs w:val="17"/>
          <w:lang w:val="fr-FR"/>
        </w:rPr>
      </w:pPr>
      <w:r w:rsidRPr="00FB1754">
        <w:rPr>
          <w:i/>
          <w:iCs/>
          <w:szCs w:val="17"/>
          <w:lang w:val="fr-FR"/>
        </w:rPr>
        <w:t xml:space="preserve">-  </w:t>
      </w:r>
      <w:r w:rsidR="00FE7424" w:rsidRPr="00FB1754">
        <w:rPr>
          <w:i/>
          <w:iCs/>
          <w:szCs w:val="17"/>
          <w:lang w:val="fr-FR"/>
        </w:rPr>
        <w:tab/>
      </w:r>
      <w:r w:rsidRPr="00FB1754">
        <w:rPr>
          <w:i/>
          <w:iCs/>
          <w:szCs w:val="17"/>
          <w:lang w:val="fr-FR"/>
        </w:rPr>
        <w:t>Des efforts prodigués pour relier les conclusions du suivi et de l’évaluation aux buts stratégiques et aux objectifs adoptés par la CMS (dans le Plan stratégique pour les espèces migratrices, par exemple), et aux objectifs de l’Accord lui-même. </w:t>
      </w:r>
    </w:p>
    <w:p w14:paraId="5774CFC1" w14:textId="77777777" w:rsidR="00226389" w:rsidRPr="00FB1754" w:rsidRDefault="00226389" w:rsidP="00DB735D">
      <w:pPr>
        <w:jc w:val="both"/>
        <w:rPr>
          <w:lang w:val="fr-FR"/>
        </w:rPr>
      </w:pPr>
    </w:p>
    <w:sectPr w:rsidR="00226389" w:rsidRPr="00FB1754" w:rsidSect="0052082F">
      <w:headerReference w:type="even" r:id="rId21"/>
      <w:headerReference w:type="default" r:id="rId22"/>
      <w:headerReference w:type="first" r:id="rId23"/>
      <w:footerReference w:type="first" r:id="rId24"/>
      <w:endnotePr>
        <w:numFmt w:val="decimal"/>
      </w:endnotePr>
      <w:pgSz w:w="11905" w:h="16837" w:code="9"/>
      <w:pgMar w:top="1008" w:right="1411" w:bottom="1152" w:left="1411"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FA518" w14:textId="77777777" w:rsidR="00E546AA" w:rsidRDefault="00E546AA">
      <w:r>
        <w:separator/>
      </w:r>
    </w:p>
  </w:endnote>
  <w:endnote w:type="continuationSeparator" w:id="0">
    <w:p w14:paraId="46308EBB" w14:textId="77777777" w:rsidR="00E546AA" w:rsidRDefault="00E5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1A8B8" w14:textId="7F28E16A" w:rsidR="00E546AA" w:rsidRPr="00922791" w:rsidRDefault="00E546AA" w:rsidP="00056DC1">
    <w:pPr>
      <w:pStyle w:val="Footer"/>
      <w:ind w:right="-367"/>
      <w:jc w:val="center"/>
      <w:rPr>
        <w:sz w:val="18"/>
        <w:szCs w:val="18"/>
      </w:rPr>
    </w:pPr>
    <w:r w:rsidRPr="00922791">
      <w:rPr>
        <w:sz w:val="18"/>
        <w:szCs w:val="18"/>
      </w:rPr>
      <w:fldChar w:fldCharType="begin"/>
    </w:r>
    <w:r w:rsidRPr="00922791">
      <w:rPr>
        <w:sz w:val="18"/>
        <w:szCs w:val="18"/>
      </w:rPr>
      <w:instrText xml:space="preserve"> PAGE   \* MERGEFORMAT </w:instrText>
    </w:r>
    <w:r w:rsidRPr="00922791">
      <w:rPr>
        <w:sz w:val="18"/>
        <w:szCs w:val="18"/>
      </w:rPr>
      <w:fldChar w:fldCharType="separate"/>
    </w:r>
    <w:r w:rsidR="00120CD3">
      <w:rPr>
        <w:noProof/>
        <w:sz w:val="18"/>
        <w:szCs w:val="18"/>
      </w:rPr>
      <w:t>14</w:t>
    </w:r>
    <w:r w:rsidRPr="00922791">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3DBB" w14:textId="760BC4E9" w:rsidR="00E546AA" w:rsidRPr="00922791" w:rsidRDefault="00E546AA" w:rsidP="00056DC1">
    <w:pPr>
      <w:pStyle w:val="Footer"/>
      <w:ind w:right="-367"/>
      <w:jc w:val="center"/>
      <w:rPr>
        <w:sz w:val="18"/>
        <w:szCs w:val="18"/>
      </w:rPr>
    </w:pPr>
    <w:r w:rsidRPr="00922791">
      <w:rPr>
        <w:sz w:val="18"/>
        <w:szCs w:val="18"/>
      </w:rPr>
      <w:fldChar w:fldCharType="begin"/>
    </w:r>
    <w:r w:rsidRPr="00922791">
      <w:rPr>
        <w:sz w:val="18"/>
        <w:szCs w:val="18"/>
      </w:rPr>
      <w:instrText xml:space="preserve"> PAGE   \* MERGEFORMAT </w:instrText>
    </w:r>
    <w:r w:rsidRPr="00922791">
      <w:rPr>
        <w:sz w:val="18"/>
        <w:szCs w:val="18"/>
      </w:rPr>
      <w:fldChar w:fldCharType="separate"/>
    </w:r>
    <w:r w:rsidR="00120CD3">
      <w:rPr>
        <w:noProof/>
        <w:sz w:val="18"/>
        <w:szCs w:val="18"/>
      </w:rPr>
      <w:t>15</w:t>
    </w:r>
    <w:r w:rsidRPr="00922791">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7A321" w14:textId="58C7E907" w:rsidR="00E546AA" w:rsidRPr="00332843" w:rsidRDefault="00E546AA" w:rsidP="00226389">
    <w:pPr>
      <w:pStyle w:val="Footer"/>
      <w:jc w:val="center"/>
      <w:rPr>
        <w:sz w:val="18"/>
        <w:szCs w:val="18"/>
      </w:rPr>
    </w:pPr>
    <w:r w:rsidRPr="00332843">
      <w:rPr>
        <w:sz w:val="18"/>
        <w:szCs w:val="18"/>
      </w:rPr>
      <w:fldChar w:fldCharType="begin"/>
    </w:r>
    <w:r w:rsidRPr="00332843">
      <w:rPr>
        <w:sz w:val="18"/>
        <w:szCs w:val="18"/>
      </w:rPr>
      <w:instrText xml:space="preserve"> PAGE   \* MERGEFORMAT </w:instrText>
    </w:r>
    <w:r w:rsidRPr="00332843">
      <w:rPr>
        <w:sz w:val="18"/>
        <w:szCs w:val="18"/>
      </w:rPr>
      <w:fldChar w:fldCharType="separate"/>
    </w:r>
    <w:r w:rsidR="00120CD3">
      <w:rPr>
        <w:noProof/>
        <w:sz w:val="18"/>
        <w:szCs w:val="18"/>
      </w:rPr>
      <w:t>3</w:t>
    </w:r>
    <w:r w:rsidRPr="00332843">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1E596" w14:textId="1FC34559" w:rsidR="00E546AA" w:rsidRPr="00D605A4" w:rsidRDefault="00E546AA">
    <w:pPr>
      <w:pStyle w:val="Footer"/>
      <w:jc w:val="center"/>
      <w:rPr>
        <w:sz w:val="18"/>
        <w:szCs w:val="18"/>
      </w:rPr>
    </w:pPr>
    <w:r w:rsidRPr="00D605A4">
      <w:rPr>
        <w:sz w:val="18"/>
        <w:szCs w:val="18"/>
      </w:rPr>
      <w:fldChar w:fldCharType="begin"/>
    </w:r>
    <w:r w:rsidRPr="00D605A4">
      <w:rPr>
        <w:sz w:val="18"/>
        <w:szCs w:val="18"/>
      </w:rPr>
      <w:instrText xml:space="preserve"> PAGE   \* MERGEFORMAT </w:instrText>
    </w:r>
    <w:r w:rsidRPr="00D605A4">
      <w:rPr>
        <w:sz w:val="18"/>
        <w:szCs w:val="18"/>
      </w:rPr>
      <w:fldChar w:fldCharType="separate"/>
    </w:r>
    <w:r w:rsidR="00120CD3">
      <w:rPr>
        <w:noProof/>
        <w:sz w:val="18"/>
        <w:szCs w:val="18"/>
      </w:rPr>
      <w:t>11</w:t>
    </w:r>
    <w:r w:rsidRPr="00D605A4">
      <w:rPr>
        <w:noProof/>
        <w:sz w:val="18"/>
        <w:szCs w:val="18"/>
      </w:rPr>
      <w:fldChar w:fldCharType="end"/>
    </w:r>
  </w:p>
  <w:p w14:paraId="3B018E79" w14:textId="77777777" w:rsidR="00E546AA" w:rsidRPr="00D605A4" w:rsidRDefault="00E546AA" w:rsidP="00D60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D1658" w14:textId="77777777" w:rsidR="00E546AA" w:rsidRDefault="00E546AA">
      <w:r>
        <w:separator/>
      </w:r>
    </w:p>
  </w:footnote>
  <w:footnote w:type="continuationSeparator" w:id="0">
    <w:p w14:paraId="24516E3B" w14:textId="77777777" w:rsidR="00E546AA" w:rsidRDefault="00E546AA">
      <w:r>
        <w:continuationSeparator/>
      </w:r>
    </w:p>
  </w:footnote>
  <w:footnote w:id="1">
    <w:p w14:paraId="3FA62B2C" w14:textId="03AE068D" w:rsidR="00E546AA" w:rsidRPr="008B638A" w:rsidRDefault="00E546AA" w:rsidP="00923703">
      <w:pPr>
        <w:pStyle w:val="p1"/>
        <w:rPr>
          <w:sz w:val="18"/>
          <w:szCs w:val="18"/>
          <w:lang w:val="fr-FR"/>
        </w:rPr>
      </w:pPr>
      <w:r w:rsidRPr="008B638A">
        <w:rPr>
          <w:rStyle w:val="FootnoteReference"/>
          <w:rFonts w:cs="Arial"/>
          <w:sz w:val="18"/>
          <w:szCs w:val="18"/>
          <w:vertAlign w:val="superscript"/>
          <w:lang w:val="fr-FR"/>
        </w:rPr>
        <w:t>1</w:t>
      </w:r>
      <w:r w:rsidRPr="008B638A">
        <w:rPr>
          <w:sz w:val="18"/>
          <w:szCs w:val="18"/>
          <w:vertAlign w:val="superscript"/>
          <w:lang w:val="fr-FR"/>
        </w:rPr>
        <w:t xml:space="preserve"> </w:t>
      </w:r>
      <w:r w:rsidRPr="008B638A">
        <w:rPr>
          <w:sz w:val="18"/>
          <w:szCs w:val="18"/>
          <w:lang w:val="fr-FR"/>
        </w:rPr>
        <w:t>De nombreuses questions abordées par ces critères sont aussi des questions valides pour les Accords déjà en place, par exemple lors de l’évaluation de leur viabilité continue  </w:t>
      </w:r>
    </w:p>
  </w:footnote>
  <w:footnote w:id="2">
    <w:p w14:paraId="620F50D6" w14:textId="79156A06" w:rsidR="00E546AA" w:rsidRPr="008B638A" w:rsidRDefault="00E546AA" w:rsidP="00FC71A6">
      <w:pPr>
        <w:pStyle w:val="p1"/>
        <w:rPr>
          <w:sz w:val="18"/>
          <w:szCs w:val="18"/>
          <w:lang w:val="fr-FR"/>
        </w:rPr>
      </w:pPr>
      <w:r w:rsidRPr="008B638A">
        <w:rPr>
          <w:rStyle w:val="FootnoteReference"/>
          <w:rFonts w:cs="Arial"/>
          <w:sz w:val="18"/>
          <w:szCs w:val="18"/>
          <w:vertAlign w:val="superscript"/>
          <w:lang w:val="fr-FR"/>
        </w:rPr>
        <w:t>2</w:t>
      </w:r>
      <w:r w:rsidRPr="008B638A">
        <w:rPr>
          <w:sz w:val="18"/>
          <w:szCs w:val="18"/>
          <w:vertAlign w:val="superscript"/>
          <w:lang w:val="fr-FR"/>
        </w:rPr>
        <w:t xml:space="preserve"> </w:t>
      </w:r>
      <w:r w:rsidRPr="008B638A">
        <w:rPr>
          <w:sz w:val="18"/>
          <w:szCs w:val="18"/>
          <w:lang w:val="fr-FR"/>
        </w:rPr>
        <w:t>Par exemple, les institutions maintenues; les programmes réalisés; les tendances dans l’augmentation d’une participation.  </w:t>
      </w:r>
    </w:p>
  </w:footnote>
  <w:footnote w:id="3">
    <w:p w14:paraId="7E9C4479" w14:textId="434FC8C2" w:rsidR="00E546AA" w:rsidRPr="008B638A" w:rsidRDefault="00E546AA" w:rsidP="00FC71A6">
      <w:pPr>
        <w:pStyle w:val="p1"/>
        <w:rPr>
          <w:rFonts w:ascii="Times New Roman" w:hAnsi="Times New Roman" w:cs="Times New Roman"/>
          <w:sz w:val="18"/>
          <w:szCs w:val="18"/>
          <w:lang w:val="fr-FR"/>
        </w:rPr>
      </w:pPr>
      <w:r w:rsidRPr="008B638A">
        <w:rPr>
          <w:rStyle w:val="FootnoteReference"/>
          <w:rFonts w:cs="Arial"/>
          <w:sz w:val="18"/>
          <w:szCs w:val="18"/>
          <w:vertAlign w:val="superscript"/>
          <w:lang w:val="fr-FR"/>
        </w:rPr>
        <w:t>3</w:t>
      </w:r>
      <w:r w:rsidRPr="008B638A">
        <w:rPr>
          <w:sz w:val="18"/>
          <w:szCs w:val="18"/>
          <w:vertAlign w:val="superscript"/>
          <w:lang w:val="fr-FR"/>
        </w:rPr>
        <w:t xml:space="preserve"> </w:t>
      </w:r>
      <w:r w:rsidRPr="008B638A">
        <w:rPr>
          <w:sz w:val="18"/>
          <w:szCs w:val="18"/>
          <w:lang w:val="fr-FR"/>
        </w:rPr>
        <w:t>Par exemple, les tendances dans l’état de conservation des espèces ciblées, y compris les menaces.  </w:t>
      </w:r>
    </w:p>
  </w:footnote>
  <w:footnote w:id="4">
    <w:p w14:paraId="72017FF4" w14:textId="77777777" w:rsidR="00E546AA" w:rsidRPr="00120CD3" w:rsidRDefault="00E546AA" w:rsidP="00226389">
      <w:pPr>
        <w:pStyle w:val="p1"/>
        <w:rPr>
          <w:sz w:val="18"/>
          <w:szCs w:val="18"/>
          <w:lang w:val="fr-FR"/>
        </w:rPr>
      </w:pPr>
      <w:r w:rsidRPr="00120CD3">
        <w:rPr>
          <w:rStyle w:val="FootnoteReference"/>
          <w:rFonts w:cs="Arial"/>
          <w:sz w:val="18"/>
          <w:szCs w:val="18"/>
          <w:vertAlign w:val="superscript"/>
          <w:lang w:val="fr-FR"/>
        </w:rPr>
        <w:t>1</w:t>
      </w:r>
      <w:r w:rsidRPr="00120CD3">
        <w:rPr>
          <w:sz w:val="18"/>
          <w:szCs w:val="18"/>
          <w:vertAlign w:val="superscript"/>
          <w:lang w:val="fr-FR"/>
        </w:rPr>
        <w:t xml:space="preserve"> </w:t>
      </w:r>
      <w:r w:rsidRPr="00120CD3">
        <w:rPr>
          <w:sz w:val="18"/>
          <w:szCs w:val="18"/>
          <w:lang w:val="fr-FR"/>
        </w:rPr>
        <w:t>De nombreuses questions abordées par ces critères sont aussi des questions valides pour les Accords déjà en place, par exemple lors de l’évaluation de leur viabilité continue  </w:t>
      </w:r>
    </w:p>
  </w:footnote>
  <w:footnote w:id="5">
    <w:p w14:paraId="3E96B771" w14:textId="77777777" w:rsidR="00E546AA" w:rsidRPr="00120CD3" w:rsidRDefault="00E546AA" w:rsidP="00226389">
      <w:pPr>
        <w:pStyle w:val="p1"/>
        <w:rPr>
          <w:sz w:val="18"/>
          <w:szCs w:val="18"/>
          <w:lang w:val="fr-FR"/>
        </w:rPr>
      </w:pPr>
      <w:r w:rsidRPr="00120CD3">
        <w:rPr>
          <w:rStyle w:val="FootnoteReference"/>
          <w:rFonts w:cs="Arial"/>
          <w:sz w:val="18"/>
          <w:szCs w:val="18"/>
          <w:vertAlign w:val="superscript"/>
          <w:lang w:val="fr-FR"/>
        </w:rPr>
        <w:t>2</w:t>
      </w:r>
      <w:r w:rsidRPr="00120CD3">
        <w:rPr>
          <w:sz w:val="18"/>
          <w:szCs w:val="18"/>
          <w:vertAlign w:val="superscript"/>
          <w:lang w:val="fr-FR"/>
        </w:rPr>
        <w:t xml:space="preserve"> </w:t>
      </w:r>
      <w:r w:rsidRPr="00120CD3">
        <w:rPr>
          <w:sz w:val="18"/>
          <w:szCs w:val="18"/>
          <w:lang w:val="fr-FR"/>
        </w:rPr>
        <w:t>Par exemple, les institutions maintenues; les programmes réalisés; les tendances dans l’augmentation d’une participation.  </w:t>
      </w:r>
    </w:p>
  </w:footnote>
  <w:footnote w:id="6">
    <w:p w14:paraId="37083102" w14:textId="77777777" w:rsidR="00E546AA" w:rsidRPr="00120CD3" w:rsidRDefault="00E546AA" w:rsidP="00226389">
      <w:pPr>
        <w:pStyle w:val="p1"/>
        <w:rPr>
          <w:rFonts w:ascii="Times New Roman" w:hAnsi="Times New Roman" w:cs="Times New Roman"/>
          <w:sz w:val="18"/>
          <w:szCs w:val="18"/>
          <w:lang w:val="fr-FR"/>
        </w:rPr>
      </w:pPr>
      <w:r w:rsidRPr="00120CD3">
        <w:rPr>
          <w:rStyle w:val="FootnoteReference"/>
          <w:rFonts w:cs="Arial"/>
          <w:sz w:val="18"/>
          <w:szCs w:val="18"/>
          <w:vertAlign w:val="superscript"/>
          <w:lang w:val="fr-FR"/>
        </w:rPr>
        <w:t>3</w:t>
      </w:r>
      <w:r w:rsidRPr="00120CD3">
        <w:rPr>
          <w:sz w:val="18"/>
          <w:szCs w:val="18"/>
          <w:vertAlign w:val="superscript"/>
          <w:lang w:val="fr-FR"/>
        </w:rPr>
        <w:t xml:space="preserve"> </w:t>
      </w:r>
      <w:r w:rsidRPr="00120CD3">
        <w:rPr>
          <w:sz w:val="18"/>
          <w:szCs w:val="18"/>
          <w:lang w:val="fr-FR"/>
        </w:rPr>
        <w:t>Par exemple, les tendances dans l’état de conservation des espèces ciblées, y compris les menaces.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06E74" w14:textId="2DBE1B58" w:rsidR="00E546AA" w:rsidRPr="00922791" w:rsidRDefault="00E546AA" w:rsidP="00922791">
    <w:pPr>
      <w:pStyle w:val="Heading1"/>
      <w:keepNext w:val="0"/>
      <w:pBdr>
        <w:bottom w:val="single" w:sz="4" w:space="1" w:color="auto"/>
      </w:pBdr>
      <w:tabs>
        <w:tab w:val="clear" w:pos="-720"/>
      </w:tabs>
      <w:ind w:left="261" w:right="-277" w:hanging="261"/>
      <w:rPr>
        <w:b w:val="0"/>
        <w:i/>
        <w:sz w:val="18"/>
        <w:szCs w:val="18"/>
        <w:lang w:val="en-US"/>
      </w:rPr>
    </w:pPr>
    <w:r w:rsidRPr="00922791">
      <w:rPr>
        <w:b w:val="0"/>
        <w:i/>
        <w:sz w:val="18"/>
        <w:szCs w:val="18"/>
        <w:lang w:val="en-US"/>
      </w:rPr>
      <w:t>UNEP/CMS/COP12/Doc.</w:t>
    </w:r>
    <w:r>
      <w:rPr>
        <w:b w:val="0"/>
        <w:i/>
        <w:sz w:val="18"/>
        <w:szCs w:val="18"/>
        <w:lang w:val="en-US"/>
      </w:rPr>
      <w:t>21.2.12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C2B4C" w14:textId="77777777" w:rsidR="00E546AA" w:rsidRPr="00922791" w:rsidRDefault="00E546AA" w:rsidP="00922791">
    <w:pPr>
      <w:pStyle w:val="Heading1"/>
      <w:keepNext w:val="0"/>
      <w:pBdr>
        <w:bottom w:val="single" w:sz="4" w:space="1" w:color="auto"/>
      </w:pBdr>
      <w:tabs>
        <w:tab w:val="clear" w:pos="-720"/>
      </w:tabs>
      <w:ind w:left="261" w:right="-277" w:hanging="261"/>
      <w:jc w:val="right"/>
      <w:rPr>
        <w:b w:val="0"/>
        <w:i/>
        <w:sz w:val="18"/>
        <w:szCs w:val="18"/>
        <w:lang w:val="en-US"/>
      </w:rPr>
    </w:pPr>
    <w:r w:rsidRPr="00922791">
      <w:rPr>
        <w:b w:val="0"/>
        <w:i/>
        <w:sz w:val="18"/>
        <w:szCs w:val="18"/>
        <w:lang w:val="en-US"/>
      </w:rPr>
      <w:t>UNEP/CMS/COP11/Doc.6.1</w:t>
    </w:r>
  </w:p>
  <w:p w14:paraId="1CA60BF5" w14:textId="77777777" w:rsidR="00E546AA" w:rsidRPr="00354A9C" w:rsidRDefault="00E546AA" w:rsidP="00A27BE3">
    <w:pPr>
      <w:jc w:val="right"/>
      <w:rPr>
        <w:i/>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C2450" w14:textId="77777777" w:rsidR="00E546AA" w:rsidRDefault="00E546AA">
    <w:pPr>
      <w:pStyle w:val="Header"/>
    </w:pPr>
    <w:r>
      <w:rPr>
        <w:noProof/>
        <w:lang w:val="en-US"/>
      </w:rPr>
      <w:drawing>
        <wp:anchor distT="0" distB="0" distL="114300" distR="114300" simplePos="0" relativeHeight="251659776" behindDoc="1" locked="0" layoutInCell="1" allowOverlap="1" wp14:anchorId="20CC7700" wp14:editId="5EFDFF42">
          <wp:simplePos x="0" y="0"/>
          <wp:positionH relativeFrom="column">
            <wp:posOffset>-169545</wp:posOffset>
          </wp:positionH>
          <wp:positionV relativeFrom="paragraph">
            <wp:posOffset>-59055</wp:posOffset>
          </wp:positionV>
          <wp:extent cx="945515" cy="510540"/>
          <wp:effectExtent l="0" t="0" r="0" b="0"/>
          <wp:wrapTight wrapText="bothSides">
            <wp:wrapPolygon edited="0">
              <wp:start x="2176" y="2418"/>
              <wp:lineTo x="1306" y="14507"/>
              <wp:lineTo x="1306" y="18537"/>
              <wp:lineTo x="20019" y="18537"/>
              <wp:lineTo x="19584" y="5642"/>
              <wp:lineTo x="19148" y="2418"/>
              <wp:lineTo x="2176" y="2418"/>
            </wp:wrapPolygon>
          </wp:wrapTight>
          <wp:docPr id="5" name="Picture 5" descr="UNEnvironment_Logo_French_Shor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Environment_Logo_French_Short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752" behindDoc="1" locked="0" layoutInCell="1" allowOverlap="1" wp14:anchorId="51367306" wp14:editId="30E7842C">
          <wp:simplePos x="0" y="0"/>
          <wp:positionH relativeFrom="column">
            <wp:posOffset>727710</wp:posOffset>
          </wp:positionH>
          <wp:positionV relativeFrom="paragraph">
            <wp:posOffset>-75565</wp:posOffset>
          </wp:positionV>
          <wp:extent cx="431165" cy="441325"/>
          <wp:effectExtent l="0" t="0" r="6985" b="0"/>
          <wp:wrapTight wrapText="bothSides">
            <wp:wrapPolygon edited="0">
              <wp:start x="0" y="0"/>
              <wp:lineTo x="0" y="20512"/>
              <wp:lineTo x="20996" y="20512"/>
              <wp:lineTo x="20996" y="0"/>
              <wp:lineTo x="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2780" t="-1236" r="60236" b="48836"/>
                  <a:stretch>
                    <a:fillRect/>
                  </a:stretch>
                </pic:blipFill>
                <pic:spPr bwMode="auto">
                  <a:xfrm>
                    <a:off x="0" y="0"/>
                    <a:ext cx="431165" cy="441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86931" w14:textId="5583E893" w:rsidR="00E546AA" w:rsidRPr="00922791" w:rsidRDefault="00E546AA" w:rsidP="00E546AA">
    <w:pPr>
      <w:pStyle w:val="Heading1"/>
      <w:keepNext w:val="0"/>
      <w:pBdr>
        <w:bottom w:val="single" w:sz="4" w:space="1" w:color="auto"/>
      </w:pBdr>
      <w:tabs>
        <w:tab w:val="clear" w:pos="-720"/>
      </w:tabs>
      <w:ind w:left="261" w:right="-415" w:hanging="261"/>
      <w:rPr>
        <w:b w:val="0"/>
        <w:i/>
        <w:sz w:val="18"/>
        <w:szCs w:val="18"/>
        <w:lang w:val="en-US"/>
      </w:rPr>
    </w:pPr>
    <w:r w:rsidRPr="00922791">
      <w:rPr>
        <w:b w:val="0"/>
        <w:i/>
        <w:sz w:val="18"/>
        <w:szCs w:val="18"/>
        <w:lang w:val="en-US"/>
      </w:rPr>
      <w:t>U</w:t>
    </w:r>
    <w:r>
      <w:rPr>
        <w:b w:val="0"/>
        <w:i/>
        <w:sz w:val="18"/>
        <w:szCs w:val="18"/>
        <w:lang w:val="en-US"/>
      </w:rPr>
      <w:t>NEP/CMS/COP12</w:t>
    </w:r>
    <w:r w:rsidRPr="00922791">
      <w:rPr>
        <w:b w:val="0"/>
        <w:i/>
        <w:sz w:val="18"/>
        <w:szCs w:val="18"/>
        <w:lang w:val="en-US"/>
      </w:rPr>
      <w:t>/Doc</w:t>
    </w:r>
    <w:r>
      <w:rPr>
        <w:b w:val="0"/>
        <w:i/>
        <w:sz w:val="18"/>
        <w:szCs w:val="18"/>
        <w:lang w:val="en-US"/>
      </w:rPr>
      <w:t>.21.2.12/Annexe 1</w:t>
    </w:r>
  </w:p>
  <w:p w14:paraId="72E845B4" w14:textId="77777777" w:rsidR="00E546AA" w:rsidRPr="00332843" w:rsidRDefault="00E546AA" w:rsidP="002263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2C5A" w14:textId="619EEA6E" w:rsidR="00E546AA" w:rsidRPr="00FB1754" w:rsidRDefault="00E546AA" w:rsidP="00226389">
    <w:pPr>
      <w:pStyle w:val="Heading1"/>
      <w:keepNext w:val="0"/>
      <w:pBdr>
        <w:bottom w:val="single" w:sz="4" w:space="1" w:color="auto"/>
      </w:pBdr>
      <w:tabs>
        <w:tab w:val="clear" w:pos="-720"/>
      </w:tabs>
      <w:ind w:left="261" w:right="4" w:hanging="261"/>
      <w:jc w:val="right"/>
      <w:rPr>
        <w:b w:val="0"/>
        <w:i/>
        <w:sz w:val="18"/>
        <w:szCs w:val="18"/>
        <w:lang w:val="fr-FR"/>
      </w:rPr>
    </w:pPr>
    <w:r>
      <w:rPr>
        <w:b w:val="0"/>
        <w:i/>
        <w:sz w:val="18"/>
        <w:szCs w:val="18"/>
        <w:lang w:val="fr-FR"/>
      </w:rPr>
      <w:t>UNEP</w:t>
    </w:r>
    <w:r w:rsidRPr="00FB1754">
      <w:rPr>
        <w:b w:val="0"/>
        <w:i/>
        <w:sz w:val="18"/>
        <w:szCs w:val="18"/>
        <w:lang w:val="fr-FR"/>
      </w:rPr>
      <w:t>/CMS/COP12/Doc.21.2.12/Annexe 1</w:t>
    </w:r>
  </w:p>
  <w:p w14:paraId="48343EFA" w14:textId="77777777" w:rsidR="00E546AA" w:rsidRPr="00FB1754" w:rsidRDefault="00E546AA" w:rsidP="00226389">
    <w:pPr>
      <w:jc w:val="right"/>
      <w:rPr>
        <w:i/>
        <w:szCs w:val="20"/>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89F9" w14:textId="3D8A576D" w:rsidR="00E546AA" w:rsidRPr="00FB1754" w:rsidRDefault="00E546AA" w:rsidP="00E546AA">
    <w:pPr>
      <w:pStyle w:val="Heading1"/>
      <w:keepNext w:val="0"/>
      <w:pBdr>
        <w:bottom w:val="single" w:sz="4" w:space="1" w:color="auto"/>
      </w:pBdr>
      <w:tabs>
        <w:tab w:val="clear" w:pos="-720"/>
      </w:tabs>
      <w:ind w:left="261" w:right="-415" w:hanging="261"/>
      <w:jc w:val="right"/>
      <w:rPr>
        <w:b w:val="0"/>
        <w:i/>
        <w:sz w:val="18"/>
        <w:szCs w:val="18"/>
        <w:lang w:val="fr-FR"/>
      </w:rPr>
    </w:pPr>
    <w:r>
      <w:rPr>
        <w:b w:val="0"/>
        <w:i/>
        <w:sz w:val="18"/>
        <w:szCs w:val="18"/>
        <w:lang w:val="fr-FR"/>
      </w:rPr>
      <w:t>UNEP</w:t>
    </w:r>
    <w:r w:rsidRPr="00FB1754">
      <w:rPr>
        <w:b w:val="0"/>
        <w:i/>
        <w:sz w:val="18"/>
        <w:szCs w:val="18"/>
        <w:lang w:val="fr-FR"/>
      </w:rPr>
      <w:t>/CMS/COP12/Doc.21.2.12/Annexe 1</w:t>
    </w:r>
  </w:p>
  <w:p w14:paraId="35CB1B5B" w14:textId="77777777" w:rsidR="00E546AA" w:rsidRPr="00FB1754" w:rsidRDefault="00E546AA" w:rsidP="00226389">
    <w:pPr>
      <w:pStyle w:val="Heade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C844" w14:textId="3A94A216" w:rsidR="008B638A" w:rsidRPr="00922791" w:rsidRDefault="008B638A" w:rsidP="00E546AA">
    <w:pPr>
      <w:pStyle w:val="Heading1"/>
      <w:keepNext w:val="0"/>
      <w:pBdr>
        <w:bottom w:val="single" w:sz="4" w:space="1" w:color="auto"/>
      </w:pBdr>
      <w:tabs>
        <w:tab w:val="clear" w:pos="-720"/>
      </w:tabs>
      <w:ind w:left="261" w:right="-415" w:hanging="261"/>
      <w:rPr>
        <w:b w:val="0"/>
        <w:i/>
        <w:sz w:val="18"/>
        <w:szCs w:val="18"/>
        <w:lang w:val="en-US"/>
      </w:rPr>
    </w:pPr>
    <w:r w:rsidRPr="00922791">
      <w:rPr>
        <w:b w:val="0"/>
        <w:i/>
        <w:sz w:val="18"/>
        <w:szCs w:val="18"/>
        <w:lang w:val="en-US"/>
      </w:rPr>
      <w:t>U</w:t>
    </w:r>
    <w:r>
      <w:rPr>
        <w:b w:val="0"/>
        <w:i/>
        <w:sz w:val="18"/>
        <w:szCs w:val="18"/>
        <w:lang w:val="en-US"/>
      </w:rPr>
      <w:t>NEP/CMS/COP12</w:t>
    </w:r>
    <w:r w:rsidRPr="00922791">
      <w:rPr>
        <w:b w:val="0"/>
        <w:i/>
        <w:sz w:val="18"/>
        <w:szCs w:val="18"/>
        <w:lang w:val="en-US"/>
      </w:rPr>
      <w:t>/Doc</w:t>
    </w:r>
    <w:r>
      <w:rPr>
        <w:b w:val="0"/>
        <w:i/>
        <w:sz w:val="18"/>
        <w:szCs w:val="18"/>
        <w:lang w:val="en-US"/>
      </w:rPr>
      <w:t>.21.2.12/Annexe 2</w:t>
    </w:r>
  </w:p>
  <w:p w14:paraId="5E36A8BA" w14:textId="77777777" w:rsidR="008B638A" w:rsidRPr="00332843" w:rsidRDefault="008B638A" w:rsidP="002263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2499F" w14:textId="7E33886F" w:rsidR="008B638A" w:rsidRPr="00FB1754" w:rsidRDefault="008B638A" w:rsidP="00226389">
    <w:pPr>
      <w:pStyle w:val="Heading1"/>
      <w:keepNext w:val="0"/>
      <w:pBdr>
        <w:bottom w:val="single" w:sz="4" w:space="1" w:color="auto"/>
      </w:pBdr>
      <w:tabs>
        <w:tab w:val="clear" w:pos="-720"/>
      </w:tabs>
      <w:ind w:left="261" w:right="4" w:hanging="261"/>
      <w:jc w:val="right"/>
      <w:rPr>
        <w:b w:val="0"/>
        <w:i/>
        <w:sz w:val="18"/>
        <w:szCs w:val="18"/>
        <w:lang w:val="fr-FR"/>
      </w:rPr>
    </w:pPr>
    <w:r>
      <w:rPr>
        <w:b w:val="0"/>
        <w:i/>
        <w:sz w:val="18"/>
        <w:szCs w:val="18"/>
        <w:lang w:val="fr-FR"/>
      </w:rPr>
      <w:t>UNEP</w:t>
    </w:r>
    <w:r w:rsidRPr="00FB1754">
      <w:rPr>
        <w:b w:val="0"/>
        <w:i/>
        <w:sz w:val="18"/>
        <w:szCs w:val="18"/>
        <w:lang w:val="fr-FR"/>
      </w:rPr>
      <w:t>/CMS/COP12/Doc.21.2.12</w:t>
    </w:r>
    <w:r>
      <w:rPr>
        <w:b w:val="0"/>
        <w:i/>
        <w:sz w:val="18"/>
        <w:szCs w:val="18"/>
        <w:lang w:val="fr-FR"/>
      </w:rPr>
      <w:t>/Annexe 2</w:t>
    </w:r>
  </w:p>
  <w:p w14:paraId="295EFEC1" w14:textId="77777777" w:rsidR="008B638A" w:rsidRPr="00FB1754" w:rsidRDefault="008B638A" w:rsidP="00226389">
    <w:pPr>
      <w:jc w:val="right"/>
      <w:rPr>
        <w:i/>
        <w:szCs w:val="20"/>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73980" w14:textId="36AE1D1B" w:rsidR="00E546AA" w:rsidRPr="00FB1754" w:rsidRDefault="008B638A" w:rsidP="00D605A4">
    <w:pPr>
      <w:pStyle w:val="Header"/>
      <w:pBdr>
        <w:bottom w:val="single" w:sz="4" w:space="1" w:color="auto"/>
      </w:pBdr>
      <w:rPr>
        <w:i/>
        <w:sz w:val="18"/>
        <w:szCs w:val="18"/>
        <w:lang w:val="fr-FR"/>
      </w:rPr>
    </w:pPr>
    <w:r>
      <w:rPr>
        <w:i/>
        <w:sz w:val="18"/>
        <w:szCs w:val="18"/>
        <w:lang w:val="fr-FR"/>
      </w:rPr>
      <w:t>UN</w:t>
    </w:r>
    <w:r w:rsidR="00E546AA" w:rsidRPr="00FB1754">
      <w:rPr>
        <w:i/>
        <w:sz w:val="18"/>
        <w:szCs w:val="18"/>
        <w:lang w:val="fr-FR"/>
      </w:rPr>
      <w:t>E</w:t>
    </w:r>
    <w:r>
      <w:rPr>
        <w:i/>
        <w:sz w:val="18"/>
        <w:szCs w:val="18"/>
        <w:lang w:val="fr-FR"/>
      </w:rPr>
      <w:t>P</w:t>
    </w:r>
    <w:r w:rsidR="00E546AA" w:rsidRPr="00FB1754">
      <w:rPr>
        <w:i/>
        <w:sz w:val="18"/>
        <w:szCs w:val="18"/>
        <w:lang w:val="fr-FR"/>
      </w:rPr>
      <w:t>/CMS/COP12/Doc.21.2.12/Annexe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566"/>
        </w:tabs>
        <w:ind w:left="566" w:hanging="566"/>
      </w:pPr>
      <w:rPr>
        <w:rFonts w:ascii="Times New Roman" w:hAnsi="Times New Roman" w:cs="Times New Roman"/>
        <w:sz w:val="24"/>
        <w:szCs w:val="24"/>
      </w:rPr>
    </w:lvl>
    <w:lvl w:ilvl="1">
      <w:start w:val="1"/>
      <w:numFmt w:val="lowerLetter"/>
      <w:pStyle w:val="Level2"/>
      <w:lvlText w:val="(%1%2"/>
      <w:lvlJc w:val="left"/>
      <w:pPr>
        <w:tabs>
          <w:tab w:val="num" w:pos="1132"/>
        </w:tabs>
        <w:ind w:left="1132" w:hanging="566"/>
      </w:pPr>
      <w:rPr>
        <w:rFonts w:cs="Times New Roman"/>
      </w:rPr>
    </w:lvl>
    <w:lvl w:ilvl="2">
      <w:start w:val="1"/>
      <w:numFmt w:val="lowerRoman"/>
      <w:pStyle w:val="Level3"/>
      <w:lvlText w:val="(%2%3"/>
      <w:lvlJc w:val="left"/>
      <w:pPr>
        <w:tabs>
          <w:tab w:val="num" w:pos="1700"/>
        </w:tabs>
        <w:ind w:left="1700" w:hanging="568"/>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6465D32"/>
    <w:multiLevelType w:val="hybridMultilevel"/>
    <w:tmpl w:val="7EAE7C90"/>
    <w:lvl w:ilvl="0" w:tplc="6ABC50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DF30C1"/>
    <w:multiLevelType w:val="hybridMultilevel"/>
    <w:tmpl w:val="75E669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E77EE"/>
    <w:multiLevelType w:val="hybridMultilevel"/>
    <w:tmpl w:val="76E0FB9E"/>
    <w:lvl w:ilvl="0" w:tplc="A28AF1E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7226A9"/>
    <w:multiLevelType w:val="hybridMultilevel"/>
    <w:tmpl w:val="2DF0968C"/>
    <w:lvl w:ilvl="0" w:tplc="E62A6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D72508"/>
    <w:multiLevelType w:val="hybridMultilevel"/>
    <w:tmpl w:val="C108D406"/>
    <w:lvl w:ilvl="0" w:tplc="B0E001A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601E0"/>
    <w:multiLevelType w:val="hybridMultilevel"/>
    <w:tmpl w:val="2AE061C0"/>
    <w:lvl w:ilvl="0" w:tplc="6ABC50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BB2C19"/>
    <w:multiLevelType w:val="hybridMultilevel"/>
    <w:tmpl w:val="DE3EA504"/>
    <w:lvl w:ilvl="0" w:tplc="6ABC50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6C7213"/>
    <w:multiLevelType w:val="hybridMultilevel"/>
    <w:tmpl w:val="C6428294"/>
    <w:lvl w:ilvl="0" w:tplc="69B6C1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5"/>
  </w:num>
  <w:num w:numId="3">
    <w:abstractNumId w:val="8"/>
  </w:num>
  <w:num w:numId="4">
    <w:abstractNumId w:val="4"/>
  </w:num>
  <w:num w:numId="5">
    <w:abstractNumId w:val="1"/>
  </w:num>
  <w:num w:numId="6">
    <w:abstractNumId w:val="6"/>
  </w:num>
  <w:num w:numId="7">
    <w:abstractNumId w:val="3"/>
  </w:num>
  <w:num w:numId="8">
    <w:abstractNumId w:val="7"/>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37"/>
    <w:rsid w:val="00007296"/>
    <w:rsid w:val="00022A8A"/>
    <w:rsid w:val="000254DF"/>
    <w:rsid w:val="00033415"/>
    <w:rsid w:val="000366FB"/>
    <w:rsid w:val="00036C53"/>
    <w:rsid w:val="000518C2"/>
    <w:rsid w:val="00056DC1"/>
    <w:rsid w:val="00060156"/>
    <w:rsid w:val="00070BBC"/>
    <w:rsid w:val="00073C92"/>
    <w:rsid w:val="00080F03"/>
    <w:rsid w:val="00085DCD"/>
    <w:rsid w:val="000900E1"/>
    <w:rsid w:val="0009076A"/>
    <w:rsid w:val="000B6220"/>
    <w:rsid w:val="000C21B1"/>
    <w:rsid w:val="000C3C87"/>
    <w:rsid w:val="000C7460"/>
    <w:rsid w:val="000E01C1"/>
    <w:rsid w:val="000E3E9F"/>
    <w:rsid w:val="000F1156"/>
    <w:rsid w:val="000F52BA"/>
    <w:rsid w:val="001151A3"/>
    <w:rsid w:val="00120CD3"/>
    <w:rsid w:val="0012294F"/>
    <w:rsid w:val="001245DF"/>
    <w:rsid w:val="00130BFD"/>
    <w:rsid w:val="001419C7"/>
    <w:rsid w:val="00150AC4"/>
    <w:rsid w:val="00161CC6"/>
    <w:rsid w:val="00162D88"/>
    <w:rsid w:val="00166ABA"/>
    <w:rsid w:val="001743FD"/>
    <w:rsid w:val="001764E6"/>
    <w:rsid w:val="001808F1"/>
    <w:rsid w:val="0018677A"/>
    <w:rsid w:val="001A28EB"/>
    <w:rsid w:val="001A33B6"/>
    <w:rsid w:val="001A61C8"/>
    <w:rsid w:val="001C3800"/>
    <w:rsid w:val="001C6038"/>
    <w:rsid w:val="001F60A1"/>
    <w:rsid w:val="001F7416"/>
    <w:rsid w:val="00200A67"/>
    <w:rsid w:val="00201F88"/>
    <w:rsid w:val="00202332"/>
    <w:rsid w:val="00213B10"/>
    <w:rsid w:val="002210F4"/>
    <w:rsid w:val="002218C5"/>
    <w:rsid w:val="00226389"/>
    <w:rsid w:val="00234857"/>
    <w:rsid w:val="00254721"/>
    <w:rsid w:val="00260772"/>
    <w:rsid w:val="00263159"/>
    <w:rsid w:val="00275105"/>
    <w:rsid w:val="002779F7"/>
    <w:rsid w:val="002C0807"/>
    <w:rsid w:val="002C187A"/>
    <w:rsid w:val="002C20F1"/>
    <w:rsid w:val="002D2863"/>
    <w:rsid w:val="002D5EC0"/>
    <w:rsid w:val="002E3DEA"/>
    <w:rsid w:val="002E7CC2"/>
    <w:rsid w:val="002F6F9B"/>
    <w:rsid w:val="0033063D"/>
    <w:rsid w:val="003331C6"/>
    <w:rsid w:val="00345044"/>
    <w:rsid w:val="00351095"/>
    <w:rsid w:val="00354A9C"/>
    <w:rsid w:val="0035546C"/>
    <w:rsid w:val="00364973"/>
    <w:rsid w:val="00372347"/>
    <w:rsid w:val="00372B6F"/>
    <w:rsid w:val="0037368A"/>
    <w:rsid w:val="003741E8"/>
    <w:rsid w:val="003779D4"/>
    <w:rsid w:val="00382398"/>
    <w:rsid w:val="003909E4"/>
    <w:rsid w:val="003A0D8F"/>
    <w:rsid w:val="003A3E30"/>
    <w:rsid w:val="003A70FE"/>
    <w:rsid w:val="003B0C35"/>
    <w:rsid w:val="003B219E"/>
    <w:rsid w:val="003E21B3"/>
    <w:rsid w:val="003E3744"/>
    <w:rsid w:val="003F133F"/>
    <w:rsid w:val="00411E65"/>
    <w:rsid w:val="00420040"/>
    <w:rsid w:val="00423388"/>
    <w:rsid w:val="00426D73"/>
    <w:rsid w:val="00436CD2"/>
    <w:rsid w:val="00437D7F"/>
    <w:rsid w:val="00445546"/>
    <w:rsid w:val="00446037"/>
    <w:rsid w:val="00454913"/>
    <w:rsid w:val="00457441"/>
    <w:rsid w:val="004579F6"/>
    <w:rsid w:val="004600BB"/>
    <w:rsid w:val="004656D0"/>
    <w:rsid w:val="00473ABD"/>
    <w:rsid w:val="00482DCA"/>
    <w:rsid w:val="00496B06"/>
    <w:rsid w:val="004A45B2"/>
    <w:rsid w:val="004B6CFD"/>
    <w:rsid w:val="004C204D"/>
    <w:rsid w:val="004C2682"/>
    <w:rsid w:val="004D0436"/>
    <w:rsid w:val="004D06D4"/>
    <w:rsid w:val="004D0936"/>
    <w:rsid w:val="004F243D"/>
    <w:rsid w:val="004F3D8D"/>
    <w:rsid w:val="005036C9"/>
    <w:rsid w:val="005076F1"/>
    <w:rsid w:val="00512B91"/>
    <w:rsid w:val="005158EB"/>
    <w:rsid w:val="0052082F"/>
    <w:rsid w:val="00542FCC"/>
    <w:rsid w:val="00553795"/>
    <w:rsid w:val="0055762E"/>
    <w:rsid w:val="005612BD"/>
    <w:rsid w:val="005642CF"/>
    <w:rsid w:val="00565445"/>
    <w:rsid w:val="00566AF2"/>
    <w:rsid w:val="00575334"/>
    <w:rsid w:val="005817C0"/>
    <w:rsid w:val="00593041"/>
    <w:rsid w:val="00593736"/>
    <w:rsid w:val="005B0F06"/>
    <w:rsid w:val="005B6141"/>
    <w:rsid w:val="005C0A7F"/>
    <w:rsid w:val="005C3F15"/>
    <w:rsid w:val="005E4313"/>
    <w:rsid w:val="005F3989"/>
    <w:rsid w:val="005F4303"/>
    <w:rsid w:val="00601B52"/>
    <w:rsid w:val="0060280B"/>
    <w:rsid w:val="00604422"/>
    <w:rsid w:val="006226F2"/>
    <w:rsid w:val="0063226E"/>
    <w:rsid w:val="00636B51"/>
    <w:rsid w:val="00644060"/>
    <w:rsid w:val="00651341"/>
    <w:rsid w:val="00667726"/>
    <w:rsid w:val="006815B2"/>
    <w:rsid w:val="00682B31"/>
    <w:rsid w:val="006864E1"/>
    <w:rsid w:val="006B1037"/>
    <w:rsid w:val="006E131C"/>
    <w:rsid w:val="006E56AD"/>
    <w:rsid w:val="006E5763"/>
    <w:rsid w:val="006F19B5"/>
    <w:rsid w:val="006F6A33"/>
    <w:rsid w:val="00700F71"/>
    <w:rsid w:val="00701C76"/>
    <w:rsid w:val="007101BB"/>
    <w:rsid w:val="00712CA9"/>
    <w:rsid w:val="00713308"/>
    <w:rsid w:val="00727E01"/>
    <w:rsid w:val="00751C68"/>
    <w:rsid w:val="00757614"/>
    <w:rsid w:val="00760641"/>
    <w:rsid w:val="007641A9"/>
    <w:rsid w:val="007656CB"/>
    <w:rsid w:val="007728B4"/>
    <w:rsid w:val="0077622E"/>
    <w:rsid w:val="00777913"/>
    <w:rsid w:val="00777FE4"/>
    <w:rsid w:val="0079075D"/>
    <w:rsid w:val="00797E8C"/>
    <w:rsid w:val="007B07AD"/>
    <w:rsid w:val="007C1468"/>
    <w:rsid w:val="007C41D7"/>
    <w:rsid w:val="007D706F"/>
    <w:rsid w:val="007F16FB"/>
    <w:rsid w:val="007F1BBA"/>
    <w:rsid w:val="0081600F"/>
    <w:rsid w:val="0082722D"/>
    <w:rsid w:val="008274F7"/>
    <w:rsid w:val="00835891"/>
    <w:rsid w:val="008441F9"/>
    <w:rsid w:val="00846A99"/>
    <w:rsid w:val="008641D1"/>
    <w:rsid w:val="00872F67"/>
    <w:rsid w:val="008830A9"/>
    <w:rsid w:val="00883A7F"/>
    <w:rsid w:val="00893346"/>
    <w:rsid w:val="0089725D"/>
    <w:rsid w:val="008A0D8D"/>
    <w:rsid w:val="008A2722"/>
    <w:rsid w:val="008A3AC6"/>
    <w:rsid w:val="008B1A69"/>
    <w:rsid w:val="008B1CA9"/>
    <w:rsid w:val="008B638A"/>
    <w:rsid w:val="008B6630"/>
    <w:rsid w:val="008C1A39"/>
    <w:rsid w:val="008C79D1"/>
    <w:rsid w:val="008D6AF8"/>
    <w:rsid w:val="008E7DFB"/>
    <w:rsid w:val="008F4601"/>
    <w:rsid w:val="008F7327"/>
    <w:rsid w:val="008F76F8"/>
    <w:rsid w:val="00902CB0"/>
    <w:rsid w:val="00905E5D"/>
    <w:rsid w:val="009076C8"/>
    <w:rsid w:val="00915BBE"/>
    <w:rsid w:val="00921D62"/>
    <w:rsid w:val="00922791"/>
    <w:rsid w:val="00923703"/>
    <w:rsid w:val="00926953"/>
    <w:rsid w:val="00927CD6"/>
    <w:rsid w:val="00933572"/>
    <w:rsid w:val="009355AE"/>
    <w:rsid w:val="00935D03"/>
    <w:rsid w:val="009363C7"/>
    <w:rsid w:val="00945FFB"/>
    <w:rsid w:val="00971F31"/>
    <w:rsid w:val="00972D36"/>
    <w:rsid w:val="00980406"/>
    <w:rsid w:val="00990E51"/>
    <w:rsid w:val="00994EDF"/>
    <w:rsid w:val="009A2C8F"/>
    <w:rsid w:val="009A4CD2"/>
    <w:rsid w:val="009A7B65"/>
    <w:rsid w:val="009C275D"/>
    <w:rsid w:val="009D2AD6"/>
    <w:rsid w:val="009D3A07"/>
    <w:rsid w:val="009D4711"/>
    <w:rsid w:val="009D5DA6"/>
    <w:rsid w:val="009E3A84"/>
    <w:rsid w:val="009E7ACC"/>
    <w:rsid w:val="009F450E"/>
    <w:rsid w:val="009F54DA"/>
    <w:rsid w:val="00A06984"/>
    <w:rsid w:val="00A1324E"/>
    <w:rsid w:val="00A164D4"/>
    <w:rsid w:val="00A27BE3"/>
    <w:rsid w:val="00A339B9"/>
    <w:rsid w:val="00A40EDF"/>
    <w:rsid w:val="00A568DF"/>
    <w:rsid w:val="00A73A79"/>
    <w:rsid w:val="00A91596"/>
    <w:rsid w:val="00A93C52"/>
    <w:rsid w:val="00AA7368"/>
    <w:rsid w:val="00AA7A90"/>
    <w:rsid w:val="00AB4FF9"/>
    <w:rsid w:val="00AC06BF"/>
    <w:rsid w:val="00AC206B"/>
    <w:rsid w:val="00AE7B21"/>
    <w:rsid w:val="00AF1980"/>
    <w:rsid w:val="00AF2021"/>
    <w:rsid w:val="00B04144"/>
    <w:rsid w:val="00B408EF"/>
    <w:rsid w:val="00B428EE"/>
    <w:rsid w:val="00B471BD"/>
    <w:rsid w:val="00B50C2D"/>
    <w:rsid w:val="00B55132"/>
    <w:rsid w:val="00B64904"/>
    <w:rsid w:val="00B67DB0"/>
    <w:rsid w:val="00B96468"/>
    <w:rsid w:val="00BA60CE"/>
    <w:rsid w:val="00BA7E03"/>
    <w:rsid w:val="00BC5607"/>
    <w:rsid w:val="00BE0D1D"/>
    <w:rsid w:val="00BE2448"/>
    <w:rsid w:val="00BE24D4"/>
    <w:rsid w:val="00BF2BE7"/>
    <w:rsid w:val="00C04519"/>
    <w:rsid w:val="00C05102"/>
    <w:rsid w:val="00C129C6"/>
    <w:rsid w:val="00C13FA6"/>
    <w:rsid w:val="00C169ED"/>
    <w:rsid w:val="00C5484D"/>
    <w:rsid w:val="00C618F2"/>
    <w:rsid w:val="00C63A47"/>
    <w:rsid w:val="00C6433A"/>
    <w:rsid w:val="00C73207"/>
    <w:rsid w:val="00C7602A"/>
    <w:rsid w:val="00C80541"/>
    <w:rsid w:val="00C82ED9"/>
    <w:rsid w:val="00C8458A"/>
    <w:rsid w:val="00C86A8D"/>
    <w:rsid w:val="00C87D68"/>
    <w:rsid w:val="00C901B2"/>
    <w:rsid w:val="00C9281B"/>
    <w:rsid w:val="00CA367A"/>
    <w:rsid w:val="00CB1D26"/>
    <w:rsid w:val="00CC4C21"/>
    <w:rsid w:val="00CC57AD"/>
    <w:rsid w:val="00CE5B83"/>
    <w:rsid w:val="00CF6EDD"/>
    <w:rsid w:val="00D05922"/>
    <w:rsid w:val="00D42AE1"/>
    <w:rsid w:val="00D605A4"/>
    <w:rsid w:val="00D61B13"/>
    <w:rsid w:val="00D7746A"/>
    <w:rsid w:val="00D8376F"/>
    <w:rsid w:val="00D838FE"/>
    <w:rsid w:val="00D8406F"/>
    <w:rsid w:val="00D859C7"/>
    <w:rsid w:val="00D9021F"/>
    <w:rsid w:val="00DA1080"/>
    <w:rsid w:val="00DA12C2"/>
    <w:rsid w:val="00DB30A6"/>
    <w:rsid w:val="00DB735D"/>
    <w:rsid w:val="00DD5048"/>
    <w:rsid w:val="00DD6A9E"/>
    <w:rsid w:val="00DF20AB"/>
    <w:rsid w:val="00E23367"/>
    <w:rsid w:val="00E30B00"/>
    <w:rsid w:val="00E31B92"/>
    <w:rsid w:val="00E475D4"/>
    <w:rsid w:val="00E546AA"/>
    <w:rsid w:val="00E6371F"/>
    <w:rsid w:val="00E74D1C"/>
    <w:rsid w:val="00E8526A"/>
    <w:rsid w:val="00E8776E"/>
    <w:rsid w:val="00E9237A"/>
    <w:rsid w:val="00E9446A"/>
    <w:rsid w:val="00EA0B88"/>
    <w:rsid w:val="00EA50E2"/>
    <w:rsid w:val="00EB2285"/>
    <w:rsid w:val="00EC4294"/>
    <w:rsid w:val="00EC4891"/>
    <w:rsid w:val="00EC681E"/>
    <w:rsid w:val="00ED02D3"/>
    <w:rsid w:val="00ED5E31"/>
    <w:rsid w:val="00EE6091"/>
    <w:rsid w:val="00EE64C1"/>
    <w:rsid w:val="00EF193B"/>
    <w:rsid w:val="00F05AA0"/>
    <w:rsid w:val="00F061CB"/>
    <w:rsid w:val="00F24050"/>
    <w:rsid w:val="00F248AA"/>
    <w:rsid w:val="00F31539"/>
    <w:rsid w:val="00F444EC"/>
    <w:rsid w:val="00F45FE3"/>
    <w:rsid w:val="00F50DAA"/>
    <w:rsid w:val="00F54D03"/>
    <w:rsid w:val="00F55FDA"/>
    <w:rsid w:val="00F6347A"/>
    <w:rsid w:val="00F7503A"/>
    <w:rsid w:val="00F817C6"/>
    <w:rsid w:val="00F81FEF"/>
    <w:rsid w:val="00F901E4"/>
    <w:rsid w:val="00F978B9"/>
    <w:rsid w:val="00FA61AF"/>
    <w:rsid w:val="00FB0E0A"/>
    <w:rsid w:val="00FB1754"/>
    <w:rsid w:val="00FB70A2"/>
    <w:rsid w:val="00FC71A6"/>
    <w:rsid w:val="00FD3A06"/>
    <w:rsid w:val="00FD7D14"/>
    <w:rsid w:val="00FE7424"/>
    <w:rsid w:val="00FE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88AA32"/>
  <w15:chartTrackingRefBased/>
  <w15:docId w15:val="{2C29F8E8-D449-461F-ABEB-F24B4BB3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79F7"/>
    <w:pPr>
      <w:widowControl w:val="0"/>
      <w:autoSpaceDE w:val="0"/>
      <w:autoSpaceDN w:val="0"/>
      <w:adjustRightInd w:val="0"/>
    </w:pPr>
  </w:style>
  <w:style w:type="paragraph" w:styleId="Heading1">
    <w:name w:val="heading 1"/>
    <w:basedOn w:val="Normal"/>
    <w:next w:val="Normal"/>
    <w:link w:val="Heading1Char"/>
    <w:uiPriority w:val="99"/>
    <w:qFormat/>
    <w:rsid w:val="002779F7"/>
    <w:pPr>
      <w:keepNext/>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outlineLvl w:val="0"/>
    </w:pPr>
    <w:rPr>
      <w:b/>
      <w:bCs/>
      <w:sz w:val="34"/>
      <w:szCs w:val="36"/>
      <w:lang w:val="en-GB"/>
    </w:rPr>
  </w:style>
  <w:style w:type="paragraph" w:styleId="Heading2">
    <w:name w:val="heading 2"/>
    <w:basedOn w:val="Normal"/>
    <w:next w:val="Normal"/>
    <w:link w:val="Heading2Char"/>
    <w:uiPriority w:val="99"/>
    <w:qFormat/>
    <w:rsid w:val="002779F7"/>
    <w:pPr>
      <w:keepNext/>
      <w:pBdr>
        <w:top w:val="single" w:sz="6" w:space="0" w:color="FFFFFF"/>
        <w:left w:val="single" w:sz="6" w:space="0" w:color="FFFFFF"/>
        <w:bottom w:val="single" w:sz="6" w:space="0" w:color="FFFFFF"/>
        <w:right w:val="single" w:sz="6" w:space="0" w:color="FFFFFF"/>
      </w:pBdr>
      <w:outlineLvl w:val="1"/>
    </w:pPr>
    <w:rPr>
      <w:b/>
      <w:bCs/>
      <w:sz w:val="36"/>
    </w:rPr>
  </w:style>
  <w:style w:type="paragraph" w:styleId="Heading3">
    <w:name w:val="heading 3"/>
    <w:basedOn w:val="Normal"/>
    <w:next w:val="Normal"/>
    <w:link w:val="Heading3Char"/>
    <w:uiPriority w:val="99"/>
    <w:qFormat/>
    <w:rsid w:val="002779F7"/>
    <w:pPr>
      <w:keepNext/>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ind w:right="-756"/>
      <w:outlineLvl w:val="2"/>
    </w:pPr>
    <w:rPr>
      <w:sz w:val="24"/>
      <w:lang w:val="en-GB"/>
    </w:rPr>
  </w:style>
  <w:style w:type="paragraph" w:styleId="Heading4">
    <w:name w:val="heading 4"/>
    <w:basedOn w:val="Normal"/>
    <w:next w:val="Normal"/>
    <w:link w:val="Heading4Char"/>
    <w:uiPriority w:val="99"/>
    <w:qFormat/>
    <w:rsid w:val="002779F7"/>
    <w:pPr>
      <w:keepNext/>
      <w:outlineLvl w:val="3"/>
    </w:pPr>
    <w:rPr>
      <w:b/>
      <w:bCs/>
      <w:szCs w:val="20"/>
      <w:lang w:val="en-GB"/>
    </w:rPr>
  </w:style>
  <w:style w:type="paragraph" w:styleId="Heading5">
    <w:name w:val="heading 5"/>
    <w:basedOn w:val="Normal"/>
    <w:next w:val="Normal"/>
    <w:link w:val="Heading5Char"/>
    <w:uiPriority w:val="99"/>
    <w:qFormat/>
    <w:rsid w:val="002779F7"/>
    <w:pPr>
      <w:keepNext/>
      <w:jc w:val="both"/>
      <w:outlineLvl w:val="4"/>
    </w:pPr>
    <w:rPr>
      <w:b/>
      <w:i/>
      <w:iCs/>
      <w:u w:val="single"/>
      <w:lang w:val="en-GB"/>
    </w:rPr>
  </w:style>
  <w:style w:type="paragraph" w:styleId="Heading6">
    <w:name w:val="heading 6"/>
    <w:basedOn w:val="Normal"/>
    <w:next w:val="Normal"/>
    <w:link w:val="Heading6Char"/>
    <w:uiPriority w:val="99"/>
    <w:qFormat/>
    <w:rsid w:val="002779F7"/>
    <w:pPr>
      <w:keepNext/>
      <w:outlineLvl w:val="5"/>
    </w:pPr>
    <w:rPr>
      <w:i/>
      <w:iCs/>
      <w:sz w:val="23"/>
      <w:szCs w:val="23"/>
      <w:lang w:val="en-GB"/>
    </w:rPr>
  </w:style>
  <w:style w:type="paragraph" w:styleId="Heading7">
    <w:name w:val="heading 7"/>
    <w:basedOn w:val="Normal"/>
    <w:next w:val="Normal"/>
    <w:link w:val="Heading7Char"/>
    <w:uiPriority w:val="99"/>
    <w:qFormat/>
    <w:rsid w:val="002779F7"/>
    <w:pPr>
      <w:keepNext/>
      <w:jc w:val="center"/>
      <w:outlineLvl w:val="6"/>
    </w:pPr>
    <w:rPr>
      <w:b/>
      <w:bCs/>
      <w:sz w:val="26"/>
      <w:szCs w:val="26"/>
      <w:lang w:val="en-GB"/>
    </w:rPr>
  </w:style>
  <w:style w:type="paragraph" w:styleId="Heading8">
    <w:name w:val="heading 8"/>
    <w:basedOn w:val="Normal"/>
    <w:next w:val="Normal"/>
    <w:link w:val="Heading8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ind w:right="-108"/>
      <w:outlineLvl w:val="7"/>
    </w:pPr>
    <w:rPr>
      <w:sz w:val="24"/>
      <w:lang w:val="en-GB"/>
    </w:rPr>
  </w:style>
  <w:style w:type="paragraph" w:styleId="Heading9">
    <w:name w:val="heading 9"/>
    <w:basedOn w:val="Normal"/>
    <w:next w:val="Normal"/>
    <w:link w:val="Heading9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right" w:pos="5426"/>
      </w:tabs>
      <w:spacing w:line="300" w:lineRule="atLeast"/>
      <w:outlineLvl w:val="8"/>
    </w:pPr>
    <w:rPr>
      <w:b/>
      <w:bCs/>
      <w:sz w:val="32"/>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40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EB440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EB4403"/>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EB440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B440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B4403"/>
    <w:rPr>
      <w:rFonts w:ascii="Calibri" w:eastAsia="Times New Roman" w:hAnsi="Calibri" w:cs="Times New Roman"/>
      <w:b/>
      <w:bCs/>
      <w:lang w:val="en-US" w:eastAsia="en-US"/>
    </w:rPr>
  </w:style>
  <w:style w:type="character" w:customStyle="1" w:styleId="Heading7Char">
    <w:name w:val="Heading 7 Char"/>
    <w:link w:val="Heading7"/>
    <w:uiPriority w:val="9"/>
    <w:semiHidden/>
    <w:rsid w:val="00EB4403"/>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EB4403"/>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EB4403"/>
    <w:rPr>
      <w:rFonts w:ascii="Cambria" w:eastAsia="Times New Roman" w:hAnsi="Cambria" w:cs="Times New Roman"/>
      <w:lang w:val="en-US" w:eastAsia="en-US"/>
    </w:rPr>
  </w:style>
  <w:style w:type="character" w:styleId="FootnoteReference">
    <w:name w:val="footnote reference"/>
    <w:uiPriority w:val="99"/>
    <w:semiHidden/>
    <w:rsid w:val="002779F7"/>
    <w:rPr>
      <w:rFonts w:cs="Times New Roman"/>
    </w:rPr>
  </w:style>
  <w:style w:type="paragraph" w:customStyle="1" w:styleId="Level1">
    <w:name w:val="Level 1"/>
    <w:basedOn w:val="Normal"/>
    <w:uiPriority w:val="99"/>
    <w:rsid w:val="002779F7"/>
    <w:pPr>
      <w:numPr>
        <w:numId w:val="1"/>
      </w:numPr>
      <w:ind w:left="566" w:hanging="566"/>
      <w:outlineLvl w:val="0"/>
    </w:pPr>
  </w:style>
  <w:style w:type="paragraph" w:customStyle="1" w:styleId="Level2">
    <w:name w:val="Level 2"/>
    <w:basedOn w:val="Normal"/>
    <w:uiPriority w:val="99"/>
    <w:rsid w:val="002779F7"/>
    <w:pPr>
      <w:numPr>
        <w:ilvl w:val="1"/>
        <w:numId w:val="1"/>
      </w:numPr>
      <w:ind w:left="1132" w:hanging="566"/>
      <w:outlineLvl w:val="1"/>
    </w:pPr>
  </w:style>
  <w:style w:type="paragraph" w:customStyle="1" w:styleId="Level3">
    <w:name w:val="Level 3"/>
    <w:basedOn w:val="Normal"/>
    <w:uiPriority w:val="99"/>
    <w:rsid w:val="002779F7"/>
    <w:pPr>
      <w:numPr>
        <w:ilvl w:val="2"/>
        <w:numId w:val="1"/>
      </w:numPr>
      <w:ind w:left="1700" w:hanging="568"/>
      <w:outlineLvl w:val="2"/>
    </w:pPr>
  </w:style>
  <w:style w:type="paragraph" w:customStyle="1" w:styleId="1AutoList1">
    <w:name w:val="1AutoList1"/>
    <w:uiPriority w:val="99"/>
    <w:rsid w:val="002779F7"/>
    <w:pPr>
      <w:widowControl w:val="0"/>
      <w:tabs>
        <w:tab w:val="left" w:pos="720"/>
      </w:tabs>
      <w:autoSpaceDE w:val="0"/>
      <w:autoSpaceDN w:val="0"/>
      <w:adjustRightInd w:val="0"/>
      <w:ind w:left="720" w:hanging="720"/>
      <w:jc w:val="both"/>
    </w:pPr>
    <w:rPr>
      <w:sz w:val="24"/>
      <w:szCs w:val="24"/>
      <w:lang w:val="en-GB"/>
    </w:rPr>
  </w:style>
  <w:style w:type="paragraph" w:customStyle="1" w:styleId="Preformatted">
    <w:name w:val="Preformatted"/>
    <w:uiPriority w:val="99"/>
    <w:rsid w:val="002779F7"/>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pPr>
    <w:rPr>
      <w:rFonts w:ascii="Courier New" w:hAnsi="Courier New" w:cs="Courier New"/>
    </w:rPr>
  </w:style>
  <w:style w:type="paragraph" w:customStyle="1" w:styleId="footnotetex">
    <w:name w:val="footnote tex"/>
    <w:uiPriority w:val="99"/>
    <w:rsid w:val="002779F7"/>
    <w:pPr>
      <w:widowControl w:val="0"/>
      <w:autoSpaceDE w:val="0"/>
      <w:autoSpaceDN w:val="0"/>
      <w:adjustRightInd w:val="0"/>
      <w:jc w:val="both"/>
    </w:pPr>
    <w:rPr>
      <w:lang w:val="de-DE"/>
    </w:rPr>
  </w:style>
  <w:style w:type="character" w:styleId="PageNumber">
    <w:name w:val="page number"/>
    <w:uiPriority w:val="99"/>
    <w:rsid w:val="002779F7"/>
    <w:rPr>
      <w:rFonts w:cs="Times New Roman"/>
    </w:rPr>
  </w:style>
  <w:style w:type="paragraph" w:styleId="Header">
    <w:name w:val="header"/>
    <w:basedOn w:val="Normal"/>
    <w:link w:val="HeaderChar"/>
    <w:uiPriority w:val="99"/>
    <w:rsid w:val="002779F7"/>
    <w:pPr>
      <w:tabs>
        <w:tab w:val="center" w:pos="4153"/>
        <w:tab w:val="right" w:pos="8306"/>
      </w:tabs>
    </w:pPr>
    <w:rPr>
      <w:szCs w:val="20"/>
      <w:lang w:val="en-GB"/>
    </w:rPr>
  </w:style>
  <w:style w:type="character" w:customStyle="1" w:styleId="HeaderChar">
    <w:name w:val="Header Char"/>
    <w:link w:val="Header"/>
    <w:uiPriority w:val="99"/>
    <w:locked/>
    <w:rsid w:val="003B0C35"/>
    <w:rPr>
      <w:lang w:eastAsia="en-US"/>
    </w:rPr>
  </w:style>
  <w:style w:type="paragraph" w:styleId="Footer">
    <w:name w:val="footer"/>
    <w:basedOn w:val="Normal"/>
    <w:link w:val="FooterChar"/>
    <w:uiPriority w:val="99"/>
    <w:rsid w:val="002779F7"/>
    <w:pPr>
      <w:tabs>
        <w:tab w:val="center" w:pos="4320"/>
        <w:tab w:val="right" w:pos="8640"/>
      </w:tabs>
    </w:pPr>
  </w:style>
  <w:style w:type="character" w:customStyle="1" w:styleId="FooterChar">
    <w:name w:val="Footer Char"/>
    <w:link w:val="Footer"/>
    <w:uiPriority w:val="99"/>
    <w:rsid w:val="00EB4403"/>
    <w:rPr>
      <w:sz w:val="20"/>
      <w:szCs w:val="24"/>
      <w:lang w:val="en-US" w:eastAsia="en-US"/>
    </w:rPr>
  </w:style>
  <w:style w:type="paragraph" w:styleId="BodyTextIndent">
    <w:name w:val="Body Text Indent"/>
    <w:basedOn w:val="Normal"/>
    <w:link w:val="BodyTextIndentChar"/>
    <w:uiPriority w:val="99"/>
    <w:rsid w:val="002779F7"/>
    <w:pPr>
      <w:ind w:left="720" w:hanging="720"/>
      <w:jc w:val="both"/>
    </w:pPr>
    <w:rPr>
      <w:lang w:val="en-GB"/>
    </w:rPr>
  </w:style>
  <w:style w:type="character" w:customStyle="1" w:styleId="BodyTextIndentChar">
    <w:name w:val="Body Text Indent Char"/>
    <w:link w:val="BodyTextIndent"/>
    <w:uiPriority w:val="99"/>
    <w:semiHidden/>
    <w:rsid w:val="00EB4403"/>
    <w:rPr>
      <w:sz w:val="20"/>
      <w:szCs w:val="24"/>
      <w:lang w:val="en-US" w:eastAsia="en-US"/>
    </w:rPr>
  </w:style>
  <w:style w:type="paragraph" w:styleId="BodyText">
    <w:name w:val="Body Text"/>
    <w:basedOn w:val="Normal"/>
    <w:link w:val="BodyTextChar"/>
    <w:uiPriority w:val="99"/>
    <w:rsid w:val="002779F7"/>
    <w:pPr>
      <w:jc w:val="both"/>
    </w:pPr>
    <w:rPr>
      <w:lang w:val="en-GB"/>
    </w:rPr>
  </w:style>
  <w:style w:type="character" w:customStyle="1" w:styleId="BodyTextChar">
    <w:name w:val="Body Text Char"/>
    <w:link w:val="BodyText"/>
    <w:uiPriority w:val="99"/>
    <w:semiHidden/>
    <w:rsid w:val="00EB4403"/>
    <w:rPr>
      <w:sz w:val="20"/>
      <w:szCs w:val="24"/>
      <w:lang w:val="en-US" w:eastAsia="en-US"/>
    </w:rPr>
  </w:style>
  <w:style w:type="character" w:styleId="Hyperlink">
    <w:name w:val="Hyperlink"/>
    <w:uiPriority w:val="99"/>
    <w:rsid w:val="002779F7"/>
    <w:rPr>
      <w:rFonts w:cs="Times New Roman"/>
      <w:color w:val="0000FF"/>
      <w:u w:val="single"/>
    </w:rPr>
  </w:style>
  <w:style w:type="paragraph" w:styleId="FootnoteText">
    <w:name w:val="footnote text"/>
    <w:basedOn w:val="Normal"/>
    <w:link w:val="FootnoteTextChar"/>
    <w:uiPriority w:val="99"/>
    <w:semiHidden/>
    <w:rsid w:val="002779F7"/>
    <w:rPr>
      <w:szCs w:val="20"/>
    </w:rPr>
  </w:style>
  <w:style w:type="character" w:customStyle="1" w:styleId="FootnoteTextChar">
    <w:name w:val="Footnote Text Char"/>
    <w:link w:val="FootnoteText"/>
    <w:uiPriority w:val="99"/>
    <w:semiHidden/>
    <w:rsid w:val="00EB4403"/>
    <w:rPr>
      <w:sz w:val="20"/>
      <w:szCs w:val="20"/>
      <w:lang w:val="en-US" w:eastAsia="en-US"/>
    </w:rPr>
  </w:style>
  <w:style w:type="paragraph" w:styleId="BodyText2">
    <w:name w:val="Body Text 2"/>
    <w:basedOn w:val="Normal"/>
    <w:link w:val="BodyText2Char"/>
    <w:uiPriority w:val="99"/>
    <w:rsid w:val="002779F7"/>
  </w:style>
  <w:style w:type="character" w:customStyle="1" w:styleId="BodyText2Char">
    <w:name w:val="Body Text 2 Char"/>
    <w:link w:val="BodyText2"/>
    <w:uiPriority w:val="99"/>
    <w:semiHidden/>
    <w:rsid w:val="00EB4403"/>
    <w:rPr>
      <w:sz w:val="20"/>
      <w:szCs w:val="24"/>
      <w:lang w:val="en-US" w:eastAsia="en-US"/>
    </w:rPr>
  </w:style>
  <w:style w:type="paragraph" w:styleId="BalloonText">
    <w:name w:val="Balloon Text"/>
    <w:basedOn w:val="Normal"/>
    <w:link w:val="BalloonTextChar"/>
    <w:uiPriority w:val="99"/>
    <w:semiHidden/>
    <w:rsid w:val="002779F7"/>
    <w:rPr>
      <w:rFonts w:ascii="Tahoma" w:hAnsi="Tahoma" w:cs="Tahoma"/>
      <w:sz w:val="16"/>
      <w:szCs w:val="16"/>
    </w:rPr>
  </w:style>
  <w:style w:type="character" w:customStyle="1" w:styleId="BalloonTextChar">
    <w:name w:val="Balloon Text Char"/>
    <w:link w:val="BalloonText"/>
    <w:uiPriority w:val="99"/>
    <w:semiHidden/>
    <w:rsid w:val="00EB4403"/>
    <w:rPr>
      <w:sz w:val="0"/>
      <w:szCs w:val="0"/>
      <w:lang w:val="en-US" w:eastAsia="en-US"/>
    </w:rPr>
  </w:style>
  <w:style w:type="paragraph" w:styleId="BodyText3">
    <w:name w:val="Body Text 3"/>
    <w:basedOn w:val="Normal"/>
    <w:link w:val="BodyText3Char"/>
    <w:uiPriority w:val="99"/>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spacing w:line="232" w:lineRule="auto"/>
      <w:jc w:val="center"/>
    </w:pPr>
    <w:rPr>
      <w:b/>
      <w:bCs/>
      <w:sz w:val="24"/>
      <w:lang w:val="en-GB"/>
    </w:rPr>
  </w:style>
  <w:style w:type="character" w:customStyle="1" w:styleId="BodyText3Char">
    <w:name w:val="Body Text 3 Char"/>
    <w:link w:val="BodyText3"/>
    <w:uiPriority w:val="99"/>
    <w:semiHidden/>
    <w:rsid w:val="00EB4403"/>
    <w:rPr>
      <w:sz w:val="16"/>
      <w:szCs w:val="16"/>
      <w:lang w:val="en-US" w:eastAsia="en-US"/>
    </w:rPr>
  </w:style>
  <w:style w:type="paragraph" w:styleId="BlockText">
    <w:name w:val="Block Text"/>
    <w:basedOn w:val="Normal"/>
    <w:uiPriority w:val="99"/>
    <w:rsid w:val="002779F7"/>
    <w:pPr>
      <w:ind w:left="1418" w:right="283" w:hanging="709"/>
    </w:pPr>
    <w:rPr>
      <w:sz w:val="24"/>
      <w:szCs w:val="23"/>
    </w:rPr>
  </w:style>
  <w:style w:type="character" w:styleId="FollowedHyperlink">
    <w:name w:val="FollowedHyperlink"/>
    <w:uiPriority w:val="99"/>
    <w:rsid w:val="002779F7"/>
    <w:rPr>
      <w:rFonts w:cs="Times New Roman"/>
      <w:color w:val="800080"/>
      <w:u w:val="single"/>
    </w:rPr>
  </w:style>
  <w:style w:type="paragraph" w:styleId="Title">
    <w:name w:val="Title"/>
    <w:basedOn w:val="Normal"/>
    <w:link w:val="TitleChar"/>
    <w:uiPriority w:val="99"/>
    <w:qFormat/>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jc w:val="center"/>
    </w:pPr>
    <w:rPr>
      <w:b/>
      <w:bCs/>
      <w:sz w:val="32"/>
      <w:lang w:val="en-GB"/>
    </w:rPr>
  </w:style>
  <w:style w:type="character" w:customStyle="1" w:styleId="TitleChar">
    <w:name w:val="Title Char"/>
    <w:link w:val="Title"/>
    <w:uiPriority w:val="10"/>
    <w:rsid w:val="00EB4403"/>
    <w:rPr>
      <w:rFonts w:ascii="Cambria" w:eastAsia="Times New Roman" w:hAnsi="Cambria" w:cs="Times New Roman"/>
      <w:b/>
      <w:bCs/>
      <w:kern w:val="28"/>
      <w:sz w:val="32"/>
      <w:szCs w:val="32"/>
      <w:lang w:val="en-US" w:eastAsia="en-US"/>
    </w:rPr>
  </w:style>
  <w:style w:type="paragraph" w:customStyle="1" w:styleId="ColorfulList-Accent11">
    <w:name w:val="Colorful List - Accent 11"/>
    <w:basedOn w:val="Normal"/>
    <w:uiPriority w:val="99"/>
    <w:rsid w:val="001419C7"/>
    <w:pPr>
      <w:widowControl/>
      <w:autoSpaceDE/>
      <w:autoSpaceDN/>
      <w:adjustRightInd/>
      <w:ind w:left="720"/>
    </w:pPr>
    <w:rPr>
      <w:sz w:val="24"/>
      <w:lang w:val="es-UY"/>
    </w:rPr>
  </w:style>
  <w:style w:type="character" w:styleId="CommentReference">
    <w:name w:val="annotation reference"/>
    <w:uiPriority w:val="99"/>
    <w:semiHidden/>
    <w:rsid w:val="00DA1080"/>
    <w:rPr>
      <w:rFonts w:cs="Times New Roman"/>
      <w:sz w:val="18"/>
    </w:rPr>
  </w:style>
  <w:style w:type="paragraph" w:styleId="CommentText">
    <w:name w:val="annotation text"/>
    <w:basedOn w:val="Normal"/>
    <w:link w:val="CommentTextChar"/>
    <w:uiPriority w:val="99"/>
    <w:semiHidden/>
    <w:rsid w:val="00DA1080"/>
    <w:rPr>
      <w:sz w:val="24"/>
    </w:rPr>
  </w:style>
  <w:style w:type="character" w:customStyle="1" w:styleId="CommentTextChar">
    <w:name w:val="Comment Text Char"/>
    <w:link w:val="CommentText"/>
    <w:uiPriority w:val="99"/>
    <w:semiHidden/>
    <w:locked/>
    <w:rsid w:val="00DA1080"/>
    <w:rPr>
      <w:sz w:val="24"/>
      <w:lang w:val="en-US" w:eastAsia="en-US"/>
    </w:rPr>
  </w:style>
  <w:style w:type="paragraph" w:styleId="CommentSubject">
    <w:name w:val="annotation subject"/>
    <w:basedOn w:val="CommentText"/>
    <w:next w:val="CommentText"/>
    <w:link w:val="CommentSubjectChar"/>
    <w:uiPriority w:val="99"/>
    <w:semiHidden/>
    <w:rsid w:val="00DA1080"/>
    <w:rPr>
      <w:b/>
      <w:bCs/>
    </w:rPr>
  </w:style>
  <w:style w:type="character" w:customStyle="1" w:styleId="CommentSubjectChar">
    <w:name w:val="Comment Subject Char"/>
    <w:link w:val="CommentSubject"/>
    <w:uiPriority w:val="99"/>
    <w:semiHidden/>
    <w:locked/>
    <w:rsid w:val="00DA1080"/>
    <w:rPr>
      <w:b/>
      <w:sz w:val="24"/>
      <w:lang w:val="en-US" w:eastAsia="en-US"/>
    </w:rPr>
  </w:style>
  <w:style w:type="paragraph" w:styleId="ListParagraph">
    <w:name w:val="List Paragraph"/>
    <w:basedOn w:val="Normal"/>
    <w:uiPriority w:val="34"/>
    <w:qFormat/>
    <w:rsid w:val="00F81FEF"/>
    <w:pPr>
      <w:ind w:left="720"/>
      <w:contextualSpacing/>
    </w:pPr>
  </w:style>
  <w:style w:type="character" w:styleId="Emphasis">
    <w:name w:val="Emphasis"/>
    <w:uiPriority w:val="99"/>
    <w:qFormat/>
    <w:rsid w:val="00F81FEF"/>
    <w:rPr>
      <w:rFonts w:cs="Times New Roman"/>
      <w:i/>
      <w:iCs/>
    </w:rPr>
  </w:style>
  <w:style w:type="paragraph" w:customStyle="1" w:styleId="Default">
    <w:name w:val="Default"/>
    <w:basedOn w:val="Normal"/>
    <w:uiPriority w:val="99"/>
    <w:rsid w:val="00CC57AD"/>
    <w:pPr>
      <w:widowControl/>
      <w:adjustRightInd/>
    </w:pPr>
    <w:rPr>
      <w:color w:val="000000"/>
      <w:sz w:val="24"/>
      <w:lang w:val="en-GB" w:eastAsia="en-GB"/>
    </w:rPr>
  </w:style>
  <w:style w:type="paragraph" w:customStyle="1" w:styleId="p1">
    <w:name w:val="p1"/>
    <w:basedOn w:val="Normal"/>
    <w:rsid w:val="00EF193B"/>
    <w:pPr>
      <w:widowControl/>
      <w:autoSpaceDE/>
      <w:autoSpaceDN/>
      <w:adjustRightInd/>
    </w:pPr>
    <w:rPr>
      <w:sz w:val="17"/>
      <w:szCs w:val="17"/>
    </w:rPr>
  </w:style>
  <w:style w:type="character" w:customStyle="1" w:styleId="apple-converted-space">
    <w:name w:val="apple-converted-space"/>
    <w:basedOn w:val="DefaultParagraphFont"/>
    <w:rsid w:val="00EF193B"/>
  </w:style>
  <w:style w:type="character" w:customStyle="1" w:styleId="file">
    <w:name w:val="file"/>
    <w:basedOn w:val="DefaultParagraphFont"/>
    <w:rsid w:val="00033415"/>
  </w:style>
  <w:style w:type="paragraph" w:customStyle="1" w:styleId="p2">
    <w:name w:val="p2"/>
    <w:basedOn w:val="Normal"/>
    <w:rsid w:val="0018677A"/>
    <w:pPr>
      <w:widowControl/>
      <w:autoSpaceDE/>
      <w:autoSpaceDN/>
      <w:adjustRightInd/>
    </w:pPr>
    <w:rPr>
      <w:rFonts w:ascii="Times New Roman" w:hAnsi="Times New Roman" w:cs="Times New Roman"/>
      <w:sz w:val="17"/>
      <w:szCs w:val="17"/>
    </w:rPr>
  </w:style>
  <w:style w:type="paragraph" w:styleId="EndnoteText">
    <w:name w:val="endnote text"/>
    <w:basedOn w:val="Normal"/>
    <w:link w:val="EndnoteTextChar"/>
    <w:uiPriority w:val="99"/>
    <w:semiHidden/>
    <w:unhideWhenUsed/>
    <w:rsid w:val="00022A8A"/>
    <w:pPr>
      <w:widowControl/>
      <w:autoSpaceDE/>
      <w:autoSpaceDN/>
      <w:adjustRightInd/>
    </w:pPr>
    <w:rPr>
      <w:rFonts w:asciiTheme="minorHAnsi" w:eastAsia="MS Mincho" w:hAnsiTheme="minorHAnsi" w:cstheme="minorBidi"/>
      <w:sz w:val="20"/>
      <w:szCs w:val="20"/>
      <w:lang w:val="en-GB"/>
    </w:rPr>
  </w:style>
  <w:style w:type="character" w:customStyle="1" w:styleId="EndnoteTextChar">
    <w:name w:val="Endnote Text Char"/>
    <w:basedOn w:val="DefaultParagraphFont"/>
    <w:link w:val="EndnoteText"/>
    <w:uiPriority w:val="99"/>
    <w:semiHidden/>
    <w:rsid w:val="00022A8A"/>
    <w:rPr>
      <w:rFonts w:asciiTheme="minorHAnsi" w:eastAsia="MS Mincho" w:hAnsiTheme="minorHAnsi" w:cstheme="minorBidi"/>
      <w:sz w:val="20"/>
      <w:szCs w:val="20"/>
      <w:lang w:val="en-GB"/>
    </w:rPr>
  </w:style>
  <w:style w:type="character" w:styleId="EndnoteReference">
    <w:name w:val="endnote reference"/>
    <w:basedOn w:val="DefaultParagraphFont"/>
    <w:uiPriority w:val="99"/>
    <w:semiHidden/>
    <w:unhideWhenUsed/>
    <w:rsid w:val="00022A8A"/>
    <w:rPr>
      <w:vertAlign w:val="superscript"/>
    </w:rPr>
  </w:style>
  <w:style w:type="character" w:styleId="Mention">
    <w:name w:val="Mention"/>
    <w:basedOn w:val="DefaultParagraphFont"/>
    <w:uiPriority w:val="99"/>
    <w:semiHidden/>
    <w:unhideWhenUsed/>
    <w:rsid w:val="00E546A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464">
      <w:bodyDiv w:val="1"/>
      <w:marLeft w:val="0"/>
      <w:marRight w:val="0"/>
      <w:marTop w:val="0"/>
      <w:marBottom w:val="0"/>
      <w:divBdr>
        <w:top w:val="none" w:sz="0" w:space="0" w:color="auto"/>
        <w:left w:val="none" w:sz="0" w:space="0" w:color="auto"/>
        <w:bottom w:val="none" w:sz="0" w:space="0" w:color="auto"/>
        <w:right w:val="none" w:sz="0" w:space="0" w:color="auto"/>
      </w:divBdr>
    </w:div>
    <w:div w:id="114836355">
      <w:bodyDiv w:val="1"/>
      <w:marLeft w:val="0"/>
      <w:marRight w:val="0"/>
      <w:marTop w:val="0"/>
      <w:marBottom w:val="0"/>
      <w:divBdr>
        <w:top w:val="none" w:sz="0" w:space="0" w:color="auto"/>
        <w:left w:val="none" w:sz="0" w:space="0" w:color="auto"/>
        <w:bottom w:val="none" w:sz="0" w:space="0" w:color="auto"/>
        <w:right w:val="none" w:sz="0" w:space="0" w:color="auto"/>
      </w:divBdr>
    </w:div>
    <w:div w:id="126239880">
      <w:bodyDiv w:val="1"/>
      <w:marLeft w:val="0"/>
      <w:marRight w:val="0"/>
      <w:marTop w:val="0"/>
      <w:marBottom w:val="0"/>
      <w:divBdr>
        <w:top w:val="none" w:sz="0" w:space="0" w:color="auto"/>
        <w:left w:val="none" w:sz="0" w:space="0" w:color="auto"/>
        <w:bottom w:val="none" w:sz="0" w:space="0" w:color="auto"/>
        <w:right w:val="none" w:sz="0" w:space="0" w:color="auto"/>
      </w:divBdr>
    </w:div>
    <w:div w:id="190382728">
      <w:bodyDiv w:val="1"/>
      <w:marLeft w:val="0"/>
      <w:marRight w:val="0"/>
      <w:marTop w:val="0"/>
      <w:marBottom w:val="0"/>
      <w:divBdr>
        <w:top w:val="none" w:sz="0" w:space="0" w:color="auto"/>
        <w:left w:val="none" w:sz="0" w:space="0" w:color="auto"/>
        <w:bottom w:val="none" w:sz="0" w:space="0" w:color="auto"/>
        <w:right w:val="none" w:sz="0" w:space="0" w:color="auto"/>
      </w:divBdr>
    </w:div>
    <w:div w:id="230120462">
      <w:bodyDiv w:val="1"/>
      <w:marLeft w:val="0"/>
      <w:marRight w:val="0"/>
      <w:marTop w:val="0"/>
      <w:marBottom w:val="0"/>
      <w:divBdr>
        <w:top w:val="none" w:sz="0" w:space="0" w:color="auto"/>
        <w:left w:val="none" w:sz="0" w:space="0" w:color="auto"/>
        <w:bottom w:val="none" w:sz="0" w:space="0" w:color="auto"/>
        <w:right w:val="none" w:sz="0" w:space="0" w:color="auto"/>
      </w:divBdr>
    </w:div>
    <w:div w:id="250358096">
      <w:bodyDiv w:val="1"/>
      <w:marLeft w:val="0"/>
      <w:marRight w:val="0"/>
      <w:marTop w:val="0"/>
      <w:marBottom w:val="0"/>
      <w:divBdr>
        <w:top w:val="none" w:sz="0" w:space="0" w:color="auto"/>
        <w:left w:val="none" w:sz="0" w:space="0" w:color="auto"/>
        <w:bottom w:val="none" w:sz="0" w:space="0" w:color="auto"/>
        <w:right w:val="none" w:sz="0" w:space="0" w:color="auto"/>
      </w:divBdr>
    </w:div>
    <w:div w:id="269628116">
      <w:bodyDiv w:val="1"/>
      <w:marLeft w:val="0"/>
      <w:marRight w:val="0"/>
      <w:marTop w:val="0"/>
      <w:marBottom w:val="0"/>
      <w:divBdr>
        <w:top w:val="none" w:sz="0" w:space="0" w:color="auto"/>
        <w:left w:val="none" w:sz="0" w:space="0" w:color="auto"/>
        <w:bottom w:val="none" w:sz="0" w:space="0" w:color="auto"/>
        <w:right w:val="none" w:sz="0" w:space="0" w:color="auto"/>
      </w:divBdr>
    </w:div>
    <w:div w:id="325591735">
      <w:bodyDiv w:val="1"/>
      <w:marLeft w:val="0"/>
      <w:marRight w:val="0"/>
      <w:marTop w:val="0"/>
      <w:marBottom w:val="0"/>
      <w:divBdr>
        <w:top w:val="none" w:sz="0" w:space="0" w:color="auto"/>
        <w:left w:val="none" w:sz="0" w:space="0" w:color="auto"/>
        <w:bottom w:val="none" w:sz="0" w:space="0" w:color="auto"/>
        <w:right w:val="none" w:sz="0" w:space="0" w:color="auto"/>
      </w:divBdr>
    </w:div>
    <w:div w:id="398794207">
      <w:bodyDiv w:val="1"/>
      <w:marLeft w:val="0"/>
      <w:marRight w:val="0"/>
      <w:marTop w:val="0"/>
      <w:marBottom w:val="0"/>
      <w:divBdr>
        <w:top w:val="none" w:sz="0" w:space="0" w:color="auto"/>
        <w:left w:val="none" w:sz="0" w:space="0" w:color="auto"/>
        <w:bottom w:val="none" w:sz="0" w:space="0" w:color="auto"/>
        <w:right w:val="none" w:sz="0" w:space="0" w:color="auto"/>
      </w:divBdr>
    </w:div>
    <w:div w:id="404229998">
      <w:bodyDiv w:val="1"/>
      <w:marLeft w:val="0"/>
      <w:marRight w:val="0"/>
      <w:marTop w:val="0"/>
      <w:marBottom w:val="0"/>
      <w:divBdr>
        <w:top w:val="none" w:sz="0" w:space="0" w:color="auto"/>
        <w:left w:val="none" w:sz="0" w:space="0" w:color="auto"/>
        <w:bottom w:val="none" w:sz="0" w:space="0" w:color="auto"/>
        <w:right w:val="none" w:sz="0" w:space="0" w:color="auto"/>
      </w:divBdr>
    </w:div>
    <w:div w:id="405226404">
      <w:bodyDiv w:val="1"/>
      <w:marLeft w:val="0"/>
      <w:marRight w:val="0"/>
      <w:marTop w:val="0"/>
      <w:marBottom w:val="0"/>
      <w:divBdr>
        <w:top w:val="none" w:sz="0" w:space="0" w:color="auto"/>
        <w:left w:val="none" w:sz="0" w:space="0" w:color="auto"/>
        <w:bottom w:val="none" w:sz="0" w:space="0" w:color="auto"/>
        <w:right w:val="none" w:sz="0" w:space="0" w:color="auto"/>
      </w:divBdr>
    </w:div>
    <w:div w:id="501168123">
      <w:bodyDiv w:val="1"/>
      <w:marLeft w:val="0"/>
      <w:marRight w:val="0"/>
      <w:marTop w:val="0"/>
      <w:marBottom w:val="0"/>
      <w:divBdr>
        <w:top w:val="none" w:sz="0" w:space="0" w:color="auto"/>
        <w:left w:val="none" w:sz="0" w:space="0" w:color="auto"/>
        <w:bottom w:val="none" w:sz="0" w:space="0" w:color="auto"/>
        <w:right w:val="none" w:sz="0" w:space="0" w:color="auto"/>
      </w:divBdr>
    </w:div>
    <w:div w:id="513423062">
      <w:bodyDiv w:val="1"/>
      <w:marLeft w:val="0"/>
      <w:marRight w:val="0"/>
      <w:marTop w:val="0"/>
      <w:marBottom w:val="0"/>
      <w:divBdr>
        <w:top w:val="none" w:sz="0" w:space="0" w:color="auto"/>
        <w:left w:val="none" w:sz="0" w:space="0" w:color="auto"/>
        <w:bottom w:val="none" w:sz="0" w:space="0" w:color="auto"/>
        <w:right w:val="none" w:sz="0" w:space="0" w:color="auto"/>
      </w:divBdr>
    </w:div>
    <w:div w:id="513688697">
      <w:bodyDiv w:val="1"/>
      <w:marLeft w:val="0"/>
      <w:marRight w:val="0"/>
      <w:marTop w:val="0"/>
      <w:marBottom w:val="0"/>
      <w:divBdr>
        <w:top w:val="none" w:sz="0" w:space="0" w:color="auto"/>
        <w:left w:val="none" w:sz="0" w:space="0" w:color="auto"/>
        <w:bottom w:val="none" w:sz="0" w:space="0" w:color="auto"/>
        <w:right w:val="none" w:sz="0" w:space="0" w:color="auto"/>
      </w:divBdr>
    </w:div>
    <w:div w:id="535119877">
      <w:bodyDiv w:val="1"/>
      <w:marLeft w:val="0"/>
      <w:marRight w:val="0"/>
      <w:marTop w:val="0"/>
      <w:marBottom w:val="0"/>
      <w:divBdr>
        <w:top w:val="none" w:sz="0" w:space="0" w:color="auto"/>
        <w:left w:val="none" w:sz="0" w:space="0" w:color="auto"/>
        <w:bottom w:val="none" w:sz="0" w:space="0" w:color="auto"/>
        <w:right w:val="none" w:sz="0" w:space="0" w:color="auto"/>
      </w:divBdr>
    </w:div>
    <w:div w:id="561792909">
      <w:bodyDiv w:val="1"/>
      <w:marLeft w:val="0"/>
      <w:marRight w:val="0"/>
      <w:marTop w:val="0"/>
      <w:marBottom w:val="0"/>
      <w:divBdr>
        <w:top w:val="none" w:sz="0" w:space="0" w:color="auto"/>
        <w:left w:val="none" w:sz="0" w:space="0" w:color="auto"/>
        <w:bottom w:val="none" w:sz="0" w:space="0" w:color="auto"/>
        <w:right w:val="none" w:sz="0" w:space="0" w:color="auto"/>
      </w:divBdr>
    </w:div>
    <w:div w:id="578752473">
      <w:bodyDiv w:val="1"/>
      <w:marLeft w:val="0"/>
      <w:marRight w:val="0"/>
      <w:marTop w:val="0"/>
      <w:marBottom w:val="0"/>
      <w:divBdr>
        <w:top w:val="none" w:sz="0" w:space="0" w:color="auto"/>
        <w:left w:val="none" w:sz="0" w:space="0" w:color="auto"/>
        <w:bottom w:val="none" w:sz="0" w:space="0" w:color="auto"/>
        <w:right w:val="none" w:sz="0" w:space="0" w:color="auto"/>
      </w:divBdr>
    </w:div>
    <w:div w:id="651059738">
      <w:bodyDiv w:val="1"/>
      <w:marLeft w:val="0"/>
      <w:marRight w:val="0"/>
      <w:marTop w:val="0"/>
      <w:marBottom w:val="0"/>
      <w:divBdr>
        <w:top w:val="none" w:sz="0" w:space="0" w:color="auto"/>
        <w:left w:val="none" w:sz="0" w:space="0" w:color="auto"/>
        <w:bottom w:val="none" w:sz="0" w:space="0" w:color="auto"/>
        <w:right w:val="none" w:sz="0" w:space="0" w:color="auto"/>
      </w:divBdr>
    </w:div>
    <w:div w:id="684870183">
      <w:bodyDiv w:val="1"/>
      <w:marLeft w:val="0"/>
      <w:marRight w:val="0"/>
      <w:marTop w:val="0"/>
      <w:marBottom w:val="0"/>
      <w:divBdr>
        <w:top w:val="none" w:sz="0" w:space="0" w:color="auto"/>
        <w:left w:val="none" w:sz="0" w:space="0" w:color="auto"/>
        <w:bottom w:val="none" w:sz="0" w:space="0" w:color="auto"/>
        <w:right w:val="none" w:sz="0" w:space="0" w:color="auto"/>
      </w:divBdr>
    </w:div>
    <w:div w:id="688020993">
      <w:bodyDiv w:val="1"/>
      <w:marLeft w:val="0"/>
      <w:marRight w:val="0"/>
      <w:marTop w:val="0"/>
      <w:marBottom w:val="0"/>
      <w:divBdr>
        <w:top w:val="none" w:sz="0" w:space="0" w:color="auto"/>
        <w:left w:val="none" w:sz="0" w:space="0" w:color="auto"/>
        <w:bottom w:val="none" w:sz="0" w:space="0" w:color="auto"/>
        <w:right w:val="none" w:sz="0" w:space="0" w:color="auto"/>
      </w:divBdr>
    </w:div>
    <w:div w:id="778138301">
      <w:bodyDiv w:val="1"/>
      <w:marLeft w:val="0"/>
      <w:marRight w:val="0"/>
      <w:marTop w:val="0"/>
      <w:marBottom w:val="0"/>
      <w:divBdr>
        <w:top w:val="none" w:sz="0" w:space="0" w:color="auto"/>
        <w:left w:val="none" w:sz="0" w:space="0" w:color="auto"/>
        <w:bottom w:val="none" w:sz="0" w:space="0" w:color="auto"/>
        <w:right w:val="none" w:sz="0" w:space="0" w:color="auto"/>
      </w:divBdr>
    </w:div>
    <w:div w:id="798497946">
      <w:bodyDiv w:val="1"/>
      <w:marLeft w:val="0"/>
      <w:marRight w:val="0"/>
      <w:marTop w:val="0"/>
      <w:marBottom w:val="0"/>
      <w:divBdr>
        <w:top w:val="none" w:sz="0" w:space="0" w:color="auto"/>
        <w:left w:val="none" w:sz="0" w:space="0" w:color="auto"/>
        <w:bottom w:val="none" w:sz="0" w:space="0" w:color="auto"/>
        <w:right w:val="none" w:sz="0" w:space="0" w:color="auto"/>
      </w:divBdr>
    </w:div>
    <w:div w:id="875655404">
      <w:bodyDiv w:val="1"/>
      <w:marLeft w:val="0"/>
      <w:marRight w:val="0"/>
      <w:marTop w:val="0"/>
      <w:marBottom w:val="0"/>
      <w:divBdr>
        <w:top w:val="none" w:sz="0" w:space="0" w:color="auto"/>
        <w:left w:val="none" w:sz="0" w:space="0" w:color="auto"/>
        <w:bottom w:val="none" w:sz="0" w:space="0" w:color="auto"/>
        <w:right w:val="none" w:sz="0" w:space="0" w:color="auto"/>
      </w:divBdr>
    </w:div>
    <w:div w:id="924873735">
      <w:bodyDiv w:val="1"/>
      <w:marLeft w:val="0"/>
      <w:marRight w:val="0"/>
      <w:marTop w:val="0"/>
      <w:marBottom w:val="0"/>
      <w:divBdr>
        <w:top w:val="none" w:sz="0" w:space="0" w:color="auto"/>
        <w:left w:val="none" w:sz="0" w:space="0" w:color="auto"/>
        <w:bottom w:val="none" w:sz="0" w:space="0" w:color="auto"/>
        <w:right w:val="none" w:sz="0" w:space="0" w:color="auto"/>
      </w:divBdr>
    </w:div>
    <w:div w:id="941961583">
      <w:bodyDiv w:val="1"/>
      <w:marLeft w:val="0"/>
      <w:marRight w:val="0"/>
      <w:marTop w:val="0"/>
      <w:marBottom w:val="0"/>
      <w:divBdr>
        <w:top w:val="none" w:sz="0" w:space="0" w:color="auto"/>
        <w:left w:val="none" w:sz="0" w:space="0" w:color="auto"/>
        <w:bottom w:val="none" w:sz="0" w:space="0" w:color="auto"/>
        <w:right w:val="none" w:sz="0" w:space="0" w:color="auto"/>
      </w:divBdr>
    </w:div>
    <w:div w:id="1059672775">
      <w:bodyDiv w:val="1"/>
      <w:marLeft w:val="0"/>
      <w:marRight w:val="0"/>
      <w:marTop w:val="0"/>
      <w:marBottom w:val="0"/>
      <w:divBdr>
        <w:top w:val="none" w:sz="0" w:space="0" w:color="auto"/>
        <w:left w:val="none" w:sz="0" w:space="0" w:color="auto"/>
        <w:bottom w:val="none" w:sz="0" w:space="0" w:color="auto"/>
        <w:right w:val="none" w:sz="0" w:space="0" w:color="auto"/>
      </w:divBdr>
    </w:div>
    <w:div w:id="1086077112">
      <w:bodyDiv w:val="1"/>
      <w:marLeft w:val="0"/>
      <w:marRight w:val="0"/>
      <w:marTop w:val="0"/>
      <w:marBottom w:val="0"/>
      <w:divBdr>
        <w:top w:val="none" w:sz="0" w:space="0" w:color="auto"/>
        <w:left w:val="none" w:sz="0" w:space="0" w:color="auto"/>
        <w:bottom w:val="none" w:sz="0" w:space="0" w:color="auto"/>
        <w:right w:val="none" w:sz="0" w:space="0" w:color="auto"/>
      </w:divBdr>
    </w:div>
    <w:div w:id="1097019633">
      <w:bodyDiv w:val="1"/>
      <w:marLeft w:val="0"/>
      <w:marRight w:val="0"/>
      <w:marTop w:val="0"/>
      <w:marBottom w:val="0"/>
      <w:divBdr>
        <w:top w:val="none" w:sz="0" w:space="0" w:color="auto"/>
        <w:left w:val="none" w:sz="0" w:space="0" w:color="auto"/>
        <w:bottom w:val="none" w:sz="0" w:space="0" w:color="auto"/>
        <w:right w:val="none" w:sz="0" w:space="0" w:color="auto"/>
      </w:divBdr>
    </w:div>
    <w:div w:id="1175725329">
      <w:bodyDiv w:val="1"/>
      <w:marLeft w:val="0"/>
      <w:marRight w:val="0"/>
      <w:marTop w:val="0"/>
      <w:marBottom w:val="0"/>
      <w:divBdr>
        <w:top w:val="none" w:sz="0" w:space="0" w:color="auto"/>
        <w:left w:val="none" w:sz="0" w:space="0" w:color="auto"/>
        <w:bottom w:val="none" w:sz="0" w:space="0" w:color="auto"/>
        <w:right w:val="none" w:sz="0" w:space="0" w:color="auto"/>
      </w:divBdr>
    </w:div>
    <w:div w:id="1199125682">
      <w:bodyDiv w:val="1"/>
      <w:marLeft w:val="0"/>
      <w:marRight w:val="0"/>
      <w:marTop w:val="0"/>
      <w:marBottom w:val="0"/>
      <w:divBdr>
        <w:top w:val="none" w:sz="0" w:space="0" w:color="auto"/>
        <w:left w:val="none" w:sz="0" w:space="0" w:color="auto"/>
        <w:bottom w:val="none" w:sz="0" w:space="0" w:color="auto"/>
        <w:right w:val="none" w:sz="0" w:space="0" w:color="auto"/>
      </w:divBdr>
    </w:div>
    <w:div w:id="1200624620">
      <w:bodyDiv w:val="1"/>
      <w:marLeft w:val="0"/>
      <w:marRight w:val="0"/>
      <w:marTop w:val="0"/>
      <w:marBottom w:val="0"/>
      <w:divBdr>
        <w:top w:val="none" w:sz="0" w:space="0" w:color="auto"/>
        <w:left w:val="none" w:sz="0" w:space="0" w:color="auto"/>
        <w:bottom w:val="none" w:sz="0" w:space="0" w:color="auto"/>
        <w:right w:val="none" w:sz="0" w:space="0" w:color="auto"/>
      </w:divBdr>
    </w:div>
    <w:div w:id="1217157030">
      <w:bodyDiv w:val="1"/>
      <w:marLeft w:val="0"/>
      <w:marRight w:val="0"/>
      <w:marTop w:val="0"/>
      <w:marBottom w:val="0"/>
      <w:divBdr>
        <w:top w:val="none" w:sz="0" w:space="0" w:color="auto"/>
        <w:left w:val="none" w:sz="0" w:space="0" w:color="auto"/>
        <w:bottom w:val="none" w:sz="0" w:space="0" w:color="auto"/>
        <w:right w:val="none" w:sz="0" w:space="0" w:color="auto"/>
      </w:divBdr>
    </w:div>
    <w:div w:id="1253707403">
      <w:bodyDiv w:val="1"/>
      <w:marLeft w:val="0"/>
      <w:marRight w:val="0"/>
      <w:marTop w:val="0"/>
      <w:marBottom w:val="0"/>
      <w:divBdr>
        <w:top w:val="none" w:sz="0" w:space="0" w:color="auto"/>
        <w:left w:val="none" w:sz="0" w:space="0" w:color="auto"/>
        <w:bottom w:val="none" w:sz="0" w:space="0" w:color="auto"/>
        <w:right w:val="none" w:sz="0" w:space="0" w:color="auto"/>
      </w:divBdr>
    </w:div>
    <w:div w:id="1254901301">
      <w:bodyDiv w:val="1"/>
      <w:marLeft w:val="0"/>
      <w:marRight w:val="0"/>
      <w:marTop w:val="0"/>
      <w:marBottom w:val="0"/>
      <w:divBdr>
        <w:top w:val="none" w:sz="0" w:space="0" w:color="auto"/>
        <w:left w:val="none" w:sz="0" w:space="0" w:color="auto"/>
        <w:bottom w:val="none" w:sz="0" w:space="0" w:color="auto"/>
        <w:right w:val="none" w:sz="0" w:space="0" w:color="auto"/>
      </w:divBdr>
    </w:div>
    <w:div w:id="1276521005">
      <w:bodyDiv w:val="1"/>
      <w:marLeft w:val="0"/>
      <w:marRight w:val="0"/>
      <w:marTop w:val="0"/>
      <w:marBottom w:val="0"/>
      <w:divBdr>
        <w:top w:val="none" w:sz="0" w:space="0" w:color="auto"/>
        <w:left w:val="none" w:sz="0" w:space="0" w:color="auto"/>
        <w:bottom w:val="none" w:sz="0" w:space="0" w:color="auto"/>
        <w:right w:val="none" w:sz="0" w:space="0" w:color="auto"/>
      </w:divBdr>
    </w:div>
    <w:div w:id="1289362751">
      <w:bodyDiv w:val="1"/>
      <w:marLeft w:val="0"/>
      <w:marRight w:val="0"/>
      <w:marTop w:val="0"/>
      <w:marBottom w:val="0"/>
      <w:divBdr>
        <w:top w:val="none" w:sz="0" w:space="0" w:color="auto"/>
        <w:left w:val="none" w:sz="0" w:space="0" w:color="auto"/>
        <w:bottom w:val="none" w:sz="0" w:space="0" w:color="auto"/>
        <w:right w:val="none" w:sz="0" w:space="0" w:color="auto"/>
      </w:divBdr>
    </w:div>
    <w:div w:id="1386181691">
      <w:bodyDiv w:val="1"/>
      <w:marLeft w:val="0"/>
      <w:marRight w:val="0"/>
      <w:marTop w:val="0"/>
      <w:marBottom w:val="0"/>
      <w:divBdr>
        <w:top w:val="none" w:sz="0" w:space="0" w:color="auto"/>
        <w:left w:val="none" w:sz="0" w:space="0" w:color="auto"/>
        <w:bottom w:val="none" w:sz="0" w:space="0" w:color="auto"/>
        <w:right w:val="none" w:sz="0" w:space="0" w:color="auto"/>
      </w:divBdr>
    </w:div>
    <w:div w:id="1446148874">
      <w:bodyDiv w:val="1"/>
      <w:marLeft w:val="0"/>
      <w:marRight w:val="0"/>
      <w:marTop w:val="0"/>
      <w:marBottom w:val="0"/>
      <w:divBdr>
        <w:top w:val="none" w:sz="0" w:space="0" w:color="auto"/>
        <w:left w:val="none" w:sz="0" w:space="0" w:color="auto"/>
        <w:bottom w:val="none" w:sz="0" w:space="0" w:color="auto"/>
        <w:right w:val="none" w:sz="0" w:space="0" w:color="auto"/>
      </w:divBdr>
    </w:div>
    <w:div w:id="1460301676">
      <w:bodyDiv w:val="1"/>
      <w:marLeft w:val="0"/>
      <w:marRight w:val="0"/>
      <w:marTop w:val="0"/>
      <w:marBottom w:val="0"/>
      <w:divBdr>
        <w:top w:val="none" w:sz="0" w:space="0" w:color="auto"/>
        <w:left w:val="none" w:sz="0" w:space="0" w:color="auto"/>
        <w:bottom w:val="none" w:sz="0" w:space="0" w:color="auto"/>
        <w:right w:val="none" w:sz="0" w:space="0" w:color="auto"/>
      </w:divBdr>
    </w:div>
    <w:div w:id="1484084096">
      <w:bodyDiv w:val="1"/>
      <w:marLeft w:val="0"/>
      <w:marRight w:val="0"/>
      <w:marTop w:val="0"/>
      <w:marBottom w:val="0"/>
      <w:divBdr>
        <w:top w:val="none" w:sz="0" w:space="0" w:color="auto"/>
        <w:left w:val="none" w:sz="0" w:space="0" w:color="auto"/>
        <w:bottom w:val="none" w:sz="0" w:space="0" w:color="auto"/>
        <w:right w:val="none" w:sz="0" w:space="0" w:color="auto"/>
      </w:divBdr>
    </w:div>
    <w:div w:id="1487555049">
      <w:bodyDiv w:val="1"/>
      <w:marLeft w:val="0"/>
      <w:marRight w:val="0"/>
      <w:marTop w:val="0"/>
      <w:marBottom w:val="0"/>
      <w:divBdr>
        <w:top w:val="none" w:sz="0" w:space="0" w:color="auto"/>
        <w:left w:val="none" w:sz="0" w:space="0" w:color="auto"/>
        <w:bottom w:val="none" w:sz="0" w:space="0" w:color="auto"/>
        <w:right w:val="none" w:sz="0" w:space="0" w:color="auto"/>
      </w:divBdr>
    </w:div>
    <w:div w:id="1511724827">
      <w:bodyDiv w:val="1"/>
      <w:marLeft w:val="0"/>
      <w:marRight w:val="0"/>
      <w:marTop w:val="0"/>
      <w:marBottom w:val="0"/>
      <w:divBdr>
        <w:top w:val="none" w:sz="0" w:space="0" w:color="auto"/>
        <w:left w:val="none" w:sz="0" w:space="0" w:color="auto"/>
        <w:bottom w:val="none" w:sz="0" w:space="0" w:color="auto"/>
        <w:right w:val="none" w:sz="0" w:space="0" w:color="auto"/>
      </w:divBdr>
    </w:div>
    <w:div w:id="1546256512">
      <w:bodyDiv w:val="1"/>
      <w:marLeft w:val="0"/>
      <w:marRight w:val="0"/>
      <w:marTop w:val="0"/>
      <w:marBottom w:val="0"/>
      <w:divBdr>
        <w:top w:val="none" w:sz="0" w:space="0" w:color="auto"/>
        <w:left w:val="none" w:sz="0" w:space="0" w:color="auto"/>
        <w:bottom w:val="none" w:sz="0" w:space="0" w:color="auto"/>
        <w:right w:val="none" w:sz="0" w:space="0" w:color="auto"/>
      </w:divBdr>
    </w:div>
    <w:div w:id="1593926554">
      <w:bodyDiv w:val="1"/>
      <w:marLeft w:val="0"/>
      <w:marRight w:val="0"/>
      <w:marTop w:val="0"/>
      <w:marBottom w:val="0"/>
      <w:divBdr>
        <w:top w:val="none" w:sz="0" w:space="0" w:color="auto"/>
        <w:left w:val="none" w:sz="0" w:space="0" w:color="auto"/>
        <w:bottom w:val="none" w:sz="0" w:space="0" w:color="auto"/>
        <w:right w:val="none" w:sz="0" w:space="0" w:color="auto"/>
      </w:divBdr>
    </w:div>
    <w:div w:id="1643386105">
      <w:bodyDiv w:val="1"/>
      <w:marLeft w:val="0"/>
      <w:marRight w:val="0"/>
      <w:marTop w:val="0"/>
      <w:marBottom w:val="0"/>
      <w:divBdr>
        <w:top w:val="none" w:sz="0" w:space="0" w:color="auto"/>
        <w:left w:val="none" w:sz="0" w:space="0" w:color="auto"/>
        <w:bottom w:val="none" w:sz="0" w:space="0" w:color="auto"/>
        <w:right w:val="none" w:sz="0" w:space="0" w:color="auto"/>
      </w:divBdr>
    </w:div>
    <w:div w:id="1913588555">
      <w:bodyDiv w:val="1"/>
      <w:marLeft w:val="0"/>
      <w:marRight w:val="0"/>
      <w:marTop w:val="0"/>
      <w:marBottom w:val="0"/>
      <w:divBdr>
        <w:top w:val="none" w:sz="0" w:space="0" w:color="auto"/>
        <w:left w:val="none" w:sz="0" w:space="0" w:color="auto"/>
        <w:bottom w:val="none" w:sz="0" w:space="0" w:color="auto"/>
        <w:right w:val="none" w:sz="0" w:space="0" w:color="auto"/>
      </w:divBdr>
    </w:div>
    <w:div w:id="1917664544">
      <w:bodyDiv w:val="1"/>
      <w:marLeft w:val="0"/>
      <w:marRight w:val="0"/>
      <w:marTop w:val="0"/>
      <w:marBottom w:val="0"/>
      <w:divBdr>
        <w:top w:val="none" w:sz="0" w:space="0" w:color="auto"/>
        <w:left w:val="none" w:sz="0" w:space="0" w:color="auto"/>
        <w:bottom w:val="none" w:sz="0" w:space="0" w:color="auto"/>
        <w:right w:val="none" w:sz="0" w:space="0" w:color="auto"/>
      </w:divBdr>
    </w:div>
    <w:div w:id="1967154856">
      <w:bodyDiv w:val="1"/>
      <w:marLeft w:val="0"/>
      <w:marRight w:val="0"/>
      <w:marTop w:val="0"/>
      <w:marBottom w:val="0"/>
      <w:divBdr>
        <w:top w:val="none" w:sz="0" w:space="0" w:color="auto"/>
        <w:left w:val="none" w:sz="0" w:space="0" w:color="auto"/>
        <w:bottom w:val="none" w:sz="0" w:space="0" w:color="auto"/>
        <w:right w:val="none" w:sz="0" w:space="0" w:color="auto"/>
      </w:divBdr>
    </w:div>
    <w:div w:id="1994141023">
      <w:bodyDiv w:val="1"/>
      <w:marLeft w:val="0"/>
      <w:marRight w:val="0"/>
      <w:marTop w:val="0"/>
      <w:marBottom w:val="0"/>
      <w:divBdr>
        <w:top w:val="none" w:sz="0" w:space="0" w:color="auto"/>
        <w:left w:val="none" w:sz="0" w:space="0" w:color="auto"/>
        <w:bottom w:val="none" w:sz="0" w:space="0" w:color="auto"/>
        <w:right w:val="none" w:sz="0" w:space="0" w:color="auto"/>
      </w:divBdr>
    </w:div>
    <w:div w:id="19986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s.int/sites/default/files/document/Res2.6_F_0_0.pdf" TargetMode="Externa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ms.int/sites/default/files/document/Res_11_12_Evaluation_propositions_nouveaux_accords_F.pdf"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hyperlink" Target="http://www.cms.int/sites/default/files/document/Res3.5_F_0_0.pdf"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cms.int/sites/default/files/document/Res2.7_F_0_0.pdf" TargetMode="External"/><Relationship Id="rId14" Type="http://schemas.openxmlformats.org/officeDocument/2006/relationships/footer" Target="footer1.xml"/><Relationship Id="rId22" Type="http://schemas.openxmlformats.org/officeDocument/2006/relationships/header" Target="header8.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CMS%20Body%20-%20COP\COP11\DOCS\Templates\COP11_Template_English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COP11_Template_English_new</Template>
  <TotalTime>0</TotalTime>
  <Pages>16</Pages>
  <Words>6154</Words>
  <Characters>35669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17TH MEETING OF THE</vt:lpstr>
    </vt:vector>
  </TitlesOfParts>
  <Company>United Nations Volunteers (UNV) programme</Company>
  <LinksUpToDate>false</LinksUpToDate>
  <CharactersWithSpaces>41740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17TH MEETING OF THE</dc:title>
  <dc:subject/>
  <dc:creator>barbara.schoenberg@cms.int</dc:creator>
  <cp:keywords/>
  <cp:lastModifiedBy>CMS Secretariat</cp:lastModifiedBy>
  <cp:revision>2</cp:revision>
  <cp:lastPrinted>2017-01-20T10:09:00Z</cp:lastPrinted>
  <dcterms:created xsi:type="dcterms:W3CDTF">2017-07-11T09:57:00Z</dcterms:created>
  <dcterms:modified xsi:type="dcterms:W3CDTF">2017-07-11T09:57:00Z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