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E4C0E" w:rsidRPr="00121AF1" w14:paraId="120206D5" w14:textId="77777777" w:rsidTr="00101681">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D407403" w14:textId="64FB2043" w:rsidR="001E4C0E" w:rsidRPr="00121AF1" w:rsidRDefault="001E4C0E" w:rsidP="00101681">
            <w:pPr>
              <w:tabs>
                <w:tab w:val="left" w:pos="-1057"/>
                <w:tab w:val="left" w:pos="-720"/>
                <w:tab w:val="left" w:pos="0"/>
                <w:tab w:val="left" w:pos="141"/>
                <w:tab w:val="left" w:pos="720"/>
                <w:tab w:val="left" w:pos="1155"/>
                <w:tab w:val="right" w:pos="9072"/>
                <w:tab w:val="right" w:pos="9432"/>
              </w:tabs>
              <w:rPr>
                <w:rFonts w:cs="Arial"/>
                <w:sz w:val="22"/>
                <w:szCs w:val="22"/>
                <w:lang w:val="es-ES_tradnl"/>
              </w:rPr>
            </w:pP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r>
            <w:r w:rsidR="00B518F3">
              <w:rPr>
                <w:rFonts w:cs="Arial"/>
                <w:b/>
                <w:sz w:val="28"/>
                <w:szCs w:val="28"/>
                <w:lang w:val="es-ES_tradnl"/>
              </w:rPr>
              <w:t xml:space="preserve"> </w:t>
            </w:r>
            <w:r w:rsidRPr="00121AF1">
              <w:rPr>
                <w:rFonts w:cs="Arial"/>
                <w:b/>
                <w:sz w:val="28"/>
                <w:szCs w:val="28"/>
                <w:lang w:val="es-ES_tradnl"/>
              </w:rPr>
              <w:t>CMS</w:t>
            </w:r>
          </w:p>
          <w:p w14:paraId="1CAF7401" w14:textId="77777777" w:rsidR="001E4C0E" w:rsidRPr="00121AF1" w:rsidRDefault="001E4C0E" w:rsidP="00101681">
            <w:pPr>
              <w:tabs>
                <w:tab w:val="left" w:pos="-1057"/>
                <w:tab w:val="left" w:pos="-720"/>
                <w:tab w:val="left" w:pos="0"/>
                <w:tab w:val="left" w:pos="141"/>
                <w:tab w:val="left" w:pos="720"/>
                <w:tab w:val="right" w:pos="9072"/>
              </w:tabs>
              <w:rPr>
                <w:rFonts w:cs="Arial"/>
                <w:sz w:val="22"/>
                <w:szCs w:val="22"/>
                <w:lang w:val="es-ES_tradnl"/>
              </w:rPr>
            </w:pPr>
          </w:p>
        </w:tc>
      </w:tr>
      <w:tr w:rsidR="001E4C0E" w:rsidRPr="00DA2A2C" w14:paraId="111F44B9" w14:textId="77777777" w:rsidTr="0010168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2CCE341" w14:textId="77777777" w:rsidR="001E4C0E" w:rsidRPr="00121AF1" w:rsidRDefault="001E4C0E" w:rsidP="00101681">
            <w:pPr>
              <w:rPr>
                <w:rFonts w:cs="Arial"/>
                <w:sz w:val="22"/>
                <w:szCs w:val="22"/>
                <w:lang w:val="es-ES_tradnl"/>
              </w:rPr>
            </w:pPr>
            <w:r w:rsidRPr="00121AF1">
              <w:rPr>
                <w:rFonts w:cs="Arial"/>
                <w:noProof/>
                <w:sz w:val="22"/>
                <w:szCs w:val="22"/>
              </w:rPr>
              <w:drawing>
                <wp:inline distT="0" distB="0" distL="0" distR="0" wp14:anchorId="779C1E48" wp14:editId="3B42AF6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9373890" w14:textId="77777777" w:rsidR="001E4C0E" w:rsidRPr="00121AF1" w:rsidRDefault="001E4C0E" w:rsidP="00101681">
            <w:pPr>
              <w:rPr>
                <w:rFonts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681C136"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0ADDE061"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CONVENCIÓN SOBRE</w:t>
            </w:r>
          </w:p>
          <w:p w14:paraId="7CF59FB5"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LAS ESPECIES</w:t>
            </w:r>
          </w:p>
          <w:p w14:paraId="75FCE4FA" w14:textId="77777777" w:rsidR="001E4C0E" w:rsidRPr="00121AF1" w:rsidRDefault="001E4C0E" w:rsidP="00101681">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121AF1">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1E93F57" w14:textId="77777777" w:rsidR="001E4C0E" w:rsidRPr="00121AF1" w:rsidRDefault="001E4C0E" w:rsidP="00101681">
            <w:pPr>
              <w:tabs>
                <w:tab w:val="left" w:pos="5040"/>
                <w:tab w:val="left" w:pos="5760"/>
                <w:tab w:val="left" w:pos="6008"/>
                <w:tab w:val="left" w:pos="6480"/>
                <w:tab w:val="left" w:pos="7200"/>
                <w:tab w:val="left" w:pos="7920"/>
                <w:tab w:val="left" w:pos="8640"/>
              </w:tabs>
              <w:rPr>
                <w:rFonts w:cs="Arial"/>
                <w:sz w:val="12"/>
                <w:szCs w:val="12"/>
                <w:lang w:val="es-ES_tradnl"/>
              </w:rPr>
            </w:pPr>
          </w:p>
          <w:p w14:paraId="6C2F8B19" w14:textId="77777777" w:rsidR="001E4C0E" w:rsidRPr="00121AF1" w:rsidRDefault="001E4C0E" w:rsidP="00101681">
            <w:pPr>
              <w:tabs>
                <w:tab w:val="left" w:pos="5040"/>
                <w:tab w:val="left" w:pos="5760"/>
                <w:tab w:val="left" w:pos="6008"/>
                <w:tab w:val="left" w:pos="6480"/>
                <w:tab w:val="left" w:pos="7200"/>
                <w:tab w:val="left" w:pos="7920"/>
                <w:tab w:val="left" w:pos="8640"/>
              </w:tabs>
              <w:rPr>
                <w:rFonts w:cs="Arial"/>
                <w:sz w:val="22"/>
                <w:szCs w:val="22"/>
                <w:lang w:val="es-ES_tradnl"/>
              </w:rPr>
            </w:pPr>
            <w:r w:rsidRPr="00121AF1">
              <w:rPr>
                <w:rFonts w:cs="Arial"/>
                <w:sz w:val="22"/>
                <w:szCs w:val="22"/>
                <w:lang w:val="es-ES_tradnl"/>
              </w:rPr>
              <w:t>Distribución: General</w:t>
            </w:r>
          </w:p>
          <w:p w14:paraId="76F83B83" w14:textId="77777777" w:rsidR="001E4C0E" w:rsidRPr="00121AF1" w:rsidRDefault="001E4C0E" w:rsidP="00101681">
            <w:pPr>
              <w:tabs>
                <w:tab w:val="left" w:pos="5040"/>
                <w:tab w:val="left" w:pos="5760"/>
                <w:tab w:val="left" w:pos="6008"/>
                <w:tab w:val="left" w:pos="6480"/>
                <w:tab w:val="left" w:pos="7200"/>
                <w:tab w:val="left" w:pos="7920"/>
                <w:tab w:val="left" w:pos="8640"/>
              </w:tabs>
              <w:rPr>
                <w:rFonts w:cs="Arial"/>
                <w:sz w:val="12"/>
                <w:szCs w:val="12"/>
                <w:lang w:val="es-ES_tradnl"/>
              </w:rPr>
            </w:pPr>
          </w:p>
          <w:p w14:paraId="2C10040E" w14:textId="390D8ED9" w:rsidR="001E4C0E" w:rsidRPr="00121AF1" w:rsidRDefault="00D930A9" w:rsidP="00101681">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UNEP/CMS/COP12/Doc.15</w:t>
            </w:r>
          </w:p>
          <w:p w14:paraId="7D78637A" w14:textId="6846D9A9" w:rsidR="001E4C0E" w:rsidRPr="00121AF1" w:rsidRDefault="00101681" w:rsidP="00101681">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 xml:space="preserve">3 </w:t>
            </w:r>
            <w:r w:rsidR="00CF60E1">
              <w:rPr>
                <w:rFonts w:cs="Arial"/>
                <w:sz w:val="22"/>
                <w:szCs w:val="22"/>
                <w:lang w:val="es-ES_tradnl"/>
              </w:rPr>
              <w:t>de agosto</w:t>
            </w:r>
            <w:r w:rsidR="001E4C0E" w:rsidRPr="00121AF1">
              <w:rPr>
                <w:rFonts w:cs="Arial"/>
                <w:sz w:val="22"/>
                <w:szCs w:val="22"/>
                <w:lang w:val="es-ES_tradnl"/>
              </w:rPr>
              <w:t xml:space="preserve"> de 2017</w:t>
            </w:r>
          </w:p>
          <w:p w14:paraId="0E8D29B9" w14:textId="77777777" w:rsidR="001E4C0E" w:rsidRPr="00121AF1" w:rsidRDefault="001E4C0E" w:rsidP="00101681">
            <w:pPr>
              <w:tabs>
                <w:tab w:val="left" w:pos="5040"/>
                <w:tab w:val="left" w:pos="5760"/>
                <w:tab w:val="left" w:pos="6008"/>
                <w:tab w:val="left" w:pos="6480"/>
                <w:tab w:val="left" w:pos="7200"/>
                <w:tab w:val="left" w:pos="7920"/>
                <w:tab w:val="left" w:pos="8640"/>
              </w:tabs>
              <w:rPr>
                <w:rFonts w:cs="Arial"/>
                <w:sz w:val="12"/>
                <w:szCs w:val="12"/>
                <w:lang w:val="es-ES_tradnl"/>
              </w:rPr>
            </w:pPr>
          </w:p>
          <w:p w14:paraId="58864EFC" w14:textId="77777777" w:rsidR="001E4C0E" w:rsidRPr="00121AF1" w:rsidRDefault="001E4C0E" w:rsidP="00101681">
            <w:pPr>
              <w:autoSpaceDE/>
              <w:autoSpaceDN/>
              <w:adjustRightInd/>
              <w:rPr>
                <w:rFonts w:cs="Arial"/>
                <w:sz w:val="22"/>
                <w:szCs w:val="22"/>
                <w:lang w:val="es-ES_tradnl"/>
              </w:rPr>
            </w:pPr>
            <w:r w:rsidRPr="00121AF1">
              <w:rPr>
                <w:rFonts w:cs="Arial"/>
                <w:sz w:val="22"/>
                <w:szCs w:val="22"/>
                <w:lang w:val="es-ES_tradnl"/>
              </w:rPr>
              <w:t>Español</w:t>
            </w:r>
          </w:p>
          <w:p w14:paraId="3390FCE7" w14:textId="77777777" w:rsidR="001E4C0E" w:rsidRPr="00121AF1" w:rsidRDefault="001E4C0E" w:rsidP="00101681">
            <w:pPr>
              <w:rPr>
                <w:rFonts w:cs="Arial"/>
                <w:sz w:val="22"/>
                <w:szCs w:val="22"/>
                <w:lang w:val="es-ES_tradnl"/>
              </w:rPr>
            </w:pPr>
            <w:r w:rsidRPr="00121AF1">
              <w:rPr>
                <w:rFonts w:cs="Arial"/>
                <w:sz w:val="22"/>
                <w:szCs w:val="22"/>
                <w:lang w:val="es-ES_tradnl"/>
              </w:rPr>
              <w:t>Original: Inglés</w:t>
            </w:r>
          </w:p>
          <w:p w14:paraId="5C42FE36" w14:textId="77777777" w:rsidR="001E4C0E" w:rsidRPr="00121AF1" w:rsidRDefault="001E4C0E" w:rsidP="00101681">
            <w:pPr>
              <w:rPr>
                <w:rFonts w:cs="Arial"/>
                <w:sz w:val="12"/>
                <w:szCs w:val="12"/>
                <w:lang w:val="es-ES_tradnl"/>
              </w:rPr>
            </w:pPr>
          </w:p>
        </w:tc>
      </w:tr>
    </w:tbl>
    <w:p w14:paraId="2A262C7A" w14:textId="77777777" w:rsidR="00007F70" w:rsidRPr="00101681" w:rsidRDefault="00007F70" w:rsidP="00007F70">
      <w:pPr>
        <w:tabs>
          <w:tab w:val="left" w:pos="-1057"/>
          <w:tab w:val="left" w:pos="-720"/>
        </w:tabs>
        <w:ind w:left="-90"/>
        <w:rPr>
          <w:rFonts w:cs="Arial"/>
          <w:spacing w:val="-8"/>
          <w:sz w:val="12"/>
          <w:szCs w:val="12"/>
          <w:lang w:val="es-ES"/>
        </w:rPr>
      </w:pPr>
    </w:p>
    <w:p w14:paraId="0878E370" w14:textId="77777777" w:rsidR="001E4C0E" w:rsidRPr="00121AF1" w:rsidRDefault="001E4C0E" w:rsidP="001E4C0E">
      <w:pPr>
        <w:tabs>
          <w:tab w:val="left" w:pos="-1057"/>
          <w:tab w:val="left" w:pos="-720"/>
        </w:tabs>
        <w:ind w:left="-90"/>
        <w:rPr>
          <w:rFonts w:cs="Arial"/>
          <w:sz w:val="22"/>
          <w:szCs w:val="22"/>
          <w:lang w:val="es-ES_tradnl"/>
        </w:rPr>
      </w:pPr>
      <w:r w:rsidRPr="00121AF1">
        <w:rPr>
          <w:rFonts w:cs="Arial"/>
          <w:sz w:val="22"/>
          <w:szCs w:val="22"/>
          <w:lang w:val="es-ES_tradnl"/>
        </w:rPr>
        <w:t>12</w:t>
      </w:r>
      <w:r w:rsidRPr="00121AF1">
        <w:rPr>
          <w:rFonts w:cs="Arial"/>
          <w:sz w:val="22"/>
          <w:szCs w:val="22"/>
          <w:vertAlign w:val="superscript"/>
          <w:lang w:val="es-ES_tradnl"/>
        </w:rPr>
        <w:t>a</w:t>
      </w:r>
      <w:r w:rsidRPr="00121AF1">
        <w:rPr>
          <w:rFonts w:cs="Arial"/>
          <w:sz w:val="22"/>
          <w:szCs w:val="22"/>
          <w:lang w:val="es-ES_tradnl"/>
        </w:rPr>
        <w:t xml:space="preserve"> REUNIÓN DE LA CONFERENCIA DE LAS PARTES</w:t>
      </w:r>
    </w:p>
    <w:p w14:paraId="20B9E321" w14:textId="77777777" w:rsidR="001E4C0E" w:rsidRPr="00121AF1" w:rsidRDefault="001E4C0E" w:rsidP="001E4C0E">
      <w:pPr>
        <w:pStyle w:val="Heading2"/>
        <w:keepNext w:val="0"/>
        <w:spacing w:line="228" w:lineRule="auto"/>
        <w:ind w:left="-90"/>
        <w:rPr>
          <w:rFonts w:cs="Arial"/>
          <w:b w:val="0"/>
          <w:bCs w:val="0"/>
          <w:sz w:val="22"/>
          <w:szCs w:val="22"/>
          <w:lang w:val="es-ES_tradnl"/>
        </w:rPr>
      </w:pPr>
      <w:r w:rsidRPr="00121AF1">
        <w:rPr>
          <w:rFonts w:cs="Arial"/>
          <w:b w:val="0"/>
          <w:sz w:val="22"/>
          <w:szCs w:val="22"/>
          <w:lang w:val="es-ES_tradnl"/>
        </w:rPr>
        <w:t>Manila, Filipinas, 23 - 28 octubre 2017</w:t>
      </w:r>
    </w:p>
    <w:p w14:paraId="164B3F9C" w14:textId="619AC007" w:rsidR="001E4C0E" w:rsidRPr="00121AF1" w:rsidRDefault="001E4C0E" w:rsidP="001E4C0E">
      <w:pPr>
        <w:spacing w:line="228" w:lineRule="auto"/>
        <w:ind w:left="-90"/>
        <w:rPr>
          <w:rFonts w:cs="Arial"/>
          <w:iCs/>
          <w:sz w:val="22"/>
          <w:szCs w:val="22"/>
          <w:lang w:val="es-ES_tradnl"/>
        </w:rPr>
      </w:pPr>
      <w:r>
        <w:rPr>
          <w:rFonts w:cs="Arial"/>
          <w:iCs/>
          <w:sz w:val="22"/>
          <w:szCs w:val="22"/>
          <w:lang w:val="es-ES_tradnl"/>
        </w:rPr>
        <w:t>Punto 15</w:t>
      </w:r>
      <w:r w:rsidRPr="00121AF1">
        <w:rPr>
          <w:rFonts w:cs="Arial"/>
          <w:iCs/>
          <w:sz w:val="22"/>
          <w:szCs w:val="22"/>
          <w:lang w:val="es-ES_tradnl"/>
        </w:rPr>
        <w:t xml:space="preserve"> del orden del día</w:t>
      </w:r>
    </w:p>
    <w:p w14:paraId="47119473" w14:textId="77777777" w:rsidR="001E4C0E" w:rsidRPr="00101681" w:rsidRDefault="001E4C0E" w:rsidP="00007F70">
      <w:pPr>
        <w:tabs>
          <w:tab w:val="left" w:pos="-1057"/>
          <w:tab w:val="left" w:pos="-720"/>
        </w:tabs>
        <w:rPr>
          <w:rFonts w:cs="Arial"/>
          <w:sz w:val="22"/>
          <w:szCs w:val="22"/>
          <w:lang w:val="es-ES"/>
        </w:rPr>
      </w:pPr>
    </w:p>
    <w:p w14:paraId="4FFF87CE" w14:textId="77777777" w:rsidR="00007F70" w:rsidRPr="00101681" w:rsidRDefault="00007F70" w:rsidP="00007F70">
      <w:pPr>
        <w:rPr>
          <w:rFonts w:cs="Arial"/>
          <w:sz w:val="24"/>
          <w:lang w:val="es-ES"/>
        </w:rPr>
      </w:pPr>
    </w:p>
    <w:p w14:paraId="1909B84A" w14:textId="77777777" w:rsidR="00673384" w:rsidRPr="00101681" w:rsidRDefault="00673384" w:rsidP="00007F70">
      <w:pPr>
        <w:rPr>
          <w:rFonts w:cs="Arial"/>
          <w:sz w:val="24"/>
          <w:lang w:val="es-ES"/>
        </w:rPr>
      </w:pPr>
    </w:p>
    <w:p w14:paraId="2198AF61" w14:textId="294A0478" w:rsidR="00A9510A" w:rsidRPr="00A9510A" w:rsidRDefault="00A9510A" w:rsidP="001C6974">
      <w:pPr>
        <w:jc w:val="center"/>
        <w:rPr>
          <w:rFonts w:eastAsia="MS Mincho" w:cs="Arial"/>
          <w:b/>
          <w:bCs/>
          <w:color w:val="000000"/>
          <w:sz w:val="22"/>
          <w:szCs w:val="22"/>
          <w:lang w:val="es-ES_tradnl" w:eastAsia="ja-JP"/>
        </w:rPr>
      </w:pPr>
      <w:r w:rsidRPr="00A9510A">
        <w:rPr>
          <w:rFonts w:eastAsia="MS Mincho" w:cs="Arial"/>
          <w:b/>
          <w:bCs/>
          <w:color w:val="000000"/>
          <w:sz w:val="22"/>
          <w:szCs w:val="22"/>
          <w:lang w:val="es-ES_tradnl" w:eastAsia="ja-JP"/>
        </w:rPr>
        <w:t>PLAN ESTRATÉGICO PARA LAS ESPECIES MIGRATORIAS 2015-2023:</w:t>
      </w:r>
    </w:p>
    <w:p w14:paraId="3D607B3C" w14:textId="36815FC0" w:rsidR="00F10934" w:rsidRPr="00F10934" w:rsidRDefault="00F10934" w:rsidP="001C6974">
      <w:pPr>
        <w:jc w:val="center"/>
        <w:rPr>
          <w:rFonts w:eastAsia="MS Mincho" w:cs="Arial"/>
          <w:b/>
          <w:bCs/>
          <w:color w:val="000000"/>
          <w:sz w:val="22"/>
          <w:szCs w:val="22"/>
          <w:lang w:val="es-ES_tradnl" w:eastAsia="ja-JP"/>
        </w:rPr>
      </w:pPr>
      <w:r w:rsidRPr="00F10934">
        <w:rPr>
          <w:rFonts w:eastAsia="MS Mincho" w:cs="Arial"/>
          <w:b/>
          <w:bCs/>
          <w:color w:val="000000"/>
          <w:sz w:val="22"/>
          <w:szCs w:val="22"/>
          <w:lang w:val="es-ES_tradnl" w:eastAsia="ja-JP"/>
        </w:rPr>
        <w:t>IMPLEMENTACIÓN Y SEGUIMIENTO</w:t>
      </w:r>
    </w:p>
    <w:p w14:paraId="193A0954" w14:textId="665CD7AA" w:rsidR="00007F70" w:rsidRPr="00A9510A" w:rsidRDefault="00007F70" w:rsidP="00007F70">
      <w:pPr>
        <w:jc w:val="center"/>
        <w:rPr>
          <w:rFonts w:eastAsia="MS Mincho" w:cs="Arial"/>
          <w:b/>
          <w:bCs/>
          <w:color w:val="000000"/>
          <w:sz w:val="22"/>
          <w:szCs w:val="22"/>
          <w:highlight w:val="yellow"/>
          <w:lang w:val="es-ES_tradnl" w:eastAsia="ja-JP"/>
        </w:rPr>
      </w:pPr>
    </w:p>
    <w:p w14:paraId="13A7C9DA" w14:textId="3A3B875F" w:rsidR="00007F70" w:rsidRPr="00A9510A" w:rsidRDefault="004C2541" w:rsidP="000F66D8">
      <w:pPr>
        <w:jc w:val="center"/>
        <w:rPr>
          <w:rFonts w:cs="Arial"/>
          <w:i/>
          <w:sz w:val="22"/>
          <w:szCs w:val="22"/>
          <w:lang w:val="es-ES_tradnl"/>
        </w:rPr>
      </w:pPr>
      <w:r>
        <w:rPr>
          <w:rFonts w:cs="Arial"/>
          <w:i/>
          <w:sz w:val="22"/>
          <w:szCs w:val="22"/>
          <w:lang w:val="es-ES_tradnl"/>
        </w:rPr>
        <w:t xml:space="preserve"> </w:t>
      </w:r>
      <w:r w:rsidR="009E3812" w:rsidRPr="009E3812">
        <w:rPr>
          <w:rFonts w:cs="Arial"/>
          <w:i/>
          <w:sz w:val="22"/>
          <w:szCs w:val="22"/>
          <w:lang w:val="es-ES_tradnl"/>
        </w:rPr>
        <w:t>(Preparado por el</w:t>
      </w:r>
      <w:r w:rsidR="00007F70" w:rsidRPr="009E3812">
        <w:rPr>
          <w:rFonts w:cs="Arial"/>
          <w:i/>
          <w:sz w:val="22"/>
          <w:szCs w:val="22"/>
          <w:lang w:val="es-ES_tradnl"/>
        </w:rPr>
        <w:t xml:space="preserve"> </w:t>
      </w:r>
      <w:r w:rsidR="009E3812" w:rsidRPr="009E3812">
        <w:rPr>
          <w:rFonts w:cs="Arial"/>
          <w:i/>
          <w:sz w:val="22"/>
          <w:szCs w:val="22"/>
          <w:lang w:val="es-ES_tradnl"/>
        </w:rPr>
        <w:t xml:space="preserve">Grupo de Trabajo </w:t>
      </w:r>
      <w:r w:rsidR="003A7301">
        <w:rPr>
          <w:rFonts w:cs="Arial"/>
          <w:i/>
          <w:sz w:val="22"/>
          <w:szCs w:val="22"/>
          <w:lang w:val="es-ES_tradnl"/>
        </w:rPr>
        <w:t>sobre</w:t>
      </w:r>
      <w:r w:rsidR="009E3812" w:rsidRPr="009E3812">
        <w:rPr>
          <w:rFonts w:cs="Arial"/>
          <w:i/>
          <w:sz w:val="22"/>
          <w:szCs w:val="22"/>
          <w:lang w:val="es-ES_tradnl"/>
        </w:rPr>
        <w:t xml:space="preserve"> el Plan Estratégico</w:t>
      </w:r>
      <w:r w:rsidR="00007F70" w:rsidRPr="009E3812">
        <w:rPr>
          <w:rFonts w:cs="Arial"/>
          <w:i/>
          <w:sz w:val="22"/>
          <w:szCs w:val="22"/>
          <w:lang w:val="es-ES_tradnl"/>
        </w:rPr>
        <w:t>)</w:t>
      </w:r>
    </w:p>
    <w:p w14:paraId="26F76E63" w14:textId="77777777" w:rsidR="00007F70" w:rsidRPr="00A9510A" w:rsidRDefault="00007F70" w:rsidP="00007F70">
      <w:pPr>
        <w:jc w:val="center"/>
        <w:rPr>
          <w:rFonts w:cs="Arial"/>
          <w:i/>
          <w:sz w:val="22"/>
          <w:szCs w:val="22"/>
          <w:lang w:val="es-ES_tradnl"/>
        </w:rPr>
      </w:pPr>
    </w:p>
    <w:p w14:paraId="7D529CA9" w14:textId="77777777" w:rsidR="00007F70" w:rsidRPr="00A9510A" w:rsidRDefault="00007F70" w:rsidP="00007F70">
      <w:pPr>
        <w:rPr>
          <w:rFonts w:cs="Arial"/>
          <w:sz w:val="22"/>
          <w:szCs w:val="22"/>
          <w:lang w:val="es-ES_tradnl"/>
        </w:rPr>
      </w:pPr>
      <w:r w:rsidRPr="00A9510A">
        <w:rPr>
          <w:rFonts w:cs="Arial"/>
          <w:noProof/>
          <w:sz w:val="22"/>
          <w:szCs w:val="22"/>
        </w:rPr>
        <mc:AlternateContent>
          <mc:Choice Requires="wps">
            <w:drawing>
              <wp:anchor distT="0" distB="0" distL="114300" distR="114300" simplePos="0" relativeHeight="251659264" behindDoc="0" locked="0" layoutInCell="1" allowOverlap="1" wp14:anchorId="23D6B39E" wp14:editId="27DF3D33">
                <wp:simplePos x="0" y="0"/>
                <wp:positionH relativeFrom="column">
                  <wp:posOffset>800100</wp:posOffset>
                </wp:positionH>
                <wp:positionV relativeFrom="paragraph">
                  <wp:posOffset>132715</wp:posOffset>
                </wp:positionV>
                <wp:extent cx="4610100" cy="4229735"/>
                <wp:effectExtent l="0" t="0" r="38100" b="374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229735"/>
                        </a:xfrm>
                        <a:prstGeom prst="rect">
                          <a:avLst/>
                        </a:prstGeom>
                        <a:solidFill>
                          <a:srgbClr val="FFFFFF"/>
                        </a:solidFill>
                        <a:ln w="3175">
                          <a:solidFill>
                            <a:srgbClr val="000000"/>
                          </a:solidFill>
                          <a:miter lim="800000"/>
                          <a:headEnd/>
                          <a:tailEnd/>
                        </a:ln>
                      </wps:spPr>
                      <wps:txbx>
                        <w:txbxContent>
                          <w:p w14:paraId="061F1EC2" w14:textId="377706B4" w:rsidR="00124973" w:rsidRPr="00BB5876" w:rsidRDefault="00124973" w:rsidP="002F5087">
                            <w:pPr>
                              <w:jc w:val="both"/>
                              <w:rPr>
                                <w:rFonts w:cs="Arial"/>
                                <w:sz w:val="22"/>
                                <w:szCs w:val="22"/>
                                <w:lang w:val="es-ES_tradnl"/>
                              </w:rPr>
                            </w:pPr>
                            <w:r w:rsidRPr="00BB5876">
                              <w:rPr>
                                <w:rFonts w:cs="Arial"/>
                                <w:sz w:val="22"/>
                                <w:szCs w:val="22"/>
                                <w:lang w:val="es-ES_tradnl"/>
                              </w:rPr>
                              <w:t>Resumen</w:t>
                            </w:r>
                            <w:r>
                              <w:rPr>
                                <w:rFonts w:cs="Arial"/>
                                <w:sz w:val="22"/>
                                <w:szCs w:val="22"/>
                                <w:lang w:val="es-ES_tradnl"/>
                              </w:rPr>
                              <w:t>:</w:t>
                            </w:r>
                          </w:p>
                          <w:p w14:paraId="72EBAD13" w14:textId="77777777" w:rsidR="00124973" w:rsidRPr="00BB5876" w:rsidRDefault="00124973" w:rsidP="002F5087">
                            <w:pPr>
                              <w:jc w:val="both"/>
                              <w:rPr>
                                <w:rFonts w:cs="Arial"/>
                                <w:sz w:val="22"/>
                                <w:szCs w:val="22"/>
                                <w:lang w:val="es-ES_tradnl"/>
                              </w:rPr>
                            </w:pPr>
                          </w:p>
                          <w:p w14:paraId="14EFCAB3" w14:textId="6C6B063A" w:rsidR="00124973" w:rsidRPr="00BB5876" w:rsidRDefault="00124973" w:rsidP="002F5087">
                            <w:pPr>
                              <w:jc w:val="both"/>
                              <w:rPr>
                                <w:rFonts w:cs="Arial"/>
                                <w:sz w:val="22"/>
                                <w:szCs w:val="22"/>
                                <w:lang w:val="es-ES_tradnl"/>
                              </w:rPr>
                            </w:pPr>
                            <w:r w:rsidRPr="00BB5876">
                              <w:rPr>
                                <w:rFonts w:cs="Arial"/>
                                <w:sz w:val="22"/>
                                <w:szCs w:val="22"/>
                                <w:lang w:val="es-ES_tradnl"/>
                              </w:rPr>
                              <w:t>Este document</w:t>
                            </w:r>
                            <w:r>
                              <w:rPr>
                                <w:rFonts w:cs="Arial"/>
                                <w:sz w:val="22"/>
                                <w:szCs w:val="22"/>
                                <w:lang w:val="es-ES_tradnl"/>
                              </w:rPr>
                              <w:t>o</w:t>
                            </w:r>
                            <w:r w:rsidRPr="00BB5876">
                              <w:rPr>
                                <w:rFonts w:cs="Arial"/>
                                <w:sz w:val="22"/>
                                <w:szCs w:val="22"/>
                                <w:lang w:val="es-ES_tradnl"/>
                              </w:rPr>
                              <w:t xml:space="preserve"> resume el trabajo </w:t>
                            </w:r>
                            <w:r>
                              <w:rPr>
                                <w:rFonts w:cs="Arial"/>
                                <w:sz w:val="22"/>
                                <w:szCs w:val="22"/>
                                <w:lang w:val="es-ES_tradnl"/>
                              </w:rPr>
                              <w:t xml:space="preserve">llevado a cabo por el Grupo de Trabajo sobre el Plan Estratégico durante el trienio pasado, de acuerdo a las tareas que le fueron asignadas en la Resolución 11.2. Dichas tareas conciernen principalmente a la definición de indicadores para las metas del plan y el desarrollo de un </w:t>
                            </w:r>
                            <w:r w:rsidRPr="00AB3596">
                              <w:rPr>
                                <w:rFonts w:cs="Arial"/>
                                <w:i/>
                                <w:sz w:val="22"/>
                                <w:szCs w:val="22"/>
                                <w:lang w:val="es-ES_tradnl"/>
                              </w:rPr>
                              <w:t>Volumen Complementario sobre Implementación</w:t>
                            </w:r>
                            <w:r>
                              <w:rPr>
                                <w:rFonts w:cs="Arial"/>
                                <w:sz w:val="22"/>
                                <w:szCs w:val="22"/>
                                <w:lang w:val="es-ES_tradnl"/>
                              </w:rPr>
                              <w:t xml:space="preserve"> para apoyar la ejecución del Plan Estratégico.</w:t>
                            </w:r>
                          </w:p>
                          <w:p w14:paraId="22D48A0D" w14:textId="66271FF5" w:rsidR="00124973" w:rsidRPr="00BB5876" w:rsidRDefault="00124973" w:rsidP="002F5087">
                            <w:pPr>
                              <w:jc w:val="both"/>
                              <w:rPr>
                                <w:rFonts w:cs="Arial"/>
                                <w:sz w:val="22"/>
                                <w:szCs w:val="22"/>
                                <w:highlight w:val="yellow"/>
                                <w:lang w:val="es-ES_tradnl"/>
                              </w:rPr>
                            </w:pPr>
                          </w:p>
                          <w:p w14:paraId="019650F3" w14:textId="7C0D1377" w:rsidR="00124973" w:rsidRPr="001A31A0" w:rsidRDefault="00124973" w:rsidP="002F5087">
                            <w:pPr>
                              <w:jc w:val="both"/>
                              <w:rPr>
                                <w:rFonts w:cs="Arial"/>
                                <w:sz w:val="22"/>
                                <w:szCs w:val="22"/>
                                <w:lang w:val="es-ES_tradnl"/>
                              </w:rPr>
                            </w:pPr>
                            <w:r w:rsidRPr="001A31A0">
                              <w:rPr>
                                <w:rFonts w:cs="Arial"/>
                                <w:sz w:val="22"/>
                                <w:szCs w:val="22"/>
                                <w:lang w:val="es-ES_tradnl"/>
                              </w:rPr>
                              <w:t xml:space="preserve">Se incluye un borrador de </w:t>
                            </w:r>
                            <w:r>
                              <w:rPr>
                                <w:rFonts w:cs="Arial"/>
                                <w:sz w:val="22"/>
                                <w:szCs w:val="22"/>
                                <w:lang w:val="es-ES_tradnl"/>
                              </w:rPr>
                              <w:t xml:space="preserve">la </w:t>
                            </w:r>
                            <w:r w:rsidRPr="001A31A0">
                              <w:rPr>
                                <w:rFonts w:cs="Arial"/>
                                <w:sz w:val="22"/>
                                <w:szCs w:val="22"/>
                                <w:lang w:val="es-ES_tradnl"/>
                              </w:rPr>
                              <w:t>resolución</w:t>
                            </w:r>
                            <w:r>
                              <w:rPr>
                                <w:rFonts w:cs="Arial"/>
                                <w:sz w:val="22"/>
                                <w:szCs w:val="22"/>
                                <w:lang w:val="es-ES_tradnl"/>
                              </w:rPr>
                              <w:t>, a través de la cual se invita a las Partes a adoptar el conjunto de indicadores definidos por el Grupo de Trabajo y a respaldar el enfoque elegido para desarrollar el Volumen Complementario como un recurso flexible en línea.</w:t>
                            </w:r>
                          </w:p>
                          <w:p w14:paraId="36E4A813" w14:textId="77777777" w:rsidR="00124973" w:rsidRPr="00BB5876" w:rsidRDefault="00124973" w:rsidP="002F5087">
                            <w:pPr>
                              <w:jc w:val="both"/>
                              <w:rPr>
                                <w:rFonts w:cs="Arial"/>
                                <w:sz w:val="22"/>
                                <w:szCs w:val="22"/>
                                <w:highlight w:val="yellow"/>
                                <w:lang w:val="es-ES_tradnl"/>
                              </w:rPr>
                            </w:pPr>
                          </w:p>
                          <w:p w14:paraId="0B718618" w14:textId="5E98D76F" w:rsidR="00124973" w:rsidRPr="002146CC" w:rsidRDefault="00124973" w:rsidP="002F5087">
                            <w:pPr>
                              <w:jc w:val="both"/>
                              <w:rPr>
                                <w:rFonts w:cs="Arial"/>
                                <w:sz w:val="22"/>
                                <w:szCs w:val="22"/>
                                <w:lang w:val="es-ES_tradnl"/>
                              </w:rPr>
                            </w:pPr>
                            <w:r w:rsidRPr="002146CC">
                              <w:rPr>
                                <w:rFonts w:cs="Arial"/>
                                <w:sz w:val="22"/>
                                <w:szCs w:val="22"/>
                                <w:lang w:val="es-ES_tradnl"/>
                              </w:rPr>
                              <w:t xml:space="preserve">Tanto el Volumen Complementario como </w:t>
                            </w:r>
                            <w:r>
                              <w:rPr>
                                <w:rFonts w:cs="Arial"/>
                                <w:sz w:val="22"/>
                                <w:szCs w:val="22"/>
                                <w:lang w:val="es-ES_tradnl"/>
                              </w:rPr>
                              <w:t xml:space="preserve">el paquete de hojas </w:t>
                            </w:r>
                            <w:r w:rsidRPr="00B801CF">
                              <w:rPr>
                                <w:rFonts w:cs="Arial"/>
                                <w:sz w:val="22"/>
                                <w:szCs w:val="22"/>
                                <w:lang w:val="es-ES_tradnl"/>
                              </w:rPr>
                              <w:t>informativas para los indicadores (proporcionado por separado en el documento UNEP/CMS/COP12/Inf.26</w:t>
                            </w:r>
                            <w:r>
                              <w:rPr>
                                <w:rFonts w:cs="Arial"/>
                                <w:sz w:val="22"/>
                                <w:szCs w:val="22"/>
                                <w:lang w:val="es-ES_tradnl"/>
                              </w:rPr>
                              <w:t xml:space="preserve">) </w:t>
                            </w:r>
                            <w:r w:rsidRPr="00B801CF">
                              <w:rPr>
                                <w:rFonts w:cs="Arial"/>
                                <w:sz w:val="22"/>
                                <w:szCs w:val="22"/>
                                <w:lang w:val="es-ES_tradnl"/>
                              </w:rPr>
                              <w:t xml:space="preserve">han </w:t>
                            </w:r>
                            <w:r>
                              <w:rPr>
                                <w:rFonts w:cs="Arial"/>
                                <w:sz w:val="22"/>
                                <w:szCs w:val="22"/>
                                <w:lang w:val="es-ES_tradnl"/>
                              </w:rPr>
                              <w:t xml:space="preserve">sido </w:t>
                            </w:r>
                            <w:r w:rsidRPr="00B801CF">
                              <w:rPr>
                                <w:rFonts w:cs="Arial"/>
                                <w:sz w:val="22"/>
                                <w:szCs w:val="22"/>
                                <w:lang w:val="es-ES_tradnl"/>
                              </w:rPr>
                              <w:t>concebido</w:t>
                            </w:r>
                            <w:r>
                              <w:rPr>
                                <w:rFonts w:cs="Arial"/>
                                <w:sz w:val="22"/>
                                <w:szCs w:val="22"/>
                                <w:lang w:val="es-ES_tradnl"/>
                              </w:rPr>
                              <w:t>s</w:t>
                            </w:r>
                            <w:r w:rsidRPr="00B801CF">
                              <w:rPr>
                                <w:rFonts w:cs="Arial"/>
                                <w:sz w:val="22"/>
                                <w:szCs w:val="22"/>
                                <w:lang w:val="es-ES_tradnl"/>
                              </w:rPr>
                              <w:t xml:space="preserve"> como</w:t>
                            </w:r>
                            <w:r>
                              <w:rPr>
                                <w:rFonts w:cs="Arial"/>
                                <w:sz w:val="22"/>
                                <w:szCs w:val="22"/>
                                <w:lang w:val="es-ES_tradnl"/>
                              </w:rPr>
                              <w:t xml:space="preserve"> documentos en evolución que serán actualizados en el futuro según lo requiera la COP con el fin de proporcionar a todas las Partes las herramientas necesarias para implementar el Plan Estratégico.</w:t>
                            </w:r>
                          </w:p>
                          <w:p w14:paraId="3744558D" w14:textId="77777777" w:rsidR="00124973" w:rsidRPr="00B23ABB" w:rsidRDefault="00124973" w:rsidP="002F5087">
                            <w:pPr>
                              <w:jc w:val="both"/>
                              <w:rPr>
                                <w:rFonts w:cs="Arial"/>
                                <w:sz w:val="22"/>
                                <w:szCs w:val="22"/>
                                <w:lang w:val="es-ES_tradnl"/>
                              </w:rPr>
                            </w:pPr>
                          </w:p>
                          <w:p w14:paraId="5050147A" w14:textId="35EDF719" w:rsidR="00124973" w:rsidRPr="00B23ABB" w:rsidRDefault="00124973" w:rsidP="002F5087">
                            <w:pPr>
                              <w:jc w:val="both"/>
                              <w:rPr>
                                <w:rFonts w:cs="Arial"/>
                                <w:sz w:val="22"/>
                                <w:szCs w:val="22"/>
                                <w:lang w:val="es-ES_tradnl"/>
                              </w:rPr>
                            </w:pPr>
                            <w:r>
                              <w:rPr>
                                <w:rFonts w:cs="Arial"/>
                                <w:sz w:val="22"/>
                                <w:szCs w:val="22"/>
                                <w:lang w:val="es-ES_tradnl"/>
                              </w:rPr>
                              <w:t>Se ha propuesto</w:t>
                            </w:r>
                            <w:r w:rsidRPr="00B23ABB">
                              <w:rPr>
                                <w:rFonts w:cs="Arial"/>
                                <w:sz w:val="22"/>
                                <w:szCs w:val="22"/>
                                <w:lang w:val="es-ES_tradnl"/>
                              </w:rPr>
                              <w:t xml:space="preserve"> además que la COP identifique elementos para ser añadidos al Volumen Complementario y/o a las hojas informativas sobre los indicadores durante el próximo trienio y considere trabajo futuro para el periodo entre sesiones.</w:t>
                            </w:r>
                          </w:p>
                          <w:p w14:paraId="63F9A5EA" w14:textId="16702F60" w:rsidR="00124973" w:rsidRPr="00BB5876" w:rsidRDefault="00124973" w:rsidP="002F5087">
                            <w:pPr>
                              <w:jc w:val="both"/>
                              <w:rPr>
                                <w:rFonts w:cs="Arial"/>
                                <w:sz w:val="22"/>
                                <w:szCs w:val="22"/>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B39E" id="_x0000_t202" coordsize="21600,21600" o:spt="202" path="m,l,21600r21600,l21600,xe">
                <v:stroke joinstyle="miter"/>
                <v:path gradientshapeok="t" o:connecttype="rect"/>
              </v:shapetype>
              <v:shape id="Text Box 4" o:spid="_x0000_s1026" type="#_x0000_t202" style="position:absolute;margin-left:63pt;margin-top:10.45pt;width:363pt;height:3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" strokeweight=".25pt">
                <v:textbox>
                  <w:txbxContent>
                    <w:p w14:paraId="061F1EC2" w14:textId="377706B4" w:rsidR="00124973" w:rsidRPr="00BB5876" w:rsidRDefault="00124973" w:rsidP="002F5087">
                      <w:pPr>
                        <w:jc w:val="both"/>
                        <w:rPr>
                          <w:rFonts w:cs="Arial"/>
                          <w:sz w:val="22"/>
                          <w:szCs w:val="22"/>
                          <w:lang w:val="es-ES_tradnl"/>
                        </w:rPr>
                      </w:pPr>
                      <w:r w:rsidRPr="00BB5876">
                        <w:rPr>
                          <w:rFonts w:cs="Arial"/>
                          <w:sz w:val="22"/>
                          <w:szCs w:val="22"/>
                          <w:lang w:val="es-ES_tradnl"/>
                        </w:rPr>
                        <w:t>Resumen</w:t>
                      </w:r>
                      <w:r>
                        <w:rPr>
                          <w:rFonts w:cs="Arial"/>
                          <w:sz w:val="22"/>
                          <w:szCs w:val="22"/>
                          <w:lang w:val="es-ES_tradnl"/>
                        </w:rPr>
                        <w:t>:</w:t>
                      </w:r>
                    </w:p>
                    <w:p w14:paraId="72EBAD13" w14:textId="77777777" w:rsidR="00124973" w:rsidRPr="00BB5876" w:rsidRDefault="00124973" w:rsidP="002F5087">
                      <w:pPr>
                        <w:jc w:val="both"/>
                        <w:rPr>
                          <w:rFonts w:cs="Arial"/>
                          <w:sz w:val="22"/>
                          <w:szCs w:val="22"/>
                          <w:lang w:val="es-ES_tradnl"/>
                        </w:rPr>
                      </w:pPr>
                    </w:p>
                    <w:p w14:paraId="14EFCAB3" w14:textId="6C6B063A" w:rsidR="00124973" w:rsidRPr="00BB5876" w:rsidRDefault="00124973" w:rsidP="002F5087">
                      <w:pPr>
                        <w:jc w:val="both"/>
                        <w:rPr>
                          <w:rFonts w:cs="Arial"/>
                          <w:sz w:val="22"/>
                          <w:szCs w:val="22"/>
                          <w:lang w:val="es-ES_tradnl"/>
                        </w:rPr>
                      </w:pPr>
                      <w:r w:rsidRPr="00BB5876">
                        <w:rPr>
                          <w:rFonts w:cs="Arial"/>
                          <w:sz w:val="22"/>
                          <w:szCs w:val="22"/>
                          <w:lang w:val="es-ES_tradnl"/>
                        </w:rPr>
                        <w:t>Este document</w:t>
                      </w:r>
                      <w:r>
                        <w:rPr>
                          <w:rFonts w:cs="Arial"/>
                          <w:sz w:val="22"/>
                          <w:szCs w:val="22"/>
                          <w:lang w:val="es-ES_tradnl"/>
                        </w:rPr>
                        <w:t>o</w:t>
                      </w:r>
                      <w:r w:rsidRPr="00BB5876">
                        <w:rPr>
                          <w:rFonts w:cs="Arial"/>
                          <w:sz w:val="22"/>
                          <w:szCs w:val="22"/>
                          <w:lang w:val="es-ES_tradnl"/>
                        </w:rPr>
                        <w:t xml:space="preserve"> resume el trabajo </w:t>
                      </w:r>
                      <w:r>
                        <w:rPr>
                          <w:rFonts w:cs="Arial"/>
                          <w:sz w:val="22"/>
                          <w:szCs w:val="22"/>
                          <w:lang w:val="es-ES_tradnl"/>
                        </w:rPr>
                        <w:t xml:space="preserve">llevado a cabo por el Grupo de Trabajo sobre el Plan Estratégico durante el trienio pasado, de acuerdo a las tareas que le fueron asignadas en la Resolución 11.2. Dichas tareas conciernen principalmente a la definición de indicadores para las metas del plan y el desarrollo de un </w:t>
                      </w:r>
                      <w:r w:rsidRPr="00AB3596">
                        <w:rPr>
                          <w:rFonts w:cs="Arial"/>
                          <w:i/>
                          <w:sz w:val="22"/>
                          <w:szCs w:val="22"/>
                          <w:lang w:val="es-ES_tradnl"/>
                        </w:rPr>
                        <w:t>Volumen Complementario sobre Implementación</w:t>
                      </w:r>
                      <w:r>
                        <w:rPr>
                          <w:rFonts w:cs="Arial"/>
                          <w:sz w:val="22"/>
                          <w:szCs w:val="22"/>
                          <w:lang w:val="es-ES_tradnl"/>
                        </w:rPr>
                        <w:t xml:space="preserve"> para apoyar la ejecución del Plan Estratégico.</w:t>
                      </w:r>
                    </w:p>
                    <w:p w14:paraId="22D48A0D" w14:textId="66271FF5" w:rsidR="00124973" w:rsidRPr="00BB5876" w:rsidRDefault="00124973" w:rsidP="002F5087">
                      <w:pPr>
                        <w:jc w:val="both"/>
                        <w:rPr>
                          <w:rFonts w:cs="Arial"/>
                          <w:sz w:val="22"/>
                          <w:szCs w:val="22"/>
                          <w:highlight w:val="yellow"/>
                          <w:lang w:val="es-ES_tradnl"/>
                        </w:rPr>
                      </w:pPr>
                    </w:p>
                    <w:p w14:paraId="019650F3" w14:textId="7C0D1377" w:rsidR="00124973" w:rsidRPr="001A31A0" w:rsidRDefault="00124973" w:rsidP="002F5087">
                      <w:pPr>
                        <w:jc w:val="both"/>
                        <w:rPr>
                          <w:rFonts w:cs="Arial"/>
                          <w:sz w:val="22"/>
                          <w:szCs w:val="22"/>
                          <w:lang w:val="es-ES_tradnl"/>
                        </w:rPr>
                      </w:pPr>
                      <w:r w:rsidRPr="001A31A0">
                        <w:rPr>
                          <w:rFonts w:cs="Arial"/>
                          <w:sz w:val="22"/>
                          <w:szCs w:val="22"/>
                          <w:lang w:val="es-ES_tradnl"/>
                        </w:rPr>
                        <w:t xml:space="preserve">Se incluye un borrador de </w:t>
                      </w:r>
                      <w:r>
                        <w:rPr>
                          <w:rFonts w:cs="Arial"/>
                          <w:sz w:val="22"/>
                          <w:szCs w:val="22"/>
                          <w:lang w:val="es-ES_tradnl"/>
                        </w:rPr>
                        <w:t xml:space="preserve">la </w:t>
                      </w:r>
                      <w:r w:rsidRPr="001A31A0">
                        <w:rPr>
                          <w:rFonts w:cs="Arial"/>
                          <w:sz w:val="22"/>
                          <w:szCs w:val="22"/>
                          <w:lang w:val="es-ES_tradnl"/>
                        </w:rPr>
                        <w:t>resolución</w:t>
                      </w:r>
                      <w:r>
                        <w:rPr>
                          <w:rFonts w:cs="Arial"/>
                          <w:sz w:val="22"/>
                          <w:szCs w:val="22"/>
                          <w:lang w:val="es-ES_tradnl"/>
                        </w:rPr>
                        <w:t>, a través de la cual se invita a las Partes a adoptar el conjunto de indicadores definidos por el Grupo de Trabajo y a respaldar el enfoque elegido para desarrollar el Volumen Complementario como un recurso flexible en línea.</w:t>
                      </w:r>
                    </w:p>
                    <w:p w14:paraId="36E4A813" w14:textId="77777777" w:rsidR="00124973" w:rsidRPr="00BB5876" w:rsidRDefault="00124973" w:rsidP="002F5087">
                      <w:pPr>
                        <w:jc w:val="both"/>
                        <w:rPr>
                          <w:rFonts w:cs="Arial"/>
                          <w:sz w:val="22"/>
                          <w:szCs w:val="22"/>
                          <w:highlight w:val="yellow"/>
                          <w:lang w:val="es-ES_tradnl"/>
                        </w:rPr>
                      </w:pPr>
                    </w:p>
                    <w:p w14:paraId="0B718618" w14:textId="5E98D76F" w:rsidR="00124973" w:rsidRPr="002146CC" w:rsidRDefault="00124973" w:rsidP="002F5087">
                      <w:pPr>
                        <w:jc w:val="both"/>
                        <w:rPr>
                          <w:rFonts w:cs="Arial"/>
                          <w:sz w:val="22"/>
                          <w:szCs w:val="22"/>
                          <w:lang w:val="es-ES_tradnl"/>
                        </w:rPr>
                      </w:pPr>
                      <w:r w:rsidRPr="002146CC">
                        <w:rPr>
                          <w:rFonts w:cs="Arial"/>
                          <w:sz w:val="22"/>
                          <w:szCs w:val="22"/>
                          <w:lang w:val="es-ES_tradnl"/>
                        </w:rPr>
                        <w:t xml:space="preserve">Tanto el Volumen Complementario como </w:t>
                      </w:r>
                      <w:r>
                        <w:rPr>
                          <w:rFonts w:cs="Arial"/>
                          <w:sz w:val="22"/>
                          <w:szCs w:val="22"/>
                          <w:lang w:val="es-ES_tradnl"/>
                        </w:rPr>
                        <w:t xml:space="preserve">el paquete de hojas </w:t>
                      </w:r>
                      <w:r w:rsidRPr="00B801CF">
                        <w:rPr>
                          <w:rFonts w:cs="Arial"/>
                          <w:sz w:val="22"/>
                          <w:szCs w:val="22"/>
                          <w:lang w:val="es-ES_tradnl"/>
                        </w:rPr>
                        <w:t>informativas para los indicadores (proporcionado por separado en el documento UNEP/CMS/COP12/Inf.26</w:t>
                      </w:r>
                      <w:r>
                        <w:rPr>
                          <w:rFonts w:cs="Arial"/>
                          <w:sz w:val="22"/>
                          <w:szCs w:val="22"/>
                          <w:lang w:val="es-ES_tradnl"/>
                        </w:rPr>
                        <w:t xml:space="preserve">) </w:t>
                      </w:r>
                      <w:r w:rsidRPr="00B801CF">
                        <w:rPr>
                          <w:rFonts w:cs="Arial"/>
                          <w:sz w:val="22"/>
                          <w:szCs w:val="22"/>
                          <w:lang w:val="es-ES_tradnl"/>
                        </w:rPr>
                        <w:t xml:space="preserve">han </w:t>
                      </w:r>
                      <w:r>
                        <w:rPr>
                          <w:rFonts w:cs="Arial"/>
                          <w:sz w:val="22"/>
                          <w:szCs w:val="22"/>
                          <w:lang w:val="es-ES_tradnl"/>
                        </w:rPr>
                        <w:t xml:space="preserve">sido </w:t>
                      </w:r>
                      <w:r w:rsidRPr="00B801CF">
                        <w:rPr>
                          <w:rFonts w:cs="Arial"/>
                          <w:sz w:val="22"/>
                          <w:szCs w:val="22"/>
                          <w:lang w:val="es-ES_tradnl"/>
                        </w:rPr>
                        <w:t>concebido</w:t>
                      </w:r>
                      <w:r>
                        <w:rPr>
                          <w:rFonts w:cs="Arial"/>
                          <w:sz w:val="22"/>
                          <w:szCs w:val="22"/>
                          <w:lang w:val="es-ES_tradnl"/>
                        </w:rPr>
                        <w:t>s</w:t>
                      </w:r>
                      <w:r w:rsidRPr="00B801CF">
                        <w:rPr>
                          <w:rFonts w:cs="Arial"/>
                          <w:sz w:val="22"/>
                          <w:szCs w:val="22"/>
                          <w:lang w:val="es-ES_tradnl"/>
                        </w:rPr>
                        <w:t xml:space="preserve"> como</w:t>
                      </w:r>
                      <w:r>
                        <w:rPr>
                          <w:rFonts w:cs="Arial"/>
                          <w:sz w:val="22"/>
                          <w:szCs w:val="22"/>
                          <w:lang w:val="es-ES_tradnl"/>
                        </w:rPr>
                        <w:t xml:space="preserve"> documentos en evolución que serán actualizados en el futuro según lo requiera la COP con el fin de proporcionar a todas las Partes las herramientas necesarias para implementar el Plan Estratégico.</w:t>
                      </w:r>
                    </w:p>
                    <w:p w14:paraId="3744558D" w14:textId="77777777" w:rsidR="00124973" w:rsidRPr="00B23ABB" w:rsidRDefault="00124973" w:rsidP="002F5087">
                      <w:pPr>
                        <w:jc w:val="both"/>
                        <w:rPr>
                          <w:rFonts w:cs="Arial"/>
                          <w:sz w:val="22"/>
                          <w:szCs w:val="22"/>
                          <w:lang w:val="es-ES_tradnl"/>
                        </w:rPr>
                      </w:pPr>
                    </w:p>
                    <w:p w14:paraId="5050147A" w14:textId="35EDF719" w:rsidR="00124973" w:rsidRPr="00B23ABB" w:rsidRDefault="00124973" w:rsidP="002F5087">
                      <w:pPr>
                        <w:jc w:val="both"/>
                        <w:rPr>
                          <w:rFonts w:cs="Arial"/>
                          <w:sz w:val="22"/>
                          <w:szCs w:val="22"/>
                          <w:lang w:val="es-ES_tradnl"/>
                        </w:rPr>
                      </w:pPr>
                      <w:r>
                        <w:rPr>
                          <w:rFonts w:cs="Arial"/>
                          <w:sz w:val="22"/>
                          <w:szCs w:val="22"/>
                          <w:lang w:val="es-ES_tradnl"/>
                        </w:rPr>
                        <w:t>Se ha propuesto</w:t>
                      </w:r>
                      <w:r w:rsidRPr="00B23ABB">
                        <w:rPr>
                          <w:rFonts w:cs="Arial"/>
                          <w:sz w:val="22"/>
                          <w:szCs w:val="22"/>
                          <w:lang w:val="es-ES_tradnl"/>
                        </w:rPr>
                        <w:t xml:space="preserve"> además que la COP identifique elementos para ser añadidos al Volumen Complementario y/o a las hojas informativas sobre los indicadores durante el próximo trienio y considere trabajo futuro para el periodo entre sesiones.</w:t>
                      </w:r>
                    </w:p>
                    <w:p w14:paraId="63F9A5EA" w14:textId="16702F60" w:rsidR="00124973" w:rsidRPr="00BB5876" w:rsidRDefault="00124973" w:rsidP="002F5087">
                      <w:pPr>
                        <w:jc w:val="both"/>
                        <w:rPr>
                          <w:rFonts w:cs="Arial"/>
                          <w:sz w:val="22"/>
                          <w:szCs w:val="22"/>
                          <w:lang w:val="es-ES_tradnl"/>
                        </w:rPr>
                      </w:pPr>
                    </w:p>
                  </w:txbxContent>
                </v:textbox>
              </v:shape>
            </w:pict>
          </mc:Fallback>
        </mc:AlternateContent>
      </w:r>
    </w:p>
    <w:p w14:paraId="6550F149" w14:textId="77777777" w:rsidR="00007F70" w:rsidRPr="00A9510A" w:rsidRDefault="00007F70" w:rsidP="00007F70">
      <w:pPr>
        <w:rPr>
          <w:rFonts w:cs="Arial"/>
          <w:sz w:val="22"/>
          <w:szCs w:val="22"/>
          <w:lang w:val="es-ES_tradnl"/>
        </w:rPr>
      </w:pPr>
    </w:p>
    <w:p w14:paraId="6D455AF4" w14:textId="77777777" w:rsidR="00007F70" w:rsidRPr="00A9510A" w:rsidRDefault="00007F70" w:rsidP="00007F70">
      <w:pPr>
        <w:rPr>
          <w:rFonts w:cs="Arial"/>
          <w:sz w:val="22"/>
          <w:szCs w:val="22"/>
          <w:lang w:val="es-ES_tradnl"/>
        </w:rPr>
      </w:pPr>
    </w:p>
    <w:p w14:paraId="18BF2FE4" w14:textId="77777777" w:rsidR="00007F70" w:rsidRPr="00A9510A" w:rsidRDefault="00007F70" w:rsidP="00007F70">
      <w:pPr>
        <w:rPr>
          <w:rFonts w:cs="Arial"/>
          <w:sz w:val="22"/>
          <w:szCs w:val="22"/>
          <w:lang w:val="es-ES_tradnl"/>
        </w:rPr>
      </w:pPr>
    </w:p>
    <w:p w14:paraId="799CEB02" w14:textId="77777777" w:rsidR="00007F70" w:rsidRPr="00A9510A" w:rsidRDefault="00007F70" w:rsidP="00007F70">
      <w:pPr>
        <w:rPr>
          <w:rFonts w:cs="Arial"/>
          <w:sz w:val="22"/>
          <w:szCs w:val="22"/>
          <w:lang w:val="es-ES_tradnl"/>
        </w:rPr>
      </w:pPr>
    </w:p>
    <w:p w14:paraId="13F099E0" w14:textId="77777777" w:rsidR="00007F70" w:rsidRPr="00A9510A" w:rsidRDefault="00007F70" w:rsidP="00007F70">
      <w:pPr>
        <w:rPr>
          <w:rFonts w:cs="Arial"/>
          <w:sz w:val="22"/>
          <w:szCs w:val="22"/>
          <w:lang w:val="es-ES_tradnl"/>
        </w:rPr>
      </w:pPr>
    </w:p>
    <w:p w14:paraId="104BDA74" w14:textId="77777777" w:rsidR="00007F70" w:rsidRPr="00A9510A" w:rsidRDefault="00007F70" w:rsidP="00007F70">
      <w:pPr>
        <w:rPr>
          <w:rFonts w:cs="Arial"/>
          <w:sz w:val="22"/>
          <w:szCs w:val="22"/>
          <w:lang w:val="es-ES_tradnl"/>
        </w:rPr>
      </w:pPr>
    </w:p>
    <w:p w14:paraId="490850D5" w14:textId="77777777" w:rsidR="00007F70" w:rsidRPr="00A9510A" w:rsidRDefault="00007F70" w:rsidP="00007F70">
      <w:pPr>
        <w:rPr>
          <w:rFonts w:cs="Arial"/>
          <w:sz w:val="22"/>
          <w:szCs w:val="22"/>
          <w:lang w:val="es-ES_tradnl"/>
        </w:rPr>
      </w:pPr>
    </w:p>
    <w:p w14:paraId="5F11DA29" w14:textId="77777777" w:rsidR="00007F70" w:rsidRPr="00A9510A" w:rsidRDefault="00007F70" w:rsidP="00007F70">
      <w:pPr>
        <w:rPr>
          <w:rFonts w:cs="Arial"/>
          <w:sz w:val="22"/>
          <w:szCs w:val="22"/>
          <w:lang w:val="es-ES_tradnl"/>
        </w:rPr>
      </w:pPr>
    </w:p>
    <w:p w14:paraId="4AEB4E7B" w14:textId="77777777" w:rsidR="00007F70" w:rsidRPr="00A9510A" w:rsidRDefault="00007F70" w:rsidP="00007F70">
      <w:pPr>
        <w:rPr>
          <w:rFonts w:cs="Arial"/>
          <w:sz w:val="22"/>
          <w:szCs w:val="22"/>
          <w:lang w:val="es-ES_tradnl"/>
        </w:rPr>
      </w:pPr>
    </w:p>
    <w:p w14:paraId="402E9AA0" w14:textId="77777777" w:rsidR="00007F70" w:rsidRPr="00A9510A" w:rsidRDefault="00007F70" w:rsidP="00007F70">
      <w:pPr>
        <w:rPr>
          <w:rFonts w:cs="Arial"/>
          <w:sz w:val="22"/>
          <w:szCs w:val="22"/>
          <w:lang w:val="es-ES_tradnl"/>
        </w:rPr>
      </w:pPr>
    </w:p>
    <w:p w14:paraId="56EED313" w14:textId="77777777" w:rsidR="00007F70" w:rsidRPr="00A9510A" w:rsidRDefault="00007F70" w:rsidP="00007F70">
      <w:pPr>
        <w:rPr>
          <w:rFonts w:cs="Arial"/>
          <w:sz w:val="22"/>
          <w:szCs w:val="22"/>
          <w:lang w:val="es-ES_tradnl"/>
        </w:rPr>
      </w:pPr>
    </w:p>
    <w:p w14:paraId="23246FC6" w14:textId="77777777" w:rsidR="00007F70" w:rsidRPr="00A9510A" w:rsidRDefault="00007F70" w:rsidP="00007F70">
      <w:pPr>
        <w:rPr>
          <w:rFonts w:cs="Arial"/>
          <w:sz w:val="22"/>
          <w:szCs w:val="22"/>
          <w:lang w:val="es-ES_tradnl"/>
        </w:rPr>
      </w:pPr>
    </w:p>
    <w:p w14:paraId="47E0B9AC" w14:textId="77777777" w:rsidR="00007F70" w:rsidRPr="00A9510A" w:rsidRDefault="00007F70" w:rsidP="00007F70">
      <w:pPr>
        <w:rPr>
          <w:rFonts w:cs="Arial"/>
          <w:sz w:val="22"/>
          <w:szCs w:val="22"/>
          <w:lang w:val="es-ES_tradnl"/>
        </w:rPr>
      </w:pPr>
    </w:p>
    <w:p w14:paraId="133FE4E9" w14:textId="77777777" w:rsidR="00007F70" w:rsidRPr="00A9510A" w:rsidRDefault="00007F70" w:rsidP="00007F70">
      <w:pPr>
        <w:rPr>
          <w:rFonts w:cs="Arial"/>
          <w:sz w:val="22"/>
          <w:szCs w:val="22"/>
          <w:lang w:val="es-ES_tradnl"/>
        </w:rPr>
      </w:pPr>
    </w:p>
    <w:p w14:paraId="153D87ED" w14:textId="77777777" w:rsidR="00007F70" w:rsidRPr="00A9510A" w:rsidRDefault="00007F70" w:rsidP="00007F70">
      <w:pPr>
        <w:rPr>
          <w:rFonts w:cs="Arial"/>
          <w:sz w:val="22"/>
          <w:szCs w:val="22"/>
          <w:lang w:val="es-ES_tradnl"/>
        </w:rPr>
      </w:pPr>
    </w:p>
    <w:p w14:paraId="74945B4C" w14:textId="77777777" w:rsidR="00007F70" w:rsidRPr="00A9510A" w:rsidRDefault="00007F70" w:rsidP="00007F70">
      <w:pPr>
        <w:rPr>
          <w:rFonts w:cs="Arial"/>
          <w:sz w:val="22"/>
          <w:szCs w:val="22"/>
          <w:lang w:val="es-ES_tradnl"/>
        </w:rPr>
      </w:pPr>
    </w:p>
    <w:p w14:paraId="7A7F6865" w14:textId="77777777" w:rsidR="00007F70" w:rsidRPr="00A9510A" w:rsidRDefault="00007F70" w:rsidP="00007F70">
      <w:pPr>
        <w:rPr>
          <w:rFonts w:cs="Arial"/>
          <w:sz w:val="22"/>
          <w:szCs w:val="22"/>
          <w:lang w:val="es-ES_tradnl"/>
        </w:rPr>
      </w:pPr>
    </w:p>
    <w:p w14:paraId="04D4D937" w14:textId="77777777" w:rsidR="00007F70" w:rsidRPr="00A9510A" w:rsidRDefault="00007F70" w:rsidP="00007F70">
      <w:pPr>
        <w:rPr>
          <w:rFonts w:cs="Arial"/>
          <w:sz w:val="22"/>
          <w:szCs w:val="22"/>
          <w:lang w:val="es-ES_tradnl"/>
        </w:rPr>
      </w:pPr>
    </w:p>
    <w:p w14:paraId="749DC375" w14:textId="77777777" w:rsidR="00007F70" w:rsidRPr="00A9510A" w:rsidRDefault="00007F70" w:rsidP="00007F70">
      <w:pPr>
        <w:rPr>
          <w:rFonts w:cs="Arial"/>
          <w:sz w:val="22"/>
          <w:szCs w:val="22"/>
          <w:lang w:val="es-ES_tradnl"/>
        </w:rPr>
      </w:pPr>
    </w:p>
    <w:p w14:paraId="63604D59" w14:textId="77777777" w:rsidR="00007F70" w:rsidRPr="00A9510A" w:rsidRDefault="00007F70" w:rsidP="00007F70">
      <w:pPr>
        <w:rPr>
          <w:rFonts w:cs="Arial"/>
          <w:sz w:val="22"/>
          <w:szCs w:val="22"/>
          <w:lang w:val="es-ES_tradnl"/>
        </w:rPr>
      </w:pPr>
    </w:p>
    <w:p w14:paraId="00843444" w14:textId="77777777" w:rsidR="00007F70" w:rsidRPr="00A9510A" w:rsidRDefault="00007F70" w:rsidP="00007F70">
      <w:pPr>
        <w:rPr>
          <w:rFonts w:cs="Arial"/>
          <w:sz w:val="22"/>
          <w:szCs w:val="22"/>
          <w:lang w:val="es-ES_tradnl"/>
        </w:rPr>
      </w:pPr>
    </w:p>
    <w:p w14:paraId="6AD5BB84" w14:textId="77777777" w:rsidR="00007F70" w:rsidRPr="00A9510A" w:rsidRDefault="00007F70" w:rsidP="00007F70">
      <w:pPr>
        <w:rPr>
          <w:rFonts w:cs="Arial"/>
          <w:sz w:val="22"/>
          <w:szCs w:val="22"/>
          <w:lang w:val="es-ES_tradnl"/>
        </w:rPr>
      </w:pPr>
    </w:p>
    <w:p w14:paraId="2487943E" w14:textId="77777777" w:rsidR="00007F70" w:rsidRPr="00A9510A" w:rsidRDefault="00007F70" w:rsidP="00007F70">
      <w:pPr>
        <w:rPr>
          <w:rFonts w:cs="Arial"/>
          <w:sz w:val="22"/>
          <w:szCs w:val="22"/>
          <w:lang w:val="es-ES_tradnl"/>
        </w:rPr>
      </w:pPr>
    </w:p>
    <w:p w14:paraId="004ED316" w14:textId="77777777" w:rsidR="00007F70" w:rsidRPr="00A9510A" w:rsidRDefault="00007F70" w:rsidP="00007F70">
      <w:pPr>
        <w:rPr>
          <w:rFonts w:cs="Arial"/>
          <w:sz w:val="22"/>
          <w:szCs w:val="22"/>
          <w:lang w:val="es-ES_tradnl"/>
        </w:rPr>
      </w:pPr>
    </w:p>
    <w:p w14:paraId="6B04AE2F" w14:textId="77777777" w:rsidR="00007F70" w:rsidRPr="00A9510A" w:rsidRDefault="00007F70" w:rsidP="00007F70">
      <w:pPr>
        <w:rPr>
          <w:rFonts w:cs="Arial"/>
          <w:sz w:val="22"/>
          <w:szCs w:val="22"/>
          <w:lang w:val="es-ES_tradnl"/>
        </w:rPr>
      </w:pPr>
    </w:p>
    <w:p w14:paraId="2D9B2DF3" w14:textId="77777777" w:rsidR="00007F70" w:rsidRPr="00A9510A" w:rsidRDefault="00007F70" w:rsidP="00007F70">
      <w:pPr>
        <w:rPr>
          <w:rFonts w:cs="Arial"/>
          <w:sz w:val="22"/>
          <w:szCs w:val="22"/>
          <w:lang w:val="es-ES_tradnl"/>
        </w:rPr>
      </w:pPr>
    </w:p>
    <w:p w14:paraId="353E824B" w14:textId="689A0624" w:rsidR="00007F70" w:rsidRPr="00A9510A" w:rsidRDefault="00007F70" w:rsidP="00007F70">
      <w:pPr>
        <w:rPr>
          <w:rFonts w:cs="Arial"/>
          <w:sz w:val="22"/>
          <w:szCs w:val="22"/>
          <w:lang w:val="es-ES_tradnl"/>
        </w:rPr>
      </w:pPr>
    </w:p>
    <w:p w14:paraId="3A1947DF" w14:textId="77777777" w:rsidR="00007F70" w:rsidRPr="00A9510A" w:rsidRDefault="00007F70" w:rsidP="00007F70">
      <w:pPr>
        <w:rPr>
          <w:rFonts w:cs="Arial"/>
          <w:sz w:val="22"/>
          <w:szCs w:val="22"/>
          <w:lang w:val="es-ES_tradnl"/>
        </w:rPr>
      </w:pPr>
    </w:p>
    <w:p w14:paraId="76E6FA91" w14:textId="77777777" w:rsidR="00007F70" w:rsidRPr="00A9510A" w:rsidRDefault="00007F70" w:rsidP="00007F70">
      <w:pPr>
        <w:rPr>
          <w:rFonts w:cs="Arial"/>
          <w:sz w:val="22"/>
          <w:szCs w:val="22"/>
          <w:lang w:val="es-ES_tradnl"/>
        </w:rPr>
      </w:pPr>
    </w:p>
    <w:p w14:paraId="16279499" w14:textId="77777777" w:rsidR="00007F70" w:rsidRPr="00A9510A" w:rsidRDefault="00007F70" w:rsidP="00007F70">
      <w:pPr>
        <w:rPr>
          <w:rFonts w:cs="Arial"/>
          <w:sz w:val="22"/>
          <w:szCs w:val="22"/>
          <w:lang w:val="es-ES_tradnl"/>
        </w:rPr>
      </w:pPr>
    </w:p>
    <w:p w14:paraId="077C783E" w14:textId="77777777" w:rsidR="00007F70" w:rsidRPr="00A9510A" w:rsidRDefault="00007F70" w:rsidP="00007F70">
      <w:pPr>
        <w:rPr>
          <w:rFonts w:cs="Arial"/>
          <w:sz w:val="22"/>
          <w:szCs w:val="22"/>
          <w:lang w:val="es-ES_tradnl"/>
        </w:rPr>
      </w:pPr>
    </w:p>
    <w:p w14:paraId="4D1DA103" w14:textId="77777777" w:rsidR="00007F70" w:rsidRPr="00101681" w:rsidRDefault="00007F70" w:rsidP="00007F70">
      <w:pPr>
        <w:tabs>
          <w:tab w:val="left" w:pos="1020"/>
        </w:tabs>
        <w:rPr>
          <w:rFonts w:cs="Arial"/>
          <w:sz w:val="22"/>
          <w:szCs w:val="22"/>
          <w:lang w:val="es-ES"/>
        </w:rPr>
        <w:sectPr w:rsidR="00007F70" w:rsidRPr="00101681" w:rsidSect="002F50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66" w:right="1134" w:bottom="1418" w:left="1134" w:header="142" w:footer="431" w:gutter="0"/>
          <w:cols w:space="720"/>
          <w:noEndnote/>
          <w:titlePg/>
          <w:docGrid w:linePitch="272"/>
        </w:sectPr>
      </w:pPr>
    </w:p>
    <w:p w14:paraId="07D6955E" w14:textId="77777777" w:rsidR="00DA4990" w:rsidRPr="00101681" w:rsidRDefault="00DA4990" w:rsidP="001C6974">
      <w:pPr>
        <w:jc w:val="center"/>
        <w:rPr>
          <w:rFonts w:eastAsia="MS Mincho" w:cs="Arial"/>
          <w:b/>
          <w:bCs/>
          <w:color w:val="000000"/>
          <w:sz w:val="22"/>
          <w:szCs w:val="22"/>
          <w:lang w:val="es-ES" w:eastAsia="ja-JP"/>
        </w:rPr>
      </w:pPr>
    </w:p>
    <w:p w14:paraId="0DB0177C" w14:textId="533A7591" w:rsidR="00B10365" w:rsidRPr="00B10365" w:rsidRDefault="00B10365" w:rsidP="001C6974">
      <w:pPr>
        <w:jc w:val="center"/>
        <w:rPr>
          <w:rFonts w:eastAsia="MS Mincho" w:cs="Arial"/>
          <w:b/>
          <w:bCs/>
          <w:color w:val="000000"/>
          <w:sz w:val="22"/>
          <w:szCs w:val="22"/>
          <w:lang w:val="es-ES_tradnl" w:eastAsia="ja-JP"/>
        </w:rPr>
      </w:pPr>
      <w:r w:rsidRPr="00B10365">
        <w:rPr>
          <w:rFonts w:eastAsia="MS Mincho" w:cs="Arial"/>
          <w:b/>
          <w:bCs/>
          <w:color w:val="000000"/>
          <w:sz w:val="22"/>
          <w:szCs w:val="22"/>
          <w:lang w:val="es-ES_tradnl" w:eastAsia="ja-JP"/>
        </w:rPr>
        <w:t>PLAN ESTRATÉGICO PARA LAS ESPECIES MIGRATORIAS 2015-2023:</w:t>
      </w:r>
    </w:p>
    <w:p w14:paraId="04BD239B" w14:textId="7E84AD4B" w:rsidR="00B10365" w:rsidRPr="00B10365" w:rsidRDefault="00B10365" w:rsidP="001C6974">
      <w:pPr>
        <w:jc w:val="center"/>
        <w:rPr>
          <w:rFonts w:eastAsia="MS Mincho" w:cs="Arial"/>
          <w:b/>
          <w:bCs/>
          <w:color w:val="000000"/>
          <w:sz w:val="22"/>
          <w:szCs w:val="22"/>
          <w:lang w:val="es-ES_tradnl" w:eastAsia="ja-JP"/>
        </w:rPr>
      </w:pPr>
      <w:r w:rsidRPr="00B10365">
        <w:rPr>
          <w:rFonts w:eastAsia="MS Mincho" w:cs="Arial"/>
          <w:b/>
          <w:bCs/>
          <w:color w:val="000000"/>
          <w:sz w:val="22"/>
          <w:szCs w:val="22"/>
          <w:lang w:val="es-ES_tradnl" w:eastAsia="ja-JP"/>
        </w:rPr>
        <w:t>IMPLEMENTACIÓN Y SEGUIMIENTO</w:t>
      </w:r>
    </w:p>
    <w:p w14:paraId="7BC33767" w14:textId="77777777" w:rsidR="00007F70" w:rsidRPr="00B10365" w:rsidRDefault="00007F70" w:rsidP="00007F70">
      <w:pPr>
        <w:jc w:val="both"/>
        <w:rPr>
          <w:rFonts w:cs="Arial"/>
          <w:sz w:val="22"/>
          <w:szCs w:val="22"/>
          <w:highlight w:val="yellow"/>
          <w:lang w:val="es-ES_tradnl"/>
        </w:rPr>
      </w:pPr>
    </w:p>
    <w:p w14:paraId="345CC6CA" w14:textId="77777777" w:rsidR="00987C89" w:rsidRPr="00B10365" w:rsidRDefault="00987C89" w:rsidP="00007F70">
      <w:pPr>
        <w:jc w:val="both"/>
        <w:rPr>
          <w:rFonts w:cs="Arial"/>
          <w:sz w:val="22"/>
          <w:szCs w:val="22"/>
          <w:highlight w:val="yellow"/>
          <w:lang w:val="es-ES_tradnl"/>
        </w:rPr>
      </w:pPr>
    </w:p>
    <w:p w14:paraId="6EE29081" w14:textId="5E6BE7F4" w:rsidR="002622A3" w:rsidRPr="002622A3" w:rsidRDefault="002622A3" w:rsidP="00C25B63">
      <w:pPr>
        <w:jc w:val="both"/>
        <w:rPr>
          <w:rFonts w:cs="Arial"/>
          <w:sz w:val="22"/>
          <w:szCs w:val="22"/>
          <w:u w:val="single"/>
          <w:lang w:val="es-ES_tradnl"/>
        </w:rPr>
      </w:pPr>
      <w:r w:rsidRPr="002622A3">
        <w:rPr>
          <w:rFonts w:cs="Arial"/>
          <w:sz w:val="22"/>
          <w:szCs w:val="22"/>
          <w:u w:val="single"/>
          <w:lang w:val="es-ES_tradnl"/>
        </w:rPr>
        <w:t>Introducción</w:t>
      </w:r>
    </w:p>
    <w:p w14:paraId="65E495C9" w14:textId="77777777" w:rsidR="00C9374B" w:rsidRPr="00B10365" w:rsidRDefault="00C9374B" w:rsidP="00C25B63">
      <w:pPr>
        <w:jc w:val="both"/>
        <w:rPr>
          <w:rFonts w:cs="Arial"/>
          <w:sz w:val="22"/>
          <w:szCs w:val="22"/>
          <w:u w:val="single"/>
          <w:lang w:val="es-ES_tradnl"/>
        </w:rPr>
      </w:pPr>
    </w:p>
    <w:p w14:paraId="6CAE6451" w14:textId="318065E8" w:rsidR="002622A3" w:rsidRPr="002622A3" w:rsidRDefault="002622A3" w:rsidP="00E30447">
      <w:pPr>
        <w:pStyle w:val="ListParagraph"/>
        <w:numPr>
          <w:ilvl w:val="0"/>
          <w:numId w:val="15"/>
        </w:numPr>
        <w:ind w:left="426" w:hanging="426"/>
        <w:jc w:val="both"/>
        <w:textAlignment w:val="baseline"/>
        <w:rPr>
          <w:rFonts w:ascii="Arial" w:hAnsi="Arial" w:cs="Arial"/>
          <w:bCs/>
          <w:lang w:val="es-ES_tradnl"/>
        </w:rPr>
      </w:pPr>
      <w:r w:rsidRPr="002622A3">
        <w:rPr>
          <w:rFonts w:ascii="Arial" w:hAnsi="Arial" w:cs="Arial"/>
          <w:bCs/>
          <w:lang w:val="es-ES_tradnl"/>
        </w:rPr>
        <w:t>El Plan Estratégico para las Especies Migratorias 2015-2023 (</w:t>
      </w:r>
      <w:r w:rsidR="00002F5C">
        <w:rPr>
          <w:rFonts w:ascii="Arial" w:hAnsi="Arial" w:cs="Arial"/>
          <w:bCs/>
          <w:lang w:val="es-ES_tradnl"/>
        </w:rPr>
        <w:t>SPMS</w:t>
      </w:r>
      <w:r w:rsidRPr="002622A3">
        <w:rPr>
          <w:rFonts w:ascii="Arial" w:hAnsi="Arial" w:cs="Arial"/>
          <w:bCs/>
          <w:lang w:val="es-ES_tradnl"/>
        </w:rPr>
        <w:t>) fue adoptado en la Resolució</w:t>
      </w:r>
      <w:r>
        <w:rPr>
          <w:rFonts w:ascii="Arial" w:hAnsi="Arial" w:cs="Arial"/>
          <w:bCs/>
          <w:lang w:val="es-ES_tradnl"/>
        </w:rPr>
        <w:t xml:space="preserve">n 11.2 por la 11ª Reunión de la Conferencia de las Partes de la CMS </w:t>
      </w:r>
      <w:r w:rsidR="00002F5C">
        <w:rPr>
          <w:rFonts w:ascii="Arial" w:hAnsi="Arial" w:cs="Arial"/>
          <w:bCs/>
          <w:lang w:val="es-ES_tradnl"/>
        </w:rPr>
        <w:t>(</w:t>
      </w:r>
      <w:r>
        <w:rPr>
          <w:rFonts w:ascii="Arial" w:hAnsi="Arial" w:cs="Arial"/>
          <w:bCs/>
          <w:lang w:val="es-ES_tradnl"/>
        </w:rPr>
        <w:t>COP11</w:t>
      </w:r>
      <w:r w:rsidR="00002F5C">
        <w:rPr>
          <w:rFonts w:ascii="Arial" w:hAnsi="Arial" w:cs="Arial"/>
          <w:bCs/>
          <w:lang w:val="es-ES_tradnl"/>
        </w:rPr>
        <w:t>)</w:t>
      </w:r>
      <w:r>
        <w:rPr>
          <w:rFonts w:ascii="Arial" w:hAnsi="Arial" w:cs="Arial"/>
          <w:bCs/>
          <w:lang w:val="es-ES_tradnl"/>
        </w:rPr>
        <w:t xml:space="preserve"> (Quito, noviembre de 2014) </w:t>
      </w:r>
      <w:r w:rsidR="00F657C0">
        <w:rPr>
          <w:rFonts w:ascii="Arial" w:hAnsi="Arial" w:cs="Arial"/>
          <w:bCs/>
          <w:lang w:val="es-ES_tradnl"/>
        </w:rPr>
        <w:t>para</w:t>
      </w:r>
      <w:r>
        <w:rPr>
          <w:rFonts w:ascii="Arial" w:hAnsi="Arial" w:cs="Arial"/>
          <w:bCs/>
          <w:lang w:val="es-ES_tradnl"/>
        </w:rPr>
        <w:t xml:space="preserve"> elevar los temas </w:t>
      </w:r>
      <w:r w:rsidR="00F657C0">
        <w:rPr>
          <w:rFonts w:ascii="Arial" w:hAnsi="Arial" w:cs="Arial"/>
          <w:bCs/>
          <w:lang w:val="es-ES_tradnl"/>
        </w:rPr>
        <w:t>que afectan a</w:t>
      </w:r>
      <w:r>
        <w:rPr>
          <w:rFonts w:ascii="Arial" w:hAnsi="Arial" w:cs="Arial"/>
          <w:bCs/>
          <w:lang w:val="es-ES_tradnl"/>
        </w:rPr>
        <w:t xml:space="preserve"> las especies migratorias a un nivel político más alto</w:t>
      </w:r>
      <w:r w:rsidR="001714BC">
        <w:rPr>
          <w:rFonts w:ascii="Arial" w:hAnsi="Arial" w:cs="Arial"/>
          <w:bCs/>
          <w:lang w:val="es-ES_tradnl"/>
        </w:rPr>
        <w:t>,</w:t>
      </w:r>
      <w:r>
        <w:rPr>
          <w:rFonts w:ascii="Arial" w:hAnsi="Arial" w:cs="Arial"/>
          <w:bCs/>
          <w:lang w:val="es-ES_tradnl"/>
        </w:rPr>
        <w:t xml:space="preserve"> con el fin de apoyar la implementación de los objetivos de la CMS y sus acuerdos </w:t>
      </w:r>
      <w:r w:rsidR="00897EA7">
        <w:rPr>
          <w:rFonts w:ascii="Arial" w:hAnsi="Arial" w:cs="Arial"/>
          <w:bCs/>
          <w:lang w:val="es-ES_tradnl"/>
        </w:rPr>
        <w:t>derivados</w:t>
      </w:r>
      <w:r>
        <w:rPr>
          <w:rFonts w:ascii="Arial" w:hAnsi="Arial" w:cs="Arial"/>
          <w:bCs/>
          <w:lang w:val="es-ES_tradnl"/>
        </w:rPr>
        <w:t>.</w:t>
      </w:r>
    </w:p>
    <w:p w14:paraId="58371D27" w14:textId="77777777" w:rsidR="008B7B23" w:rsidRPr="00615262" w:rsidRDefault="008B7B23" w:rsidP="00231BE0">
      <w:pPr>
        <w:pStyle w:val="ListParagraph"/>
        <w:ind w:left="426" w:hanging="426"/>
        <w:jc w:val="both"/>
        <w:textAlignment w:val="baseline"/>
        <w:rPr>
          <w:rFonts w:ascii="Arial" w:hAnsi="Arial" w:cs="Arial"/>
          <w:bCs/>
          <w:lang w:val="es-ES_tradnl"/>
        </w:rPr>
      </w:pPr>
    </w:p>
    <w:p w14:paraId="52ED046B" w14:textId="25D24EAD" w:rsidR="00615262" w:rsidRPr="00615262" w:rsidRDefault="00615262" w:rsidP="00E30447">
      <w:pPr>
        <w:pStyle w:val="ListParagraph"/>
        <w:numPr>
          <w:ilvl w:val="0"/>
          <w:numId w:val="15"/>
        </w:numPr>
        <w:ind w:left="426" w:hanging="426"/>
        <w:jc w:val="both"/>
        <w:textAlignment w:val="baseline"/>
        <w:rPr>
          <w:rFonts w:ascii="Arial" w:hAnsi="Arial" w:cs="Arial"/>
          <w:bCs/>
          <w:lang w:val="es-ES_tradnl"/>
        </w:rPr>
      </w:pPr>
      <w:r w:rsidRPr="00615262">
        <w:rPr>
          <w:rFonts w:ascii="Arial" w:hAnsi="Arial" w:cs="Arial"/>
          <w:bCs/>
          <w:lang w:val="es-ES_tradnl"/>
        </w:rPr>
        <w:t xml:space="preserve">El </w:t>
      </w:r>
      <w:r w:rsidR="00002F5C">
        <w:rPr>
          <w:rFonts w:ascii="Arial" w:hAnsi="Arial" w:cs="Arial"/>
          <w:bCs/>
          <w:lang w:val="es-ES_tradnl"/>
        </w:rPr>
        <w:t>SPMS</w:t>
      </w:r>
      <w:r w:rsidRPr="00615262">
        <w:rPr>
          <w:rFonts w:ascii="Arial" w:hAnsi="Arial" w:cs="Arial"/>
          <w:bCs/>
          <w:lang w:val="es-ES_tradnl"/>
        </w:rPr>
        <w:t xml:space="preserve"> proporciona un amplio marco de trabajo</w:t>
      </w:r>
      <w:r>
        <w:rPr>
          <w:rFonts w:ascii="Arial" w:hAnsi="Arial" w:cs="Arial"/>
          <w:bCs/>
          <w:lang w:val="es-ES_tradnl"/>
        </w:rPr>
        <w:t xml:space="preserve"> que es c</w:t>
      </w:r>
      <w:r w:rsidR="007E0804">
        <w:rPr>
          <w:rFonts w:ascii="Arial" w:hAnsi="Arial" w:cs="Arial"/>
          <w:bCs/>
          <w:lang w:val="es-ES_tradnl"/>
        </w:rPr>
        <w:t>apaz de aprovechar</w:t>
      </w:r>
      <w:r>
        <w:rPr>
          <w:rFonts w:ascii="Arial" w:hAnsi="Arial" w:cs="Arial"/>
          <w:bCs/>
          <w:lang w:val="es-ES_tradnl"/>
        </w:rPr>
        <w:t xml:space="preserve"> todos los esfuerzos </w:t>
      </w:r>
      <w:r w:rsidR="0042232D">
        <w:rPr>
          <w:rFonts w:ascii="Arial" w:hAnsi="Arial" w:cs="Arial"/>
          <w:bCs/>
          <w:lang w:val="es-ES_tradnl"/>
        </w:rPr>
        <w:t xml:space="preserve">de la comunidad internacional </w:t>
      </w:r>
      <w:r>
        <w:rPr>
          <w:rFonts w:ascii="Arial" w:hAnsi="Arial" w:cs="Arial"/>
          <w:bCs/>
          <w:lang w:val="es-ES_tradnl"/>
        </w:rPr>
        <w:t xml:space="preserve">relacionados con la conservación de las especies migratorias en conjunto </w:t>
      </w:r>
      <w:r w:rsidR="0042232D">
        <w:rPr>
          <w:rFonts w:ascii="Arial" w:hAnsi="Arial" w:cs="Arial"/>
          <w:bCs/>
          <w:lang w:val="es-ES_tradnl"/>
        </w:rPr>
        <w:t xml:space="preserve">y dirigirlos </w:t>
      </w:r>
      <w:r w:rsidR="00D63FB9">
        <w:rPr>
          <w:rFonts w:ascii="Arial" w:hAnsi="Arial" w:cs="Arial"/>
          <w:bCs/>
          <w:lang w:val="es-ES_tradnl"/>
        </w:rPr>
        <w:t>hacia</w:t>
      </w:r>
      <w:r>
        <w:rPr>
          <w:rFonts w:ascii="Arial" w:hAnsi="Arial" w:cs="Arial"/>
          <w:bCs/>
          <w:lang w:val="es-ES_tradnl"/>
        </w:rPr>
        <w:t xml:space="preserve"> la misma dirección. </w:t>
      </w:r>
      <w:r w:rsidR="00F31EEC">
        <w:rPr>
          <w:rFonts w:ascii="Arial" w:hAnsi="Arial" w:cs="Arial"/>
          <w:bCs/>
          <w:lang w:val="es-ES_tradnl"/>
        </w:rPr>
        <w:t>De este modo</w:t>
      </w:r>
      <w:r>
        <w:rPr>
          <w:rFonts w:ascii="Arial" w:hAnsi="Arial" w:cs="Arial"/>
          <w:bCs/>
          <w:lang w:val="es-ES_tradnl"/>
        </w:rPr>
        <w:t xml:space="preserve"> guía la implementació</w:t>
      </w:r>
      <w:r w:rsidR="00516BBB">
        <w:rPr>
          <w:rFonts w:ascii="Arial" w:hAnsi="Arial" w:cs="Arial"/>
          <w:bCs/>
          <w:lang w:val="es-ES_tradnl"/>
        </w:rPr>
        <w:t>n de los acuerdos de la CMS a</w:t>
      </w:r>
      <w:r>
        <w:rPr>
          <w:rFonts w:ascii="Arial" w:hAnsi="Arial" w:cs="Arial"/>
          <w:bCs/>
          <w:lang w:val="es-ES_tradnl"/>
        </w:rPr>
        <w:t xml:space="preserve"> nivel estratégico y crea oportunidades para una mayor coherencia y visibilidad a nivel nacional, regional y global en términos políticos </w:t>
      </w:r>
      <w:r w:rsidR="00F31EEC">
        <w:rPr>
          <w:rFonts w:ascii="Arial" w:hAnsi="Arial" w:cs="Arial"/>
          <w:bCs/>
          <w:lang w:val="es-ES_tradnl"/>
        </w:rPr>
        <w:t>de</w:t>
      </w:r>
      <w:r>
        <w:rPr>
          <w:rFonts w:ascii="Arial" w:hAnsi="Arial" w:cs="Arial"/>
          <w:bCs/>
          <w:lang w:val="es-ES_tradnl"/>
        </w:rPr>
        <w:t xml:space="preserve"> las prioridades de la CMS.</w:t>
      </w:r>
    </w:p>
    <w:p w14:paraId="6FCBED37" w14:textId="77777777" w:rsidR="008B7B23" w:rsidRPr="00417136" w:rsidRDefault="008B7B23" w:rsidP="00231BE0">
      <w:pPr>
        <w:pStyle w:val="ListParagraph"/>
        <w:ind w:left="426" w:hanging="426"/>
        <w:rPr>
          <w:rFonts w:ascii="Arial" w:hAnsi="Arial" w:cs="Arial"/>
          <w:bCs/>
          <w:lang w:val="es-ES_tradnl"/>
        </w:rPr>
      </w:pPr>
    </w:p>
    <w:p w14:paraId="016EEF64" w14:textId="4BB37AB9" w:rsidR="00417136" w:rsidRPr="00417136" w:rsidRDefault="00061CB7" w:rsidP="00E30447">
      <w:pPr>
        <w:pStyle w:val="ListParagraph"/>
        <w:numPr>
          <w:ilvl w:val="0"/>
          <w:numId w:val="15"/>
        </w:numPr>
        <w:spacing w:after="80"/>
        <w:ind w:left="425" w:hanging="425"/>
        <w:contextualSpacing w:val="0"/>
        <w:jc w:val="both"/>
        <w:textAlignment w:val="baseline"/>
        <w:rPr>
          <w:rFonts w:ascii="Arial" w:hAnsi="Arial" w:cs="Arial"/>
          <w:bCs/>
          <w:lang w:val="es-ES_tradnl"/>
        </w:rPr>
      </w:pPr>
      <w:r>
        <w:rPr>
          <w:rFonts w:ascii="Arial" w:hAnsi="Arial" w:cs="Arial"/>
          <w:bCs/>
          <w:lang w:val="es-ES_tradnl"/>
        </w:rPr>
        <w:t xml:space="preserve">Al adoptar el </w:t>
      </w:r>
      <w:r w:rsidR="00002F5C">
        <w:rPr>
          <w:rFonts w:ascii="Arial" w:hAnsi="Arial" w:cs="Arial"/>
          <w:bCs/>
          <w:lang w:val="es-ES_tradnl"/>
        </w:rPr>
        <w:t>SPMS</w:t>
      </w:r>
      <w:r w:rsidR="00417136" w:rsidRPr="00417136">
        <w:rPr>
          <w:rFonts w:ascii="Arial" w:hAnsi="Arial" w:cs="Arial"/>
          <w:bCs/>
          <w:lang w:val="es-ES_tradnl"/>
        </w:rPr>
        <w:t>, las Partes de la CMS en la Resolución 11.2</w:t>
      </w:r>
      <w:r w:rsidR="00417136">
        <w:rPr>
          <w:rFonts w:ascii="Arial" w:hAnsi="Arial" w:cs="Arial"/>
          <w:bCs/>
          <w:lang w:val="es-ES_tradnl"/>
        </w:rPr>
        <w:t xml:space="preserve"> reconocieron la necesidad de facilitar más actividades o instrumentos relativos a la implementación y el seguimiento – componentes esenciales de un Plan Estratégico exitoso y efectivo – y acordaron </w:t>
      </w:r>
      <w:r w:rsidR="0071452C">
        <w:rPr>
          <w:rFonts w:ascii="Arial" w:hAnsi="Arial" w:cs="Arial"/>
          <w:bCs/>
          <w:lang w:val="es-ES_tradnl"/>
        </w:rPr>
        <w:t xml:space="preserve">llevar a cabo </w:t>
      </w:r>
      <w:r w:rsidR="00417136">
        <w:rPr>
          <w:rFonts w:ascii="Arial" w:hAnsi="Arial" w:cs="Arial"/>
          <w:bCs/>
          <w:lang w:val="es-ES_tradnl"/>
        </w:rPr>
        <w:t>trabajo adicional en el periodo entre sesiones para fortalecer el conjunto de materiales dirigidos a</w:t>
      </w:r>
      <w:r w:rsidR="00584B10">
        <w:rPr>
          <w:rFonts w:ascii="Arial" w:hAnsi="Arial" w:cs="Arial"/>
          <w:bCs/>
          <w:lang w:val="es-ES_tradnl"/>
        </w:rPr>
        <w:t xml:space="preserve"> apoyar la implementación del </w:t>
      </w:r>
      <w:r w:rsidR="00002F5C">
        <w:rPr>
          <w:rFonts w:ascii="Arial" w:hAnsi="Arial" w:cs="Arial"/>
          <w:bCs/>
          <w:lang w:val="es-ES_tradnl"/>
        </w:rPr>
        <w:t>SPMS</w:t>
      </w:r>
      <w:r w:rsidR="00417136">
        <w:rPr>
          <w:rFonts w:ascii="Arial" w:hAnsi="Arial" w:cs="Arial"/>
          <w:bCs/>
          <w:lang w:val="es-ES_tradnl"/>
        </w:rPr>
        <w:t>, incluyendo:</w:t>
      </w:r>
    </w:p>
    <w:p w14:paraId="7311BBF8" w14:textId="3F77EE1D" w:rsidR="00A766F8" w:rsidRPr="00A766F8" w:rsidRDefault="008B7B23" w:rsidP="00231BE0">
      <w:pPr>
        <w:pStyle w:val="ListParagraph"/>
        <w:spacing w:after="40"/>
        <w:ind w:left="714" w:hanging="357"/>
        <w:contextualSpacing w:val="0"/>
        <w:jc w:val="both"/>
        <w:rPr>
          <w:rFonts w:ascii="Arial" w:eastAsia="MS Mincho" w:hAnsi="Arial" w:cs="Arial"/>
          <w:lang w:val="es-ES_tradnl" w:eastAsia="ja-JP"/>
        </w:rPr>
      </w:pPr>
      <w:r w:rsidRPr="00A766F8">
        <w:rPr>
          <w:rFonts w:ascii="Arial" w:eastAsia="MS Mincho" w:hAnsi="Arial" w:cs="Arial"/>
          <w:lang w:val="es-ES_tradnl" w:eastAsia="ja-JP"/>
        </w:rPr>
        <w:t xml:space="preserve">a) </w:t>
      </w:r>
      <w:r w:rsidR="00214422" w:rsidRPr="00A766F8">
        <w:rPr>
          <w:rFonts w:ascii="Arial" w:eastAsia="MS Mincho" w:hAnsi="Arial" w:cs="Arial"/>
          <w:lang w:val="es-ES_tradnl" w:eastAsia="ja-JP"/>
        </w:rPr>
        <w:tab/>
      </w:r>
      <w:r w:rsidR="00A550DC">
        <w:rPr>
          <w:rFonts w:ascii="Arial" w:eastAsia="MS Mincho" w:hAnsi="Arial" w:cs="Arial"/>
          <w:lang w:val="es-ES_tradnl" w:eastAsia="ja-JP"/>
        </w:rPr>
        <w:t>I</w:t>
      </w:r>
      <w:r w:rsidR="00BD0E53">
        <w:rPr>
          <w:rFonts w:ascii="Arial" w:eastAsia="MS Mincho" w:hAnsi="Arial" w:cs="Arial"/>
          <w:lang w:val="es-ES_tradnl" w:eastAsia="ja-JP"/>
        </w:rPr>
        <w:t>ndicadores d</w:t>
      </w:r>
      <w:r w:rsidR="00A766F8" w:rsidRPr="00A766F8">
        <w:rPr>
          <w:rFonts w:ascii="Arial" w:eastAsia="MS Mincho" w:hAnsi="Arial" w:cs="Arial"/>
          <w:lang w:val="es-ES_tradnl" w:eastAsia="ja-JP"/>
        </w:rPr>
        <w:t xml:space="preserve">el Plan Estratégico para las Especies Migratorias, </w:t>
      </w:r>
      <w:r w:rsidR="00A550DC">
        <w:rPr>
          <w:rFonts w:ascii="Arial" w:eastAsia="MS Mincho" w:hAnsi="Arial" w:cs="Arial"/>
          <w:lang w:val="es-ES_tradnl" w:eastAsia="ja-JP"/>
        </w:rPr>
        <w:t>partiendo</w:t>
      </w:r>
      <w:r w:rsidR="003629AC">
        <w:rPr>
          <w:rFonts w:ascii="Arial" w:eastAsia="MS Mincho" w:hAnsi="Arial" w:cs="Arial"/>
          <w:lang w:val="es-ES_tradnl" w:eastAsia="ja-JP"/>
        </w:rPr>
        <w:t xml:space="preserve"> en la medida de lo posible de trabajo ya existente</w:t>
      </w:r>
      <w:r w:rsidR="001D754A">
        <w:rPr>
          <w:rFonts w:ascii="Arial" w:eastAsia="MS Mincho" w:hAnsi="Arial" w:cs="Arial"/>
          <w:lang w:val="es-ES_tradnl" w:eastAsia="ja-JP"/>
        </w:rPr>
        <w:t xml:space="preserve">, </w:t>
      </w:r>
      <w:r w:rsidR="003629AC">
        <w:rPr>
          <w:rFonts w:ascii="Arial" w:eastAsia="MS Mincho" w:hAnsi="Arial" w:cs="Arial"/>
          <w:lang w:val="es-ES_tradnl" w:eastAsia="ja-JP"/>
        </w:rPr>
        <w:t>como</w:t>
      </w:r>
      <w:r w:rsidR="001D754A">
        <w:rPr>
          <w:rFonts w:ascii="Arial" w:eastAsia="MS Mincho" w:hAnsi="Arial" w:cs="Arial"/>
          <w:lang w:val="es-ES_tradnl" w:eastAsia="ja-JP"/>
        </w:rPr>
        <w:t xml:space="preserve"> </w:t>
      </w:r>
      <w:r w:rsidR="003629AC">
        <w:rPr>
          <w:rFonts w:ascii="Arial" w:eastAsia="MS Mincho" w:hAnsi="Arial" w:cs="Arial"/>
          <w:lang w:val="es-ES_tradnl" w:eastAsia="ja-JP"/>
        </w:rPr>
        <w:t xml:space="preserve">el de </w:t>
      </w:r>
      <w:r w:rsidR="005D2720">
        <w:rPr>
          <w:rFonts w:ascii="Arial" w:eastAsia="MS Mincho" w:hAnsi="Arial" w:cs="Arial"/>
          <w:lang w:val="es-ES_tradnl" w:eastAsia="ja-JP"/>
        </w:rPr>
        <w:t>la Alianza</w:t>
      </w:r>
      <w:r w:rsidR="001D754A">
        <w:rPr>
          <w:rFonts w:ascii="Arial" w:eastAsia="MS Mincho" w:hAnsi="Arial" w:cs="Arial"/>
          <w:lang w:val="es-ES_tradnl" w:eastAsia="ja-JP"/>
        </w:rPr>
        <w:t xml:space="preserve"> </w:t>
      </w:r>
      <w:r w:rsidR="008C0497">
        <w:rPr>
          <w:rFonts w:ascii="Arial" w:eastAsia="MS Mincho" w:hAnsi="Arial" w:cs="Arial"/>
          <w:lang w:val="es-ES_tradnl" w:eastAsia="ja-JP"/>
        </w:rPr>
        <w:t>sobre</w:t>
      </w:r>
      <w:r w:rsidR="001D754A">
        <w:rPr>
          <w:rFonts w:ascii="Arial" w:eastAsia="MS Mincho" w:hAnsi="Arial" w:cs="Arial"/>
          <w:lang w:val="es-ES_tradnl" w:eastAsia="ja-JP"/>
        </w:rPr>
        <w:t xml:space="preserve"> Indicadores de Biodiversidad</w:t>
      </w:r>
      <w:r w:rsidR="008C0497">
        <w:rPr>
          <w:rFonts w:ascii="Arial" w:eastAsia="MS Mincho" w:hAnsi="Arial" w:cs="Arial"/>
          <w:lang w:val="es-ES_tradnl" w:eastAsia="ja-JP"/>
        </w:rPr>
        <w:t xml:space="preserve"> global</w:t>
      </w:r>
      <w:r w:rsidR="001D754A">
        <w:rPr>
          <w:rFonts w:ascii="Arial" w:eastAsia="MS Mincho" w:hAnsi="Arial" w:cs="Arial"/>
          <w:lang w:val="es-ES_tradnl" w:eastAsia="ja-JP"/>
        </w:rPr>
        <w:t>; y</w:t>
      </w:r>
    </w:p>
    <w:p w14:paraId="1566BAFD" w14:textId="4A6BBAA3" w:rsidR="001D754A" w:rsidRPr="001D754A" w:rsidRDefault="008B7B23" w:rsidP="00231BE0">
      <w:pPr>
        <w:pStyle w:val="ListParagraph"/>
        <w:ind w:hanging="360"/>
        <w:jc w:val="both"/>
        <w:rPr>
          <w:rFonts w:ascii="Arial" w:eastAsia="MS Mincho" w:hAnsi="Arial" w:cs="Arial"/>
          <w:lang w:val="es-ES_tradnl" w:eastAsia="ja-JP"/>
        </w:rPr>
      </w:pPr>
      <w:r w:rsidRPr="001D754A">
        <w:rPr>
          <w:rFonts w:ascii="Arial" w:eastAsia="MS Mincho" w:hAnsi="Arial" w:cs="Arial"/>
          <w:lang w:val="es-ES_tradnl" w:eastAsia="ja-JP"/>
        </w:rPr>
        <w:t xml:space="preserve">b) </w:t>
      </w:r>
      <w:r w:rsidR="00214422" w:rsidRPr="001D754A">
        <w:rPr>
          <w:rFonts w:ascii="Arial" w:eastAsia="MS Mincho" w:hAnsi="Arial" w:cs="Arial"/>
          <w:lang w:val="es-ES_tradnl" w:eastAsia="ja-JP"/>
        </w:rPr>
        <w:tab/>
      </w:r>
      <w:r w:rsidR="0096138D">
        <w:rPr>
          <w:rFonts w:ascii="Arial" w:eastAsia="MS Mincho" w:hAnsi="Arial" w:cs="Arial"/>
          <w:lang w:val="es-ES_tradnl" w:eastAsia="ja-JP"/>
        </w:rPr>
        <w:t>U</w:t>
      </w:r>
      <w:r w:rsidR="001D754A" w:rsidRPr="001D754A">
        <w:rPr>
          <w:rFonts w:ascii="Arial" w:eastAsia="MS Mincho" w:hAnsi="Arial" w:cs="Arial"/>
          <w:lang w:val="es-ES_tradnl" w:eastAsia="ja-JP"/>
        </w:rPr>
        <w:t>n Volumen C</w:t>
      </w:r>
      <w:r w:rsidR="00CD5F68">
        <w:rPr>
          <w:rFonts w:ascii="Arial" w:eastAsia="MS Mincho" w:hAnsi="Arial" w:cs="Arial"/>
          <w:lang w:val="es-ES_tradnl" w:eastAsia="ja-JP"/>
        </w:rPr>
        <w:t>omplemen</w:t>
      </w:r>
      <w:r w:rsidR="0096138D">
        <w:rPr>
          <w:rFonts w:ascii="Arial" w:eastAsia="MS Mincho" w:hAnsi="Arial" w:cs="Arial"/>
          <w:lang w:val="es-ES_tradnl" w:eastAsia="ja-JP"/>
        </w:rPr>
        <w:t>tario sobre la I</w:t>
      </w:r>
      <w:r w:rsidR="001D754A" w:rsidRPr="001D754A">
        <w:rPr>
          <w:rFonts w:ascii="Arial" w:eastAsia="MS Mincho" w:hAnsi="Arial" w:cs="Arial"/>
          <w:lang w:val="es-ES_tradnl" w:eastAsia="ja-JP"/>
        </w:rPr>
        <w:t xml:space="preserve">mplementación del Plan Estratégico, basado en las herramientas existentes, </w:t>
      </w:r>
      <w:r w:rsidR="0096138D">
        <w:rPr>
          <w:rFonts w:ascii="Arial" w:eastAsia="MS Mincho" w:hAnsi="Arial" w:cs="Arial"/>
          <w:lang w:val="es-ES_tradnl" w:eastAsia="ja-JP"/>
        </w:rPr>
        <w:t>que ofrezca una guía para</w:t>
      </w:r>
      <w:r w:rsidR="001D754A" w:rsidRPr="001D754A">
        <w:rPr>
          <w:rFonts w:ascii="Arial" w:eastAsia="MS Mincho" w:hAnsi="Arial" w:cs="Arial"/>
          <w:lang w:val="es-ES_tradnl" w:eastAsia="ja-JP"/>
        </w:rPr>
        <w:t xml:space="preserve"> la implementación del plan.</w:t>
      </w:r>
    </w:p>
    <w:p w14:paraId="4B9F5583" w14:textId="77777777" w:rsidR="008B7B23" w:rsidRPr="00F516F1" w:rsidRDefault="008B7B23" w:rsidP="00231BE0">
      <w:pPr>
        <w:pStyle w:val="ListParagraph"/>
        <w:rPr>
          <w:rFonts w:ascii="Arial" w:hAnsi="Arial" w:cs="Arial"/>
          <w:bCs/>
          <w:lang w:val="es-ES_tradnl"/>
        </w:rPr>
      </w:pPr>
    </w:p>
    <w:p w14:paraId="10D6A7F4" w14:textId="6E4D4C10" w:rsidR="001A5459" w:rsidRPr="00F516F1" w:rsidRDefault="00611312" w:rsidP="00E30447">
      <w:pPr>
        <w:pStyle w:val="ListParagraph"/>
        <w:numPr>
          <w:ilvl w:val="0"/>
          <w:numId w:val="15"/>
        </w:numPr>
        <w:ind w:left="426" w:hanging="426"/>
        <w:jc w:val="both"/>
        <w:textAlignment w:val="baseline"/>
        <w:rPr>
          <w:rFonts w:ascii="Arial" w:hAnsi="Arial" w:cs="Arial"/>
          <w:bCs/>
          <w:lang w:val="es-ES_tradnl"/>
        </w:rPr>
      </w:pPr>
      <w:r>
        <w:rPr>
          <w:rFonts w:ascii="Arial" w:hAnsi="Arial" w:cs="Arial"/>
          <w:bCs/>
          <w:lang w:val="es-ES_tradnl"/>
        </w:rPr>
        <w:t xml:space="preserve">Las Partes </w:t>
      </w:r>
      <w:r w:rsidR="00F516F1" w:rsidRPr="00F516F1">
        <w:rPr>
          <w:rFonts w:ascii="Arial" w:hAnsi="Arial" w:cs="Arial"/>
          <w:bCs/>
          <w:lang w:val="es-ES_tradnl"/>
        </w:rPr>
        <w:t xml:space="preserve">decidieron </w:t>
      </w:r>
      <w:r>
        <w:rPr>
          <w:rFonts w:ascii="Arial" w:hAnsi="Arial" w:cs="Arial"/>
          <w:bCs/>
          <w:lang w:val="es-ES_tradnl"/>
        </w:rPr>
        <w:t>e</w:t>
      </w:r>
      <w:r w:rsidRPr="00F516F1">
        <w:rPr>
          <w:rFonts w:ascii="Arial" w:hAnsi="Arial" w:cs="Arial"/>
          <w:bCs/>
          <w:lang w:val="es-ES_tradnl"/>
        </w:rPr>
        <w:t xml:space="preserve">n la misma Resolución </w:t>
      </w:r>
      <w:r w:rsidR="00F516F1" w:rsidRPr="00F516F1">
        <w:rPr>
          <w:rFonts w:ascii="Arial" w:hAnsi="Arial" w:cs="Arial"/>
          <w:bCs/>
          <w:lang w:val="es-ES_tradnl"/>
        </w:rPr>
        <w:t>ampliar el mandato del Grupo de Trabajo para el Plan Estratégico (</w:t>
      </w:r>
      <w:r w:rsidR="008C0497">
        <w:rPr>
          <w:rFonts w:ascii="Arial" w:hAnsi="Arial" w:cs="Arial"/>
          <w:bCs/>
          <w:lang w:val="es-ES_tradnl"/>
        </w:rPr>
        <w:t>SPWG</w:t>
      </w:r>
      <w:r w:rsidR="00F516F1" w:rsidRPr="00F516F1">
        <w:rPr>
          <w:rFonts w:ascii="Arial" w:hAnsi="Arial" w:cs="Arial"/>
          <w:bCs/>
          <w:lang w:val="es-ES_tradnl"/>
        </w:rPr>
        <w:t>)</w:t>
      </w:r>
      <w:r w:rsidR="00C20C84">
        <w:rPr>
          <w:rFonts w:ascii="Arial" w:hAnsi="Arial" w:cs="Arial"/>
          <w:bCs/>
          <w:lang w:val="es-ES_tradnl"/>
        </w:rPr>
        <w:t xml:space="preserve"> para incluir las tareas de elaborar los indicadores y el Volumen Complementario durante el trienio 2015-2017. El Grupo de Trabajo celebró dos reuniones (su 3ª y 4ª) durante el trienio, en octubre de 2015 y noviembre de 2016, y dio parte en cada una </w:t>
      </w:r>
      <w:r w:rsidR="00917AA9">
        <w:rPr>
          <w:rFonts w:ascii="Arial" w:hAnsi="Arial" w:cs="Arial"/>
          <w:bCs/>
          <w:lang w:val="es-ES_tradnl"/>
        </w:rPr>
        <w:t xml:space="preserve">de ellas </w:t>
      </w:r>
      <w:r w:rsidR="00C20C84">
        <w:rPr>
          <w:rFonts w:ascii="Arial" w:hAnsi="Arial" w:cs="Arial"/>
          <w:bCs/>
          <w:lang w:val="es-ES_tradnl"/>
        </w:rPr>
        <w:t xml:space="preserve">a las reuniones del Comité Permanente de la CMS que </w:t>
      </w:r>
      <w:r w:rsidR="00917AA9">
        <w:rPr>
          <w:rFonts w:ascii="Arial" w:hAnsi="Arial" w:cs="Arial"/>
          <w:bCs/>
          <w:lang w:val="es-ES_tradnl"/>
        </w:rPr>
        <w:t>tuvieron lugar</w:t>
      </w:r>
      <w:r w:rsidR="00C20C84">
        <w:rPr>
          <w:rFonts w:ascii="Arial" w:hAnsi="Arial" w:cs="Arial"/>
          <w:bCs/>
          <w:lang w:val="es-ES_tradnl"/>
        </w:rPr>
        <w:t xml:space="preserve"> inmediatamente después (StC44 y StC45). El </w:t>
      </w:r>
      <w:r w:rsidR="00B370C6">
        <w:rPr>
          <w:rFonts w:ascii="Arial" w:hAnsi="Arial" w:cs="Arial"/>
          <w:bCs/>
          <w:lang w:val="es-ES_tradnl"/>
        </w:rPr>
        <w:t xml:space="preserve">presente </w:t>
      </w:r>
      <w:r w:rsidR="00C20C84">
        <w:rPr>
          <w:rFonts w:ascii="Arial" w:hAnsi="Arial" w:cs="Arial"/>
          <w:bCs/>
          <w:lang w:val="es-ES_tradnl"/>
        </w:rPr>
        <w:t xml:space="preserve">documento resume los resultados de las dos tareas principales llevadas a cabo por el </w:t>
      </w:r>
      <w:r w:rsidR="008C0497">
        <w:rPr>
          <w:rFonts w:ascii="Arial" w:hAnsi="Arial" w:cs="Arial"/>
          <w:bCs/>
          <w:lang w:val="es-ES_tradnl"/>
        </w:rPr>
        <w:t>SPWG</w:t>
      </w:r>
      <w:r w:rsidR="00C20C84">
        <w:rPr>
          <w:rFonts w:ascii="Arial" w:hAnsi="Arial" w:cs="Arial"/>
          <w:bCs/>
          <w:lang w:val="es-ES_tradnl"/>
        </w:rPr>
        <w:t>, y ofrece propuestas para la consideración de la COP en cuanto a los siguientes pasos a dar.</w:t>
      </w:r>
    </w:p>
    <w:p w14:paraId="4092EECD" w14:textId="77777777" w:rsidR="008B7B23" w:rsidRPr="00AB22CE" w:rsidRDefault="008B7B23" w:rsidP="00231BE0">
      <w:pPr>
        <w:pStyle w:val="ListParagraph"/>
        <w:ind w:left="426" w:hanging="426"/>
        <w:jc w:val="both"/>
        <w:textAlignment w:val="baseline"/>
        <w:rPr>
          <w:rFonts w:ascii="Arial" w:hAnsi="Arial" w:cs="Arial"/>
          <w:bCs/>
          <w:lang w:val="es-ES_tradnl"/>
        </w:rPr>
      </w:pPr>
    </w:p>
    <w:p w14:paraId="62664CFC" w14:textId="266BFD85" w:rsidR="00AB22CE" w:rsidRPr="00AB22CE" w:rsidRDefault="00AB22CE" w:rsidP="00E30447">
      <w:pPr>
        <w:pStyle w:val="ListParagraph"/>
        <w:numPr>
          <w:ilvl w:val="0"/>
          <w:numId w:val="15"/>
        </w:numPr>
        <w:ind w:left="426" w:hanging="426"/>
        <w:jc w:val="both"/>
        <w:textAlignment w:val="baseline"/>
        <w:rPr>
          <w:rFonts w:ascii="Arial" w:hAnsi="Arial" w:cs="Arial"/>
          <w:bCs/>
          <w:lang w:val="es-ES_tradnl"/>
        </w:rPr>
      </w:pPr>
      <w:r w:rsidRPr="00AB22CE">
        <w:rPr>
          <w:rFonts w:ascii="Arial" w:hAnsi="Arial" w:cs="Arial"/>
          <w:bCs/>
          <w:lang w:val="es-ES_tradnl"/>
        </w:rPr>
        <w:t xml:space="preserve">Las actividades del </w:t>
      </w:r>
      <w:r w:rsidR="00A02DA2">
        <w:rPr>
          <w:rFonts w:ascii="Arial" w:hAnsi="Arial" w:cs="Arial"/>
          <w:bCs/>
          <w:lang w:val="es-ES_tradnl"/>
        </w:rPr>
        <w:t>SPWG</w:t>
      </w:r>
      <w:r w:rsidRPr="00AB22CE">
        <w:rPr>
          <w:rFonts w:ascii="Arial" w:hAnsi="Arial" w:cs="Arial"/>
          <w:bCs/>
          <w:lang w:val="es-ES_tradnl"/>
        </w:rPr>
        <w:t xml:space="preserve"> fueron financiadas en pa</w:t>
      </w:r>
      <w:r w:rsidR="0015135D">
        <w:rPr>
          <w:rFonts w:ascii="Arial" w:hAnsi="Arial" w:cs="Arial"/>
          <w:bCs/>
          <w:lang w:val="es-ES_tradnl"/>
        </w:rPr>
        <w:t>rte por el Gobierno de Alemania</w:t>
      </w:r>
      <w:r w:rsidRPr="00AB22CE">
        <w:rPr>
          <w:rFonts w:ascii="Arial" w:hAnsi="Arial" w:cs="Arial"/>
          <w:bCs/>
          <w:lang w:val="es-ES_tradnl"/>
        </w:rPr>
        <w:t xml:space="preserve"> a través del Ministerio Federal para el M</w:t>
      </w:r>
      <w:r>
        <w:rPr>
          <w:rFonts w:ascii="Arial" w:hAnsi="Arial" w:cs="Arial"/>
          <w:bCs/>
          <w:lang w:val="es-ES_tradnl"/>
        </w:rPr>
        <w:t>e</w:t>
      </w:r>
      <w:r w:rsidRPr="00AB22CE">
        <w:rPr>
          <w:rFonts w:ascii="Arial" w:hAnsi="Arial" w:cs="Arial"/>
          <w:bCs/>
          <w:lang w:val="es-ES_tradnl"/>
        </w:rPr>
        <w:t>dio Ambiente, Conservación de la Naturaleza, Obras Públicas y Seguridad Nuclear (BMUB).</w:t>
      </w:r>
    </w:p>
    <w:p w14:paraId="15DF12DF" w14:textId="77777777" w:rsidR="008B7B23" w:rsidRPr="00B10365" w:rsidRDefault="008B7B23" w:rsidP="00231BE0">
      <w:pPr>
        <w:ind w:left="426" w:hanging="426"/>
        <w:jc w:val="both"/>
        <w:rPr>
          <w:rFonts w:eastAsia="MS Mincho" w:cs="Arial"/>
          <w:highlight w:val="yellow"/>
          <w:u w:val="single"/>
          <w:lang w:val="es-ES_tradnl" w:eastAsia="ja-JP"/>
        </w:rPr>
      </w:pPr>
    </w:p>
    <w:p w14:paraId="6D7F076C" w14:textId="1F07DCBB" w:rsidR="00C33282" w:rsidRPr="00C33282" w:rsidRDefault="003D260E" w:rsidP="00231BE0">
      <w:pPr>
        <w:ind w:left="426" w:hanging="426"/>
        <w:jc w:val="both"/>
        <w:rPr>
          <w:rFonts w:eastAsia="MS Mincho" w:cs="Arial"/>
          <w:sz w:val="22"/>
          <w:szCs w:val="22"/>
          <w:u w:val="single"/>
          <w:lang w:val="es-ES_tradnl" w:eastAsia="ja-JP"/>
        </w:rPr>
      </w:pPr>
      <w:r>
        <w:rPr>
          <w:rFonts w:eastAsia="MS Mincho" w:cs="Arial"/>
          <w:sz w:val="22"/>
          <w:szCs w:val="22"/>
          <w:u w:val="single"/>
          <w:lang w:val="es-ES_tradnl" w:eastAsia="ja-JP"/>
        </w:rPr>
        <w:t>Volumen C</w:t>
      </w:r>
      <w:r w:rsidR="00C33282" w:rsidRPr="00C33282">
        <w:rPr>
          <w:rFonts w:eastAsia="MS Mincho" w:cs="Arial"/>
          <w:sz w:val="22"/>
          <w:szCs w:val="22"/>
          <w:u w:val="single"/>
          <w:lang w:val="es-ES_tradnl" w:eastAsia="ja-JP"/>
        </w:rPr>
        <w:t>omplementario</w:t>
      </w:r>
    </w:p>
    <w:p w14:paraId="41D88991" w14:textId="77777777" w:rsidR="008B7B23" w:rsidRPr="00BF702A" w:rsidRDefault="008B7B23" w:rsidP="00231BE0">
      <w:pPr>
        <w:pStyle w:val="ListParagraph"/>
        <w:ind w:left="426" w:hanging="426"/>
        <w:rPr>
          <w:rFonts w:ascii="Arial" w:hAnsi="Arial" w:cs="Arial"/>
          <w:bCs/>
          <w:lang w:val="es-ES_tradnl"/>
        </w:rPr>
      </w:pPr>
    </w:p>
    <w:p w14:paraId="662F722F" w14:textId="0B6B661B" w:rsidR="00B56DE6" w:rsidRPr="00BF702A" w:rsidRDefault="00BF702A" w:rsidP="00E30447">
      <w:pPr>
        <w:pStyle w:val="ListParagraph"/>
        <w:numPr>
          <w:ilvl w:val="0"/>
          <w:numId w:val="15"/>
        </w:numPr>
        <w:ind w:left="426" w:hanging="426"/>
        <w:jc w:val="both"/>
        <w:textAlignment w:val="baseline"/>
        <w:rPr>
          <w:rFonts w:ascii="Arial" w:hAnsi="Arial" w:cs="Arial"/>
          <w:bCs/>
          <w:lang w:val="es-ES_tradnl"/>
        </w:rPr>
      </w:pPr>
      <w:r w:rsidRPr="00BF702A">
        <w:rPr>
          <w:rFonts w:ascii="Arial" w:hAnsi="Arial" w:cs="Arial"/>
          <w:bCs/>
          <w:lang w:val="es-ES_tradnl"/>
        </w:rPr>
        <w:t xml:space="preserve">El capítulo 4 del </w:t>
      </w:r>
      <w:r w:rsidR="00002F5C">
        <w:rPr>
          <w:rFonts w:ascii="Arial" w:hAnsi="Arial" w:cs="Arial"/>
          <w:bCs/>
          <w:lang w:val="es-ES_tradnl"/>
        </w:rPr>
        <w:t>SPMS</w:t>
      </w:r>
      <w:r w:rsidR="00CF5A1A">
        <w:rPr>
          <w:rFonts w:ascii="Arial" w:hAnsi="Arial" w:cs="Arial"/>
          <w:bCs/>
          <w:lang w:val="es-ES_tradnl"/>
        </w:rPr>
        <w:t xml:space="preserve"> describe las áreas principales en las que se necesita crear</w:t>
      </w:r>
      <w:r w:rsidR="000309F2">
        <w:rPr>
          <w:rFonts w:ascii="Arial" w:hAnsi="Arial" w:cs="Arial"/>
          <w:bCs/>
          <w:lang w:val="es-ES_tradnl"/>
        </w:rPr>
        <w:t xml:space="preserve"> un marco adecuado</w:t>
      </w:r>
      <w:r w:rsidR="00CF5A1A">
        <w:rPr>
          <w:rFonts w:ascii="Arial" w:hAnsi="Arial" w:cs="Arial"/>
          <w:bCs/>
          <w:lang w:val="es-ES_tradnl"/>
        </w:rPr>
        <w:t xml:space="preserve"> de alto nivel con el fin de facilitar las diferentes medidas de implementación requeridas. Esto cubre, concretamente: mecanismos de </w:t>
      </w:r>
      <w:r w:rsidR="00F46CD5">
        <w:rPr>
          <w:rFonts w:ascii="Arial" w:hAnsi="Arial" w:cs="Arial"/>
          <w:bCs/>
          <w:lang w:val="es-ES_tradnl"/>
        </w:rPr>
        <w:t>cumplimiento</w:t>
      </w:r>
      <w:r w:rsidR="00CF5A1A">
        <w:rPr>
          <w:rFonts w:ascii="Arial" w:hAnsi="Arial" w:cs="Arial"/>
          <w:bCs/>
          <w:lang w:val="es-ES_tradnl"/>
        </w:rPr>
        <w:t xml:space="preserve">, infraestructura de apoyo y evaluación del </w:t>
      </w:r>
      <w:r w:rsidR="00F46CD5">
        <w:rPr>
          <w:rFonts w:ascii="Arial" w:hAnsi="Arial" w:cs="Arial"/>
          <w:bCs/>
          <w:lang w:val="es-ES_tradnl"/>
        </w:rPr>
        <w:t>desempeño</w:t>
      </w:r>
      <w:r w:rsidR="00CF5A1A">
        <w:rPr>
          <w:rFonts w:ascii="Arial" w:hAnsi="Arial" w:cs="Arial"/>
          <w:bCs/>
          <w:lang w:val="es-ES_tradnl"/>
        </w:rPr>
        <w:t>. El capítulo incluye sugerencias para ayudar a los actores gubernamentales y no gubernamentales a traducir e i</w:t>
      </w:r>
      <w:r w:rsidR="004C6EC9">
        <w:rPr>
          <w:rFonts w:ascii="Arial" w:hAnsi="Arial" w:cs="Arial"/>
          <w:bCs/>
          <w:lang w:val="es-ES_tradnl"/>
        </w:rPr>
        <w:t>ntegrar las metas globales del P</w:t>
      </w:r>
      <w:r w:rsidR="00CF5A1A">
        <w:rPr>
          <w:rFonts w:ascii="Arial" w:hAnsi="Arial" w:cs="Arial"/>
          <w:bCs/>
          <w:lang w:val="es-ES_tradnl"/>
        </w:rPr>
        <w:t xml:space="preserve">lan en sus contextos específicos propios a nivel regional y nacional. En apoyo a la implementación del </w:t>
      </w:r>
      <w:r w:rsidR="00002F5C">
        <w:rPr>
          <w:rFonts w:ascii="Arial" w:hAnsi="Arial" w:cs="Arial"/>
          <w:bCs/>
          <w:lang w:val="es-ES_tradnl"/>
        </w:rPr>
        <w:t>SPMS</w:t>
      </w:r>
      <w:r w:rsidR="00CF5A1A">
        <w:rPr>
          <w:rFonts w:ascii="Arial" w:hAnsi="Arial" w:cs="Arial"/>
          <w:bCs/>
          <w:lang w:val="es-ES_tradnl"/>
        </w:rPr>
        <w:t xml:space="preserve">, el Volumen Complementario </w:t>
      </w:r>
      <w:r w:rsidR="00974371">
        <w:rPr>
          <w:rFonts w:ascii="Arial" w:hAnsi="Arial" w:cs="Arial"/>
          <w:bCs/>
          <w:lang w:val="es-ES_tradnl"/>
        </w:rPr>
        <w:t>ha sido</w:t>
      </w:r>
      <w:r w:rsidR="00CF5A1A">
        <w:rPr>
          <w:rFonts w:ascii="Arial" w:hAnsi="Arial" w:cs="Arial"/>
          <w:bCs/>
          <w:lang w:val="es-ES_tradnl"/>
        </w:rPr>
        <w:t xml:space="preserve"> diseñado para </w:t>
      </w:r>
      <w:r w:rsidR="009960BF">
        <w:rPr>
          <w:rFonts w:ascii="Arial" w:hAnsi="Arial" w:cs="Arial"/>
          <w:bCs/>
          <w:lang w:val="es-ES_tradnl"/>
        </w:rPr>
        <w:t>desarrollar</w:t>
      </w:r>
      <w:r w:rsidR="00CF5A1A">
        <w:rPr>
          <w:rFonts w:ascii="Arial" w:hAnsi="Arial" w:cs="Arial"/>
          <w:bCs/>
          <w:lang w:val="es-ES_tradnl"/>
        </w:rPr>
        <w:t xml:space="preserve"> estos aspectos, y tiene </w:t>
      </w:r>
      <w:r w:rsidR="00974371">
        <w:rPr>
          <w:rFonts w:ascii="Arial" w:hAnsi="Arial" w:cs="Arial"/>
          <w:bCs/>
          <w:lang w:val="es-ES_tradnl"/>
        </w:rPr>
        <w:t xml:space="preserve">como objetivo </w:t>
      </w:r>
      <w:r w:rsidR="00CF5A1A">
        <w:rPr>
          <w:rFonts w:ascii="Arial" w:hAnsi="Arial" w:cs="Arial"/>
          <w:bCs/>
          <w:lang w:val="es-ES_tradnl"/>
        </w:rPr>
        <w:t xml:space="preserve">ayudar a los expertos nacionales </w:t>
      </w:r>
      <w:r w:rsidR="001672F5">
        <w:rPr>
          <w:rFonts w:ascii="Arial" w:hAnsi="Arial" w:cs="Arial"/>
          <w:bCs/>
          <w:lang w:val="es-ES_tradnl"/>
        </w:rPr>
        <w:t>y</w:t>
      </w:r>
      <w:r w:rsidR="00CF5A1A">
        <w:rPr>
          <w:rFonts w:ascii="Arial" w:hAnsi="Arial" w:cs="Arial"/>
          <w:bCs/>
          <w:lang w:val="es-ES_tradnl"/>
        </w:rPr>
        <w:t xml:space="preserve"> a otras partes interesadas a poner en práctica</w:t>
      </w:r>
      <w:r w:rsidR="00B65662">
        <w:rPr>
          <w:rFonts w:ascii="Arial" w:hAnsi="Arial" w:cs="Arial"/>
          <w:bCs/>
          <w:lang w:val="es-ES_tradnl"/>
        </w:rPr>
        <w:t xml:space="preserve"> y ejecutar los medios de implementación necesarios para la consecució</w:t>
      </w:r>
      <w:r w:rsidR="0008323F">
        <w:rPr>
          <w:rFonts w:ascii="Arial" w:hAnsi="Arial" w:cs="Arial"/>
          <w:bCs/>
          <w:lang w:val="es-ES_tradnl"/>
        </w:rPr>
        <w:t>n de las metas y objetivos del P</w:t>
      </w:r>
      <w:r w:rsidR="00B65662">
        <w:rPr>
          <w:rFonts w:ascii="Arial" w:hAnsi="Arial" w:cs="Arial"/>
          <w:bCs/>
          <w:lang w:val="es-ES_tradnl"/>
        </w:rPr>
        <w:t>lan.</w:t>
      </w:r>
    </w:p>
    <w:p w14:paraId="77645F2F" w14:textId="77777777" w:rsidR="00214422" w:rsidRPr="00B50C61" w:rsidRDefault="00214422" w:rsidP="00231BE0">
      <w:pPr>
        <w:pStyle w:val="ListParagraph"/>
        <w:ind w:left="360"/>
        <w:jc w:val="both"/>
        <w:textAlignment w:val="baseline"/>
        <w:rPr>
          <w:rFonts w:ascii="Arial" w:hAnsi="Arial" w:cs="Arial"/>
          <w:bCs/>
          <w:lang w:val="es-ES_tradnl"/>
        </w:rPr>
      </w:pPr>
    </w:p>
    <w:p w14:paraId="71B41EB2" w14:textId="3238CBA3" w:rsidR="00DA4990" w:rsidRDefault="007D7C11" w:rsidP="00194882">
      <w:pPr>
        <w:pStyle w:val="ListParagraph"/>
        <w:numPr>
          <w:ilvl w:val="0"/>
          <w:numId w:val="15"/>
        </w:numPr>
        <w:ind w:left="426" w:hanging="426"/>
        <w:jc w:val="both"/>
        <w:textAlignment w:val="baseline"/>
        <w:rPr>
          <w:rFonts w:ascii="Arial" w:hAnsi="Arial" w:cs="Arial"/>
          <w:bCs/>
          <w:lang w:val="es-ES_tradnl"/>
        </w:rPr>
      </w:pPr>
      <w:r>
        <w:rPr>
          <w:rFonts w:ascii="Arial" w:hAnsi="Arial" w:cs="Arial"/>
          <w:bCs/>
          <w:lang w:val="es-ES_tradnl"/>
        </w:rPr>
        <w:lastRenderedPageBreak/>
        <w:t xml:space="preserve">El </w:t>
      </w:r>
      <w:r w:rsidR="008C0497">
        <w:rPr>
          <w:rFonts w:ascii="Arial" w:hAnsi="Arial" w:cs="Arial"/>
          <w:bCs/>
          <w:lang w:val="es-ES_tradnl"/>
        </w:rPr>
        <w:t>SPWG</w:t>
      </w:r>
      <w:r>
        <w:rPr>
          <w:rFonts w:ascii="Arial" w:hAnsi="Arial" w:cs="Arial"/>
          <w:bCs/>
          <w:lang w:val="es-ES_tradnl"/>
        </w:rPr>
        <w:t xml:space="preserve"> consideró la producción </w:t>
      </w:r>
      <w:r w:rsidR="00B50C61" w:rsidRPr="00B50C61">
        <w:rPr>
          <w:rFonts w:ascii="Arial" w:hAnsi="Arial" w:cs="Arial"/>
          <w:bCs/>
          <w:lang w:val="es-ES_tradnl"/>
        </w:rPr>
        <w:t xml:space="preserve">del </w:t>
      </w:r>
      <w:r w:rsidR="00B50C61">
        <w:rPr>
          <w:rFonts w:ascii="Arial" w:hAnsi="Arial" w:cs="Arial"/>
          <w:bCs/>
          <w:lang w:val="es-ES_tradnl"/>
        </w:rPr>
        <w:t xml:space="preserve">Volumen Complementario en su 3ª reunión, en base a un análisis de </w:t>
      </w:r>
      <w:r>
        <w:rPr>
          <w:rFonts w:ascii="Arial" w:hAnsi="Arial" w:cs="Arial"/>
          <w:bCs/>
          <w:lang w:val="es-ES_tradnl"/>
        </w:rPr>
        <w:t xml:space="preserve">los </w:t>
      </w:r>
      <w:r w:rsidR="00B50C61">
        <w:rPr>
          <w:rFonts w:ascii="Arial" w:hAnsi="Arial" w:cs="Arial"/>
          <w:bCs/>
          <w:lang w:val="es-ES_tradnl"/>
        </w:rPr>
        <w:t>programas de trabajo, planes de acción y otras herramientas de apoyo a la implementación utilizadas por la CMS y otros instrument</w:t>
      </w:r>
      <w:r>
        <w:rPr>
          <w:rFonts w:ascii="Arial" w:hAnsi="Arial" w:cs="Arial"/>
          <w:bCs/>
          <w:lang w:val="es-ES_tradnl"/>
        </w:rPr>
        <w:t>os de la Familia CMS, preparado</w:t>
      </w:r>
      <w:r w:rsidR="00B50C61">
        <w:rPr>
          <w:rFonts w:ascii="Arial" w:hAnsi="Arial" w:cs="Arial"/>
          <w:bCs/>
          <w:lang w:val="es-ES_tradnl"/>
        </w:rPr>
        <w:t xml:space="preserve"> por la Secretaría. Dado el gran volumen de docu</w:t>
      </w:r>
      <w:r w:rsidR="00A917F5">
        <w:rPr>
          <w:rFonts w:ascii="Arial" w:hAnsi="Arial" w:cs="Arial"/>
          <w:bCs/>
          <w:lang w:val="es-ES_tradnl"/>
        </w:rPr>
        <w:t>mentos e instrumentos a incluir</w:t>
      </w:r>
      <w:r w:rsidR="00B50C61">
        <w:rPr>
          <w:rFonts w:ascii="Arial" w:hAnsi="Arial" w:cs="Arial"/>
          <w:bCs/>
          <w:lang w:val="es-ES_tradnl"/>
        </w:rPr>
        <w:t xml:space="preserve"> se decidió e</w:t>
      </w:r>
      <w:r>
        <w:rPr>
          <w:rFonts w:ascii="Arial" w:hAnsi="Arial" w:cs="Arial"/>
          <w:bCs/>
          <w:lang w:val="es-ES_tradnl"/>
        </w:rPr>
        <w:t>studiar</w:t>
      </w:r>
      <w:r w:rsidR="00B50C61">
        <w:rPr>
          <w:rFonts w:ascii="Arial" w:hAnsi="Arial" w:cs="Arial"/>
          <w:bCs/>
          <w:lang w:val="es-ES_tradnl"/>
        </w:rPr>
        <w:t xml:space="preserve"> la posibilidad de desarrollar el Volumen Complementar</w:t>
      </w:r>
      <w:r w:rsidR="00A917F5">
        <w:rPr>
          <w:rFonts w:ascii="Arial" w:hAnsi="Arial" w:cs="Arial"/>
          <w:bCs/>
          <w:lang w:val="es-ES_tradnl"/>
        </w:rPr>
        <w:t>io como una herramienta</w:t>
      </w:r>
      <w:r w:rsidR="00B50C61">
        <w:rPr>
          <w:rFonts w:ascii="Arial" w:hAnsi="Arial" w:cs="Arial"/>
          <w:bCs/>
          <w:lang w:val="es-ES_tradnl"/>
        </w:rPr>
        <w:t xml:space="preserve"> en línea, </w:t>
      </w:r>
      <w:r w:rsidR="00D4482E">
        <w:rPr>
          <w:rFonts w:ascii="Arial" w:hAnsi="Arial" w:cs="Arial"/>
          <w:bCs/>
          <w:lang w:val="es-ES_tradnl"/>
        </w:rPr>
        <w:t>con el fin</w:t>
      </w:r>
      <w:r w:rsidR="00E30447">
        <w:rPr>
          <w:rFonts w:ascii="Arial" w:hAnsi="Arial" w:cs="Arial"/>
          <w:bCs/>
          <w:lang w:val="es-ES_tradnl"/>
        </w:rPr>
        <w:t xml:space="preserve"> de</w:t>
      </w:r>
      <w:r w:rsidR="00B50C61">
        <w:rPr>
          <w:rFonts w:ascii="Arial" w:hAnsi="Arial" w:cs="Arial"/>
          <w:bCs/>
          <w:lang w:val="es-ES_tradnl"/>
        </w:rPr>
        <w:t>:</w:t>
      </w:r>
    </w:p>
    <w:p w14:paraId="4D831487" w14:textId="77777777" w:rsidR="00194882" w:rsidRPr="00194882" w:rsidRDefault="00194882" w:rsidP="00194882">
      <w:pPr>
        <w:jc w:val="both"/>
        <w:textAlignment w:val="baseline"/>
        <w:rPr>
          <w:rFonts w:eastAsiaTheme="minorHAnsi" w:cs="Arial"/>
          <w:bCs/>
          <w:lang w:val="es-ES_tradnl"/>
        </w:rPr>
      </w:pPr>
    </w:p>
    <w:p w14:paraId="34B77E3C" w14:textId="624E4025" w:rsidR="00B50C61" w:rsidRPr="00347CE1" w:rsidRDefault="00E30447" w:rsidP="00347CE1">
      <w:pPr>
        <w:pStyle w:val="ListParagraph"/>
        <w:numPr>
          <w:ilvl w:val="0"/>
          <w:numId w:val="17"/>
        </w:numPr>
        <w:spacing w:after="40"/>
        <w:ind w:left="851" w:hanging="284"/>
        <w:contextualSpacing w:val="0"/>
        <w:jc w:val="both"/>
        <w:rPr>
          <w:rFonts w:ascii="Arial" w:eastAsia="MS Mincho" w:hAnsi="Arial" w:cs="Arial"/>
          <w:lang w:val="es-ES_tradnl" w:eastAsia="ja-JP"/>
        </w:rPr>
      </w:pPr>
      <w:r w:rsidRPr="00347CE1">
        <w:rPr>
          <w:rFonts w:ascii="Arial" w:eastAsia="MS Mincho" w:hAnsi="Arial" w:cs="Arial"/>
          <w:lang w:val="es-ES_tradnl" w:eastAsia="ja-JP"/>
        </w:rPr>
        <w:t>H</w:t>
      </w:r>
      <w:r w:rsidR="00B50C61" w:rsidRPr="00347CE1">
        <w:rPr>
          <w:rFonts w:ascii="Arial" w:eastAsia="MS Mincho" w:hAnsi="Arial" w:cs="Arial"/>
          <w:lang w:val="es-ES_tradnl" w:eastAsia="ja-JP"/>
        </w:rPr>
        <w:t>acer del Volumen Complementario una herramienta en evolución;</w:t>
      </w:r>
    </w:p>
    <w:p w14:paraId="0CDDD6DD" w14:textId="760E9771" w:rsidR="00F61436" w:rsidRPr="00347CE1" w:rsidRDefault="00E30447" w:rsidP="00347CE1">
      <w:pPr>
        <w:pStyle w:val="ListParagraph"/>
        <w:numPr>
          <w:ilvl w:val="0"/>
          <w:numId w:val="17"/>
        </w:numPr>
        <w:spacing w:after="40"/>
        <w:ind w:left="851" w:hanging="284"/>
        <w:jc w:val="both"/>
        <w:rPr>
          <w:rFonts w:ascii="Arial" w:eastAsia="MS Mincho" w:hAnsi="Arial" w:cs="Arial"/>
          <w:lang w:val="es-ES_tradnl" w:eastAsia="ja-JP"/>
        </w:rPr>
      </w:pPr>
      <w:r w:rsidRPr="00347CE1">
        <w:rPr>
          <w:rFonts w:ascii="Arial" w:eastAsia="MS Mincho" w:hAnsi="Arial" w:cs="Arial"/>
          <w:lang w:val="es-ES_tradnl" w:eastAsia="ja-JP"/>
        </w:rPr>
        <w:t>P</w:t>
      </w:r>
      <w:r w:rsidR="00E56132" w:rsidRPr="00347CE1">
        <w:rPr>
          <w:rFonts w:ascii="Arial" w:eastAsia="MS Mincho" w:hAnsi="Arial" w:cs="Arial"/>
          <w:lang w:val="es-ES_tradnl" w:eastAsia="ja-JP"/>
        </w:rPr>
        <w:t xml:space="preserve">ermitir </w:t>
      </w:r>
      <w:r w:rsidRPr="00347CE1">
        <w:rPr>
          <w:rFonts w:ascii="Arial" w:eastAsia="MS Mincho" w:hAnsi="Arial" w:cs="Arial"/>
          <w:lang w:val="es-ES_tradnl" w:eastAsia="ja-JP"/>
        </w:rPr>
        <w:t>actualizaciones</w:t>
      </w:r>
      <w:r w:rsidR="00E56132" w:rsidRPr="00347CE1">
        <w:rPr>
          <w:rFonts w:ascii="Arial" w:eastAsia="MS Mincho" w:hAnsi="Arial" w:cs="Arial"/>
          <w:lang w:val="es-ES_tradnl" w:eastAsia="ja-JP"/>
        </w:rPr>
        <w:t xml:space="preserve"> y adiciones </w:t>
      </w:r>
      <w:r w:rsidRPr="00347CE1">
        <w:rPr>
          <w:rFonts w:ascii="Arial" w:eastAsia="MS Mincho" w:hAnsi="Arial" w:cs="Arial"/>
          <w:lang w:val="es-ES_tradnl" w:eastAsia="ja-JP"/>
        </w:rPr>
        <w:t xml:space="preserve">regulares </w:t>
      </w:r>
      <w:r w:rsidR="00E56132" w:rsidRPr="00347CE1">
        <w:rPr>
          <w:rFonts w:ascii="Arial" w:eastAsia="MS Mincho" w:hAnsi="Arial" w:cs="Arial"/>
          <w:lang w:val="es-ES_tradnl" w:eastAsia="ja-JP"/>
        </w:rPr>
        <w:t>según se disponga de nueva información;</w:t>
      </w:r>
    </w:p>
    <w:p w14:paraId="18D5B93D" w14:textId="3C89DC9E" w:rsidR="009E6774" w:rsidRPr="00E30447" w:rsidRDefault="00987C89" w:rsidP="00231BE0">
      <w:pPr>
        <w:spacing w:after="40"/>
        <w:ind w:left="851" w:hanging="284"/>
        <w:jc w:val="both"/>
        <w:rPr>
          <w:rFonts w:eastAsia="MS Mincho" w:cs="Arial"/>
          <w:sz w:val="22"/>
          <w:szCs w:val="22"/>
          <w:lang w:val="es-ES_tradnl" w:eastAsia="ja-JP"/>
        </w:rPr>
      </w:pPr>
      <w:r w:rsidRPr="00E30447">
        <w:rPr>
          <w:rFonts w:eastAsia="MS Mincho" w:cs="Arial"/>
          <w:sz w:val="22"/>
          <w:szCs w:val="22"/>
          <w:lang w:val="es-ES_tradnl" w:eastAsia="ja-JP"/>
        </w:rPr>
        <w:t>c)</w:t>
      </w:r>
      <w:r w:rsidR="00DA4990" w:rsidRPr="00E30447">
        <w:rPr>
          <w:rFonts w:eastAsia="MS Mincho" w:cs="Arial"/>
          <w:sz w:val="22"/>
          <w:szCs w:val="22"/>
          <w:lang w:val="es-ES_tradnl" w:eastAsia="ja-JP"/>
        </w:rPr>
        <w:t xml:space="preserve"> </w:t>
      </w:r>
      <w:r w:rsidR="00E30447" w:rsidRPr="00E30447">
        <w:rPr>
          <w:rFonts w:eastAsia="MS Mincho" w:cs="Arial"/>
          <w:sz w:val="22"/>
          <w:szCs w:val="22"/>
          <w:lang w:val="es-ES_tradnl" w:eastAsia="ja-JP"/>
        </w:rPr>
        <w:t>P</w:t>
      </w:r>
      <w:r w:rsidR="009E6774" w:rsidRPr="00E30447">
        <w:rPr>
          <w:rFonts w:eastAsia="MS Mincho" w:cs="Arial"/>
          <w:sz w:val="22"/>
          <w:szCs w:val="22"/>
          <w:lang w:val="es-ES_tradnl" w:eastAsia="ja-JP"/>
        </w:rPr>
        <w:t xml:space="preserve">roporcionar a las Partes y </w:t>
      </w:r>
      <w:r w:rsidR="00E30447" w:rsidRPr="00E30447">
        <w:rPr>
          <w:rFonts w:eastAsia="MS Mincho" w:cs="Arial"/>
          <w:sz w:val="22"/>
          <w:szCs w:val="22"/>
          <w:lang w:val="es-ES_tradnl" w:eastAsia="ja-JP"/>
        </w:rPr>
        <w:t xml:space="preserve">a </w:t>
      </w:r>
      <w:r w:rsidR="009E6774" w:rsidRPr="00E30447">
        <w:rPr>
          <w:rFonts w:eastAsia="MS Mincho" w:cs="Arial"/>
          <w:sz w:val="22"/>
          <w:szCs w:val="22"/>
          <w:lang w:val="es-ES_tradnl" w:eastAsia="ja-JP"/>
        </w:rPr>
        <w:t>otras partes interesadas la orientación disponible actualmente en la Familia CMS para ayudarles a implementar el Plan Estratégico;</w:t>
      </w:r>
    </w:p>
    <w:p w14:paraId="19FD18C8" w14:textId="35C10A89" w:rsidR="00085884" w:rsidRPr="00E30447" w:rsidRDefault="00987C89" w:rsidP="00231BE0">
      <w:pPr>
        <w:spacing w:after="40"/>
        <w:ind w:left="851" w:hanging="284"/>
        <w:jc w:val="both"/>
        <w:rPr>
          <w:rFonts w:eastAsia="MS Mincho" w:cs="Arial"/>
          <w:sz w:val="22"/>
          <w:szCs w:val="22"/>
          <w:lang w:val="es-ES_tradnl" w:eastAsia="ja-JP"/>
        </w:rPr>
      </w:pPr>
      <w:r w:rsidRPr="00E30447">
        <w:rPr>
          <w:rFonts w:eastAsia="MS Mincho" w:cs="Arial"/>
          <w:sz w:val="22"/>
          <w:szCs w:val="22"/>
          <w:lang w:val="es-ES_tradnl" w:eastAsia="ja-JP"/>
        </w:rPr>
        <w:t>d)</w:t>
      </w:r>
      <w:r w:rsidR="00DA4990" w:rsidRPr="00E30447">
        <w:rPr>
          <w:rFonts w:eastAsia="MS Mincho" w:cs="Arial"/>
          <w:sz w:val="22"/>
          <w:szCs w:val="22"/>
          <w:lang w:val="es-ES_tradnl" w:eastAsia="ja-JP"/>
        </w:rPr>
        <w:t xml:space="preserve"> </w:t>
      </w:r>
      <w:r w:rsidR="00CC3A8E">
        <w:rPr>
          <w:rFonts w:eastAsia="MS Mincho" w:cs="Arial"/>
          <w:sz w:val="22"/>
          <w:szCs w:val="22"/>
          <w:lang w:val="es-ES_tradnl" w:eastAsia="ja-JP"/>
        </w:rPr>
        <w:t>P</w:t>
      </w:r>
      <w:r w:rsidR="00085884" w:rsidRPr="00E30447">
        <w:rPr>
          <w:rFonts w:eastAsia="MS Mincho" w:cs="Arial"/>
          <w:sz w:val="22"/>
          <w:szCs w:val="22"/>
          <w:lang w:val="es-ES_tradnl" w:eastAsia="ja-JP"/>
        </w:rPr>
        <w:t xml:space="preserve">roporcionar información para cada meta, </w:t>
      </w:r>
      <w:r w:rsidR="00CC3A8E">
        <w:rPr>
          <w:rFonts w:eastAsia="MS Mincho" w:cs="Arial"/>
          <w:sz w:val="22"/>
          <w:szCs w:val="22"/>
          <w:lang w:val="es-ES_tradnl" w:eastAsia="ja-JP"/>
        </w:rPr>
        <w:t>particularmente</w:t>
      </w:r>
      <w:r w:rsidR="00085884" w:rsidRPr="00E30447">
        <w:rPr>
          <w:rFonts w:eastAsia="MS Mincho" w:cs="Arial"/>
          <w:sz w:val="22"/>
          <w:szCs w:val="22"/>
          <w:lang w:val="es-ES_tradnl" w:eastAsia="ja-JP"/>
        </w:rPr>
        <w:t xml:space="preserve"> en lo </w:t>
      </w:r>
      <w:r w:rsidR="00CC3A8E">
        <w:rPr>
          <w:rFonts w:eastAsia="MS Mincho" w:cs="Arial"/>
          <w:sz w:val="22"/>
          <w:szCs w:val="22"/>
          <w:lang w:val="es-ES_tradnl" w:eastAsia="ja-JP"/>
        </w:rPr>
        <w:t>concerniente</w:t>
      </w:r>
      <w:r w:rsidR="00085884" w:rsidRPr="00E30447">
        <w:rPr>
          <w:rFonts w:eastAsia="MS Mincho" w:cs="Arial"/>
          <w:sz w:val="22"/>
          <w:szCs w:val="22"/>
          <w:lang w:val="es-ES_tradnl" w:eastAsia="ja-JP"/>
        </w:rPr>
        <w:t xml:space="preserve"> a todas las herramientas dent</w:t>
      </w:r>
      <w:r w:rsidR="00165CD7">
        <w:rPr>
          <w:rFonts w:eastAsia="MS Mincho" w:cs="Arial"/>
          <w:sz w:val="22"/>
          <w:szCs w:val="22"/>
          <w:lang w:val="es-ES_tradnl" w:eastAsia="ja-JP"/>
        </w:rPr>
        <w:t>ro de la Familia CMS en apoyo a</w:t>
      </w:r>
      <w:r w:rsidR="00085884" w:rsidRPr="00E30447">
        <w:rPr>
          <w:rFonts w:eastAsia="MS Mincho" w:cs="Arial"/>
          <w:sz w:val="22"/>
          <w:szCs w:val="22"/>
          <w:lang w:val="es-ES_tradnl" w:eastAsia="ja-JP"/>
        </w:rPr>
        <w:t xml:space="preserve"> esa meta;</w:t>
      </w:r>
    </w:p>
    <w:p w14:paraId="7615D84B" w14:textId="74493093" w:rsidR="00085884" w:rsidRPr="00C816CF" w:rsidRDefault="00987C89" w:rsidP="00231BE0">
      <w:pPr>
        <w:ind w:left="851" w:hanging="284"/>
        <w:jc w:val="both"/>
        <w:rPr>
          <w:rFonts w:eastAsia="MS Mincho" w:cs="Arial"/>
          <w:sz w:val="22"/>
          <w:szCs w:val="22"/>
          <w:lang w:val="es-ES_tradnl" w:eastAsia="ja-JP"/>
        </w:rPr>
      </w:pPr>
      <w:r w:rsidRPr="00C816CF">
        <w:rPr>
          <w:rFonts w:eastAsia="MS Mincho" w:cs="Arial"/>
          <w:sz w:val="22"/>
          <w:szCs w:val="22"/>
          <w:lang w:val="es-ES_tradnl" w:eastAsia="ja-JP"/>
        </w:rPr>
        <w:t>e)</w:t>
      </w:r>
      <w:r w:rsidR="00DC7664" w:rsidRPr="00C816CF">
        <w:rPr>
          <w:rFonts w:eastAsia="MS Mincho" w:cs="Arial"/>
          <w:sz w:val="22"/>
          <w:szCs w:val="22"/>
          <w:lang w:val="es-ES_tradnl" w:eastAsia="ja-JP"/>
        </w:rPr>
        <w:t xml:space="preserve"> </w:t>
      </w:r>
      <w:r w:rsidR="00584EC4">
        <w:rPr>
          <w:rFonts w:eastAsia="MS Mincho" w:cs="Arial"/>
          <w:sz w:val="22"/>
          <w:szCs w:val="22"/>
          <w:lang w:val="es-ES_tradnl" w:eastAsia="ja-JP"/>
        </w:rPr>
        <w:t>A</w:t>
      </w:r>
      <w:r w:rsidR="00C816CF" w:rsidRPr="00C816CF">
        <w:rPr>
          <w:rFonts w:eastAsia="MS Mincho" w:cs="Arial"/>
          <w:sz w:val="22"/>
          <w:szCs w:val="22"/>
          <w:lang w:val="es-ES_tradnl" w:eastAsia="ja-JP"/>
        </w:rPr>
        <w:t>lentar el uso del Plan Estratégico y las Metas ampliamente en toda la Familia CMS.</w:t>
      </w:r>
    </w:p>
    <w:p w14:paraId="0CAE0C92" w14:textId="77777777" w:rsidR="00DA4990" w:rsidRPr="00B56DE6" w:rsidRDefault="00DA4990" w:rsidP="00231BE0">
      <w:pPr>
        <w:ind w:left="426" w:hanging="426"/>
        <w:jc w:val="both"/>
        <w:rPr>
          <w:rFonts w:eastAsia="MS Mincho" w:cs="Arial"/>
          <w:sz w:val="22"/>
          <w:szCs w:val="22"/>
          <w:highlight w:val="yellow"/>
          <w:lang w:val="es-ES_tradnl" w:eastAsia="ja-JP"/>
        </w:rPr>
      </w:pPr>
    </w:p>
    <w:p w14:paraId="4CDF4FDF" w14:textId="64E78028" w:rsidR="00764AEE" w:rsidRPr="00764AEE" w:rsidRDefault="00764AEE" w:rsidP="00A870A9">
      <w:pPr>
        <w:ind w:left="450"/>
        <w:jc w:val="both"/>
        <w:rPr>
          <w:rFonts w:eastAsia="MS Mincho" w:cs="Arial"/>
          <w:sz w:val="22"/>
          <w:szCs w:val="22"/>
          <w:lang w:val="es-ES_tradnl" w:eastAsia="ja-JP"/>
        </w:rPr>
      </w:pPr>
      <w:r w:rsidRPr="00764AEE">
        <w:rPr>
          <w:rFonts w:eastAsia="MS Mincho" w:cs="Arial"/>
          <w:sz w:val="22"/>
          <w:szCs w:val="22"/>
          <w:lang w:val="es-ES_tradnl" w:eastAsia="ja-JP"/>
        </w:rPr>
        <w:t>Es</w:t>
      </w:r>
      <w:r w:rsidR="00A96C09">
        <w:rPr>
          <w:rFonts w:eastAsia="MS Mincho" w:cs="Arial"/>
          <w:sz w:val="22"/>
          <w:szCs w:val="22"/>
          <w:lang w:val="es-ES_tradnl" w:eastAsia="ja-JP"/>
        </w:rPr>
        <w:t>te</w:t>
      </w:r>
      <w:r w:rsidRPr="00764AEE">
        <w:rPr>
          <w:rFonts w:eastAsia="MS Mincho" w:cs="Arial"/>
          <w:sz w:val="22"/>
          <w:szCs w:val="22"/>
          <w:lang w:val="es-ES_tradnl" w:eastAsia="ja-JP"/>
        </w:rPr>
        <w:t xml:space="preserve"> método de presentación en línea </w:t>
      </w:r>
      <w:r>
        <w:rPr>
          <w:rFonts w:eastAsia="MS Mincho" w:cs="Arial"/>
          <w:sz w:val="22"/>
          <w:szCs w:val="22"/>
          <w:lang w:val="es-ES_tradnl" w:eastAsia="ja-JP"/>
        </w:rPr>
        <w:t xml:space="preserve">supone por lo tanto una manera más flexible y dinámica de acceder al </w:t>
      </w:r>
      <w:r w:rsidR="006D3634">
        <w:rPr>
          <w:rFonts w:eastAsia="MS Mincho" w:cs="Arial"/>
          <w:sz w:val="22"/>
          <w:szCs w:val="22"/>
          <w:lang w:val="es-ES_tradnl" w:eastAsia="ja-JP"/>
        </w:rPr>
        <w:t>material, y permitirá ampliarlo</w:t>
      </w:r>
      <w:r>
        <w:rPr>
          <w:rFonts w:eastAsia="MS Mincho" w:cs="Arial"/>
          <w:sz w:val="22"/>
          <w:szCs w:val="22"/>
          <w:lang w:val="es-ES_tradnl" w:eastAsia="ja-JP"/>
        </w:rPr>
        <w:t xml:space="preserve"> y actualizarlo progresivamente en el futuro, si así </w:t>
      </w:r>
      <w:r w:rsidR="00627419">
        <w:rPr>
          <w:rFonts w:eastAsia="MS Mincho" w:cs="Arial"/>
          <w:sz w:val="22"/>
          <w:szCs w:val="22"/>
          <w:lang w:val="es-ES_tradnl" w:eastAsia="ja-JP"/>
        </w:rPr>
        <w:t>lo decidiera</w:t>
      </w:r>
      <w:r>
        <w:rPr>
          <w:rFonts w:eastAsia="MS Mincho" w:cs="Arial"/>
          <w:sz w:val="22"/>
          <w:szCs w:val="22"/>
          <w:lang w:val="es-ES_tradnl" w:eastAsia="ja-JP"/>
        </w:rPr>
        <w:t xml:space="preserve"> la COP.</w:t>
      </w:r>
    </w:p>
    <w:p w14:paraId="545CE2B0" w14:textId="438EFD32" w:rsidR="00DC7664" w:rsidRPr="00812880" w:rsidRDefault="00DC7664" w:rsidP="00231BE0">
      <w:pPr>
        <w:ind w:left="426" w:hanging="426"/>
        <w:jc w:val="both"/>
        <w:rPr>
          <w:rFonts w:eastAsia="MS Mincho" w:cs="Arial"/>
          <w:sz w:val="22"/>
          <w:szCs w:val="22"/>
          <w:lang w:val="es-ES_tradnl" w:eastAsia="ja-JP"/>
        </w:rPr>
      </w:pPr>
    </w:p>
    <w:p w14:paraId="6DEE44CC" w14:textId="47E8FE09" w:rsidR="00812880" w:rsidRPr="00812880" w:rsidRDefault="00812880" w:rsidP="00E30447">
      <w:pPr>
        <w:pStyle w:val="ListParagraph"/>
        <w:numPr>
          <w:ilvl w:val="0"/>
          <w:numId w:val="15"/>
        </w:numPr>
        <w:ind w:left="426" w:hanging="426"/>
        <w:jc w:val="both"/>
        <w:rPr>
          <w:rFonts w:ascii="Arial" w:eastAsia="MS Mincho" w:hAnsi="Arial" w:cs="Arial"/>
          <w:lang w:val="es-ES_tradnl" w:eastAsia="ja-JP"/>
        </w:rPr>
      </w:pPr>
      <w:r w:rsidRPr="00812880">
        <w:rPr>
          <w:rFonts w:ascii="Arial" w:eastAsia="MS Mincho" w:hAnsi="Arial" w:cs="Arial"/>
          <w:lang w:val="es-ES_tradnl" w:eastAsia="ja-JP"/>
        </w:rPr>
        <w:t xml:space="preserve">Se solicitó a la Secretaría preparar un borrador para la consideración del </w:t>
      </w:r>
      <w:r w:rsidR="008C0497">
        <w:rPr>
          <w:rFonts w:ascii="Arial" w:eastAsia="MS Mincho" w:hAnsi="Arial" w:cs="Arial"/>
          <w:lang w:val="es-ES_tradnl" w:eastAsia="ja-JP"/>
        </w:rPr>
        <w:t>SPWG</w:t>
      </w:r>
      <w:r w:rsidRPr="00812880">
        <w:rPr>
          <w:rFonts w:ascii="Arial" w:eastAsia="MS Mincho" w:hAnsi="Arial" w:cs="Arial"/>
          <w:lang w:val="es-ES_tradnl" w:eastAsia="ja-JP"/>
        </w:rPr>
        <w:t xml:space="preserve"> en su </w:t>
      </w:r>
      <w:r w:rsidR="00F855DA">
        <w:rPr>
          <w:rFonts w:ascii="Arial" w:eastAsia="MS Mincho" w:hAnsi="Arial" w:cs="Arial"/>
          <w:lang w:val="es-ES_tradnl" w:eastAsia="ja-JP"/>
        </w:rPr>
        <w:t>próxima</w:t>
      </w:r>
      <w:r w:rsidRPr="00812880">
        <w:rPr>
          <w:rFonts w:ascii="Arial" w:eastAsia="MS Mincho" w:hAnsi="Arial" w:cs="Arial"/>
          <w:lang w:val="es-ES_tradnl" w:eastAsia="ja-JP"/>
        </w:rPr>
        <w:t xml:space="preserve"> reunión. </w:t>
      </w:r>
      <w:r>
        <w:rPr>
          <w:rFonts w:ascii="Arial" w:eastAsia="MS Mincho" w:hAnsi="Arial" w:cs="Arial"/>
          <w:lang w:val="es-ES_tradnl" w:eastAsia="ja-JP"/>
        </w:rPr>
        <w:t xml:space="preserve">Para facilitar su utilización, el contenido del Volumen Complementario fue organizado de acuerdo a las 16 metas del Plan Estratégico. La presentación </w:t>
      </w:r>
      <w:r w:rsidR="00A43579">
        <w:rPr>
          <w:rFonts w:ascii="Arial" w:eastAsia="MS Mincho" w:hAnsi="Arial" w:cs="Arial"/>
          <w:lang w:val="es-ES_tradnl" w:eastAsia="ja-JP"/>
        </w:rPr>
        <w:t>en línea</w:t>
      </w:r>
      <w:r>
        <w:rPr>
          <w:rFonts w:ascii="Arial" w:eastAsia="MS Mincho" w:hAnsi="Arial" w:cs="Arial"/>
          <w:lang w:val="es-ES_tradnl" w:eastAsia="ja-JP"/>
        </w:rPr>
        <w:t xml:space="preserve"> permite además ser estructurado simultáneamente de acuerdo a los títulos principales </w:t>
      </w:r>
      <w:r w:rsidR="00886067">
        <w:rPr>
          <w:rFonts w:ascii="Arial" w:eastAsia="MS Mincho" w:hAnsi="Arial" w:cs="Arial"/>
          <w:lang w:val="es-ES_tradnl" w:eastAsia="ja-JP"/>
        </w:rPr>
        <w:t>adoptados en el capítulo 4 del P</w:t>
      </w:r>
      <w:r w:rsidR="0064708A">
        <w:rPr>
          <w:rFonts w:ascii="Arial" w:eastAsia="MS Mincho" w:hAnsi="Arial" w:cs="Arial"/>
          <w:lang w:val="es-ES_tradnl" w:eastAsia="ja-JP"/>
        </w:rPr>
        <w:t>lan. Se podrá</w:t>
      </w:r>
      <w:r>
        <w:rPr>
          <w:rFonts w:ascii="Arial" w:eastAsia="MS Mincho" w:hAnsi="Arial" w:cs="Arial"/>
          <w:lang w:val="es-ES_tradnl" w:eastAsia="ja-JP"/>
        </w:rPr>
        <w:t xml:space="preserve"> acceder a él a través de un menú de estilo “matriz” en vez de simplemente media</w:t>
      </w:r>
      <w:r w:rsidR="0064708A">
        <w:rPr>
          <w:rFonts w:ascii="Arial" w:eastAsia="MS Mincho" w:hAnsi="Arial" w:cs="Arial"/>
          <w:lang w:val="es-ES_tradnl" w:eastAsia="ja-JP"/>
        </w:rPr>
        <w:t>nte una única lista de contenidos</w:t>
      </w:r>
      <w:r>
        <w:rPr>
          <w:rFonts w:ascii="Arial" w:eastAsia="MS Mincho" w:hAnsi="Arial" w:cs="Arial"/>
          <w:lang w:val="es-ES_tradnl" w:eastAsia="ja-JP"/>
        </w:rPr>
        <w:t>.</w:t>
      </w:r>
    </w:p>
    <w:p w14:paraId="447203C0" w14:textId="77777777" w:rsidR="00214422" w:rsidRPr="00E31446" w:rsidRDefault="00214422" w:rsidP="00231BE0">
      <w:pPr>
        <w:pStyle w:val="ListParagraph"/>
        <w:ind w:left="426" w:hanging="426"/>
        <w:jc w:val="both"/>
        <w:rPr>
          <w:rFonts w:ascii="Arial" w:eastAsia="MS Mincho" w:hAnsi="Arial" w:cs="Arial"/>
          <w:lang w:val="es-ES_tradnl" w:eastAsia="ja-JP"/>
        </w:rPr>
      </w:pPr>
    </w:p>
    <w:p w14:paraId="6D1903BB" w14:textId="50668698" w:rsidR="00E31446" w:rsidRPr="00E31446" w:rsidRDefault="00A45AD0" w:rsidP="00E30447">
      <w:pPr>
        <w:pStyle w:val="ListParagraph"/>
        <w:numPr>
          <w:ilvl w:val="0"/>
          <w:numId w:val="15"/>
        </w:numPr>
        <w:ind w:left="426" w:hanging="426"/>
        <w:jc w:val="both"/>
        <w:rPr>
          <w:rFonts w:ascii="Arial" w:eastAsia="MS Mincho" w:hAnsi="Arial" w:cs="Arial"/>
          <w:lang w:val="es-ES_tradnl" w:eastAsia="ja-JP"/>
        </w:rPr>
      </w:pPr>
      <w:r>
        <w:rPr>
          <w:rFonts w:ascii="Arial" w:eastAsia="MS Mincho" w:hAnsi="Arial" w:cs="Arial"/>
          <w:lang w:val="es-ES_tradnl" w:eastAsia="ja-JP"/>
        </w:rPr>
        <w:t>En septiembre y octubre de 2016 se llevó a cabo u</w:t>
      </w:r>
      <w:r w:rsidR="00E31446" w:rsidRPr="00E31446">
        <w:rPr>
          <w:rFonts w:ascii="Arial" w:eastAsia="MS Mincho" w:hAnsi="Arial" w:cs="Arial"/>
          <w:lang w:val="es-ES_tradnl" w:eastAsia="ja-JP"/>
        </w:rPr>
        <w:t xml:space="preserve">na primera ronda de consultas </w:t>
      </w:r>
      <w:r>
        <w:rPr>
          <w:rFonts w:ascii="Arial" w:eastAsia="MS Mincho" w:hAnsi="Arial" w:cs="Arial"/>
          <w:lang w:val="es-ES_tradnl" w:eastAsia="ja-JP"/>
        </w:rPr>
        <w:t xml:space="preserve">sobre un borrador </w:t>
      </w:r>
      <w:r w:rsidR="00D045E3">
        <w:rPr>
          <w:rFonts w:ascii="Arial" w:eastAsia="MS Mincho" w:hAnsi="Arial" w:cs="Arial"/>
          <w:lang w:val="es-ES_tradnl" w:eastAsia="ja-JP"/>
        </w:rPr>
        <w:t xml:space="preserve">completado en forma </w:t>
      </w:r>
      <w:r>
        <w:rPr>
          <w:rFonts w:ascii="Arial" w:eastAsia="MS Mincho" w:hAnsi="Arial" w:cs="Arial"/>
          <w:lang w:val="es-ES_tradnl" w:eastAsia="ja-JP"/>
        </w:rPr>
        <w:t xml:space="preserve">parcial del Volumen Complementario entre los miembros del </w:t>
      </w:r>
      <w:r w:rsidR="008C0497">
        <w:rPr>
          <w:rFonts w:ascii="Arial" w:eastAsia="MS Mincho" w:hAnsi="Arial" w:cs="Arial"/>
          <w:lang w:val="es-ES_tradnl" w:eastAsia="ja-JP"/>
        </w:rPr>
        <w:t>SPWG</w:t>
      </w:r>
      <w:r>
        <w:rPr>
          <w:rFonts w:ascii="Arial" w:eastAsia="MS Mincho" w:hAnsi="Arial" w:cs="Arial"/>
          <w:lang w:val="es-ES_tradnl" w:eastAsia="ja-JP"/>
        </w:rPr>
        <w:t>, los miembros del Comité Permanente de la CMS y los miembros del Consejo Científico</w:t>
      </w:r>
      <w:r w:rsidR="00874F50">
        <w:rPr>
          <w:rFonts w:ascii="Arial" w:eastAsia="MS Mincho" w:hAnsi="Arial" w:cs="Arial"/>
          <w:lang w:val="es-ES_tradnl" w:eastAsia="ja-JP"/>
        </w:rPr>
        <w:t xml:space="preserve"> de la CMS</w:t>
      </w:r>
      <w:r>
        <w:rPr>
          <w:rFonts w:ascii="Arial" w:eastAsia="MS Mincho" w:hAnsi="Arial" w:cs="Arial"/>
          <w:lang w:val="es-ES_tradnl" w:eastAsia="ja-JP"/>
        </w:rPr>
        <w:t>. El propósito de la consulta fue obtener comentarios de alto nivel sobre el enfoque adoptado, concretamente sobre:</w:t>
      </w:r>
    </w:p>
    <w:p w14:paraId="65860CD1" w14:textId="6BCCF616" w:rsidR="00DA4990" w:rsidRPr="003E073C" w:rsidRDefault="00DA4990" w:rsidP="00231BE0">
      <w:pPr>
        <w:ind w:left="426" w:hanging="426"/>
        <w:jc w:val="both"/>
        <w:rPr>
          <w:rFonts w:eastAsia="MS Mincho" w:cs="Arial"/>
          <w:highlight w:val="yellow"/>
          <w:lang w:val="es-ES_tradnl" w:eastAsia="ja-JP"/>
        </w:rPr>
      </w:pPr>
    </w:p>
    <w:p w14:paraId="6555470F" w14:textId="3C5735A2" w:rsidR="00BF776D" w:rsidRPr="0078399C" w:rsidRDefault="0078399C" w:rsidP="0078399C">
      <w:pPr>
        <w:pStyle w:val="ListParagraph"/>
        <w:numPr>
          <w:ilvl w:val="0"/>
          <w:numId w:val="18"/>
        </w:numPr>
        <w:tabs>
          <w:tab w:val="left" w:pos="1418"/>
        </w:tabs>
        <w:spacing w:after="40"/>
        <w:ind w:left="993" w:hanging="426"/>
        <w:jc w:val="both"/>
        <w:rPr>
          <w:rFonts w:ascii="Arial" w:eastAsia="MS Mincho" w:hAnsi="Arial" w:cs="Arial"/>
          <w:lang w:val="es-ES_tradnl" w:eastAsia="ja-JP"/>
        </w:rPr>
      </w:pPr>
      <w:r w:rsidRPr="0078399C">
        <w:rPr>
          <w:rFonts w:ascii="Arial" w:eastAsia="MS Mincho" w:hAnsi="Arial" w:cs="Arial"/>
          <w:lang w:val="es-ES_tradnl" w:eastAsia="ja-JP"/>
        </w:rPr>
        <w:t xml:space="preserve">La </w:t>
      </w:r>
      <w:r w:rsidR="00BF776D" w:rsidRPr="0078399C">
        <w:rPr>
          <w:rFonts w:ascii="Arial" w:eastAsia="MS Mincho" w:hAnsi="Arial" w:cs="Arial"/>
          <w:lang w:val="es-ES_tradnl" w:eastAsia="ja-JP"/>
        </w:rPr>
        <w:t>usabilidad de la herramienta en línea, incluyendo sugerencias sobr</w:t>
      </w:r>
      <w:r w:rsidRPr="0078399C">
        <w:rPr>
          <w:rFonts w:ascii="Arial" w:eastAsia="MS Mincho" w:hAnsi="Arial" w:cs="Arial"/>
          <w:lang w:val="es-ES_tradnl" w:eastAsia="ja-JP"/>
        </w:rPr>
        <w:t>e</w:t>
      </w:r>
      <w:r w:rsidR="00BF776D" w:rsidRPr="0078399C">
        <w:rPr>
          <w:rFonts w:ascii="Arial" w:eastAsia="MS Mincho" w:hAnsi="Arial" w:cs="Arial"/>
          <w:lang w:val="es-ES_tradnl" w:eastAsia="ja-JP"/>
        </w:rPr>
        <w:t xml:space="preserve"> cómo mejorarla;</w:t>
      </w:r>
    </w:p>
    <w:p w14:paraId="4F679AEA" w14:textId="57C038B3" w:rsidR="00BF776D" w:rsidRPr="0078399C" w:rsidRDefault="0078399C" w:rsidP="0078399C">
      <w:pPr>
        <w:pStyle w:val="ListParagraph"/>
        <w:numPr>
          <w:ilvl w:val="0"/>
          <w:numId w:val="18"/>
        </w:numPr>
        <w:tabs>
          <w:tab w:val="left" w:pos="993"/>
        </w:tabs>
        <w:spacing w:after="40"/>
        <w:ind w:left="993" w:hanging="426"/>
        <w:jc w:val="both"/>
        <w:rPr>
          <w:rFonts w:ascii="Arial" w:eastAsia="MS Mincho" w:hAnsi="Arial" w:cs="Arial"/>
          <w:lang w:val="es-ES_tradnl" w:eastAsia="ja-JP"/>
        </w:rPr>
      </w:pPr>
      <w:r w:rsidRPr="0078399C">
        <w:rPr>
          <w:rFonts w:ascii="Arial" w:eastAsia="MS Mincho" w:hAnsi="Arial" w:cs="Arial"/>
          <w:lang w:val="es-ES_tradnl" w:eastAsia="ja-JP"/>
        </w:rPr>
        <w:t>L</w:t>
      </w:r>
      <w:r w:rsidR="00BF776D" w:rsidRPr="0078399C">
        <w:rPr>
          <w:rFonts w:ascii="Arial" w:eastAsia="MS Mincho" w:hAnsi="Arial" w:cs="Arial"/>
          <w:lang w:val="es-ES_tradnl" w:eastAsia="ja-JP"/>
        </w:rPr>
        <w:t>a utilidad de la información proporcionada en las her</w:t>
      </w:r>
      <w:r w:rsidRPr="0078399C">
        <w:rPr>
          <w:rFonts w:ascii="Arial" w:eastAsia="MS Mincho" w:hAnsi="Arial" w:cs="Arial"/>
          <w:lang w:val="es-ES_tradnl" w:eastAsia="ja-JP"/>
        </w:rPr>
        <w:t xml:space="preserve">ramientas analizadas para guiar </w:t>
      </w:r>
      <w:r w:rsidR="00BF776D" w:rsidRPr="0078399C">
        <w:rPr>
          <w:rFonts w:ascii="Arial" w:eastAsia="MS Mincho" w:hAnsi="Arial" w:cs="Arial"/>
          <w:lang w:val="es-ES_tradnl" w:eastAsia="ja-JP"/>
        </w:rPr>
        <w:t>la acción en apoyo a la meta;</w:t>
      </w:r>
    </w:p>
    <w:p w14:paraId="5D317533" w14:textId="768E25D9" w:rsidR="003B3A43" w:rsidRPr="0078399C" w:rsidRDefault="0078399C" w:rsidP="0078399C">
      <w:pPr>
        <w:pStyle w:val="ListParagraph"/>
        <w:numPr>
          <w:ilvl w:val="0"/>
          <w:numId w:val="18"/>
        </w:numPr>
        <w:tabs>
          <w:tab w:val="left" w:pos="993"/>
        </w:tabs>
        <w:ind w:hanging="153"/>
        <w:jc w:val="both"/>
        <w:rPr>
          <w:rFonts w:ascii="Arial" w:eastAsia="MS Mincho" w:hAnsi="Arial" w:cs="Arial"/>
          <w:lang w:val="es-ES_tradnl" w:eastAsia="ja-JP"/>
        </w:rPr>
      </w:pPr>
      <w:r w:rsidRPr="0078399C">
        <w:rPr>
          <w:rFonts w:ascii="Arial" w:eastAsia="MS Mincho" w:hAnsi="Arial" w:cs="Arial"/>
          <w:lang w:val="es-ES_tradnl" w:eastAsia="ja-JP"/>
        </w:rPr>
        <w:t>E</w:t>
      </w:r>
      <w:r w:rsidR="003B3A43" w:rsidRPr="0078399C">
        <w:rPr>
          <w:rFonts w:ascii="Arial" w:eastAsia="MS Mincho" w:hAnsi="Arial" w:cs="Arial"/>
          <w:lang w:val="es-ES_tradnl" w:eastAsia="ja-JP"/>
        </w:rPr>
        <w:t>l nivel de detalle proporcionado para las herramientas individuales analizadas.</w:t>
      </w:r>
    </w:p>
    <w:p w14:paraId="6946D7BD" w14:textId="77777777" w:rsidR="00D0520D" w:rsidRPr="003E073C" w:rsidRDefault="00D0520D" w:rsidP="00231BE0">
      <w:pPr>
        <w:ind w:left="426" w:hanging="426"/>
        <w:jc w:val="both"/>
        <w:rPr>
          <w:rFonts w:eastAsia="MS Mincho" w:cs="Arial"/>
          <w:sz w:val="22"/>
          <w:szCs w:val="22"/>
          <w:highlight w:val="yellow"/>
          <w:lang w:val="es-ES_tradnl" w:eastAsia="ja-JP"/>
        </w:rPr>
      </w:pPr>
    </w:p>
    <w:p w14:paraId="055F02E1" w14:textId="0F19C42E" w:rsidR="00DA4990" w:rsidRPr="001526DB" w:rsidRDefault="00214422" w:rsidP="001526DB">
      <w:pPr>
        <w:ind w:left="426" w:hanging="426"/>
        <w:jc w:val="both"/>
        <w:rPr>
          <w:rFonts w:eastAsia="MS Mincho" w:cs="Arial"/>
          <w:sz w:val="22"/>
          <w:szCs w:val="22"/>
          <w:lang w:val="es-ES_tradnl" w:eastAsia="ja-JP"/>
        </w:rPr>
      </w:pPr>
      <w:r w:rsidRPr="00040864">
        <w:rPr>
          <w:rFonts w:eastAsia="MS Mincho" w:cs="Arial"/>
          <w:sz w:val="22"/>
          <w:szCs w:val="22"/>
          <w:lang w:val="es-ES_tradnl" w:eastAsia="ja-JP"/>
        </w:rPr>
        <w:t>10</w:t>
      </w:r>
      <w:r w:rsidR="00C94515" w:rsidRPr="00040864">
        <w:rPr>
          <w:rFonts w:eastAsia="MS Mincho" w:cs="Arial"/>
          <w:sz w:val="22"/>
          <w:szCs w:val="22"/>
          <w:lang w:val="es-ES_tradnl" w:eastAsia="ja-JP"/>
        </w:rPr>
        <w:t>.</w:t>
      </w:r>
      <w:r w:rsidR="00C94515" w:rsidRPr="00040864">
        <w:rPr>
          <w:rFonts w:eastAsia="MS Mincho" w:cs="Arial"/>
          <w:sz w:val="22"/>
          <w:szCs w:val="22"/>
          <w:lang w:val="es-ES_tradnl" w:eastAsia="ja-JP"/>
        </w:rPr>
        <w:tab/>
      </w:r>
      <w:r w:rsidR="00040864" w:rsidRPr="00040864">
        <w:rPr>
          <w:rFonts w:eastAsia="MS Mincho" w:cs="Arial"/>
          <w:sz w:val="22"/>
          <w:szCs w:val="22"/>
          <w:lang w:val="es-ES_tradnl" w:eastAsia="ja-JP"/>
        </w:rPr>
        <w:t>El desarrollo futuro del Volumen Complementario</w:t>
      </w:r>
      <w:r w:rsidR="00FB21F1">
        <w:rPr>
          <w:rFonts w:eastAsia="MS Mincho" w:cs="Arial"/>
          <w:sz w:val="22"/>
          <w:szCs w:val="22"/>
          <w:lang w:val="es-ES_tradnl" w:eastAsia="ja-JP"/>
        </w:rPr>
        <w:t xml:space="preserve"> fue considerado en la 4ª reunión del </w:t>
      </w:r>
      <w:r w:rsidR="008C0497">
        <w:rPr>
          <w:rFonts w:eastAsia="MS Mincho" w:cs="Arial"/>
          <w:sz w:val="22"/>
          <w:szCs w:val="22"/>
          <w:lang w:val="es-ES_tradnl" w:eastAsia="ja-JP"/>
        </w:rPr>
        <w:t>SPWG</w:t>
      </w:r>
      <w:r w:rsidR="00FB21F1">
        <w:rPr>
          <w:rFonts w:eastAsia="MS Mincho" w:cs="Arial"/>
          <w:sz w:val="22"/>
          <w:szCs w:val="22"/>
          <w:lang w:val="es-ES_tradnl" w:eastAsia="ja-JP"/>
        </w:rPr>
        <w:t xml:space="preserve"> (</w:t>
      </w:r>
      <w:r w:rsidR="008C0497">
        <w:rPr>
          <w:rFonts w:eastAsia="MS Mincho" w:cs="Arial"/>
          <w:sz w:val="22"/>
          <w:szCs w:val="22"/>
          <w:lang w:val="es-ES_tradnl" w:eastAsia="ja-JP"/>
        </w:rPr>
        <w:t>SPWG</w:t>
      </w:r>
      <w:r w:rsidR="00FB21F1">
        <w:rPr>
          <w:rFonts w:eastAsia="MS Mincho" w:cs="Arial"/>
          <w:sz w:val="22"/>
          <w:szCs w:val="22"/>
          <w:lang w:val="es-ES_tradnl" w:eastAsia="ja-JP"/>
        </w:rPr>
        <w:t xml:space="preserve">4) en noviembre de 2016. El Grupo de Trabajo </w:t>
      </w:r>
      <w:r w:rsidR="00747942">
        <w:rPr>
          <w:rFonts w:eastAsia="MS Mincho" w:cs="Arial"/>
          <w:sz w:val="22"/>
          <w:szCs w:val="22"/>
          <w:lang w:val="es-ES_tradnl" w:eastAsia="ja-JP"/>
        </w:rPr>
        <w:t>dio</w:t>
      </w:r>
      <w:r w:rsidR="00FB21F1">
        <w:rPr>
          <w:rFonts w:eastAsia="MS Mincho" w:cs="Arial"/>
          <w:sz w:val="22"/>
          <w:szCs w:val="22"/>
          <w:lang w:val="es-ES_tradnl" w:eastAsia="ja-JP"/>
        </w:rPr>
        <w:t xml:space="preserve"> una evaluación positiva e</w:t>
      </w:r>
      <w:r w:rsidR="00747942">
        <w:rPr>
          <w:rFonts w:eastAsia="MS Mincho" w:cs="Arial"/>
          <w:sz w:val="22"/>
          <w:szCs w:val="22"/>
          <w:lang w:val="es-ES_tradnl" w:eastAsia="ja-JP"/>
        </w:rPr>
        <w:t>n general del trabajo realizado</w:t>
      </w:r>
      <w:r w:rsidR="00FB21F1">
        <w:rPr>
          <w:rFonts w:eastAsia="MS Mincho" w:cs="Arial"/>
          <w:sz w:val="22"/>
          <w:szCs w:val="22"/>
          <w:lang w:val="es-ES_tradnl" w:eastAsia="ja-JP"/>
        </w:rPr>
        <w:t xml:space="preserve"> y </w:t>
      </w:r>
      <w:r w:rsidR="00747942">
        <w:rPr>
          <w:rFonts w:eastAsia="MS Mincho" w:cs="Arial"/>
          <w:sz w:val="22"/>
          <w:szCs w:val="22"/>
          <w:lang w:val="es-ES_tradnl" w:eastAsia="ja-JP"/>
        </w:rPr>
        <w:t>proporcionó orientación sobre</w:t>
      </w:r>
      <w:r w:rsidR="00FB21F1">
        <w:rPr>
          <w:rFonts w:eastAsia="MS Mincho" w:cs="Arial"/>
          <w:sz w:val="22"/>
          <w:szCs w:val="22"/>
          <w:lang w:val="es-ES_tradnl" w:eastAsia="ja-JP"/>
        </w:rPr>
        <w:t xml:space="preserve"> su futuro desarrollo, especialmente la elaboración de un Sumario Ejecutivo para facilitar el uso del Volumen Complementario, y la finalización de las versiones en francés y en esp</w:t>
      </w:r>
      <w:r w:rsidR="001526DB">
        <w:rPr>
          <w:rFonts w:eastAsia="MS Mincho" w:cs="Arial"/>
          <w:sz w:val="22"/>
          <w:szCs w:val="22"/>
          <w:lang w:val="es-ES_tradnl" w:eastAsia="ja-JP"/>
        </w:rPr>
        <w:t>añol en la medida de lo posible</w:t>
      </w:r>
      <w:r w:rsidR="00FB21F1">
        <w:rPr>
          <w:rFonts w:eastAsia="MS Mincho" w:cs="Arial"/>
          <w:sz w:val="22"/>
          <w:szCs w:val="22"/>
          <w:lang w:val="es-ES_tradnl" w:eastAsia="ja-JP"/>
        </w:rPr>
        <w:t xml:space="preserve"> utilizando</w:t>
      </w:r>
      <w:r w:rsidR="001526DB">
        <w:rPr>
          <w:rFonts w:eastAsia="MS Mincho" w:cs="Arial"/>
          <w:sz w:val="22"/>
          <w:szCs w:val="22"/>
          <w:lang w:val="es-ES_tradnl" w:eastAsia="ja-JP"/>
        </w:rPr>
        <w:t>,</w:t>
      </w:r>
      <w:r w:rsidR="00FB21F1">
        <w:rPr>
          <w:rFonts w:eastAsia="MS Mincho" w:cs="Arial"/>
          <w:sz w:val="22"/>
          <w:szCs w:val="22"/>
          <w:lang w:val="es-ES_tradnl" w:eastAsia="ja-JP"/>
        </w:rPr>
        <w:t xml:space="preserve"> </w:t>
      </w:r>
      <w:r w:rsidR="001526DB">
        <w:rPr>
          <w:rFonts w:eastAsia="MS Mincho" w:cs="Arial"/>
          <w:sz w:val="22"/>
          <w:szCs w:val="22"/>
          <w:lang w:val="es-ES_tradnl" w:eastAsia="ja-JP"/>
        </w:rPr>
        <w:t>si estuvieran</w:t>
      </w:r>
      <w:r w:rsidR="005F2C40">
        <w:rPr>
          <w:rFonts w:eastAsia="MS Mincho" w:cs="Arial"/>
          <w:sz w:val="22"/>
          <w:szCs w:val="22"/>
          <w:lang w:val="es-ES_tradnl" w:eastAsia="ja-JP"/>
        </w:rPr>
        <w:t xml:space="preserve"> disponibles</w:t>
      </w:r>
      <w:r w:rsidR="00FB21F1">
        <w:rPr>
          <w:rFonts w:eastAsia="MS Mincho" w:cs="Arial"/>
          <w:sz w:val="22"/>
          <w:szCs w:val="22"/>
          <w:lang w:val="es-ES_tradnl" w:eastAsia="ja-JP"/>
        </w:rPr>
        <w:t>, las versiones oficiales en diferentes idiomas ya existentes de los instrumentos correspondientes.</w:t>
      </w:r>
    </w:p>
    <w:p w14:paraId="133788A4" w14:textId="77777777" w:rsidR="00987C89" w:rsidRPr="00F85FC2" w:rsidRDefault="00987C89" w:rsidP="00231BE0">
      <w:pPr>
        <w:ind w:left="426" w:hanging="426"/>
        <w:jc w:val="both"/>
        <w:rPr>
          <w:rFonts w:eastAsia="MS Mincho" w:cs="Arial"/>
          <w:sz w:val="22"/>
          <w:szCs w:val="22"/>
          <w:lang w:val="es-ES_tradnl" w:eastAsia="ja-JP"/>
        </w:rPr>
      </w:pPr>
    </w:p>
    <w:p w14:paraId="67074F8C" w14:textId="6A87DDA5" w:rsidR="00F85FC2" w:rsidRPr="00F85FC2" w:rsidRDefault="00214422" w:rsidP="00231BE0">
      <w:pPr>
        <w:ind w:left="426" w:hanging="426"/>
        <w:jc w:val="both"/>
        <w:rPr>
          <w:rFonts w:eastAsia="MS Mincho" w:cs="Arial"/>
          <w:sz w:val="22"/>
          <w:szCs w:val="22"/>
          <w:lang w:val="es-ES_tradnl" w:eastAsia="ja-JP"/>
        </w:rPr>
      </w:pPr>
      <w:r w:rsidRPr="00F85FC2">
        <w:rPr>
          <w:rFonts w:eastAsia="MS Mincho" w:cs="Arial"/>
          <w:sz w:val="22"/>
          <w:szCs w:val="22"/>
          <w:lang w:val="es-ES_tradnl" w:eastAsia="ja-JP"/>
        </w:rPr>
        <w:t>11</w:t>
      </w:r>
      <w:r w:rsidR="00C94515" w:rsidRPr="00F85FC2">
        <w:rPr>
          <w:rFonts w:eastAsia="MS Mincho" w:cs="Arial"/>
          <w:sz w:val="22"/>
          <w:szCs w:val="22"/>
          <w:lang w:val="es-ES_tradnl" w:eastAsia="ja-JP"/>
        </w:rPr>
        <w:t>.</w:t>
      </w:r>
      <w:r w:rsidR="00C94515" w:rsidRPr="00F85FC2">
        <w:rPr>
          <w:rFonts w:eastAsia="MS Mincho" w:cs="Arial"/>
          <w:sz w:val="22"/>
          <w:szCs w:val="22"/>
          <w:lang w:val="es-ES_tradnl" w:eastAsia="ja-JP"/>
        </w:rPr>
        <w:tab/>
      </w:r>
      <w:r w:rsidR="0041282E">
        <w:rPr>
          <w:rFonts w:eastAsia="MS Mincho" w:cs="Arial"/>
          <w:sz w:val="22"/>
          <w:szCs w:val="22"/>
          <w:lang w:val="es-ES_tradnl" w:eastAsia="ja-JP"/>
        </w:rPr>
        <w:t>La</w:t>
      </w:r>
      <w:r w:rsidR="00F85FC2" w:rsidRPr="00F85FC2">
        <w:rPr>
          <w:rFonts w:eastAsia="MS Mincho" w:cs="Arial"/>
          <w:sz w:val="22"/>
          <w:szCs w:val="22"/>
          <w:lang w:val="es-ES_tradnl" w:eastAsia="ja-JP"/>
        </w:rPr>
        <w:t xml:space="preserve"> </w:t>
      </w:r>
      <w:r w:rsidR="008C0497">
        <w:rPr>
          <w:rFonts w:eastAsia="MS Mincho" w:cs="Arial"/>
          <w:sz w:val="22"/>
          <w:szCs w:val="22"/>
          <w:lang w:val="es-ES_tradnl" w:eastAsia="ja-JP"/>
        </w:rPr>
        <w:t>SPWG</w:t>
      </w:r>
      <w:r w:rsidR="00F85FC2" w:rsidRPr="00F85FC2">
        <w:rPr>
          <w:rFonts w:eastAsia="MS Mincho" w:cs="Arial"/>
          <w:sz w:val="22"/>
          <w:szCs w:val="22"/>
          <w:lang w:val="es-ES_tradnl" w:eastAsia="ja-JP"/>
        </w:rPr>
        <w:t xml:space="preserve">4 también recomendó </w:t>
      </w:r>
      <w:r w:rsidR="00860772">
        <w:rPr>
          <w:rFonts w:eastAsia="MS Mincho" w:cs="Arial"/>
          <w:sz w:val="22"/>
          <w:szCs w:val="22"/>
          <w:lang w:val="es-ES_tradnl" w:eastAsia="ja-JP"/>
        </w:rPr>
        <w:t>someter</w:t>
      </w:r>
      <w:r w:rsidR="00F85FC2" w:rsidRPr="00F85FC2">
        <w:rPr>
          <w:rFonts w:eastAsia="MS Mincho" w:cs="Arial"/>
          <w:sz w:val="22"/>
          <w:szCs w:val="22"/>
          <w:lang w:val="es-ES_tradnl" w:eastAsia="ja-JP"/>
        </w:rPr>
        <w:t xml:space="preserve"> una versión revisada del Volumen Complementario a una ronda de consulta pública durante la primera mitad de 2017, antes de su presentación a la COP12 para su consideración.</w:t>
      </w:r>
      <w:r w:rsidR="007D6B07">
        <w:rPr>
          <w:rFonts w:eastAsia="MS Mincho" w:cs="Arial"/>
          <w:sz w:val="22"/>
          <w:szCs w:val="22"/>
          <w:lang w:val="es-ES_tradnl" w:eastAsia="ja-JP"/>
        </w:rPr>
        <w:t xml:space="preserve"> Esta consulta tuvo lugar entre abril y junio de 2017.</w:t>
      </w:r>
    </w:p>
    <w:p w14:paraId="1E1584B3" w14:textId="77777777" w:rsidR="005321E2" w:rsidRPr="00FE4C2D" w:rsidRDefault="005321E2" w:rsidP="00231BE0">
      <w:pPr>
        <w:ind w:left="426" w:hanging="426"/>
        <w:jc w:val="both"/>
        <w:rPr>
          <w:rFonts w:eastAsia="MS Mincho" w:cs="Arial"/>
          <w:sz w:val="22"/>
          <w:szCs w:val="22"/>
          <w:lang w:val="es-ES_tradnl" w:eastAsia="ja-JP"/>
        </w:rPr>
      </w:pPr>
    </w:p>
    <w:p w14:paraId="20BE2B97" w14:textId="794EE0F9" w:rsidR="005321E2" w:rsidRPr="008D22D0" w:rsidRDefault="00214422" w:rsidP="00CF683C">
      <w:pPr>
        <w:ind w:left="426" w:hanging="426"/>
        <w:jc w:val="both"/>
        <w:rPr>
          <w:rFonts w:eastAsia="MS Mincho" w:cs="Arial"/>
          <w:sz w:val="22"/>
          <w:szCs w:val="22"/>
          <w:lang w:val="es-ES_tradnl" w:eastAsia="ja-JP"/>
        </w:rPr>
      </w:pPr>
      <w:r w:rsidRPr="008D22D0">
        <w:rPr>
          <w:rFonts w:eastAsia="MS Mincho" w:cs="Arial"/>
          <w:sz w:val="22"/>
          <w:szCs w:val="22"/>
          <w:lang w:val="es-ES_tradnl" w:eastAsia="ja-JP"/>
        </w:rPr>
        <w:t>12</w:t>
      </w:r>
      <w:r w:rsidR="00C94515" w:rsidRPr="008D22D0">
        <w:rPr>
          <w:rFonts w:eastAsia="MS Mincho" w:cs="Arial"/>
          <w:sz w:val="22"/>
          <w:szCs w:val="22"/>
          <w:lang w:val="es-ES_tradnl" w:eastAsia="ja-JP"/>
        </w:rPr>
        <w:t>.</w:t>
      </w:r>
      <w:r w:rsidR="00C94515" w:rsidRPr="008D22D0">
        <w:rPr>
          <w:rFonts w:eastAsia="MS Mincho" w:cs="Arial"/>
          <w:sz w:val="22"/>
          <w:szCs w:val="22"/>
          <w:lang w:val="es-ES_tradnl" w:eastAsia="ja-JP"/>
        </w:rPr>
        <w:tab/>
      </w:r>
      <w:r w:rsidR="00FE4C2D" w:rsidRPr="008D22D0">
        <w:rPr>
          <w:rFonts w:eastAsia="MS Mincho" w:cs="Arial"/>
          <w:sz w:val="22"/>
          <w:szCs w:val="22"/>
          <w:lang w:val="es-ES_tradnl" w:eastAsia="ja-JP"/>
        </w:rPr>
        <w:t>Debido a su gran tamaño, la versión revisada del Volumen Com</w:t>
      </w:r>
      <w:r w:rsidR="00E37115">
        <w:rPr>
          <w:rFonts w:eastAsia="MS Mincho" w:cs="Arial"/>
          <w:sz w:val="22"/>
          <w:szCs w:val="22"/>
          <w:lang w:val="es-ES_tradnl" w:eastAsia="ja-JP"/>
        </w:rPr>
        <w:t xml:space="preserve">plementario existe solamente </w:t>
      </w:r>
      <w:r w:rsidR="00FE4C2D" w:rsidRPr="008D22D0">
        <w:rPr>
          <w:rFonts w:eastAsia="MS Mincho" w:cs="Arial"/>
          <w:sz w:val="22"/>
          <w:szCs w:val="22"/>
          <w:lang w:val="es-ES_tradnl" w:eastAsia="ja-JP"/>
        </w:rPr>
        <w:t xml:space="preserve">en línea, en la URL </w:t>
      </w:r>
      <w:hyperlink r:id="rId15" w:history="1">
        <w:r w:rsidR="00101681" w:rsidRPr="0076134E">
          <w:rPr>
            <w:rStyle w:val="Hyperlink"/>
            <w:rFonts w:eastAsia="MS Mincho" w:cs="Arial"/>
            <w:sz w:val="22"/>
            <w:szCs w:val="22"/>
            <w:lang w:val="es-ES_tradnl" w:eastAsia="ja-JP"/>
          </w:rPr>
          <w:t>http://www.cms.int/es/plan-estrategico/volumen-complementario-del-spms-version-en-linea</w:t>
        </w:r>
      </w:hyperlink>
      <w:r w:rsidR="00101681">
        <w:rPr>
          <w:rFonts w:eastAsia="MS Mincho" w:cs="Arial"/>
          <w:sz w:val="22"/>
          <w:szCs w:val="22"/>
          <w:lang w:val="es-ES_tradnl" w:eastAsia="ja-JP"/>
        </w:rPr>
        <w:t xml:space="preserve">. </w:t>
      </w:r>
      <w:r w:rsidR="00AE3AC9">
        <w:rPr>
          <w:rFonts w:eastAsia="MS Mincho"/>
          <w:sz w:val="22"/>
          <w:szCs w:val="22"/>
          <w:lang w:val="es-ES_tradnl"/>
        </w:rPr>
        <w:t>Acorde</w:t>
      </w:r>
      <w:r w:rsidR="00FE4C2D" w:rsidRPr="008D22D0">
        <w:rPr>
          <w:rFonts w:eastAsia="MS Mincho"/>
          <w:sz w:val="22"/>
          <w:szCs w:val="22"/>
          <w:lang w:val="es-ES_tradnl"/>
        </w:rPr>
        <w:t xml:space="preserve"> con</w:t>
      </w:r>
      <w:r w:rsidR="008D22D0" w:rsidRPr="008D22D0">
        <w:rPr>
          <w:rFonts w:eastAsia="MS Mincho"/>
          <w:sz w:val="22"/>
          <w:szCs w:val="22"/>
          <w:lang w:val="es-ES_tradnl"/>
        </w:rPr>
        <w:t xml:space="preserve"> la</w:t>
      </w:r>
      <w:r w:rsidR="00485770">
        <w:rPr>
          <w:rFonts w:eastAsia="MS Mincho"/>
          <w:sz w:val="22"/>
          <w:szCs w:val="22"/>
          <w:lang w:val="es-ES_tradnl"/>
        </w:rPr>
        <w:t>s</w:t>
      </w:r>
      <w:r w:rsidR="008D22D0" w:rsidRPr="008D22D0">
        <w:rPr>
          <w:rFonts w:eastAsia="MS Mincho"/>
          <w:sz w:val="22"/>
          <w:szCs w:val="22"/>
          <w:lang w:val="es-ES_tradnl"/>
        </w:rPr>
        <w:t xml:space="preserve"> </w:t>
      </w:r>
      <w:r w:rsidR="00485770">
        <w:rPr>
          <w:rFonts w:eastAsia="MS Mincho"/>
          <w:sz w:val="22"/>
          <w:szCs w:val="22"/>
          <w:lang w:val="es-ES_tradnl"/>
        </w:rPr>
        <w:t>directrices</w:t>
      </w:r>
      <w:r w:rsidR="008D22D0" w:rsidRPr="008D22D0">
        <w:rPr>
          <w:rFonts w:eastAsia="MS Mincho"/>
          <w:sz w:val="22"/>
          <w:szCs w:val="22"/>
          <w:lang w:val="es-ES_tradnl"/>
        </w:rPr>
        <w:t xml:space="preserve"> del </w:t>
      </w:r>
      <w:r w:rsidR="008C0497">
        <w:rPr>
          <w:rFonts w:eastAsia="MS Mincho"/>
          <w:sz w:val="22"/>
          <w:szCs w:val="22"/>
          <w:lang w:val="es-ES_tradnl"/>
        </w:rPr>
        <w:t>SPWG</w:t>
      </w:r>
      <w:r w:rsidR="008D22D0" w:rsidRPr="008D22D0">
        <w:rPr>
          <w:rFonts w:eastAsia="MS Mincho"/>
          <w:sz w:val="22"/>
          <w:szCs w:val="22"/>
          <w:lang w:val="es-ES_tradnl"/>
        </w:rPr>
        <w:t>, las version</w:t>
      </w:r>
      <w:r w:rsidR="00485770">
        <w:rPr>
          <w:rFonts w:eastAsia="MS Mincho"/>
          <w:sz w:val="22"/>
          <w:szCs w:val="22"/>
          <w:lang w:val="es-ES_tradnl"/>
        </w:rPr>
        <w:t>e</w:t>
      </w:r>
      <w:r w:rsidR="008D22D0" w:rsidRPr="008D22D0">
        <w:rPr>
          <w:rFonts w:eastAsia="MS Mincho"/>
          <w:sz w:val="22"/>
          <w:szCs w:val="22"/>
          <w:lang w:val="es-ES_tradnl"/>
        </w:rPr>
        <w:t xml:space="preserve">s en francés y en español solamente incluyen extractos en </w:t>
      </w:r>
      <w:r w:rsidR="00485770">
        <w:rPr>
          <w:rFonts w:eastAsia="MS Mincho"/>
          <w:sz w:val="22"/>
          <w:szCs w:val="22"/>
          <w:lang w:val="es-ES_tradnl"/>
        </w:rPr>
        <w:t xml:space="preserve">su respectivo </w:t>
      </w:r>
      <w:r w:rsidR="008D22D0" w:rsidRPr="008D22D0">
        <w:rPr>
          <w:rFonts w:eastAsia="MS Mincho"/>
          <w:sz w:val="22"/>
          <w:szCs w:val="22"/>
          <w:lang w:val="es-ES_tradnl"/>
        </w:rPr>
        <w:t xml:space="preserve">idioma </w:t>
      </w:r>
      <w:r w:rsidR="00485770">
        <w:rPr>
          <w:rFonts w:eastAsia="MS Mincho"/>
          <w:sz w:val="22"/>
          <w:szCs w:val="22"/>
          <w:lang w:val="es-ES_tradnl"/>
        </w:rPr>
        <w:t>en</w:t>
      </w:r>
      <w:r w:rsidR="008D22D0" w:rsidRPr="008D22D0">
        <w:rPr>
          <w:rFonts w:eastAsia="MS Mincho"/>
          <w:sz w:val="22"/>
          <w:szCs w:val="22"/>
          <w:lang w:val="es-ES_tradnl"/>
        </w:rPr>
        <w:t xml:space="preserve"> aquellos instrumentos para los cuales existe una versión oficial en ese idioma. La </w:t>
      </w:r>
      <w:r w:rsidR="008D22D0" w:rsidRPr="008D22D0">
        <w:rPr>
          <w:rFonts w:eastAsia="MS Mincho"/>
          <w:sz w:val="22"/>
          <w:szCs w:val="22"/>
          <w:lang w:val="es-ES_tradnl"/>
        </w:rPr>
        <w:lastRenderedPageBreak/>
        <w:t xml:space="preserve">introducción del Volumen Complementario </w:t>
      </w:r>
      <w:r w:rsidR="00CF683C">
        <w:rPr>
          <w:rFonts w:eastAsia="MS Mincho"/>
          <w:sz w:val="22"/>
          <w:szCs w:val="22"/>
          <w:lang w:val="es-ES_tradnl"/>
        </w:rPr>
        <w:t>describe</w:t>
      </w:r>
      <w:r w:rsidR="008D22D0" w:rsidRPr="008D22D0">
        <w:rPr>
          <w:rFonts w:eastAsia="MS Mincho"/>
          <w:sz w:val="22"/>
          <w:szCs w:val="22"/>
          <w:lang w:val="es-ES_tradnl"/>
        </w:rPr>
        <w:t xml:space="preserve"> el enfoque utilizado para desarrollar el contenido de la matriz en línea y orientación sobre el uso de la matriz. Se ha proporcionado a la COP12 un Sumario Ejecutivo del Volumen Complementario en el documento </w:t>
      </w:r>
      <w:r w:rsidR="008D22D0" w:rsidRPr="008D22D0">
        <w:rPr>
          <w:rFonts w:eastAsia="MS Mincho" w:cs="Arial"/>
          <w:sz w:val="22"/>
          <w:szCs w:val="22"/>
          <w:lang w:val="es-ES_tradnl" w:eastAsia="ja-JP"/>
        </w:rPr>
        <w:t>UNEP/CMS/COP12/Inf.28.</w:t>
      </w:r>
    </w:p>
    <w:p w14:paraId="5A69D555" w14:textId="0CF68C7D" w:rsidR="00231BE0" w:rsidRPr="005D260D" w:rsidRDefault="00231BE0" w:rsidP="00231BE0">
      <w:pPr>
        <w:ind w:left="426" w:hanging="426"/>
        <w:jc w:val="both"/>
        <w:rPr>
          <w:rFonts w:eastAsia="MS Mincho" w:cs="Arial"/>
          <w:sz w:val="22"/>
          <w:szCs w:val="22"/>
          <w:lang w:val="es-ES_tradnl" w:eastAsia="ja-JP"/>
        </w:rPr>
      </w:pPr>
    </w:p>
    <w:p w14:paraId="2D0D417E" w14:textId="2E76A550" w:rsidR="00132F63" w:rsidRPr="005D260D" w:rsidRDefault="00165D2B" w:rsidP="00231BE0">
      <w:pPr>
        <w:ind w:left="426" w:hanging="426"/>
        <w:jc w:val="both"/>
        <w:rPr>
          <w:rFonts w:eastAsia="MS Mincho" w:cs="Arial"/>
          <w:sz w:val="22"/>
          <w:szCs w:val="22"/>
          <w:lang w:val="es-ES_tradnl" w:eastAsia="ja-JP"/>
        </w:rPr>
      </w:pPr>
      <w:r w:rsidRPr="005D260D">
        <w:rPr>
          <w:rFonts w:eastAsia="MS Mincho" w:cs="Arial"/>
          <w:sz w:val="22"/>
          <w:szCs w:val="22"/>
          <w:lang w:val="es-ES_tradnl" w:eastAsia="ja-JP"/>
        </w:rPr>
        <w:t>13</w:t>
      </w:r>
      <w:r w:rsidR="00C94515" w:rsidRPr="005D260D">
        <w:rPr>
          <w:rFonts w:eastAsia="MS Mincho" w:cs="Arial"/>
          <w:sz w:val="22"/>
          <w:szCs w:val="22"/>
          <w:lang w:val="es-ES_tradnl" w:eastAsia="ja-JP"/>
        </w:rPr>
        <w:t>.</w:t>
      </w:r>
      <w:r w:rsidR="00C94515" w:rsidRPr="005D260D">
        <w:rPr>
          <w:rFonts w:eastAsia="MS Mincho" w:cs="Arial"/>
          <w:sz w:val="22"/>
          <w:szCs w:val="22"/>
          <w:lang w:val="es-ES_tradnl" w:eastAsia="ja-JP"/>
        </w:rPr>
        <w:tab/>
      </w:r>
      <w:r w:rsidR="00CC36A2">
        <w:rPr>
          <w:rFonts w:eastAsia="MS Mincho" w:cs="Arial"/>
          <w:sz w:val="22"/>
          <w:szCs w:val="22"/>
          <w:lang w:val="es-ES_tradnl" w:eastAsia="ja-JP"/>
        </w:rPr>
        <w:t>Por su naturaleza</w:t>
      </w:r>
      <w:r w:rsidR="006755FE">
        <w:rPr>
          <w:rFonts w:eastAsia="MS Mincho" w:cs="Arial"/>
          <w:sz w:val="22"/>
          <w:szCs w:val="22"/>
          <w:lang w:val="es-ES_tradnl" w:eastAsia="ja-JP"/>
        </w:rPr>
        <w:t>,</w:t>
      </w:r>
      <w:r w:rsidR="00CC36A2">
        <w:rPr>
          <w:rFonts w:eastAsia="MS Mincho" w:cs="Arial"/>
          <w:sz w:val="22"/>
          <w:szCs w:val="22"/>
          <w:lang w:val="es-ES_tradnl" w:eastAsia="ja-JP"/>
        </w:rPr>
        <w:t xml:space="preserve"> e</w:t>
      </w:r>
      <w:r w:rsidR="005D260D" w:rsidRPr="005D260D">
        <w:rPr>
          <w:rFonts w:eastAsia="MS Mincho" w:cs="Arial"/>
          <w:sz w:val="22"/>
          <w:szCs w:val="22"/>
          <w:lang w:val="es-ES_tradnl" w:eastAsia="ja-JP"/>
        </w:rPr>
        <w:t xml:space="preserve">l Volumen Complementario es un “trabajo en </w:t>
      </w:r>
      <w:r w:rsidR="00CC36A2">
        <w:rPr>
          <w:rFonts w:eastAsia="MS Mincho" w:cs="Arial"/>
          <w:sz w:val="22"/>
          <w:szCs w:val="22"/>
          <w:lang w:val="es-ES_tradnl" w:eastAsia="ja-JP"/>
        </w:rPr>
        <w:t>proceso</w:t>
      </w:r>
      <w:r w:rsidR="005D260D" w:rsidRPr="005D260D">
        <w:rPr>
          <w:rFonts w:eastAsia="MS Mincho" w:cs="Arial"/>
          <w:sz w:val="22"/>
          <w:szCs w:val="22"/>
          <w:lang w:val="es-ES_tradnl" w:eastAsia="ja-JP"/>
        </w:rPr>
        <w:t xml:space="preserve">” dada la cantidad de material </w:t>
      </w:r>
      <w:r w:rsidR="00771112">
        <w:rPr>
          <w:rFonts w:eastAsia="MS Mincho" w:cs="Arial"/>
          <w:sz w:val="22"/>
          <w:szCs w:val="22"/>
          <w:lang w:val="es-ES_tradnl" w:eastAsia="ja-JP"/>
        </w:rPr>
        <w:t xml:space="preserve">existente </w:t>
      </w:r>
      <w:r w:rsidR="005D260D" w:rsidRPr="005D260D">
        <w:rPr>
          <w:rFonts w:eastAsia="MS Mincho" w:cs="Arial"/>
          <w:sz w:val="22"/>
          <w:szCs w:val="22"/>
          <w:lang w:val="es-ES_tradnl" w:eastAsia="ja-JP"/>
        </w:rPr>
        <w:t xml:space="preserve">y el hecho de que </w:t>
      </w:r>
      <w:r w:rsidR="006C1B6B">
        <w:rPr>
          <w:rFonts w:eastAsia="MS Mincho" w:cs="Arial"/>
          <w:sz w:val="22"/>
          <w:szCs w:val="22"/>
          <w:lang w:val="es-ES_tradnl" w:eastAsia="ja-JP"/>
        </w:rPr>
        <w:t xml:space="preserve">la Familia CMS produce </w:t>
      </w:r>
      <w:r w:rsidR="00771112">
        <w:rPr>
          <w:rFonts w:eastAsia="MS Mincho" w:cs="Arial"/>
          <w:sz w:val="22"/>
          <w:szCs w:val="22"/>
          <w:lang w:val="es-ES_tradnl" w:eastAsia="ja-JP"/>
        </w:rPr>
        <w:t xml:space="preserve">nuevo </w:t>
      </w:r>
      <w:r w:rsidR="006C1B6B">
        <w:rPr>
          <w:rFonts w:eastAsia="MS Mincho" w:cs="Arial"/>
          <w:sz w:val="22"/>
          <w:szCs w:val="22"/>
          <w:lang w:val="es-ES_tradnl" w:eastAsia="ja-JP"/>
        </w:rPr>
        <w:t xml:space="preserve">material de manera regular. No es por lo tanto un texto destinado a ser discutido en detalle a nivel de la COP, pero </w:t>
      </w:r>
      <w:r w:rsidR="00690CF0">
        <w:rPr>
          <w:rFonts w:eastAsia="MS Mincho" w:cs="Arial"/>
          <w:sz w:val="22"/>
          <w:szCs w:val="22"/>
          <w:lang w:val="es-ES_tradnl" w:eastAsia="ja-JP"/>
        </w:rPr>
        <w:t xml:space="preserve">sí </w:t>
      </w:r>
      <w:r w:rsidR="006C1B6B">
        <w:rPr>
          <w:rFonts w:eastAsia="MS Mincho" w:cs="Arial"/>
          <w:sz w:val="22"/>
          <w:szCs w:val="22"/>
          <w:lang w:val="es-ES_tradnl" w:eastAsia="ja-JP"/>
        </w:rPr>
        <w:t xml:space="preserve">se invita a la COP a </w:t>
      </w:r>
      <w:r w:rsidR="00690CF0">
        <w:rPr>
          <w:rFonts w:eastAsia="MS Mincho" w:cs="Arial"/>
          <w:sz w:val="22"/>
          <w:szCs w:val="22"/>
          <w:lang w:val="es-ES_tradnl" w:eastAsia="ja-JP"/>
        </w:rPr>
        <w:t>respaldar el</w:t>
      </w:r>
      <w:r w:rsidR="006C1B6B">
        <w:rPr>
          <w:rFonts w:eastAsia="MS Mincho" w:cs="Arial"/>
          <w:sz w:val="22"/>
          <w:szCs w:val="22"/>
          <w:lang w:val="es-ES_tradnl" w:eastAsia="ja-JP"/>
        </w:rPr>
        <w:t xml:space="preserve"> enfoque </w:t>
      </w:r>
      <w:r w:rsidR="001D06B6">
        <w:rPr>
          <w:rFonts w:eastAsia="MS Mincho" w:cs="Arial"/>
          <w:sz w:val="22"/>
          <w:szCs w:val="22"/>
          <w:lang w:val="es-ES_tradnl" w:eastAsia="ja-JP"/>
        </w:rPr>
        <w:t>utilizado</w:t>
      </w:r>
      <w:r w:rsidR="006C1B6B">
        <w:rPr>
          <w:rFonts w:eastAsia="MS Mincho" w:cs="Arial"/>
          <w:sz w:val="22"/>
          <w:szCs w:val="22"/>
          <w:lang w:val="es-ES_tradnl" w:eastAsia="ja-JP"/>
        </w:rPr>
        <w:t xml:space="preserve">, en particular </w:t>
      </w:r>
      <w:r w:rsidR="001D06B6">
        <w:rPr>
          <w:rFonts w:eastAsia="MS Mincho" w:cs="Arial"/>
          <w:sz w:val="22"/>
          <w:szCs w:val="22"/>
          <w:lang w:val="es-ES_tradnl" w:eastAsia="ja-JP"/>
        </w:rPr>
        <w:t xml:space="preserve">con </w:t>
      </w:r>
      <w:r w:rsidR="006C1B6B">
        <w:rPr>
          <w:rFonts w:eastAsia="MS Mincho" w:cs="Arial"/>
          <w:sz w:val="22"/>
          <w:szCs w:val="22"/>
          <w:lang w:val="es-ES_tradnl" w:eastAsia="ja-JP"/>
        </w:rPr>
        <w:t xml:space="preserve">respecto a su </w:t>
      </w:r>
      <w:r w:rsidR="009457B6">
        <w:rPr>
          <w:rFonts w:eastAsia="MS Mincho" w:cs="Arial"/>
          <w:sz w:val="22"/>
          <w:szCs w:val="22"/>
          <w:lang w:val="es-ES_tradnl" w:eastAsia="ja-JP"/>
        </w:rPr>
        <w:t xml:space="preserve">desarrollo y mantenimiento </w:t>
      </w:r>
      <w:r w:rsidR="001D06B6">
        <w:rPr>
          <w:rFonts w:eastAsia="MS Mincho" w:cs="Arial"/>
          <w:sz w:val="22"/>
          <w:szCs w:val="22"/>
          <w:lang w:val="es-ES_tradnl" w:eastAsia="ja-JP"/>
        </w:rPr>
        <w:t xml:space="preserve">futuros, </w:t>
      </w:r>
      <w:r w:rsidR="009457B6">
        <w:rPr>
          <w:rFonts w:eastAsia="MS Mincho" w:cs="Arial"/>
          <w:sz w:val="22"/>
          <w:szCs w:val="22"/>
          <w:lang w:val="es-ES_tradnl" w:eastAsia="ja-JP"/>
        </w:rPr>
        <w:t xml:space="preserve">como recurso en línea </w:t>
      </w:r>
      <w:r w:rsidR="001D06B6">
        <w:rPr>
          <w:rFonts w:eastAsia="MS Mincho" w:cs="Arial"/>
          <w:sz w:val="22"/>
          <w:szCs w:val="22"/>
          <w:lang w:val="es-ES_tradnl" w:eastAsia="ja-JP"/>
        </w:rPr>
        <w:t>en evolución alojado en la página web d</w:t>
      </w:r>
      <w:r w:rsidR="009457B6">
        <w:rPr>
          <w:rFonts w:eastAsia="MS Mincho" w:cs="Arial"/>
          <w:sz w:val="22"/>
          <w:szCs w:val="22"/>
          <w:lang w:val="es-ES_tradnl" w:eastAsia="ja-JP"/>
        </w:rPr>
        <w:t>e</w:t>
      </w:r>
      <w:r w:rsidR="001D06B6">
        <w:rPr>
          <w:rFonts w:eastAsia="MS Mincho" w:cs="Arial"/>
          <w:sz w:val="22"/>
          <w:szCs w:val="22"/>
          <w:lang w:val="es-ES_tradnl" w:eastAsia="ja-JP"/>
        </w:rPr>
        <w:t xml:space="preserve"> </w:t>
      </w:r>
      <w:r w:rsidR="009457B6">
        <w:rPr>
          <w:rFonts w:eastAsia="MS Mincho" w:cs="Arial"/>
          <w:sz w:val="22"/>
          <w:szCs w:val="22"/>
          <w:lang w:val="es-ES_tradnl" w:eastAsia="ja-JP"/>
        </w:rPr>
        <w:t>la CMS.</w:t>
      </w:r>
    </w:p>
    <w:p w14:paraId="49DAE357" w14:textId="77777777" w:rsidR="00F35453" w:rsidRPr="00040F7E" w:rsidRDefault="00F35453" w:rsidP="00231BE0">
      <w:pPr>
        <w:ind w:left="426" w:hanging="426"/>
        <w:jc w:val="both"/>
        <w:rPr>
          <w:rFonts w:eastAsia="MS Mincho" w:cs="Arial"/>
          <w:sz w:val="22"/>
          <w:szCs w:val="22"/>
          <w:highlight w:val="yellow"/>
          <w:lang w:val="es-ES_tradnl" w:eastAsia="ja-JP"/>
        </w:rPr>
      </w:pPr>
    </w:p>
    <w:p w14:paraId="7FB58F49" w14:textId="7346E6B7" w:rsidR="00646E41" w:rsidRPr="00646E41" w:rsidRDefault="00646E41" w:rsidP="00231BE0">
      <w:pPr>
        <w:ind w:left="426" w:hanging="426"/>
        <w:jc w:val="both"/>
        <w:rPr>
          <w:rFonts w:cs="Arial"/>
          <w:sz w:val="22"/>
          <w:szCs w:val="22"/>
          <w:u w:val="single"/>
          <w:lang w:val="es-ES_tradnl"/>
        </w:rPr>
      </w:pPr>
      <w:r w:rsidRPr="00646E41">
        <w:rPr>
          <w:rFonts w:cs="Arial"/>
          <w:sz w:val="22"/>
          <w:szCs w:val="22"/>
          <w:u w:val="single"/>
          <w:lang w:val="es-ES_tradnl"/>
        </w:rPr>
        <w:t>Seguimiento e indicadores</w:t>
      </w:r>
    </w:p>
    <w:p w14:paraId="7FF93CD9" w14:textId="77777777" w:rsidR="00DA4990" w:rsidRPr="00763179" w:rsidRDefault="00DA4990" w:rsidP="00231BE0">
      <w:pPr>
        <w:ind w:left="426" w:hanging="426"/>
        <w:jc w:val="both"/>
        <w:rPr>
          <w:rFonts w:cs="Arial"/>
          <w:sz w:val="22"/>
          <w:szCs w:val="22"/>
          <w:lang w:val="es-ES_tradnl"/>
        </w:rPr>
      </w:pPr>
    </w:p>
    <w:p w14:paraId="2D296F0F" w14:textId="67147C76" w:rsidR="00763179" w:rsidRPr="00763179" w:rsidRDefault="00580C44" w:rsidP="00231BE0">
      <w:pPr>
        <w:ind w:left="426" w:hanging="426"/>
        <w:jc w:val="both"/>
        <w:rPr>
          <w:rFonts w:eastAsia="MS Mincho" w:cs="Arial"/>
          <w:sz w:val="22"/>
          <w:szCs w:val="22"/>
          <w:lang w:val="es-ES_tradnl"/>
        </w:rPr>
      </w:pPr>
      <w:r w:rsidRPr="00763179">
        <w:rPr>
          <w:rFonts w:eastAsia="MS Mincho" w:cs="Arial"/>
          <w:sz w:val="22"/>
          <w:szCs w:val="22"/>
          <w:lang w:val="es-ES_tradnl"/>
        </w:rPr>
        <w:t>14</w:t>
      </w:r>
      <w:r w:rsidR="00992E43" w:rsidRPr="00763179">
        <w:rPr>
          <w:rFonts w:eastAsia="MS Mincho" w:cs="Arial"/>
          <w:sz w:val="22"/>
          <w:szCs w:val="22"/>
          <w:lang w:val="es-ES_tradnl"/>
        </w:rPr>
        <w:t>.</w:t>
      </w:r>
      <w:r w:rsidR="00992E43" w:rsidRPr="00763179">
        <w:rPr>
          <w:rFonts w:eastAsia="MS Mincho" w:cs="Arial"/>
          <w:sz w:val="22"/>
          <w:szCs w:val="22"/>
          <w:lang w:val="es-ES_tradnl"/>
        </w:rPr>
        <w:tab/>
      </w:r>
      <w:r w:rsidR="00A9432E">
        <w:rPr>
          <w:rFonts w:eastAsia="MS Mincho" w:cs="Arial"/>
          <w:sz w:val="22"/>
          <w:szCs w:val="22"/>
          <w:lang w:val="es-ES_tradnl"/>
        </w:rPr>
        <w:t>El A</w:t>
      </w:r>
      <w:r w:rsidR="00763179" w:rsidRPr="00763179">
        <w:rPr>
          <w:rFonts w:eastAsia="MS Mincho" w:cs="Arial"/>
          <w:sz w:val="22"/>
          <w:szCs w:val="22"/>
          <w:lang w:val="es-ES_tradnl"/>
        </w:rPr>
        <w:t>nexo B del Plan Estratégico adoptado por la COP11</w:t>
      </w:r>
      <w:r w:rsidR="008D695D">
        <w:rPr>
          <w:rFonts w:eastAsia="MS Mincho" w:cs="Arial"/>
          <w:sz w:val="22"/>
          <w:szCs w:val="22"/>
          <w:lang w:val="es-ES_tradnl"/>
        </w:rPr>
        <w:t xml:space="preserve"> contenía una selección </w:t>
      </w:r>
      <w:r w:rsidR="00CC1508">
        <w:rPr>
          <w:rFonts w:eastAsia="MS Mincho" w:cs="Arial"/>
          <w:sz w:val="22"/>
          <w:szCs w:val="22"/>
          <w:lang w:val="es-ES_tradnl"/>
        </w:rPr>
        <w:t xml:space="preserve">orientativa </w:t>
      </w:r>
      <w:r w:rsidR="008D695D">
        <w:rPr>
          <w:rFonts w:eastAsia="MS Mincho" w:cs="Arial"/>
          <w:sz w:val="22"/>
          <w:szCs w:val="22"/>
          <w:lang w:val="es-ES_tradnl"/>
        </w:rPr>
        <w:t xml:space="preserve">inicial de indicadores principales para </w:t>
      </w:r>
      <w:r w:rsidR="00604742">
        <w:rPr>
          <w:rFonts w:eastAsia="MS Mincho" w:cs="Arial"/>
          <w:sz w:val="22"/>
          <w:szCs w:val="22"/>
          <w:lang w:val="es-ES_tradnl"/>
        </w:rPr>
        <w:t>monitorear</w:t>
      </w:r>
      <w:r w:rsidR="008D695D">
        <w:rPr>
          <w:rFonts w:eastAsia="MS Mincho" w:cs="Arial"/>
          <w:sz w:val="22"/>
          <w:szCs w:val="22"/>
          <w:lang w:val="es-ES_tradnl"/>
        </w:rPr>
        <w:t xml:space="preserve"> el progreso hacia la c</w:t>
      </w:r>
      <w:r w:rsidR="000311CB">
        <w:rPr>
          <w:rFonts w:eastAsia="MS Mincho" w:cs="Arial"/>
          <w:sz w:val="22"/>
          <w:szCs w:val="22"/>
          <w:lang w:val="es-ES_tradnl"/>
        </w:rPr>
        <w:t>onsecución de las 16 metas del P</w:t>
      </w:r>
      <w:r w:rsidR="008D695D">
        <w:rPr>
          <w:rFonts w:eastAsia="MS Mincho" w:cs="Arial"/>
          <w:sz w:val="22"/>
          <w:szCs w:val="22"/>
          <w:lang w:val="es-ES_tradnl"/>
        </w:rPr>
        <w:t>lan.</w:t>
      </w:r>
    </w:p>
    <w:p w14:paraId="45544112" w14:textId="77777777" w:rsidR="001C6974" w:rsidRPr="00040F7E" w:rsidRDefault="001C6974" w:rsidP="00231BE0">
      <w:pPr>
        <w:ind w:left="426" w:hanging="426"/>
        <w:jc w:val="both"/>
        <w:rPr>
          <w:rFonts w:eastAsia="MS Mincho" w:cs="Arial"/>
          <w:sz w:val="22"/>
          <w:szCs w:val="22"/>
          <w:highlight w:val="yellow"/>
          <w:lang w:val="es-ES_tradnl" w:eastAsia="ja-JP"/>
        </w:rPr>
      </w:pPr>
    </w:p>
    <w:p w14:paraId="6017C6A2" w14:textId="7E48B497" w:rsidR="001C6974" w:rsidRPr="00463A1B" w:rsidRDefault="00580C44" w:rsidP="00463A1B">
      <w:pPr>
        <w:ind w:left="426" w:hanging="426"/>
        <w:jc w:val="both"/>
        <w:rPr>
          <w:rFonts w:eastAsia="MS Mincho" w:cs="Arial"/>
          <w:sz w:val="22"/>
          <w:szCs w:val="22"/>
          <w:lang w:val="es-ES_tradnl" w:eastAsia="ja-JP"/>
        </w:rPr>
      </w:pPr>
      <w:r w:rsidRPr="000E29D8">
        <w:rPr>
          <w:rFonts w:eastAsia="MS Mincho" w:cs="Arial"/>
          <w:sz w:val="22"/>
          <w:szCs w:val="22"/>
          <w:lang w:val="es-ES_tradnl" w:eastAsia="ja-JP"/>
        </w:rPr>
        <w:t>15</w:t>
      </w:r>
      <w:r w:rsidR="00992E43" w:rsidRPr="000E29D8">
        <w:rPr>
          <w:rFonts w:eastAsia="MS Mincho" w:cs="Arial"/>
          <w:sz w:val="22"/>
          <w:szCs w:val="22"/>
          <w:lang w:val="es-ES_tradnl" w:eastAsia="ja-JP"/>
        </w:rPr>
        <w:t>.</w:t>
      </w:r>
      <w:r w:rsidR="00992E43" w:rsidRPr="000E29D8">
        <w:rPr>
          <w:rFonts w:eastAsia="MS Mincho" w:cs="Arial"/>
          <w:sz w:val="22"/>
          <w:szCs w:val="22"/>
          <w:lang w:val="es-ES_tradnl" w:eastAsia="ja-JP"/>
        </w:rPr>
        <w:tab/>
      </w:r>
      <w:r w:rsidR="000E29D8" w:rsidRPr="000E29D8">
        <w:rPr>
          <w:rFonts w:eastAsia="MS Mincho" w:cs="Arial"/>
          <w:sz w:val="22"/>
          <w:szCs w:val="22"/>
          <w:lang w:val="es-ES_tradnl" w:eastAsia="ja-JP"/>
        </w:rPr>
        <w:t>El Anexo 2 de la Resolución 11.2</w:t>
      </w:r>
      <w:r w:rsidR="00743570">
        <w:rPr>
          <w:rFonts w:eastAsia="MS Mincho" w:cs="Arial"/>
          <w:sz w:val="22"/>
          <w:szCs w:val="22"/>
          <w:lang w:val="es-ES_tradnl" w:eastAsia="ja-JP"/>
        </w:rPr>
        <w:t xml:space="preserve"> encargó al </w:t>
      </w:r>
      <w:r w:rsidR="008C0497">
        <w:rPr>
          <w:rFonts w:eastAsia="MS Mincho" w:cs="Arial"/>
          <w:sz w:val="22"/>
          <w:szCs w:val="22"/>
          <w:lang w:val="es-ES_tradnl" w:eastAsia="ja-JP"/>
        </w:rPr>
        <w:t>SPWG</w:t>
      </w:r>
      <w:r w:rsidR="00743570">
        <w:rPr>
          <w:rFonts w:eastAsia="MS Mincho" w:cs="Arial"/>
          <w:sz w:val="22"/>
          <w:szCs w:val="22"/>
          <w:lang w:val="es-ES_tradnl" w:eastAsia="ja-JP"/>
        </w:rPr>
        <w:t xml:space="preserve"> en el trienio 2015-2017 “desarrollar nuevos </w:t>
      </w:r>
      <w:r w:rsidR="003D478B">
        <w:rPr>
          <w:rFonts w:eastAsia="MS Mincho" w:cs="Arial"/>
          <w:sz w:val="22"/>
          <w:szCs w:val="22"/>
          <w:lang w:val="es-ES_tradnl" w:eastAsia="ja-JP"/>
        </w:rPr>
        <w:t xml:space="preserve">indicadores </w:t>
      </w:r>
      <w:r w:rsidR="005D5920">
        <w:rPr>
          <w:rFonts w:eastAsia="MS Mincho" w:cs="Arial"/>
          <w:sz w:val="22"/>
          <w:szCs w:val="22"/>
          <w:lang w:val="es-ES_tradnl" w:eastAsia="ja-JP"/>
        </w:rPr>
        <w:t xml:space="preserve">detallados </w:t>
      </w:r>
      <w:bookmarkStart w:id="0" w:name="_GoBack"/>
      <w:bookmarkEnd w:id="0"/>
      <w:r w:rsidR="00743570">
        <w:rPr>
          <w:rFonts w:eastAsia="MS Mincho" w:cs="Arial"/>
          <w:sz w:val="22"/>
          <w:szCs w:val="22"/>
          <w:lang w:val="es-ES_tradnl" w:eastAsia="ja-JP"/>
        </w:rPr>
        <w:t>o identificar los exist</w:t>
      </w:r>
      <w:r w:rsidR="00395D40">
        <w:rPr>
          <w:rFonts w:eastAsia="MS Mincho" w:cs="Arial"/>
          <w:sz w:val="22"/>
          <w:szCs w:val="22"/>
          <w:lang w:val="es-ES_tradnl" w:eastAsia="ja-JP"/>
        </w:rPr>
        <w:t>entes para el Plan Estratégico”,</w:t>
      </w:r>
      <w:r w:rsidR="00743570">
        <w:rPr>
          <w:rFonts w:eastAsia="MS Mincho" w:cs="Arial"/>
          <w:sz w:val="22"/>
          <w:szCs w:val="22"/>
          <w:lang w:val="es-ES_tradnl" w:eastAsia="ja-JP"/>
        </w:rPr>
        <w:t xml:space="preserve"> teniendo en cuenta los indicadores principales mencionados más arriba, la implementación del Plan Estratégico para la Biodiversidad 2011-2020, los documentos estratégicos de otros acuerdos ambientales multilaterales relacionados con la biodiversidad</w:t>
      </w:r>
      <w:r w:rsidR="00107751">
        <w:rPr>
          <w:rFonts w:eastAsia="MS Mincho" w:cs="Arial"/>
          <w:sz w:val="22"/>
          <w:szCs w:val="22"/>
          <w:lang w:val="es-ES_tradnl" w:eastAsia="ja-JP"/>
        </w:rPr>
        <w:t>,</w:t>
      </w:r>
      <w:r w:rsidR="00743570">
        <w:rPr>
          <w:rFonts w:eastAsia="MS Mincho" w:cs="Arial"/>
          <w:sz w:val="22"/>
          <w:szCs w:val="22"/>
          <w:lang w:val="es-ES_tradnl" w:eastAsia="ja-JP"/>
        </w:rPr>
        <w:t xml:space="preserve"> y otros documentos y materiales pertinentes </w:t>
      </w:r>
      <w:r w:rsidR="00953CB5">
        <w:rPr>
          <w:rFonts w:eastAsia="MS Mincho" w:cs="Arial"/>
          <w:sz w:val="22"/>
          <w:szCs w:val="22"/>
          <w:lang w:val="es-ES_tradnl" w:eastAsia="ja-JP"/>
        </w:rPr>
        <w:t>que se consideren</w:t>
      </w:r>
      <w:r w:rsidR="00743570">
        <w:rPr>
          <w:rFonts w:eastAsia="MS Mincho" w:cs="Arial"/>
          <w:sz w:val="22"/>
          <w:szCs w:val="22"/>
          <w:lang w:val="es-ES_tradnl" w:eastAsia="ja-JP"/>
        </w:rPr>
        <w:t xml:space="preserve"> apropiados. </w:t>
      </w:r>
      <w:r w:rsidR="00107751">
        <w:rPr>
          <w:rFonts w:eastAsia="MS Mincho" w:cs="Arial"/>
          <w:sz w:val="22"/>
          <w:szCs w:val="22"/>
          <w:lang w:val="es-ES_tradnl" w:eastAsia="ja-JP"/>
        </w:rPr>
        <w:t>También se encomendó a</w:t>
      </w:r>
      <w:r w:rsidR="00743570">
        <w:rPr>
          <w:rFonts w:eastAsia="MS Mincho" w:cs="Arial"/>
          <w:sz w:val="22"/>
          <w:szCs w:val="22"/>
          <w:lang w:val="es-ES_tradnl" w:eastAsia="ja-JP"/>
        </w:rPr>
        <w:t>l Grupo de Trabajo consultar con el Consejo Científico de la CMS sobre evidencia cien</w:t>
      </w:r>
      <w:r w:rsidR="003A1B31">
        <w:rPr>
          <w:rFonts w:eastAsia="MS Mincho" w:cs="Arial"/>
          <w:sz w:val="22"/>
          <w:szCs w:val="22"/>
          <w:lang w:val="es-ES_tradnl" w:eastAsia="ja-JP"/>
        </w:rPr>
        <w:t>tífica que respalde</w:t>
      </w:r>
      <w:r w:rsidR="00743570">
        <w:rPr>
          <w:rFonts w:eastAsia="MS Mincho" w:cs="Arial"/>
          <w:sz w:val="22"/>
          <w:szCs w:val="22"/>
          <w:lang w:val="es-ES_tradnl" w:eastAsia="ja-JP"/>
        </w:rPr>
        <w:t xml:space="preserve"> los indicadores </w:t>
      </w:r>
      <w:r w:rsidR="006B7D77">
        <w:rPr>
          <w:rFonts w:eastAsia="MS Mincho" w:cs="Arial"/>
          <w:sz w:val="22"/>
          <w:szCs w:val="22"/>
          <w:lang w:val="es-ES_tradnl" w:eastAsia="ja-JP"/>
        </w:rPr>
        <w:t>pertinentes</w:t>
      </w:r>
      <w:r w:rsidR="00743570">
        <w:rPr>
          <w:rFonts w:eastAsia="MS Mincho" w:cs="Arial"/>
          <w:sz w:val="22"/>
          <w:szCs w:val="22"/>
          <w:lang w:val="es-ES_tradnl" w:eastAsia="ja-JP"/>
        </w:rPr>
        <w:t>.</w:t>
      </w:r>
    </w:p>
    <w:p w14:paraId="5831E185" w14:textId="3FB676FA" w:rsidR="00C94515" w:rsidRPr="00463A1B" w:rsidRDefault="00580C44" w:rsidP="00463A1B">
      <w:pPr>
        <w:pStyle w:val="NormalWeb"/>
        <w:ind w:left="426" w:hanging="426"/>
        <w:rPr>
          <w:rFonts w:ascii="Arial" w:eastAsia="MS Mincho" w:hAnsi="Arial" w:cs="Arial"/>
          <w:sz w:val="22"/>
          <w:szCs w:val="22"/>
          <w:lang w:val="es-ES_tradnl" w:eastAsia="ja-JP"/>
        </w:rPr>
      </w:pPr>
      <w:r w:rsidRPr="00463A1B">
        <w:rPr>
          <w:rFonts w:ascii="Arial" w:eastAsia="MS Mincho" w:hAnsi="Arial" w:cs="Arial"/>
          <w:sz w:val="22"/>
          <w:szCs w:val="22"/>
          <w:lang w:val="es-ES_tradnl" w:eastAsia="ja-JP"/>
        </w:rPr>
        <w:t>16</w:t>
      </w:r>
      <w:r w:rsidR="00992E43" w:rsidRPr="00463A1B">
        <w:rPr>
          <w:rFonts w:ascii="Arial" w:eastAsia="MS Mincho" w:hAnsi="Arial" w:cs="Arial"/>
          <w:sz w:val="22"/>
          <w:szCs w:val="22"/>
          <w:lang w:val="es-ES_tradnl" w:eastAsia="ja-JP"/>
        </w:rPr>
        <w:t>.</w:t>
      </w:r>
      <w:r w:rsidR="00992E43" w:rsidRPr="00463A1B">
        <w:rPr>
          <w:rFonts w:ascii="Arial" w:eastAsia="MS Mincho" w:hAnsi="Arial" w:cs="Arial"/>
          <w:sz w:val="22"/>
          <w:szCs w:val="22"/>
          <w:lang w:val="es-ES_tradnl" w:eastAsia="ja-JP"/>
        </w:rPr>
        <w:tab/>
      </w:r>
      <w:r w:rsidR="00E47E18" w:rsidRPr="00463A1B">
        <w:rPr>
          <w:rFonts w:ascii="Arial" w:eastAsia="MS Mincho" w:hAnsi="Arial" w:cs="Arial"/>
          <w:sz w:val="22"/>
          <w:szCs w:val="22"/>
          <w:lang w:val="es-ES_tradnl" w:eastAsia="ja-JP"/>
        </w:rPr>
        <w:t xml:space="preserve">Durante la reunión del </w:t>
      </w:r>
      <w:r w:rsidR="008C0497">
        <w:rPr>
          <w:rFonts w:ascii="Arial" w:eastAsia="MS Mincho" w:hAnsi="Arial" w:cs="Arial"/>
          <w:sz w:val="22"/>
          <w:szCs w:val="22"/>
          <w:lang w:val="es-ES_tradnl" w:eastAsia="ja-JP"/>
        </w:rPr>
        <w:t>SPWG</w:t>
      </w:r>
      <w:r w:rsidR="00E47E18" w:rsidRPr="00463A1B">
        <w:rPr>
          <w:rFonts w:ascii="Arial" w:eastAsia="MS Mincho" w:hAnsi="Arial" w:cs="Arial"/>
          <w:sz w:val="22"/>
          <w:szCs w:val="22"/>
          <w:lang w:val="es-ES_tradnl" w:eastAsia="ja-JP"/>
        </w:rPr>
        <w:t xml:space="preserve"> en octubre de 2015 tuvo lugar una primera discusión sobre los indicadores del </w:t>
      </w:r>
      <w:r w:rsidR="00002F5C">
        <w:rPr>
          <w:rFonts w:ascii="Arial" w:eastAsia="MS Mincho" w:hAnsi="Arial" w:cs="Arial"/>
          <w:sz w:val="22"/>
          <w:szCs w:val="22"/>
          <w:lang w:val="es-ES_tradnl" w:eastAsia="ja-JP"/>
        </w:rPr>
        <w:t>SPMS</w:t>
      </w:r>
      <w:r w:rsidR="00E47E18" w:rsidRPr="00463A1B">
        <w:rPr>
          <w:rFonts w:ascii="Arial" w:eastAsia="MS Mincho" w:hAnsi="Arial" w:cs="Arial"/>
          <w:sz w:val="22"/>
          <w:szCs w:val="22"/>
          <w:lang w:val="es-ES_tradnl" w:eastAsia="ja-JP"/>
        </w:rPr>
        <w:t xml:space="preserve">. El </w:t>
      </w:r>
      <w:r w:rsidR="008C0497">
        <w:rPr>
          <w:rFonts w:ascii="Arial" w:eastAsia="MS Mincho" w:hAnsi="Arial" w:cs="Arial"/>
          <w:sz w:val="22"/>
          <w:szCs w:val="22"/>
          <w:lang w:val="es-ES_tradnl" w:eastAsia="ja-JP"/>
        </w:rPr>
        <w:t>SPWG</w:t>
      </w:r>
      <w:r w:rsidR="00E47E18" w:rsidRPr="00463A1B">
        <w:rPr>
          <w:rFonts w:ascii="Arial" w:eastAsia="MS Mincho" w:hAnsi="Arial" w:cs="Arial"/>
          <w:sz w:val="22"/>
          <w:szCs w:val="22"/>
          <w:lang w:val="es-ES_tradnl" w:eastAsia="ja-JP"/>
        </w:rPr>
        <w:t xml:space="preserve"> observó que el Anexo B del </w:t>
      </w:r>
      <w:r w:rsidR="00002F5C">
        <w:rPr>
          <w:rFonts w:ascii="Arial" w:eastAsia="MS Mincho" w:hAnsi="Arial" w:cs="Arial"/>
          <w:sz w:val="22"/>
          <w:szCs w:val="22"/>
          <w:lang w:val="es-ES_tradnl" w:eastAsia="ja-JP"/>
        </w:rPr>
        <w:t>SPMS</w:t>
      </w:r>
      <w:r w:rsidR="00E47E18" w:rsidRPr="00463A1B">
        <w:rPr>
          <w:rFonts w:ascii="Arial" w:eastAsia="MS Mincho" w:hAnsi="Arial" w:cs="Arial"/>
          <w:sz w:val="22"/>
          <w:szCs w:val="22"/>
          <w:lang w:val="es-ES_tradnl" w:eastAsia="ja-JP"/>
        </w:rPr>
        <w:t xml:space="preserve"> señala que “la selección de indicadores </w:t>
      </w:r>
      <w:r w:rsidR="00463A1B" w:rsidRPr="00463A1B">
        <w:rPr>
          <w:rFonts w:ascii="Arial" w:eastAsia="MS Mincho" w:hAnsi="Arial" w:cs="Arial"/>
          <w:sz w:val="22"/>
          <w:szCs w:val="22"/>
          <w:lang w:val="es-ES_tradnl" w:eastAsia="ja-JP"/>
        </w:rPr>
        <w:t>no es simplemente una cuestión</w:t>
      </w:r>
      <w:r w:rsidR="00463A1B">
        <w:rPr>
          <w:rFonts w:ascii="Arial" w:eastAsia="MS Mincho" w:hAnsi="Arial" w:cs="Arial"/>
          <w:sz w:val="22"/>
          <w:szCs w:val="22"/>
          <w:lang w:val="es-ES_tradnl" w:eastAsia="ja-JP"/>
        </w:rPr>
        <w:t xml:space="preserve"> de identificar aspectos sobre lo</w:t>
      </w:r>
      <w:r w:rsidR="00463A1B" w:rsidRPr="00463A1B">
        <w:rPr>
          <w:rFonts w:ascii="Arial" w:eastAsia="MS Mincho" w:hAnsi="Arial" w:cs="Arial"/>
          <w:sz w:val="22"/>
          <w:szCs w:val="22"/>
          <w:lang w:val="es-ES_tradnl" w:eastAsia="ja-JP"/>
        </w:rPr>
        <w:t xml:space="preserve">s </w:t>
      </w:r>
      <w:r w:rsidR="00463A1B">
        <w:rPr>
          <w:rFonts w:ascii="Arial" w:eastAsia="MS Mincho" w:hAnsi="Arial" w:cs="Arial"/>
          <w:sz w:val="22"/>
          <w:szCs w:val="22"/>
          <w:lang w:val="es-ES_tradnl" w:eastAsia="ja-JP"/>
        </w:rPr>
        <w:t xml:space="preserve">que </w:t>
      </w:r>
      <w:r w:rsidR="00463A1B" w:rsidRPr="00463A1B">
        <w:rPr>
          <w:rFonts w:ascii="Arial" w:eastAsia="MS Mincho" w:hAnsi="Arial" w:cs="Arial"/>
          <w:sz w:val="22"/>
          <w:szCs w:val="22"/>
          <w:lang w:val="es-ES_tradnl" w:eastAsia="ja-JP"/>
        </w:rPr>
        <w:t>se puedan generar datos, sino que implica una cuidadosa reflexión so</w:t>
      </w:r>
      <w:r w:rsidR="00101681">
        <w:rPr>
          <w:rFonts w:ascii="Arial" w:eastAsia="MS Mincho" w:hAnsi="Arial" w:cs="Arial"/>
          <w:sz w:val="22"/>
          <w:szCs w:val="22"/>
          <w:lang w:val="es-ES_tradnl" w:eastAsia="ja-JP"/>
        </w:rPr>
        <w:t>bre la capacidad de generar en ú</w:t>
      </w:r>
      <w:r w:rsidR="00463A1B" w:rsidRPr="00463A1B">
        <w:rPr>
          <w:rFonts w:ascii="Arial" w:eastAsia="MS Mincho" w:hAnsi="Arial" w:cs="Arial"/>
          <w:sz w:val="22"/>
          <w:szCs w:val="22"/>
          <w:lang w:val="es-ES_tradnl" w:eastAsia="ja-JP"/>
        </w:rPr>
        <w:t>ltima</w:t>
      </w:r>
      <w:r w:rsidR="00463A1B">
        <w:rPr>
          <w:rFonts w:ascii="Arial" w:eastAsia="MS Mincho" w:hAnsi="Arial" w:cs="Arial"/>
          <w:sz w:val="22"/>
          <w:szCs w:val="22"/>
          <w:lang w:val="es-ES_tradnl" w:eastAsia="ja-JP"/>
        </w:rPr>
        <w:t xml:space="preserve"> instancia ‘argumentos’</w:t>
      </w:r>
      <w:r w:rsidR="00463A1B" w:rsidRPr="00463A1B">
        <w:rPr>
          <w:rFonts w:ascii="Arial" w:eastAsia="MS Mincho" w:hAnsi="Arial" w:cs="Arial"/>
          <w:sz w:val="22"/>
          <w:szCs w:val="22"/>
          <w:lang w:val="es-ES_tradnl" w:eastAsia="ja-JP"/>
        </w:rPr>
        <w:t xml:space="preserve"> suficientes sobre el éxito o fracaso del Plan en</w:t>
      </w:r>
      <w:r w:rsidR="00463A1B">
        <w:rPr>
          <w:rFonts w:ascii="Arial" w:eastAsia="MS Mincho" w:hAnsi="Arial" w:cs="Arial"/>
          <w:sz w:val="22"/>
          <w:szCs w:val="22"/>
          <w:lang w:val="es-ES_tradnl" w:eastAsia="ja-JP"/>
        </w:rPr>
        <w:t xml:space="preserve"> cuanto a</w:t>
      </w:r>
      <w:r w:rsidR="00463A1B" w:rsidRPr="00463A1B">
        <w:rPr>
          <w:rFonts w:ascii="Arial" w:eastAsia="MS Mincho" w:hAnsi="Arial" w:cs="Arial"/>
          <w:sz w:val="22"/>
          <w:szCs w:val="22"/>
          <w:lang w:val="es-ES_tradnl" w:eastAsia="ja-JP"/>
        </w:rPr>
        <w:t xml:space="preserve"> la obtención de resultados genuinamente estratégicos y los impactos reales para las especies migratorias, y no solo los indicadores de la implementación del proceso</w:t>
      </w:r>
      <w:r w:rsidR="00463A1B">
        <w:rPr>
          <w:rFonts w:ascii="Arial" w:eastAsia="MS Mincho" w:hAnsi="Arial" w:cs="Arial"/>
          <w:sz w:val="22"/>
          <w:szCs w:val="22"/>
          <w:lang w:val="es-ES_tradnl" w:eastAsia="ja-JP"/>
        </w:rPr>
        <w:t>”</w:t>
      </w:r>
      <w:r w:rsidR="00463A1B" w:rsidRPr="00463A1B">
        <w:rPr>
          <w:rFonts w:ascii="Arial" w:eastAsia="MS Mincho" w:hAnsi="Arial" w:cs="Arial"/>
          <w:sz w:val="22"/>
          <w:szCs w:val="22"/>
          <w:lang w:val="es-ES_tradnl" w:eastAsia="ja-JP"/>
        </w:rPr>
        <w:t xml:space="preserve">. </w:t>
      </w:r>
    </w:p>
    <w:p w14:paraId="7DAC20AA" w14:textId="115D2A27" w:rsidR="00DE42E1" w:rsidRPr="007869BD" w:rsidRDefault="00580C44" w:rsidP="00231BE0">
      <w:pPr>
        <w:ind w:left="426" w:hanging="426"/>
        <w:jc w:val="both"/>
        <w:rPr>
          <w:rFonts w:eastAsia="MS Mincho" w:cs="Arial"/>
          <w:sz w:val="22"/>
          <w:szCs w:val="22"/>
          <w:lang w:val="es-ES_tradnl" w:eastAsia="ja-JP"/>
        </w:rPr>
      </w:pPr>
      <w:r w:rsidRPr="007869BD">
        <w:rPr>
          <w:rFonts w:eastAsia="MS Mincho" w:cs="Arial"/>
          <w:sz w:val="22"/>
          <w:szCs w:val="22"/>
          <w:lang w:val="es-ES_tradnl" w:eastAsia="ja-JP"/>
        </w:rPr>
        <w:t>17</w:t>
      </w:r>
      <w:r w:rsidR="00992E43" w:rsidRPr="007869BD">
        <w:rPr>
          <w:rFonts w:eastAsia="MS Mincho" w:cs="Arial"/>
          <w:sz w:val="22"/>
          <w:szCs w:val="22"/>
          <w:lang w:val="es-ES_tradnl" w:eastAsia="ja-JP"/>
        </w:rPr>
        <w:t>.</w:t>
      </w:r>
      <w:r w:rsidR="00992E43" w:rsidRPr="007869BD">
        <w:rPr>
          <w:rFonts w:eastAsia="MS Mincho" w:cs="Arial"/>
          <w:sz w:val="22"/>
          <w:szCs w:val="22"/>
          <w:lang w:val="es-ES_tradnl" w:eastAsia="ja-JP"/>
        </w:rPr>
        <w:tab/>
      </w:r>
      <w:r w:rsidR="00EC6989">
        <w:rPr>
          <w:rFonts w:eastAsia="MS Mincho" w:cs="Arial"/>
          <w:sz w:val="22"/>
          <w:szCs w:val="22"/>
          <w:lang w:val="es-ES_tradnl" w:eastAsia="ja-JP"/>
        </w:rPr>
        <w:t>Por lo tanto, l</w:t>
      </w:r>
      <w:r w:rsidR="007869BD" w:rsidRPr="007869BD">
        <w:rPr>
          <w:rFonts w:eastAsia="MS Mincho" w:cs="Arial"/>
          <w:sz w:val="22"/>
          <w:szCs w:val="22"/>
          <w:lang w:val="es-ES_tradnl" w:eastAsia="ja-JP"/>
        </w:rPr>
        <w:t xml:space="preserve">a identificación de los posibles indicadores </w:t>
      </w:r>
      <w:r w:rsidR="00EC6989">
        <w:rPr>
          <w:rFonts w:eastAsia="MS Mincho" w:cs="Arial"/>
          <w:sz w:val="22"/>
          <w:szCs w:val="22"/>
          <w:lang w:val="es-ES_tradnl" w:eastAsia="ja-JP"/>
        </w:rPr>
        <w:t>es solamente la primera etapa</w:t>
      </w:r>
      <w:r w:rsidR="007869BD" w:rsidRPr="007869BD">
        <w:rPr>
          <w:rFonts w:eastAsia="MS Mincho" w:cs="Arial"/>
          <w:sz w:val="22"/>
          <w:szCs w:val="22"/>
          <w:lang w:val="es-ES_tradnl" w:eastAsia="ja-JP"/>
        </w:rPr>
        <w:t>.</w:t>
      </w:r>
      <w:r w:rsidR="00AF7775">
        <w:rPr>
          <w:rFonts w:eastAsia="MS Mincho" w:cs="Arial"/>
          <w:sz w:val="22"/>
          <w:szCs w:val="22"/>
          <w:lang w:val="es-ES_tradnl" w:eastAsia="ja-JP"/>
        </w:rPr>
        <w:t xml:space="preserve"> </w:t>
      </w:r>
      <w:r w:rsidR="00F03C08">
        <w:rPr>
          <w:rFonts w:eastAsia="MS Mincho" w:cs="Arial"/>
          <w:sz w:val="22"/>
          <w:szCs w:val="22"/>
          <w:lang w:val="es-ES_tradnl" w:eastAsia="ja-JP"/>
        </w:rPr>
        <w:t xml:space="preserve">La recopilación de datos, </w:t>
      </w:r>
      <w:r w:rsidR="00774F66">
        <w:rPr>
          <w:rFonts w:eastAsia="MS Mincho" w:cs="Arial"/>
          <w:sz w:val="22"/>
          <w:szCs w:val="22"/>
          <w:lang w:val="es-ES_tradnl" w:eastAsia="ja-JP"/>
        </w:rPr>
        <w:t xml:space="preserve">la </w:t>
      </w:r>
      <w:r w:rsidR="00F03C08">
        <w:rPr>
          <w:rFonts w:eastAsia="MS Mincho" w:cs="Arial"/>
          <w:sz w:val="22"/>
          <w:szCs w:val="22"/>
          <w:lang w:val="es-ES_tradnl" w:eastAsia="ja-JP"/>
        </w:rPr>
        <w:t>implementación del indicador, su seguimiento y actualización son cuestiones adicionales que de</w:t>
      </w:r>
      <w:r w:rsidR="00774F66">
        <w:rPr>
          <w:rFonts w:eastAsia="MS Mincho" w:cs="Arial"/>
          <w:sz w:val="22"/>
          <w:szCs w:val="22"/>
          <w:lang w:val="es-ES_tradnl" w:eastAsia="ja-JP"/>
        </w:rPr>
        <w:t>berían ser consideradas desde un principio</w:t>
      </w:r>
      <w:r w:rsidR="00F03C08">
        <w:rPr>
          <w:rFonts w:eastAsia="MS Mincho" w:cs="Arial"/>
          <w:sz w:val="22"/>
          <w:szCs w:val="22"/>
          <w:lang w:val="es-ES_tradnl" w:eastAsia="ja-JP"/>
        </w:rPr>
        <w:t xml:space="preserve"> para </w:t>
      </w:r>
      <w:r w:rsidR="00774F66">
        <w:rPr>
          <w:rFonts w:eastAsia="MS Mincho" w:cs="Arial"/>
          <w:sz w:val="22"/>
          <w:szCs w:val="22"/>
          <w:lang w:val="es-ES_tradnl" w:eastAsia="ja-JP"/>
        </w:rPr>
        <w:t xml:space="preserve">garantizar </w:t>
      </w:r>
      <w:r w:rsidR="00F03C08">
        <w:rPr>
          <w:rFonts w:eastAsia="MS Mincho" w:cs="Arial"/>
          <w:sz w:val="22"/>
          <w:szCs w:val="22"/>
          <w:lang w:val="es-ES_tradnl" w:eastAsia="ja-JP"/>
        </w:rPr>
        <w:t>que el Plan tenga un conjunto de indicadores fiable</w:t>
      </w:r>
      <w:r w:rsidR="00774F66">
        <w:rPr>
          <w:rFonts w:eastAsia="MS Mincho" w:cs="Arial"/>
          <w:sz w:val="22"/>
          <w:szCs w:val="22"/>
          <w:lang w:val="es-ES_tradnl" w:eastAsia="ja-JP"/>
        </w:rPr>
        <w:t>s</w:t>
      </w:r>
      <w:r w:rsidR="00F03C08">
        <w:rPr>
          <w:rFonts w:eastAsia="MS Mincho" w:cs="Arial"/>
          <w:sz w:val="22"/>
          <w:szCs w:val="22"/>
          <w:lang w:val="es-ES_tradnl" w:eastAsia="ja-JP"/>
        </w:rPr>
        <w:t xml:space="preserve"> y efectivo</w:t>
      </w:r>
      <w:r w:rsidR="00774F66">
        <w:rPr>
          <w:rFonts w:eastAsia="MS Mincho" w:cs="Arial"/>
          <w:sz w:val="22"/>
          <w:szCs w:val="22"/>
          <w:lang w:val="es-ES_tradnl" w:eastAsia="ja-JP"/>
        </w:rPr>
        <w:t>s</w:t>
      </w:r>
      <w:r w:rsidR="00BB22F1">
        <w:rPr>
          <w:rFonts w:eastAsia="MS Mincho" w:cs="Arial"/>
          <w:sz w:val="22"/>
          <w:szCs w:val="22"/>
          <w:lang w:val="es-ES_tradnl" w:eastAsia="ja-JP"/>
        </w:rPr>
        <w:t xml:space="preserve"> de</w:t>
      </w:r>
      <w:r w:rsidR="00F03C08">
        <w:rPr>
          <w:rFonts w:eastAsia="MS Mincho" w:cs="Arial"/>
          <w:sz w:val="22"/>
          <w:szCs w:val="22"/>
          <w:lang w:val="es-ES_tradnl" w:eastAsia="ja-JP"/>
        </w:rPr>
        <w:t xml:space="preserve"> </w:t>
      </w:r>
      <w:r w:rsidR="00BB22F1">
        <w:rPr>
          <w:rFonts w:eastAsia="MS Mincho" w:cs="Arial"/>
          <w:sz w:val="22"/>
          <w:szCs w:val="22"/>
          <w:lang w:val="es-ES_tradnl" w:eastAsia="ja-JP"/>
        </w:rPr>
        <w:t xml:space="preserve">los </w:t>
      </w:r>
      <w:r w:rsidR="00F03C08">
        <w:rPr>
          <w:rFonts w:eastAsia="MS Mincho" w:cs="Arial"/>
          <w:sz w:val="22"/>
          <w:szCs w:val="22"/>
          <w:lang w:val="es-ES_tradnl" w:eastAsia="ja-JP"/>
        </w:rPr>
        <w:t>cual</w:t>
      </w:r>
      <w:r w:rsidR="00BB22F1">
        <w:rPr>
          <w:rFonts w:eastAsia="MS Mincho" w:cs="Arial"/>
          <w:sz w:val="22"/>
          <w:szCs w:val="22"/>
          <w:lang w:val="es-ES_tradnl" w:eastAsia="ja-JP"/>
        </w:rPr>
        <w:t>es</w:t>
      </w:r>
      <w:r w:rsidR="00F03C08">
        <w:rPr>
          <w:rFonts w:eastAsia="MS Mincho" w:cs="Arial"/>
          <w:sz w:val="22"/>
          <w:szCs w:val="22"/>
          <w:lang w:val="es-ES_tradnl" w:eastAsia="ja-JP"/>
        </w:rPr>
        <w:t xml:space="preserve"> se </w:t>
      </w:r>
      <w:r w:rsidR="00BB22F1">
        <w:rPr>
          <w:rFonts w:eastAsia="MS Mincho" w:cs="Arial"/>
          <w:sz w:val="22"/>
          <w:szCs w:val="22"/>
          <w:lang w:val="es-ES_tradnl" w:eastAsia="ja-JP"/>
        </w:rPr>
        <w:t>pueda extraer información</w:t>
      </w:r>
      <w:r w:rsidR="00F03C08">
        <w:rPr>
          <w:rFonts w:eastAsia="MS Mincho" w:cs="Arial"/>
          <w:sz w:val="22"/>
          <w:szCs w:val="22"/>
          <w:lang w:val="es-ES_tradnl" w:eastAsia="ja-JP"/>
        </w:rPr>
        <w:t xml:space="preserve"> a intervalos regulares y que </w:t>
      </w:r>
      <w:r w:rsidR="008318BA">
        <w:rPr>
          <w:rFonts w:eastAsia="MS Mincho" w:cs="Arial"/>
          <w:sz w:val="22"/>
          <w:szCs w:val="22"/>
          <w:lang w:val="es-ES_tradnl" w:eastAsia="ja-JP"/>
        </w:rPr>
        <w:t>funcione</w:t>
      </w:r>
      <w:r w:rsidR="00F03C08">
        <w:rPr>
          <w:rFonts w:eastAsia="MS Mincho" w:cs="Arial"/>
          <w:sz w:val="22"/>
          <w:szCs w:val="22"/>
          <w:lang w:val="es-ES_tradnl" w:eastAsia="ja-JP"/>
        </w:rPr>
        <w:t xml:space="preserve"> con un coste aceptable. Además</w:t>
      </w:r>
      <w:r w:rsidR="00AC1451">
        <w:rPr>
          <w:rFonts w:eastAsia="MS Mincho" w:cs="Arial"/>
          <w:sz w:val="22"/>
          <w:szCs w:val="22"/>
          <w:lang w:val="es-ES_tradnl" w:eastAsia="ja-JP"/>
        </w:rPr>
        <w:t>,</w:t>
      </w:r>
      <w:r w:rsidR="00F03C08">
        <w:rPr>
          <w:rFonts w:eastAsia="MS Mincho" w:cs="Arial"/>
          <w:sz w:val="22"/>
          <w:szCs w:val="22"/>
          <w:lang w:val="es-ES_tradnl" w:eastAsia="ja-JP"/>
        </w:rPr>
        <w:t xml:space="preserve"> </w:t>
      </w:r>
      <w:r w:rsidR="00AC1451">
        <w:rPr>
          <w:rFonts w:eastAsia="MS Mincho" w:cs="Arial"/>
          <w:sz w:val="22"/>
          <w:szCs w:val="22"/>
          <w:lang w:val="es-ES_tradnl" w:eastAsia="ja-JP"/>
        </w:rPr>
        <w:t>debe</w:t>
      </w:r>
      <w:r w:rsidR="00F03C08">
        <w:rPr>
          <w:rFonts w:eastAsia="MS Mincho" w:cs="Arial"/>
          <w:sz w:val="22"/>
          <w:szCs w:val="22"/>
          <w:lang w:val="es-ES_tradnl" w:eastAsia="ja-JP"/>
        </w:rPr>
        <w:t xml:space="preserve"> hacerse de manera que </w:t>
      </w:r>
      <w:r w:rsidR="00AC1451">
        <w:rPr>
          <w:rFonts w:eastAsia="MS Mincho" w:cs="Arial"/>
          <w:sz w:val="22"/>
          <w:szCs w:val="22"/>
          <w:lang w:val="es-ES_tradnl" w:eastAsia="ja-JP"/>
        </w:rPr>
        <w:t>resulte eficiente en cuanto a</w:t>
      </w:r>
      <w:r w:rsidR="00F03C08">
        <w:rPr>
          <w:rFonts w:eastAsia="MS Mincho" w:cs="Arial"/>
          <w:sz w:val="22"/>
          <w:szCs w:val="22"/>
          <w:lang w:val="es-ES_tradnl" w:eastAsia="ja-JP"/>
        </w:rPr>
        <w:t xml:space="preserve"> tiempo y recursos, aprovechando en lo posible los procesos existentes, con el fin de no crear </w:t>
      </w:r>
      <w:r w:rsidR="0038248B">
        <w:rPr>
          <w:rFonts w:eastAsia="MS Mincho" w:cs="Arial"/>
          <w:sz w:val="22"/>
          <w:szCs w:val="22"/>
          <w:lang w:val="es-ES_tradnl" w:eastAsia="ja-JP"/>
        </w:rPr>
        <w:t>una nueva</w:t>
      </w:r>
      <w:r w:rsidR="006C7832">
        <w:rPr>
          <w:rFonts w:eastAsia="MS Mincho" w:cs="Arial"/>
          <w:sz w:val="22"/>
          <w:szCs w:val="22"/>
          <w:lang w:val="es-ES_tradnl" w:eastAsia="ja-JP"/>
        </w:rPr>
        <w:t xml:space="preserve"> carga para</w:t>
      </w:r>
      <w:r w:rsidR="00F03C08">
        <w:rPr>
          <w:rFonts w:eastAsia="MS Mincho" w:cs="Arial"/>
          <w:sz w:val="22"/>
          <w:szCs w:val="22"/>
          <w:lang w:val="es-ES_tradnl" w:eastAsia="ja-JP"/>
        </w:rPr>
        <w:t xml:space="preserve"> las Partes.</w:t>
      </w:r>
    </w:p>
    <w:p w14:paraId="49087221" w14:textId="77777777" w:rsidR="00C94515" w:rsidRPr="00F1658A" w:rsidRDefault="00C94515" w:rsidP="00231BE0">
      <w:pPr>
        <w:ind w:left="426" w:hanging="426"/>
        <w:jc w:val="both"/>
        <w:rPr>
          <w:rFonts w:eastAsia="MS Mincho" w:cs="Arial"/>
          <w:sz w:val="22"/>
          <w:szCs w:val="22"/>
          <w:lang w:val="es-ES_tradnl" w:eastAsia="ja-JP"/>
        </w:rPr>
      </w:pPr>
    </w:p>
    <w:p w14:paraId="33DDDA6B" w14:textId="7FCFB19D" w:rsidR="00F1658A" w:rsidRPr="00F1658A" w:rsidRDefault="00580C44" w:rsidP="00231BE0">
      <w:pPr>
        <w:ind w:left="426" w:hanging="426"/>
        <w:jc w:val="both"/>
        <w:rPr>
          <w:rFonts w:eastAsia="MS Mincho" w:cs="Arial"/>
          <w:sz w:val="22"/>
          <w:szCs w:val="22"/>
          <w:lang w:val="es-ES_tradnl" w:eastAsia="ja-JP"/>
        </w:rPr>
      </w:pPr>
      <w:r w:rsidRPr="00F1658A">
        <w:rPr>
          <w:rFonts w:eastAsia="MS Mincho" w:cs="Arial"/>
          <w:sz w:val="22"/>
          <w:szCs w:val="22"/>
          <w:lang w:val="es-ES_tradnl" w:eastAsia="ja-JP"/>
        </w:rPr>
        <w:t>18</w:t>
      </w:r>
      <w:r w:rsidR="00992E43" w:rsidRPr="00F1658A">
        <w:rPr>
          <w:rFonts w:eastAsia="MS Mincho" w:cs="Arial"/>
          <w:sz w:val="22"/>
          <w:szCs w:val="22"/>
          <w:lang w:val="es-ES_tradnl" w:eastAsia="ja-JP"/>
        </w:rPr>
        <w:t>.</w:t>
      </w:r>
      <w:r w:rsidR="00992E43" w:rsidRPr="00F1658A">
        <w:rPr>
          <w:rFonts w:eastAsia="MS Mincho" w:cs="Arial"/>
          <w:sz w:val="22"/>
          <w:szCs w:val="22"/>
          <w:lang w:val="es-ES_tradnl" w:eastAsia="ja-JP"/>
        </w:rPr>
        <w:tab/>
      </w:r>
      <w:r w:rsidR="00EA06E4">
        <w:rPr>
          <w:rFonts w:eastAsia="MS Mincho" w:cs="Arial"/>
          <w:sz w:val="22"/>
          <w:szCs w:val="22"/>
          <w:lang w:val="es-ES_tradnl" w:eastAsia="ja-JP"/>
        </w:rPr>
        <w:t xml:space="preserve">Así pues </w:t>
      </w:r>
      <w:r w:rsidR="00F1658A" w:rsidRPr="00F1658A">
        <w:rPr>
          <w:rFonts w:eastAsia="MS Mincho" w:cs="Arial"/>
          <w:sz w:val="22"/>
          <w:szCs w:val="22"/>
          <w:lang w:val="es-ES_tradnl" w:eastAsia="ja-JP"/>
        </w:rPr>
        <w:t xml:space="preserve">deben hacerse las preguntas </w:t>
      </w:r>
      <w:r w:rsidR="003B0FF1">
        <w:rPr>
          <w:rFonts w:eastAsia="MS Mincho" w:cs="Arial"/>
          <w:sz w:val="22"/>
          <w:szCs w:val="22"/>
          <w:lang w:val="es-ES_tradnl" w:eastAsia="ja-JP"/>
        </w:rPr>
        <w:t>adecuadas</w:t>
      </w:r>
      <w:r w:rsidR="009D3780" w:rsidRPr="009D3780">
        <w:rPr>
          <w:rFonts w:eastAsia="MS Mincho" w:cs="Arial"/>
          <w:sz w:val="22"/>
          <w:szCs w:val="22"/>
          <w:lang w:val="es-ES_tradnl" w:eastAsia="ja-JP"/>
        </w:rPr>
        <w:t xml:space="preserve"> </w:t>
      </w:r>
      <w:r w:rsidR="009D3780">
        <w:rPr>
          <w:rFonts w:eastAsia="MS Mincho" w:cs="Arial"/>
          <w:sz w:val="22"/>
          <w:szCs w:val="22"/>
          <w:lang w:val="es-ES_tradnl" w:eastAsia="ja-JP"/>
        </w:rPr>
        <w:t>a</w:t>
      </w:r>
      <w:r w:rsidR="009D3780" w:rsidRPr="00F1658A">
        <w:rPr>
          <w:rFonts w:eastAsia="MS Mincho" w:cs="Arial"/>
          <w:sz w:val="22"/>
          <w:szCs w:val="22"/>
          <w:lang w:val="es-ES_tradnl" w:eastAsia="ja-JP"/>
        </w:rPr>
        <w:t>l principio</w:t>
      </w:r>
      <w:r w:rsidR="00F1658A" w:rsidRPr="00F1658A">
        <w:rPr>
          <w:rFonts w:eastAsia="MS Mincho" w:cs="Arial"/>
          <w:sz w:val="22"/>
          <w:szCs w:val="22"/>
          <w:lang w:val="es-ES_tradnl" w:eastAsia="ja-JP"/>
        </w:rPr>
        <w:t xml:space="preserve">, tanto </w:t>
      </w:r>
      <w:r w:rsidR="00F1658A">
        <w:rPr>
          <w:rFonts w:eastAsia="MS Mincho" w:cs="Arial"/>
          <w:sz w:val="22"/>
          <w:szCs w:val="22"/>
          <w:lang w:val="es-ES_tradnl" w:eastAsia="ja-JP"/>
        </w:rPr>
        <w:t xml:space="preserve">en cuanto a qué </w:t>
      </w:r>
      <w:r w:rsidR="003B0FF1">
        <w:rPr>
          <w:rFonts w:eastAsia="MS Mincho" w:cs="Arial"/>
          <w:sz w:val="22"/>
          <w:szCs w:val="22"/>
          <w:lang w:val="es-ES_tradnl" w:eastAsia="ja-JP"/>
        </w:rPr>
        <w:t xml:space="preserve">se debe </w:t>
      </w:r>
      <w:r w:rsidR="00F1658A">
        <w:rPr>
          <w:rFonts w:eastAsia="MS Mincho" w:cs="Arial"/>
          <w:sz w:val="22"/>
          <w:szCs w:val="22"/>
          <w:lang w:val="es-ES_tradnl" w:eastAsia="ja-JP"/>
        </w:rPr>
        <w:t xml:space="preserve">medir como </w:t>
      </w:r>
      <w:r w:rsidR="003B0FF1">
        <w:rPr>
          <w:rFonts w:eastAsia="MS Mincho" w:cs="Arial"/>
          <w:sz w:val="22"/>
          <w:szCs w:val="22"/>
          <w:lang w:val="es-ES_tradnl" w:eastAsia="ja-JP"/>
        </w:rPr>
        <w:t xml:space="preserve">a </w:t>
      </w:r>
      <w:r w:rsidR="00F1658A">
        <w:rPr>
          <w:rFonts w:eastAsia="MS Mincho" w:cs="Arial"/>
          <w:sz w:val="22"/>
          <w:szCs w:val="22"/>
          <w:lang w:val="es-ES_tradnl" w:eastAsia="ja-JP"/>
        </w:rPr>
        <w:t xml:space="preserve">qué datos utilizar, para poder establecer </w:t>
      </w:r>
      <w:r w:rsidR="00562376">
        <w:rPr>
          <w:rFonts w:eastAsia="MS Mincho" w:cs="Arial"/>
          <w:sz w:val="22"/>
          <w:szCs w:val="22"/>
          <w:lang w:val="es-ES_tradnl" w:eastAsia="ja-JP"/>
        </w:rPr>
        <w:t xml:space="preserve">cuidadosamente </w:t>
      </w:r>
      <w:r w:rsidR="00F1658A">
        <w:rPr>
          <w:rFonts w:eastAsia="MS Mincho" w:cs="Arial"/>
          <w:sz w:val="22"/>
          <w:szCs w:val="22"/>
          <w:lang w:val="es-ES_tradnl" w:eastAsia="ja-JP"/>
        </w:rPr>
        <w:t xml:space="preserve">el alcance del </w:t>
      </w:r>
      <w:r w:rsidR="00AE15FA">
        <w:rPr>
          <w:rFonts w:eastAsia="MS Mincho" w:cs="Arial"/>
          <w:sz w:val="22"/>
          <w:szCs w:val="22"/>
          <w:lang w:val="es-ES_tradnl" w:eastAsia="ja-JP"/>
        </w:rPr>
        <w:t>monitoreo</w:t>
      </w:r>
      <w:r w:rsidR="00F1658A">
        <w:rPr>
          <w:rFonts w:eastAsia="MS Mincho" w:cs="Arial"/>
          <w:sz w:val="22"/>
          <w:szCs w:val="22"/>
          <w:lang w:val="es-ES_tradnl" w:eastAsia="ja-JP"/>
        </w:rPr>
        <w:t xml:space="preserve"> y </w:t>
      </w:r>
      <w:r w:rsidR="00866D1A">
        <w:rPr>
          <w:rFonts w:eastAsia="MS Mincho" w:cs="Arial"/>
          <w:sz w:val="22"/>
          <w:szCs w:val="22"/>
          <w:lang w:val="es-ES_tradnl" w:eastAsia="ja-JP"/>
        </w:rPr>
        <w:t>equilibrar</w:t>
      </w:r>
      <w:r w:rsidR="00F1658A">
        <w:rPr>
          <w:rFonts w:eastAsia="MS Mincho" w:cs="Arial"/>
          <w:sz w:val="22"/>
          <w:szCs w:val="22"/>
          <w:lang w:val="es-ES_tradnl" w:eastAsia="ja-JP"/>
        </w:rPr>
        <w:t xml:space="preserve"> las oportunidades </w:t>
      </w:r>
      <w:r w:rsidR="00866D1A">
        <w:rPr>
          <w:rFonts w:eastAsia="MS Mincho" w:cs="Arial"/>
          <w:sz w:val="22"/>
          <w:szCs w:val="22"/>
          <w:lang w:val="es-ES_tradnl" w:eastAsia="ja-JP"/>
        </w:rPr>
        <w:t>y</w:t>
      </w:r>
      <w:r w:rsidR="00F1658A">
        <w:rPr>
          <w:rFonts w:eastAsia="MS Mincho" w:cs="Arial"/>
          <w:sz w:val="22"/>
          <w:szCs w:val="22"/>
          <w:lang w:val="es-ES_tradnl" w:eastAsia="ja-JP"/>
        </w:rPr>
        <w:t xml:space="preserve"> </w:t>
      </w:r>
      <w:r w:rsidR="00866D1A">
        <w:rPr>
          <w:rFonts w:eastAsia="MS Mincho" w:cs="Arial"/>
          <w:sz w:val="22"/>
          <w:szCs w:val="22"/>
          <w:lang w:val="es-ES_tradnl" w:eastAsia="ja-JP"/>
        </w:rPr>
        <w:t>la carga</w:t>
      </w:r>
      <w:r w:rsidR="00F1658A">
        <w:rPr>
          <w:rFonts w:eastAsia="MS Mincho" w:cs="Arial"/>
          <w:sz w:val="22"/>
          <w:szCs w:val="22"/>
          <w:lang w:val="es-ES_tradnl" w:eastAsia="ja-JP"/>
        </w:rPr>
        <w:t xml:space="preserve"> </w:t>
      </w:r>
      <w:r w:rsidR="00866D1A">
        <w:rPr>
          <w:rFonts w:eastAsia="MS Mincho" w:cs="Arial"/>
          <w:sz w:val="22"/>
          <w:szCs w:val="22"/>
          <w:lang w:val="es-ES_tradnl" w:eastAsia="ja-JP"/>
        </w:rPr>
        <w:t xml:space="preserve">que suponen </w:t>
      </w:r>
      <w:r w:rsidR="00F1658A">
        <w:rPr>
          <w:rFonts w:eastAsia="MS Mincho" w:cs="Arial"/>
          <w:sz w:val="22"/>
          <w:szCs w:val="22"/>
          <w:lang w:val="es-ES_tradnl" w:eastAsia="ja-JP"/>
        </w:rPr>
        <w:t xml:space="preserve">sobre las Partes de la Convención y la Secretaría. No todas las carencias de información justifican un indicador, ya que esto dependerá de factores como la viabilidad científica y la rentabilidad. Tampoco es necesario medir todos los aspectos viables de una meta, sino más bien aquellos que </w:t>
      </w:r>
      <w:r w:rsidR="00DE5817">
        <w:rPr>
          <w:rFonts w:eastAsia="MS Mincho" w:cs="Arial"/>
          <w:sz w:val="22"/>
          <w:szCs w:val="22"/>
          <w:lang w:val="es-ES_tradnl" w:eastAsia="ja-JP"/>
        </w:rPr>
        <w:t>representen</w:t>
      </w:r>
      <w:r w:rsidR="00F1658A">
        <w:rPr>
          <w:rFonts w:eastAsia="MS Mincho" w:cs="Arial"/>
          <w:sz w:val="22"/>
          <w:szCs w:val="22"/>
          <w:lang w:val="es-ES_tradnl" w:eastAsia="ja-JP"/>
        </w:rPr>
        <w:t xml:space="preserve"> un “indicio clave” de un contexto más amplio.</w:t>
      </w:r>
    </w:p>
    <w:p w14:paraId="3AF8BCFB" w14:textId="77777777" w:rsidR="00C94515" w:rsidRPr="007869BD" w:rsidRDefault="00C94515" w:rsidP="00DE5817">
      <w:pPr>
        <w:pStyle w:val="Default"/>
        <w:rPr>
          <w:rFonts w:eastAsia="MS Mincho"/>
          <w:sz w:val="22"/>
          <w:szCs w:val="22"/>
          <w:highlight w:val="yellow"/>
          <w:lang w:val="es-ES_tradnl"/>
        </w:rPr>
      </w:pPr>
    </w:p>
    <w:p w14:paraId="05CB7EA1" w14:textId="2602A89E" w:rsidR="0021513E" w:rsidRPr="00530C8D" w:rsidRDefault="00580C44" w:rsidP="00231BE0">
      <w:pPr>
        <w:ind w:left="426" w:hanging="426"/>
        <w:jc w:val="both"/>
        <w:rPr>
          <w:rFonts w:eastAsia="MS Mincho" w:cs="Arial"/>
          <w:sz w:val="22"/>
          <w:szCs w:val="22"/>
          <w:lang w:val="es-ES_tradnl"/>
        </w:rPr>
      </w:pPr>
      <w:r w:rsidRPr="00530C8D">
        <w:rPr>
          <w:rFonts w:eastAsia="MS Mincho" w:cs="Arial"/>
          <w:sz w:val="22"/>
          <w:szCs w:val="22"/>
          <w:lang w:val="es-ES_tradnl"/>
        </w:rPr>
        <w:t>19</w:t>
      </w:r>
      <w:r w:rsidR="00992E43" w:rsidRPr="00530C8D">
        <w:rPr>
          <w:rFonts w:eastAsia="MS Mincho" w:cs="Arial"/>
          <w:sz w:val="22"/>
          <w:szCs w:val="22"/>
          <w:lang w:val="es-ES_tradnl"/>
        </w:rPr>
        <w:t>.</w:t>
      </w:r>
      <w:r w:rsidR="00992E43" w:rsidRPr="00530C8D">
        <w:rPr>
          <w:rFonts w:eastAsia="MS Mincho" w:cs="Arial"/>
          <w:sz w:val="22"/>
          <w:szCs w:val="22"/>
          <w:lang w:val="es-ES_tradnl"/>
        </w:rPr>
        <w:tab/>
      </w:r>
      <w:r w:rsidR="000361BB">
        <w:rPr>
          <w:rFonts w:eastAsia="MS Mincho" w:cs="Arial"/>
          <w:sz w:val="22"/>
          <w:szCs w:val="22"/>
          <w:lang w:val="es-ES_tradnl"/>
        </w:rPr>
        <w:t>Deberán utilizarse en la medida de lo posible l</w:t>
      </w:r>
      <w:r w:rsidR="006E5D1C">
        <w:rPr>
          <w:rFonts w:eastAsia="MS Mincho" w:cs="Arial"/>
          <w:sz w:val="22"/>
          <w:szCs w:val="22"/>
          <w:lang w:val="es-ES_tradnl"/>
        </w:rPr>
        <w:t>os conjuntos de datos y los procesos de</w:t>
      </w:r>
      <w:r w:rsidR="00530C8D">
        <w:rPr>
          <w:rFonts w:eastAsia="MS Mincho" w:cs="Arial"/>
          <w:sz w:val="22"/>
          <w:szCs w:val="22"/>
          <w:lang w:val="es-ES_tradnl"/>
        </w:rPr>
        <w:t xml:space="preserve"> </w:t>
      </w:r>
      <w:r w:rsidR="006E5D1C">
        <w:rPr>
          <w:rFonts w:eastAsia="MS Mincho" w:cs="Arial"/>
          <w:sz w:val="22"/>
          <w:szCs w:val="22"/>
          <w:lang w:val="es-ES_tradnl"/>
        </w:rPr>
        <w:t>monitoreo</w:t>
      </w:r>
      <w:r w:rsidR="00530C8D">
        <w:rPr>
          <w:rFonts w:eastAsia="MS Mincho" w:cs="Arial"/>
          <w:sz w:val="22"/>
          <w:szCs w:val="22"/>
          <w:lang w:val="es-ES_tradnl"/>
        </w:rPr>
        <w:t xml:space="preserve"> y </w:t>
      </w:r>
      <w:r w:rsidR="006E5D1C">
        <w:rPr>
          <w:rFonts w:eastAsia="MS Mincho" w:cs="Arial"/>
          <w:sz w:val="22"/>
          <w:szCs w:val="22"/>
          <w:lang w:val="es-ES_tradnl"/>
        </w:rPr>
        <w:t>presentación de informes pertinentes ya existentes,</w:t>
      </w:r>
      <w:r w:rsidR="00530C8D">
        <w:rPr>
          <w:rFonts w:eastAsia="MS Mincho" w:cs="Arial"/>
          <w:sz w:val="22"/>
          <w:szCs w:val="22"/>
          <w:lang w:val="es-ES_tradnl"/>
        </w:rPr>
        <w:t xml:space="preserve"> tanto </w:t>
      </w:r>
      <w:r w:rsidR="006E5D1C">
        <w:rPr>
          <w:rFonts w:eastAsia="MS Mincho" w:cs="Arial"/>
          <w:sz w:val="22"/>
          <w:szCs w:val="22"/>
          <w:lang w:val="es-ES_tradnl"/>
        </w:rPr>
        <w:t xml:space="preserve">dentro </w:t>
      </w:r>
      <w:r w:rsidR="00530C8D">
        <w:rPr>
          <w:rFonts w:eastAsia="MS Mincho" w:cs="Arial"/>
          <w:sz w:val="22"/>
          <w:szCs w:val="22"/>
          <w:lang w:val="es-ES_tradnl"/>
        </w:rPr>
        <w:t xml:space="preserve">de la Familia CMS como fuera de ella. No obstante, para los procesos de presentación de informes dentro de la Familia CMS, podría ser también oportuno ajustarlos de manera apropiada </w:t>
      </w:r>
      <w:r w:rsidR="00530C8D">
        <w:rPr>
          <w:rFonts w:eastAsia="MS Mincho" w:cs="Arial"/>
          <w:sz w:val="22"/>
          <w:szCs w:val="22"/>
          <w:lang w:val="es-ES_tradnl"/>
        </w:rPr>
        <w:lastRenderedPageBreak/>
        <w:t xml:space="preserve">si fuera posible (p.ej. para </w:t>
      </w:r>
      <w:r w:rsidR="002A3401">
        <w:rPr>
          <w:rFonts w:eastAsia="MS Mincho" w:cs="Arial"/>
          <w:sz w:val="22"/>
          <w:szCs w:val="22"/>
          <w:lang w:val="es-ES_tradnl"/>
        </w:rPr>
        <w:t>referirse</w:t>
      </w:r>
      <w:r w:rsidR="00530C8D">
        <w:rPr>
          <w:rFonts w:eastAsia="MS Mincho" w:cs="Arial"/>
          <w:sz w:val="22"/>
          <w:szCs w:val="22"/>
          <w:lang w:val="es-ES_tradnl"/>
        </w:rPr>
        <w:t xml:space="preserve"> más específicamente </w:t>
      </w:r>
      <w:r w:rsidR="002A3401">
        <w:rPr>
          <w:rFonts w:eastAsia="MS Mincho" w:cs="Arial"/>
          <w:sz w:val="22"/>
          <w:szCs w:val="22"/>
          <w:lang w:val="es-ES_tradnl"/>
        </w:rPr>
        <w:t>a</w:t>
      </w:r>
      <w:r w:rsidR="00530C8D">
        <w:rPr>
          <w:rFonts w:eastAsia="MS Mincho" w:cs="Arial"/>
          <w:sz w:val="22"/>
          <w:szCs w:val="22"/>
          <w:lang w:val="es-ES_tradnl"/>
        </w:rPr>
        <w:t xml:space="preserve"> las metas adoptadas) </w:t>
      </w:r>
      <w:r w:rsidR="007A54AA">
        <w:rPr>
          <w:rFonts w:eastAsia="MS Mincho" w:cs="Arial"/>
          <w:sz w:val="22"/>
          <w:szCs w:val="22"/>
          <w:lang w:val="es-ES_tradnl"/>
        </w:rPr>
        <w:t>con la finalidad</w:t>
      </w:r>
      <w:r w:rsidR="00567A49">
        <w:rPr>
          <w:rFonts w:eastAsia="MS Mincho" w:cs="Arial"/>
          <w:sz w:val="22"/>
          <w:szCs w:val="22"/>
          <w:lang w:val="es-ES_tradnl"/>
        </w:rPr>
        <w:t xml:space="preserve"> de</w:t>
      </w:r>
      <w:r w:rsidR="00530C8D">
        <w:rPr>
          <w:rFonts w:eastAsia="MS Mincho" w:cs="Arial"/>
          <w:sz w:val="22"/>
          <w:szCs w:val="22"/>
          <w:lang w:val="es-ES_tradnl"/>
        </w:rPr>
        <w:t xml:space="preserve"> optimizar la recopilación de la información </w:t>
      </w:r>
      <w:r w:rsidR="00567A49">
        <w:rPr>
          <w:rFonts w:eastAsia="MS Mincho" w:cs="Arial"/>
          <w:sz w:val="22"/>
          <w:szCs w:val="22"/>
          <w:lang w:val="es-ES_tradnl"/>
        </w:rPr>
        <w:t>precisa</w:t>
      </w:r>
      <w:r w:rsidR="00530C8D">
        <w:rPr>
          <w:rFonts w:eastAsia="MS Mincho" w:cs="Arial"/>
          <w:sz w:val="22"/>
          <w:szCs w:val="22"/>
          <w:lang w:val="es-ES_tradnl"/>
        </w:rPr>
        <w:t xml:space="preserve"> a través de los canales existentes.</w:t>
      </w:r>
    </w:p>
    <w:p w14:paraId="2DEB1171" w14:textId="77777777" w:rsidR="00C94515" w:rsidRPr="008D3EED" w:rsidRDefault="00C94515" w:rsidP="00231BE0">
      <w:pPr>
        <w:pStyle w:val="Default"/>
        <w:ind w:left="426" w:hanging="426"/>
        <w:rPr>
          <w:rFonts w:eastAsia="MS Mincho"/>
          <w:sz w:val="22"/>
          <w:szCs w:val="22"/>
          <w:lang w:val="es-ES_tradnl"/>
        </w:rPr>
      </w:pPr>
    </w:p>
    <w:p w14:paraId="567D0EC7" w14:textId="051FBF70" w:rsidR="008D3EED" w:rsidRPr="008D3EED" w:rsidRDefault="00580C44" w:rsidP="00231BE0">
      <w:pPr>
        <w:ind w:left="426" w:hanging="426"/>
        <w:jc w:val="both"/>
        <w:rPr>
          <w:rFonts w:eastAsia="MS Mincho" w:cs="Arial"/>
          <w:sz w:val="22"/>
          <w:szCs w:val="22"/>
          <w:lang w:val="es-ES_tradnl"/>
        </w:rPr>
      </w:pPr>
      <w:r w:rsidRPr="008D3EED">
        <w:rPr>
          <w:rFonts w:eastAsia="MS Mincho" w:cs="Arial"/>
          <w:sz w:val="22"/>
          <w:szCs w:val="22"/>
          <w:lang w:val="es-ES_tradnl"/>
        </w:rPr>
        <w:t>20</w:t>
      </w:r>
      <w:r w:rsidR="00992E43" w:rsidRPr="008D3EED">
        <w:rPr>
          <w:rFonts w:eastAsia="MS Mincho" w:cs="Arial"/>
          <w:sz w:val="22"/>
          <w:szCs w:val="22"/>
          <w:lang w:val="es-ES_tradnl"/>
        </w:rPr>
        <w:t>.</w:t>
      </w:r>
      <w:r w:rsidR="00992E43" w:rsidRPr="008D3EED">
        <w:rPr>
          <w:rFonts w:eastAsia="MS Mincho" w:cs="Arial"/>
          <w:sz w:val="22"/>
          <w:szCs w:val="22"/>
          <w:lang w:val="es-ES_tradnl"/>
        </w:rPr>
        <w:tab/>
      </w:r>
      <w:r w:rsidR="008D3EED" w:rsidRPr="008D3EED">
        <w:rPr>
          <w:rFonts w:eastAsia="MS Mincho" w:cs="Arial"/>
          <w:sz w:val="22"/>
          <w:szCs w:val="22"/>
          <w:lang w:val="es-ES_tradnl"/>
        </w:rPr>
        <w:t>En este contexto, el proceso de presentación de informes nacionales por las Partes</w:t>
      </w:r>
      <w:r w:rsidR="00BF4CED">
        <w:rPr>
          <w:rFonts w:eastAsia="MS Mincho" w:cs="Arial"/>
          <w:sz w:val="22"/>
          <w:szCs w:val="22"/>
          <w:lang w:val="es-ES_tradnl"/>
        </w:rPr>
        <w:t xml:space="preserve"> </w:t>
      </w:r>
      <w:r w:rsidR="006335AA">
        <w:rPr>
          <w:rFonts w:eastAsia="MS Mincho" w:cs="Arial"/>
          <w:sz w:val="22"/>
          <w:szCs w:val="22"/>
          <w:lang w:val="es-ES_tradnl"/>
        </w:rPr>
        <w:t>a</w:t>
      </w:r>
      <w:r w:rsidR="00BF4CED">
        <w:rPr>
          <w:rFonts w:eastAsia="MS Mincho" w:cs="Arial"/>
          <w:sz w:val="22"/>
          <w:szCs w:val="22"/>
          <w:lang w:val="es-ES_tradnl"/>
        </w:rPr>
        <w:t xml:space="preserve"> las reuniones de la COP podría desempeñar un papel fundamental a la hora de </w:t>
      </w:r>
      <w:r w:rsidR="006335AA">
        <w:rPr>
          <w:rFonts w:eastAsia="MS Mincho" w:cs="Arial"/>
          <w:sz w:val="22"/>
          <w:szCs w:val="22"/>
          <w:lang w:val="es-ES_tradnl"/>
        </w:rPr>
        <w:t>obtener</w:t>
      </w:r>
      <w:r w:rsidR="00BF4CED">
        <w:rPr>
          <w:rFonts w:eastAsia="MS Mincho" w:cs="Arial"/>
          <w:sz w:val="22"/>
          <w:szCs w:val="22"/>
          <w:lang w:val="es-ES_tradnl"/>
        </w:rPr>
        <w:t xml:space="preserve"> información sobre </w:t>
      </w:r>
      <w:r w:rsidR="00E3338C">
        <w:rPr>
          <w:rFonts w:eastAsia="MS Mincho" w:cs="Arial"/>
          <w:sz w:val="22"/>
          <w:szCs w:val="22"/>
          <w:lang w:val="es-ES_tradnl"/>
        </w:rPr>
        <w:t xml:space="preserve">los </w:t>
      </w:r>
      <w:r w:rsidR="00BF4CED">
        <w:rPr>
          <w:rFonts w:eastAsia="MS Mincho" w:cs="Arial"/>
          <w:sz w:val="22"/>
          <w:szCs w:val="22"/>
          <w:lang w:val="es-ES_tradnl"/>
        </w:rPr>
        <w:t xml:space="preserve">indicadores </w:t>
      </w:r>
      <w:r w:rsidR="006335AA">
        <w:rPr>
          <w:rFonts w:eastAsia="MS Mincho" w:cs="Arial"/>
          <w:sz w:val="22"/>
          <w:szCs w:val="22"/>
          <w:lang w:val="es-ES_tradnl"/>
        </w:rPr>
        <w:t xml:space="preserve">de </w:t>
      </w:r>
      <w:r w:rsidR="00E3338C">
        <w:rPr>
          <w:rFonts w:eastAsia="MS Mincho" w:cs="Arial"/>
          <w:sz w:val="22"/>
          <w:szCs w:val="22"/>
          <w:lang w:val="es-ES_tradnl"/>
        </w:rPr>
        <w:t xml:space="preserve">una </w:t>
      </w:r>
      <w:r w:rsidR="006335AA">
        <w:rPr>
          <w:rFonts w:eastAsia="MS Mincho" w:cs="Arial"/>
          <w:sz w:val="22"/>
          <w:szCs w:val="22"/>
          <w:lang w:val="es-ES_tradnl"/>
        </w:rPr>
        <w:t>manera más directa</w:t>
      </w:r>
      <w:r w:rsidR="00BF4CED">
        <w:rPr>
          <w:rFonts w:eastAsia="MS Mincho" w:cs="Arial"/>
          <w:sz w:val="22"/>
          <w:szCs w:val="22"/>
          <w:lang w:val="es-ES_tradnl"/>
        </w:rPr>
        <w:t xml:space="preserve">. A veces los informes nacionales pueden representar la única fuente </w:t>
      </w:r>
      <w:r w:rsidR="00E7132A">
        <w:rPr>
          <w:rFonts w:eastAsia="MS Mincho" w:cs="Arial"/>
          <w:sz w:val="22"/>
          <w:szCs w:val="22"/>
          <w:lang w:val="es-ES_tradnl"/>
        </w:rPr>
        <w:t xml:space="preserve">de información </w:t>
      </w:r>
      <w:r w:rsidR="00BF4CED">
        <w:rPr>
          <w:rFonts w:eastAsia="MS Mincho" w:cs="Arial"/>
          <w:sz w:val="22"/>
          <w:szCs w:val="22"/>
          <w:lang w:val="es-ES_tradnl"/>
        </w:rPr>
        <w:t xml:space="preserve">estandarizada </w:t>
      </w:r>
      <w:r w:rsidR="00E7132A">
        <w:rPr>
          <w:rFonts w:eastAsia="MS Mincho" w:cs="Arial"/>
          <w:sz w:val="22"/>
          <w:szCs w:val="22"/>
          <w:lang w:val="es-ES_tradnl"/>
        </w:rPr>
        <w:t>a nivel global</w:t>
      </w:r>
      <w:r w:rsidR="00BF4CED">
        <w:rPr>
          <w:rFonts w:eastAsia="MS Mincho" w:cs="Arial"/>
          <w:sz w:val="22"/>
          <w:szCs w:val="22"/>
          <w:lang w:val="es-ES_tradnl"/>
        </w:rPr>
        <w:t xml:space="preserve"> para un in</w:t>
      </w:r>
      <w:r w:rsidR="00E7132A">
        <w:rPr>
          <w:rFonts w:eastAsia="MS Mincho" w:cs="Arial"/>
          <w:sz w:val="22"/>
          <w:szCs w:val="22"/>
          <w:lang w:val="es-ES_tradnl"/>
        </w:rPr>
        <w:t>dicador dado que es viable y rentable en un futuro inmediato</w:t>
      </w:r>
      <w:r w:rsidR="00BF4CED">
        <w:rPr>
          <w:rFonts w:eastAsia="MS Mincho" w:cs="Arial"/>
          <w:sz w:val="22"/>
          <w:szCs w:val="22"/>
          <w:lang w:val="es-ES_tradnl"/>
        </w:rPr>
        <w:t>.</w:t>
      </w:r>
    </w:p>
    <w:p w14:paraId="62172136" w14:textId="77777777" w:rsidR="00992E43" w:rsidRPr="000B6F95" w:rsidRDefault="00992E43" w:rsidP="00231BE0">
      <w:pPr>
        <w:ind w:left="426" w:hanging="426"/>
        <w:jc w:val="both"/>
        <w:rPr>
          <w:rFonts w:eastAsia="MS Mincho" w:cs="Arial"/>
          <w:sz w:val="22"/>
          <w:szCs w:val="22"/>
          <w:lang w:val="es-ES_tradnl"/>
        </w:rPr>
      </w:pPr>
    </w:p>
    <w:p w14:paraId="3C55C8EF" w14:textId="4DDD9718" w:rsidR="00F84881" w:rsidRPr="000B6F95" w:rsidRDefault="00580C44" w:rsidP="00231BE0">
      <w:pPr>
        <w:ind w:left="426" w:hanging="426"/>
        <w:jc w:val="both"/>
        <w:rPr>
          <w:rFonts w:eastAsia="MS Mincho" w:cs="Arial"/>
          <w:sz w:val="22"/>
          <w:szCs w:val="22"/>
          <w:lang w:val="es-ES_tradnl"/>
        </w:rPr>
      </w:pPr>
      <w:r w:rsidRPr="000B6F95">
        <w:rPr>
          <w:rFonts w:eastAsia="MS Mincho" w:cs="Arial"/>
          <w:sz w:val="22"/>
          <w:szCs w:val="22"/>
          <w:lang w:val="es-ES_tradnl"/>
        </w:rPr>
        <w:t>21</w:t>
      </w:r>
      <w:r w:rsidR="00992E43" w:rsidRPr="000B6F95">
        <w:rPr>
          <w:rFonts w:eastAsia="MS Mincho" w:cs="Arial"/>
          <w:sz w:val="22"/>
          <w:szCs w:val="22"/>
          <w:lang w:val="es-ES_tradnl"/>
        </w:rPr>
        <w:t>.</w:t>
      </w:r>
      <w:r w:rsidR="00992E43" w:rsidRPr="000B6F95">
        <w:rPr>
          <w:rFonts w:eastAsia="MS Mincho" w:cs="Arial"/>
          <w:sz w:val="22"/>
          <w:szCs w:val="22"/>
          <w:lang w:val="es-ES_tradnl"/>
        </w:rPr>
        <w:tab/>
      </w:r>
      <w:r w:rsidR="000B6F95" w:rsidRPr="000B6F95">
        <w:rPr>
          <w:rFonts w:eastAsia="MS Mincho" w:cs="Arial"/>
          <w:sz w:val="22"/>
          <w:szCs w:val="22"/>
          <w:lang w:val="es-ES_tradnl"/>
        </w:rPr>
        <w:t>Sin embargo en muchos casos,</w:t>
      </w:r>
      <w:r w:rsidR="000B6F95">
        <w:rPr>
          <w:rFonts w:eastAsia="MS Mincho" w:cs="Arial"/>
          <w:sz w:val="22"/>
          <w:szCs w:val="22"/>
          <w:lang w:val="es-ES_tradnl"/>
        </w:rPr>
        <w:t xml:space="preserve"> algunas de las preguntas en el formato de presentación de informes nacionales no abordan</w:t>
      </w:r>
      <w:r w:rsidR="00A028B0">
        <w:rPr>
          <w:rFonts w:eastAsia="MS Mincho" w:cs="Arial"/>
          <w:sz w:val="22"/>
          <w:szCs w:val="22"/>
          <w:lang w:val="es-ES_tradnl"/>
        </w:rPr>
        <w:t xml:space="preserve"> las cuestiones específicas que podrían servir como base </w:t>
      </w:r>
      <w:r w:rsidR="005C05A9">
        <w:rPr>
          <w:rFonts w:eastAsia="MS Mincho" w:cs="Arial"/>
          <w:sz w:val="22"/>
          <w:szCs w:val="22"/>
          <w:lang w:val="es-ES_tradnl"/>
        </w:rPr>
        <w:t>para efectuar mediciones de</w:t>
      </w:r>
      <w:r w:rsidR="00A028B0">
        <w:rPr>
          <w:rFonts w:eastAsia="MS Mincho" w:cs="Arial"/>
          <w:sz w:val="22"/>
          <w:szCs w:val="22"/>
          <w:lang w:val="es-ES_tradnl"/>
        </w:rPr>
        <w:t xml:space="preserve"> las metas. Podría haber un potencial muy prometedor para </w:t>
      </w:r>
      <w:r w:rsidR="005C05A9">
        <w:rPr>
          <w:rFonts w:eastAsia="MS Mincho" w:cs="Arial"/>
          <w:sz w:val="22"/>
          <w:szCs w:val="22"/>
          <w:lang w:val="es-ES_tradnl"/>
        </w:rPr>
        <w:t>hacerlo, con bajo coste</w:t>
      </w:r>
      <w:r w:rsidR="00A028B0">
        <w:rPr>
          <w:rFonts w:eastAsia="MS Mincho" w:cs="Arial"/>
          <w:sz w:val="22"/>
          <w:szCs w:val="22"/>
          <w:lang w:val="es-ES_tradnl"/>
        </w:rPr>
        <w:t xml:space="preserve"> y con una optimización de la carga para las Partes, si se hicieran algunas enmiendas al formato</w:t>
      </w:r>
      <w:r w:rsidR="005132CB">
        <w:rPr>
          <w:rFonts w:eastAsia="MS Mincho" w:cs="Arial"/>
          <w:sz w:val="22"/>
          <w:szCs w:val="22"/>
          <w:lang w:val="es-ES_tradnl"/>
        </w:rPr>
        <w:t xml:space="preserve"> actual</w:t>
      </w:r>
      <w:r w:rsidR="00A028B0">
        <w:rPr>
          <w:rFonts w:eastAsia="MS Mincho" w:cs="Arial"/>
          <w:sz w:val="22"/>
          <w:szCs w:val="22"/>
          <w:lang w:val="es-ES_tradnl"/>
        </w:rPr>
        <w:t>.</w:t>
      </w:r>
    </w:p>
    <w:p w14:paraId="3F058F3D" w14:textId="77777777" w:rsidR="00651F77" w:rsidRPr="000B202A" w:rsidRDefault="00651F77" w:rsidP="00231BE0">
      <w:pPr>
        <w:ind w:left="426" w:hanging="426"/>
        <w:jc w:val="both"/>
        <w:rPr>
          <w:rFonts w:eastAsia="MS Mincho" w:cs="Arial"/>
          <w:sz w:val="22"/>
          <w:szCs w:val="22"/>
          <w:lang w:val="es-ES_tradnl"/>
        </w:rPr>
      </w:pPr>
    </w:p>
    <w:p w14:paraId="50312205" w14:textId="53431B5B" w:rsidR="000B202A" w:rsidRPr="000B202A" w:rsidRDefault="00580C44" w:rsidP="008809B8">
      <w:pPr>
        <w:pStyle w:val="Default"/>
        <w:ind w:left="426" w:hanging="426"/>
        <w:jc w:val="both"/>
        <w:rPr>
          <w:rFonts w:eastAsia="MS Mincho"/>
          <w:sz w:val="22"/>
          <w:szCs w:val="22"/>
          <w:lang w:val="es-ES_tradnl"/>
        </w:rPr>
      </w:pPr>
      <w:r w:rsidRPr="000B202A">
        <w:rPr>
          <w:rFonts w:eastAsia="MS Mincho"/>
          <w:sz w:val="22"/>
          <w:szCs w:val="22"/>
          <w:lang w:val="es-ES_tradnl"/>
        </w:rPr>
        <w:t>22</w:t>
      </w:r>
      <w:r w:rsidR="003A777F" w:rsidRPr="000B202A">
        <w:rPr>
          <w:rFonts w:eastAsia="MS Mincho"/>
          <w:sz w:val="22"/>
          <w:szCs w:val="22"/>
          <w:lang w:val="es-ES_tradnl"/>
        </w:rPr>
        <w:t>.</w:t>
      </w:r>
      <w:r w:rsidR="003A777F" w:rsidRPr="000B202A">
        <w:rPr>
          <w:rFonts w:eastAsia="MS Mincho"/>
          <w:sz w:val="22"/>
          <w:szCs w:val="22"/>
          <w:lang w:val="es-ES_tradnl"/>
        </w:rPr>
        <w:tab/>
      </w:r>
      <w:r w:rsidR="00741B70" w:rsidRPr="00741B70">
        <w:rPr>
          <w:rFonts w:eastAsia="MS Mincho"/>
          <w:sz w:val="22"/>
          <w:szCs w:val="22"/>
          <w:lang w:val="es-ES_tradnl"/>
        </w:rPr>
        <w:t xml:space="preserve">Como solicita </w:t>
      </w:r>
      <w:r w:rsidR="000B202A" w:rsidRPr="00741B70">
        <w:rPr>
          <w:rFonts w:eastAsia="MS Mincho"/>
          <w:sz w:val="22"/>
          <w:szCs w:val="22"/>
          <w:lang w:val="es-ES_tradnl"/>
        </w:rPr>
        <w:t xml:space="preserve">la Resolución 11.2 </w:t>
      </w:r>
      <w:r w:rsidR="000B202A" w:rsidRPr="00741B70">
        <w:rPr>
          <w:sz w:val="22"/>
          <w:szCs w:val="22"/>
          <w:lang w:val="es-ES_tradnl"/>
        </w:rPr>
        <w:t xml:space="preserve">§11, la Secretaría consideró </w:t>
      </w:r>
      <w:r w:rsidR="002A29DD">
        <w:rPr>
          <w:sz w:val="22"/>
          <w:szCs w:val="22"/>
          <w:lang w:val="es-ES_tradnl"/>
        </w:rPr>
        <w:t xml:space="preserve">realizar </w:t>
      </w:r>
      <w:r w:rsidR="000B202A" w:rsidRPr="00741B70">
        <w:rPr>
          <w:sz w:val="22"/>
          <w:szCs w:val="22"/>
          <w:lang w:val="es-ES_tradnl"/>
        </w:rPr>
        <w:t>enmiendas al formato para los informes nacionales en lo</w:t>
      </w:r>
      <w:r w:rsidR="002A29DD">
        <w:rPr>
          <w:sz w:val="22"/>
          <w:szCs w:val="22"/>
          <w:lang w:val="es-ES_tradnl"/>
        </w:rPr>
        <w:t xml:space="preserve"> que respecta a la evaluación d</w:t>
      </w:r>
      <w:r w:rsidR="000B202A" w:rsidRPr="00741B70">
        <w:rPr>
          <w:sz w:val="22"/>
          <w:szCs w:val="22"/>
          <w:lang w:val="es-ES_tradnl"/>
        </w:rPr>
        <w:t>e</w:t>
      </w:r>
      <w:r w:rsidR="002A29DD">
        <w:rPr>
          <w:sz w:val="22"/>
          <w:szCs w:val="22"/>
          <w:lang w:val="es-ES_tradnl"/>
        </w:rPr>
        <w:t xml:space="preserve"> </w:t>
      </w:r>
      <w:r w:rsidR="000B202A" w:rsidRPr="00741B70">
        <w:rPr>
          <w:sz w:val="22"/>
          <w:szCs w:val="22"/>
          <w:lang w:val="es-ES_tradnl"/>
        </w:rPr>
        <w:t xml:space="preserve">la implementación del </w:t>
      </w:r>
      <w:r w:rsidR="00002F5C">
        <w:rPr>
          <w:sz w:val="22"/>
          <w:szCs w:val="22"/>
          <w:lang w:val="es-ES_tradnl"/>
        </w:rPr>
        <w:t>SPMS</w:t>
      </w:r>
      <w:r w:rsidR="000B202A" w:rsidRPr="00741B70">
        <w:rPr>
          <w:sz w:val="22"/>
          <w:szCs w:val="22"/>
          <w:lang w:val="es-ES_tradnl"/>
        </w:rPr>
        <w:t xml:space="preserve"> y aquellos indicadores para los cuales los informes nacionales se han identificado como una fuente potencial de información</w:t>
      </w:r>
      <w:r w:rsidR="006C7522">
        <w:rPr>
          <w:sz w:val="22"/>
          <w:szCs w:val="22"/>
          <w:lang w:val="es-ES_tradnl"/>
        </w:rPr>
        <w:t xml:space="preserve"> importante</w:t>
      </w:r>
      <w:r w:rsidR="000B202A" w:rsidRPr="00741B70">
        <w:rPr>
          <w:sz w:val="22"/>
          <w:szCs w:val="22"/>
          <w:lang w:val="es-ES_tradnl"/>
        </w:rPr>
        <w:t>. Este tema se trata en detalle en la propuesta sobre la revisión del Formato de Informes Nacionales presentada en el punto 19.2 d</w:t>
      </w:r>
      <w:r w:rsidR="00706FBE">
        <w:rPr>
          <w:sz w:val="22"/>
          <w:szCs w:val="22"/>
          <w:lang w:val="es-ES_tradnl"/>
        </w:rPr>
        <w:t>el orden del día de la COP12 con</w:t>
      </w:r>
      <w:r w:rsidR="000B202A" w:rsidRPr="00741B70">
        <w:rPr>
          <w:sz w:val="22"/>
          <w:szCs w:val="22"/>
          <w:lang w:val="es-ES_tradnl"/>
        </w:rPr>
        <w:t xml:space="preserve"> el documento </w:t>
      </w:r>
      <w:r w:rsidR="000B202A" w:rsidRPr="00741B70">
        <w:rPr>
          <w:rFonts w:eastAsia="MS Mincho"/>
          <w:sz w:val="22"/>
          <w:szCs w:val="22"/>
          <w:lang w:val="es-ES_tradnl"/>
        </w:rPr>
        <w:t>CMS/COP12/Doc.19.2.</w:t>
      </w:r>
      <w:r w:rsidR="000B202A">
        <w:rPr>
          <w:rFonts w:eastAsia="MS Mincho"/>
          <w:sz w:val="22"/>
          <w:szCs w:val="22"/>
          <w:lang w:val="es-ES_tradnl"/>
        </w:rPr>
        <w:t xml:space="preserve"> La propuesta </w:t>
      </w:r>
      <w:r w:rsidR="009B2FEB">
        <w:rPr>
          <w:rFonts w:eastAsia="MS Mincho"/>
          <w:sz w:val="22"/>
          <w:szCs w:val="22"/>
          <w:lang w:val="es-ES_tradnl"/>
        </w:rPr>
        <w:t xml:space="preserve">pretende conseguir una optimización neta de los requerimientos </w:t>
      </w:r>
      <w:r w:rsidR="0081651A">
        <w:rPr>
          <w:rFonts w:eastAsia="MS Mincho"/>
          <w:sz w:val="22"/>
          <w:szCs w:val="22"/>
          <w:lang w:val="es-ES_tradnl"/>
        </w:rPr>
        <w:t>de</w:t>
      </w:r>
      <w:r w:rsidR="009B2FEB">
        <w:rPr>
          <w:rFonts w:eastAsia="MS Mincho"/>
          <w:sz w:val="22"/>
          <w:szCs w:val="22"/>
          <w:lang w:val="es-ES_tradnl"/>
        </w:rPr>
        <w:t xml:space="preserve"> la presentación de informes (la mayoría de las sugerencias relativas a las metas del </w:t>
      </w:r>
      <w:r w:rsidR="00002F5C">
        <w:rPr>
          <w:rFonts w:eastAsia="MS Mincho"/>
          <w:sz w:val="22"/>
          <w:szCs w:val="22"/>
          <w:lang w:val="es-ES_tradnl"/>
        </w:rPr>
        <w:t>SPMS</w:t>
      </w:r>
      <w:r w:rsidR="009B2FEB">
        <w:rPr>
          <w:rFonts w:eastAsia="MS Mincho"/>
          <w:sz w:val="22"/>
          <w:szCs w:val="22"/>
          <w:lang w:val="es-ES_tradnl"/>
        </w:rPr>
        <w:t xml:space="preserve"> resultarían en una reducción de las preguntas existentes o </w:t>
      </w:r>
      <w:r w:rsidR="0081651A">
        <w:rPr>
          <w:rFonts w:eastAsia="MS Mincho"/>
          <w:sz w:val="22"/>
          <w:szCs w:val="22"/>
          <w:lang w:val="es-ES_tradnl"/>
        </w:rPr>
        <w:t xml:space="preserve">en </w:t>
      </w:r>
      <w:r w:rsidR="009B2FEB">
        <w:rPr>
          <w:rFonts w:eastAsia="MS Mincho"/>
          <w:sz w:val="22"/>
          <w:szCs w:val="22"/>
          <w:lang w:val="es-ES_tradnl"/>
        </w:rPr>
        <w:t xml:space="preserve">ningún cambio) y al mismo tiempo pretende apoyar el </w:t>
      </w:r>
      <w:r w:rsidR="0081651A">
        <w:rPr>
          <w:rFonts w:eastAsia="MS Mincho"/>
          <w:sz w:val="22"/>
          <w:szCs w:val="22"/>
          <w:lang w:val="es-ES_tradnl"/>
        </w:rPr>
        <w:t>monitoreo</w:t>
      </w:r>
      <w:r w:rsidR="009B2FEB">
        <w:rPr>
          <w:rFonts w:eastAsia="MS Mincho"/>
          <w:sz w:val="22"/>
          <w:szCs w:val="22"/>
          <w:lang w:val="es-ES_tradnl"/>
        </w:rPr>
        <w:t xml:space="preserve"> del </w:t>
      </w:r>
      <w:r w:rsidR="00002F5C">
        <w:rPr>
          <w:rFonts w:eastAsia="MS Mincho"/>
          <w:sz w:val="22"/>
          <w:szCs w:val="22"/>
          <w:lang w:val="es-ES_tradnl"/>
        </w:rPr>
        <w:t>SPMS</w:t>
      </w:r>
      <w:r w:rsidR="009B2FEB">
        <w:rPr>
          <w:rFonts w:eastAsia="MS Mincho"/>
          <w:sz w:val="22"/>
          <w:szCs w:val="22"/>
          <w:lang w:val="es-ES_tradnl"/>
        </w:rPr>
        <w:t xml:space="preserve">. </w:t>
      </w:r>
      <w:r w:rsidR="0081651A">
        <w:rPr>
          <w:rFonts w:eastAsia="MS Mincho"/>
          <w:sz w:val="22"/>
          <w:szCs w:val="22"/>
          <w:lang w:val="es-ES_tradnl"/>
        </w:rPr>
        <w:t>En consonancia</w:t>
      </w:r>
      <w:r w:rsidR="009B2FEB">
        <w:rPr>
          <w:rFonts w:eastAsia="MS Mincho"/>
          <w:sz w:val="22"/>
          <w:szCs w:val="22"/>
          <w:lang w:val="es-ES_tradnl"/>
        </w:rPr>
        <w:t xml:space="preserve"> con la solicitud de la COP11, la propuesta bajo el punto 19.2 del orden del día tiene por objetivo incrementar la importancia de los Informes Nacionales </w:t>
      </w:r>
      <w:r w:rsidR="00125F98">
        <w:rPr>
          <w:rFonts w:eastAsia="MS Mincho"/>
          <w:sz w:val="22"/>
          <w:szCs w:val="22"/>
          <w:lang w:val="es-ES_tradnl"/>
        </w:rPr>
        <w:t xml:space="preserve">para medir </w:t>
      </w:r>
      <w:r w:rsidR="009B2FEB">
        <w:rPr>
          <w:rFonts w:eastAsia="MS Mincho"/>
          <w:sz w:val="22"/>
          <w:szCs w:val="22"/>
          <w:lang w:val="es-ES_tradnl"/>
        </w:rPr>
        <w:t xml:space="preserve">el progreso </w:t>
      </w:r>
      <w:r w:rsidR="00125F98">
        <w:rPr>
          <w:rFonts w:eastAsia="MS Mincho"/>
          <w:sz w:val="22"/>
          <w:szCs w:val="22"/>
          <w:lang w:val="es-ES_tradnl"/>
        </w:rPr>
        <w:t xml:space="preserve">realizado </w:t>
      </w:r>
      <w:r w:rsidR="009B2FEB">
        <w:rPr>
          <w:rFonts w:eastAsia="MS Mincho"/>
          <w:sz w:val="22"/>
          <w:szCs w:val="22"/>
          <w:lang w:val="es-ES_tradnl"/>
        </w:rPr>
        <w:t>hacia la consecución de los objetivos de la Convención</w:t>
      </w:r>
      <w:r w:rsidR="00126709">
        <w:rPr>
          <w:rFonts w:eastAsia="MS Mincho"/>
          <w:sz w:val="22"/>
          <w:szCs w:val="22"/>
          <w:lang w:val="es-ES_tradnl"/>
        </w:rPr>
        <w:t>,</w:t>
      </w:r>
      <w:r w:rsidR="009B2FEB">
        <w:rPr>
          <w:rFonts w:eastAsia="MS Mincho"/>
          <w:sz w:val="22"/>
          <w:szCs w:val="22"/>
          <w:lang w:val="es-ES_tradnl"/>
        </w:rPr>
        <w:t xml:space="preserve"> sin i</w:t>
      </w:r>
      <w:r w:rsidR="008809B8">
        <w:rPr>
          <w:rFonts w:eastAsia="MS Mincho"/>
          <w:sz w:val="22"/>
          <w:szCs w:val="22"/>
          <w:lang w:val="es-ES_tradnl"/>
        </w:rPr>
        <w:t>ncrementar la ca</w:t>
      </w:r>
      <w:r w:rsidR="005F0A77">
        <w:rPr>
          <w:rFonts w:eastAsia="MS Mincho"/>
          <w:sz w:val="22"/>
          <w:szCs w:val="22"/>
          <w:lang w:val="es-ES_tradnl"/>
        </w:rPr>
        <w:t>rga de trabajo para</w:t>
      </w:r>
      <w:r w:rsidR="009B2FEB">
        <w:rPr>
          <w:rFonts w:eastAsia="MS Mincho"/>
          <w:sz w:val="22"/>
          <w:szCs w:val="22"/>
          <w:lang w:val="es-ES_tradnl"/>
        </w:rPr>
        <w:t xml:space="preserve"> las Partes.</w:t>
      </w:r>
    </w:p>
    <w:p w14:paraId="50F55977" w14:textId="77777777" w:rsidR="00C94515" w:rsidRPr="00DF201F" w:rsidRDefault="00C94515" w:rsidP="00231BE0">
      <w:pPr>
        <w:ind w:left="426" w:hanging="426"/>
        <w:jc w:val="both"/>
        <w:rPr>
          <w:rFonts w:eastAsia="MS Mincho" w:cs="Arial"/>
          <w:sz w:val="22"/>
          <w:szCs w:val="22"/>
          <w:lang w:val="es-ES_tradnl" w:eastAsia="ja-JP"/>
        </w:rPr>
      </w:pPr>
    </w:p>
    <w:p w14:paraId="6BE26350" w14:textId="625F890E" w:rsidR="00DF201F" w:rsidRPr="00DF201F" w:rsidRDefault="004E1148" w:rsidP="001248FF">
      <w:pPr>
        <w:ind w:left="426" w:hanging="426"/>
        <w:jc w:val="both"/>
        <w:rPr>
          <w:rFonts w:eastAsia="MS Mincho" w:cs="Arial"/>
          <w:sz w:val="22"/>
          <w:szCs w:val="22"/>
          <w:lang w:val="es-ES_tradnl" w:eastAsia="ja-JP"/>
        </w:rPr>
      </w:pPr>
      <w:r w:rsidRPr="00DF201F">
        <w:rPr>
          <w:rFonts w:eastAsia="MS Mincho" w:cs="Arial"/>
          <w:sz w:val="22"/>
          <w:szCs w:val="22"/>
          <w:lang w:val="es-ES_tradnl" w:eastAsia="ja-JP"/>
        </w:rPr>
        <w:t>2</w:t>
      </w:r>
      <w:r w:rsidR="00580C44" w:rsidRPr="00DF201F">
        <w:rPr>
          <w:rFonts w:eastAsia="MS Mincho" w:cs="Arial"/>
          <w:sz w:val="22"/>
          <w:szCs w:val="22"/>
          <w:lang w:val="es-ES_tradnl" w:eastAsia="ja-JP"/>
        </w:rPr>
        <w:t>3</w:t>
      </w:r>
      <w:r w:rsidR="00992E43" w:rsidRPr="00DF201F">
        <w:rPr>
          <w:rFonts w:eastAsia="MS Mincho" w:cs="Arial"/>
          <w:sz w:val="22"/>
          <w:szCs w:val="22"/>
          <w:lang w:val="es-ES_tradnl" w:eastAsia="ja-JP"/>
        </w:rPr>
        <w:t>.</w:t>
      </w:r>
      <w:r w:rsidR="00992E43" w:rsidRPr="00DF201F">
        <w:rPr>
          <w:rFonts w:eastAsia="MS Mincho" w:cs="Arial"/>
          <w:sz w:val="22"/>
          <w:szCs w:val="22"/>
          <w:lang w:val="es-ES_tradnl" w:eastAsia="ja-JP"/>
        </w:rPr>
        <w:tab/>
      </w:r>
      <w:r w:rsidR="00FB4089">
        <w:rPr>
          <w:rFonts w:eastAsia="MS Mincho" w:cs="Arial"/>
          <w:sz w:val="22"/>
          <w:szCs w:val="22"/>
          <w:lang w:val="es-ES_tradnl" w:eastAsia="ja-JP"/>
        </w:rPr>
        <w:t xml:space="preserve">El </w:t>
      </w:r>
      <w:r w:rsidR="008C0497">
        <w:rPr>
          <w:rFonts w:eastAsia="MS Mincho" w:cs="Arial"/>
          <w:sz w:val="22"/>
          <w:szCs w:val="22"/>
          <w:lang w:val="es-ES_tradnl" w:eastAsia="ja-JP"/>
        </w:rPr>
        <w:t>SPWG</w:t>
      </w:r>
      <w:r w:rsidR="00FB4089">
        <w:rPr>
          <w:rFonts w:eastAsia="MS Mincho" w:cs="Arial"/>
          <w:sz w:val="22"/>
          <w:szCs w:val="22"/>
          <w:lang w:val="es-ES_tradnl" w:eastAsia="ja-JP"/>
        </w:rPr>
        <w:t xml:space="preserve"> ha elaborado un paquete</w:t>
      </w:r>
      <w:r w:rsidR="00FB4089" w:rsidRPr="00DF201F">
        <w:rPr>
          <w:rFonts w:eastAsia="MS Mincho" w:cs="Arial"/>
          <w:sz w:val="22"/>
          <w:szCs w:val="22"/>
          <w:lang w:val="es-ES_tradnl" w:eastAsia="ja-JP"/>
        </w:rPr>
        <w:t xml:space="preserve"> de</w:t>
      </w:r>
      <w:r w:rsidR="00FB4089">
        <w:rPr>
          <w:rFonts w:eastAsia="MS Mincho" w:cs="Arial"/>
          <w:sz w:val="22"/>
          <w:szCs w:val="22"/>
          <w:lang w:val="es-ES_tradnl" w:eastAsia="ja-JP"/>
        </w:rPr>
        <w:t xml:space="preserve"> “</w:t>
      </w:r>
      <w:r w:rsidR="00D95517">
        <w:rPr>
          <w:rFonts w:eastAsia="MS Mincho" w:cs="Arial"/>
          <w:sz w:val="22"/>
          <w:szCs w:val="22"/>
          <w:lang w:val="es-ES_tradnl" w:eastAsia="ja-JP"/>
        </w:rPr>
        <w:t>fichas técnicas</w:t>
      </w:r>
      <w:r w:rsidR="00FB4089">
        <w:rPr>
          <w:rFonts w:eastAsia="MS Mincho" w:cs="Arial"/>
          <w:sz w:val="22"/>
          <w:szCs w:val="22"/>
          <w:lang w:val="es-ES_tradnl" w:eastAsia="ja-JP"/>
        </w:rPr>
        <w:t xml:space="preserve">” sobre los indicadores para las metas del </w:t>
      </w:r>
      <w:r w:rsidR="00002F5C">
        <w:rPr>
          <w:rFonts w:eastAsia="MS Mincho" w:cs="Arial"/>
          <w:sz w:val="22"/>
          <w:szCs w:val="22"/>
          <w:lang w:val="es-ES_tradnl" w:eastAsia="ja-JP"/>
        </w:rPr>
        <w:t>SPMS</w:t>
      </w:r>
      <w:r w:rsidR="00FB4089">
        <w:rPr>
          <w:rFonts w:eastAsia="MS Mincho" w:cs="Arial"/>
          <w:sz w:val="22"/>
          <w:szCs w:val="22"/>
          <w:lang w:val="es-ES_tradnl" w:eastAsia="ja-JP"/>
        </w:rPr>
        <w:t xml:space="preserve">, basándose en los comentarios del Comité Permanente y Comité Científico de la CMS, así como a través de otras consultas, incluyendo dos consultas públicas entre abril y agosto de 2016 y entre marzo y junio de 2017. </w:t>
      </w:r>
      <w:r w:rsidR="002138B0">
        <w:rPr>
          <w:rFonts w:eastAsia="MS Mincho" w:cs="Arial"/>
          <w:sz w:val="22"/>
          <w:szCs w:val="22"/>
          <w:lang w:val="es-ES_tradnl" w:eastAsia="ja-JP"/>
        </w:rPr>
        <w:t xml:space="preserve">En </w:t>
      </w:r>
      <w:r w:rsidR="00103D85">
        <w:rPr>
          <w:rFonts w:eastAsia="MS Mincho" w:cs="Arial"/>
          <w:sz w:val="22"/>
          <w:szCs w:val="22"/>
          <w:lang w:val="es-ES_tradnl" w:eastAsia="ja-JP"/>
        </w:rPr>
        <w:t>respuesta al mandato recibido de</w:t>
      </w:r>
      <w:r w:rsidR="002138B0">
        <w:rPr>
          <w:rFonts w:eastAsia="MS Mincho" w:cs="Arial"/>
          <w:sz w:val="22"/>
          <w:szCs w:val="22"/>
          <w:lang w:val="es-ES_tradnl" w:eastAsia="ja-JP"/>
        </w:rPr>
        <w:t xml:space="preserve"> la COP11, el </w:t>
      </w:r>
      <w:r w:rsidR="008C0497">
        <w:rPr>
          <w:rFonts w:eastAsia="MS Mincho" w:cs="Arial"/>
          <w:sz w:val="22"/>
          <w:szCs w:val="22"/>
          <w:lang w:val="es-ES_tradnl" w:eastAsia="ja-JP"/>
        </w:rPr>
        <w:t>SPWG</w:t>
      </w:r>
      <w:r w:rsidR="002138B0">
        <w:rPr>
          <w:rFonts w:eastAsia="MS Mincho" w:cs="Arial"/>
          <w:sz w:val="22"/>
          <w:szCs w:val="22"/>
          <w:lang w:val="es-ES_tradnl" w:eastAsia="ja-JP"/>
        </w:rPr>
        <w:t xml:space="preserve"> consideró importa</w:t>
      </w:r>
      <w:r w:rsidR="006A7808">
        <w:rPr>
          <w:rFonts w:eastAsia="MS Mincho" w:cs="Arial"/>
          <w:sz w:val="22"/>
          <w:szCs w:val="22"/>
          <w:lang w:val="es-ES_tradnl" w:eastAsia="ja-JP"/>
        </w:rPr>
        <w:t>nte capt</w:t>
      </w:r>
      <w:r w:rsidR="006A13AA">
        <w:rPr>
          <w:rFonts w:eastAsia="MS Mincho" w:cs="Arial"/>
          <w:sz w:val="22"/>
          <w:szCs w:val="22"/>
          <w:lang w:val="es-ES_tradnl" w:eastAsia="ja-JP"/>
        </w:rPr>
        <w:t xml:space="preserve">urar todo el razonamiento base </w:t>
      </w:r>
      <w:r w:rsidR="006A7808">
        <w:rPr>
          <w:rFonts w:eastAsia="MS Mincho" w:cs="Arial"/>
          <w:sz w:val="22"/>
          <w:szCs w:val="22"/>
          <w:lang w:val="es-ES_tradnl" w:eastAsia="ja-JP"/>
        </w:rPr>
        <w:t xml:space="preserve">e información previa tanto </w:t>
      </w:r>
      <w:r w:rsidR="002138B0">
        <w:rPr>
          <w:rFonts w:eastAsia="MS Mincho" w:cs="Arial"/>
          <w:sz w:val="22"/>
          <w:szCs w:val="22"/>
          <w:lang w:val="es-ES_tradnl" w:eastAsia="ja-JP"/>
        </w:rPr>
        <w:t xml:space="preserve">para la </w:t>
      </w:r>
      <w:r w:rsidR="006A7808">
        <w:rPr>
          <w:rFonts w:eastAsia="MS Mincho" w:cs="Arial"/>
          <w:sz w:val="22"/>
          <w:szCs w:val="22"/>
          <w:lang w:val="es-ES_tradnl" w:eastAsia="ja-JP"/>
        </w:rPr>
        <w:t>obtención</w:t>
      </w:r>
      <w:r w:rsidR="002138B0">
        <w:rPr>
          <w:rFonts w:eastAsia="MS Mincho" w:cs="Arial"/>
          <w:sz w:val="22"/>
          <w:szCs w:val="22"/>
          <w:lang w:val="es-ES_tradnl" w:eastAsia="ja-JP"/>
        </w:rPr>
        <w:t xml:space="preserve"> de datos como para el uso de indicadores en el </w:t>
      </w:r>
      <w:r w:rsidR="006A7808">
        <w:rPr>
          <w:rFonts w:eastAsia="MS Mincho" w:cs="Arial"/>
          <w:sz w:val="22"/>
          <w:szCs w:val="22"/>
          <w:lang w:val="es-ES_tradnl" w:eastAsia="ja-JP"/>
        </w:rPr>
        <w:t>monitoreo</w:t>
      </w:r>
      <w:r w:rsidR="002138B0">
        <w:rPr>
          <w:rFonts w:eastAsia="MS Mincho" w:cs="Arial"/>
          <w:sz w:val="22"/>
          <w:szCs w:val="22"/>
          <w:lang w:val="es-ES_tradnl" w:eastAsia="ja-JP"/>
        </w:rPr>
        <w:t xml:space="preserve"> del </w:t>
      </w:r>
      <w:r w:rsidR="00002F5C">
        <w:rPr>
          <w:rFonts w:eastAsia="MS Mincho" w:cs="Arial"/>
          <w:sz w:val="22"/>
          <w:szCs w:val="22"/>
          <w:lang w:val="es-ES_tradnl" w:eastAsia="ja-JP"/>
        </w:rPr>
        <w:t>SPMS</w:t>
      </w:r>
      <w:r w:rsidR="002138B0">
        <w:rPr>
          <w:rFonts w:eastAsia="MS Mincho" w:cs="Arial"/>
          <w:sz w:val="22"/>
          <w:szCs w:val="22"/>
          <w:lang w:val="es-ES_tradnl" w:eastAsia="ja-JP"/>
        </w:rPr>
        <w:t xml:space="preserve">. Esta información fue </w:t>
      </w:r>
      <w:r w:rsidR="006A7808">
        <w:rPr>
          <w:rFonts w:eastAsia="MS Mincho" w:cs="Arial"/>
          <w:sz w:val="22"/>
          <w:szCs w:val="22"/>
          <w:lang w:val="es-ES_tradnl" w:eastAsia="ja-JP"/>
        </w:rPr>
        <w:t>desarrollada</w:t>
      </w:r>
      <w:r w:rsidR="002138B0">
        <w:rPr>
          <w:rFonts w:eastAsia="MS Mincho" w:cs="Arial"/>
          <w:sz w:val="22"/>
          <w:szCs w:val="22"/>
          <w:lang w:val="es-ES_tradnl" w:eastAsia="ja-JP"/>
        </w:rPr>
        <w:t xml:space="preserve"> para </w:t>
      </w:r>
      <w:r w:rsidR="006A7808">
        <w:rPr>
          <w:rFonts w:eastAsia="MS Mincho" w:cs="Arial"/>
          <w:sz w:val="22"/>
          <w:szCs w:val="22"/>
          <w:lang w:val="es-ES_tradnl" w:eastAsia="ja-JP"/>
        </w:rPr>
        <w:t xml:space="preserve">cada </w:t>
      </w:r>
      <w:r w:rsidR="002138B0">
        <w:rPr>
          <w:rFonts w:eastAsia="MS Mincho" w:cs="Arial"/>
          <w:sz w:val="22"/>
          <w:szCs w:val="22"/>
          <w:lang w:val="es-ES_tradnl" w:eastAsia="ja-JP"/>
        </w:rPr>
        <w:t xml:space="preserve">meta y </w:t>
      </w:r>
      <w:r w:rsidR="006A7808">
        <w:rPr>
          <w:rFonts w:eastAsia="MS Mincho" w:cs="Arial"/>
          <w:sz w:val="22"/>
          <w:szCs w:val="22"/>
          <w:lang w:val="es-ES_tradnl" w:eastAsia="ja-JP"/>
        </w:rPr>
        <w:t>se ha incluido</w:t>
      </w:r>
      <w:r w:rsidR="002138B0">
        <w:rPr>
          <w:rFonts w:eastAsia="MS Mincho" w:cs="Arial"/>
          <w:sz w:val="22"/>
          <w:szCs w:val="22"/>
          <w:lang w:val="es-ES_tradnl" w:eastAsia="ja-JP"/>
        </w:rPr>
        <w:t xml:space="preserve"> en las </w:t>
      </w:r>
      <w:r w:rsidR="00D95517">
        <w:rPr>
          <w:rFonts w:eastAsia="MS Mincho" w:cs="Arial"/>
          <w:sz w:val="22"/>
          <w:szCs w:val="22"/>
          <w:lang w:val="es-ES_tradnl" w:eastAsia="ja-JP"/>
        </w:rPr>
        <w:t>fichas</w:t>
      </w:r>
      <w:r w:rsidR="002138B0">
        <w:rPr>
          <w:rFonts w:eastAsia="MS Mincho" w:cs="Arial"/>
          <w:sz w:val="22"/>
          <w:szCs w:val="22"/>
          <w:lang w:val="es-ES_tradnl" w:eastAsia="ja-JP"/>
        </w:rPr>
        <w:t xml:space="preserve"> </w:t>
      </w:r>
      <w:r w:rsidR="00D95517">
        <w:rPr>
          <w:rFonts w:eastAsia="MS Mincho" w:cs="Arial"/>
          <w:sz w:val="22"/>
          <w:szCs w:val="22"/>
          <w:lang w:val="es-ES_tradnl" w:eastAsia="ja-JP"/>
        </w:rPr>
        <w:t>técnicas</w:t>
      </w:r>
      <w:r w:rsidR="002138B0">
        <w:rPr>
          <w:rFonts w:eastAsia="MS Mincho" w:cs="Arial"/>
          <w:sz w:val="22"/>
          <w:szCs w:val="22"/>
          <w:lang w:val="es-ES_tradnl" w:eastAsia="ja-JP"/>
        </w:rPr>
        <w:t xml:space="preserve"> individuales. </w:t>
      </w:r>
      <w:r w:rsidR="006A7808">
        <w:rPr>
          <w:rFonts w:eastAsia="MS Mincho" w:cs="Arial"/>
          <w:sz w:val="22"/>
          <w:szCs w:val="22"/>
          <w:lang w:val="es-ES_tradnl" w:eastAsia="ja-JP"/>
        </w:rPr>
        <w:t>Cuando llegue el momento</w:t>
      </w:r>
      <w:r w:rsidR="002138B0">
        <w:rPr>
          <w:rFonts w:eastAsia="MS Mincho" w:cs="Arial"/>
          <w:sz w:val="22"/>
          <w:szCs w:val="22"/>
          <w:lang w:val="es-ES_tradnl" w:eastAsia="ja-JP"/>
        </w:rPr>
        <w:t xml:space="preserve"> los indicadores y otras partes </w:t>
      </w:r>
      <w:r w:rsidR="006A7808">
        <w:rPr>
          <w:rFonts w:eastAsia="MS Mincho" w:cs="Arial"/>
          <w:sz w:val="22"/>
          <w:szCs w:val="22"/>
          <w:lang w:val="es-ES_tradnl" w:eastAsia="ja-JP"/>
        </w:rPr>
        <w:t>pertinentes</w:t>
      </w:r>
      <w:r w:rsidR="002138B0">
        <w:rPr>
          <w:rFonts w:eastAsia="MS Mincho" w:cs="Arial"/>
          <w:sz w:val="22"/>
          <w:szCs w:val="22"/>
          <w:lang w:val="es-ES_tradnl" w:eastAsia="ja-JP"/>
        </w:rPr>
        <w:t xml:space="preserve"> de las </w:t>
      </w:r>
      <w:r w:rsidR="00D95517">
        <w:rPr>
          <w:rFonts w:eastAsia="MS Mincho" w:cs="Arial"/>
          <w:sz w:val="22"/>
          <w:szCs w:val="22"/>
          <w:lang w:val="es-ES_tradnl" w:eastAsia="ja-JP"/>
        </w:rPr>
        <w:t>fichas técnicas</w:t>
      </w:r>
      <w:r w:rsidR="002138B0">
        <w:rPr>
          <w:rFonts w:eastAsia="MS Mincho" w:cs="Arial"/>
          <w:sz w:val="22"/>
          <w:szCs w:val="22"/>
          <w:lang w:val="es-ES_tradnl" w:eastAsia="ja-JP"/>
        </w:rPr>
        <w:t xml:space="preserve"> contribuirán a la sección “monitoreo y evaluación” del Volumen Complementario </w:t>
      </w:r>
      <w:r w:rsidR="00D95517">
        <w:rPr>
          <w:rFonts w:eastAsia="MS Mincho" w:cs="Arial"/>
          <w:sz w:val="22"/>
          <w:szCs w:val="22"/>
          <w:lang w:val="es-ES_tradnl" w:eastAsia="ja-JP"/>
        </w:rPr>
        <w:t>para el</w:t>
      </w:r>
      <w:r w:rsidR="002138B0">
        <w:rPr>
          <w:rFonts w:eastAsia="MS Mincho" w:cs="Arial"/>
          <w:sz w:val="22"/>
          <w:szCs w:val="22"/>
          <w:lang w:val="es-ES_tradnl" w:eastAsia="ja-JP"/>
        </w:rPr>
        <w:t xml:space="preserve"> Plan Estratégico descrito anteriormente.</w:t>
      </w:r>
    </w:p>
    <w:p w14:paraId="2AE6D987" w14:textId="77777777" w:rsidR="00E435C3" w:rsidRPr="00DB6786" w:rsidRDefault="00E435C3" w:rsidP="00231BE0">
      <w:pPr>
        <w:ind w:left="426" w:hanging="426"/>
        <w:jc w:val="both"/>
        <w:rPr>
          <w:rFonts w:eastAsia="MS Mincho" w:cs="Arial"/>
          <w:sz w:val="22"/>
          <w:szCs w:val="22"/>
          <w:lang w:val="es-ES_tradnl"/>
        </w:rPr>
      </w:pPr>
    </w:p>
    <w:p w14:paraId="5106C038" w14:textId="003A8F03" w:rsidR="00DB6786" w:rsidRPr="00DB6786" w:rsidRDefault="00580C44" w:rsidP="00231BE0">
      <w:pPr>
        <w:ind w:left="426" w:hanging="426"/>
        <w:jc w:val="both"/>
        <w:rPr>
          <w:rFonts w:eastAsia="MS Mincho" w:cs="Arial"/>
          <w:sz w:val="22"/>
          <w:szCs w:val="22"/>
          <w:lang w:val="es-ES_tradnl"/>
        </w:rPr>
      </w:pPr>
      <w:r w:rsidRPr="00DB6786">
        <w:rPr>
          <w:rFonts w:eastAsia="MS Mincho" w:cs="Arial"/>
          <w:sz w:val="22"/>
          <w:szCs w:val="22"/>
          <w:lang w:val="es-ES_tradnl"/>
        </w:rPr>
        <w:t>24</w:t>
      </w:r>
      <w:r w:rsidR="00E435C3" w:rsidRPr="00DB6786">
        <w:rPr>
          <w:rFonts w:eastAsia="MS Mincho" w:cs="Arial"/>
          <w:sz w:val="22"/>
          <w:szCs w:val="22"/>
          <w:lang w:val="es-ES_tradnl"/>
        </w:rPr>
        <w:t xml:space="preserve">. </w:t>
      </w:r>
      <w:r w:rsidR="00E435C3" w:rsidRPr="00DB6786">
        <w:rPr>
          <w:rFonts w:eastAsia="MS Mincho" w:cs="Arial"/>
          <w:sz w:val="22"/>
          <w:szCs w:val="22"/>
          <w:lang w:val="es-ES_tradnl"/>
        </w:rPr>
        <w:tab/>
      </w:r>
      <w:r w:rsidR="009479BD">
        <w:rPr>
          <w:rFonts w:eastAsia="MS Mincho" w:cs="Arial"/>
          <w:sz w:val="22"/>
          <w:szCs w:val="22"/>
          <w:lang w:val="es-ES_tradnl"/>
        </w:rPr>
        <w:t xml:space="preserve">Las </w:t>
      </w:r>
      <w:r w:rsidR="00D95517">
        <w:rPr>
          <w:rFonts w:eastAsia="MS Mincho" w:cs="Arial"/>
          <w:sz w:val="22"/>
          <w:szCs w:val="22"/>
          <w:lang w:val="es-ES_tradnl"/>
        </w:rPr>
        <w:t>fichas técnicas</w:t>
      </w:r>
      <w:r w:rsidR="00DB6786" w:rsidRPr="00DB6786">
        <w:rPr>
          <w:rFonts w:eastAsia="MS Mincho" w:cs="Arial"/>
          <w:sz w:val="22"/>
          <w:szCs w:val="22"/>
          <w:lang w:val="es-ES_tradnl"/>
        </w:rPr>
        <w:t xml:space="preserve"> </w:t>
      </w:r>
      <w:r w:rsidR="00C42069">
        <w:rPr>
          <w:rFonts w:eastAsia="MS Mincho" w:cs="Arial"/>
          <w:sz w:val="22"/>
          <w:szCs w:val="22"/>
          <w:lang w:val="es-ES_tradnl"/>
        </w:rPr>
        <w:t>de</w:t>
      </w:r>
      <w:r w:rsidR="00DB6786" w:rsidRPr="00DB6786">
        <w:rPr>
          <w:rFonts w:eastAsia="MS Mincho" w:cs="Arial"/>
          <w:sz w:val="22"/>
          <w:szCs w:val="22"/>
          <w:lang w:val="es-ES_tradnl"/>
        </w:rPr>
        <w:t xml:space="preserve"> indicadores han sido </w:t>
      </w:r>
      <w:r w:rsidR="009479BD">
        <w:rPr>
          <w:rFonts w:eastAsia="MS Mincho" w:cs="Arial"/>
          <w:sz w:val="22"/>
          <w:szCs w:val="22"/>
          <w:lang w:val="es-ES_tradnl"/>
        </w:rPr>
        <w:t>presentadas</w:t>
      </w:r>
      <w:r w:rsidR="00DB6786" w:rsidRPr="00DB6786">
        <w:rPr>
          <w:rFonts w:eastAsia="MS Mincho" w:cs="Arial"/>
          <w:sz w:val="22"/>
          <w:szCs w:val="22"/>
          <w:lang w:val="es-ES_tradnl"/>
        </w:rPr>
        <w:t xml:space="preserve"> a la COP12 para su información solamente </w:t>
      </w:r>
      <w:r w:rsidR="009479BD">
        <w:rPr>
          <w:rFonts w:eastAsia="MS Mincho" w:cs="Arial"/>
          <w:sz w:val="22"/>
          <w:szCs w:val="22"/>
          <w:lang w:val="es-ES_tradnl"/>
        </w:rPr>
        <w:t>en un documento separado</w:t>
      </w:r>
      <w:r w:rsidR="00DB6786" w:rsidRPr="00DB6786">
        <w:rPr>
          <w:rFonts w:eastAsia="MS Mincho" w:cs="Arial"/>
          <w:sz w:val="22"/>
          <w:szCs w:val="22"/>
          <w:lang w:val="es-ES_tradnl"/>
        </w:rPr>
        <w:t xml:space="preserve"> </w:t>
      </w:r>
      <w:r w:rsidR="00DB6786" w:rsidRPr="00DB6786">
        <w:rPr>
          <w:rFonts w:eastAsiaTheme="minorHAnsi" w:cs="Arial"/>
          <w:color w:val="000000"/>
          <w:sz w:val="22"/>
          <w:szCs w:val="22"/>
          <w:lang w:val="es-ES_tradnl"/>
        </w:rPr>
        <w:t xml:space="preserve">UNEP/CMS/COP12/Inf.26. Se mantendrán como documentos de referencia para </w:t>
      </w:r>
      <w:r w:rsidR="00D51784">
        <w:rPr>
          <w:rFonts w:eastAsiaTheme="minorHAnsi" w:cs="Arial"/>
          <w:color w:val="000000"/>
          <w:sz w:val="22"/>
          <w:szCs w:val="22"/>
          <w:lang w:val="es-ES_tradnl"/>
        </w:rPr>
        <w:t>respaldar</w:t>
      </w:r>
      <w:r w:rsidR="00DB6786" w:rsidRPr="00DB6786">
        <w:rPr>
          <w:rFonts w:eastAsiaTheme="minorHAnsi" w:cs="Arial"/>
          <w:color w:val="000000"/>
          <w:sz w:val="22"/>
          <w:szCs w:val="22"/>
          <w:lang w:val="es-ES_tradnl"/>
        </w:rPr>
        <w:t xml:space="preserve"> el uso de </w:t>
      </w:r>
      <w:r w:rsidR="00217585">
        <w:rPr>
          <w:rFonts w:eastAsiaTheme="minorHAnsi" w:cs="Arial"/>
          <w:color w:val="000000"/>
          <w:sz w:val="22"/>
          <w:szCs w:val="22"/>
          <w:lang w:val="es-ES_tradnl"/>
        </w:rPr>
        <w:t xml:space="preserve">los </w:t>
      </w:r>
      <w:r w:rsidR="00DB6786" w:rsidRPr="00DB6786">
        <w:rPr>
          <w:rFonts w:eastAsiaTheme="minorHAnsi" w:cs="Arial"/>
          <w:color w:val="000000"/>
          <w:sz w:val="22"/>
          <w:szCs w:val="22"/>
          <w:lang w:val="es-ES_tradnl"/>
        </w:rPr>
        <w:t>indicadores</w:t>
      </w:r>
      <w:r w:rsidR="00EC631F">
        <w:rPr>
          <w:rFonts w:eastAsiaTheme="minorHAnsi" w:cs="Arial"/>
          <w:color w:val="000000"/>
          <w:sz w:val="22"/>
          <w:szCs w:val="22"/>
          <w:lang w:val="es-ES_tradnl"/>
        </w:rPr>
        <w:t xml:space="preserve">, </w:t>
      </w:r>
      <w:r w:rsidR="00217585">
        <w:rPr>
          <w:rFonts w:eastAsiaTheme="minorHAnsi" w:cs="Arial"/>
          <w:color w:val="000000"/>
          <w:sz w:val="22"/>
          <w:szCs w:val="22"/>
          <w:lang w:val="es-ES_tradnl"/>
        </w:rPr>
        <w:t>rellena</w:t>
      </w:r>
      <w:r w:rsidR="00EC631F">
        <w:rPr>
          <w:rFonts w:eastAsiaTheme="minorHAnsi" w:cs="Arial"/>
          <w:color w:val="000000"/>
          <w:sz w:val="22"/>
          <w:szCs w:val="22"/>
          <w:lang w:val="es-ES_tradnl"/>
        </w:rPr>
        <w:t>ndo</w:t>
      </w:r>
      <w:r w:rsidR="00217585">
        <w:rPr>
          <w:rFonts w:eastAsiaTheme="minorHAnsi" w:cs="Arial"/>
          <w:color w:val="000000"/>
          <w:sz w:val="22"/>
          <w:szCs w:val="22"/>
          <w:lang w:val="es-ES_tradnl"/>
        </w:rPr>
        <w:t xml:space="preserve"> secciones incompletas y </w:t>
      </w:r>
      <w:r w:rsidR="00874CD5">
        <w:rPr>
          <w:rFonts w:eastAsiaTheme="minorHAnsi" w:cs="Arial"/>
          <w:color w:val="000000"/>
          <w:sz w:val="22"/>
          <w:szCs w:val="22"/>
          <w:lang w:val="es-ES_tradnl"/>
        </w:rPr>
        <w:t>actualiza</w:t>
      </w:r>
      <w:r w:rsidR="00EC631F">
        <w:rPr>
          <w:rFonts w:eastAsiaTheme="minorHAnsi" w:cs="Arial"/>
          <w:color w:val="000000"/>
          <w:sz w:val="22"/>
          <w:szCs w:val="22"/>
          <w:lang w:val="es-ES_tradnl"/>
        </w:rPr>
        <w:t>ndo</w:t>
      </w:r>
      <w:r w:rsidR="00874CD5">
        <w:rPr>
          <w:rFonts w:eastAsiaTheme="minorHAnsi" w:cs="Arial"/>
          <w:color w:val="000000"/>
          <w:sz w:val="22"/>
          <w:szCs w:val="22"/>
          <w:lang w:val="es-ES_tradnl"/>
        </w:rPr>
        <w:t xml:space="preserve"> las</w:t>
      </w:r>
      <w:r w:rsidR="00DB6786" w:rsidRPr="00DB6786">
        <w:rPr>
          <w:rFonts w:eastAsiaTheme="minorHAnsi" w:cs="Arial"/>
          <w:color w:val="000000"/>
          <w:sz w:val="22"/>
          <w:szCs w:val="22"/>
          <w:lang w:val="es-ES_tradnl"/>
        </w:rPr>
        <w:t xml:space="preserve"> decisiones de la COP</w:t>
      </w:r>
      <w:r w:rsidR="00CF7399">
        <w:rPr>
          <w:rFonts w:eastAsiaTheme="minorHAnsi" w:cs="Arial"/>
          <w:color w:val="000000"/>
          <w:sz w:val="22"/>
          <w:szCs w:val="22"/>
          <w:lang w:val="es-ES_tradnl"/>
        </w:rPr>
        <w:t xml:space="preserve"> pertinentes</w:t>
      </w:r>
      <w:r w:rsidR="00DB6786" w:rsidRPr="00DB6786">
        <w:rPr>
          <w:rFonts w:eastAsiaTheme="minorHAnsi" w:cs="Arial"/>
          <w:color w:val="000000"/>
          <w:sz w:val="22"/>
          <w:szCs w:val="22"/>
          <w:lang w:val="es-ES_tradnl"/>
        </w:rPr>
        <w:t>.</w:t>
      </w:r>
    </w:p>
    <w:p w14:paraId="5E7F9B28" w14:textId="4BFB0C12" w:rsidR="00DC25D0" w:rsidRPr="000B202A" w:rsidRDefault="00DC25D0" w:rsidP="00231BE0">
      <w:pPr>
        <w:rPr>
          <w:rFonts w:eastAsia="MS Mincho" w:cs="Arial"/>
          <w:sz w:val="22"/>
          <w:szCs w:val="22"/>
          <w:highlight w:val="yellow"/>
          <w:lang w:val="es-ES_tradnl"/>
        </w:rPr>
      </w:pPr>
    </w:p>
    <w:p w14:paraId="3C98934F" w14:textId="77777777" w:rsidR="0038248B" w:rsidRDefault="0038248B">
      <w:pPr>
        <w:widowControl/>
        <w:autoSpaceDE/>
        <w:autoSpaceDN/>
        <w:adjustRightInd/>
        <w:spacing w:after="160" w:line="259" w:lineRule="auto"/>
        <w:rPr>
          <w:rFonts w:eastAsiaTheme="minorHAnsi" w:cs="Arial"/>
          <w:color w:val="000000"/>
          <w:sz w:val="22"/>
          <w:szCs w:val="22"/>
          <w:u w:val="single"/>
          <w:lang w:val="es-ES_tradnl"/>
        </w:rPr>
      </w:pPr>
      <w:r>
        <w:rPr>
          <w:rFonts w:eastAsiaTheme="minorHAnsi" w:cs="Arial"/>
          <w:color w:val="000000"/>
          <w:sz w:val="22"/>
          <w:szCs w:val="22"/>
          <w:u w:val="single"/>
          <w:lang w:val="es-ES_tradnl"/>
        </w:rPr>
        <w:br w:type="page"/>
      </w:r>
    </w:p>
    <w:p w14:paraId="035B8042" w14:textId="1BFC6417" w:rsidR="007F13AD" w:rsidRPr="007F13AD" w:rsidRDefault="007F13AD" w:rsidP="00231BE0">
      <w:pPr>
        <w:widowControl/>
        <w:ind w:left="426" w:hanging="426"/>
        <w:rPr>
          <w:rFonts w:eastAsiaTheme="minorHAnsi" w:cs="Arial"/>
          <w:color w:val="000000"/>
          <w:sz w:val="22"/>
          <w:szCs w:val="22"/>
          <w:u w:val="single"/>
          <w:lang w:val="es-ES_tradnl"/>
        </w:rPr>
      </w:pPr>
      <w:r w:rsidRPr="007F13AD">
        <w:rPr>
          <w:rFonts w:eastAsiaTheme="minorHAnsi" w:cs="Arial"/>
          <w:color w:val="000000"/>
          <w:sz w:val="22"/>
          <w:szCs w:val="22"/>
          <w:u w:val="single"/>
          <w:lang w:val="es-ES_tradnl"/>
        </w:rPr>
        <w:lastRenderedPageBreak/>
        <w:t>Acciones recomendadas</w:t>
      </w:r>
    </w:p>
    <w:p w14:paraId="2EB35A93" w14:textId="77777777" w:rsidR="00992E43" w:rsidRPr="000B202A" w:rsidRDefault="00992E43" w:rsidP="00231BE0">
      <w:pPr>
        <w:widowControl/>
        <w:ind w:left="426" w:hanging="426"/>
        <w:rPr>
          <w:rFonts w:eastAsiaTheme="minorHAnsi" w:cs="Arial"/>
          <w:color w:val="000000"/>
          <w:sz w:val="22"/>
          <w:szCs w:val="22"/>
          <w:highlight w:val="yellow"/>
          <w:lang w:val="es-ES_tradnl"/>
        </w:rPr>
      </w:pPr>
    </w:p>
    <w:p w14:paraId="7E675755" w14:textId="3920AC04" w:rsidR="00640865" w:rsidRPr="00640865" w:rsidRDefault="00580C44" w:rsidP="00231BE0">
      <w:pPr>
        <w:widowControl/>
        <w:ind w:left="426" w:hanging="426"/>
        <w:rPr>
          <w:rFonts w:eastAsiaTheme="minorHAnsi" w:cs="Arial"/>
          <w:color w:val="000000"/>
          <w:sz w:val="22"/>
          <w:szCs w:val="22"/>
          <w:lang w:val="es-ES_tradnl"/>
        </w:rPr>
      </w:pPr>
      <w:r w:rsidRPr="00640865">
        <w:rPr>
          <w:rFonts w:eastAsiaTheme="minorHAnsi" w:cs="Arial"/>
          <w:color w:val="000000"/>
          <w:sz w:val="22"/>
          <w:szCs w:val="22"/>
          <w:lang w:val="es-ES_tradnl"/>
        </w:rPr>
        <w:t>25</w:t>
      </w:r>
      <w:r w:rsidR="00F86FB7" w:rsidRPr="00640865">
        <w:rPr>
          <w:rFonts w:eastAsiaTheme="minorHAnsi" w:cs="Arial"/>
          <w:color w:val="000000"/>
          <w:sz w:val="22"/>
          <w:szCs w:val="22"/>
          <w:lang w:val="es-ES_tradnl"/>
        </w:rPr>
        <w:t>.</w:t>
      </w:r>
      <w:r w:rsidR="00F86FB7" w:rsidRPr="00640865">
        <w:rPr>
          <w:rFonts w:eastAsiaTheme="minorHAnsi" w:cs="Arial"/>
          <w:color w:val="000000"/>
          <w:sz w:val="22"/>
          <w:szCs w:val="22"/>
          <w:lang w:val="es-ES_tradnl"/>
        </w:rPr>
        <w:tab/>
      </w:r>
      <w:r w:rsidR="00640865" w:rsidRPr="00640865">
        <w:rPr>
          <w:rFonts w:eastAsiaTheme="minorHAnsi" w:cs="Arial"/>
          <w:color w:val="000000"/>
          <w:sz w:val="22"/>
          <w:szCs w:val="22"/>
          <w:lang w:val="es-ES_tradnl"/>
        </w:rPr>
        <w:t>Se recomienda a la Conferencia de las Partes:</w:t>
      </w:r>
    </w:p>
    <w:p w14:paraId="047B2392" w14:textId="77777777" w:rsidR="00E860E2" w:rsidRPr="000B202A" w:rsidRDefault="00E860E2" w:rsidP="00992E43">
      <w:pPr>
        <w:widowControl/>
        <w:rPr>
          <w:rFonts w:eastAsiaTheme="minorHAnsi" w:cs="Arial"/>
          <w:color w:val="000000"/>
          <w:sz w:val="22"/>
          <w:szCs w:val="22"/>
          <w:highlight w:val="yellow"/>
          <w:lang w:val="es-ES_tradnl"/>
        </w:rPr>
      </w:pPr>
    </w:p>
    <w:p w14:paraId="3573D764" w14:textId="05D57FC7" w:rsidR="00640865" w:rsidRPr="0038248B" w:rsidRDefault="0038248B" w:rsidP="0038248B">
      <w:pPr>
        <w:pStyle w:val="ListParagraph"/>
        <w:numPr>
          <w:ilvl w:val="0"/>
          <w:numId w:val="19"/>
        </w:numPr>
        <w:jc w:val="both"/>
        <w:rPr>
          <w:rFonts w:ascii="Arial" w:eastAsia="MS Mincho" w:hAnsi="Arial" w:cs="Arial"/>
          <w:lang w:val="es-ES_tradnl" w:eastAsia="ja-JP"/>
        </w:rPr>
      </w:pPr>
      <w:r w:rsidRPr="0038248B">
        <w:rPr>
          <w:rFonts w:ascii="Arial" w:eastAsia="MS Mincho" w:hAnsi="Arial" w:cs="Arial"/>
          <w:lang w:val="es-ES_tradnl" w:eastAsia="ja-JP"/>
        </w:rPr>
        <w:t>t</w:t>
      </w:r>
      <w:r w:rsidR="00F67AE2" w:rsidRPr="0038248B">
        <w:rPr>
          <w:rFonts w:ascii="Arial" w:eastAsia="MS Mincho" w:hAnsi="Arial" w:cs="Arial"/>
          <w:lang w:val="es-ES_tradnl" w:eastAsia="ja-JP"/>
        </w:rPr>
        <w:t>omar nota del informe sobre</w:t>
      </w:r>
      <w:r w:rsidR="00A36870" w:rsidRPr="0038248B">
        <w:rPr>
          <w:rFonts w:ascii="Arial" w:eastAsia="MS Mincho" w:hAnsi="Arial" w:cs="Arial"/>
          <w:lang w:val="es-ES_tradnl" w:eastAsia="ja-JP"/>
        </w:rPr>
        <w:t xml:space="preserve"> el</w:t>
      </w:r>
      <w:r w:rsidR="00640865" w:rsidRPr="0038248B">
        <w:rPr>
          <w:rFonts w:ascii="Arial" w:eastAsia="MS Mincho" w:hAnsi="Arial" w:cs="Arial"/>
          <w:lang w:val="es-ES_tradnl" w:eastAsia="ja-JP"/>
        </w:rPr>
        <w:t xml:space="preserve"> trabajo realizado por el Grupo de Trabajo sobr</w:t>
      </w:r>
      <w:r w:rsidR="00BC6A55" w:rsidRPr="0038248B">
        <w:rPr>
          <w:rFonts w:ascii="Arial" w:eastAsia="MS Mincho" w:hAnsi="Arial" w:cs="Arial"/>
          <w:lang w:val="es-ES_tradnl" w:eastAsia="ja-JP"/>
        </w:rPr>
        <w:t>e el Plan Estratégico durante el</w:t>
      </w:r>
      <w:r w:rsidR="00640865" w:rsidRPr="0038248B">
        <w:rPr>
          <w:rFonts w:ascii="Arial" w:eastAsia="MS Mincho" w:hAnsi="Arial" w:cs="Arial"/>
          <w:lang w:val="es-ES_tradnl" w:eastAsia="ja-JP"/>
        </w:rPr>
        <w:t xml:space="preserve"> trienio 2015-2017 como se describe en este documento;</w:t>
      </w:r>
    </w:p>
    <w:p w14:paraId="7FCA87E4" w14:textId="77777777" w:rsidR="00D27010" w:rsidRPr="0038248B" w:rsidRDefault="00D27010" w:rsidP="00BC6A55">
      <w:pPr>
        <w:ind w:left="851" w:hanging="311"/>
        <w:rPr>
          <w:rFonts w:eastAsia="MS Mincho" w:cs="Arial"/>
          <w:sz w:val="22"/>
          <w:szCs w:val="22"/>
          <w:lang w:val="es-ES_tradnl"/>
        </w:rPr>
      </w:pPr>
    </w:p>
    <w:p w14:paraId="69F7691D" w14:textId="68E3433B" w:rsidR="006B5083" w:rsidRPr="0038248B" w:rsidRDefault="0038248B" w:rsidP="0038248B">
      <w:pPr>
        <w:pStyle w:val="ListParagraph"/>
        <w:numPr>
          <w:ilvl w:val="0"/>
          <w:numId w:val="19"/>
        </w:numPr>
        <w:spacing w:after="40"/>
        <w:jc w:val="both"/>
        <w:rPr>
          <w:rFonts w:ascii="Arial" w:eastAsia="MS Mincho" w:hAnsi="Arial" w:cs="Arial"/>
          <w:lang w:val="es-ES_tradnl"/>
        </w:rPr>
      </w:pPr>
      <w:r w:rsidRPr="0038248B">
        <w:rPr>
          <w:rFonts w:ascii="Arial" w:eastAsia="MS Mincho" w:hAnsi="Arial" w:cs="Arial"/>
          <w:lang w:val="es-ES_tradnl"/>
        </w:rPr>
        <w:t>a</w:t>
      </w:r>
      <w:r w:rsidR="006B5083" w:rsidRPr="0038248B">
        <w:rPr>
          <w:rFonts w:ascii="Arial" w:eastAsia="MS Mincho" w:hAnsi="Arial" w:cs="Arial"/>
          <w:lang w:val="es-ES_tradnl"/>
        </w:rPr>
        <w:t>doptar las enmiendas a la Resolución 11.2 recogida en el Anexo 1 del presente documento; y al hacerlo:</w:t>
      </w:r>
    </w:p>
    <w:p w14:paraId="0E6A30E6" w14:textId="1CD5F481" w:rsidR="00194A24" w:rsidRPr="0038248B" w:rsidRDefault="00C63560" w:rsidP="0038248B">
      <w:pPr>
        <w:pStyle w:val="ListParagraph"/>
        <w:numPr>
          <w:ilvl w:val="0"/>
          <w:numId w:val="20"/>
        </w:numPr>
        <w:spacing w:after="40"/>
        <w:ind w:left="1260"/>
        <w:contextualSpacing w:val="0"/>
        <w:jc w:val="both"/>
        <w:rPr>
          <w:rFonts w:ascii="Arial" w:eastAsia="MS Mincho" w:hAnsi="Arial" w:cs="Arial"/>
          <w:lang w:val="es-ES_tradnl" w:eastAsia="ja-JP"/>
        </w:rPr>
      </w:pPr>
      <w:r w:rsidRPr="0038248B">
        <w:rPr>
          <w:rFonts w:ascii="Arial" w:eastAsia="MS Mincho" w:hAnsi="Arial" w:cs="Arial"/>
          <w:lang w:val="es-ES_tradnl" w:eastAsia="ja-JP"/>
        </w:rPr>
        <w:t>Respaldar</w:t>
      </w:r>
      <w:r w:rsidR="00194A24" w:rsidRPr="0038248B">
        <w:rPr>
          <w:rFonts w:ascii="Arial" w:eastAsia="MS Mincho" w:hAnsi="Arial" w:cs="Arial"/>
          <w:lang w:val="es-ES_tradnl" w:eastAsia="ja-JP"/>
        </w:rPr>
        <w:t xml:space="preserve"> el enfoque adoptado para el Volumen Complementario </w:t>
      </w:r>
      <w:r w:rsidRPr="0038248B">
        <w:rPr>
          <w:rFonts w:ascii="Arial" w:eastAsia="MS Mincho" w:hAnsi="Arial" w:cs="Arial"/>
          <w:lang w:val="es-ES_tradnl" w:eastAsia="ja-JP"/>
        </w:rPr>
        <w:t>de</w:t>
      </w:r>
      <w:r w:rsidR="00194A24" w:rsidRPr="0038248B">
        <w:rPr>
          <w:rFonts w:ascii="Arial" w:eastAsia="MS Mincho" w:hAnsi="Arial" w:cs="Arial"/>
          <w:lang w:val="es-ES_tradnl" w:eastAsia="ja-JP"/>
        </w:rPr>
        <w:t xml:space="preserve"> ser un recurso en línea en constante evolución alojado en la página web de la CMS, incluyendo su desarrollo y mantenimiento futuro;</w:t>
      </w:r>
    </w:p>
    <w:p w14:paraId="529685FC" w14:textId="4DB70248" w:rsidR="00F2165E" w:rsidRPr="0038248B" w:rsidRDefault="00F2165E" w:rsidP="0038248B">
      <w:pPr>
        <w:pStyle w:val="ListParagraph"/>
        <w:numPr>
          <w:ilvl w:val="0"/>
          <w:numId w:val="20"/>
        </w:numPr>
        <w:spacing w:after="40"/>
        <w:ind w:left="1260"/>
        <w:contextualSpacing w:val="0"/>
        <w:jc w:val="both"/>
        <w:rPr>
          <w:rFonts w:ascii="Arial" w:eastAsia="MS Mincho" w:hAnsi="Arial" w:cs="Arial"/>
          <w:lang w:val="es-ES_tradnl" w:eastAsia="ja-JP"/>
        </w:rPr>
      </w:pPr>
      <w:r w:rsidRPr="0038248B">
        <w:rPr>
          <w:rFonts w:ascii="Arial" w:eastAsia="MS Mincho" w:hAnsi="Arial" w:cs="Arial"/>
          <w:lang w:val="es-ES_tradnl" w:eastAsia="ja-JP"/>
        </w:rPr>
        <w:t xml:space="preserve">Adoptar el conjunto de indicadores como se muestran en el Anexo B; y </w:t>
      </w:r>
    </w:p>
    <w:p w14:paraId="00DF50D0" w14:textId="7D3FFFAA" w:rsidR="00F2165E" w:rsidRPr="0038248B" w:rsidRDefault="00F2165E" w:rsidP="0038248B">
      <w:pPr>
        <w:pStyle w:val="ListParagraph"/>
        <w:numPr>
          <w:ilvl w:val="0"/>
          <w:numId w:val="20"/>
        </w:numPr>
        <w:ind w:left="1260"/>
        <w:jc w:val="both"/>
        <w:rPr>
          <w:rFonts w:ascii="Arial" w:eastAsia="MS Mincho" w:hAnsi="Arial" w:cs="Arial"/>
          <w:lang w:val="es-ES_tradnl" w:eastAsia="ja-JP"/>
        </w:rPr>
      </w:pPr>
      <w:r w:rsidRPr="0038248B">
        <w:rPr>
          <w:rFonts w:ascii="Arial" w:eastAsia="MS Mincho" w:hAnsi="Arial" w:cs="Arial"/>
          <w:lang w:val="es-ES_tradnl" w:eastAsia="ja-JP"/>
        </w:rPr>
        <w:t xml:space="preserve">Aprobar el desarrollo futuro de las </w:t>
      </w:r>
      <w:r w:rsidR="00EC631F">
        <w:rPr>
          <w:rFonts w:ascii="Arial" w:eastAsia="MS Mincho" w:hAnsi="Arial" w:cs="Arial"/>
          <w:lang w:val="es-ES_tradnl" w:eastAsia="ja-JP"/>
        </w:rPr>
        <w:t>fichas técnicas</w:t>
      </w:r>
      <w:r w:rsidRPr="0038248B">
        <w:rPr>
          <w:rFonts w:ascii="Arial" w:eastAsia="MS Mincho" w:hAnsi="Arial" w:cs="Arial"/>
          <w:lang w:val="es-ES_tradnl" w:eastAsia="ja-JP"/>
        </w:rPr>
        <w:t xml:space="preserve"> </w:t>
      </w:r>
      <w:r w:rsidR="00C42069">
        <w:rPr>
          <w:rFonts w:ascii="Arial" w:eastAsia="MS Mincho" w:hAnsi="Arial" w:cs="Arial"/>
          <w:lang w:val="es-ES_tradnl" w:eastAsia="ja-JP"/>
        </w:rPr>
        <w:t>de</w:t>
      </w:r>
      <w:r w:rsidRPr="0038248B">
        <w:rPr>
          <w:rFonts w:ascii="Arial" w:eastAsia="MS Mincho" w:hAnsi="Arial" w:cs="Arial"/>
          <w:lang w:val="es-ES_tradnl" w:eastAsia="ja-JP"/>
        </w:rPr>
        <w:t xml:space="preserve"> indicadore</w:t>
      </w:r>
      <w:r w:rsidR="00C63560" w:rsidRPr="0038248B">
        <w:rPr>
          <w:rFonts w:ascii="Arial" w:eastAsia="MS Mincho" w:hAnsi="Arial" w:cs="Arial"/>
          <w:lang w:val="es-ES_tradnl" w:eastAsia="ja-JP"/>
        </w:rPr>
        <w:t>s como documentos de trabajo para apoyar</w:t>
      </w:r>
      <w:r w:rsidRPr="0038248B">
        <w:rPr>
          <w:rFonts w:ascii="Arial" w:eastAsia="MS Mincho" w:hAnsi="Arial" w:cs="Arial"/>
          <w:lang w:val="es-ES_tradnl" w:eastAsia="ja-JP"/>
        </w:rPr>
        <w:t xml:space="preserve"> el uso de los indicadores;</w:t>
      </w:r>
    </w:p>
    <w:p w14:paraId="4A7DA19C" w14:textId="77777777" w:rsidR="00F86FB7" w:rsidRPr="0038248B" w:rsidRDefault="00F86FB7" w:rsidP="0038248B">
      <w:pPr>
        <w:pStyle w:val="ListParagraph"/>
        <w:ind w:left="1260" w:hanging="360"/>
        <w:jc w:val="both"/>
        <w:rPr>
          <w:rFonts w:ascii="Arial" w:eastAsia="MS Mincho" w:hAnsi="Arial" w:cs="Arial"/>
          <w:highlight w:val="yellow"/>
          <w:lang w:val="es-ES_tradnl" w:eastAsia="ja-JP"/>
        </w:rPr>
      </w:pPr>
    </w:p>
    <w:p w14:paraId="04AEEE9D" w14:textId="4F0EC8E8" w:rsidR="00A153EA" w:rsidRPr="0038248B" w:rsidRDefault="0038248B" w:rsidP="0038248B">
      <w:pPr>
        <w:pStyle w:val="ListParagraph"/>
        <w:numPr>
          <w:ilvl w:val="0"/>
          <w:numId w:val="19"/>
        </w:numPr>
        <w:jc w:val="both"/>
        <w:rPr>
          <w:rFonts w:eastAsia="MS Mincho" w:cs="Arial"/>
          <w:lang w:val="es-ES_tradnl"/>
        </w:rPr>
      </w:pPr>
      <w:r w:rsidRPr="0038248B">
        <w:rPr>
          <w:rFonts w:ascii="Arial" w:eastAsia="MS Mincho" w:hAnsi="Arial" w:cs="Arial"/>
          <w:lang w:val="es-ES_tradnl"/>
        </w:rPr>
        <w:t>a</w:t>
      </w:r>
      <w:r w:rsidR="00A153EA" w:rsidRPr="0038248B">
        <w:rPr>
          <w:rFonts w:ascii="Arial" w:eastAsia="MS Mincho" w:hAnsi="Arial" w:cs="Arial"/>
          <w:lang w:val="es-ES_tradnl"/>
        </w:rPr>
        <w:t>doptar las propuestas de decisiones en el Anexo 2 del presente documento</w:t>
      </w:r>
      <w:r w:rsidR="00A153EA" w:rsidRPr="0038248B">
        <w:rPr>
          <w:rFonts w:eastAsia="MS Mincho" w:cs="Arial"/>
          <w:lang w:val="es-ES_tradnl"/>
        </w:rPr>
        <w:t>.</w:t>
      </w:r>
    </w:p>
    <w:p w14:paraId="024F722D" w14:textId="77777777" w:rsidR="00231BE0" w:rsidRPr="00101681" w:rsidRDefault="00231BE0" w:rsidP="007A50F4">
      <w:pPr>
        <w:jc w:val="both"/>
        <w:rPr>
          <w:rFonts w:eastAsia="MS Mincho" w:cs="Arial"/>
          <w:sz w:val="22"/>
          <w:szCs w:val="22"/>
          <w:lang w:val="es-ES"/>
        </w:rPr>
        <w:sectPr w:rsidR="00231BE0" w:rsidRPr="00101681" w:rsidSect="007A50F4">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1418" w:left="1418" w:header="426" w:footer="510" w:gutter="0"/>
          <w:pgNumType w:start="2"/>
          <w:cols w:space="708"/>
          <w:titlePg/>
          <w:docGrid w:linePitch="360"/>
        </w:sectPr>
      </w:pPr>
    </w:p>
    <w:p w14:paraId="26FBC2E6" w14:textId="093D0B13" w:rsidR="00D27010" w:rsidRPr="0001378A" w:rsidRDefault="004051B9" w:rsidP="007A50F4">
      <w:pPr>
        <w:jc w:val="right"/>
        <w:rPr>
          <w:rFonts w:eastAsia="MS Mincho" w:cs="Arial"/>
          <w:b/>
          <w:noProof/>
          <w:sz w:val="22"/>
          <w:szCs w:val="22"/>
          <w:lang w:val="es-ES_tradnl"/>
        </w:rPr>
      </w:pPr>
      <w:r w:rsidRPr="0001378A">
        <w:rPr>
          <w:rFonts w:eastAsia="MS Mincho" w:cs="Arial"/>
          <w:b/>
          <w:noProof/>
          <w:sz w:val="22"/>
          <w:szCs w:val="22"/>
          <w:lang w:val="es-ES_tradnl"/>
        </w:rPr>
        <w:lastRenderedPageBreak/>
        <w:t>AN</w:t>
      </w:r>
      <w:r w:rsidR="00D27010" w:rsidRPr="0001378A">
        <w:rPr>
          <w:rFonts w:eastAsia="MS Mincho" w:cs="Arial"/>
          <w:b/>
          <w:noProof/>
          <w:sz w:val="22"/>
          <w:szCs w:val="22"/>
          <w:lang w:val="es-ES_tradnl"/>
        </w:rPr>
        <w:t>EX</w:t>
      </w:r>
      <w:r w:rsidRPr="0001378A">
        <w:rPr>
          <w:rFonts w:eastAsia="MS Mincho" w:cs="Arial"/>
          <w:b/>
          <w:noProof/>
          <w:sz w:val="22"/>
          <w:szCs w:val="22"/>
          <w:lang w:val="es-ES_tradnl"/>
        </w:rPr>
        <w:t>O</w:t>
      </w:r>
      <w:r w:rsidR="00D27010" w:rsidRPr="0001378A">
        <w:rPr>
          <w:rFonts w:eastAsia="MS Mincho" w:cs="Arial"/>
          <w:b/>
          <w:noProof/>
          <w:sz w:val="22"/>
          <w:szCs w:val="22"/>
          <w:lang w:val="es-ES_tradnl"/>
        </w:rPr>
        <w:t xml:space="preserve"> 1</w:t>
      </w:r>
    </w:p>
    <w:p w14:paraId="2370A5EE" w14:textId="77777777" w:rsidR="00D27010" w:rsidRPr="0001378A" w:rsidRDefault="00D27010" w:rsidP="001C6974">
      <w:pPr>
        <w:rPr>
          <w:rFonts w:eastAsia="MS Mincho" w:cs="Arial"/>
          <w:noProof/>
          <w:sz w:val="22"/>
          <w:szCs w:val="22"/>
          <w:lang w:val="es-ES_tradnl"/>
        </w:rPr>
      </w:pPr>
    </w:p>
    <w:p w14:paraId="6F6206A6" w14:textId="565D7C11" w:rsidR="00575AAD" w:rsidRPr="0001378A" w:rsidRDefault="00575AAD" w:rsidP="007027A2">
      <w:pPr>
        <w:jc w:val="center"/>
        <w:rPr>
          <w:rFonts w:eastAsia="MS Mincho" w:cs="Arial"/>
          <w:noProof/>
          <w:sz w:val="22"/>
          <w:szCs w:val="22"/>
          <w:lang w:val="es-ES_tradnl"/>
        </w:rPr>
      </w:pPr>
      <w:r w:rsidRPr="0001378A">
        <w:rPr>
          <w:rFonts w:eastAsia="MS Mincho" w:cs="Arial"/>
          <w:noProof/>
          <w:sz w:val="22"/>
          <w:szCs w:val="22"/>
          <w:lang w:val="es-ES_tradnl"/>
        </w:rPr>
        <w:t>Enmiendas propuestas a la RESOLUCIÓN 11.2</w:t>
      </w:r>
    </w:p>
    <w:p w14:paraId="147C3627" w14:textId="77777777" w:rsidR="00F033FC" w:rsidRPr="0001378A" w:rsidRDefault="00F033FC" w:rsidP="007027A2">
      <w:pPr>
        <w:jc w:val="center"/>
        <w:rPr>
          <w:rFonts w:eastAsia="MS Mincho" w:cs="Arial"/>
          <w:noProof/>
          <w:sz w:val="22"/>
          <w:szCs w:val="22"/>
          <w:lang w:val="es-ES_tradnl"/>
        </w:rPr>
      </w:pPr>
    </w:p>
    <w:p w14:paraId="7CE3B540" w14:textId="46AD53A9" w:rsidR="00575AAD" w:rsidRPr="0001378A" w:rsidRDefault="00575AAD" w:rsidP="00575AAD">
      <w:pPr>
        <w:jc w:val="center"/>
        <w:rPr>
          <w:b/>
          <w:caps/>
          <w:noProof/>
          <w:sz w:val="22"/>
          <w:szCs w:val="22"/>
          <w:lang w:val="es-ES_tradnl"/>
        </w:rPr>
      </w:pPr>
      <w:r w:rsidRPr="0001378A">
        <w:rPr>
          <w:b/>
          <w:caps/>
          <w:noProof/>
          <w:sz w:val="22"/>
          <w:szCs w:val="22"/>
          <w:lang w:val="es-ES_tradnl"/>
        </w:rPr>
        <w:t>PLAN ESTRATÉGICO PARA LAS ESPECIES MIGRATORIAS 2015-2023</w:t>
      </w:r>
    </w:p>
    <w:p w14:paraId="1C3D0431" w14:textId="77777777" w:rsidR="007027A2" w:rsidRPr="0001378A" w:rsidRDefault="007027A2" w:rsidP="007027A2">
      <w:pPr>
        <w:pStyle w:val="ListParagraph"/>
        <w:ind w:left="0"/>
        <w:jc w:val="both"/>
        <w:rPr>
          <w:rFonts w:ascii="Arial" w:hAnsi="Arial" w:cs="Arial"/>
          <w:noProof/>
          <w:lang w:val="es-ES_tradnl"/>
        </w:rPr>
      </w:pPr>
    </w:p>
    <w:p w14:paraId="6BD69142" w14:textId="1B401BB0" w:rsidR="007027A2" w:rsidRPr="0001378A" w:rsidRDefault="007027A2" w:rsidP="007027A2">
      <w:pPr>
        <w:jc w:val="both"/>
        <w:rPr>
          <w:rFonts w:cs="Arial"/>
          <w:i/>
          <w:noProof/>
          <w:sz w:val="22"/>
          <w:szCs w:val="22"/>
          <w:lang w:val="es-ES_tradnl"/>
        </w:rPr>
      </w:pPr>
      <w:r w:rsidRPr="0001378A">
        <w:rPr>
          <w:rFonts w:cs="Arial"/>
          <w:i/>
          <w:noProof/>
          <w:sz w:val="22"/>
          <w:szCs w:val="22"/>
          <w:lang w:val="es-ES_tradnl"/>
        </w:rPr>
        <w:t>NB:</w:t>
      </w:r>
      <w:r w:rsidRPr="0001378A">
        <w:rPr>
          <w:rFonts w:cs="Arial"/>
          <w:i/>
          <w:noProof/>
          <w:sz w:val="22"/>
          <w:szCs w:val="22"/>
          <w:lang w:val="es-ES_tradnl"/>
        </w:rPr>
        <w:tab/>
      </w:r>
      <w:r w:rsidR="0073218E" w:rsidRPr="0001378A">
        <w:rPr>
          <w:rFonts w:cs="Arial"/>
          <w:i/>
          <w:noProof/>
          <w:sz w:val="22"/>
          <w:szCs w:val="22"/>
          <w:lang w:val="es-ES_tradnl"/>
        </w:rPr>
        <w:t>El nuevo texto propuesto</w:t>
      </w:r>
      <w:r w:rsidR="00957DEF" w:rsidRPr="0001378A">
        <w:rPr>
          <w:rFonts w:cs="Arial"/>
          <w:i/>
          <w:noProof/>
          <w:sz w:val="22"/>
          <w:szCs w:val="22"/>
          <w:lang w:val="es-ES_tradnl"/>
        </w:rPr>
        <w:t xml:space="preserve"> está </w:t>
      </w:r>
      <w:r w:rsidR="00957DEF" w:rsidRPr="0001378A">
        <w:rPr>
          <w:rFonts w:cs="Arial"/>
          <w:i/>
          <w:noProof/>
          <w:sz w:val="22"/>
          <w:szCs w:val="22"/>
          <w:u w:val="single"/>
          <w:lang w:val="es-ES_tradnl"/>
        </w:rPr>
        <w:t>subrayado</w:t>
      </w:r>
      <w:r w:rsidRPr="0001378A">
        <w:rPr>
          <w:rFonts w:cs="Arial"/>
          <w:i/>
          <w:noProof/>
          <w:sz w:val="22"/>
          <w:szCs w:val="22"/>
          <w:lang w:val="es-ES_tradnl"/>
        </w:rPr>
        <w:t xml:space="preserve">. </w:t>
      </w:r>
      <w:r w:rsidR="00957DEF" w:rsidRPr="0001378A">
        <w:rPr>
          <w:rFonts w:cs="Arial"/>
          <w:i/>
          <w:noProof/>
          <w:sz w:val="22"/>
          <w:szCs w:val="22"/>
          <w:lang w:val="es-ES_tradnl"/>
        </w:rPr>
        <w:t xml:space="preserve">El texto </w:t>
      </w:r>
      <w:r w:rsidR="00EC631F">
        <w:rPr>
          <w:rFonts w:cs="Arial"/>
          <w:i/>
          <w:noProof/>
          <w:sz w:val="22"/>
          <w:szCs w:val="22"/>
          <w:lang w:val="es-ES_tradnl"/>
        </w:rPr>
        <w:t>a eliminaraparece</w:t>
      </w:r>
      <w:r w:rsidR="00957DEF" w:rsidRPr="0001378A">
        <w:rPr>
          <w:rFonts w:cs="Arial"/>
          <w:i/>
          <w:noProof/>
          <w:sz w:val="22"/>
          <w:szCs w:val="22"/>
          <w:lang w:val="es-ES_tradnl"/>
        </w:rPr>
        <w:t xml:space="preserve"> </w:t>
      </w:r>
      <w:r w:rsidR="00957DEF" w:rsidRPr="0001378A">
        <w:rPr>
          <w:rFonts w:cs="Arial"/>
          <w:i/>
          <w:strike/>
          <w:noProof/>
          <w:sz w:val="22"/>
          <w:szCs w:val="22"/>
          <w:lang w:val="es-ES_tradnl"/>
        </w:rPr>
        <w:t>tachado</w:t>
      </w:r>
      <w:r w:rsidR="00957DEF" w:rsidRPr="0001378A">
        <w:rPr>
          <w:rFonts w:cs="Arial"/>
          <w:i/>
          <w:noProof/>
          <w:sz w:val="22"/>
          <w:szCs w:val="22"/>
          <w:lang w:val="es-ES_tradnl"/>
        </w:rPr>
        <w:t>.</w:t>
      </w:r>
    </w:p>
    <w:p w14:paraId="3BAA43DB" w14:textId="6423CBEC" w:rsidR="00AF31AD" w:rsidRPr="0001378A" w:rsidRDefault="00AF31AD" w:rsidP="007027A2">
      <w:pPr>
        <w:jc w:val="both"/>
        <w:rPr>
          <w:rFonts w:cs="Arial"/>
          <w:i/>
          <w:noProof/>
          <w:sz w:val="22"/>
          <w:szCs w:val="22"/>
          <w:lang w:val="es-ES_tradnl"/>
        </w:rPr>
      </w:pPr>
    </w:p>
    <w:p w14:paraId="590B54EA" w14:textId="77777777" w:rsidR="000A4023" w:rsidRPr="0001378A" w:rsidRDefault="000A4023" w:rsidP="000A4023">
      <w:pPr>
        <w:pStyle w:val="NormalWeb"/>
        <w:spacing w:before="0" w:beforeAutospacing="0" w:after="0" w:afterAutospacing="0"/>
        <w:rPr>
          <w:rFonts w:ascii="Arial" w:hAnsi="Arial" w:cs="Arial"/>
          <w:i/>
          <w:noProof/>
          <w:sz w:val="22"/>
          <w:szCs w:val="22"/>
          <w:lang w:val="es-ES_tradnl"/>
        </w:rPr>
      </w:pPr>
    </w:p>
    <w:p w14:paraId="1867B276" w14:textId="65736423"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w:t>
      </w:r>
      <w:r w:rsidRPr="0001378A">
        <w:rPr>
          <w:rFonts w:ascii="Arial" w:hAnsi="Arial" w:cs="Arial"/>
          <w:noProof/>
          <w:sz w:val="22"/>
          <w:szCs w:val="22"/>
          <w:lang w:val="es-ES_tradnl"/>
        </w:rPr>
        <w:t xml:space="preserve"> la Resolución 10.5 de CMS que dio la bienvenida a la versión actualizada del Plan Estratégico de la Convención sobre la Conservación de las Especies Migratorias de Animales Silvestres (2006-2011) para cubrir el periodo de tres años siguiente (2012-2014), sin hacer cambios substantivos; </w:t>
      </w:r>
    </w:p>
    <w:p w14:paraId="3F9DE487" w14:textId="77777777" w:rsidR="000A4023" w:rsidRPr="0001378A" w:rsidRDefault="000A4023" w:rsidP="004E1148">
      <w:pPr>
        <w:tabs>
          <w:tab w:val="left" w:pos="2694"/>
        </w:tabs>
        <w:jc w:val="both"/>
        <w:rPr>
          <w:rFonts w:cs="Arial"/>
          <w:i/>
          <w:noProof/>
          <w:spacing w:val="-4"/>
          <w:sz w:val="22"/>
          <w:szCs w:val="22"/>
          <w:lang w:val="es-ES_tradnl"/>
        </w:rPr>
      </w:pPr>
    </w:p>
    <w:p w14:paraId="17253AEF" w14:textId="5DF3E290"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Teniendo en cuenta</w:t>
      </w:r>
      <w:r w:rsidRPr="0001378A">
        <w:rPr>
          <w:rFonts w:ascii="Arial" w:hAnsi="Arial" w:cs="Arial"/>
          <w:noProof/>
          <w:sz w:val="22"/>
          <w:szCs w:val="22"/>
          <w:lang w:val="es-ES_tradnl"/>
        </w:rPr>
        <w:t xml:space="preserve"> que la Resolución 10.5 de CMS también estableció́ un Grupo de Trabajo encargado de elaborar un nuevo Plan Estratégico para el periodo 2015-2023 que se presentará a la 11a Reunión de la Conferencia de las Partes de la CMS en 2014; </w:t>
      </w:r>
    </w:p>
    <w:p w14:paraId="19808725" w14:textId="77777777" w:rsidR="00B15943" w:rsidRPr="0001378A" w:rsidRDefault="00B15943" w:rsidP="004E1148">
      <w:pPr>
        <w:jc w:val="both"/>
        <w:rPr>
          <w:rFonts w:cs="Arial"/>
          <w:noProof/>
          <w:sz w:val="22"/>
          <w:szCs w:val="22"/>
          <w:lang w:val="es-ES_tradnl"/>
        </w:rPr>
      </w:pPr>
    </w:p>
    <w:p w14:paraId="06B46A03" w14:textId="77777777" w:rsidR="000A4023" w:rsidRPr="0001378A" w:rsidRDefault="000A4023" w:rsidP="000A4023">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w:t>
      </w:r>
      <w:r w:rsidRPr="0001378A">
        <w:rPr>
          <w:rFonts w:ascii="Arial" w:hAnsi="Arial" w:cs="Arial"/>
          <w:noProof/>
          <w:sz w:val="22"/>
          <w:szCs w:val="22"/>
          <w:lang w:val="es-ES_tradnl"/>
        </w:rPr>
        <w:t xml:space="preserve"> la decisión X/20 de la Conferencia de las Partes del Convenio sobre la Diversidad Biológica en el que la CMS es reconocida como el socio principal en la conservación y el uso sostenible de las especies migratorias en toda su área de distribución; </w:t>
      </w:r>
    </w:p>
    <w:p w14:paraId="495A2561" w14:textId="77777777" w:rsidR="00B15943" w:rsidRPr="0001378A" w:rsidRDefault="00B15943" w:rsidP="004E1148">
      <w:pPr>
        <w:jc w:val="both"/>
        <w:rPr>
          <w:rFonts w:cs="Arial"/>
          <w:noProof/>
          <w:sz w:val="22"/>
          <w:szCs w:val="22"/>
          <w:lang w:val="es-ES_tradnl"/>
        </w:rPr>
      </w:pPr>
    </w:p>
    <w:p w14:paraId="61022B5C" w14:textId="77777777" w:rsidR="00536DEB" w:rsidRPr="0001378A"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Recordando asimismo</w:t>
      </w:r>
      <w:r w:rsidRPr="0001378A">
        <w:rPr>
          <w:rFonts w:ascii="Arial" w:hAnsi="Arial" w:cs="Arial"/>
          <w:noProof/>
          <w:sz w:val="22"/>
          <w:szCs w:val="22"/>
          <w:lang w:val="es-ES_tradnl"/>
        </w:rPr>
        <w:t xml:space="preserve"> la Decisión X/2 de la Conferencia de las Partes del Convenio sobre la Diversidad Biológica por la cual se adoptaron el Plan Estratégico para la Diversidad Biológica 2011-2020 y las Metas de Aichi para la Diversidad Biológica, y en la que se invitaba al Grupo de Gestión Ambiental de las Naciones Unidas (EMG) a identificar medidas para la implementación efectiva y eficaz del Plan Estratégico en todo el sistema de las Naciones Unidas; </w:t>
      </w:r>
    </w:p>
    <w:p w14:paraId="439C22A5" w14:textId="77777777" w:rsidR="00B15943" w:rsidRPr="0001378A" w:rsidRDefault="00B15943" w:rsidP="004E1148">
      <w:pPr>
        <w:jc w:val="both"/>
        <w:rPr>
          <w:rFonts w:cs="Arial"/>
          <w:noProof/>
          <w:sz w:val="22"/>
          <w:szCs w:val="22"/>
          <w:lang w:val="es-ES_tradnl"/>
        </w:rPr>
      </w:pPr>
    </w:p>
    <w:p w14:paraId="387C0DF0" w14:textId="77777777" w:rsidR="00536DEB" w:rsidRPr="0001378A"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Observando</w:t>
      </w:r>
      <w:r w:rsidRPr="0001378A">
        <w:rPr>
          <w:rFonts w:ascii="Arial" w:hAnsi="Arial" w:cs="Arial"/>
          <w:noProof/>
          <w:sz w:val="22"/>
          <w:szCs w:val="22"/>
          <w:lang w:val="es-ES_tradnl"/>
        </w:rPr>
        <w:t xml:space="preserve"> el acuerdo de EMG de altos funcionarios en noviembre de 2012 para apoyar la implementación de los procesos de planificación estratégica de los acuerdos ambientales multilaterales relacionados con la biodiversidad, como ocurre para las especies migratorias; </w:t>
      </w:r>
    </w:p>
    <w:p w14:paraId="467BCA7F" w14:textId="77777777" w:rsidR="00B15943" w:rsidRPr="0001378A" w:rsidRDefault="00B15943" w:rsidP="004E1148">
      <w:pPr>
        <w:jc w:val="both"/>
        <w:rPr>
          <w:rFonts w:cs="Arial"/>
          <w:noProof/>
          <w:sz w:val="22"/>
          <w:szCs w:val="22"/>
          <w:lang w:val="es-ES_tradnl"/>
        </w:rPr>
      </w:pPr>
    </w:p>
    <w:p w14:paraId="2FBB4397" w14:textId="77777777" w:rsidR="00536DEB" w:rsidRPr="0001378A" w:rsidRDefault="00536DEB" w:rsidP="00536DEB">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Tomando nota</w:t>
      </w:r>
      <w:r w:rsidRPr="0001378A">
        <w:rPr>
          <w:rFonts w:ascii="Arial" w:hAnsi="Arial" w:cs="Arial"/>
          <w:noProof/>
          <w:sz w:val="22"/>
          <w:szCs w:val="22"/>
          <w:lang w:val="es-ES_tradnl"/>
        </w:rPr>
        <w:t xml:space="preserve"> de que la Decisión X/2 de la Conferencia de las Partes del Convenio sobre la Diversidad Biológica instó a las Partes y otros gobiernos a apoyar la actualización de las Estrategias Nacionales de Biodiversidad y Planes de Acción (EPANB) como instrumentos eficaces para promover la implementación del Plan Estratégico para la Diversidad Biológica y la incorporación de la biodiversidad a nivel nacional, teniendo en cuenta las sinergias entre las convenciones relacionadas con la biodiversidad de una manera compatible con sus respectivos mandatos; </w:t>
      </w:r>
    </w:p>
    <w:p w14:paraId="24974771" w14:textId="77777777" w:rsidR="00B15943" w:rsidRPr="0001378A" w:rsidRDefault="00B15943" w:rsidP="004E1148">
      <w:pPr>
        <w:jc w:val="both"/>
        <w:rPr>
          <w:rFonts w:cs="Arial"/>
          <w:noProof/>
          <w:sz w:val="22"/>
          <w:szCs w:val="22"/>
          <w:lang w:val="es-ES_tradnl"/>
        </w:rPr>
      </w:pPr>
    </w:p>
    <w:p w14:paraId="35C03CC3" w14:textId="35763339" w:rsidR="001A6C2C" w:rsidRPr="0001378A" w:rsidRDefault="001A6C2C" w:rsidP="001A6C2C">
      <w:pPr>
        <w:pStyle w:val="NormalWeb"/>
        <w:spacing w:before="0" w:beforeAutospacing="0" w:after="0" w:afterAutospacing="0"/>
        <w:rPr>
          <w:rFonts w:ascii="Arial" w:hAnsi="Arial" w:cs="Arial"/>
          <w:noProof/>
          <w:sz w:val="22"/>
          <w:szCs w:val="22"/>
          <w:lang w:val="es-ES_tradnl"/>
        </w:rPr>
      </w:pPr>
      <w:r w:rsidRPr="0001378A">
        <w:rPr>
          <w:rFonts w:ascii="Arial" w:hAnsi="Arial" w:cs="Arial"/>
          <w:i/>
          <w:noProof/>
          <w:sz w:val="22"/>
          <w:szCs w:val="22"/>
          <w:lang w:val="es-ES_tradnl"/>
        </w:rPr>
        <w:t>Tomando nota</w:t>
      </w:r>
      <w:r w:rsidRPr="0001378A">
        <w:rPr>
          <w:rFonts w:ascii="Arial" w:hAnsi="Arial" w:cs="Arial"/>
          <w:noProof/>
          <w:sz w:val="22"/>
          <w:szCs w:val="22"/>
          <w:lang w:val="es-ES_tradnl"/>
        </w:rPr>
        <w:t xml:space="preserve"> de que en la Resolución 65/161 de la AGNU, párrafo 19, se decidió declarar el período 2011-2020 el Decenio de las Nacio</w:t>
      </w:r>
      <w:r w:rsidR="0001378A" w:rsidRPr="0001378A">
        <w:rPr>
          <w:rFonts w:ascii="Arial" w:hAnsi="Arial" w:cs="Arial"/>
          <w:noProof/>
          <w:sz w:val="22"/>
          <w:szCs w:val="22"/>
          <w:lang w:val="es-ES_tradnl"/>
        </w:rPr>
        <w:t xml:space="preserve">nes Unidas sobre la Diversidad </w:t>
      </w:r>
      <w:r w:rsidRPr="0001378A">
        <w:rPr>
          <w:rFonts w:ascii="Arial" w:hAnsi="Arial" w:cs="Arial"/>
          <w:noProof/>
          <w:sz w:val="22"/>
          <w:szCs w:val="22"/>
          <w:lang w:val="es-ES_tradnl"/>
        </w:rPr>
        <w:t xml:space="preserve">Biológica, con el fin de contribuir a la implementación del Plan Estratégico para la Diversidad Biológica 2011-2020 y pidió al Secretario General que, en consulta con los estados miembros, liderara la coordinación de las actividades del decenio en nombre del sistema de las Naciones Unidas, con el apoyo de la Secretaría del Convenio sobre la Diversidad Biológica, las secretarías de otras convenciones relacionadas con la biodiversidad y los fondos, programas y organismos pertinentes de las Naciones Unidas; </w:t>
      </w:r>
    </w:p>
    <w:p w14:paraId="3E2E2533" w14:textId="77777777" w:rsidR="00B15943" w:rsidRPr="0001378A" w:rsidRDefault="00B15943" w:rsidP="004E1148">
      <w:pPr>
        <w:jc w:val="both"/>
        <w:rPr>
          <w:rFonts w:cs="Arial"/>
          <w:noProof/>
          <w:sz w:val="22"/>
          <w:szCs w:val="22"/>
          <w:lang w:val="es-ES_tradnl"/>
        </w:rPr>
      </w:pPr>
    </w:p>
    <w:p w14:paraId="3A9EB235" w14:textId="0572FD64" w:rsidR="0001378A" w:rsidRPr="00E922F8" w:rsidRDefault="0001378A" w:rsidP="0001378A">
      <w:pPr>
        <w:pStyle w:val="NormalWeb"/>
        <w:spacing w:before="0" w:beforeAutospacing="0" w:after="0" w:afterAutospacing="0"/>
        <w:rPr>
          <w:rFonts w:ascii="Arial" w:hAnsi="Arial" w:cs="Arial"/>
          <w:noProof/>
          <w:sz w:val="22"/>
          <w:szCs w:val="22"/>
          <w:u w:val="single"/>
          <w:lang w:val="es-ES_tradnl"/>
        </w:rPr>
      </w:pPr>
      <w:r w:rsidRPr="00E922F8">
        <w:rPr>
          <w:rFonts w:ascii="Arial" w:hAnsi="Arial" w:cs="Arial"/>
          <w:i/>
          <w:noProof/>
          <w:sz w:val="22"/>
          <w:szCs w:val="22"/>
          <w:lang w:val="es-ES_tradnl"/>
        </w:rPr>
        <w:t>Tomando nota</w:t>
      </w:r>
      <w:r w:rsidRPr="00E922F8">
        <w:rPr>
          <w:rFonts w:ascii="Arial" w:hAnsi="Arial" w:cs="Arial"/>
          <w:noProof/>
          <w:sz w:val="22"/>
          <w:szCs w:val="22"/>
          <w:lang w:val="es-ES_tradnl"/>
        </w:rPr>
        <w:t xml:space="preserve"> del informe del Presidente del Grupo de Trabajo del Plan Estratégico de la CMS (docum</w:t>
      </w:r>
      <w:r w:rsidR="00E922F8" w:rsidRPr="00E922F8">
        <w:rPr>
          <w:rFonts w:ascii="Arial" w:hAnsi="Arial" w:cs="Arial"/>
          <w:noProof/>
          <w:sz w:val="22"/>
          <w:szCs w:val="22"/>
          <w:lang w:val="es-ES_tradnl"/>
        </w:rPr>
        <w:t xml:space="preserve">ento PNUMA/CMS/COP11/Doc.15.2) </w:t>
      </w:r>
      <w:r w:rsidR="00E922F8" w:rsidRPr="00E922F8">
        <w:rPr>
          <w:rFonts w:ascii="Arial" w:hAnsi="Arial" w:cs="Arial"/>
          <w:noProof/>
          <w:sz w:val="22"/>
          <w:szCs w:val="22"/>
          <w:u w:val="single"/>
          <w:lang w:val="es-ES_tradnl"/>
        </w:rPr>
        <w:t>y del documento Plan Estratégico para las Especies Migra</w:t>
      </w:r>
      <w:r w:rsidR="00EC631F">
        <w:rPr>
          <w:rFonts w:ascii="Arial" w:hAnsi="Arial" w:cs="Arial"/>
          <w:noProof/>
          <w:sz w:val="22"/>
          <w:szCs w:val="22"/>
          <w:u w:val="single"/>
          <w:lang w:val="es-ES_tradnl"/>
        </w:rPr>
        <w:t>t</w:t>
      </w:r>
      <w:r w:rsidR="00E922F8" w:rsidRPr="00E922F8">
        <w:rPr>
          <w:rFonts w:ascii="Arial" w:hAnsi="Arial" w:cs="Arial"/>
          <w:noProof/>
          <w:sz w:val="22"/>
          <w:szCs w:val="22"/>
          <w:u w:val="single"/>
          <w:lang w:val="es-ES_tradnl"/>
        </w:rPr>
        <w:t>orias 2015-2023: implementación y seguimiento (document</w:t>
      </w:r>
      <w:r w:rsidR="003266C8">
        <w:rPr>
          <w:rFonts w:ascii="Arial" w:hAnsi="Arial" w:cs="Arial"/>
          <w:noProof/>
          <w:sz w:val="22"/>
          <w:szCs w:val="22"/>
          <w:u w:val="single"/>
          <w:lang w:val="es-ES_tradnl"/>
        </w:rPr>
        <w:t>o</w:t>
      </w:r>
      <w:r w:rsidR="00E922F8" w:rsidRPr="00E922F8">
        <w:rPr>
          <w:rFonts w:ascii="Arial" w:hAnsi="Arial" w:cs="Arial"/>
          <w:noProof/>
          <w:sz w:val="22"/>
          <w:szCs w:val="22"/>
          <w:u w:val="single"/>
          <w:lang w:val="es-ES_tradnl"/>
        </w:rPr>
        <w:t xml:space="preserve"> UNEP/CMS/COP12/Doc.15) presentado a la COP12;</w:t>
      </w:r>
    </w:p>
    <w:p w14:paraId="7843180B" w14:textId="77777777" w:rsidR="00B15943" w:rsidRPr="0069500A" w:rsidRDefault="00B15943" w:rsidP="004E1148">
      <w:pPr>
        <w:jc w:val="both"/>
        <w:rPr>
          <w:rFonts w:cs="Arial"/>
          <w:noProof/>
          <w:sz w:val="22"/>
          <w:szCs w:val="22"/>
          <w:lang w:val="es-ES_tradnl"/>
        </w:rPr>
      </w:pPr>
    </w:p>
    <w:p w14:paraId="7AF78AAF" w14:textId="7B741797" w:rsidR="00B15943" w:rsidRPr="0069500A" w:rsidRDefault="0069500A" w:rsidP="004E1148">
      <w:pPr>
        <w:jc w:val="both"/>
        <w:rPr>
          <w:rFonts w:cs="Arial"/>
          <w:noProof/>
          <w:sz w:val="22"/>
          <w:szCs w:val="22"/>
          <w:lang w:val="es-ES_tradnl"/>
        </w:rPr>
      </w:pPr>
      <w:r w:rsidRPr="0069500A">
        <w:rPr>
          <w:rFonts w:cs="Arial"/>
          <w:i/>
          <w:noProof/>
          <w:sz w:val="22"/>
          <w:szCs w:val="22"/>
          <w:lang w:val="es-ES_tradnl"/>
        </w:rPr>
        <w:t>Agradecida</w:t>
      </w:r>
      <w:r w:rsidRPr="0069500A">
        <w:rPr>
          <w:rFonts w:cs="Arial"/>
          <w:noProof/>
          <w:sz w:val="22"/>
          <w:szCs w:val="22"/>
          <w:lang w:val="es-ES_tradnl"/>
        </w:rPr>
        <w:t xml:space="preserve"> por el trabajo realizado por este Grupo de Trabajo en la elaboración del nuevo Plan, tomando en cuenta las lecciones aprendidas de la experiencia en la implementación del </w:t>
      </w:r>
      <w:r w:rsidRPr="0069500A">
        <w:rPr>
          <w:rFonts w:cs="Arial"/>
          <w:noProof/>
          <w:sz w:val="22"/>
          <w:szCs w:val="22"/>
          <w:lang w:val="es-ES_tradnl"/>
        </w:rPr>
        <w:lastRenderedPageBreak/>
        <w:t>Plan Estratégico 2006-2014, teniendo en cuenta los resultados del proceso de Estructura Futura de la CMS y los procesos de planificación estratégica en otros acuerdos ambientales multilaterales; proporcionando importantes oportunidades para hacer contribuciones a la redacción del Plan;</w:t>
      </w:r>
      <w:r w:rsidR="00465E15">
        <w:rPr>
          <w:rFonts w:cs="Arial"/>
          <w:noProof/>
          <w:sz w:val="22"/>
          <w:szCs w:val="22"/>
          <w:lang w:val="es-ES_tradnl"/>
        </w:rPr>
        <w:t xml:space="preserve"> </w:t>
      </w:r>
      <w:r w:rsidR="00465E15" w:rsidRPr="00465E15">
        <w:rPr>
          <w:rFonts w:cs="Arial"/>
          <w:noProof/>
          <w:sz w:val="22"/>
          <w:szCs w:val="22"/>
          <w:u w:val="single"/>
          <w:lang w:val="es-ES_tradnl"/>
        </w:rPr>
        <w:t xml:space="preserve">y </w:t>
      </w:r>
      <w:r w:rsidRPr="00465E15">
        <w:rPr>
          <w:rFonts w:cs="Arial"/>
          <w:noProof/>
          <w:sz w:val="22"/>
          <w:szCs w:val="22"/>
          <w:u w:val="single"/>
          <w:lang w:val="es-ES_tradnl"/>
        </w:rPr>
        <w:t xml:space="preserve">todo el trabajo adicional realizado durante el trienio 2015-2017 </w:t>
      </w:r>
      <w:r w:rsidR="006D69A1">
        <w:rPr>
          <w:rFonts w:cs="Arial"/>
          <w:noProof/>
          <w:sz w:val="22"/>
          <w:szCs w:val="22"/>
          <w:u w:val="single"/>
          <w:lang w:val="es-ES_tradnl"/>
        </w:rPr>
        <w:t>en cuanto a</w:t>
      </w:r>
      <w:r w:rsidRPr="00465E15">
        <w:rPr>
          <w:rFonts w:cs="Arial"/>
          <w:noProof/>
          <w:sz w:val="22"/>
          <w:szCs w:val="22"/>
          <w:u w:val="single"/>
          <w:lang w:val="es-ES_tradnl"/>
        </w:rPr>
        <w:t xml:space="preserve"> los aspectos de </w:t>
      </w:r>
      <w:r w:rsidR="00465E15" w:rsidRPr="00465E15">
        <w:rPr>
          <w:rFonts w:cs="Arial"/>
          <w:noProof/>
          <w:sz w:val="22"/>
          <w:szCs w:val="22"/>
          <w:u w:val="single"/>
          <w:lang w:val="es-ES_tradnl"/>
        </w:rPr>
        <w:t xml:space="preserve">la </w:t>
      </w:r>
      <w:r w:rsidRPr="00465E15">
        <w:rPr>
          <w:rFonts w:cs="Arial"/>
          <w:noProof/>
          <w:sz w:val="22"/>
          <w:szCs w:val="22"/>
          <w:u w:val="single"/>
          <w:lang w:val="es-ES_tradnl"/>
        </w:rPr>
        <w:t xml:space="preserve">implementación y </w:t>
      </w:r>
      <w:r w:rsidR="00465E15" w:rsidRPr="00465E15">
        <w:rPr>
          <w:rFonts w:cs="Arial"/>
          <w:noProof/>
          <w:sz w:val="22"/>
          <w:szCs w:val="22"/>
          <w:u w:val="single"/>
          <w:lang w:val="es-ES_tradnl"/>
        </w:rPr>
        <w:t xml:space="preserve">el </w:t>
      </w:r>
      <w:r w:rsidRPr="00465E15">
        <w:rPr>
          <w:rFonts w:cs="Arial"/>
          <w:noProof/>
          <w:sz w:val="22"/>
          <w:szCs w:val="22"/>
          <w:u w:val="single"/>
          <w:lang w:val="es-ES_tradnl"/>
        </w:rPr>
        <w:t>seguimiento del Plan Estratégico;</w:t>
      </w:r>
    </w:p>
    <w:p w14:paraId="14137785" w14:textId="77777777" w:rsidR="0069500A" w:rsidRPr="000A4023" w:rsidRDefault="0069500A" w:rsidP="004E1148">
      <w:pPr>
        <w:jc w:val="both"/>
        <w:rPr>
          <w:rFonts w:cs="Arial"/>
          <w:sz w:val="22"/>
          <w:szCs w:val="22"/>
          <w:lang w:val="es-ES_tradnl"/>
        </w:rPr>
      </w:pPr>
    </w:p>
    <w:p w14:paraId="0B96F037" w14:textId="65DBE96F" w:rsidR="00B15943" w:rsidRPr="00625B7B" w:rsidRDefault="00B22193" w:rsidP="00167B01">
      <w:pPr>
        <w:jc w:val="both"/>
        <w:rPr>
          <w:rFonts w:cs="Arial"/>
          <w:sz w:val="22"/>
          <w:szCs w:val="22"/>
          <w:highlight w:val="yellow"/>
          <w:u w:val="single"/>
          <w:lang w:val="es-ES_tradnl"/>
        </w:rPr>
      </w:pPr>
      <w:r w:rsidRPr="00625B7B">
        <w:rPr>
          <w:rFonts w:cs="Arial"/>
          <w:i/>
          <w:sz w:val="22"/>
          <w:szCs w:val="22"/>
          <w:u w:val="single"/>
          <w:lang w:val="es-ES_tradnl"/>
        </w:rPr>
        <w:t xml:space="preserve">Tomando nota </w:t>
      </w:r>
      <w:r w:rsidR="00167B01" w:rsidRPr="00625B7B">
        <w:rPr>
          <w:rFonts w:cs="Arial"/>
          <w:sz w:val="22"/>
          <w:szCs w:val="22"/>
          <w:u w:val="single"/>
          <w:lang w:val="es-ES_tradnl"/>
        </w:rPr>
        <w:t>de la información proporcionada por las Partes en sus informes nacionales sobre sus actividades emprendidas en respuesta al Plan Estratégico durante el trienio pasado;</w:t>
      </w:r>
    </w:p>
    <w:p w14:paraId="2931D4A6" w14:textId="77777777" w:rsidR="00B15943" w:rsidRPr="00302C50" w:rsidRDefault="00B15943" w:rsidP="00FB3096">
      <w:pPr>
        <w:jc w:val="both"/>
        <w:rPr>
          <w:rFonts w:cs="Arial"/>
          <w:noProof/>
          <w:sz w:val="22"/>
          <w:szCs w:val="22"/>
          <w:lang w:val="es-ES_tradnl"/>
        </w:rPr>
      </w:pPr>
    </w:p>
    <w:p w14:paraId="49334A62" w14:textId="03825C1A" w:rsidR="00302C50" w:rsidRPr="0085388D" w:rsidRDefault="00302C50" w:rsidP="00FB3096">
      <w:pPr>
        <w:jc w:val="both"/>
        <w:rPr>
          <w:rFonts w:cs="Arial"/>
          <w:noProof/>
          <w:sz w:val="22"/>
          <w:szCs w:val="22"/>
          <w:lang w:val="es-ES_tradnl"/>
        </w:rPr>
      </w:pPr>
      <w:r w:rsidRPr="00302C50">
        <w:rPr>
          <w:rFonts w:cs="Arial"/>
          <w:i/>
          <w:noProof/>
          <w:sz w:val="22"/>
          <w:szCs w:val="22"/>
          <w:lang w:val="es-ES_tradnl"/>
        </w:rPr>
        <w:t>Acogiendo con satisfacción</w:t>
      </w:r>
      <w:r w:rsidRPr="00302C50">
        <w:rPr>
          <w:rFonts w:cs="Arial"/>
          <w:noProof/>
          <w:sz w:val="22"/>
          <w:szCs w:val="22"/>
          <w:lang w:val="es-ES_tradnl"/>
        </w:rPr>
        <w:t xml:space="preserve"> las contribuciones al desarrollo del Plan Estratégico de las </w:t>
      </w:r>
      <w:r w:rsidRPr="0085388D">
        <w:rPr>
          <w:rFonts w:cs="Arial"/>
          <w:noProof/>
          <w:sz w:val="22"/>
          <w:szCs w:val="22"/>
          <w:lang w:val="es-ES_tradnl"/>
        </w:rPr>
        <w:t xml:space="preserve">Partes y las partes interesadas, incluido el informe </w:t>
      </w:r>
      <w:r w:rsidRPr="0085388D">
        <w:rPr>
          <w:rFonts w:cs="Arial"/>
          <w:i/>
          <w:noProof/>
          <w:sz w:val="22"/>
          <w:szCs w:val="22"/>
          <w:lang w:val="es-ES_tradnl"/>
        </w:rPr>
        <w:t>Una Afiliación Natural: Desarrollo</w:t>
      </w:r>
      <w:r w:rsidR="0085388D" w:rsidRPr="0085388D">
        <w:rPr>
          <w:rFonts w:cs="Arial"/>
          <w:i/>
          <w:noProof/>
          <w:sz w:val="22"/>
          <w:szCs w:val="22"/>
          <w:lang w:val="es-ES_tradnl"/>
        </w:rPr>
        <w:t xml:space="preserve"> </w:t>
      </w:r>
      <w:r w:rsidRPr="0085388D">
        <w:rPr>
          <w:rFonts w:cs="Arial"/>
          <w:i/>
          <w:noProof/>
          <w:sz w:val="22"/>
          <w:szCs w:val="22"/>
          <w:lang w:val="es-ES_tradnl"/>
        </w:rPr>
        <w:t>del papel de las ONG en la Familia de la Convención sobre las Especies Migratorias</w:t>
      </w:r>
      <w:r w:rsidR="0085388D" w:rsidRPr="0085388D">
        <w:rPr>
          <w:rFonts w:cs="Arial"/>
          <w:noProof/>
          <w:sz w:val="22"/>
          <w:szCs w:val="22"/>
          <w:vertAlign w:val="superscript"/>
          <w:lang w:val="es-ES_tradnl"/>
        </w:rPr>
        <w:footnoteReference w:id="1"/>
      </w:r>
      <w:r w:rsidRPr="0085388D">
        <w:rPr>
          <w:rFonts w:cs="Arial"/>
          <w:noProof/>
          <w:sz w:val="22"/>
          <w:szCs w:val="22"/>
          <w:lang w:val="es-ES_tradnl"/>
        </w:rPr>
        <w:t xml:space="preserve">; y </w:t>
      </w:r>
      <w:r w:rsidRPr="0085388D">
        <w:rPr>
          <w:rFonts w:cs="Arial"/>
          <w:i/>
          <w:noProof/>
          <w:sz w:val="22"/>
          <w:szCs w:val="22"/>
          <w:lang w:val="es-ES_tradnl"/>
        </w:rPr>
        <w:t>reconociendo</w:t>
      </w:r>
      <w:r w:rsidRPr="0085388D">
        <w:rPr>
          <w:rFonts w:cs="Arial"/>
          <w:noProof/>
          <w:sz w:val="22"/>
          <w:szCs w:val="22"/>
          <w:lang w:val="es-ES_tradnl"/>
        </w:rPr>
        <w:t xml:space="preserve"> que las asociaciones clave para apoyar la ejecución del Plan Estratégico </w:t>
      </w:r>
      <w:r w:rsidRPr="0085388D">
        <w:rPr>
          <w:rFonts w:cs="Arial"/>
          <w:strike/>
          <w:noProof/>
          <w:sz w:val="22"/>
          <w:szCs w:val="22"/>
          <w:lang w:val="es-ES_tradnl"/>
        </w:rPr>
        <w:t>incluirán</w:t>
      </w:r>
      <w:r w:rsidRPr="0085388D">
        <w:rPr>
          <w:rFonts w:cs="Arial"/>
          <w:noProof/>
          <w:sz w:val="22"/>
          <w:szCs w:val="22"/>
          <w:lang w:val="es-ES_tradnl"/>
        </w:rPr>
        <w:t xml:space="preserve"> </w:t>
      </w:r>
      <w:r w:rsidR="0085388D" w:rsidRPr="0085388D">
        <w:rPr>
          <w:rFonts w:cs="Arial"/>
          <w:noProof/>
          <w:sz w:val="22"/>
          <w:szCs w:val="22"/>
          <w:lang w:val="es-ES_tradnl"/>
        </w:rPr>
        <w:t xml:space="preserve">incluyen </w:t>
      </w:r>
      <w:r w:rsidRPr="0085388D">
        <w:rPr>
          <w:rFonts w:cs="Arial"/>
          <w:noProof/>
          <w:sz w:val="22"/>
          <w:szCs w:val="22"/>
          <w:lang w:val="es-ES_tradnl"/>
        </w:rPr>
        <w:t>aquellas con otras convenciones, la sociedad civil, el sector privado y los organismos regionales</w:t>
      </w:r>
      <w:r w:rsidR="0085388D" w:rsidRPr="0085388D">
        <w:rPr>
          <w:rFonts w:cs="Arial"/>
          <w:noProof/>
          <w:sz w:val="22"/>
          <w:szCs w:val="22"/>
          <w:lang w:val="es-ES_tradnl"/>
        </w:rPr>
        <w:t>;</w:t>
      </w:r>
    </w:p>
    <w:p w14:paraId="6430D8A4" w14:textId="77777777" w:rsidR="00302C50" w:rsidRPr="0085388D" w:rsidRDefault="00302C50" w:rsidP="00FB3096">
      <w:pPr>
        <w:jc w:val="both"/>
        <w:rPr>
          <w:rFonts w:cs="Arial"/>
          <w:noProof/>
          <w:sz w:val="22"/>
          <w:szCs w:val="22"/>
          <w:lang w:val="es-ES_tradnl"/>
        </w:rPr>
      </w:pPr>
    </w:p>
    <w:p w14:paraId="5B09F106" w14:textId="2E3D41DA" w:rsidR="00B15943" w:rsidRPr="0085388D" w:rsidRDefault="0085388D" w:rsidP="0085388D">
      <w:pPr>
        <w:jc w:val="both"/>
        <w:rPr>
          <w:rFonts w:cs="Arial"/>
          <w:noProof/>
          <w:sz w:val="22"/>
          <w:szCs w:val="22"/>
          <w:lang w:val="es-ES_tradnl"/>
        </w:rPr>
      </w:pPr>
      <w:r w:rsidRPr="0085388D">
        <w:rPr>
          <w:rFonts w:cs="Arial"/>
          <w:i/>
          <w:noProof/>
          <w:sz w:val="22"/>
          <w:szCs w:val="22"/>
          <w:u w:val="single"/>
          <w:lang w:val="es-ES_tradnl"/>
        </w:rPr>
        <w:t>Considerando</w:t>
      </w:r>
      <w:r w:rsidRPr="0085388D">
        <w:rPr>
          <w:rFonts w:cs="Arial"/>
          <w:noProof/>
          <w:sz w:val="22"/>
          <w:szCs w:val="22"/>
          <w:u w:val="single"/>
          <w:lang w:val="es-ES_tradnl"/>
        </w:rPr>
        <w:t xml:space="preserve"> que aún queda mucho por hacer urgentemente si se quieren cumplir las metas del Plan Estratégico para 2023</w:t>
      </w:r>
      <w:r w:rsidRPr="0085388D">
        <w:rPr>
          <w:rFonts w:cs="Arial"/>
          <w:noProof/>
          <w:sz w:val="22"/>
          <w:szCs w:val="22"/>
          <w:lang w:val="es-ES_tradnl"/>
        </w:rPr>
        <w:t>; y</w:t>
      </w:r>
    </w:p>
    <w:p w14:paraId="1AFF8237" w14:textId="77777777" w:rsidR="00B15943" w:rsidRPr="0085388D" w:rsidRDefault="00B15943" w:rsidP="00FB3096">
      <w:pPr>
        <w:jc w:val="both"/>
        <w:rPr>
          <w:rFonts w:cs="Arial"/>
          <w:noProof/>
          <w:sz w:val="22"/>
          <w:szCs w:val="22"/>
          <w:lang w:val="es-ES_tradnl"/>
        </w:rPr>
      </w:pPr>
    </w:p>
    <w:p w14:paraId="5BAA8460" w14:textId="77777777" w:rsidR="0085388D" w:rsidRPr="0085388D" w:rsidRDefault="0085388D" w:rsidP="0085388D">
      <w:pPr>
        <w:pStyle w:val="NormalWeb"/>
        <w:spacing w:before="0" w:beforeAutospacing="0" w:after="0" w:afterAutospacing="0"/>
        <w:rPr>
          <w:rFonts w:ascii="Arial" w:hAnsi="Arial" w:cs="Arial"/>
          <w:noProof/>
          <w:sz w:val="22"/>
          <w:szCs w:val="22"/>
          <w:lang w:val="es-ES_tradnl"/>
        </w:rPr>
      </w:pPr>
      <w:r w:rsidRPr="0085388D">
        <w:rPr>
          <w:rFonts w:ascii="Arial" w:hAnsi="Arial" w:cs="Arial"/>
          <w:i/>
          <w:noProof/>
          <w:sz w:val="22"/>
          <w:szCs w:val="22"/>
          <w:lang w:val="es-ES_tradnl"/>
        </w:rPr>
        <w:t>Conscientes</w:t>
      </w:r>
      <w:r w:rsidRPr="0085388D">
        <w:rPr>
          <w:rFonts w:ascii="Arial" w:hAnsi="Arial" w:cs="Arial"/>
          <w:noProof/>
          <w:sz w:val="22"/>
          <w:szCs w:val="22"/>
          <w:lang w:val="es-ES_tradnl"/>
        </w:rPr>
        <w:t xml:space="preserve"> de la necesidad de evitar la creación de una carga de informes adicionales que corren el riesgo de desviar la acción de la aplicación; </w:t>
      </w:r>
    </w:p>
    <w:p w14:paraId="61BDB1AC" w14:textId="77777777" w:rsidR="00B15943" w:rsidRPr="000A4023" w:rsidRDefault="00B15943" w:rsidP="00B15943">
      <w:pPr>
        <w:rPr>
          <w:rFonts w:cs="Arial"/>
          <w:sz w:val="22"/>
          <w:szCs w:val="22"/>
          <w:lang w:val="es-ES_tradnl"/>
        </w:rPr>
      </w:pPr>
    </w:p>
    <w:p w14:paraId="45560A65" w14:textId="77777777" w:rsidR="00B15943" w:rsidRPr="000A4023" w:rsidRDefault="00B15943" w:rsidP="00B15943">
      <w:pPr>
        <w:rPr>
          <w:rFonts w:cs="Arial"/>
          <w:sz w:val="22"/>
          <w:szCs w:val="22"/>
          <w:lang w:val="es-ES_tradnl"/>
        </w:rPr>
      </w:pPr>
    </w:p>
    <w:p w14:paraId="24D92FAF" w14:textId="77777777" w:rsidR="005021AA" w:rsidRPr="00AE772B" w:rsidRDefault="005021AA" w:rsidP="005021AA">
      <w:pPr>
        <w:pStyle w:val="NormalWeb"/>
        <w:spacing w:before="0" w:beforeAutospacing="0" w:after="0" w:afterAutospacing="0"/>
        <w:jc w:val="center"/>
        <w:rPr>
          <w:rFonts w:ascii="Arial" w:hAnsi="Arial" w:cs="Arial"/>
          <w:i/>
          <w:noProof/>
          <w:sz w:val="22"/>
          <w:szCs w:val="22"/>
          <w:lang w:val="es-ES_tradnl"/>
        </w:rPr>
      </w:pPr>
      <w:r w:rsidRPr="00AE772B">
        <w:rPr>
          <w:rFonts w:ascii="Arial" w:hAnsi="Arial" w:cs="Arial"/>
          <w:i/>
          <w:noProof/>
          <w:sz w:val="22"/>
          <w:szCs w:val="22"/>
          <w:lang w:val="es-ES_tradnl"/>
        </w:rPr>
        <w:t>La Conferencia de las Partes de la</w:t>
      </w:r>
      <w:r w:rsidRPr="00AE772B">
        <w:rPr>
          <w:rFonts w:ascii="Arial" w:hAnsi="Arial" w:cs="Arial"/>
          <w:i/>
          <w:noProof/>
          <w:sz w:val="22"/>
          <w:szCs w:val="22"/>
          <w:lang w:val="es-ES_tradnl"/>
        </w:rPr>
        <w:br/>
        <w:t>Convención sobre la Conservación de las Especies Migratorias de Animales Silvestres</w:t>
      </w:r>
    </w:p>
    <w:p w14:paraId="2AE81778" w14:textId="77777777" w:rsidR="005021AA" w:rsidRPr="00AE772B" w:rsidRDefault="005021AA" w:rsidP="00B15943">
      <w:pPr>
        <w:jc w:val="center"/>
        <w:rPr>
          <w:rFonts w:cs="Arial"/>
          <w:i/>
          <w:noProof/>
          <w:sz w:val="22"/>
          <w:szCs w:val="22"/>
          <w:lang w:val="es-ES_tradnl"/>
        </w:rPr>
      </w:pPr>
    </w:p>
    <w:p w14:paraId="32E8608D" w14:textId="77777777" w:rsidR="005021AA" w:rsidRPr="00AE772B" w:rsidRDefault="005021AA" w:rsidP="005021AA">
      <w:pPr>
        <w:pStyle w:val="NormalWeb"/>
        <w:spacing w:before="0" w:beforeAutospacing="0" w:after="0" w:afterAutospacing="0"/>
        <w:rPr>
          <w:rFonts w:ascii="Arial" w:hAnsi="Arial" w:cs="Arial"/>
          <w:i/>
          <w:noProof/>
          <w:sz w:val="22"/>
          <w:szCs w:val="22"/>
          <w:lang w:val="es-ES_tradnl"/>
        </w:rPr>
      </w:pPr>
    </w:p>
    <w:p w14:paraId="1C2E641F" w14:textId="77777777" w:rsidR="005021AA" w:rsidRPr="00AE772B" w:rsidRDefault="005021AA" w:rsidP="005021AA">
      <w:pPr>
        <w:pStyle w:val="NormalWeb"/>
        <w:spacing w:before="0" w:beforeAutospacing="0" w:after="0" w:afterAutospacing="0"/>
        <w:rPr>
          <w:rFonts w:ascii="Arial" w:hAnsi="Arial" w:cs="Arial"/>
          <w:i/>
          <w:noProof/>
          <w:sz w:val="22"/>
          <w:szCs w:val="22"/>
          <w:lang w:val="es-ES_tradnl"/>
        </w:rPr>
      </w:pPr>
      <w:r w:rsidRPr="00AE772B">
        <w:rPr>
          <w:rFonts w:ascii="Arial" w:hAnsi="Arial" w:cs="Arial"/>
          <w:i/>
          <w:noProof/>
          <w:sz w:val="22"/>
          <w:szCs w:val="22"/>
          <w:lang w:val="es-ES_tradnl"/>
        </w:rPr>
        <w:t>Plan Estratégico para las Especies Migratorias 2015-2023</w:t>
      </w:r>
    </w:p>
    <w:p w14:paraId="4499068B" w14:textId="77777777" w:rsidR="00B15943" w:rsidRPr="00AE772B" w:rsidRDefault="00B15943" w:rsidP="00B15943">
      <w:pPr>
        <w:pStyle w:val="ListParagraph"/>
        <w:widowControl w:val="0"/>
        <w:ind w:left="0"/>
        <w:jc w:val="both"/>
        <w:rPr>
          <w:rFonts w:ascii="Arial" w:hAnsi="Arial" w:cs="Arial"/>
          <w:i/>
          <w:noProof/>
          <w:lang w:val="es-ES_tradnl" w:eastAsia="en-GB"/>
        </w:rPr>
      </w:pPr>
    </w:p>
    <w:p w14:paraId="5E3E2CF7" w14:textId="42DDF3F7" w:rsidR="002140AF" w:rsidRPr="00AE772B" w:rsidRDefault="002140AF" w:rsidP="002140AF">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Adopta</w:t>
      </w:r>
      <w:r w:rsidRPr="00AE772B">
        <w:rPr>
          <w:rFonts w:ascii="Arial" w:hAnsi="Arial" w:cs="Arial"/>
          <w:noProof/>
          <w:lang w:val="es-ES_tradnl"/>
        </w:rPr>
        <w:t xml:space="preserve"> el Plan Estratégico para las Especies Migratorias 2015-2023 tal como se adjunta en el Anexo 1 a la presente Resolución; </w:t>
      </w:r>
    </w:p>
    <w:p w14:paraId="4681181F" w14:textId="77777777" w:rsidR="00B15943" w:rsidRPr="00AE772B" w:rsidRDefault="00B15943" w:rsidP="00B15943">
      <w:pPr>
        <w:rPr>
          <w:rFonts w:cs="Arial"/>
          <w:noProof/>
          <w:sz w:val="22"/>
          <w:szCs w:val="22"/>
          <w:lang w:val="es-ES_tradnl"/>
        </w:rPr>
      </w:pPr>
    </w:p>
    <w:p w14:paraId="7A427CE4" w14:textId="5CDDA998" w:rsidR="002140AF" w:rsidRPr="00AE772B" w:rsidRDefault="002140AF" w:rsidP="00566EA6">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strike/>
          <w:noProof/>
          <w:lang w:val="es-ES_tradnl"/>
        </w:rPr>
        <w:t>Solicita</w:t>
      </w:r>
      <w:r w:rsidRPr="00AE772B">
        <w:rPr>
          <w:rFonts w:ascii="Arial" w:hAnsi="Arial" w:cs="Arial"/>
          <w:noProof/>
          <w:lang w:val="es-ES_tradnl"/>
        </w:rPr>
        <w:t xml:space="preserve"> </w:t>
      </w:r>
      <w:r w:rsidRPr="00AE772B">
        <w:rPr>
          <w:rFonts w:ascii="Arial" w:hAnsi="Arial" w:cs="Arial"/>
          <w:i/>
          <w:noProof/>
          <w:u w:val="single"/>
          <w:lang w:val="es-ES_tradnl"/>
        </w:rPr>
        <w:t>Reitera</w:t>
      </w:r>
      <w:r w:rsidRPr="00AE772B">
        <w:rPr>
          <w:rFonts w:ascii="Arial" w:hAnsi="Arial" w:cs="Arial"/>
          <w:noProof/>
          <w:u w:val="single"/>
          <w:lang w:val="es-ES_tradnl"/>
        </w:rPr>
        <w:t xml:space="preserve"> su petición</w:t>
      </w:r>
      <w:r w:rsidRPr="00AE772B">
        <w:rPr>
          <w:rFonts w:ascii="Arial" w:hAnsi="Arial" w:cs="Arial"/>
          <w:noProof/>
          <w:lang w:val="es-ES_tradnl"/>
        </w:rPr>
        <w:t xml:space="preserve"> a la Secretaría de integrar los objetivos y metas del Plan Estratégico en los programas de trabajo bajo la Convención, y que adopte medidas para aumentar la concienciación sobre el Plan; </w:t>
      </w:r>
    </w:p>
    <w:p w14:paraId="19880712" w14:textId="77777777" w:rsidR="00B15943" w:rsidRPr="00AE772B" w:rsidRDefault="00B15943" w:rsidP="00B15943">
      <w:pPr>
        <w:rPr>
          <w:rFonts w:cs="Arial"/>
          <w:noProof/>
          <w:sz w:val="22"/>
          <w:szCs w:val="22"/>
          <w:lang w:val="es-ES_tradnl"/>
        </w:rPr>
      </w:pPr>
      <w:r w:rsidRPr="00AE772B">
        <w:rPr>
          <w:rFonts w:cs="Arial"/>
          <w:noProof/>
          <w:sz w:val="22"/>
          <w:szCs w:val="22"/>
          <w:lang w:val="es-ES_tradnl"/>
        </w:rPr>
        <w:t xml:space="preserve"> </w:t>
      </w:r>
    </w:p>
    <w:p w14:paraId="7A35BC6D" w14:textId="7C46BA5B" w:rsidR="00566EA6" w:rsidRPr="00AE772B" w:rsidRDefault="00566EA6" w:rsidP="00566EA6">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Insta</w:t>
      </w:r>
      <w:r w:rsidRPr="00AE772B">
        <w:rPr>
          <w:rFonts w:ascii="Arial" w:hAnsi="Arial" w:cs="Arial"/>
          <w:noProof/>
          <w:lang w:val="es-ES_tradnl"/>
        </w:rPr>
        <w:t xml:space="preserve"> a las Partes e invita a otros Estados, la familia de instrumentos de la CMS, organismos multilaterales, organizaciones intergubernamentales y organizaciones de la sociedad civil que trabajan en la conservación de las especies migratorias a integrar los objetivos y metas del Plan Estratégico en los instrumentos de política y de planificación pertinentes, y también a tomar medidas para dar a conocer el Plan;</w:t>
      </w:r>
    </w:p>
    <w:p w14:paraId="6D00DE42" w14:textId="77777777" w:rsidR="00B15943" w:rsidRPr="00AE772B" w:rsidRDefault="00B15943" w:rsidP="00B15943">
      <w:pPr>
        <w:rPr>
          <w:rFonts w:cs="Arial"/>
          <w:noProof/>
          <w:sz w:val="22"/>
          <w:szCs w:val="22"/>
          <w:lang w:val="es-ES_tradnl"/>
        </w:rPr>
      </w:pPr>
    </w:p>
    <w:p w14:paraId="2B712454" w14:textId="5C283C8F" w:rsidR="00311B67" w:rsidRPr="00AE772B" w:rsidRDefault="00311B67" w:rsidP="00311B67">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Invita</w:t>
      </w:r>
      <w:r w:rsidRPr="00AE772B">
        <w:rPr>
          <w:rFonts w:ascii="Arial" w:hAnsi="Arial" w:cs="Arial"/>
          <w:noProof/>
          <w:lang w:val="es-ES_tradnl"/>
        </w:rPr>
        <w:t xml:space="preserve"> a </w:t>
      </w:r>
      <w:r w:rsidRPr="00AE772B">
        <w:rPr>
          <w:rFonts w:ascii="Arial" w:hAnsi="Arial" w:cs="Arial"/>
          <w:strike/>
          <w:noProof/>
          <w:lang w:val="es-ES_tradnl"/>
        </w:rPr>
        <w:t>los</w:t>
      </w:r>
      <w:r w:rsidRPr="00AE772B">
        <w:rPr>
          <w:rFonts w:ascii="Arial" w:hAnsi="Arial" w:cs="Arial"/>
          <w:noProof/>
          <w:lang w:val="es-ES_tradnl"/>
        </w:rPr>
        <w:t xml:space="preserve"> </w:t>
      </w:r>
      <w:r w:rsidRPr="00AE772B">
        <w:rPr>
          <w:rFonts w:ascii="Arial" w:hAnsi="Arial" w:cs="Arial"/>
          <w:noProof/>
          <w:u w:val="single"/>
          <w:lang w:val="es-ES_tradnl"/>
        </w:rPr>
        <w:t>aquellos</w:t>
      </w:r>
      <w:r w:rsidRPr="00AE772B">
        <w:rPr>
          <w:rFonts w:ascii="Arial" w:hAnsi="Arial" w:cs="Arial"/>
          <w:noProof/>
          <w:lang w:val="es-ES_tradnl"/>
        </w:rPr>
        <w:t xml:space="preserve"> órganos de toma de decisiones de los instrumentos de la CMS </w:t>
      </w:r>
      <w:r w:rsidRPr="00AE772B">
        <w:rPr>
          <w:rFonts w:ascii="Arial" w:hAnsi="Arial" w:cs="Arial"/>
          <w:noProof/>
          <w:u w:val="single"/>
          <w:lang w:val="es-ES_tradnl"/>
        </w:rPr>
        <w:t>que todavía no lo hayan hecho</w:t>
      </w:r>
      <w:r w:rsidRPr="00AE772B">
        <w:rPr>
          <w:rFonts w:ascii="Arial" w:hAnsi="Arial" w:cs="Arial"/>
          <w:noProof/>
          <w:lang w:val="es-ES_tradnl"/>
        </w:rPr>
        <w:t>, a tener en cuenta la adopción del Plan Estratégico en sus próximas reuniones;</w:t>
      </w:r>
    </w:p>
    <w:p w14:paraId="042FD0A3" w14:textId="4C257A56" w:rsidR="00B15943" w:rsidRPr="00AE772B" w:rsidRDefault="00B15943" w:rsidP="00B15943">
      <w:pPr>
        <w:pStyle w:val="ListParagraph"/>
        <w:widowControl w:val="0"/>
        <w:ind w:left="0"/>
        <w:jc w:val="both"/>
        <w:rPr>
          <w:rFonts w:ascii="Arial" w:hAnsi="Arial" w:cs="Arial"/>
          <w:noProof/>
          <w:lang w:val="es-ES_tradnl" w:eastAsia="en-GB"/>
        </w:rPr>
      </w:pPr>
    </w:p>
    <w:p w14:paraId="007DB9C0" w14:textId="053DC3C7" w:rsidR="00311B67" w:rsidRPr="00AE772B" w:rsidRDefault="00311B67" w:rsidP="00311B67">
      <w:pPr>
        <w:pStyle w:val="ListParagraph"/>
        <w:widowControl w:val="0"/>
        <w:ind w:hanging="720"/>
        <w:jc w:val="both"/>
        <w:rPr>
          <w:rFonts w:ascii="Arial" w:hAnsi="Arial" w:cs="Arial"/>
          <w:i/>
          <w:noProof/>
          <w:lang w:val="es-ES_tradnl" w:eastAsia="en-GB"/>
        </w:rPr>
      </w:pPr>
      <w:r w:rsidRPr="00AE772B">
        <w:rPr>
          <w:rFonts w:ascii="Arial" w:hAnsi="Arial" w:cs="Arial"/>
          <w:i/>
          <w:noProof/>
          <w:lang w:val="es-ES_tradnl"/>
        </w:rPr>
        <w:t xml:space="preserve">Sub-metas para apoyar las metas del Plan Estratégico </w:t>
      </w:r>
    </w:p>
    <w:p w14:paraId="411F40BB" w14:textId="77777777" w:rsidR="00B15943" w:rsidRPr="00AE772B" w:rsidRDefault="00B15943" w:rsidP="00B15943">
      <w:pPr>
        <w:pStyle w:val="ListParagraph"/>
        <w:widowControl w:val="0"/>
        <w:ind w:left="0"/>
        <w:jc w:val="both"/>
        <w:rPr>
          <w:rFonts w:ascii="Arial" w:hAnsi="Arial" w:cs="Arial"/>
          <w:noProof/>
          <w:lang w:val="es-ES_tradnl" w:eastAsia="en-GB"/>
        </w:rPr>
      </w:pPr>
    </w:p>
    <w:p w14:paraId="76D4F69A" w14:textId="1CF69F2F" w:rsidR="00AE772B" w:rsidRPr="009A2BDF" w:rsidRDefault="00AE772B" w:rsidP="00AE772B">
      <w:pPr>
        <w:pStyle w:val="ListParagraph"/>
        <w:widowControl w:val="0"/>
        <w:numPr>
          <w:ilvl w:val="0"/>
          <w:numId w:val="2"/>
        </w:numPr>
        <w:ind w:left="360"/>
        <w:contextualSpacing w:val="0"/>
        <w:jc w:val="both"/>
        <w:rPr>
          <w:rFonts w:ascii="Arial" w:hAnsi="Arial" w:cs="Arial"/>
          <w:noProof/>
          <w:lang w:val="es-ES_tradnl" w:eastAsia="en-GB"/>
        </w:rPr>
      </w:pPr>
      <w:r w:rsidRPr="00AE772B">
        <w:rPr>
          <w:rFonts w:ascii="Arial" w:hAnsi="Arial" w:cs="Arial"/>
          <w:i/>
          <w:noProof/>
          <w:lang w:val="es-ES_tradnl"/>
        </w:rPr>
        <w:t>Alienta</w:t>
      </w:r>
      <w:r w:rsidRPr="00AE772B">
        <w:rPr>
          <w:rFonts w:ascii="Arial" w:hAnsi="Arial" w:cs="Arial"/>
          <w:noProof/>
          <w:lang w:val="es-ES_tradnl"/>
        </w:rPr>
        <w:t xml:space="preserve"> a los órganos de toma de decisiones de los instrumentos de la CMS, así como otros socios y partes interesadas que trabajan para la conservación de las especies migratorias, según proceda, a identificar sub-metas existentes o desarrollar nuevas, para las especies y las cuestiones pertinentes a los instrumentos y organizaciones que apoyan el logro de las metas del plan Estratégico para las especies migratorias; e </w:t>
      </w:r>
      <w:r w:rsidRPr="009A2BDF">
        <w:rPr>
          <w:rFonts w:ascii="Arial" w:hAnsi="Arial" w:cs="Arial"/>
          <w:noProof/>
          <w:lang w:val="es-ES_tradnl"/>
        </w:rPr>
        <w:t xml:space="preserve">informar a la Secretaría de la CMS de tales sub-metas; </w:t>
      </w:r>
    </w:p>
    <w:p w14:paraId="7DBE8269" w14:textId="77777777" w:rsidR="00B15943" w:rsidRPr="009A2BDF" w:rsidRDefault="00B15943" w:rsidP="00B15943">
      <w:pPr>
        <w:rPr>
          <w:rFonts w:cs="Arial"/>
          <w:noProof/>
          <w:sz w:val="22"/>
          <w:szCs w:val="22"/>
          <w:lang w:val="es-ES_tradnl"/>
        </w:rPr>
      </w:pPr>
    </w:p>
    <w:p w14:paraId="255D4568" w14:textId="7EE6E2B0" w:rsidR="00B25AD6" w:rsidRPr="009A2BDF" w:rsidRDefault="00B25AD6" w:rsidP="00B25AD6">
      <w:pPr>
        <w:pStyle w:val="ListParagraph"/>
        <w:widowControl w:val="0"/>
        <w:numPr>
          <w:ilvl w:val="0"/>
          <w:numId w:val="2"/>
        </w:numPr>
        <w:ind w:left="360"/>
        <w:contextualSpacing w:val="0"/>
        <w:jc w:val="both"/>
        <w:rPr>
          <w:rFonts w:ascii="Arial" w:hAnsi="Arial" w:cs="Arial"/>
          <w:noProof/>
          <w:color w:val="000000"/>
          <w:lang w:val="es-ES_tradnl"/>
        </w:rPr>
      </w:pPr>
      <w:r w:rsidRPr="009A2BDF">
        <w:rPr>
          <w:rFonts w:ascii="Arial" w:hAnsi="Arial" w:cs="Arial"/>
          <w:i/>
          <w:noProof/>
          <w:lang w:val="es-ES_tradnl"/>
        </w:rPr>
        <w:lastRenderedPageBreak/>
        <w:t>Solicita</w:t>
      </w:r>
      <w:r w:rsidRPr="009A2BDF">
        <w:rPr>
          <w:rFonts w:ascii="Arial" w:hAnsi="Arial" w:cs="Arial"/>
          <w:noProof/>
          <w:lang w:val="es-ES_tradnl"/>
        </w:rPr>
        <w:t xml:space="preserve"> a la Secretaría que mantenga un registro de las sub-metas como un documento “vivo” que se pueda complementar y actualizar de acuerdo a las contribuciones de la familia de instrumentos de la CMS y de otros socios y partes interesadas que deseen contribuir, y que proporcione </w:t>
      </w:r>
      <w:r w:rsidRPr="009A2BDF">
        <w:rPr>
          <w:rFonts w:ascii="Arial" w:hAnsi="Arial" w:cs="Arial"/>
          <w:noProof/>
          <w:u w:val="single"/>
          <w:lang w:val="es-ES_tradnl"/>
        </w:rPr>
        <w:t>un informe sobre el</w:t>
      </w:r>
      <w:r w:rsidRPr="009A2BDF">
        <w:rPr>
          <w:rFonts w:ascii="Arial" w:hAnsi="Arial" w:cs="Arial"/>
          <w:noProof/>
          <w:lang w:val="es-ES_tradnl"/>
        </w:rPr>
        <w:t xml:space="preserve"> </w:t>
      </w:r>
      <w:r w:rsidRPr="009A2BDF">
        <w:rPr>
          <w:rFonts w:ascii="Arial" w:hAnsi="Arial" w:cs="Arial"/>
          <w:strike/>
          <w:noProof/>
          <w:lang w:val="es-ES_tradnl"/>
        </w:rPr>
        <w:t>actualizaciones sobre adiciones al</w:t>
      </w:r>
      <w:r w:rsidRPr="009A2BDF">
        <w:rPr>
          <w:rFonts w:ascii="Arial" w:hAnsi="Arial" w:cs="Arial"/>
          <w:noProof/>
          <w:lang w:val="es-ES_tradnl"/>
        </w:rPr>
        <w:t xml:space="preserve"> registro en las futuras reuniones de la Conferencia de las Partes durante la duración del Plan Estratégico; </w:t>
      </w:r>
    </w:p>
    <w:p w14:paraId="4E0C2C62" w14:textId="77777777" w:rsidR="00B25AD6" w:rsidRPr="009A2BDF" w:rsidRDefault="00B25AD6" w:rsidP="00B25AD6">
      <w:pPr>
        <w:jc w:val="both"/>
        <w:rPr>
          <w:rFonts w:cs="Arial"/>
          <w:noProof/>
          <w:color w:val="000000"/>
          <w:lang w:val="es-ES_tradnl"/>
        </w:rPr>
      </w:pPr>
    </w:p>
    <w:p w14:paraId="0AA1020E" w14:textId="6AB9D79C" w:rsidR="00B15943" w:rsidRPr="009A2BDF" w:rsidRDefault="00B25AD6" w:rsidP="00B25AD6">
      <w:pPr>
        <w:jc w:val="both"/>
        <w:rPr>
          <w:rFonts w:cs="Arial"/>
          <w:i/>
          <w:noProof/>
          <w:sz w:val="22"/>
          <w:szCs w:val="22"/>
          <w:lang w:val="es-ES_tradnl" w:eastAsia="en-GB"/>
        </w:rPr>
      </w:pPr>
      <w:r w:rsidRPr="009A2BDF">
        <w:rPr>
          <w:rFonts w:cs="Arial"/>
          <w:i/>
          <w:noProof/>
          <w:sz w:val="22"/>
          <w:szCs w:val="22"/>
          <w:lang w:val="es-ES_tradnl"/>
        </w:rPr>
        <w:t>Indicadores y Volumen Complementario</w:t>
      </w:r>
    </w:p>
    <w:p w14:paraId="5DD88882" w14:textId="77777777" w:rsidR="00B15943" w:rsidRPr="009A2BDF" w:rsidRDefault="00B15943" w:rsidP="00B15943">
      <w:pPr>
        <w:rPr>
          <w:rFonts w:cs="Arial"/>
          <w:noProof/>
          <w:sz w:val="22"/>
          <w:szCs w:val="22"/>
          <w:lang w:val="es-ES_tradnl"/>
        </w:rPr>
      </w:pPr>
    </w:p>
    <w:p w14:paraId="0354E30F" w14:textId="21A139B5" w:rsidR="00251C3A" w:rsidRPr="009A2BDF" w:rsidRDefault="00251C3A" w:rsidP="005B6D40">
      <w:pPr>
        <w:pStyle w:val="ListParagraph"/>
        <w:widowControl w:val="0"/>
        <w:numPr>
          <w:ilvl w:val="0"/>
          <w:numId w:val="2"/>
        </w:numPr>
        <w:ind w:left="360"/>
        <w:contextualSpacing w:val="0"/>
        <w:jc w:val="both"/>
        <w:rPr>
          <w:rFonts w:ascii="Arial" w:hAnsi="Arial" w:cs="Arial"/>
          <w:strike/>
          <w:noProof/>
          <w:lang w:val="es-ES_tradnl" w:eastAsia="en-GB"/>
        </w:rPr>
      </w:pPr>
      <w:r w:rsidRPr="009A2BDF">
        <w:rPr>
          <w:rFonts w:ascii="Arial" w:hAnsi="Arial" w:cs="Arial"/>
          <w:i/>
          <w:strike/>
          <w:noProof/>
          <w:lang w:val="es-ES_tradnl"/>
        </w:rPr>
        <w:t>Toma nota</w:t>
      </w:r>
      <w:r w:rsidRPr="009A2BDF">
        <w:rPr>
          <w:rFonts w:ascii="Arial" w:hAnsi="Arial" w:cs="Arial"/>
          <w:strike/>
          <w:noProof/>
          <w:lang w:val="es-ES_tradnl"/>
        </w:rPr>
        <w:t xml:space="preserve"> de los indicadores principales indicativos y del esbozo del Volumen Complementario presentados en el documento PNUMA/CMS/Conf.11/Doc.15.2; </w:t>
      </w:r>
    </w:p>
    <w:p w14:paraId="48C54518" w14:textId="77777777" w:rsidR="00B15943" w:rsidRPr="009A2BDF" w:rsidRDefault="00B15943" w:rsidP="00B15943">
      <w:pPr>
        <w:pStyle w:val="ListParagraph"/>
        <w:widowControl w:val="0"/>
        <w:ind w:left="0"/>
        <w:contextualSpacing w:val="0"/>
        <w:jc w:val="both"/>
        <w:rPr>
          <w:rFonts w:ascii="Arial" w:hAnsi="Arial" w:cs="Arial"/>
          <w:noProof/>
          <w:lang w:val="es-ES_tradnl" w:eastAsia="en-GB"/>
        </w:rPr>
      </w:pPr>
    </w:p>
    <w:p w14:paraId="52F881AF" w14:textId="3FE3427E" w:rsidR="00B15943" w:rsidRPr="009A2BDF" w:rsidRDefault="00B15943" w:rsidP="00720BE7">
      <w:pPr>
        <w:pStyle w:val="ListParagraph"/>
        <w:widowControl w:val="0"/>
        <w:ind w:left="360" w:hanging="360"/>
        <w:contextualSpacing w:val="0"/>
        <w:jc w:val="both"/>
        <w:rPr>
          <w:rFonts w:ascii="Arial" w:hAnsi="Arial" w:cs="Arial"/>
          <w:noProof/>
          <w:u w:val="single"/>
          <w:lang w:val="es-ES_tradnl" w:eastAsia="en-GB"/>
        </w:rPr>
      </w:pPr>
      <w:r w:rsidRPr="009A2BDF">
        <w:rPr>
          <w:rFonts w:ascii="Arial" w:hAnsi="Arial" w:cs="Arial"/>
          <w:noProof/>
          <w:u w:val="single"/>
          <w:lang w:val="es-ES_tradnl" w:eastAsia="en-GB"/>
        </w:rPr>
        <w:t>7 bis.</w:t>
      </w:r>
      <w:r w:rsidRPr="009A2BDF">
        <w:rPr>
          <w:rFonts w:ascii="Arial" w:hAnsi="Arial" w:cs="Arial"/>
          <w:noProof/>
          <w:u w:val="single"/>
          <w:lang w:val="es-ES_tradnl" w:eastAsia="en-GB"/>
        </w:rPr>
        <w:tab/>
      </w:r>
      <w:r w:rsidR="005B6D40" w:rsidRPr="009A2BDF">
        <w:rPr>
          <w:rFonts w:ascii="Arial" w:hAnsi="Arial" w:cs="Arial"/>
          <w:i/>
          <w:noProof/>
          <w:u w:val="single"/>
          <w:lang w:val="es-ES_tradnl" w:eastAsia="en-GB"/>
        </w:rPr>
        <w:t>Adopta</w:t>
      </w:r>
      <w:r w:rsidR="005B6D40" w:rsidRPr="009A2BDF">
        <w:rPr>
          <w:rFonts w:ascii="Arial" w:hAnsi="Arial" w:cs="Arial"/>
          <w:noProof/>
          <w:u w:val="single"/>
          <w:lang w:val="es-ES_tradnl" w:eastAsia="en-GB"/>
        </w:rPr>
        <w:t xml:space="preserve"> la lista de indicadores en el Anexo B del Plan Estraté</w:t>
      </w:r>
      <w:r w:rsidR="0095736B" w:rsidRPr="009A2BDF">
        <w:rPr>
          <w:rFonts w:ascii="Arial" w:hAnsi="Arial" w:cs="Arial"/>
          <w:noProof/>
          <w:u w:val="single"/>
          <w:lang w:val="es-ES_tradnl" w:eastAsia="en-GB"/>
        </w:rPr>
        <w:t>gico que ayudarán</w:t>
      </w:r>
      <w:r w:rsidR="005B6D40" w:rsidRPr="009A2BDF">
        <w:rPr>
          <w:rFonts w:ascii="Arial" w:hAnsi="Arial" w:cs="Arial"/>
          <w:noProof/>
          <w:u w:val="single"/>
          <w:lang w:val="es-ES_tradnl" w:eastAsia="en-GB"/>
        </w:rPr>
        <w:t xml:space="preserve"> </w:t>
      </w:r>
      <w:r w:rsidR="0095736B" w:rsidRPr="009A2BDF">
        <w:rPr>
          <w:rFonts w:ascii="Arial" w:hAnsi="Arial" w:cs="Arial"/>
          <w:noProof/>
          <w:u w:val="single"/>
          <w:lang w:val="es-ES_tradnl" w:eastAsia="en-GB"/>
        </w:rPr>
        <w:t>a monitorear el progreso hacia la consecu</w:t>
      </w:r>
      <w:r w:rsidR="005B6D40" w:rsidRPr="009A2BDF">
        <w:rPr>
          <w:rFonts w:ascii="Arial" w:hAnsi="Arial" w:cs="Arial"/>
          <w:noProof/>
          <w:u w:val="single"/>
          <w:lang w:val="es-ES_tradnl" w:eastAsia="en-GB"/>
        </w:rPr>
        <w:t>ción de las 16 metas del Plan Estratégico;</w:t>
      </w:r>
    </w:p>
    <w:p w14:paraId="2690E589" w14:textId="77777777" w:rsidR="00F86FB7" w:rsidRPr="009A2BDF" w:rsidRDefault="00F86FB7" w:rsidP="00720BE7">
      <w:pPr>
        <w:pStyle w:val="ListParagraph"/>
        <w:widowControl w:val="0"/>
        <w:ind w:left="360" w:hanging="360"/>
        <w:contextualSpacing w:val="0"/>
        <w:jc w:val="both"/>
        <w:rPr>
          <w:rFonts w:ascii="Arial" w:hAnsi="Arial" w:cs="Arial"/>
          <w:noProof/>
          <w:u w:val="single"/>
          <w:lang w:val="es-ES_tradnl" w:eastAsia="en-GB"/>
        </w:rPr>
      </w:pPr>
    </w:p>
    <w:p w14:paraId="3376F2FE" w14:textId="796A6CD6" w:rsidR="006361BE" w:rsidRPr="009A2BDF" w:rsidRDefault="006361BE" w:rsidP="006361BE">
      <w:pPr>
        <w:pStyle w:val="ListParagraph"/>
        <w:widowControl w:val="0"/>
        <w:numPr>
          <w:ilvl w:val="0"/>
          <w:numId w:val="2"/>
        </w:numPr>
        <w:ind w:left="360"/>
        <w:contextualSpacing w:val="0"/>
        <w:jc w:val="both"/>
        <w:rPr>
          <w:rFonts w:ascii="Arial" w:hAnsi="Arial" w:cs="Arial"/>
          <w:strike/>
          <w:noProof/>
          <w:lang w:val="es-ES_tradnl" w:eastAsia="en-GB"/>
        </w:rPr>
      </w:pPr>
      <w:r w:rsidRPr="009A2BDF">
        <w:rPr>
          <w:rFonts w:ascii="Arial" w:hAnsi="Arial" w:cs="Arial"/>
          <w:i/>
          <w:strike/>
          <w:noProof/>
          <w:lang w:val="es-ES_tradnl"/>
        </w:rPr>
        <w:t>Confirma</w:t>
      </w:r>
      <w:r w:rsidRPr="009A2BDF">
        <w:rPr>
          <w:rFonts w:ascii="Arial" w:hAnsi="Arial" w:cs="Arial"/>
          <w:strike/>
          <w:noProof/>
          <w:lang w:val="es-ES_tradnl"/>
        </w:rPr>
        <w:t xml:space="preserve"> la necesidad de promover trabajo adicional entre períodos de sesiones para fortalecer el conjunto de materiales a fin de apoyar la implementación del Plan Estratégico, incluyendo: </w:t>
      </w:r>
    </w:p>
    <w:p w14:paraId="6C38B052" w14:textId="77777777" w:rsidR="00B15943" w:rsidRPr="009A2BDF" w:rsidRDefault="00B15943" w:rsidP="00720BE7">
      <w:pPr>
        <w:jc w:val="both"/>
        <w:rPr>
          <w:rFonts w:cs="Arial"/>
          <w:strike/>
          <w:noProof/>
          <w:sz w:val="22"/>
          <w:szCs w:val="22"/>
          <w:lang w:val="es-ES_tradnl"/>
        </w:rPr>
      </w:pPr>
    </w:p>
    <w:p w14:paraId="1D60F47D" w14:textId="0B2A7A40" w:rsidR="00680481" w:rsidRPr="0054250B" w:rsidRDefault="00680481" w:rsidP="0016362C">
      <w:pPr>
        <w:numPr>
          <w:ilvl w:val="0"/>
          <w:numId w:val="10"/>
        </w:numPr>
        <w:ind w:left="709" w:hanging="709"/>
        <w:jc w:val="both"/>
        <w:rPr>
          <w:rFonts w:cs="Arial"/>
          <w:strike/>
          <w:noProof/>
          <w:sz w:val="22"/>
          <w:szCs w:val="22"/>
          <w:lang w:val="es-ES_tradnl"/>
        </w:rPr>
      </w:pPr>
      <w:r w:rsidRPr="0054250B">
        <w:rPr>
          <w:rFonts w:cs="Arial"/>
          <w:strike/>
          <w:noProof/>
          <w:sz w:val="22"/>
          <w:szCs w:val="22"/>
          <w:lang w:val="es-ES_tradnl"/>
        </w:rPr>
        <w:t xml:space="preserve">indicadores para el Plan Estratégico para las especies migratorias, tomando en cuenta el trabajo actual, como por ejemplo bajo la Alianza sobre Indicadores de Biodiversidad global; y </w:t>
      </w:r>
    </w:p>
    <w:p w14:paraId="56403BE1" w14:textId="77777777" w:rsidR="00B15943" w:rsidRPr="0054250B" w:rsidRDefault="00B15943" w:rsidP="00720BE7">
      <w:pPr>
        <w:ind w:left="709" w:hanging="709"/>
        <w:jc w:val="both"/>
        <w:rPr>
          <w:rFonts w:cs="Arial"/>
          <w:strike/>
          <w:noProof/>
          <w:sz w:val="22"/>
          <w:szCs w:val="22"/>
          <w:lang w:val="es-ES_tradnl"/>
        </w:rPr>
      </w:pPr>
    </w:p>
    <w:p w14:paraId="3BC24A75" w14:textId="1979BCA6" w:rsidR="0016362C" w:rsidRPr="0054250B" w:rsidRDefault="0016362C" w:rsidP="0016362C">
      <w:pPr>
        <w:numPr>
          <w:ilvl w:val="0"/>
          <w:numId w:val="10"/>
        </w:numPr>
        <w:ind w:left="709" w:hanging="709"/>
        <w:jc w:val="both"/>
        <w:rPr>
          <w:rFonts w:cs="Arial"/>
          <w:strike/>
          <w:noProof/>
          <w:sz w:val="22"/>
          <w:szCs w:val="22"/>
          <w:lang w:val="es-ES_tradnl"/>
        </w:rPr>
      </w:pPr>
      <w:r w:rsidRPr="0054250B">
        <w:rPr>
          <w:rFonts w:cs="Arial"/>
          <w:strike/>
          <w:noProof/>
          <w:sz w:val="22"/>
          <w:szCs w:val="22"/>
          <w:lang w:val="es-ES_tradnl"/>
        </w:rPr>
        <w:t>un Volumen Complementario relativo a la implementación del nuevo Plan Estratégico, basado en las herramientas disponibles, para proporcionar orientación sobre la implementación del Plan;</w:t>
      </w:r>
    </w:p>
    <w:p w14:paraId="0F7109D8" w14:textId="77777777" w:rsidR="00B15943" w:rsidRPr="0054250B" w:rsidRDefault="00B15943" w:rsidP="00720BE7">
      <w:pPr>
        <w:jc w:val="both"/>
        <w:rPr>
          <w:rFonts w:cs="Arial"/>
          <w:noProof/>
          <w:sz w:val="22"/>
          <w:szCs w:val="22"/>
          <w:lang w:val="es-ES_tradnl"/>
        </w:rPr>
      </w:pPr>
    </w:p>
    <w:p w14:paraId="7E9358E4" w14:textId="4E4FCD7D" w:rsidR="00B15943" w:rsidRPr="0054250B" w:rsidRDefault="00B15943" w:rsidP="0089035D">
      <w:pPr>
        <w:tabs>
          <w:tab w:val="left" w:pos="360"/>
        </w:tabs>
        <w:ind w:left="360" w:hanging="360"/>
        <w:jc w:val="both"/>
        <w:rPr>
          <w:rFonts w:cs="Arial"/>
          <w:noProof/>
          <w:sz w:val="22"/>
          <w:szCs w:val="22"/>
          <w:u w:val="single"/>
          <w:lang w:val="es-ES_tradnl"/>
        </w:rPr>
      </w:pPr>
      <w:r w:rsidRPr="0054250B">
        <w:rPr>
          <w:rFonts w:cs="Arial"/>
          <w:noProof/>
          <w:sz w:val="22"/>
          <w:szCs w:val="22"/>
          <w:u w:val="single"/>
          <w:lang w:val="es-ES_tradnl"/>
        </w:rPr>
        <w:t>8 bis.</w:t>
      </w:r>
      <w:r w:rsidRPr="0054250B">
        <w:rPr>
          <w:rFonts w:cs="Arial"/>
          <w:noProof/>
          <w:sz w:val="22"/>
          <w:szCs w:val="22"/>
          <w:u w:val="single"/>
          <w:lang w:val="es-ES_tradnl"/>
        </w:rPr>
        <w:tab/>
      </w:r>
      <w:r w:rsidR="009F110F" w:rsidRPr="0054250B">
        <w:rPr>
          <w:rFonts w:cs="Arial"/>
          <w:i/>
          <w:noProof/>
          <w:sz w:val="22"/>
          <w:szCs w:val="22"/>
          <w:u w:val="single"/>
          <w:lang w:val="es-ES_tradnl"/>
        </w:rPr>
        <w:t>Respalda</w:t>
      </w:r>
      <w:r w:rsidR="009F110F" w:rsidRPr="0054250B">
        <w:rPr>
          <w:rFonts w:cs="Arial"/>
          <w:noProof/>
          <w:sz w:val="22"/>
          <w:szCs w:val="22"/>
          <w:u w:val="single"/>
          <w:lang w:val="es-ES_tradnl"/>
        </w:rPr>
        <w:t xml:space="preserve"> el enfoque de publicar el Volumen Complementario como un recurso en línea en evolución alojado en la página web de la CMS como se describe en el documento UNEP/CMS/COP12/Doc.15, </w:t>
      </w:r>
      <w:r w:rsidR="009F110F" w:rsidRPr="0054250B">
        <w:rPr>
          <w:rFonts w:cs="Arial"/>
          <w:i/>
          <w:noProof/>
          <w:sz w:val="22"/>
          <w:szCs w:val="22"/>
          <w:u w:val="single"/>
          <w:lang w:val="es-ES_tradnl"/>
        </w:rPr>
        <w:t>insta</w:t>
      </w:r>
      <w:r w:rsidR="009F110F" w:rsidRPr="0054250B">
        <w:rPr>
          <w:rFonts w:cs="Arial"/>
          <w:noProof/>
          <w:sz w:val="22"/>
          <w:szCs w:val="22"/>
          <w:u w:val="single"/>
          <w:lang w:val="es-ES_tradnl"/>
        </w:rPr>
        <w:t xml:space="preserve"> a las Partes e </w:t>
      </w:r>
      <w:r w:rsidR="009F110F" w:rsidRPr="0054250B">
        <w:rPr>
          <w:rFonts w:cs="Arial"/>
          <w:i/>
          <w:noProof/>
          <w:sz w:val="22"/>
          <w:szCs w:val="22"/>
          <w:u w:val="single"/>
          <w:lang w:val="es-ES_tradnl"/>
        </w:rPr>
        <w:t>invita</w:t>
      </w:r>
      <w:r w:rsidR="009F110F" w:rsidRPr="0054250B">
        <w:rPr>
          <w:rFonts w:cs="Arial"/>
          <w:noProof/>
          <w:sz w:val="22"/>
          <w:szCs w:val="22"/>
          <w:u w:val="single"/>
          <w:lang w:val="es-ES_tradnl"/>
        </w:rPr>
        <w:t xml:space="preserve"> a otros a hacer pleno uso del Volumen Complementario</w:t>
      </w:r>
      <w:r w:rsidR="00995503" w:rsidRPr="0054250B">
        <w:rPr>
          <w:rFonts w:cs="Arial"/>
          <w:noProof/>
          <w:sz w:val="22"/>
          <w:szCs w:val="22"/>
          <w:u w:val="single"/>
          <w:lang w:val="es-ES_tradnl"/>
        </w:rPr>
        <w:t xml:space="preserve"> para apoyar su implementación del Plan Estratégico, y </w:t>
      </w:r>
      <w:r w:rsidR="00995503" w:rsidRPr="0054250B">
        <w:rPr>
          <w:rFonts w:cs="Arial"/>
          <w:i/>
          <w:noProof/>
          <w:sz w:val="22"/>
          <w:szCs w:val="22"/>
          <w:u w:val="single"/>
          <w:lang w:val="es-ES_tradnl"/>
        </w:rPr>
        <w:t>solicita</w:t>
      </w:r>
      <w:r w:rsidR="00995503" w:rsidRPr="0054250B">
        <w:rPr>
          <w:rFonts w:cs="Arial"/>
          <w:noProof/>
          <w:sz w:val="22"/>
          <w:szCs w:val="22"/>
          <w:u w:val="single"/>
          <w:lang w:val="es-ES_tradnl"/>
        </w:rPr>
        <w:t xml:space="preserve"> </w:t>
      </w:r>
      <w:r w:rsidR="00F767B7" w:rsidRPr="0054250B">
        <w:rPr>
          <w:rFonts w:cs="Arial"/>
          <w:noProof/>
          <w:sz w:val="22"/>
          <w:szCs w:val="22"/>
          <w:u w:val="single"/>
          <w:lang w:val="es-ES_tradnl"/>
        </w:rPr>
        <w:t xml:space="preserve">a </w:t>
      </w:r>
      <w:r w:rsidR="0095648A" w:rsidRPr="0054250B">
        <w:rPr>
          <w:rFonts w:cs="Arial"/>
          <w:noProof/>
          <w:sz w:val="22"/>
          <w:szCs w:val="22"/>
          <w:u w:val="single"/>
          <w:lang w:val="es-ES_tradnl"/>
        </w:rPr>
        <w:t xml:space="preserve">los instrumentos de la Familia CMS </w:t>
      </w:r>
      <w:r w:rsidR="00F767B7" w:rsidRPr="0054250B">
        <w:rPr>
          <w:rFonts w:cs="Arial"/>
          <w:noProof/>
          <w:sz w:val="22"/>
          <w:szCs w:val="22"/>
          <w:u w:val="single"/>
          <w:lang w:val="es-ES_tradnl"/>
        </w:rPr>
        <w:t xml:space="preserve">que aporten información relevante </w:t>
      </w:r>
      <w:r w:rsidR="0095648A" w:rsidRPr="0054250B">
        <w:rPr>
          <w:rFonts w:cs="Arial"/>
          <w:noProof/>
          <w:sz w:val="22"/>
          <w:szCs w:val="22"/>
          <w:u w:val="single"/>
          <w:lang w:val="es-ES_tradnl"/>
        </w:rPr>
        <w:t>para continuar mejorando el contenido del Volumen Complementario;</w:t>
      </w:r>
    </w:p>
    <w:p w14:paraId="75C61038" w14:textId="77777777" w:rsidR="00B15943" w:rsidRPr="0054250B" w:rsidRDefault="00B15943" w:rsidP="0089035D">
      <w:pPr>
        <w:ind w:left="360" w:hanging="360"/>
        <w:rPr>
          <w:rFonts w:cs="Arial"/>
          <w:noProof/>
          <w:sz w:val="22"/>
          <w:szCs w:val="22"/>
          <w:highlight w:val="yellow"/>
          <w:lang w:val="es-ES_tradnl"/>
        </w:rPr>
      </w:pPr>
    </w:p>
    <w:p w14:paraId="6B5AE771" w14:textId="09EF8E15" w:rsidR="00B71D2A" w:rsidRPr="0054250B" w:rsidRDefault="009B0850" w:rsidP="00B15943">
      <w:pPr>
        <w:rPr>
          <w:rFonts w:cs="Arial"/>
          <w:noProof/>
          <w:sz w:val="22"/>
          <w:szCs w:val="22"/>
          <w:u w:val="single"/>
          <w:lang w:val="es-ES_tradnl"/>
        </w:rPr>
      </w:pPr>
      <w:r w:rsidRPr="0054250B">
        <w:rPr>
          <w:rFonts w:cs="Arial"/>
          <w:noProof/>
          <w:sz w:val="22"/>
          <w:szCs w:val="22"/>
          <w:u w:val="single"/>
          <w:lang w:val="es-ES_tradnl"/>
        </w:rPr>
        <w:t>8 ter</w:t>
      </w:r>
      <w:r w:rsidR="00B71D2A" w:rsidRPr="0054250B">
        <w:rPr>
          <w:rFonts w:cs="Arial"/>
          <w:noProof/>
          <w:sz w:val="22"/>
          <w:szCs w:val="22"/>
          <w:u w:val="single"/>
          <w:lang w:val="es-ES_tradnl"/>
        </w:rPr>
        <w:t>.</w:t>
      </w:r>
      <w:r w:rsidR="00B71D2A" w:rsidRPr="0054250B">
        <w:rPr>
          <w:rFonts w:cs="Arial"/>
          <w:noProof/>
          <w:sz w:val="22"/>
          <w:szCs w:val="22"/>
          <w:u w:val="single"/>
          <w:lang w:val="es-ES_tradnl"/>
        </w:rPr>
        <w:tab/>
      </w:r>
      <w:r w:rsidR="00774174" w:rsidRPr="0054250B">
        <w:rPr>
          <w:rFonts w:cs="Arial"/>
          <w:i/>
          <w:noProof/>
          <w:sz w:val="22"/>
          <w:szCs w:val="22"/>
          <w:u w:val="single"/>
          <w:lang w:val="es-ES_tradnl"/>
        </w:rPr>
        <w:t>Solicita</w:t>
      </w:r>
      <w:r w:rsidR="00774174" w:rsidRPr="0054250B">
        <w:rPr>
          <w:rFonts w:cs="Arial"/>
          <w:noProof/>
          <w:sz w:val="22"/>
          <w:szCs w:val="22"/>
          <w:u w:val="single"/>
          <w:lang w:val="es-ES_tradnl"/>
        </w:rPr>
        <w:t xml:space="preserve"> a la Secretaría:</w:t>
      </w:r>
    </w:p>
    <w:p w14:paraId="6C009FE6" w14:textId="77777777" w:rsidR="00B71D2A" w:rsidRPr="0054250B" w:rsidRDefault="00B71D2A" w:rsidP="00B15943">
      <w:pPr>
        <w:rPr>
          <w:rFonts w:cs="Arial"/>
          <w:noProof/>
          <w:sz w:val="22"/>
          <w:szCs w:val="22"/>
          <w:lang w:val="es-ES_tradnl"/>
        </w:rPr>
      </w:pPr>
    </w:p>
    <w:p w14:paraId="0F938C50" w14:textId="74BCE0FF" w:rsidR="00B01750" w:rsidRPr="0054250B" w:rsidRDefault="00B01750" w:rsidP="00E30447">
      <w:pPr>
        <w:widowControl/>
        <w:numPr>
          <w:ilvl w:val="0"/>
          <w:numId w:val="13"/>
        </w:numPr>
        <w:ind w:left="720" w:hanging="720"/>
        <w:jc w:val="both"/>
        <w:rPr>
          <w:rFonts w:cs="Arial"/>
          <w:noProof/>
          <w:sz w:val="22"/>
          <w:szCs w:val="22"/>
          <w:u w:val="single"/>
          <w:lang w:val="es-ES_tradnl"/>
        </w:rPr>
      </w:pPr>
      <w:r w:rsidRPr="0054250B">
        <w:rPr>
          <w:rFonts w:cs="Arial"/>
          <w:noProof/>
          <w:sz w:val="22"/>
          <w:szCs w:val="22"/>
          <w:u w:val="single"/>
          <w:lang w:val="es-ES_tradnl"/>
        </w:rPr>
        <w:t xml:space="preserve">continuar completando y actualizando las </w:t>
      </w:r>
      <w:r w:rsidR="00EC631F">
        <w:rPr>
          <w:rFonts w:cs="Arial"/>
          <w:noProof/>
          <w:sz w:val="22"/>
          <w:szCs w:val="22"/>
          <w:u w:val="single"/>
          <w:lang w:val="es-ES_tradnl"/>
        </w:rPr>
        <w:t>fichas técnicas</w:t>
      </w:r>
      <w:r w:rsidRPr="0054250B">
        <w:rPr>
          <w:rFonts w:cs="Arial"/>
          <w:noProof/>
          <w:sz w:val="22"/>
          <w:szCs w:val="22"/>
          <w:u w:val="single"/>
          <w:lang w:val="es-ES_tradnl"/>
        </w:rPr>
        <w:t xml:space="preserve"> </w:t>
      </w:r>
      <w:r w:rsidR="00EC631F">
        <w:rPr>
          <w:rFonts w:cs="Arial"/>
          <w:noProof/>
          <w:sz w:val="22"/>
          <w:szCs w:val="22"/>
          <w:u w:val="single"/>
          <w:lang w:val="es-ES_tradnl"/>
        </w:rPr>
        <w:t>de</w:t>
      </w:r>
      <w:r w:rsidRPr="0054250B">
        <w:rPr>
          <w:rFonts w:cs="Arial"/>
          <w:noProof/>
          <w:sz w:val="22"/>
          <w:szCs w:val="22"/>
          <w:u w:val="single"/>
          <w:lang w:val="es-ES_tradnl"/>
        </w:rPr>
        <w:t xml:space="preserve"> indicadores presentadas en el documento </w:t>
      </w:r>
      <w:r w:rsidRPr="0054250B">
        <w:rPr>
          <w:rFonts w:cs="Arial"/>
          <w:noProof/>
          <w:color w:val="000000"/>
          <w:sz w:val="22"/>
          <w:szCs w:val="22"/>
          <w:u w:val="single"/>
          <w:lang w:val="es-ES_tradnl"/>
        </w:rPr>
        <w:t>UNEP/CMS/COP12/Inf.26 segú</w:t>
      </w:r>
      <w:r w:rsidR="005E40CC" w:rsidRPr="0054250B">
        <w:rPr>
          <w:rFonts w:cs="Arial"/>
          <w:noProof/>
          <w:color w:val="000000"/>
          <w:sz w:val="22"/>
          <w:szCs w:val="22"/>
          <w:u w:val="single"/>
          <w:lang w:val="es-ES_tradnl"/>
        </w:rPr>
        <w:t>n sea necesario, con el fin de cons</w:t>
      </w:r>
      <w:r w:rsidR="005F0A37">
        <w:rPr>
          <w:rFonts w:cs="Arial"/>
          <w:noProof/>
          <w:color w:val="000000"/>
          <w:sz w:val="22"/>
          <w:szCs w:val="22"/>
          <w:u w:val="single"/>
          <w:lang w:val="es-ES_tradnl"/>
        </w:rPr>
        <w:t>truir</w:t>
      </w:r>
      <w:r w:rsidR="005E40CC" w:rsidRPr="0054250B">
        <w:rPr>
          <w:rFonts w:cs="Arial"/>
          <w:noProof/>
          <w:color w:val="000000"/>
          <w:sz w:val="22"/>
          <w:szCs w:val="22"/>
          <w:u w:val="single"/>
          <w:lang w:val="es-ES_tradnl"/>
        </w:rPr>
        <w:t xml:space="preserve"> una fuente de referencia dinámica sobre cómo utilizar los indicadores; y</w:t>
      </w:r>
    </w:p>
    <w:p w14:paraId="36330CE8" w14:textId="77777777" w:rsidR="00B71D2A" w:rsidRPr="0054250B" w:rsidRDefault="00B71D2A" w:rsidP="00B71D2A">
      <w:pPr>
        <w:ind w:left="709" w:hanging="709"/>
        <w:rPr>
          <w:rFonts w:cs="Arial"/>
          <w:noProof/>
          <w:sz w:val="22"/>
          <w:szCs w:val="22"/>
          <w:u w:val="single"/>
          <w:lang w:val="es-ES_tradnl"/>
        </w:rPr>
      </w:pPr>
    </w:p>
    <w:p w14:paraId="18E38FC3" w14:textId="7387185B" w:rsidR="004F2296" w:rsidRPr="0054250B" w:rsidRDefault="004F2296" w:rsidP="00E30447">
      <w:pPr>
        <w:widowControl/>
        <w:numPr>
          <w:ilvl w:val="0"/>
          <w:numId w:val="13"/>
        </w:numPr>
        <w:ind w:left="709" w:hanging="709"/>
        <w:jc w:val="both"/>
        <w:rPr>
          <w:rFonts w:cs="Arial"/>
          <w:noProof/>
          <w:sz w:val="22"/>
          <w:szCs w:val="22"/>
          <w:u w:val="single"/>
          <w:lang w:val="es-ES_tradnl"/>
        </w:rPr>
      </w:pPr>
      <w:r w:rsidRPr="0054250B">
        <w:rPr>
          <w:rFonts w:cs="Arial"/>
          <w:noProof/>
          <w:sz w:val="22"/>
          <w:szCs w:val="22"/>
          <w:u w:val="single"/>
          <w:lang w:val="es-ES_tradnl"/>
        </w:rPr>
        <w:t>continuar mejorando el “Volumen Complementario sobre Implementación” para el Plan Estratégico</w:t>
      </w:r>
      <w:r w:rsidR="00EC631F">
        <w:rPr>
          <w:rFonts w:cs="Arial"/>
          <w:noProof/>
          <w:sz w:val="22"/>
          <w:szCs w:val="22"/>
          <w:u w:val="single"/>
          <w:lang w:val="es-ES_tradnl"/>
        </w:rPr>
        <w:t>;</w:t>
      </w:r>
    </w:p>
    <w:p w14:paraId="6D0EF591" w14:textId="77777777" w:rsidR="004F2296" w:rsidRPr="0054250B" w:rsidRDefault="004F2296" w:rsidP="004F2296">
      <w:pPr>
        <w:widowControl/>
        <w:jc w:val="both"/>
        <w:rPr>
          <w:rFonts w:cs="Arial"/>
          <w:noProof/>
          <w:sz w:val="22"/>
          <w:szCs w:val="22"/>
          <w:highlight w:val="yellow"/>
          <w:u w:val="single"/>
          <w:lang w:val="es-ES_tradnl"/>
        </w:rPr>
      </w:pPr>
    </w:p>
    <w:p w14:paraId="7369993D" w14:textId="77777777" w:rsidR="00F22707" w:rsidRPr="0054250B" w:rsidRDefault="00F22707" w:rsidP="00F22707">
      <w:pPr>
        <w:pStyle w:val="NormalWeb"/>
        <w:spacing w:before="0" w:beforeAutospacing="0" w:after="0" w:afterAutospacing="0"/>
        <w:rPr>
          <w:rFonts w:ascii="Arial" w:hAnsi="Arial" w:cs="Arial"/>
          <w:i/>
          <w:strike/>
          <w:noProof/>
          <w:sz w:val="22"/>
          <w:szCs w:val="22"/>
          <w:lang w:val="es-ES_tradnl"/>
        </w:rPr>
      </w:pPr>
      <w:r w:rsidRPr="0054250B">
        <w:rPr>
          <w:rFonts w:ascii="Arial" w:hAnsi="Arial" w:cs="Arial"/>
          <w:i/>
          <w:strike/>
          <w:noProof/>
          <w:sz w:val="22"/>
          <w:szCs w:val="22"/>
          <w:lang w:val="es-ES_tradnl"/>
        </w:rPr>
        <w:t xml:space="preserve">Extensión del mandato del Grupo de Trabajo del Plan Estratégico </w:t>
      </w:r>
    </w:p>
    <w:p w14:paraId="5422A2D7" w14:textId="77777777" w:rsidR="003D63EA" w:rsidRPr="0054250B" w:rsidRDefault="003D63EA" w:rsidP="003D63EA">
      <w:pPr>
        <w:rPr>
          <w:rFonts w:cs="Arial"/>
          <w:strike/>
          <w:noProof/>
          <w:sz w:val="22"/>
          <w:szCs w:val="22"/>
          <w:lang w:val="es-ES_tradnl"/>
        </w:rPr>
      </w:pPr>
    </w:p>
    <w:p w14:paraId="7ED216DD" w14:textId="58807D29" w:rsidR="00C513C7" w:rsidRPr="0054250B" w:rsidRDefault="00C513C7" w:rsidP="00C513C7">
      <w:pPr>
        <w:pStyle w:val="ListParagraph"/>
        <w:widowControl w:val="0"/>
        <w:numPr>
          <w:ilvl w:val="0"/>
          <w:numId w:val="2"/>
        </w:numPr>
        <w:ind w:left="0" w:firstLine="0"/>
        <w:contextualSpacing w:val="0"/>
        <w:jc w:val="both"/>
        <w:rPr>
          <w:rFonts w:ascii="Arial" w:hAnsi="Arial" w:cs="Arial"/>
          <w:strike/>
          <w:noProof/>
          <w:lang w:val="es-ES_tradnl" w:eastAsia="en-GB"/>
        </w:rPr>
      </w:pPr>
      <w:r w:rsidRPr="0054250B">
        <w:rPr>
          <w:rFonts w:ascii="Arial" w:hAnsi="Arial" w:cs="Arial"/>
          <w:i/>
          <w:strike/>
          <w:noProof/>
          <w:lang w:val="es-ES_tradnl"/>
        </w:rPr>
        <w:t>Decide</w:t>
      </w:r>
      <w:r w:rsidRPr="0054250B">
        <w:rPr>
          <w:rFonts w:ascii="Arial" w:hAnsi="Arial" w:cs="Arial"/>
          <w:strike/>
          <w:noProof/>
          <w:lang w:val="es-ES_tradnl"/>
        </w:rPr>
        <w:t xml:space="preserve"> prorrogar el mandato del Grupo de Trabajo del Plan Estratégico para incluir las tareas de elaboración de los indicadores y Volumen complementario durante el trienio 2015-2017, y solicita al Grupo de Trabajo que presente informes al Comité Permanente para la aprobación de su implementación progresiva. Los nuevos Términos de Referencia para el Grupo de Trabajo del Plan Estratégico se adjuntan como Anexo 2 a la presente Resolución;</w:t>
      </w:r>
    </w:p>
    <w:p w14:paraId="293ABC17" w14:textId="77777777" w:rsidR="003D63EA" w:rsidRPr="0054250B" w:rsidRDefault="003D63EA" w:rsidP="003D63EA">
      <w:pPr>
        <w:rPr>
          <w:rFonts w:cs="Arial"/>
          <w:strike/>
          <w:noProof/>
          <w:sz w:val="22"/>
          <w:szCs w:val="22"/>
          <w:lang w:val="es-ES_tradnl"/>
        </w:rPr>
      </w:pPr>
    </w:p>
    <w:p w14:paraId="01F0CCAE" w14:textId="62277F69" w:rsidR="001C023B" w:rsidRPr="0054250B" w:rsidRDefault="001C023B" w:rsidP="001C023B">
      <w:pPr>
        <w:pStyle w:val="ListParagraph"/>
        <w:widowControl w:val="0"/>
        <w:numPr>
          <w:ilvl w:val="0"/>
          <w:numId w:val="2"/>
        </w:numPr>
        <w:ind w:left="0" w:firstLine="0"/>
        <w:contextualSpacing w:val="0"/>
        <w:jc w:val="both"/>
        <w:rPr>
          <w:rFonts w:ascii="Arial" w:hAnsi="Arial" w:cs="Arial"/>
          <w:strike/>
          <w:noProof/>
          <w:color w:val="000000"/>
          <w:lang w:val="es-ES_tradnl"/>
        </w:rPr>
      </w:pPr>
      <w:r w:rsidRPr="0054250B">
        <w:rPr>
          <w:rFonts w:ascii="Arial" w:hAnsi="Arial" w:cs="Arial"/>
          <w:i/>
          <w:strike/>
          <w:noProof/>
          <w:lang w:val="es-ES_tradnl"/>
        </w:rPr>
        <w:t>Solicita</w:t>
      </w:r>
      <w:r w:rsidRPr="0054250B">
        <w:rPr>
          <w:rFonts w:ascii="Arial" w:hAnsi="Arial" w:cs="Arial"/>
          <w:strike/>
          <w:noProof/>
          <w:lang w:val="es-ES_tradnl"/>
        </w:rPr>
        <w:t xml:space="preserve"> a la Secretaría que lleve a cabo la recopilación de material de antecedentes necesaria para contribuir a los esfuerzos del Grupo de Trabajo, incluyendo:</w:t>
      </w:r>
    </w:p>
    <w:p w14:paraId="56B3BB91" w14:textId="77777777" w:rsidR="003D63EA" w:rsidRPr="0054250B" w:rsidRDefault="003D63EA" w:rsidP="003D63EA">
      <w:pPr>
        <w:pStyle w:val="ListParagraph"/>
        <w:widowControl w:val="0"/>
        <w:ind w:left="0"/>
        <w:jc w:val="both"/>
        <w:rPr>
          <w:rFonts w:ascii="Arial" w:hAnsi="Arial" w:cs="Arial"/>
          <w:strike/>
          <w:noProof/>
          <w:color w:val="000000"/>
          <w:lang w:val="es-ES_tradnl"/>
        </w:rPr>
      </w:pPr>
    </w:p>
    <w:p w14:paraId="0C525178" w14:textId="54E8DADA" w:rsidR="00815BA3" w:rsidRPr="0054250B" w:rsidRDefault="00815BA3" w:rsidP="00815BA3">
      <w:pPr>
        <w:numPr>
          <w:ilvl w:val="0"/>
          <w:numId w:val="11"/>
        </w:numPr>
        <w:ind w:hanging="720"/>
        <w:jc w:val="both"/>
        <w:rPr>
          <w:rFonts w:cs="Arial"/>
          <w:strike/>
          <w:noProof/>
          <w:color w:val="000000"/>
          <w:sz w:val="22"/>
          <w:szCs w:val="22"/>
          <w:lang w:val="es-ES_tradnl"/>
        </w:rPr>
      </w:pPr>
      <w:r w:rsidRPr="0054250B">
        <w:rPr>
          <w:rFonts w:cs="Arial"/>
          <w:strike/>
          <w:noProof/>
          <w:sz w:val="22"/>
          <w:szCs w:val="22"/>
          <w:lang w:val="es-ES_tradnl"/>
        </w:rPr>
        <w:t>La labor realizada por los foros internacionales especializados pertinentes sobre indicadores, como la Alianza sobre Indicadores de Biodiversidad global; y</w:t>
      </w:r>
    </w:p>
    <w:p w14:paraId="6195F378" w14:textId="77777777" w:rsidR="003D63EA" w:rsidRPr="0054250B" w:rsidRDefault="003D63EA" w:rsidP="003D63EA">
      <w:pPr>
        <w:ind w:left="720" w:hanging="720"/>
        <w:rPr>
          <w:rFonts w:cs="Arial"/>
          <w:strike/>
          <w:noProof/>
          <w:color w:val="000000"/>
          <w:sz w:val="22"/>
          <w:szCs w:val="22"/>
          <w:lang w:val="es-ES_tradnl"/>
        </w:rPr>
      </w:pPr>
    </w:p>
    <w:p w14:paraId="05718ABA" w14:textId="02BFB038" w:rsidR="00815BA3" w:rsidRPr="0054250B" w:rsidRDefault="00815BA3" w:rsidP="00815BA3">
      <w:pPr>
        <w:numPr>
          <w:ilvl w:val="0"/>
          <w:numId w:val="11"/>
        </w:numPr>
        <w:ind w:hanging="720"/>
        <w:jc w:val="both"/>
        <w:rPr>
          <w:rFonts w:cs="Arial"/>
          <w:strike/>
          <w:noProof/>
          <w:color w:val="000000"/>
          <w:sz w:val="22"/>
          <w:szCs w:val="22"/>
          <w:lang w:val="es-ES_tradnl"/>
        </w:rPr>
      </w:pPr>
      <w:r w:rsidRPr="0054250B">
        <w:rPr>
          <w:rFonts w:cs="Arial"/>
          <w:strike/>
          <w:noProof/>
          <w:sz w:val="22"/>
          <w:szCs w:val="22"/>
          <w:lang w:val="es-ES_tradnl"/>
        </w:rPr>
        <w:lastRenderedPageBreak/>
        <w:t>El análisis de los programas de trabajo y planes de acción adoptados bajo la Convención y bajo los instrumentos de la Familia CMS, junto con sus propios indicadores, en relación a las sinergias;</w:t>
      </w:r>
    </w:p>
    <w:p w14:paraId="3453255B" w14:textId="77777777" w:rsidR="00B15943" w:rsidRPr="0054250B" w:rsidRDefault="00B15943" w:rsidP="00B15943">
      <w:pPr>
        <w:rPr>
          <w:rFonts w:cs="Arial"/>
          <w:noProof/>
          <w:sz w:val="22"/>
          <w:szCs w:val="22"/>
          <w:lang w:val="es-ES_tradnl"/>
        </w:rPr>
      </w:pPr>
    </w:p>
    <w:p w14:paraId="74CCED5F" w14:textId="3861D6FC" w:rsidR="00B15943" w:rsidRPr="0054250B" w:rsidRDefault="00CA3BAD" w:rsidP="00B15943">
      <w:pPr>
        <w:rPr>
          <w:rFonts w:cs="Arial"/>
          <w:i/>
          <w:noProof/>
          <w:sz w:val="22"/>
          <w:szCs w:val="22"/>
          <w:lang w:val="es-ES_tradnl"/>
        </w:rPr>
      </w:pPr>
      <w:r w:rsidRPr="0054250B">
        <w:rPr>
          <w:rFonts w:cs="Arial"/>
          <w:i/>
          <w:noProof/>
          <w:sz w:val="22"/>
          <w:szCs w:val="22"/>
          <w:lang w:val="es-ES_tradnl"/>
        </w:rPr>
        <w:t>Implementación</w:t>
      </w:r>
    </w:p>
    <w:p w14:paraId="74BB4321" w14:textId="77777777" w:rsidR="00B15943" w:rsidRPr="0054250B" w:rsidRDefault="00B15943" w:rsidP="00B15943">
      <w:pPr>
        <w:rPr>
          <w:rFonts w:cs="Arial"/>
          <w:noProof/>
          <w:sz w:val="22"/>
          <w:szCs w:val="22"/>
          <w:lang w:val="es-ES_tradnl"/>
        </w:rPr>
      </w:pPr>
    </w:p>
    <w:p w14:paraId="0116425E" w14:textId="3BF17758" w:rsidR="00EA4882" w:rsidRPr="0054250B" w:rsidRDefault="00EA4882" w:rsidP="00EA4882">
      <w:pPr>
        <w:pStyle w:val="ListParagraph"/>
        <w:widowControl w:val="0"/>
        <w:numPr>
          <w:ilvl w:val="0"/>
          <w:numId w:val="2"/>
        </w:numPr>
        <w:ind w:left="360"/>
        <w:contextualSpacing w:val="0"/>
        <w:jc w:val="both"/>
        <w:rPr>
          <w:rFonts w:ascii="Arial" w:hAnsi="Arial" w:cs="Arial"/>
          <w:strike/>
          <w:noProof/>
          <w:lang w:val="es-ES_tradnl"/>
        </w:rPr>
      </w:pPr>
      <w:r w:rsidRPr="0054250B">
        <w:rPr>
          <w:rFonts w:ascii="Arial" w:hAnsi="Arial" w:cs="Arial"/>
          <w:i/>
          <w:strike/>
          <w:noProof/>
          <w:lang w:val="es-ES_tradnl"/>
        </w:rPr>
        <w:t>Solicita asimismo</w:t>
      </w:r>
      <w:r w:rsidRPr="0054250B">
        <w:rPr>
          <w:rFonts w:ascii="Arial" w:hAnsi="Arial" w:cs="Arial"/>
          <w:strike/>
          <w:noProof/>
          <w:lang w:val="es-ES_tradnl"/>
        </w:rPr>
        <w:t xml:space="preserve"> a la Secretaría que tenga en cuenta las modificaciones del formato para los Informes Nacionales, en su caso, en relación con la evaluación de la implementación del Plan Estratégico y los indicadores para los que dichos informes han sido identificados como una fuente potencialmente importante de información, y que presente toda enmienda propuesta al Comité Permanente para su consideración y transmisión a la 12a Reunión de la Conferencia de las Partes;</w:t>
      </w:r>
    </w:p>
    <w:p w14:paraId="6EFD77A6" w14:textId="77777777" w:rsidR="00B15943" w:rsidRPr="0054250B" w:rsidRDefault="00B15943" w:rsidP="00B15943">
      <w:pPr>
        <w:pStyle w:val="ListParagraph"/>
        <w:widowControl w:val="0"/>
        <w:ind w:left="0"/>
        <w:jc w:val="both"/>
        <w:rPr>
          <w:rFonts w:ascii="Arial" w:hAnsi="Arial" w:cs="Arial"/>
          <w:noProof/>
          <w:lang w:val="es-ES_tradnl" w:eastAsia="en-GB"/>
        </w:rPr>
      </w:pPr>
    </w:p>
    <w:p w14:paraId="535BE16A" w14:textId="001D819C" w:rsidR="00934F37" w:rsidRPr="0054250B" w:rsidRDefault="00934F37" w:rsidP="00934F37">
      <w:pPr>
        <w:pStyle w:val="ListParagraph"/>
        <w:widowControl w:val="0"/>
        <w:numPr>
          <w:ilvl w:val="0"/>
          <w:numId w:val="2"/>
        </w:numPr>
        <w:ind w:left="360"/>
        <w:contextualSpacing w:val="0"/>
        <w:jc w:val="both"/>
        <w:rPr>
          <w:rFonts w:ascii="Arial" w:hAnsi="Arial" w:cs="Arial"/>
          <w:noProof/>
          <w:lang w:val="es-ES_tradnl" w:eastAsia="en-GB"/>
        </w:rPr>
      </w:pPr>
      <w:r w:rsidRPr="0054250B">
        <w:rPr>
          <w:rFonts w:ascii="Arial" w:hAnsi="Arial" w:cs="Arial"/>
          <w:i/>
          <w:noProof/>
          <w:lang w:val="es-ES_tradnl"/>
        </w:rPr>
        <w:t>Decide</w:t>
      </w:r>
      <w:r w:rsidRPr="0054250B">
        <w:rPr>
          <w:rFonts w:ascii="Arial" w:hAnsi="Arial" w:cs="Arial"/>
          <w:noProof/>
          <w:lang w:val="es-ES_tradnl"/>
        </w:rPr>
        <w:t xml:space="preserve"> seguir examinando la implementación del Plan Estratégico en sus reuniones 12a, 13a y 14a a la luz de los objetivos, metas e indicadores del Plan y de acuerdo con el capítulo 4, sección 7 del Plan Estratégico;</w:t>
      </w:r>
    </w:p>
    <w:p w14:paraId="2200CA04" w14:textId="77777777" w:rsidR="00B15943" w:rsidRPr="0054250B" w:rsidRDefault="00B15943" w:rsidP="00B15943">
      <w:pPr>
        <w:rPr>
          <w:rFonts w:cs="Arial"/>
          <w:noProof/>
          <w:sz w:val="22"/>
          <w:szCs w:val="22"/>
          <w:lang w:val="es-ES_tradnl"/>
        </w:rPr>
      </w:pPr>
    </w:p>
    <w:p w14:paraId="001D5BEF" w14:textId="2F2E8CBB" w:rsidR="00857324" w:rsidRPr="0054250B" w:rsidRDefault="00857324" w:rsidP="00857324">
      <w:pPr>
        <w:pStyle w:val="ListParagraph"/>
        <w:widowControl w:val="0"/>
        <w:numPr>
          <w:ilvl w:val="0"/>
          <w:numId w:val="2"/>
        </w:numPr>
        <w:ind w:left="360"/>
        <w:contextualSpacing w:val="0"/>
        <w:jc w:val="both"/>
        <w:rPr>
          <w:rFonts w:ascii="Arial" w:hAnsi="Arial" w:cs="Arial"/>
          <w:noProof/>
          <w:lang w:val="es-ES_tradnl" w:eastAsia="en-GB"/>
        </w:rPr>
      </w:pPr>
      <w:r w:rsidRPr="0054250B">
        <w:rPr>
          <w:rFonts w:ascii="Arial" w:hAnsi="Arial" w:cs="Arial"/>
          <w:i/>
          <w:noProof/>
          <w:lang w:val="es-ES_tradnl"/>
        </w:rPr>
        <w:t>Reconoce</w:t>
      </w:r>
      <w:r w:rsidRPr="0054250B">
        <w:rPr>
          <w:rFonts w:ascii="Arial" w:hAnsi="Arial" w:cs="Arial"/>
          <w:noProof/>
          <w:lang w:val="es-ES_tradnl"/>
        </w:rPr>
        <w:t xml:space="preserve"> que un gran número de organizaciones de la sociedad civil y otras partes interesadas realizan una valiosa contribución a la implementación de la Convención y a la conservación de las especies migratorias, y alienta a estas organizaciones a informar sobre esta labor a las reuniones de la Conferencia de las Partes; e</w:t>
      </w:r>
    </w:p>
    <w:p w14:paraId="686C36D8" w14:textId="77777777" w:rsidR="00B15943" w:rsidRPr="0054250B" w:rsidRDefault="00B15943" w:rsidP="00B15943">
      <w:pPr>
        <w:rPr>
          <w:rFonts w:cs="Arial"/>
          <w:noProof/>
          <w:sz w:val="22"/>
          <w:szCs w:val="22"/>
          <w:lang w:val="es-ES_tradnl"/>
        </w:rPr>
      </w:pPr>
    </w:p>
    <w:p w14:paraId="45185E75" w14:textId="11ADAA89" w:rsidR="00BF7AC4" w:rsidRPr="0054250B" w:rsidRDefault="00BF7AC4" w:rsidP="00BF7AC4">
      <w:pPr>
        <w:pStyle w:val="ListParagraph"/>
        <w:widowControl w:val="0"/>
        <w:numPr>
          <w:ilvl w:val="0"/>
          <w:numId w:val="2"/>
        </w:numPr>
        <w:ind w:left="360"/>
        <w:contextualSpacing w:val="0"/>
        <w:jc w:val="both"/>
        <w:rPr>
          <w:rFonts w:ascii="Arial" w:hAnsi="Arial" w:cs="Arial"/>
          <w:noProof/>
          <w:lang w:val="es-ES_tradnl"/>
        </w:rPr>
      </w:pPr>
      <w:r w:rsidRPr="0054250B">
        <w:rPr>
          <w:rFonts w:ascii="Arial" w:hAnsi="Arial" w:cs="Arial"/>
          <w:i/>
          <w:noProof/>
          <w:lang w:val="es-ES_tradnl"/>
        </w:rPr>
        <w:t>Invita</w:t>
      </w:r>
      <w:r w:rsidRPr="0054250B">
        <w:rPr>
          <w:rFonts w:ascii="Arial" w:hAnsi="Arial" w:cs="Arial"/>
          <w:noProof/>
          <w:lang w:val="es-ES_tradnl"/>
        </w:rPr>
        <w:t xml:space="preserve"> al PNUMA, las Partes, los donantes multilaterales y otros, a proporcionar asistencia financiera para la implementación de la presente Resolución.</w:t>
      </w:r>
    </w:p>
    <w:p w14:paraId="0725D536" w14:textId="6D4233D0" w:rsidR="004F1375" w:rsidRPr="004F1375" w:rsidRDefault="004F1375" w:rsidP="004F1375">
      <w:pPr>
        <w:tabs>
          <w:tab w:val="left" w:pos="1478"/>
        </w:tabs>
        <w:rPr>
          <w:lang w:val="it-IT"/>
        </w:rPr>
      </w:pPr>
    </w:p>
    <w:p w14:paraId="28F3E53A" w14:textId="517131F0" w:rsidR="004F1375" w:rsidRDefault="004F1375" w:rsidP="004F1375">
      <w:pPr>
        <w:rPr>
          <w:lang w:val="it-IT"/>
        </w:rPr>
      </w:pPr>
    </w:p>
    <w:p w14:paraId="7E959C4D" w14:textId="77777777" w:rsidR="00B15943" w:rsidRPr="004F1375" w:rsidRDefault="00B15943" w:rsidP="004F1375">
      <w:pPr>
        <w:rPr>
          <w:lang w:val="it-IT"/>
        </w:rPr>
        <w:sectPr w:rsidR="00B15943" w:rsidRPr="004F1375" w:rsidSect="00231BE0">
          <w:headerReference w:type="even" r:id="rId22"/>
          <w:headerReference w:type="default" r:id="rId23"/>
          <w:headerReference w:type="first" r:id="rId24"/>
          <w:footerReference w:type="first" r:id="rId25"/>
          <w:pgSz w:w="11906" w:h="16838" w:code="9"/>
          <w:pgMar w:top="851" w:right="1418" w:bottom="1418" w:left="1418" w:header="426" w:footer="510" w:gutter="0"/>
          <w:cols w:space="708"/>
          <w:titlePg/>
          <w:docGrid w:linePitch="360"/>
        </w:sectPr>
      </w:pPr>
    </w:p>
    <w:p w14:paraId="38C7DE14" w14:textId="0C4F5584" w:rsidR="00B15943" w:rsidRPr="004C5747" w:rsidRDefault="00B15943" w:rsidP="00B15943">
      <w:pPr>
        <w:jc w:val="center"/>
      </w:pPr>
      <w:r w:rsidRPr="004C5747">
        <w:rPr>
          <w:noProof/>
        </w:rPr>
        <w:lastRenderedPageBreak/>
        <mc:AlternateContent>
          <mc:Choice Requires="wps">
            <w:drawing>
              <wp:anchor distT="0" distB="0" distL="114300" distR="114300" simplePos="0" relativeHeight="251661312" behindDoc="0" locked="0" layoutInCell="1" allowOverlap="1" wp14:anchorId="2BEA8792" wp14:editId="0B0316F0">
                <wp:simplePos x="0" y="0"/>
                <wp:positionH relativeFrom="column">
                  <wp:posOffset>3202305</wp:posOffset>
                </wp:positionH>
                <wp:positionV relativeFrom="paragraph">
                  <wp:posOffset>-266700</wp:posOffset>
                </wp:positionV>
                <wp:extent cx="2326005" cy="292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92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C5E705" w14:textId="00CF583D" w:rsidR="00124973" w:rsidRPr="007A50F4" w:rsidRDefault="00124973" w:rsidP="00B15943">
                            <w:pPr>
                              <w:rPr>
                                <w:b/>
                                <w:sz w:val="22"/>
                                <w:szCs w:val="22"/>
                              </w:rPr>
                            </w:pPr>
                            <w:r>
                              <w:rPr>
                                <w:b/>
                                <w:sz w:val="22"/>
                                <w:szCs w:val="22"/>
                              </w:rPr>
                              <w:t>An</w:t>
                            </w:r>
                            <w:r w:rsidRPr="007A50F4">
                              <w:rPr>
                                <w:b/>
                                <w:sz w:val="22"/>
                                <w:szCs w:val="22"/>
                              </w:rPr>
                              <w:t>ex</w:t>
                            </w:r>
                            <w:r>
                              <w:rPr>
                                <w:b/>
                                <w:sz w:val="22"/>
                                <w:szCs w:val="22"/>
                              </w:rPr>
                              <w:t>o 1 a la Resolución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A8792" id="Text Box 5" o:spid="_x0000_s1027" type="#_x0000_t202" style="position:absolute;left:0;text-align:left;margin-left:252.15pt;margin-top:-21pt;width:183.1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" stroked="f">
                <v:textbox>
                  <w:txbxContent>
                    <w:p w14:paraId="65C5E705" w14:textId="00CF583D" w:rsidR="00124973" w:rsidRPr="007A50F4" w:rsidRDefault="00124973" w:rsidP="00B15943">
                      <w:pPr>
                        <w:rPr>
                          <w:b/>
                          <w:sz w:val="22"/>
                          <w:szCs w:val="22"/>
                        </w:rPr>
                      </w:pPr>
                      <w:r>
                        <w:rPr>
                          <w:b/>
                          <w:sz w:val="22"/>
                          <w:szCs w:val="22"/>
                        </w:rPr>
                        <w:t>An</w:t>
                      </w:r>
                      <w:r w:rsidRPr="007A50F4">
                        <w:rPr>
                          <w:b/>
                          <w:sz w:val="22"/>
                          <w:szCs w:val="22"/>
                        </w:rPr>
                        <w:t>ex</w:t>
                      </w:r>
                      <w:r>
                        <w:rPr>
                          <w:b/>
                          <w:sz w:val="22"/>
                          <w:szCs w:val="22"/>
                        </w:rPr>
                        <w:t>o 1 a la Resolución 11.2</w:t>
                      </w:r>
                    </w:p>
                  </w:txbxContent>
                </v:textbox>
              </v:shape>
            </w:pict>
          </mc:Fallback>
        </mc:AlternateContent>
      </w:r>
      <w:r w:rsidRPr="004C5747">
        <w:rPr>
          <w:noProof/>
        </w:rPr>
        <w:drawing>
          <wp:inline distT="0" distB="0" distL="0" distR="0" wp14:anchorId="5F5FB04C" wp14:editId="5B9CEAA6">
            <wp:extent cx="1837690" cy="183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15943" w:rsidRPr="00DA2A2C" w14:paraId="783E9732" w14:textId="77777777" w:rsidTr="00B15943">
        <w:tc>
          <w:tcPr>
            <w:tcW w:w="8613" w:type="dxa"/>
            <w:shd w:val="clear" w:color="auto" w:fill="E6E6E6"/>
          </w:tcPr>
          <w:p w14:paraId="0FF2FF73" w14:textId="42BDED3B" w:rsidR="00B15943" w:rsidRPr="00345473" w:rsidRDefault="00B15943" w:rsidP="00B15943">
            <w:pPr>
              <w:ind w:left="454" w:right="-88" w:hanging="454"/>
              <w:jc w:val="center"/>
              <w:rPr>
                <w:rFonts w:eastAsia="MS Mincho"/>
                <w:b/>
                <w:color w:val="000080"/>
                <w:sz w:val="36"/>
                <w:szCs w:val="36"/>
                <w:lang w:val="es-ES"/>
              </w:rPr>
            </w:pPr>
            <w:r w:rsidRPr="00345473">
              <w:rPr>
                <w:sz w:val="36"/>
                <w:szCs w:val="36"/>
                <w:lang w:val="es-ES"/>
              </w:rPr>
              <w:br w:type="page"/>
            </w:r>
            <w:r w:rsidRPr="00345473">
              <w:rPr>
                <w:rFonts w:eastAsia="MS Mincho"/>
                <w:sz w:val="36"/>
                <w:szCs w:val="36"/>
                <w:lang w:val="es-ES"/>
              </w:rPr>
              <w:br w:type="page"/>
            </w:r>
            <w:r w:rsidR="00345473" w:rsidRPr="00345473">
              <w:rPr>
                <w:rFonts w:eastAsia="MS Mincho"/>
                <w:b/>
                <w:color w:val="000080"/>
                <w:sz w:val="36"/>
                <w:szCs w:val="36"/>
                <w:lang w:val="es-ES"/>
              </w:rPr>
              <w:t>Plan Estratégico para las Especies Migratorias (2015-2023)</w:t>
            </w:r>
          </w:p>
        </w:tc>
      </w:tr>
    </w:tbl>
    <w:p w14:paraId="143B50C1" w14:textId="77777777" w:rsidR="00B15943" w:rsidRPr="00345473" w:rsidRDefault="00B15943" w:rsidP="00B15943">
      <w:pPr>
        <w:ind w:right="-88"/>
        <w:rPr>
          <w:rFonts w:eastAsia="MS Mincho"/>
          <w:sz w:val="10"/>
          <w:szCs w:val="10"/>
          <w:lang w:val="es-ES"/>
        </w:rPr>
      </w:pPr>
    </w:p>
    <w:p w14:paraId="4295ABB1" w14:textId="77777777" w:rsidR="00B15943" w:rsidRPr="00345473" w:rsidRDefault="00B15943" w:rsidP="00B15943">
      <w:pPr>
        <w:ind w:right="-88"/>
        <w:jc w:val="center"/>
        <w:rPr>
          <w:rFonts w:eastAsia="MS Mincho"/>
          <w:sz w:val="22"/>
          <w:szCs w:val="22"/>
          <w:lang w:val="es-ES"/>
        </w:rPr>
      </w:pPr>
    </w:p>
    <w:p w14:paraId="02E88C42" w14:textId="77777777" w:rsidR="00B15943" w:rsidRPr="00345473" w:rsidRDefault="00B15943" w:rsidP="00B15943">
      <w:pPr>
        <w:ind w:right="-88"/>
        <w:rPr>
          <w:rFonts w:eastAsia="MS Mincho"/>
          <w:sz w:val="10"/>
          <w:szCs w:val="10"/>
          <w:lang w:val="es-ES"/>
        </w:rPr>
      </w:pPr>
    </w:p>
    <w:p w14:paraId="2E59631F" w14:textId="77777777" w:rsidR="00B15943" w:rsidRPr="00345473" w:rsidRDefault="00B15943" w:rsidP="00B15943">
      <w:pPr>
        <w:ind w:right="-88"/>
        <w:rPr>
          <w:rFonts w:eastAsia="MS Mincho"/>
          <w:sz w:val="10"/>
          <w:szCs w:val="10"/>
          <w:lang w:val="es-ES"/>
        </w:rPr>
      </w:pPr>
    </w:p>
    <w:p w14:paraId="363C5702" w14:textId="77777777" w:rsidR="00B15943" w:rsidRPr="00345473" w:rsidRDefault="00B15943" w:rsidP="00B15943">
      <w:pPr>
        <w:ind w:right="-88"/>
        <w:rPr>
          <w:rFonts w:eastAsia="MS Mincho"/>
          <w:sz w:val="10"/>
          <w:szCs w:val="10"/>
          <w:lang w:val="es-ES"/>
        </w:rPr>
      </w:pPr>
    </w:p>
    <w:p w14:paraId="43E2C1CA" w14:textId="77777777" w:rsidR="00B15943" w:rsidRPr="00345473" w:rsidRDefault="00B15943" w:rsidP="00B15943">
      <w:pPr>
        <w:ind w:right="-88"/>
        <w:rPr>
          <w:rFonts w:eastAsia="MS Mincho"/>
          <w:sz w:val="10"/>
          <w:szCs w:val="10"/>
          <w:lang w:val="es-ES"/>
        </w:rPr>
      </w:pPr>
    </w:p>
    <w:p w14:paraId="6D3148F5" w14:textId="77777777" w:rsidR="00B15943" w:rsidRPr="00345473" w:rsidRDefault="00B15943" w:rsidP="00B15943">
      <w:pPr>
        <w:ind w:right="-88"/>
        <w:rPr>
          <w:rFonts w:eastAsia="MS Mincho"/>
          <w:sz w:val="10"/>
          <w:szCs w:val="10"/>
          <w:lang w:val="es-ES"/>
        </w:rPr>
      </w:pPr>
    </w:p>
    <w:p w14:paraId="16C8D265" w14:textId="77777777" w:rsidR="00B15943" w:rsidRPr="00345473" w:rsidRDefault="00B15943" w:rsidP="00B15943">
      <w:pPr>
        <w:ind w:right="-88"/>
        <w:rPr>
          <w:rFonts w:eastAsia="MS Mincho"/>
          <w:sz w:val="10"/>
          <w:szCs w:val="10"/>
          <w:lang w:val="es-ES"/>
        </w:rPr>
      </w:pPr>
    </w:p>
    <w:tbl>
      <w:tblPr>
        <w:tblW w:w="0" w:type="auto"/>
        <w:jc w:val="center"/>
        <w:tblBorders>
          <w:bottom w:val="single" w:sz="4" w:space="0" w:color="auto"/>
        </w:tblBorders>
        <w:tblLook w:val="01E0" w:firstRow="1" w:lastRow="1" w:firstColumn="1" w:lastColumn="1" w:noHBand="0" w:noVBand="0"/>
      </w:tblPr>
      <w:tblGrid>
        <w:gridCol w:w="8312"/>
      </w:tblGrid>
      <w:tr w:rsidR="00B15943" w:rsidRPr="003C5411" w14:paraId="6ED8332E" w14:textId="77777777" w:rsidTr="00B15943">
        <w:trPr>
          <w:jc w:val="center"/>
        </w:trPr>
        <w:tc>
          <w:tcPr>
            <w:tcW w:w="9788" w:type="dxa"/>
            <w:tcBorders>
              <w:bottom w:val="single" w:sz="4" w:space="0" w:color="auto"/>
            </w:tcBorders>
            <w:shd w:val="clear" w:color="auto" w:fill="E6E6E6"/>
          </w:tcPr>
          <w:p w14:paraId="313C3C0B" w14:textId="38D31432" w:rsidR="00B15943" w:rsidRPr="003C5411" w:rsidRDefault="00B15943" w:rsidP="00B15943">
            <w:pPr>
              <w:ind w:right="-88"/>
              <w:rPr>
                <w:rFonts w:eastAsia="MS Mincho"/>
                <w:b/>
                <w:color w:val="000080"/>
                <w:sz w:val="30"/>
                <w:szCs w:val="30"/>
              </w:rPr>
            </w:pPr>
            <w:r w:rsidRPr="00345473">
              <w:rPr>
                <w:b/>
                <w:color w:val="000080"/>
                <w:sz w:val="30"/>
                <w:szCs w:val="30"/>
                <w:lang w:val="es-ES"/>
              </w:rPr>
              <w:br w:type="page"/>
            </w:r>
            <w:r w:rsidRPr="00345473">
              <w:rPr>
                <w:rFonts w:eastAsia="MS Mincho"/>
                <w:b/>
                <w:color w:val="000080"/>
                <w:sz w:val="30"/>
                <w:szCs w:val="30"/>
                <w:lang w:val="es-ES"/>
              </w:rPr>
              <w:br w:type="page"/>
            </w:r>
            <w:r w:rsidR="00345473">
              <w:rPr>
                <w:rFonts w:eastAsia="MS Mincho"/>
                <w:b/>
                <w:color w:val="000080"/>
                <w:sz w:val="30"/>
                <w:szCs w:val="30"/>
              </w:rPr>
              <w:t>Contenidos</w:t>
            </w:r>
          </w:p>
        </w:tc>
      </w:tr>
    </w:tbl>
    <w:p w14:paraId="77306CF6" w14:textId="77777777" w:rsidR="00B15943" w:rsidRPr="003C5411" w:rsidRDefault="00B15943" w:rsidP="00B15943">
      <w:pPr>
        <w:ind w:right="-88"/>
        <w:rPr>
          <w:rFonts w:eastAsia="MS Mincho"/>
          <w:sz w:val="22"/>
          <w:szCs w:val="22"/>
        </w:rPr>
      </w:pPr>
    </w:p>
    <w:tbl>
      <w:tblPr>
        <w:tblW w:w="0" w:type="auto"/>
        <w:tblLook w:val="00A0" w:firstRow="1" w:lastRow="0" w:firstColumn="1" w:lastColumn="0" w:noHBand="0" w:noVBand="0"/>
      </w:tblPr>
      <w:tblGrid>
        <w:gridCol w:w="1609"/>
        <w:gridCol w:w="5985"/>
        <w:gridCol w:w="718"/>
      </w:tblGrid>
      <w:tr w:rsidR="00B15943" w:rsidRPr="003C5411" w14:paraId="1AE61000" w14:textId="77777777" w:rsidTr="00B15943">
        <w:tc>
          <w:tcPr>
            <w:tcW w:w="1638" w:type="dxa"/>
          </w:tcPr>
          <w:p w14:paraId="17D0FFF2" w14:textId="77777777" w:rsidR="00B15943" w:rsidRPr="003C5411" w:rsidRDefault="00B15943" w:rsidP="00B15943">
            <w:pPr>
              <w:ind w:right="-88"/>
              <w:rPr>
                <w:rFonts w:eastAsia="MS Mincho"/>
              </w:rPr>
            </w:pPr>
          </w:p>
        </w:tc>
        <w:tc>
          <w:tcPr>
            <w:tcW w:w="6210" w:type="dxa"/>
          </w:tcPr>
          <w:p w14:paraId="47F7B404" w14:textId="77777777" w:rsidR="00B15943" w:rsidRPr="003C5411" w:rsidRDefault="00B15943" w:rsidP="00B15943">
            <w:pPr>
              <w:ind w:right="-88"/>
              <w:rPr>
                <w:rFonts w:eastAsia="MS Mincho"/>
              </w:rPr>
            </w:pPr>
          </w:p>
        </w:tc>
        <w:tc>
          <w:tcPr>
            <w:tcW w:w="720" w:type="dxa"/>
          </w:tcPr>
          <w:p w14:paraId="04C1D3C6" w14:textId="46140E22" w:rsidR="00B15943" w:rsidRPr="003C5411" w:rsidRDefault="00345473" w:rsidP="00B15943">
            <w:pPr>
              <w:ind w:right="-88"/>
              <w:jc w:val="center"/>
              <w:rPr>
                <w:rFonts w:eastAsia="MS Mincho"/>
                <w:b/>
              </w:rPr>
            </w:pPr>
            <w:r>
              <w:rPr>
                <w:rFonts w:eastAsia="MS Mincho"/>
                <w:b/>
                <w:sz w:val="22"/>
                <w:szCs w:val="22"/>
              </w:rPr>
              <w:t>Pág.</w:t>
            </w:r>
          </w:p>
        </w:tc>
      </w:tr>
      <w:tr w:rsidR="00B15943" w:rsidRPr="003C5411" w14:paraId="341F10D6" w14:textId="77777777" w:rsidTr="00B15943">
        <w:tc>
          <w:tcPr>
            <w:tcW w:w="1638" w:type="dxa"/>
          </w:tcPr>
          <w:p w14:paraId="070084E7" w14:textId="3B616CB7" w:rsidR="00B15943" w:rsidRPr="003C5411" w:rsidRDefault="005C1C7D" w:rsidP="00B15943">
            <w:pPr>
              <w:ind w:right="-86"/>
              <w:rPr>
                <w:rFonts w:eastAsia="MS Mincho"/>
                <w:b/>
              </w:rPr>
            </w:pPr>
            <w:r>
              <w:rPr>
                <w:rFonts w:eastAsia="MS Mincho"/>
                <w:b/>
                <w:sz w:val="22"/>
                <w:szCs w:val="22"/>
              </w:rPr>
              <w:t>Capítulo</w:t>
            </w:r>
            <w:r w:rsidR="00B15943" w:rsidRPr="003C5411">
              <w:rPr>
                <w:rFonts w:eastAsia="MS Mincho"/>
                <w:b/>
                <w:sz w:val="22"/>
                <w:szCs w:val="22"/>
              </w:rPr>
              <w:t xml:space="preserve"> 1</w:t>
            </w:r>
          </w:p>
        </w:tc>
        <w:tc>
          <w:tcPr>
            <w:tcW w:w="6210" w:type="dxa"/>
          </w:tcPr>
          <w:p w14:paraId="39F74E89" w14:textId="0A583636" w:rsidR="00B15943" w:rsidRPr="003C5411" w:rsidRDefault="00345473" w:rsidP="00B15943">
            <w:pPr>
              <w:ind w:right="-86"/>
              <w:rPr>
                <w:rFonts w:eastAsia="MS Mincho"/>
                <w:b/>
              </w:rPr>
            </w:pPr>
            <w:r>
              <w:rPr>
                <w:rFonts w:eastAsia="MS Mincho"/>
                <w:b/>
                <w:sz w:val="22"/>
                <w:szCs w:val="22"/>
              </w:rPr>
              <w:t>Justificación</w:t>
            </w:r>
          </w:p>
        </w:tc>
        <w:tc>
          <w:tcPr>
            <w:tcW w:w="720" w:type="dxa"/>
          </w:tcPr>
          <w:p w14:paraId="5F8CB595" w14:textId="15613423" w:rsidR="00B15943" w:rsidRPr="003C5411" w:rsidRDefault="0089035D" w:rsidP="00B15943">
            <w:pPr>
              <w:ind w:right="-86"/>
              <w:jc w:val="center"/>
              <w:rPr>
                <w:rFonts w:eastAsia="MS Mincho"/>
                <w:b/>
              </w:rPr>
            </w:pPr>
            <w:r>
              <w:rPr>
                <w:rFonts w:eastAsia="MS Mincho"/>
                <w:b/>
                <w:sz w:val="22"/>
                <w:szCs w:val="22"/>
              </w:rPr>
              <w:t>12</w:t>
            </w:r>
          </w:p>
        </w:tc>
      </w:tr>
      <w:tr w:rsidR="00B15943" w:rsidRPr="003C5411" w14:paraId="6EB771F3" w14:textId="77777777" w:rsidTr="00B15943">
        <w:tc>
          <w:tcPr>
            <w:tcW w:w="1638" w:type="dxa"/>
          </w:tcPr>
          <w:p w14:paraId="26D5B750" w14:textId="5D768895" w:rsidR="00B15943" w:rsidRPr="003C5411" w:rsidRDefault="005C1C7D" w:rsidP="00B15943">
            <w:pPr>
              <w:ind w:right="-86"/>
              <w:rPr>
                <w:rFonts w:eastAsia="MS Mincho"/>
                <w:b/>
              </w:rPr>
            </w:pPr>
            <w:r>
              <w:rPr>
                <w:rFonts w:eastAsia="MS Mincho"/>
                <w:b/>
                <w:sz w:val="22"/>
                <w:szCs w:val="22"/>
              </w:rPr>
              <w:t>Capítulo</w:t>
            </w:r>
            <w:r w:rsidR="00B15943" w:rsidRPr="003C5411">
              <w:rPr>
                <w:rFonts w:eastAsia="MS Mincho"/>
                <w:b/>
                <w:sz w:val="22"/>
                <w:szCs w:val="22"/>
              </w:rPr>
              <w:t xml:space="preserve"> 2</w:t>
            </w:r>
          </w:p>
        </w:tc>
        <w:tc>
          <w:tcPr>
            <w:tcW w:w="6210" w:type="dxa"/>
          </w:tcPr>
          <w:p w14:paraId="6FE63C2B" w14:textId="650F996C" w:rsidR="00B15943" w:rsidRPr="003C5411" w:rsidRDefault="00345473" w:rsidP="00B15943">
            <w:pPr>
              <w:ind w:right="-86"/>
              <w:rPr>
                <w:rFonts w:eastAsia="MS Mincho"/>
                <w:b/>
              </w:rPr>
            </w:pPr>
            <w:r>
              <w:rPr>
                <w:rFonts w:eastAsia="MS Mincho"/>
                <w:b/>
                <w:sz w:val="22"/>
                <w:szCs w:val="22"/>
              </w:rPr>
              <w:t>Visión y Misió</w:t>
            </w:r>
            <w:r w:rsidR="00B15943" w:rsidRPr="003C5411">
              <w:rPr>
                <w:rFonts w:eastAsia="MS Mincho"/>
                <w:b/>
                <w:sz w:val="22"/>
                <w:szCs w:val="22"/>
              </w:rPr>
              <w:t>n</w:t>
            </w:r>
          </w:p>
        </w:tc>
        <w:tc>
          <w:tcPr>
            <w:tcW w:w="720" w:type="dxa"/>
          </w:tcPr>
          <w:p w14:paraId="6E9F4217" w14:textId="3DAB68A3" w:rsidR="00B15943" w:rsidRPr="003C5411" w:rsidRDefault="00B15943" w:rsidP="00B15943">
            <w:pPr>
              <w:ind w:right="-86"/>
              <w:jc w:val="center"/>
              <w:rPr>
                <w:rFonts w:eastAsia="MS Mincho"/>
                <w:b/>
              </w:rPr>
            </w:pPr>
            <w:r>
              <w:rPr>
                <w:rFonts w:eastAsia="MS Mincho"/>
                <w:b/>
                <w:sz w:val="22"/>
                <w:szCs w:val="22"/>
              </w:rPr>
              <w:t>1</w:t>
            </w:r>
            <w:r w:rsidR="0089035D">
              <w:rPr>
                <w:rFonts w:eastAsia="MS Mincho"/>
                <w:b/>
                <w:sz w:val="22"/>
                <w:szCs w:val="22"/>
              </w:rPr>
              <w:t>6</w:t>
            </w:r>
          </w:p>
        </w:tc>
      </w:tr>
      <w:tr w:rsidR="00B15943" w:rsidRPr="003C5411" w14:paraId="60F0C541" w14:textId="77777777" w:rsidTr="00B15943">
        <w:tc>
          <w:tcPr>
            <w:tcW w:w="1638" w:type="dxa"/>
          </w:tcPr>
          <w:p w14:paraId="0E9B7263" w14:textId="1E172CBF" w:rsidR="00B15943" w:rsidRPr="003C5411" w:rsidRDefault="005C1C7D" w:rsidP="00B15943">
            <w:pPr>
              <w:ind w:right="-86"/>
              <w:rPr>
                <w:rFonts w:eastAsia="MS Mincho"/>
                <w:b/>
              </w:rPr>
            </w:pPr>
            <w:r>
              <w:rPr>
                <w:rFonts w:eastAsia="MS Mincho"/>
                <w:b/>
                <w:sz w:val="22"/>
                <w:szCs w:val="22"/>
              </w:rPr>
              <w:t>Capítulo</w:t>
            </w:r>
            <w:r w:rsidR="00B15943" w:rsidRPr="003C5411">
              <w:rPr>
                <w:rFonts w:eastAsia="MS Mincho"/>
                <w:b/>
                <w:sz w:val="22"/>
                <w:szCs w:val="22"/>
              </w:rPr>
              <w:t xml:space="preserve"> 3</w:t>
            </w:r>
          </w:p>
        </w:tc>
        <w:tc>
          <w:tcPr>
            <w:tcW w:w="6210" w:type="dxa"/>
          </w:tcPr>
          <w:p w14:paraId="7C800439" w14:textId="7DC1D987" w:rsidR="00B15943" w:rsidRPr="003C5411" w:rsidRDefault="00345473" w:rsidP="00B15943">
            <w:pPr>
              <w:ind w:right="-86"/>
              <w:rPr>
                <w:rFonts w:eastAsia="MS Mincho"/>
                <w:b/>
              </w:rPr>
            </w:pPr>
            <w:r>
              <w:rPr>
                <w:rFonts w:eastAsia="MS Mincho"/>
                <w:b/>
                <w:sz w:val="22"/>
                <w:szCs w:val="22"/>
              </w:rPr>
              <w:t>Objetivos y Metas Estratégicos</w:t>
            </w:r>
          </w:p>
        </w:tc>
        <w:tc>
          <w:tcPr>
            <w:tcW w:w="720" w:type="dxa"/>
          </w:tcPr>
          <w:p w14:paraId="562EEAC1" w14:textId="30FAD113" w:rsidR="00B15943" w:rsidRPr="003C5411" w:rsidRDefault="00B15943" w:rsidP="00B15943">
            <w:pPr>
              <w:ind w:right="-86"/>
              <w:jc w:val="center"/>
              <w:rPr>
                <w:rFonts w:eastAsia="MS Mincho"/>
                <w:b/>
              </w:rPr>
            </w:pPr>
            <w:r>
              <w:rPr>
                <w:rFonts w:eastAsia="MS Mincho"/>
                <w:b/>
                <w:sz w:val="22"/>
                <w:szCs w:val="22"/>
              </w:rPr>
              <w:t>1</w:t>
            </w:r>
            <w:r w:rsidR="0089035D">
              <w:rPr>
                <w:rFonts w:eastAsia="MS Mincho"/>
                <w:b/>
                <w:sz w:val="22"/>
                <w:szCs w:val="22"/>
              </w:rPr>
              <w:t>6</w:t>
            </w:r>
          </w:p>
        </w:tc>
      </w:tr>
      <w:tr w:rsidR="00B15943" w:rsidRPr="003C5411" w14:paraId="0F3C6F9F" w14:textId="77777777" w:rsidTr="00B15943">
        <w:tc>
          <w:tcPr>
            <w:tcW w:w="1638" w:type="dxa"/>
          </w:tcPr>
          <w:p w14:paraId="0FCC31F9" w14:textId="63CEC82A" w:rsidR="00B15943" w:rsidRPr="003C5411" w:rsidRDefault="005C1C7D" w:rsidP="00B15943">
            <w:pPr>
              <w:ind w:right="-86"/>
              <w:rPr>
                <w:rFonts w:eastAsia="MS Mincho"/>
                <w:b/>
              </w:rPr>
            </w:pPr>
            <w:r>
              <w:rPr>
                <w:rFonts w:eastAsia="MS Mincho"/>
                <w:b/>
                <w:sz w:val="22"/>
                <w:szCs w:val="22"/>
              </w:rPr>
              <w:t>Capítulo</w:t>
            </w:r>
            <w:r w:rsidR="00B15943" w:rsidRPr="003C5411">
              <w:rPr>
                <w:rFonts w:eastAsia="MS Mincho"/>
                <w:b/>
                <w:sz w:val="22"/>
                <w:szCs w:val="22"/>
              </w:rPr>
              <w:t xml:space="preserve"> 4</w:t>
            </w:r>
          </w:p>
        </w:tc>
        <w:tc>
          <w:tcPr>
            <w:tcW w:w="6210" w:type="dxa"/>
          </w:tcPr>
          <w:p w14:paraId="27A5CB64" w14:textId="2E56F66C" w:rsidR="00B15943" w:rsidRPr="003906C7" w:rsidRDefault="003906C7" w:rsidP="00B15943">
            <w:pPr>
              <w:ind w:right="-86"/>
              <w:rPr>
                <w:rFonts w:eastAsia="MS Mincho"/>
                <w:b/>
                <w:lang w:val="es-ES"/>
              </w:rPr>
            </w:pPr>
            <w:r w:rsidRPr="003906C7">
              <w:rPr>
                <w:rFonts w:eastAsia="MS Mincho"/>
                <w:b/>
                <w:sz w:val="22"/>
                <w:szCs w:val="22"/>
                <w:lang w:val="es-ES"/>
              </w:rPr>
              <w:t>Creando condiciones propicias para la Implementaci</w:t>
            </w:r>
            <w:r>
              <w:rPr>
                <w:rFonts w:eastAsia="MS Mincho"/>
                <w:b/>
                <w:sz w:val="22"/>
                <w:szCs w:val="22"/>
                <w:lang w:val="es-ES"/>
              </w:rPr>
              <w:t xml:space="preserve">ón </w:t>
            </w:r>
          </w:p>
        </w:tc>
        <w:tc>
          <w:tcPr>
            <w:tcW w:w="720" w:type="dxa"/>
          </w:tcPr>
          <w:p w14:paraId="1E787C12" w14:textId="0FF6BC5D" w:rsidR="00B15943" w:rsidRPr="003C5411" w:rsidRDefault="0089035D" w:rsidP="00B15943">
            <w:pPr>
              <w:ind w:right="-86"/>
              <w:jc w:val="center"/>
              <w:rPr>
                <w:rFonts w:eastAsia="MS Mincho"/>
                <w:b/>
              </w:rPr>
            </w:pPr>
            <w:r>
              <w:rPr>
                <w:rFonts w:eastAsia="MS Mincho"/>
                <w:b/>
                <w:sz w:val="22"/>
                <w:szCs w:val="22"/>
              </w:rPr>
              <w:t>20</w:t>
            </w:r>
          </w:p>
        </w:tc>
      </w:tr>
      <w:tr w:rsidR="00B15943" w:rsidRPr="003C5411" w14:paraId="30F21428" w14:textId="77777777" w:rsidTr="00B15943">
        <w:tc>
          <w:tcPr>
            <w:tcW w:w="1638" w:type="dxa"/>
          </w:tcPr>
          <w:p w14:paraId="1C92D944" w14:textId="097A3341" w:rsidR="00B15943" w:rsidRPr="003C5411" w:rsidRDefault="005C1C7D" w:rsidP="00B15943">
            <w:pPr>
              <w:ind w:right="-86"/>
              <w:rPr>
                <w:rFonts w:eastAsia="MS Mincho"/>
                <w:b/>
              </w:rPr>
            </w:pPr>
            <w:r>
              <w:rPr>
                <w:rFonts w:eastAsia="MS Mincho"/>
                <w:b/>
                <w:sz w:val="22"/>
                <w:szCs w:val="22"/>
              </w:rPr>
              <w:t xml:space="preserve">   Anexo</w:t>
            </w:r>
            <w:r w:rsidR="00B15943" w:rsidRPr="003C5411">
              <w:rPr>
                <w:rFonts w:eastAsia="MS Mincho"/>
                <w:b/>
                <w:sz w:val="22"/>
                <w:szCs w:val="22"/>
              </w:rPr>
              <w:t xml:space="preserve"> A</w:t>
            </w:r>
          </w:p>
        </w:tc>
        <w:tc>
          <w:tcPr>
            <w:tcW w:w="6210" w:type="dxa"/>
          </w:tcPr>
          <w:p w14:paraId="48A5C983" w14:textId="2A9125E5" w:rsidR="00B15943" w:rsidRPr="003906C7" w:rsidRDefault="00B15943" w:rsidP="00B15943">
            <w:pPr>
              <w:ind w:right="-86"/>
              <w:rPr>
                <w:rFonts w:eastAsia="MS Mincho"/>
                <w:b/>
                <w:lang w:val="es-ES"/>
              </w:rPr>
            </w:pPr>
            <w:r w:rsidRPr="003906C7">
              <w:rPr>
                <w:rFonts w:eastAsia="MS Mincho"/>
                <w:b/>
                <w:sz w:val="22"/>
                <w:szCs w:val="22"/>
                <w:lang w:val="es-ES"/>
              </w:rPr>
              <w:t>Correspondenc</w:t>
            </w:r>
            <w:r w:rsidR="003906C7" w:rsidRPr="003906C7">
              <w:rPr>
                <w:rFonts w:eastAsia="MS Mincho"/>
                <w:b/>
                <w:sz w:val="22"/>
                <w:szCs w:val="22"/>
                <w:lang w:val="es-ES"/>
              </w:rPr>
              <w:t>ia entr</w:t>
            </w:r>
            <w:r w:rsidRPr="003906C7">
              <w:rPr>
                <w:rFonts w:eastAsia="MS Mincho"/>
                <w:b/>
                <w:sz w:val="22"/>
                <w:szCs w:val="22"/>
                <w:lang w:val="es-ES"/>
              </w:rPr>
              <w:t xml:space="preserve">e </w:t>
            </w:r>
            <w:r w:rsidR="003906C7" w:rsidRPr="003906C7">
              <w:rPr>
                <w:rFonts w:eastAsia="MS Mincho"/>
                <w:b/>
                <w:sz w:val="22"/>
                <w:szCs w:val="22"/>
                <w:lang w:val="es-ES"/>
              </w:rPr>
              <w:t>el</w:t>
            </w:r>
            <w:r w:rsidRPr="003906C7">
              <w:rPr>
                <w:rFonts w:eastAsia="MS Mincho"/>
                <w:b/>
                <w:sz w:val="22"/>
                <w:szCs w:val="22"/>
                <w:lang w:val="es-ES"/>
              </w:rPr>
              <w:t xml:space="preserve"> S</w:t>
            </w:r>
            <w:r w:rsidR="003906C7" w:rsidRPr="003906C7">
              <w:rPr>
                <w:rFonts w:eastAsia="MS Mincho"/>
                <w:b/>
                <w:sz w:val="22"/>
                <w:szCs w:val="22"/>
                <w:lang w:val="es-ES"/>
              </w:rPr>
              <w:t>PMS y las Metas A</w:t>
            </w:r>
            <w:r w:rsidRPr="003906C7">
              <w:rPr>
                <w:rFonts w:eastAsia="MS Mincho"/>
                <w:b/>
                <w:sz w:val="22"/>
                <w:szCs w:val="22"/>
                <w:lang w:val="es-ES"/>
              </w:rPr>
              <w:t>i</w:t>
            </w:r>
            <w:r w:rsidR="003906C7" w:rsidRPr="003906C7">
              <w:rPr>
                <w:rFonts w:eastAsia="MS Mincho"/>
                <w:b/>
                <w:sz w:val="22"/>
                <w:szCs w:val="22"/>
                <w:lang w:val="es-ES"/>
              </w:rPr>
              <w:t>chi</w:t>
            </w:r>
          </w:p>
        </w:tc>
        <w:tc>
          <w:tcPr>
            <w:tcW w:w="720" w:type="dxa"/>
          </w:tcPr>
          <w:p w14:paraId="1B308F31" w14:textId="051265EB" w:rsidR="00B15943" w:rsidRPr="003C5411" w:rsidRDefault="0089035D" w:rsidP="00B15943">
            <w:pPr>
              <w:ind w:right="-86"/>
              <w:jc w:val="center"/>
              <w:rPr>
                <w:rFonts w:eastAsia="MS Mincho"/>
                <w:b/>
              </w:rPr>
            </w:pPr>
            <w:r>
              <w:rPr>
                <w:rFonts w:eastAsia="MS Mincho"/>
                <w:b/>
                <w:sz w:val="22"/>
                <w:szCs w:val="22"/>
              </w:rPr>
              <w:t>24</w:t>
            </w:r>
          </w:p>
        </w:tc>
      </w:tr>
      <w:tr w:rsidR="00B15943" w:rsidRPr="003C5411" w14:paraId="17091F6A" w14:textId="77777777" w:rsidTr="00B15943">
        <w:tc>
          <w:tcPr>
            <w:tcW w:w="1638" w:type="dxa"/>
          </w:tcPr>
          <w:p w14:paraId="51FC15B3" w14:textId="7E4B485E" w:rsidR="00B15943" w:rsidRPr="003C5411" w:rsidRDefault="005C1C7D" w:rsidP="00B15943">
            <w:pPr>
              <w:ind w:right="-86"/>
              <w:rPr>
                <w:rFonts w:eastAsia="MS Mincho"/>
                <w:b/>
              </w:rPr>
            </w:pPr>
            <w:r>
              <w:rPr>
                <w:rFonts w:eastAsia="MS Mincho"/>
                <w:b/>
                <w:sz w:val="22"/>
                <w:szCs w:val="22"/>
              </w:rPr>
              <w:t xml:space="preserve">   Anexo</w:t>
            </w:r>
            <w:r w:rsidR="00B15943" w:rsidRPr="003C5411">
              <w:rPr>
                <w:rFonts w:eastAsia="MS Mincho"/>
                <w:b/>
                <w:sz w:val="22"/>
                <w:szCs w:val="22"/>
              </w:rPr>
              <w:t xml:space="preserve"> B</w:t>
            </w:r>
          </w:p>
        </w:tc>
        <w:tc>
          <w:tcPr>
            <w:tcW w:w="6210" w:type="dxa"/>
          </w:tcPr>
          <w:p w14:paraId="4ED965B1" w14:textId="368E3CD4" w:rsidR="00B15943" w:rsidRPr="00101681" w:rsidRDefault="003906C7" w:rsidP="00675257">
            <w:pPr>
              <w:ind w:right="-86"/>
              <w:rPr>
                <w:rFonts w:eastAsia="MS Mincho"/>
                <w:b/>
                <w:lang w:val="es-ES"/>
              </w:rPr>
            </w:pPr>
            <w:r>
              <w:rPr>
                <w:rFonts w:eastAsia="MS Mincho"/>
                <w:b/>
                <w:strike/>
                <w:sz w:val="22"/>
                <w:szCs w:val="22"/>
                <w:lang w:val="es-ES"/>
              </w:rPr>
              <w:t>Indicadores orientativos del Plan Estratégico</w:t>
            </w:r>
            <w:r w:rsidR="00B15943" w:rsidRPr="00675257">
              <w:rPr>
                <w:rFonts w:eastAsia="MS Mincho"/>
                <w:b/>
                <w:noProof/>
                <w:sz w:val="22"/>
                <w:szCs w:val="22"/>
                <w:lang w:val="es-ES_tradnl"/>
              </w:rPr>
              <w:t xml:space="preserve"> </w:t>
            </w:r>
            <w:r w:rsidR="00675257" w:rsidRPr="003906C7">
              <w:rPr>
                <w:rFonts w:eastAsia="MS Mincho"/>
                <w:b/>
                <w:noProof/>
                <w:sz w:val="22"/>
                <w:szCs w:val="22"/>
                <w:u w:val="single"/>
                <w:lang w:val="es-ES_tradnl"/>
              </w:rPr>
              <w:t>Indicadores detallados</w:t>
            </w:r>
            <w:r w:rsidR="003C265C" w:rsidRPr="003906C7">
              <w:rPr>
                <w:rFonts w:eastAsia="MS Mincho"/>
                <w:b/>
                <w:noProof/>
                <w:sz w:val="22"/>
                <w:szCs w:val="22"/>
                <w:u w:val="single"/>
                <w:lang w:val="es-ES_tradnl"/>
              </w:rPr>
              <w:t xml:space="preserve"> d</w:t>
            </w:r>
            <w:r w:rsidR="00675257" w:rsidRPr="003906C7">
              <w:rPr>
                <w:rFonts w:eastAsia="MS Mincho"/>
                <w:b/>
                <w:noProof/>
                <w:sz w:val="22"/>
                <w:szCs w:val="22"/>
                <w:u w:val="single"/>
                <w:lang w:val="es-ES_tradnl"/>
              </w:rPr>
              <w:t xml:space="preserve">el Plan Estratégico </w:t>
            </w:r>
            <w:r w:rsidR="00644B21" w:rsidRPr="003906C7">
              <w:rPr>
                <w:rFonts w:eastAsia="MS Mincho"/>
                <w:b/>
                <w:noProof/>
                <w:sz w:val="22"/>
                <w:szCs w:val="22"/>
                <w:u w:val="single"/>
                <w:lang w:val="es-ES_tradnl"/>
              </w:rPr>
              <w:t>par</w:t>
            </w:r>
            <w:r w:rsidR="00675257" w:rsidRPr="003906C7">
              <w:rPr>
                <w:rFonts w:eastAsia="MS Mincho"/>
                <w:b/>
                <w:noProof/>
                <w:sz w:val="22"/>
                <w:szCs w:val="22"/>
                <w:u w:val="single"/>
                <w:lang w:val="es-ES_tradnl"/>
              </w:rPr>
              <w:t>a</w:t>
            </w:r>
            <w:r w:rsidR="00644B21" w:rsidRPr="003906C7">
              <w:rPr>
                <w:rFonts w:eastAsia="MS Mincho"/>
                <w:b/>
                <w:noProof/>
                <w:sz w:val="22"/>
                <w:szCs w:val="22"/>
                <w:u w:val="single"/>
                <w:lang w:val="es-ES_tradnl"/>
              </w:rPr>
              <w:t xml:space="preserve"> </w:t>
            </w:r>
            <w:r w:rsidR="00675257" w:rsidRPr="003906C7">
              <w:rPr>
                <w:rFonts w:eastAsia="MS Mincho"/>
                <w:b/>
                <w:noProof/>
                <w:sz w:val="22"/>
                <w:szCs w:val="22"/>
                <w:u w:val="single"/>
                <w:lang w:val="es-ES_tradnl"/>
              </w:rPr>
              <w:t>las Especies Migratorias</w:t>
            </w:r>
          </w:p>
        </w:tc>
        <w:tc>
          <w:tcPr>
            <w:tcW w:w="720" w:type="dxa"/>
          </w:tcPr>
          <w:p w14:paraId="051F2633" w14:textId="1065F8B4" w:rsidR="00B15943" w:rsidRPr="003C5411" w:rsidRDefault="00B15943" w:rsidP="00B15943">
            <w:pPr>
              <w:ind w:right="-86"/>
              <w:jc w:val="center"/>
              <w:rPr>
                <w:rFonts w:eastAsia="MS Mincho"/>
                <w:b/>
              </w:rPr>
            </w:pPr>
            <w:r>
              <w:rPr>
                <w:rFonts w:eastAsia="MS Mincho"/>
                <w:b/>
                <w:sz w:val="22"/>
                <w:szCs w:val="22"/>
              </w:rPr>
              <w:t>2</w:t>
            </w:r>
            <w:r w:rsidR="0089035D">
              <w:rPr>
                <w:rFonts w:eastAsia="MS Mincho"/>
                <w:b/>
                <w:sz w:val="22"/>
                <w:szCs w:val="22"/>
              </w:rPr>
              <w:t>6</w:t>
            </w:r>
          </w:p>
        </w:tc>
      </w:tr>
      <w:tr w:rsidR="00B15943" w:rsidRPr="003C5411" w14:paraId="2E6CB40B" w14:textId="77777777" w:rsidTr="00B15943">
        <w:tc>
          <w:tcPr>
            <w:tcW w:w="1638" w:type="dxa"/>
          </w:tcPr>
          <w:p w14:paraId="5406D16A" w14:textId="77777777" w:rsidR="00B15943" w:rsidRPr="003C5411" w:rsidRDefault="00B15943" w:rsidP="00B15943">
            <w:pPr>
              <w:ind w:right="-86"/>
              <w:rPr>
                <w:rFonts w:eastAsia="MS Mincho"/>
                <w:b/>
              </w:rPr>
            </w:pPr>
          </w:p>
        </w:tc>
        <w:tc>
          <w:tcPr>
            <w:tcW w:w="6210" w:type="dxa"/>
          </w:tcPr>
          <w:p w14:paraId="249CBA48" w14:textId="77777777" w:rsidR="00B15943" w:rsidRPr="003C5411" w:rsidRDefault="00B15943" w:rsidP="00B15943">
            <w:pPr>
              <w:ind w:right="-86"/>
              <w:rPr>
                <w:rFonts w:eastAsia="MS Mincho"/>
                <w:b/>
              </w:rPr>
            </w:pPr>
          </w:p>
        </w:tc>
        <w:tc>
          <w:tcPr>
            <w:tcW w:w="720" w:type="dxa"/>
          </w:tcPr>
          <w:p w14:paraId="2BA32FC7" w14:textId="77777777" w:rsidR="00B15943" w:rsidRPr="003C5411" w:rsidRDefault="00B15943" w:rsidP="00B15943">
            <w:pPr>
              <w:ind w:right="-86"/>
              <w:jc w:val="center"/>
              <w:rPr>
                <w:rFonts w:eastAsia="MS Mincho"/>
                <w:b/>
              </w:rPr>
            </w:pPr>
          </w:p>
        </w:tc>
      </w:tr>
    </w:tbl>
    <w:p w14:paraId="1B43E02B" w14:textId="77777777" w:rsidR="00B15943" w:rsidRPr="004C5747" w:rsidRDefault="00B15943" w:rsidP="00B15943">
      <w:pPr>
        <w:ind w:right="-88"/>
        <w:rPr>
          <w:rFonts w:eastAsia="MS Mincho" w:cs="Arial"/>
          <w:sz w:val="22"/>
          <w:szCs w:val="22"/>
        </w:rPr>
        <w:sectPr w:rsidR="00B15943" w:rsidRPr="004C5747" w:rsidSect="00B15943">
          <w:headerReference w:type="default" r:id="rId27"/>
          <w:footerReference w:type="default" r:id="rId28"/>
          <w:pgSz w:w="11906" w:h="16838" w:code="9"/>
          <w:pgMar w:top="1440" w:right="1797" w:bottom="1440" w:left="1797" w:header="397" w:footer="397" w:gutter="0"/>
          <w:cols w:space="708"/>
          <w:docGrid w:linePitch="360"/>
        </w:sectPr>
      </w:pPr>
    </w:p>
    <w:p w14:paraId="15FB80C1" w14:textId="77777777" w:rsidR="00B15943" w:rsidRPr="004C5747" w:rsidRDefault="00B15943" w:rsidP="00B15943">
      <w:pPr>
        <w:ind w:right="-88"/>
        <w:rPr>
          <w:rFonts w:eastAsia="MS Mincho" w:cs="Arial"/>
          <w:sz w:val="4"/>
          <w:szCs w:val="4"/>
        </w:rPr>
      </w:pPr>
    </w:p>
    <w:tbl>
      <w:tblPr>
        <w:tblW w:w="9639" w:type="dxa"/>
        <w:tblBorders>
          <w:bottom w:val="single" w:sz="4" w:space="0" w:color="auto"/>
        </w:tblBorders>
        <w:tblLook w:val="01E0" w:firstRow="1" w:lastRow="1" w:firstColumn="1" w:lastColumn="1" w:noHBand="0" w:noVBand="0"/>
      </w:tblPr>
      <w:tblGrid>
        <w:gridCol w:w="9639"/>
      </w:tblGrid>
      <w:tr w:rsidR="00B15943" w:rsidRPr="00A71931" w14:paraId="184684D9" w14:textId="77777777" w:rsidTr="00BE149B">
        <w:tc>
          <w:tcPr>
            <w:tcW w:w="9639" w:type="dxa"/>
            <w:tcBorders>
              <w:bottom w:val="single" w:sz="4" w:space="0" w:color="auto"/>
            </w:tcBorders>
            <w:shd w:val="clear" w:color="auto" w:fill="E6E6E6"/>
          </w:tcPr>
          <w:p w14:paraId="6C872941" w14:textId="703EEF98" w:rsidR="00B15943" w:rsidRPr="00A71931" w:rsidRDefault="00B15943" w:rsidP="00B15943">
            <w:pPr>
              <w:ind w:right="-88"/>
              <w:rPr>
                <w:rFonts w:eastAsia="MS Mincho"/>
                <w:b/>
                <w:color w:val="000080"/>
                <w:sz w:val="30"/>
                <w:szCs w:val="30"/>
              </w:rPr>
            </w:pPr>
            <w:r w:rsidRPr="00A71931">
              <w:rPr>
                <w:b/>
                <w:color w:val="000080"/>
                <w:sz w:val="30"/>
                <w:szCs w:val="30"/>
              </w:rPr>
              <w:br w:type="page"/>
            </w:r>
            <w:r w:rsidRPr="00A71931">
              <w:rPr>
                <w:rFonts w:eastAsia="MS Mincho"/>
                <w:b/>
                <w:color w:val="000080"/>
                <w:sz w:val="30"/>
                <w:szCs w:val="30"/>
              </w:rPr>
              <w:br w:type="page"/>
              <w:t>C</w:t>
            </w:r>
            <w:r w:rsidR="003906C7">
              <w:rPr>
                <w:rFonts w:eastAsia="MS Mincho"/>
                <w:b/>
                <w:color w:val="000080"/>
                <w:sz w:val="30"/>
                <w:szCs w:val="30"/>
              </w:rPr>
              <w:t>apítulo 1:   Justificación</w:t>
            </w:r>
          </w:p>
        </w:tc>
      </w:tr>
    </w:tbl>
    <w:p w14:paraId="64633167" w14:textId="77777777" w:rsidR="00B15943" w:rsidRPr="00333026" w:rsidRDefault="00B15943" w:rsidP="00B15943">
      <w:pPr>
        <w:ind w:right="-88"/>
        <w:rPr>
          <w:rFonts w:eastAsia="MS Mincho"/>
          <w:sz w:val="22"/>
          <w:szCs w:val="22"/>
        </w:rPr>
      </w:pPr>
    </w:p>
    <w:p w14:paraId="4C6B1B94" w14:textId="412EA9F8" w:rsidR="00B15943" w:rsidRPr="00333026" w:rsidRDefault="005C1C7D" w:rsidP="00E30447">
      <w:pPr>
        <w:widowControl/>
        <w:numPr>
          <w:ilvl w:val="1"/>
          <w:numId w:val="4"/>
        </w:numPr>
        <w:ind w:right="-88"/>
        <w:jc w:val="both"/>
        <w:rPr>
          <w:rFonts w:eastAsia="MS Mincho"/>
          <w:b/>
          <w:sz w:val="22"/>
          <w:szCs w:val="22"/>
          <w:lang w:eastAsia="ja-JP"/>
        </w:rPr>
      </w:pPr>
      <w:r w:rsidRPr="007D6DE9">
        <w:rPr>
          <w:rFonts w:cs="Arial"/>
          <w:b/>
          <w:bCs/>
          <w:color w:val="000000"/>
          <w:sz w:val="22"/>
          <w:szCs w:val="22"/>
        </w:rPr>
        <w:t>Antecedentes del SPMS</w:t>
      </w:r>
    </w:p>
    <w:p w14:paraId="716579F2" w14:textId="77777777" w:rsidR="005C1C7D" w:rsidRDefault="005C1C7D" w:rsidP="003C5848">
      <w:pPr>
        <w:jc w:val="both"/>
        <w:rPr>
          <w:rFonts w:eastAsia="MS Mincho"/>
          <w:sz w:val="22"/>
          <w:szCs w:val="22"/>
        </w:rPr>
      </w:pPr>
    </w:p>
    <w:p w14:paraId="03D6DF41" w14:textId="77777777" w:rsidR="005C1C7D" w:rsidRPr="00101681" w:rsidRDefault="005C1C7D" w:rsidP="005C1C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color w:val="000000"/>
          <w:sz w:val="22"/>
          <w:szCs w:val="22"/>
          <w:lang w:val="es-ES"/>
        </w:rPr>
      </w:pPr>
      <w:r w:rsidRPr="00101681">
        <w:rPr>
          <w:rFonts w:cs="Arial"/>
          <w:color w:val="000000"/>
          <w:sz w:val="22"/>
          <w:szCs w:val="22"/>
          <w:lang w:val="es-ES"/>
        </w:rPr>
        <w:t>En la Décima Reunión de la Conferencia de las Partes de la Convención sobre las Especies Migratorias (COP10 de la CMS, noviembre de 2011; Bergen, Noruega), las Partes decidieron elaborar un nuevo Plan Estratégico para el período 2015-2023. La COP8 había adoptado previamente un Plan para el período 2006-2011, que la COP10 amplió, con cambios menores, hasta 2014.</w:t>
      </w:r>
    </w:p>
    <w:p w14:paraId="5D042A47" w14:textId="77777777" w:rsidR="005C1C7D" w:rsidRPr="00101681" w:rsidRDefault="005C1C7D" w:rsidP="003C5848">
      <w:pPr>
        <w:jc w:val="both"/>
        <w:rPr>
          <w:rFonts w:eastAsia="MS Mincho"/>
          <w:sz w:val="22"/>
          <w:szCs w:val="22"/>
          <w:lang w:val="es-ES"/>
        </w:rPr>
      </w:pPr>
    </w:p>
    <w:p w14:paraId="0991C3C8" w14:textId="2697D58C" w:rsidR="00B15943" w:rsidRDefault="003906C7" w:rsidP="005F0837">
      <w:pPr>
        <w:spacing w:before="120" w:after="120"/>
        <w:jc w:val="both"/>
        <w:rPr>
          <w:rFonts w:eastAsia="MS Mincho"/>
          <w:sz w:val="22"/>
          <w:szCs w:val="22"/>
          <w:lang w:val="es-ES"/>
        </w:rPr>
      </w:pPr>
      <w:r w:rsidRPr="003906C7">
        <w:rPr>
          <w:rFonts w:eastAsia="MS Mincho"/>
          <w:sz w:val="22"/>
          <w:szCs w:val="22"/>
          <w:lang w:val="es-ES"/>
        </w:rPr>
        <w:t>La fecha de finalización del presente Plan se acordó porque coincide con el ciclo de la COP de la CMS y, más importante aún, permite tiempo para evaluar los progresos realizados durante el Decenio de las Naciones Unidas sobre la Diversidad Biológica (véase la figura 1, en gris las fechas clave para la CMS).También proporciona una oportunidad para evaluar cómo el Plan Estratégico para las Especies Migratorias 2015-2023 (SPMS) ha apoyado el Plan Estratégico para la Diversidad Biológica 2011-2020 y sus Metas de Aichi para la Diversidad Biológica.  Las metas del SPMS son más específicas y continúan en vigor durante más tiempo que las Metas de Aichi para la Diversidad Biológica (la mayoría de las cuales finalizan en 2020).</w:t>
      </w:r>
    </w:p>
    <w:p w14:paraId="29E8207F" w14:textId="77777777" w:rsidR="00367CFC" w:rsidRDefault="00367CFC" w:rsidP="00B15943">
      <w:pPr>
        <w:spacing w:before="120" w:after="120"/>
        <w:rPr>
          <w:rFonts w:eastAsia="MS Mincho"/>
          <w:sz w:val="22"/>
          <w:szCs w:val="22"/>
          <w:lang w:val="es-E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367CFC" w:rsidRPr="00573D8D" w14:paraId="39CE477C" w14:textId="77777777" w:rsidTr="00367CFC">
        <w:tc>
          <w:tcPr>
            <w:tcW w:w="5580" w:type="dxa"/>
            <w:shd w:val="clear" w:color="auto" w:fill="D9D9D9"/>
            <w:vAlign w:val="center"/>
          </w:tcPr>
          <w:p w14:paraId="5AF7772B" w14:textId="77777777" w:rsidR="00367CFC" w:rsidRPr="0053339D" w:rsidRDefault="00367CFC" w:rsidP="00367CFC">
            <w:pPr>
              <w:spacing w:before="40" w:after="40"/>
              <w:jc w:val="center"/>
              <w:rPr>
                <w:rFonts w:eastAsia="MS Mincho"/>
                <w:b/>
                <w:sz w:val="22"/>
                <w:szCs w:val="22"/>
                <w:lang w:val="es-ES" w:eastAsia="en-GB"/>
              </w:rPr>
            </w:pPr>
            <w:r w:rsidRPr="0053339D">
              <w:rPr>
                <w:rFonts w:eastAsia="MS Mincho"/>
                <w:b/>
                <w:sz w:val="22"/>
                <w:szCs w:val="22"/>
                <w:lang w:val="es-ES" w:eastAsia="en-GB"/>
              </w:rPr>
              <w:t>Hitos</w:t>
            </w:r>
          </w:p>
        </w:tc>
        <w:tc>
          <w:tcPr>
            <w:tcW w:w="1620" w:type="dxa"/>
            <w:shd w:val="clear" w:color="auto" w:fill="D9D9D9"/>
            <w:vAlign w:val="center"/>
          </w:tcPr>
          <w:p w14:paraId="62A39D16" w14:textId="77777777" w:rsidR="00367CFC" w:rsidRPr="0053339D" w:rsidRDefault="00367CFC" w:rsidP="00367CFC">
            <w:pPr>
              <w:spacing w:before="40" w:after="40"/>
              <w:jc w:val="center"/>
              <w:rPr>
                <w:rFonts w:eastAsia="MS Mincho"/>
                <w:b/>
                <w:sz w:val="22"/>
                <w:szCs w:val="22"/>
                <w:lang w:val="es-ES" w:eastAsia="en-GB"/>
              </w:rPr>
            </w:pPr>
            <w:r w:rsidRPr="0053339D">
              <w:rPr>
                <w:rFonts w:eastAsia="MS Mincho"/>
                <w:b/>
                <w:sz w:val="22"/>
                <w:szCs w:val="22"/>
                <w:lang w:val="es-ES" w:eastAsia="en-GB"/>
              </w:rPr>
              <w:t>Fecha</w:t>
            </w:r>
          </w:p>
        </w:tc>
      </w:tr>
      <w:tr w:rsidR="00367CFC" w:rsidRPr="00573D8D" w14:paraId="5E6CA078" w14:textId="77777777" w:rsidTr="00367CFC">
        <w:tc>
          <w:tcPr>
            <w:tcW w:w="5580" w:type="dxa"/>
            <w:vAlign w:val="center"/>
          </w:tcPr>
          <w:p w14:paraId="39992881"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Adopción del Plan estratégico para la Biodiversidad / Metas de Aichi para la Diversidad Biológica.  </w:t>
            </w:r>
          </w:p>
        </w:tc>
        <w:tc>
          <w:tcPr>
            <w:tcW w:w="1620" w:type="dxa"/>
            <w:vAlign w:val="center"/>
          </w:tcPr>
          <w:p w14:paraId="43B3A924"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2010</w:t>
            </w:r>
          </w:p>
        </w:tc>
      </w:tr>
      <w:tr w:rsidR="00367CFC" w:rsidRPr="00573D8D" w14:paraId="15569DDE" w14:textId="77777777" w:rsidTr="00367CFC">
        <w:tc>
          <w:tcPr>
            <w:tcW w:w="5580" w:type="dxa"/>
            <w:shd w:val="clear" w:color="auto" w:fill="E6E6E6"/>
            <w:vAlign w:val="center"/>
          </w:tcPr>
          <w:p w14:paraId="085505FF"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Adopción del Plan Estratégico para las Especies Migratorias </w:t>
            </w:r>
          </w:p>
        </w:tc>
        <w:tc>
          <w:tcPr>
            <w:tcW w:w="1620" w:type="dxa"/>
            <w:shd w:val="clear" w:color="auto" w:fill="E6E6E6"/>
            <w:vAlign w:val="center"/>
          </w:tcPr>
          <w:p w14:paraId="40D3B86A"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2014</w:t>
            </w:r>
          </w:p>
        </w:tc>
      </w:tr>
      <w:tr w:rsidR="00367CFC" w:rsidRPr="00573D8D" w14:paraId="78FA7316" w14:textId="77777777" w:rsidTr="00367CFC">
        <w:tc>
          <w:tcPr>
            <w:tcW w:w="5580" w:type="dxa"/>
            <w:vAlign w:val="center"/>
          </w:tcPr>
          <w:p w14:paraId="36F2FB95"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13 del CBD </w:t>
            </w:r>
          </w:p>
        </w:tc>
        <w:tc>
          <w:tcPr>
            <w:tcW w:w="1620" w:type="dxa"/>
            <w:vAlign w:val="center"/>
          </w:tcPr>
          <w:p w14:paraId="22AA43DE"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2016</w:t>
            </w:r>
          </w:p>
        </w:tc>
      </w:tr>
      <w:tr w:rsidR="00367CFC" w:rsidRPr="00573D8D" w14:paraId="275DE84C" w14:textId="77777777" w:rsidTr="00367CFC">
        <w:tc>
          <w:tcPr>
            <w:tcW w:w="5580" w:type="dxa"/>
            <w:shd w:val="clear" w:color="auto" w:fill="E6E6E6"/>
            <w:vAlign w:val="center"/>
          </w:tcPr>
          <w:p w14:paraId="3B1E1239" w14:textId="35195290"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COP 12 de la CMS </w:t>
            </w:r>
            <w:r w:rsidRPr="0053339D">
              <w:rPr>
                <w:rFonts w:eastAsia="MS Mincho"/>
                <w:strike/>
                <w:sz w:val="22"/>
                <w:szCs w:val="22"/>
                <w:lang w:val="es-ES" w:eastAsia="en-GB"/>
              </w:rPr>
              <w:t>(tentativo)</w:t>
            </w:r>
          </w:p>
        </w:tc>
        <w:tc>
          <w:tcPr>
            <w:tcW w:w="1620" w:type="dxa"/>
            <w:shd w:val="clear" w:color="auto" w:fill="E6E6E6"/>
            <w:vAlign w:val="center"/>
          </w:tcPr>
          <w:p w14:paraId="0BADD8AC"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2017</w:t>
            </w:r>
          </w:p>
        </w:tc>
      </w:tr>
      <w:tr w:rsidR="00367CFC" w:rsidRPr="00573D8D" w14:paraId="4C58BB3F" w14:textId="77777777" w:rsidTr="00367CFC">
        <w:tc>
          <w:tcPr>
            <w:tcW w:w="5580" w:type="dxa"/>
            <w:vAlign w:val="center"/>
          </w:tcPr>
          <w:p w14:paraId="58A56CB9"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14  del CBD (tentativo)</w:t>
            </w:r>
          </w:p>
        </w:tc>
        <w:tc>
          <w:tcPr>
            <w:tcW w:w="1620" w:type="dxa"/>
            <w:vAlign w:val="center"/>
          </w:tcPr>
          <w:p w14:paraId="5D48C920"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2018</w:t>
            </w:r>
          </w:p>
        </w:tc>
      </w:tr>
      <w:tr w:rsidR="00367CFC" w:rsidRPr="00573D8D" w14:paraId="0FF0B55A" w14:textId="77777777" w:rsidTr="00367CFC">
        <w:tc>
          <w:tcPr>
            <w:tcW w:w="5580" w:type="dxa"/>
            <w:vAlign w:val="center"/>
          </w:tcPr>
          <w:p w14:paraId="03144BF0"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 xml:space="preserve">Fecha de finalización para el Plan Estratégico para la Diversidad Biológica y las Metas de Aichi para la Diversidad Biológica.   </w:t>
            </w:r>
          </w:p>
        </w:tc>
        <w:tc>
          <w:tcPr>
            <w:tcW w:w="1620" w:type="dxa"/>
            <w:vAlign w:val="center"/>
          </w:tcPr>
          <w:p w14:paraId="3CB1E6D1"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7F687CE5" w14:textId="77777777" w:rsidTr="00367CFC">
        <w:tc>
          <w:tcPr>
            <w:tcW w:w="5580" w:type="dxa"/>
            <w:vAlign w:val="center"/>
          </w:tcPr>
          <w:p w14:paraId="2069E483"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15 del CBD, incluyendo la evaluación del progreso hacia las Metas de Aichi para la Diversidad Biológica.   (tentativo)</w:t>
            </w:r>
          </w:p>
        </w:tc>
        <w:tc>
          <w:tcPr>
            <w:tcW w:w="1620" w:type="dxa"/>
            <w:vAlign w:val="center"/>
          </w:tcPr>
          <w:p w14:paraId="19702C84"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78F53F6B" w14:textId="77777777" w:rsidTr="00367CFC">
        <w:tc>
          <w:tcPr>
            <w:tcW w:w="5580" w:type="dxa"/>
            <w:shd w:val="clear" w:color="auto" w:fill="E6E6E6"/>
            <w:vAlign w:val="center"/>
          </w:tcPr>
          <w:p w14:paraId="668C5F31"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13 de la CMS (tentativo)</w:t>
            </w:r>
            <w:r w:rsidRPr="0053339D">
              <w:rPr>
                <w:rFonts w:eastAsia="MS Mincho"/>
                <w:sz w:val="22"/>
                <w:szCs w:val="22"/>
                <w:vertAlign w:val="superscript"/>
                <w:lang w:val="es-ES" w:eastAsia="en-GB"/>
              </w:rPr>
              <w:footnoteReference w:id="2"/>
            </w:r>
          </w:p>
        </w:tc>
        <w:tc>
          <w:tcPr>
            <w:tcW w:w="1620" w:type="dxa"/>
            <w:shd w:val="clear" w:color="auto" w:fill="E6E6E6"/>
            <w:vAlign w:val="center"/>
          </w:tcPr>
          <w:p w14:paraId="322CBA56"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2020</w:t>
            </w:r>
          </w:p>
        </w:tc>
      </w:tr>
      <w:tr w:rsidR="00367CFC" w:rsidRPr="00573D8D" w14:paraId="51C49494" w14:textId="77777777" w:rsidTr="00367CFC">
        <w:tc>
          <w:tcPr>
            <w:tcW w:w="5580" w:type="dxa"/>
            <w:vAlign w:val="center"/>
          </w:tcPr>
          <w:p w14:paraId="738EE554"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15 del CBD (tentativo)</w:t>
            </w:r>
          </w:p>
        </w:tc>
        <w:tc>
          <w:tcPr>
            <w:tcW w:w="1620" w:type="dxa"/>
            <w:vAlign w:val="center"/>
          </w:tcPr>
          <w:p w14:paraId="4C00B24A" w14:textId="77777777" w:rsidR="00367CFC" w:rsidRPr="0053339D" w:rsidRDefault="00367CFC" w:rsidP="00367CFC">
            <w:pPr>
              <w:jc w:val="center"/>
              <w:rPr>
                <w:rFonts w:eastAsia="MS Mincho"/>
                <w:sz w:val="22"/>
                <w:szCs w:val="22"/>
                <w:lang w:val="es-ES" w:eastAsia="en-GB"/>
              </w:rPr>
            </w:pPr>
          </w:p>
        </w:tc>
      </w:tr>
      <w:tr w:rsidR="00367CFC" w:rsidRPr="00573D8D" w14:paraId="2BEE18AA" w14:textId="77777777" w:rsidTr="00367CFC">
        <w:tc>
          <w:tcPr>
            <w:tcW w:w="5580" w:type="dxa"/>
            <w:vAlign w:val="center"/>
          </w:tcPr>
          <w:p w14:paraId="7D84C77B"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16 del CBD (tentativo)</w:t>
            </w:r>
          </w:p>
        </w:tc>
        <w:tc>
          <w:tcPr>
            <w:tcW w:w="1620" w:type="dxa"/>
            <w:vAlign w:val="center"/>
          </w:tcPr>
          <w:p w14:paraId="69E5B217"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2022</w:t>
            </w:r>
          </w:p>
        </w:tc>
      </w:tr>
      <w:tr w:rsidR="00367CFC" w:rsidRPr="00573D8D" w14:paraId="4A8037D9" w14:textId="77777777" w:rsidTr="00367CFC">
        <w:tc>
          <w:tcPr>
            <w:tcW w:w="5580" w:type="dxa"/>
            <w:shd w:val="clear" w:color="auto" w:fill="E6E6E6"/>
            <w:vAlign w:val="center"/>
          </w:tcPr>
          <w:p w14:paraId="6834F258"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Fecha de finalización del Plan Estratégico para las Especies Migratorias</w:t>
            </w:r>
          </w:p>
        </w:tc>
        <w:tc>
          <w:tcPr>
            <w:tcW w:w="1620" w:type="dxa"/>
            <w:shd w:val="clear" w:color="auto" w:fill="E6E6E6"/>
            <w:vAlign w:val="center"/>
          </w:tcPr>
          <w:p w14:paraId="524209D6"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2023</w:t>
            </w:r>
          </w:p>
        </w:tc>
      </w:tr>
      <w:tr w:rsidR="00367CFC" w:rsidRPr="00573D8D" w14:paraId="375BFA2E" w14:textId="77777777" w:rsidTr="00367CFC">
        <w:tc>
          <w:tcPr>
            <w:tcW w:w="5580" w:type="dxa"/>
            <w:shd w:val="clear" w:color="auto" w:fill="E6E6E6"/>
            <w:vAlign w:val="center"/>
          </w:tcPr>
          <w:p w14:paraId="33EB6942" w14:textId="61654360"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14 de la CMS (tentativo)</w:t>
            </w:r>
          </w:p>
        </w:tc>
        <w:tc>
          <w:tcPr>
            <w:tcW w:w="1620" w:type="dxa"/>
            <w:shd w:val="clear" w:color="auto" w:fill="E6E6E6"/>
            <w:vAlign w:val="center"/>
          </w:tcPr>
          <w:p w14:paraId="6931D241"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2023</w:t>
            </w:r>
          </w:p>
        </w:tc>
      </w:tr>
      <w:tr w:rsidR="00367CFC" w:rsidRPr="00573D8D" w14:paraId="3616A5C8" w14:textId="77777777" w:rsidTr="00367CFC">
        <w:tc>
          <w:tcPr>
            <w:tcW w:w="5580" w:type="dxa"/>
            <w:vAlign w:val="center"/>
          </w:tcPr>
          <w:p w14:paraId="5E998622" w14:textId="77777777" w:rsidR="00367CFC" w:rsidRPr="0053339D" w:rsidRDefault="00367CFC" w:rsidP="00367CFC">
            <w:pPr>
              <w:rPr>
                <w:rFonts w:eastAsia="MS Mincho"/>
                <w:sz w:val="22"/>
                <w:szCs w:val="22"/>
                <w:lang w:val="es-ES" w:eastAsia="en-GB"/>
              </w:rPr>
            </w:pPr>
            <w:r w:rsidRPr="0053339D">
              <w:rPr>
                <w:rFonts w:eastAsia="MS Mincho"/>
                <w:sz w:val="22"/>
                <w:szCs w:val="22"/>
                <w:lang w:val="es-ES" w:eastAsia="en-GB"/>
              </w:rPr>
              <w:t>COP 17  del CBD (tentativo)</w:t>
            </w:r>
          </w:p>
        </w:tc>
        <w:tc>
          <w:tcPr>
            <w:tcW w:w="1620" w:type="dxa"/>
            <w:vAlign w:val="center"/>
          </w:tcPr>
          <w:p w14:paraId="42BBB4DF" w14:textId="77777777" w:rsidR="00367CFC" w:rsidRPr="0053339D" w:rsidRDefault="00367CFC" w:rsidP="00367CFC">
            <w:pPr>
              <w:jc w:val="center"/>
              <w:rPr>
                <w:rFonts w:eastAsia="MS Mincho"/>
                <w:sz w:val="22"/>
                <w:szCs w:val="22"/>
                <w:lang w:val="es-ES" w:eastAsia="en-GB"/>
              </w:rPr>
            </w:pPr>
            <w:r w:rsidRPr="0053339D">
              <w:rPr>
                <w:rFonts w:eastAsia="MS Mincho"/>
                <w:sz w:val="22"/>
                <w:szCs w:val="22"/>
                <w:lang w:val="es-ES" w:eastAsia="en-GB"/>
              </w:rPr>
              <w:t>2024</w:t>
            </w:r>
          </w:p>
        </w:tc>
      </w:tr>
    </w:tbl>
    <w:p w14:paraId="56BB34D6" w14:textId="7E524E13" w:rsidR="00B15943" w:rsidRDefault="00B15943" w:rsidP="00B15943">
      <w:pPr>
        <w:rPr>
          <w:rFonts w:eastAsia="MS Mincho"/>
          <w:sz w:val="22"/>
          <w:szCs w:val="22"/>
        </w:rPr>
      </w:pPr>
    </w:p>
    <w:p w14:paraId="3DF4FEB8" w14:textId="77777777" w:rsidR="00367CFC" w:rsidRPr="00573D8D" w:rsidRDefault="00367CFC" w:rsidP="00367CFC">
      <w:pPr>
        <w:ind w:left="720"/>
        <w:rPr>
          <w:rFonts w:eastAsia="MS Mincho"/>
          <w:b/>
          <w:sz w:val="20"/>
          <w:szCs w:val="20"/>
          <w:lang w:val="es-ES" w:eastAsia="en-GB"/>
        </w:rPr>
      </w:pPr>
      <w:r w:rsidRPr="00573D8D">
        <w:rPr>
          <w:rFonts w:eastAsia="MS Mincho"/>
          <w:b/>
          <w:sz w:val="20"/>
          <w:szCs w:val="20"/>
          <w:u w:val="single"/>
          <w:lang w:val="es-ES" w:eastAsia="en-GB"/>
        </w:rPr>
        <w:t>Figura 1</w:t>
      </w:r>
      <w:r w:rsidRPr="00573D8D">
        <w:rPr>
          <w:rFonts w:eastAsia="MS Mincho"/>
          <w:b/>
          <w:sz w:val="20"/>
          <w:szCs w:val="20"/>
          <w:lang w:val="es-ES" w:eastAsia="en-GB"/>
        </w:rPr>
        <w:t xml:space="preserve">: Fechas para los Planes Estratégicos para la biodiversidad y las Especies Migratorias </w:t>
      </w:r>
    </w:p>
    <w:p w14:paraId="545A1325" w14:textId="77777777" w:rsidR="00367CFC" w:rsidRPr="00367CFC" w:rsidRDefault="00367CFC" w:rsidP="00B15943">
      <w:pPr>
        <w:rPr>
          <w:rFonts w:eastAsia="MS Mincho"/>
          <w:sz w:val="22"/>
          <w:szCs w:val="22"/>
          <w:lang w:val="es-ES"/>
        </w:rPr>
      </w:pPr>
    </w:p>
    <w:p w14:paraId="5DDEAED6" w14:textId="30CC0066" w:rsidR="00367CFC" w:rsidRPr="00573D8D" w:rsidRDefault="00367CFC" w:rsidP="00367CFC">
      <w:pPr>
        <w:jc w:val="both"/>
        <w:rPr>
          <w:rFonts w:eastAsia="MS Mincho"/>
          <w:sz w:val="22"/>
          <w:lang w:val="es-ES" w:eastAsia="en-GB"/>
        </w:rPr>
      </w:pPr>
      <w:r w:rsidRPr="00573D8D">
        <w:rPr>
          <w:rFonts w:eastAsia="MS Mincho"/>
          <w:sz w:val="22"/>
          <w:lang w:val="es-ES" w:eastAsia="en-GB"/>
        </w:rPr>
        <w:t>Se estableció un Grupo de Trabajo sobre el Plan Estratégico (SPWG) que se ocupara de la elaboración del Plan Estratégico 2015-2023 para su examen por la Conferencia de las Partes en su 11ª reunión.</w:t>
      </w:r>
      <w:r w:rsidRPr="00573D8D">
        <w:rPr>
          <w:rFonts w:eastAsia="MS Mincho"/>
          <w:sz w:val="22"/>
          <w:vertAlign w:val="superscript"/>
          <w:lang w:val="es-ES" w:eastAsia="en-GB"/>
        </w:rPr>
        <w:footnoteReference w:id="3"/>
      </w:r>
      <w:r w:rsidRPr="00573D8D">
        <w:rPr>
          <w:rFonts w:eastAsia="MS Mincho"/>
          <w:sz w:val="22"/>
          <w:lang w:val="es-ES" w:eastAsia="en-GB"/>
        </w:rPr>
        <w:t xml:space="preserve"> El Grupo de Trabajo encargó un examen de la experiencia de implementación hasta la fecha, y tuvo en cuenta los procesos de planificación estratégica en otros acuerdos ambientales </w:t>
      </w:r>
      <w:r w:rsidRPr="00573D8D">
        <w:rPr>
          <w:rFonts w:eastAsia="MS Mincho"/>
          <w:sz w:val="22"/>
          <w:lang w:val="es-ES" w:eastAsia="en-GB"/>
        </w:rPr>
        <w:lastRenderedPageBreak/>
        <w:t>multilaterales. Dos recomendaciones clave surgieron de los debates.</w:t>
      </w:r>
      <w:r w:rsidRPr="00367CFC">
        <w:rPr>
          <w:rFonts w:eastAsia="MS Mincho"/>
          <w:sz w:val="22"/>
          <w:lang w:val="es-ES" w:eastAsia="en-GB"/>
        </w:rPr>
        <w:t xml:space="preserve"> </w:t>
      </w:r>
    </w:p>
    <w:p w14:paraId="42E620D5" w14:textId="77777777" w:rsidR="00367CFC" w:rsidRPr="00573D8D" w:rsidDel="004E1073" w:rsidRDefault="00367CFC" w:rsidP="00367CFC">
      <w:pPr>
        <w:spacing w:before="120"/>
        <w:ind w:left="709" w:right="281" w:hanging="425"/>
        <w:jc w:val="both"/>
        <w:rPr>
          <w:bCs/>
          <w:sz w:val="22"/>
          <w:lang w:val="es-ES" w:eastAsia="en-GB"/>
        </w:rPr>
      </w:pPr>
      <w:r w:rsidRPr="00573D8D">
        <w:rPr>
          <w:rFonts w:eastAsia="MS Mincho"/>
          <w:sz w:val="22"/>
          <w:lang w:val="es-ES" w:eastAsia="en-GB"/>
        </w:rPr>
        <w:t>(1)</w:t>
      </w:r>
      <w:r w:rsidRPr="00573D8D">
        <w:rPr>
          <w:rFonts w:eastAsia="MS Mincho"/>
          <w:sz w:val="22"/>
          <w:lang w:val="es-ES" w:eastAsia="en-GB"/>
        </w:rPr>
        <w:tab/>
      </w:r>
      <w:r w:rsidRPr="00573D8D">
        <w:rPr>
          <w:bCs/>
          <w:sz w:val="22"/>
          <w:lang w:val="es-ES" w:eastAsia="en-GB"/>
        </w:rPr>
        <w:t>El Plan Estratégico para la Diversidad Biológica y sus Metas de Aichi para la Diversidad Biológica se utilizarían como un marco en el desarrollo del SPMS. Este enfoque se eligió para: mantener el SPMS en consonancia con las resoluciones de la Asamblea General de la ONU sobre la biodiversidad</w:t>
      </w:r>
      <w:r w:rsidRPr="00573D8D">
        <w:rPr>
          <w:bCs/>
          <w:sz w:val="22"/>
          <w:vertAlign w:val="superscript"/>
          <w:lang w:val="es-ES" w:eastAsia="en-GB"/>
        </w:rPr>
        <w:footnoteReference w:id="4"/>
      </w:r>
      <w:r w:rsidRPr="00573D8D">
        <w:rPr>
          <w:bCs/>
          <w:sz w:val="22"/>
          <w:lang w:val="es-ES" w:eastAsia="en-GB"/>
        </w:rPr>
        <w:t>; vincular las prioridades de las especies migratorias a las Metas de Aichi pertinentes y proporcionar una manera lógica y eficaz para que las metas de las especies migratorias se integren en las Estrategias y Planes de Acción Nacionales de Biodiversidad (EPANB), asegurando de esta manera que son parte de la planificación nacional y los procesos de establecimiento de prioridades.</w:t>
      </w:r>
    </w:p>
    <w:p w14:paraId="11866419" w14:textId="77777777" w:rsidR="00367CFC" w:rsidRPr="00573D8D" w:rsidRDefault="00367CFC" w:rsidP="00367CFC">
      <w:pPr>
        <w:spacing w:before="120"/>
        <w:ind w:left="709" w:right="281" w:hanging="425"/>
        <w:jc w:val="both"/>
        <w:rPr>
          <w:rFonts w:eastAsia="MS Mincho"/>
          <w:sz w:val="22"/>
          <w:lang w:val="es-ES" w:eastAsia="en-GB"/>
        </w:rPr>
      </w:pPr>
      <w:r w:rsidRPr="00573D8D">
        <w:rPr>
          <w:rFonts w:eastAsia="MS Mincho"/>
          <w:sz w:val="22"/>
          <w:lang w:val="es-ES" w:eastAsia="en-GB"/>
        </w:rPr>
        <w:t xml:space="preserve">(2)  El nuevo plan sería un Plan Estratégico para las Especies Migratorias (SPMS) y se centraría en las especies migratorias (poblaciones, especies o niveles taxonómicos inferiores, según lo requiera el contexto), en lugar de en la propia Convención. Este punto de vista cambia el enfoque de la </w:t>
      </w:r>
      <w:r w:rsidRPr="00573D8D">
        <w:rPr>
          <w:rFonts w:eastAsia="MS Mincho"/>
          <w:i/>
          <w:sz w:val="22"/>
          <w:lang w:val="es-ES" w:eastAsia="en-GB"/>
        </w:rPr>
        <w:t>institución</w:t>
      </w:r>
      <w:r w:rsidRPr="00573D8D">
        <w:rPr>
          <w:rFonts w:eastAsia="MS Mincho"/>
          <w:sz w:val="22"/>
          <w:lang w:val="es-ES" w:eastAsia="en-GB"/>
        </w:rPr>
        <w:t xml:space="preserve"> a la </w:t>
      </w:r>
      <w:r w:rsidRPr="00573D8D">
        <w:rPr>
          <w:rFonts w:eastAsia="MS Mincho"/>
          <w:i/>
          <w:sz w:val="22"/>
          <w:lang w:val="es-ES" w:eastAsia="en-GB"/>
        </w:rPr>
        <w:t>cuestión</w:t>
      </w:r>
      <w:r w:rsidRPr="00573D8D">
        <w:rPr>
          <w:rFonts w:eastAsia="MS Mincho"/>
          <w:sz w:val="22"/>
          <w:lang w:val="es-ES" w:eastAsia="en-GB"/>
        </w:rPr>
        <w:t>, ampliando así la pertinencia y el “sentido de propiedad” dentro de la “familia” CMS de instrumentos y también fuera. Este enfoque también es compatible con las decisiones de la COP con respecto al proceso de la CMS de “Estructura futura”, que identificó la necesidad de un enfoque coordinado y coherente sobre la conservación de las especies migratorias entre la CMS y sus acuerdos.</w:t>
      </w:r>
    </w:p>
    <w:p w14:paraId="6BBAC8F4" w14:textId="77777777" w:rsidR="00367CFC" w:rsidRPr="00573D8D" w:rsidRDefault="00367CFC" w:rsidP="00367CFC">
      <w:pPr>
        <w:jc w:val="both"/>
        <w:rPr>
          <w:rFonts w:eastAsia="MS Mincho"/>
          <w:sz w:val="22"/>
          <w:lang w:val="es-ES" w:eastAsia="en-GB"/>
        </w:rPr>
      </w:pPr>
    </w:p>
    <w:p w14:paraId="77BC297B"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Las especies migratorias tienen necesidades de conservación diferentes, asociadas en particular con sus ciclos temporales y los patrones de migración transnacional. La conservación de las especies migratorias a nivel de población sólo puede lograrse mediante una acción internacional coordinada y de cooperación entre los </w:t>
      </w:r>
      <w:r>
        <w:rPr>
          <w:rFonts w:eastAsia="MS Mincho"/>
          <w:sz w:val="22"/>
          <w:lang w:val="es-ES" w:eastAsia="en-GB"/>
        </w:rPr>
        <w:t>e</w:t>
      </w:r>
      <w:r w:rsidRPr="00573D8D">
        <w:rPr>
          <w:rFonts w:eastAsia="MS Mincho"/>
          <w:sz w:val="22"/>
          <w:lang w:val="es-ES" w:eastAsia="en-GB"/>
        </w:rPr>
        <w:t xml:space="preserve">stados del área de distribución que comparten estas poblaciones en sus rutas de migración. Estos </w:t>
      </w:r>
      <w:r>
        <w:rPr>
          <w:rFonts w:eastAsia="MS Mincho"/>
          <w:sz w:val="22"/>
          <w:lang w:val="es-ES" w:eastAsia="en-GB"/>
        </w:rPr>
        <w:t>e</w:t>
      </w:r>
      <w:r w:rsidRPr="00573D8D">
        <w:rPr>
          <w:rFonts w:eastAsia="MS Mincho"/>
          <w:sz w:val="22"/>
          <w:lang w:val="es-ES" w:eastAsia="en-GB"/>
        </w:rPr>
        <w:t xml:space="preserve">stados y otras partes interesadas, comparten por lo tanto una responsabilidad conjunta para desarrollar y aplicar estrategias coherentes. Esa responsabilidad puede incluir actividades tales como la colaboración para, entre otras cosas, garantizar el acceso libre y abierto a datos, información y modelos relevantes, así como para proporcionar una base científica sólida para las decisiones relativas a las especies migratorias. </w:t>
      </w:r>
    </w:p>
    <w:p w14:paraId="089042CE" w14:textId="77777777" w:rsidR="00367CFC" w:rsidRPr="00573D8D" w:rsidRDefault="00367CFC" w:rsidP="00367CFC">
      <w:pPr>
        <w:jc w:val="both"/>
        <w:rPr>
          <w:rFonts w:eastAsia="MS Mincho"/>
          <w:sz w:val="22"/>
          <w:lang w:val="es-ES" w:eastAsia="en-GB"/>
        </w:rPr>
      </w:pPr>
    </w:p>
    <w:p w14:paraId="215F9AB3"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En general, exige la adopción de un </w:t>
      </w:r>
      <w:r w:rsidRPr="00573D8D">
        <w:rPr>
          <w:rFonts w:eastAsia="MS Mincho"/>
          <w:i/>
          <w:sz w:val="22"/>
          <w:lang w:val="es-ES" w:eastAsia="en-GB"/>
        </w:rPr>
        <w:t>enfoque de</w:t>
      </w:r>
      <w:r w:rsidRPr="00573D8D">
        <w:rPr>
          <w:rFonts w:eastAsia="MS Mincho"/>
          <w:sz w:val="22"/>
          <w:lang w:val="es-ES" w:eastAsia="en-GB"/>
        </w:rPr>
        <w:t xml:space="preserve"> </w:t>
      </w:r>
      <w:r w:rsidRPr="00573D8D">
        <w:rPr>
          <w:rFonts w:eastAsia="MS Mincho"/>
          <w:i/>
          <w:sz w:val="22"/>
          <w:lang w:val="es-ES" w:eastAsia="en-GB"/>
        </w:rPr>
        <w:t>sistemas migratorios</w:t>
      </w:r>
      <w:r w:rsidRPr="00573D8D">
        <w:rPr>
          <w:rFonts w:eastAsia="MS Mincho"/>
          <w:sz w:val="22"/>
          <w:lang w:val="es-ES" w:eastAsia="en-GB"/>
        </w:rPr>
        <w:t>, que por su propia naturaleza es una consideración estratégica. “Sistemas migratorios” es un concepto que refleja la compleja interdependencia de los lugares, las rutas entre lugares, las poblaciones, los factores ecológicos y los ciclos temporales implicados. Un “enfoque de sistemas migratorios”, por lo tanto, implica estrategias de conservación que proporcionan una atención completa no solo a las poblaciones, especies y hábitats, también a toda la longitud de las rutas migratorias y al funcionamiento del proceso de migración.</w:t>
      </w:r>
    </w:p>
    <w:p w14:paraId="6BBE91E7" w14:textId="77777777" w:rsidR="00367CFC" w:rsidRPr="00573D8D" w:rsidRDefault="00367CFC" w:rsidP="00367CFC">
      <w:pPr>
        <w:jc w:val="both"/>
        <w:rPr>
          <w:rFonts w:eastAsia="MS Mincho"/>
          <w:sz w:val="22"/>
          <w:lang w:val="es-ES" w:eastAsia="en-GB"/>
        </w:rPr>
      </w:pPr>
    </w:p>
    <w:p w14:paraId="08F032B3"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Desde 1979, la Convención sobre </w:t>
      </w:r>
      <w:r>
        <w:rPr>
          <w:rFonts w:eastAsia="MS Mincho"/>
          <w:sz w:val="22"/>
          <w:lang w:val="es-ES" w:eastAsia="en-GB"/>
        </w:rPr>
        <w:t xml:space="preserve">las </w:t>
      </w:r>
      <w:r w:rsidRPr="00573D8D">
        <w:rPr>
          <w:rFonts w:eastAsia="MS Mincho"/>
          <w:sz w:val="22"/>
          <w:lang w:val="es-ES" w:eastAsia="en-GB"/>
        </w:rPr>
        <w:t>Especies Migratorias ha proporcionado el marco intergubernamental especializado principal en este aspecto</w:t>
      </w:r>
      <w:r w:rsidRPr="00573D8D">
        <w:rPr>
          <w:rFonts w:eastAsia="MS Mincho"/>
          <w:sz w:val="22"/>
          <w:vertAlign w:val="superscript"/>
          <w:lang w:val="es-ES" w:eastAsia="en-GB"/>
        </w:rPr>
        <w:footnoteReference w:id="5"/>
      </w:r>
      <w:r w:rsidRPr="00573D8D">
        <w:rPr>
          <w:rFonts w:eastAsia="MS Mincho"/>
          <w:sz w:val="22"/>
          <w:lang w:val="es-ES" w:eastAsia="en-GB"/>
        </w:rPr>
        <w:t>, a través de sus acuerdos, planes de acción y otros instrumentos sistemáticos.</w:t>
      </w:r>
    </w:p>
    <w:p w14:paraId="01D5A02C"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Est</w:t>
      </w:r>
      <w:r>
        <w:rPr>
          <w:rFonts w:eastAsia="MS Mincho"/>
          <w:sz w:val="22"/>
          <w:lang w:val="es-ES" w:eastAsia="en-GB"/>
        </w:rPr>
        <w:t>e</w:t>
      </w:r>
      <w:r w:rsidRPr="00573D8D">
        <w:rPr>
          <w:rFonts w:eastAsia="MS Mincho"/>
          <w:sz w:val="22"/>
          <w:lang w:val="es-ES" w:eastAsia="en-GB"/>
        </w:rPr>
        <w:t xml:space="preserve"> SPMS por tanto, no duplica el Plan Estratégico para la Diversidad Biológica, sino que lo complementa añadiendo la especificidad necesaria para estas cuestiones en el contexto de la familia de la CMS.</w:t>
      </w:r>
    </w:p>
    <w:p w14:paraId="7B6E72BA"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 xml:space="preserve">La cercana interacción entre el SPMS y el Plan Estratégico para la Diversidad Biológica, facilita así la coordinación nacional y la integración de las cuestiones relativas a las especies migratorias en </w:t>
      </w:r>
      <w:r w:rsidRPr="00573D8D">
        <w:rPr>
          <w:rFonts w:eastAsia="MS Mincho"/>
          <w:sz w:val="22"/>
          <w:lang w:val="es-ES" w:eastAsia="en-GB"/>
        </w:rPr>
        <w:lastRenderedPageBreak/>
        <w:t>las estrategias y planes de acción nacionales de biodiversidad (EPANB), dado que las mismas están basadas en el Plan Estratégico para la Diversidad Biológica y sus metas de Aichi.</w:t>
      </w:r>
    </w:p>
    <w:p w14:paraId="573432FF" w14:textId="77777777" w:rsidR="00367CFC" w:rsidRPr="00573D8D" w:rsidRDefault="00367CFC" w:rsidP="00367CFC">
      <w:pPr>
        <w:ind w:right="-88"/>
        <w:jc w:val="both"/>
        <w:rPr>
          <w:rFonts w:eastAsia="MS Mincho"/>
          <w:sz w:val="22"/>
          <w:lang w:val="es-ES" w:eastAsia="ja-JP"/>
        </w:rPr>
      </w:pPr>
    </w:p>
    <w:p w14:paraId="089540EC" w14:textId="77777777" w:rsidR="00367CFC" w:rsidRPr="00573D8D" w:rsidRDefault="00367CFC" w:rsidP="00367CFC">
      <w:pPr>
        <w:rPr>
          <w:rFonts w:eastAsia="MS Mincho"/>
          <w:b/>
          <w:sz w:val="2"/>
          <w:szCs w:val="2"/>
          <w:lang w:val="es-ES" w:eastAsia="en-GB"/>
        </w:rPr>
      </w:pPr>
    </w:p>
    <w:p w14:paraId="60E860DE" w14:textId="77777777" w:rsidR="00367CFC" w:rsidRPr="00573D8D" w:rsidRDefault="00367CFC" w:rsidP="00367CFC">
      <w:pPr>
        <w:widowControl/>
        <w:numPr>
          <w:ilvl w:val="1"/>
          <w:numId w:val="4"/>
        </w:numPr>
        <w:autoSpaceDE/>
        <w:autoSpaceDN/>
        <w:adjustRightInd/>
        <w:ind w:right="-88"/>
        <w:jc w:val="both"/>
        <w:rPr>
          <w:rFonts w:eastAsia="MS Mincho"/>
          <w:b/>
          <w:sz w:val="22"/>
          <w:lang w:val="es-ES" w:eastAsia="en-GB"/>
        </w:rPr>
      </w:pPr>
      <w:r w:rsidRPr="00573D8D">
        <w:rPr>
          <w:b/>
          <w:sz w:val="22"/>
          <w:lang w:val="es-ES" w:eastAsia="en-GB"/>
        </w:rPr>
        <w:t>¿Por qué las especies migratorias constituyen una prioridad mundial?</w:t>
      </w:r>
    </w:p>
    <w:p w14:paraId="4DD91B42" w14:textId="77777777" w:rsidR="00367CFC" w:rsidRPr="00573D8D" w:rsidRDefault="00367CFC" w:rsidP="00367CFC">
      <w:pPr>
        <w:ind w:right="-88"/>
        <w:jc w:val="both"/>
        <w:rPr>
          <w:rFonts w:eastAsia="MS Mincho"/>
          <w:b/>
          <w:sz w:val="22"/>
          <w:lang w:val="es-ES" w:eastAsia="en-GB"/>
        </w:rPr>
      </w:pPr>
    </w:p>
    <w:p w14:paraId="1CF7A16C"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Las especies migratorias son un componente importante de la biodiversidad en general, sustentando los sistemas ecológicos. Dichas especies comprenden muchos grupos diferentes de animales, desde los antílopes a los peces, de las ballenas a los elefantes, de los murciélagos a las aves e incluso las mariposas. Forman una proporción importante de la variedad genética mundial, al haber evolucionado en interrelaciones particularmente entrelazadas con especies de plantas y animales, y desempeñan una función esencial en el funcionamiento y la dinámica de los ecosistemas. Su conexión multidimensional les confiere una función especial como especies clave ecológicamente e indicadores de los vínculos entre los ecosistemas y el cambio ecológico.</w:t>
      </w:r>
    </w:p>
    <w:p w14:paraId="62F87C08"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Estos mismos atributos indican que las especies migratorias tienen sus propias vulnerabilidades específicas. Los viajes migratorios les exponen a mayores riesgos para sobrevivir, y las necesidades relativas a los hábitats son a menudo una mezcla compleja de diferentes componentes de zonas de cría, zonas no destinadas a la cría y lugares intermedios. Las concentraciones de grandes cantidades de animales durante periodos específicos en sitios específicos, también aumenta los riesgos de graves efectos provenientes de las presiones negativas ejercidas en esos sitios. Los obstáculos a la migración plantean desafíos especiales, ya sea en forma de obstáculos físicos que causan mortalidad directa, o fragmentación de los recursos ecológicos que alteran el desplazamiento de un lugar a otro.</w:t>
      </w:r>
    </w:p>
    <w:p w14:paraId="71BB29E7" w14:textId="6D5CF4CD" w:rsidR="00367CFC" w:rsidRPr="00573D8D" w:rsidRDefault="00367CFC" w:rsidP="00367CFC">
      <w:pPr>
        <w:spacing w:before="120"/>
        <w:jc w:val="both"/>
        <w:rPr>
          <w:rFonts w:eastAsia="MS Mincho"/>
          <w:sz w:val="22"/>
          <w:highlight w:val="yellow"/>
          <w:lang w:val="es-ES" w:eastAsia="en-GB"/>
        </w:rPr>
      </w:pPr>
      <w:r w:rsidRPr="00573D8D">
        <w:rPr>
          <w:rFonts w:eastAsia="MS Mincho"/>
          <w:sz w:val="22"/>
          <w:lang w:val="es-ES" w:eastAsia="en-GB"/>
        </w:rPr>
        <w:t>Muchas de las acciones definidas en el presente Plan se dirigen consecuentemente hacia “sistemas de migración o sistemas migratorios”, com</w:t>
      </w:r>
      <w:r w:rsidR="00BC528E">
        <w:rPr>
          <w:rFonts w:eastAsia="MS Mincho"/>
          <w:sz w:val="22"/>
          <w:lang w:val="es-ES" w:eastAsia="en-GB"/>
        </w:rPr>
        <w:t xml:space="preserve">o se describe en la sección 1.1 </w:t>
      </w:r>
      <w:r w:rsidRPr="00573D8D">
        <w:rPr>
          <w:rFonts w:eastAsia="MS Mincho"/>
          <w:sz w:val="22"/>
          <w:lang w:val="es-ES" w:eastAsia="en-GB"/>
        </w:rPr>
        <w:t>más arriba.</w:t>
      </w:r>
    </w:p>
    <w:p w14:paraId="34436B72" w14:textId="77777777"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 xml:space="preserve">Los ciclos </w:t>
      </w:r>
      <w:r>
        <w:rPr>
          <w:rFonts w:eastAsia="MS Mincho"/>
          <w:sz w:val="22"/>
          <w:lang w:val="es-ES" w:eastAsia="en-GB"/>
        </w:rPr>
        <w:t>recurrentes</w:t>
      </w:r>
      <w:r w:rsidRPr="00573D8D">
        <w:rPr>
          <w:rFonts w:eastAsia="MS Mincho"/>
          <w:sz w:val="22"/>
          <w:lang w:val="es-ES" w:eastAsia="en-GB"/>
        </w:rPr>
        <w:t xml:space="preserve"> y las áreas de distribución transfronterizas inherentes al propio fenómeno de la migración son también fundamentales en lo que respecta a la capacidad del planeta de </w:t>
      </w:r>
      <w:r>
        <w:rPr>
          <w:rFonts w:eastAsia="MS Mincho"/>
          <w:sz w:val="22"/>
          <w:lang w:val="es-ES" w:eastAsia="en-GB"/>
        </w:rPr>
        <w:t>sostener a</w:t>
      </w:r>
      <w:r w:rsidRPr="00573D8D">
        <w:rPr>
          <w:rFonts w:eastAsia="MS Mincho"/>
          <w:sz w:val="22"/>
          <w:lang w:val="es-ES" w:eastAsia="en-GB"/>
        </w:rPr>
        <w:t xml:space="preserve"> la humanidad y la biodiversidad en general. La migración representa una adaptación fundamental a los ritmos naturales y los cambios evolutivos, y por la misma razón pueden verse afectadas/trastornadas tanto las especies migratorias como sus hábitats a causa de los impactos de la actividad humana, incluido el cambio climático.</w:t>
      </w:r>
    </w:p>
    <w:p w14:paraId="197DB6E1" w14:textId="5E48F40B" w:rsidR="00367CFC" w:rsidRPr="00573D8D" w:rsidRDefault="00367CFC" w:rsidP="00367CFC">
      <w:pPr>
        <w:spacing w:before="120"/>
        <w:jc w:val="both"/>
        <w:rPr>
          <w:rFonts w:eastAsia="MS Mincho"/>
          <w:sz w:val="22"/>
          <w:lang w:val="es-ES" w:eastAsia="en-GB"/>
        </w:rPr>
      </w:pPr>
      <w:r w:rsidRPr="00573D8D">
        <w:rPr>
          <w:rFonts w:eastAsia="MS Mincho"/>
          <w:sz w:val="22"/>
          <w:lang w:val="es-ES" w:eastAsia="en-GB"/>
        </w:rPr>
        <w:t>Muchas especies migratorias son de gran importancia, directa o indirecta, para el bienestar humano, incluyendo la seguridad alimentaria y los medios de vida de la población. Muchas comunidades humanas dependen de la afluencia regular de animales migratorios: como base para la subsistencia; para la caza, la pesca, el turismo y la recreación de importancia económica y/o cultural; o para mantener la función del ecosistema de manera que permita que se recojan otros recursos. Los niveles de utilización (de especies o sus hábitats) por una comunidad pueden afectar en medida considerable a la disponibilidad de recursos para las comunidades de otros lugares diferentes, posiblemente distantes. La conservación y el uso sostenible de las poblaciones de especies migratorias es, por tanto, una contribución fundamental a los objetivos de desarrollo sostenible y requiere atención mundial.</w:t>
      </w:r>
    </w:p>
    <w:p w14:paraId="06DD8DA3" w14:textId="77777777" w:rsidR="00367CFC" w:rsidRPr="00573D8D" w:rsidRDefault="00367CFC" w:rsidP="00367CFC">
      <w:pPr>
        <w:spacing w:before="120"/>
        <w:jc w:val="both"/>
        <w:rPr>
          <w:rFonts w:eastAsia="MS Mincho"/>
          <w:sz w:val="22"/>
          <w:lang w:val="es-ES" w:eastAsia="en-GB"/>
        </w:rPr>
      </w:pPr>
    </w:p>
    <w:p w14:paraId="7C8F6D05" w14:textId="77777777" w:rsidR="00367CFC" w:rsidRPr="00573D8D" w:rsidRDefault="00367CFC" w:rsidP="00367CFC">
      <w:pPr>
        <w:widowControl/>
        <w:numPr>
          <w:ilvl w:val="1"/>
          <w:numId w:val="4"/>
        </w:numPr>
        <w:autoSpaceDE/>
        <w:autoSpaceDN/>
        <w:adjustRightInd/>
        <w:ind w:right="-88"/>
        <w:jc w:val="both"/>
        <w:rPr>
          <w:rFonts w:eastAsia="MS Mincho"/>
          <w:b/>
          <w:sz w:val="22"/>
          <w:lang w:val="es-ES" w:eastAsia="ja-JP"/>
        </w:rPr>
      </w:pPr>
      <w:r w:rsidRPr="00573D8D">
        <w:rPr>
          <w:rFonts w:eastAsia="MS Mincho"/>
          <w:b/>
          <w:sz w:val="22"/>
          <w:lang w:val="es-ES" w:eastAsia="ja-JP"/>
        </w:rPr>
        <w:t xml:space="preserve">Alcance del SPMS </w:t>
      </w:r>
    </w:p>
    <w:p w14:paraId="25564B9C" w14:textId="77777777" w:rsidR="00367CFC" w:rsidRPr="00573D8D" w:rsidRDefault="00367CFC" w:rsidP="00367CFC">
      <w:pPr>
        <w:jc w:val="both"/>
        <w:rPr>
          <w:rFonts w:eastAsia="MS Mincho"/>
          <w:sz w:val="22"/>
          <w:lang w:val="es-ES" w:eastAsia="en-GB"/>
        </w:rPr>
      </w:pPr>
    </w:p>
    <w:p w14:paraId="7A9F5DA2"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El Grupo de Trabajo decidió que el SPMS atraería más visibilidad e impacto político proporcionando orientación al nivel estratégico. Cómo se facilitan actividades referentes a la </w:t>
      </w:r>
      <w:r w:rsidRPr="00573D8D">
        <w:rPr>
          <w:rFonts w:eastAsia="MS Mincho"/>
          <w:i/>
          <w:sz w:val="22"/>
          <w:lang w:val="es-ES" w:eastAsia="en-GB"/>
        </w:rPr>
        <w:t>implementación</w:t>
      </w:r>
      <w:r w:rsidRPr="00573D8D">
        <w:rPr>
          <w:rFonts w:eastAsia="MS Mincho"/>
          <w:sz w:val="22"/>
          <w:lang w:val="es-ES" w:eastAsia="en-GB"/>
        </w:rPr>
        <w:t xml:space="preserve"> - un componente esencial de un Plan Estratégico exitoso y eficaz - se recoge en un volumen complementario independiente para apoyar la implementación del Plan.</w:t>
      </w:r>
    </w:p>
    <w:p w14:paraId="4ED8185F" w14:textId="77777777" w:rsidR="00367CFC" w:rsidRPr="00573D8D" w:rsidRDefault="00367CFC" w:rsidP="00367CFC">
      <w:pPr>
        <w:jc w:val="both"/>
        <w:rPr>
          <w:rFonts w:eastAsia="MS Mincho"/>
          <w:sz w:val="22"/>
          <w:lang w:val="es-ES" w:eastAsia="en-GB"/>
        </w:rPr>
      </w:pPr>
    </w:p>
    <w:p w14:paraId="532BCC8D" w14:textId="77777777"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t>El SPMS define resultados a largo plazo y de alto nivel de una manera que permite que se pueda seguir y evaluar el progreso alcanzado, y se apliquen correcciones sobre la marcha cuando sea necesario.</w:t>
      </w:r>
    </w:p>
    <w:p w14:paraId="52532778" w14:textId="77777777"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lastRenderedPageBreak/>
        <w:t>El enfoque de sistema migratorio tomado se refleja en el SPMS con referencias claras a: (1) las especies migratorias; (2) sus hábitats y rutas migratorias, y (3) las amenazas a ambos. Todos los elementos se incluyen en las metas, en la medida de lo posible.</w:t>
      </w:r>
    </w:p>
    <w:p w14:paraId="5B1E1629" w14:textId="77777777" w:rsidR="00367CFC" w:rsidRPr="00573D8D" w:rsidRDefault="00367CFC" w:rsidP="00367CFC">
      <w:pPr>
        <w:spacing w:before="120"/>
        <w:ind w:right="-88"/>
        <w:jc w:val="both"/>
        <w:rPr>
          <w:rFonts w:eastAsia="MS Mincho"/>
          <w:sz w:val="22"/>
          <w:lang w:val="es-ES" w:eastAsia="en-GB"/>
        </w:rPr>
      </w:pPr>
      <w:r w:rsidRPr="00573D8D">
        <w:rPr>
          <w:rFonts w:eastAsia="MS Mincho"/>
          <w:sz w:val="22"/>
          <w:lang w:val="es-ES" w:eastAsia="en-GB"/>
        </w:rPr>
        <w:t xml:space="preserve">El SPMS está diseñado para ser aplicado a </w:t>
      </w:r>
      <w:r w:rsidRPr="00573D8D">
        <w:rPr>
          <w:rFonts w:eastAsia="MS Mincho"/>
          <w:b/>
          <w:sz w:val="22"/>
          <w:lang w:val="es-ES" w:eastAsia="en-GB"/>
        </w:rPr>
        <w:t>las especies migratorias como se definen en la Convención, es decir, a toda la población o una parte geográficamente separada de la población de cualquier especie o taxón inferior de animales silvestres, una proporción considerable de cuyos miembros cruza cíclicamente y de manera previsible una o más fronteras jurisdiccionales nacionales.</w:t>
      </w:r>
      <w:r w:rsidRPr="00573D8D">
        <w:rPr>
          <w:rFonts w:eastAsia="MS Mincho"/>
          <w:sz w:val="22"/>
          <w:lang w:val="es-ES" w:eastAsia="en-GB"/>
        </w:rPr>
        <w:t xml:space="preserve"> Esta definición refleja la importancia de una acción internacional concertada necesaria para abordar los desafíos transfronterizos relacionados con la conservación de las especies migratorias. Además, invita a la participación significativa de todas las partes interesadas - incluyendo la CMS y sus instrumentos. La palabra “especies” cuando aparece en este Plan debe ser interpretada de acuerdo a dicha definición, lo que significa que tales referencias se pueden referir a niveles taxonómicos inferiores cuando el contexto así lo requiera.</w:t>
      </w:r>
    </w:p>
    <w:p w14:paraId="2C450E7E" w14:textId="77777777" w:rsidR="00367CFC" w:rsidRDefault="00367CFC" w:rsidP="00367CFC">
      <w:pPr>
        <w:spacing w:before="120"/>
        <w:ind w:right="-88"/>
        <w:jc w:val="both"/>
        <w:rPr>
          <w:rFonts w:eastAsia="MS Mincho"/>
          <w:sz w:val="22"/>
          <w:lang w:val="es-ES" w:eastAsia="en-GB"/>
        </w:rPr>
      </w:pPr>
      <w:r w:rsidRPr="00573D8D">
        <w:rPr>
          <w:rFonts w:eastAsia="MS Mincho"/>
          <w:sz w:val="22"/>
          <w:lang w:val="es-ES" w:eastAsia="en-GB"/>
        </w:rPr>
        <w:t>El SPMS es suficientemente amplio como para aprovechar todos los esfuerzos de conservación de especies migratorias de la comunidad internacional que van en la misma dirección (véase la Figura 2, que muestra el alcance y el contexto del SPMS). Al hacerlo, crea oportunidades para una mayor coherencia y visibilidad a los niveles nacionales, regionales y globales en la política y en términos políticos para estos temas.</w:t>
      </w:r>
    </w:p>
    <w:p w14:paraId="7049CB51" w14:textId="77777777" w:rsidR="00367CFC" w:rsidRPr="00A75C06" w:rsidRDefault="00367CFC" w:rsidP="00367CFC">
      <w:pPr>
        <w:jc w:val="both"/>
        <w:rPr>
          <w:rFonts w:eastAsia="MS Mincho"/>
          <w:b/>
          <w:i/>
          <w:sz w:val="26"/>
          <w:szCs w:val="26"/>
          <w:lang w:val="es-ES"/>
        </w:rPr>
      </w:pPr>
    </w:p>
    <w:p w14:paraId="5A09D092" w14:textId="77777777" w:rsidR="00367CFC" w:rsidRPr="002E3942" w:rsidRDefault="00367CFC" w:rsidP="00367CFC">
      <w:pPr>
        <w:jc w:val="center"/>
        <w:rPr>
          <w:rFonts w:eastAsia="MS Mincho"/>
          <w:b/>
          <w:i/>
          <w:sz w:val="26"/>
          <w:szCs w:val="26"/>
          <w:lang w:val="es-ES"/>
        </w:rPr>
      </w:pPr>
    </w:p>
    <w:p w14:paraId="45934B7A" w14:textId="77777777" w:rsidR="00367CFC" w:rsidRPr="002E3942" w:rsidRDefault="00367CFC" w:rsidP="00367CFC">
      <w:pPr>
        <w:jc w:val="center"/>
        <w:rPr>
          <w:rFonts w:eastAsia="MS Mincho"/>
          <w:b/>
          <w:i/>
          <w:sz w:val="26"/>
          <w:szCs w:val="26"/>
          <w:lang w:val="es-ES"/>
        </w:rPr>
      </w:pPr>
    </w:p>
    <w:p w14:paraId="3EC36A60" w14:textId="77777777" w:rsidR="00367CFC" w:rsidRPr="002E3942" w:rsidRDefault="00367CFC" w:rsidP="00367CFC">
      <w:pPr>
        <w:jc w:val="center"/>
        <w:rPr>
          <w:rFonts w:eastAsia="MS Mincho"/>
          <w:b/>
          <w:i/>
          <w:sz w:val="26"/>
          <w:szCs w:val="26"/>
          <w:lang w:val="es-ES"/>
        </w:rPr>
      </w:pPr>
    </w:p>
    <w:p w14:paraId="69D4C3A8" w14:textId="77777777" w:rsidR="00367CFC" w:rsidRPr="004C5747" w:rsidRDefault="00367CFC" w:rsidP="00367CFC">
      <w:pPr>
        <w:jc w:val="center"/>
        <w:rPr>
          <w:rFonts w:eastAsia="MS Mincho" w:cs="Arial"/>
          <w:b/>
          <w:i/>
          <w:sz w:val="22"/>
          <w:szCs w:val="22"/>
        </w:rPr>
      </w:pPr>
      <w:r>
        <w:rPr>
          <w:rFonts w:eastAsia="MS Mincho"/>
          <w:b/>
          <w:noProof/>
          <w:sz w:val="20"/>
          <w:szCs w:val="20"/>
          <w:u w:val="single"/>
        </w:rPr>
        <w:drawing>
          <wp:inline distT="0" distB="0" distL="0" distR="0" wp14:anchorId="4FFB01C9" wp14:editId="6B806EBB">
            <wp:extent cx="5272405" cy="3954780"/>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2405" cy="3954780"/>
                    </a:xfrm>
                    <a:prstGeom prst="rect">
                      <a:avLst/>
                    </a:prstGeom>
                    <a:noFill/>
                  </pic:spPr>
                </pic:pic>
              </a:graphicData>
            </a:graphic>
          </wp:inline>
        </w:drawing>
      </w:r>
    </w:p>
    <w:p w14:paraId="2262FB9E" w14:textId="77777777" w:rsidR="00367CFC" w:rsidRPr="00BC528E" w:rsidRDefault="00367CFC" w:rsidP="00367CFC">
      <w:pPr>
        <w:spacing w:before="40"/>
        <w:ind w:firstLine="720"/>
        <w:rPr>
          <w:rFonts w:eastAsia="MS Mincho"/>
          <w:b/>
          <w:sz w:val="20"/>
          <w:szCs w:val="20"/>
          <w:lang w:val="es-ES"/>
        </w:rPr>
      </w:pPr>
      <w:r w:rsidRPr="00BC528E">
        <w:rPr>
          <w:rFonts w:eastAsia="MS Mincho"/>
          <w:b/>
          <w:sz w:val="20"/>
          <w:szCs w:val="20"/>
          <w:lang w:val="es-ES"/>
        </w:rPr>
        <w:t xml:space="preserve"> Figura 2: Plan Estratégico para las Especies Migratorias: su alcance y contexto</w:t>
      </w:r>
    </w:p>
    <w:p w14:paraId="4A5BB257" w14:textId="77777777" w:rsidR="00367CFC" w:rsidRPr="002E3942" w:rsidRDefault="00367CFC" w:rsidP="00367CFC">
      <w:pPr>
        <w:ind w:right="-88"/>
        <w:rPr>
          <w:rFonts w:cs="Arial"/>
          <w:bCs/>
          <w:sz w:val="22"/>
          <w:szCs w:val="22"/>
          <w:lang w:val="es-ES"/>
        </w:rPr>
      </w:pPr>
    </w:p>
    <w:p w14:paraId="3AD59A8F" w14:textId="77777777" w:rsidR="00367CFC" w:rsidRPr="002E3942" w:rsidRDefault="00367CFC" w:rsidP="00367CFC">
      <w:pPr>
        <w:rPr>
          <w:rFonts w:cs="Arial"/>
          <w:bCs/>
          <w:sz w:val="2"/>
          <w:szCs w:val="2"/>
          <w:lang w:val="es-ES"/>
        </w:rPr>
      </w:pPr>
      <w:r w:rsidRPr="002E3942">
        <w:rPr>
          <w:rFonts w:cs="Arial"/>
          <w:bCs/>
          <w:sz w:val="22"/>
          <w:szCs w:val="22"/>
          <w:lang w:val="es-ES"/>
        </w:rPr>
        <w:br w:type="page"/>
      </w:r>
    </w:p>
    <w:p w14:paraId="2F972975" w14:textId="77777777" w:rsidR="00367CFC" w:rsidRPr="00573D8D" w:rsidRDefault="00367CFC" w:rsidP="00367CFC">
      <w:pPr>
        <w:ind w:right="-88"/>
        <w:rPr>
          <w:bCs/>
          <w:sz w:val="22"/>
          <w:lang w:val="es-ES" w:eastAsia="en-GB"/>
        </w:rPr>
      </w:pPr>
    </w:p>
    <w:p w14:paraId="551E283F" w14:textId="77777777" w:rsidR="00367CFC" w:rsidRPr="00573D8D" w:rsidRDefault="00367CFC" w:rsidP="00367CFC">
      <w:pPr>
        <w:rPr>
          <w:bCs/>
          <w:sz w:val="2"/>
          <w:szCs w:val="2"/>
          <w:lang w:val="es-ES" w:eastAsia="en-GB"/>
        </w:rPr>
      </w:pPr>
    </w:p>
    <w:tbl>
      <w:tblPr>
        <w:tblW w:w="0" w:type="auto"/>
        <w:tblBorders>
          <w:bottom w:val="single" w:sz="4" w:space="0" w:color="auto"/>
        </w:tblBorders>
        <w:tblLook w:val="01E0" w:firstRow="1" w:lastRow="1" w:firstColumn="1" w:lastColumn="1" w:noHBand="0" w:noVBand="0"/>
      </w:tblPr>
      <w:tblGrid>
        <w:gridCol w:w="8528"/>
      </w:tblGrid>
      <w:tr w:rsidR="00367CFC" w:rsidRPr="001A17E6" w14:paraId="33C8E058" w14:textId="77777777" w:rsidTr="00367CFC">
        <w:tc>
          <w:tcPr>
            <w:tcW w:w="8528" w:type="dxa"/>
            <w:tcBorders>
              <w:bottom w:val="single" w:sz="4" w:space="0" w:color="auto"/>
            </w:tcBorders>
            <w:shd w:val="clear" w:color="auto" w:fill="E6E6E6"/>
          </w:tcPr>
          <w:p w14:paraId="00FAE251" w14:textId="77777777" w:rsidR="00367CFC" w:rsidRPr="00573D8D" w:rsidRDefault="00367CFC" w:rsidP="00367CFC">
            <w:pPr>
              <w:ind w:right="-88"/>
              <w:rPr>
                <w:rFonts w:eastAsia="MS Mincho"/>
                <w:b/>
                <w:color w:val="000080"/>
                <w:sz w:val="30"/>
                <w:szCs w:val="30"/>
                <w:lang w:val="es-ES" w:eastAsia="en-GB"/>
              </w:rPr>
            </w:pPr>
            <w:r w:rsidRPr="00573D8D">
              <w:rPr>
                <w:rFonts w:eastAsia="MS Mincho"/>
                <w:b/>
                <w:color w:val="000080"/>
                <w:sz w:val="30"/>
                <w:szCs w:val="30"/>
                <w:lang w:val="es-ES" w:eastAsia="en-GB"/>
              </w:rPr>
              <w:t>Capítulo 2.   Visión y Misión</w:t>
            </w:r>
          </w:p>
        </w:tc>
      </w:tr>
    </w:tbl>
    <w:p w14:paraId="3C535C2C" w14:textId="77777777" w:rsidR="00367CFC" w:rsidRPr="00573D8D" w:rsidRDefault="00367CFC" w:rsidP="00367CFC">
      <w:pPr>
        <w:ind w:right="-88"/>
        <w:jc w:val="both"/>
        <w:rPr>
          <w:rFonts w:eastAsia="MS Mincho"/>
          <w:sz w:val="22"/>
          <w:lang w:val="es-ES" w:eastAsia="en-GB"/>
        </w:rPr>
      </w:pPr>
    </w:p>
    <w:p w14:paraId="6503DEE8" w14:textId="77777777" w:rsidR="00367CFC" w:rsidRPr="00573D8D" w:rsidRDefault="00367CFC" w:rsidP="00367CFC">
      <w:pPr>
        <w:ind w:right="-88"/>
        <w:jc w:val="both"/>
        <w:rPr>
          <w:bCs/>
          <w:sz w:val="22"/>
          <w:lang w:val="es-ES" w:eastAsia="en-GB"/>
        </w:rPr>
      </w:pPr>
      <w:r w:rsidRPr="00573D8D">
        <w:rPr>
          <w:bCs/>
          <w:sz w:val="22"/>
          <w:lang w:val="es-ES" w:eastAsia="en-GB"/>
        </w:rPr>
        <w:t>El objetivo del Plan Estratégico para las Especies Migratorias es proporcionar una visión, liderazgo, y una fuerza impulsora hacia la aplicación plena y efectiva de los objetivos y metas relacionados con las especies migratorias.</w:t>
      </w:r>
    </w:p>
    <w:p w14:paraId="608B6769" w14:textId="77777777" w:rsidR="00367CFC" w:rsidRPr="00573D8D" w:rsidRDefault="00367CFC" w:rsidP="00367CFC">
      <w:pPr>
        <w:ind w:right="-88"/>
        <w:jc w:val="both"/>
        <w:rPr>
          <w:rFonts w:eastAsia="MS Mincho"/>
          <w:sz w:val="22"/>
          <w:lang w:val="es-ES" w:eastAsia="en-GB"/>
        </w:rPr>
      </w:pPr>
    </w:p>
    <w:p w14:paraId="5F0B0E05" w14:textId="77777777" w:rsidR="00367CFC" w:rsidRPr="00573D8D" w:rsidRDefault="00367CFC" w:rsidP="00367CFC">
      <w:pPr>
        <w:ind w:right="-88"/>
        <w:jc w:val="both"/>
        <w:rPr>
          <w:sz w:val="22"/>
          <w:lang w:val="es-ES" w:eastAsia="en-GB"/>
        </w:rPr>
      </w:pPr>
      <w:r w:rsidRPr="00573D8D">
        <w:rPr>
          <w:bCs/>
          <w:sz w:val="22"/>
          <w:lang w:val="es-ES" w:eastAsia="en-GB"/>
        </w:rPr>
        <w:t xml:space="preserve">El presente SPMS busca alcanzar la siguiente </w:t>
      </w:r>
      <w:r w:rsidRPr="0089035D">
        <w:rPr>
          <w:b/>
          <w:bCs/>
          <w:sz w:val="22"/>
          <w:lang w:val="es-ES" w:eastAsia="en-GB"/>
        </w:rPr>
        <w:t>visión</w:t>
      </w:r>
      <w:r w:rsidRPr="00573D8D">
        <w:rPr>
          <w:bCs/>
          <w:sz w:val="22"/>
          <w:lang w:val="es-ES" w:eastAsia="en-GB"/>
        </w:rPr>
        <w:t>:</w:t>
      </w:r>
    </w:p>
    <w:p w14:paraId="4625BEB7" w14:textId="77777777" w:rsidR="00367CFC" w:rsidRPr="00573D8D" w:rsidRDefault="00367CFC" w:rsidP="00367CFC">
      <w:pPr>
        <w:ind w:right="-88"/>
        <w:rPr>
          <w:rFonts w:eastAsia="MS Mincho"/>
          <w:sz w:val="22"/>
          <w:lang w:val="es-ES" w:eastAsia="en-GB"/>
        </w:rPr>
      </w:pPr>
    </w:p>
    <w:p w14:paraId="311257B6" w14:textId="77777777" w:rsidR="00367CFC" w:rsidRPr="00573D8D" w:rsidRDefault="00367CFC" w:rsidP="00367CFC">
      <w:pPr>
        <w:ind w:right="-88"/>
        <w:jc w:val="both"/>
        <w:rPr>
          <w:bCs/>
          <w:i/>
          <w:sz w:val="22"/>
          <w:lang w:val="es-ES" w:eastAsia="en-GB"/>
        </w:rPr>
      </w:pPr>
      <w:r w:rsidRPr="00573D8D">
        <w:rPr>
          <w:bCs/>
          <w:i/>
          <w:sz w:val="22"/>
          <w:lang w:val="es-ES" w:eastAsia="en-GB"/>
        </w:rPr>
        <w:t>“Vivir en armonía con la naturaleza – donde las poblaciones y hábitats de especies migratorias (junto con toda la biodiversidad) se valora, conserva, restaura y utiliza de manera prudente, contribuyendo así a la sostenibilidad mundial”.</w:t>
      </w:r>
    </w:p>
    <w:p w14:paraId="27BBA3CE" w14:textId="77777777" w:rsidR="00367CFC" w:rsidRPr="00573D8D" w:rsidRDefault="00367CFC" w:rsidP="00367CFC">
      <w:pPr>
        <w:ind w:right="-88"/>
        <w:rPr>
          <w:bCs/>
          <w:i/>
          <w:sz w:val="22"/>
          <w:lang w:val="es-ES" w:eastAsia="en-GB"/>
        </w:rPr>
      </w:pPr>
    </w:p>
    <w:p w14:paraId="6487E2A3" w14:textId="77777777" w:rsidR="00367CFC" w:rsidRPr="00037833" w:rsidRDefault="00367CFC" w:rsidP="00367CFC">
      <w:pPr>
        <w:ind w:right="-88"/>
        <w:rPr>
          <w:bCs/>
          <w:sz w:val="22"/>
          <w:lang w:val="es-ES" w:eastAsia="en-GB"/>
        </w:rPr>
      </w:pPr>
      <w:r w:rsidRPr="00037833">
        <w:rPr>
          <w:bCs/>
          <w:sz w:val="22"/>
          <w:lang w:val="es-ES" w:eastAsia="en-GB"/>
        </w:rPr>
        <w:t xml:space="preserve">La siguiente </w:t>
      </w:r>
      <w:r w:rsidRPr="00037833">
        <w:rPr>
          <w:b/>
          <w:bCs/>
          <w:sz w:val="22"/>
          <w:lang w:val="es-ES" w:eastAsia="en-GB"/>
        </w:rPr>
        <w:t>Misión</w:t>
      </w:r>
      <w:r w:rsidRPr="00037833">
        <w:rPr>
          <w:bCs/>
          <w:sz w:val="22"/>
          <w:lang w:val="es-ES" w:eastAsia="en-GB"/>
        </w:rPr>
        <w:t xml:space="preserve"> guía la implementación de este Plan:</w:t>
      </w:r>
    </w:p>
    <w:p w14:paraId="4C0E6806" w14:textId="77777777" w:rsidR="00367CFC" w:rsidRPr="00037833" w:rsidRDefault="00367CFC" w:rsidP="00367CFC">
      <w:pPr>
        <w:ind w:right="-88"/>
        <w:rPr>
          <w:bCs/>
          <w:sz w:val="22"/>
          <w:lang w:val="es-ES" w:eastAsia="en-GB"/>
        </w:rPr>
      </w:pPr>
    </w:p>
    <w:p w14:paraId="5FB97BBB" w14:textId="77777777" w:rsidR="00367CFC" w:rsidRPr="00573D8D" w:rsidRDefault="00367CFC" w:rsidP="00367CFC">
      <w:pPr>
        <w:ind w:right="-88"/>
        <w:jc w:val="both"/>
        <w:rPr>
          <w:bCs/>
          <w:i/>
          <w:sz w:val="22"/>
          <w:lang w:val="es-ES" w:eastAsia="en-GB"/>
        </w:rPr>
      </w:pPr>
      <w:r w:rsidRPr="00573D8D">
        <w:rPr>
          <w:bCs/>
          <w:i/>
          <w:sz w:val="22"/>
          <w:lang w:val="es-ES" w:eastAsia="en-GB"/>
        </w:rPr>
        <w:t>“Promover medidas a fin de asegurar un estado de conservación favorable de las especies migratorias y de sus hábitats, y asegurar la integridad ecológica, la conectividad y la resiliencia de los sistemas de migración”.</w:t>
      </w:r>
    </w:p>
    <w:p w14:paraId="69CC8EB2" w14:textId="77777777" w:rsidR="00367CFC" w:rsidRPr="00573D8D" w:rsidRDefault="00367CFC" w:rsidP="00367CFC">
      <w:pPr>
        <w:ind w:right="-88"/>
        <w:rPr>
          <w:bCs/>
          <w:sz w:val="22"/>
          <w:lang w:val="es-ES" w:eastAsia="en-GB"/>
        </w:rPr>
      </w:pPr>
    </w:p>
    <w:p w14:paraId="678B33BB" w14:textId="77777777" w:rsidR="00367CFC" w:rsidRPr="00573D8D" w:rsidRDefault="00367CFC" w:rsidP="00367CFC">
      <w:pPr>
        <w:ind w:right="-88"/>
        <w:rPr>
          <w:bCs/>
          <w:sz w:val="22"/>
          <w:lang w:val="es-ES" w:eastAsia="en-GB"/>
        </w:rPr>
      </w:pPr>
    </w:p>
    <w:tbl>
      <w:tblPr>
        <w:tblW w:w="0" w:type="auto"/>
        <w:tblBorders>
          <w:bottom w:val="single" w:sz="4" w:space="0" w:color="auto"/>
        </w:tblBorders>
        <w:tblLook w:val="01E0" w:firstRow="1" w:lastRow="1" w:firstColumn="1" w:lastColumn="1" w:noHBand="0" w:noVBand="0"/>
      </w:tblPr>
      <w:tblGrid>
        <w:gridCol w:w="9638"/>
      </w:tblGrid>
      <w:tr w:rsidR="00367CFC" w:rsidRPr="00DA2A2C" w14:paraId="289C6544" w14:textId="77777777" w:rsidTr="00367CFC">
        <w:tc>
          <w:tcPr>
            <w:tcW w:w="9788" w:type="dxa"/>
            <w:tcBorders>
              <w:bottom w:val="single" w:sz="4" w:space="0" w:color="auto"/>
            </w:tcBorders>
            <w:shd w:val="clear" w:color="auto" w:fill="E6E6E6"/>
          </w:tcPr>
          <w:p w14:paraId="624C6A71" w14:textId="77777777" w:rsidR="00367CFC" w:rsidRPr="00573D8D" w:rsidRDefault="00367CFC" w:rsidP="00367CFC">
            <w:pPr>
              <w:ind w:right="-88"/>
              <w:rPr>
                <w:rFonts w:eastAsia="MS Mincho"/>
                <w:b/>
                <w:color w:val="000080"/>
                <w:sz w:val="30"/>
                <w:szCs w:val="30"/>
                <w:lang w:val="es-ES" w:eastAsia="en-GB"/>
              </w:rPr>
            </w:pPr>
            <w:r w:rsidRPr="00573D8D">
              <w:rPr>
                <w:b/>
                <w:color w:val="000080"/>
                <w:sz w:val="30"/>
                <w:szCs w:val="30"/>
                <w:lang w:val="es-ES" w:eastAsia="en-GB"/>
              </w:rPr>
              <w:br w:type="page"/>
            </w:r>
            <w:r w:rsidRPr="00573D8D">
              <w:rPr>
                <w:rFonts w:eastAsia="MS Mincho"/>
                <w:b/>
                <w:color w:val="000080"/>
                <w:sz w:val="30"/>
                <w:szCs w:val="30"/>
                <w:lang w:val="es-ES" w:eastAsia="en-GB"/>
              </w:rPr>
              <w:br w:type="page"/>
              <w:t xml:space="preserve">Capítulo 3.   </w:t>
            </w:r>
            <w:r w:rsidRPr="00573D8D">
              <w:rPr>
                <w:rFonts w:eastAsia="MS Mincho"/>
                <w:b/>
                <w:color w:val="000080"/>
                <w:sz w:val="30"/>
                <w:lang w:val="es-ES" w:eastAsia="en-GB"/>
              </w:rPr>
              <w:t>Objetivos y metas estratégicos</w:t>
            </w:r>
          </w:p>
        </w:tc>
      </w:tr>
    </w:tbl>
    <w:p w14:paraId="12E5B0FB" w14:textId="77777777" w:rsidR="00367CFC" w:rsidRPr="00573D8D" w:rsidRDefault="00367CFC" w:rsidP="00367CFC">
      <w:pPr>
        <w:rPr>
          <w:bCs/>
          <w:sz w:val="20"/>
          <w:szCs w:val="20"/>
          <w:lang w:val="es-ES" w:eastAsia="en-GB"/>
        </w:rPr>
      </w:pPr>
    </w:p>
    <w:p w14:paraId="10C34768" w14:textId="77777777" w:rsidR="00367CFC" w:rsidRPr="00573D8D" w:rsidRDefault="00367CFC" w:rsidP="00367CFC">
      <w:pPr>
        <w:ind w:right="-88"/>
        <w:jc w:val="both"/>
        <w:rPr>
          <w:rFonts w:eastAsia="MS Mincho"/>
          <w:i/>
          <w:sz w:val="22"/>
          <w:lang w:val="es-ES" w:eastAsia="ja-JP"/>
        </w:rPr>
      </w:pPr>
      <w:r w:rsidRPr="00573D8D">
        <w:rPr>
          <w:rFonts w:eastAsia="MS Mincho"/>
          <w:i/>
          <w:sz w:val="22"/>
          <w:lang w:val="es-ES" w:eastAsia="ja-JP"/>
        </w:rPr>
        <w:t>Objetivos</w:t>
      </w:r>
    </w:p>
    <w:p w14:paraId="2E97196E" w14:textId="77777777" w:rsidR="00367CFC" w:rsidRPr="00573D8D" w:rsidRDefault="00367CFC" w:rsidP="00367CFC">
      <w:pPr>
        <w:spacing w:before="120"/>
        <w:ind w:right="-88"/>
        <w:jc w:val="both"/>
        <w:rPr>
          <w:sz w:val="22"/>
          <w:lang w:val="es-ES" w:eastAsia="en-GB"/>
        </w:rPr>
      </w:pPr>
      <w:r w:rsidRPr="00573D8D">
        <w:rPr>
          <w:sz w:val="22"/>
          <w:lang w:val="es-ES" w:eastAsia="en-GB"/>
        </w:rPr>
        <w:t xml:space="preserve">Los cinco objetivos que figuran a continuación expresan los resultados estratégicos del presente Plan.  Se incluyen entre ellos resultados de conservación y la manera de medirlos.  Se dan más detalles operativos para apoyar la implementación en el volumen complementario (véase también el capítulo 4 más adelante).  </w:t>
      </w:r>
    </w:p>
    <w:p w14:paraId="75B750B9" w14:textId="77777777" w:rsidR="00367CFC" w:rsidRPr="00573D8D" w:rsidRDefault="00367CFC" w:rsidP="00367CFC">
      <w:pPr>
        <w:ind w:right="-91"/>
        <w:jc w:val="both"/>
        <w:rPr>
          <w:sz w:val="22"/>
          <w:lang w:val="es-ES" w:eastAsia="en-GB"/>
        </w:rPr>
      </w:pPr>
    </w:p>
    <w:p w14:paraId="14A0B927" w14:textId="77777777" w:rsidR="00367CFC" w:rsidRPr="00573D8D" w:rsidRDefault="00367CFC" w:rsidP="00367CFC">
      <w:pPr>
        <w:rPr>
          <w:bCs/>
          <w:i/>
          <w:sz w:val="22"/>
          <w:lang w:val="es-ES" w:eastAsia="en-GB"/>
        </w:rPr>
      </w:pPr>
      <w:r w:rsidRPr="00573D8D">
        <w:rPr>
          <w:bCs/>
          <w:i/>
          <w:sz w:val="22"/>
          <w:lang w:val="es-ES" w:eastAsia="en-GB"/>
        </w:rPr>
        <w:t>Metas</w:t>
      </w:r>
    </w:p>
    <w:p w14:paraId="74EBCF07" w14:textId="77777777" w:rsidR="00367CFC" w:rsidRPr="00573D8D" w:rsidRDefault="00367CFC" w:rsidP="00367CFC">
      <w:pPr>
        <w:rPr>
          <w:bCs/>
          <w:sz w:val="20"/>
          <w:szCs w:val="20"/>
          <w:lang w:val="es-ES" w:eastAsia="en-GB"/>
        </w:rPr>
      </w:pPr>
    </w:p>
    <w:p w14:paraId="157232C9" w14:textId="77777777" w:rsidR="00367CFC" w:rsidRPr="00573D8D" w:rsidRDefault="00367CFC" w:rsidP="00367CFC">
      <w:pPr>
        <w:jc w:val="both"/>
        <w:rPr>
          <w:rFonts w:eastAsia="MS Mincho"/>
          <w:sz w:val="22"/>
          <w:lang w:val="es-ES" w:eastAsia="en-GB"/>
        </w:rPr>
      </w:pPr>
      <w:r w:rsidRPr="00573D8D">
        <w:rPr>
          <w:rFonts w:eastAsia="MS Mincho"/>
          <w:sz w:val="22"/>
          <w:lang w:val="es-ES" w:eastAsia="en-GB"/>
        </w:rPr>
        <w:t xml:space="preserve">Para cada objetivo se indican las metas de desempeño que especifican la escala y la naturaleza de los principales cambios tangibles necesarios en cada caso.  La finalidad de las metas es determinar las prioridades y dejar en claro exactamente en qué consiste una realización satisfactoria. Cuando proceda, tal realización incluye una norma cuantificable. Los objetivos y metas del SPMS, que derivan en términos generales de las Metas de Aichi para la Diversidad Biológica del Plan Estratégico para la Biodiversidad - con el fin de facilitar la coherencia con las actividades relacionadas con la biodiversidad (véase el </w:t>
      </w:r>
      <w:r w:rsidRPr="00573D8D">
        <w:rPr>
          <w:rFonts w:eastAsia="MS Mincho"/>
          <w:b/>
          <w:sz w:val="22"/>
          <w:lang w:val="es-ES" w:eastAsia="en-GB"/>
        </w:rPr>
        <w:t>Anexo A</w:t>
      </w:r>
      <w:r w:rsidRPr="00573D8D">
        <w:rPr>
          <w:rFonts w:eastAsia="MS Mincho"/>
          <w:sz w:val="22"/>
          <w:lang w:val="es-ES" w:eastAsia="en-GB"/>
        </w:rPr>
        <w:t>) y apoyar los esfuerzos durante el Decenio de la Diversidad Biológica de las Naciones Unidas – se han elaborado para contribuir a los objetivos de los instrumentos de la CMS, conservar una identidad clara, y reflejar las necesidades de las especies migratorias. Esto significa que cada uno ha sido examinado de forma independiente en el contexto de las condiciones existentes en el año 2014, y se basa en los juicios sobre cómo es de alcanzable y las necesidades prioritarias específicas de las especies migratorias en este contexto.</w:t>
      </w:r>
    </w:p>
    <w:p w14:paraId="59130A95" w14:textId="77777777" w:rsidR="00367CFC" w:rsidRPr="00573D8D" w:rsidRDefault="00367CFC" w:rsidP="00367CFC">
      <w:pPr>
        <w:rPr>
          <w:rFonts w:eastAsia="MS Mincho"/>
          <w:sz w:val="22"/>
          <w:lang w:val="es-ES" w:eastAsia="en-GB"/>
        </w:rPr>
      </w:pPr>
    </w:p>
    <w:p w14:paraId="4A89CD7F" w14:textId="15365CC8" w:rsidR="00367CFC" w:rsidRPr="00573D8D" w:rsidRDefault="00367CFC" w:rsidP="00367CFC">
      <w:pPr>
        <w:jc w:val="both"/>
        <w:rPr>
          <w:rFonts w:eastAsia="MS Mincho"/>
          <w:sz w:val="22"/>
          <w:lang w:val="es-ES" w:eastAsia="en-GB"/>
        </w:rPr>
      </w:pPr>
      <w:r w:rsidRPr="00573D8D">
        <w:rPr>
          <w:rFonts w:eastAsia="MS Mincho"/>
          <w:sz w:val="22"/>
          <w:lang w:val="es-ES" w:eastAsia="en-GB"/>
        </w:rPr>
        <w:t>Ninguna parte del presente Plan debe ser considerada como una dilución o reducción de los compromisos representados por las Metas de Aichi para la Diversidad Biológica. En general, cada meta debe lograrse a nivel mundial dentro del plazo establecido para la correspondiente Meta de Aichi (véase el Anexo A), en su caso. Los distintos gobiernos pueden desear establecer plazos más cortos para algunas o todas</w:t>
      </w:r>
      <w:r w:rsidR="00BC528E">
        <w:rPr>
          <w:rFonts w:eastAsia="MS Mincho"/>
          <w:sz w:val="22"/>
          <w:lang w:val="es-ES" w:eastAsia="en-GB"/>
        </w:rPr>
        <w:t xml:space="preserve"> la</w:t>
      </w:r>
      <w:r w:rsidRPr="00573D8D">
        <w:rPr>
          <w:rFonts w:eastAsia="MS Mincho"/>
          <w:sz w:val="22"/>
          <w:lang w:val="es-ES" w:eastAsia="en-GB"/>
        </w:rPr>
        <w:t>s metas en función de sus circunstancias nacionales. La adopción de planes de acción nacionales específicos puede ayudar en la elaboración de tales asuntos.</w:t>
      </w:r>
    </w:p>
    <w:p w14:paraId="239D5309" w14:textId="77777777" w:rsidR="00367CFC" w:rsidRPr="00573D8D" w:rsidRDefault="00367CFC" w:rsidP="00367CFC">
      <w:pPr>
        <w:rPr>
          <w:bCs/>
          <w:sz w:val="20"/>
          <w:szCs w:val="20"/>
          <w:lang w:val="es-ES" w:eastAsia="en-GB"/>
        </w:rPr>
      </w:pPr>
    </w:p>
    <w:p w14:paraId="65874833" w14:textId="77777777" w:rsidR="00367CFC" w:rsidRPr="00573D8D" w:rsidRDefault="00367CFC" w:rsidP="00367CFC">
      <w:pPr>
        <w:rPr>
          <w:rFonts w:eastAsia="MS Mincho"/>
          <w:i/>
          <w:sz w:val="22"/>
          <w:lang w:val="es-ES" w:eastAsia="ja-JP"/>
        </w:rPr>
      </w:pPr>
      <w:r w:rsidRPr="00573D8D">
        <w:rPr>
          <w:rFonts w:eastAsia="MS Mincho"/>
          <w:i/>
          <w:sz w:val="22"/>
          <w:lang w:val="es-ES" w:eastAsia="ja-JP"/>
        </w:rPr>
        <w:t>Sub-metas</w:t>
      </w:r>
    </w:p>
    <w:p w14:paraId="11E9B4C1" w14:textId="77777777" w:rsidR="00367CFC" w:rsidRPr="00573D8D" w:rsidRDefault="00367CFC" w:rsidP="00367CFC">
      <w:pPr>
        <w:spacing w:before="120"/>
        <w:ind w:right="-88"/>
        <w:jc w:val="both"/>
        <w:rPr>
          <w:sz w:val="22"/>
          <w:lang w:val="es-ES" w:eastAsia="en-GB"/>
        </w:rPr>
      </w:pPr>
      <w:r w:rsidRPr="00573D8D">
        <w:rPr>
          <w:sz w:val="22"/>
          <w:lang w:val="es-ES" w:eastAsia="en-GB"/>
        </w:rPr>
        <w:t xml:space="preserve">Ciertas contribuciones clave para la consecución de las metas en este Plan se pueden definir en forma de metas subsidiarias, abordando temas específicos. En algunos casos, los aspectos más </w:t>
      </w:r>
      <w:r w:rsidRPr="00573D8D">
        <w:rPr>
          <w:sz w:val="22"/>
          <w:lang w:val="es-ES" w:eastAsia="en-GB"/>
        </w:rPr>
        <w:lastRenderedPageBreak/>
        <w:t>específicos de una meta determinada pueden estar suficientemente bien definidos (por ejemplo, en uno de los instrumentos de la CMS, u otro proceso internacional) por lo que es posible extraer sub-metas específicas.</w:t>
      </w:r>
    </w:p>
    <w:p w14:paraId="4DC81CFD" w14:textId="3EACD243" w:rsidR="00367CFC" w:rsidRPr="00573D8D" w:rsidRDefault="00367CFC" w:rsidP="00367CFC">
      <w:pPr>
        <w:spacing w:before="120"/>
        <w:ind w:right="-88"/>
        <w:jc w:val="both"/>
        <w:rPr>
          <w:sz w:val="22"/>
          <w:lang w:val="es-ES" w:eastAsia="en-GB"/>
        </w:rPr>
      </w:pPr>
      <w:r w:rsidRPr="00573D8D">
        <w:rPr>
          <w:sz w:val="22"/>
          <w:lang w:val="es-ES" w:eastAsia="en-GB"/>
        </w:rPr>
        <w:t>Una de éstas importantes categorías de sub-metas se refiere a las acciones o procesos que serán o son llevadas a cabo en el contexto de uno o más de los Acuerdos, Memorandos de Entendimiento y Planes de Acción de la “Familia” de la CMS. los órganos rectores de esos instrumentos pueden adoptar tales sub-metas cuando lo consideren apropiado. Por ejemplo</w:t>
      </w:r>
      <w:r w:rsidR="00BC528E">
        <w:rPr>
          <w:sz w:val="22"/>
          <w:lang w:val="es-ES" w:eastAsia="en-GB"/>
        </w:rPr>
        <w:t>,</w:t>
      </w:r>
      <w:r w:rsidRPr="00573D8D">
        <w:rPr>
          <w:sz w:val="22"/>
          <w:lang w:val="es-ES" w:eastAsia="en-GB"/>
        </w:rPr>
        <w:t xml:space="preserve"> puede ser en la forma de metas específicas en relación a una especie en particular o un Plan de Acción, o un Plan de Conservación y gestión con sus propias metas, que se consideren de apoyo – pero diferentes del resto del Plan Estratégico en ese sentido. Se indican en un registro separado mantenido por la Secretaría de la CMS, y fomentan un enfoque integrado para la aplicación del Plan en toda la familia de instrumentos.</w:t>
      </w:r>
    </w:p>
    <w:p w14:paraId="110CFDB0" w14:textId="77777777" w:rsidR="00367CFC" w:rsidRPr="00573D8D" w:rsidRDefault="00367CFC" w:rsidP="00367CFC">
      <w:pPr>
        <w:spacing w:before="120"/>
        <w:ind w:right="-88"/>
        <w:jc w:val="both"/>
        <w:rPr>
          <w:sz w:val="22"/>
          <w:lang w:val="es-ES" w:eastAsia="en-GB"/>
        </w:rPr>
      </w:pPr>
      <w:r w:rsidRPr="00573D8D">
        <w:rPr>
          <w:sz w:val="22"/>
          <w:lang w:val="es-ES" w:eastAsia="en-GB"/>
        </w:rPr>
        <w:t>Esta situación evolucionará, y es probable que se acuerden otras sub-metas en sus respectivos contextos. El registro de sub-metas por lo tanto, está diseñado para ser una lista abierta que se actualizará periódicamente. No hay ninguna implicación de que una meta secundaria necesariamente tenga que ser definida con respecto a cualquier meta particular del SPMS o cualquier instrumento particular. Por el contrario, las sub-metas dadas en un momento dado no necesariamente representan la totalidad de los compromisos que puedan existir o pueden necesitar una mayor definición en este nivel.</w:t>
      </w:r>
    </w:p>
    <w:p w14:paraId="3A6D125E" w14:textId="77777777" w:rsidR="00367CFC" w:rsidRPr="00EF11E5" w:rsidRDefault="00367CFC" w:rsidP="00367CFC">
      <w:pPr>
        <w:jc w:val="both"/>
        <w:rPr>
          <w:bCs/>
          <w:sz w:val="20"/>
          <w:szCs w:val="20"/>
          <w:lang w:val="es-ES"/>
        </w:rPr>
      </w:pPr>
    </w:p>
    <w:p w14:paraId="05667A4B" w14:textId="77777777" w:rsidR="00367CFC" w:rsidRPr="00573D8D" w:rsidRDefault="00367CFC" w:rsidP="00367CFC">
      <w:pPr>
        <w:ind w:right="-88"/>
        <w:jc w:val="both"/>
        <w:rPr>
          <w:i/>
          <w:sz w:val="22"/>
          <w:lang w:val="es-ES" w:eastAsia="en-GB"/>
        </w:rPr>
      </w:pPr>
      <w:r w:rsidRPr="00573D8D">
        <w:rPr>
          <w:rFonts w:eastAsia="MS Mincho"/>
          <w:i/>
          <w:sz w:val="22"/>
          <w:lang w:val="es-ES" w:eastAsia="ja-JP"/>
        </w:rPr>
        <w:t>Indicadores</w:t>
      </w:r>
    </w:p>
    <w:p w14:paraId="476E3011" w14:textId="2CB1CC56" w:rsidR="00367CFC" w:rsidRPr="00573D8D" w:rsidRDefault="00367CFC" w:rsidP="00367CFC">
      <w:pPr>
        <w:spacing w:before="120"/>
        <w:ind w:right="-88"/>
        <w:jc w:val="both"/>
        <w:rPr>
          <w:sz w:val="22"/>
          <w:lang w:val="es-ES" w:eastAsia="en-GB"/>
        </w:rPr>
      </w:pPr>
      <w:r w:rsidRPr="00573D8D">
        <w:rPr>
          <w:sz w:val="22"/>
          <w:lang w:val="es-ES" w:eastAsia="en-GB"/>
        </w:rPr>
        <w:t xml:space="preserve">Con el fin de realizar un seguimiento y dar cuenta de los progresos realizados hacia la consecución de las metas, se ha definido un conjunto básico de indicadores cuantificables. Estos indicadores figuran en el </w:t>
      </w:r>
      <w:r w:rsidRPr="00573D8D">
        <w:rPr>
          <w:b/>
          <w:sz w:val="22"/>
          <w:lang w:val="es-ES" w:eastAsia="en-GB"/>
        </w:rPr>
        <w:t>Anexo B</w:t>
      </w:r>
      <w:r w:rsidR="00BC528E">
        <w:rPr>
          <w:sz w:val="22"/>
          <w:lang w:val="es-ES" w:eastAsia="en-GB"/>
        </w:rPr>
        <w:t>. Se han derivad</w:t>
      </w:r>
      <w:r w:rsidR="00BC528E" w:rsidRPr="00BC528E">
        <w:rPr>
          <w:sz w:val="22"/>
          <w:lang w:val="es-ES" w:eastAsia="en-GB"/>
        </w:rPr>
        <w:t>o</w:t>
      </w:r>
      <w:r w:rsidRPr="00BC528E">
        <w:rPr>
          <w:sz w:val="22"/>
          <w:szCs w:val="22"/>
          <w:u w:val="single"/>
          <w:lang w:val="es-ES"/>
        </w:rPr>
        <w:t xml:space="preserve"> </w:t>
      </w:r>
      <w:r w:rsidR="00BC528E" w:rsidRPr="00BC528E">
        <w:rPr>
          <w:noProof/>
          <w:sz w:val="22"/>
          <w:szCs w:val="22"/>
          <w:u w:val="single"/>
          <w:lang w:val="es-ES"/>
        </w:rPr>
        <w:t>en la medida de lo posible</w:t>
      </w:r>
      <w:r w:rsidR="00BC528E" w:rsidRPr="00573D8D">
        <w:rPr>
          <w:sz w:val="22"/>
          <w:lang w:val="es-ES" w:eastAsia="en-GB"/>
        </w:rPr>
        <w:t xml:space="preserve"> </w:t>
      </w:r>
      <w:r w:rsidRPr="00573D8D">
        <w:rPr>
          <w:sz w:val="22"/>
          <w:lang w:val="es-ES" w:eastAsia="en-GB"/>
        </w:rPr>
        <w:t>de los indicadores elaborados para su uso con las metas de Aichi correspondientes.  En el volumen complementario sobre la implementación se dan detalles sobre el funcionamiento de estos indicadores (incluidos los hitos de realización).</w:t>
      </w:r>
    </w:p>
    <w:p w14:paraId="7533865A" w14:textId="77777777" w:rsidR="00367CFC" w:rsidRPr="002E3942" w:rsidRDefault="00367CFC" w:rsidP="00367CFC">
      <w:pPr>
        <w:jc w:val="both"/>
        <w:rPr>
          <w:bCs/>
          <w:sz w:val="20"/>
          <w:szCs w:val="20"/>
          <w:lang w:val="es-ES"/>
        </w:rPr>
      </w:pPr>
    </w:p>
    <w:p w14:paraId="54B60EB9"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lang w:val="es-ES"/>
        </w:rPr>
      </w:pPr>
      <w:r w:rsidRPr="002E3942">
        <w:rPr>
          <w:lang w:val="es-ES"/>
        </w:rPr>
        <w:t xml:space="preserve"> </w:t>
      </w:r>
      <w:r w:rsidRPr="002E3942">
        <w:rPr>
          <w:b/>
          <w:i/>
          <w:sz w:val="22"/>
          <w:szCs w:val="22"/>
          <w:lang w:val="es-ES"/>
        </w:rPr>
        <w:t>Objetivo 1: Abordar las causas subyacentes de la disminución de las especies migratorias mediante la incorporación de las prioridades de conservación y utilización sostenible pertinentes en todos los ámbitos gubernamentales y de la sociedad.</w:t>
      </w:r>
    </w:p>
    <w:p w14:paraId="675FBBED" w14:textId="77777777" w:rsidR="00367CFC" w:rsidRPr="002E3942" w:rsidRDefault="00367CFC" w:rsidP="00367CFC">
      <w:pPr>
        <w:ind w:right="-88"/>
        <w:jc w:val="both"/>
        <w:rPr>
          <w:bCs/>
          <w:sz w:val="22"/>
          <w:szCs w:val="22"/>
          <w:lang w:val="es-ES"/>
        </w:rPr>
      </w:pPr>
    </w:p>
    <w:p w14:paraId="5EB96271"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bCs/>
          <w:color w:val="0000FF"/>
          <w:sz w:val="22"/>
          <w:szCs w:val="22"/>
          <w:lang w:val="es-ES"/>
        </w:rPr>
      </w:pPr>
      <w:r w:rsidRPr="002E3942">
        <w:rPr>
          <w:bCs/>
          <w:color w:val="0000FF"/>
          <w:sz w:val="22"/>
          <w:szCs w:val="22"/>
          <w:lang w:val="es-ES"/>
        </w:rPr>
        <w:t xml:space="preserve"> Meta 1: Las personas tendrán conciencia de los múltiples valores de las especies migratorias, sus hábitats, y los sistemas migratorios y de los pasos que pueden dar para su conservación y asegurar la utilización sostenible.</w:t>
      </w:r>
    </w:p>
    <w:p w14:paraId="09025FBF" w14:textId="77777777" w:rsidR="00367CFC" w:rsidRPr="002E3942" w:rsidRDefault="00367CFC" w:rsidP="00367CFC">
      <w:pPr>
        <w:ind w:left="3"/>
        <w:jc w:val="both"/>
        <w:rPr>
          <w:bCs/>
          <w:sz w:val="16"/>
          <w:szCs w:val="16"/>
          <w:lang w:val="es-ES"/>
        </w:rPr>
      </w:pPr>
    </w:p>
    <w:p w14:paraId="3B1FDBEF" w14:textId="38A042BD" w:rsidR="00367CFC"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“Conciencia” se utiliza aquí en un sentido no solo pasivo, incluyendo apoyo positivo e implicación a niveles políticos, al igual que entre el público. Incluye conciencia de los valores representados por el fenómeno de la migración en sí. Los valores en cuestión pueden ser socioeconómicos, incluidos los culturales además de los ecológicos.</w:t>
      </w:r>
    </w:p>
    <w:p w14:paraId="772D255F" w14:textId="77777777" w:rsidR="00BC528E" w:rsidRPr="00BC528E" w:rsidRDefault="00BC528E" w:rsidP="00367CFC">
      <w:pPr>
        <w:ind w:left="3"/>
        <w:jc w:val="both"/>
        <w:rPr>
          <w:bCs/>
          <w:sz w:val="22"/>
          <w:szCs w:val="22"/>
          <w:lang w:val="es-ES"/>
        </w:rPr>
      </w:pPr>
    </w:p>
    <w:p w14:paraId="5045267B"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3" w:right="-1"/>
        <w:jc w:val="both"/>
        <w:rPr>
          <w:color w:val="0000FF"/>
          <w:sz w:val="22"/>
          <w:szCs w:val="22"/>
          <w:lang w:val="es-ES"/>
        </w:rPr>
      </w:pPr>
      <w:r w:rsidRPr="002E3942">
        <w:rPr>
          <w:color w:val="0000FF"/>
          <w:sz w:val="22"/>
          <w:szCs w:val="22"/>
          <w:lang w:val="es-ES"/>
        </w:rPr>
        <w:t xml:space="preserve"> Meta 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p w14:paraId="07E2218A" w14:textId="77777777" w:rsidR="00367CFC" w:rsidRPr="002E3942" w:rsidRDefault="00367CFC" w:rsidP="00367CFC">
      <w:pPr>
        <w:ind w:left="3"/>
        <w:jc w:val="both"/>
        <w:rPr>
          <w:bCs/>
          <w:sz w:val="16"/>
          <w:szCs w:val="16"/>
          <w:lang w:val="es-ES"/>
        </w:rPr>
      </w:pPr>
    </w:p>
    <w:p w14:paraId="092D7158" w14:textId="1C952895" w:rsidR="00367CFC"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Las acciones a favor de esta meta del SPMS pueden contribuir también a la Meta 13 del SPMS.</w:t>
      </w:r>
    </w:p>
    <w:p w14:paraId="214296E0" w14:textId="77777777" w:rsidR="00BC528E" w:rsidRPr="00BC528E" w:rsidRDefault="00BC528E" w:rsidP="00367CFC">
      <w:pPr>
        <w:ind w:left="3"/>
        <w:jc w:val="both"/>
        <w:rPr>
          <w:bCs/>
          <w:sz w:val="22"/>
          <w:szCs w:val="22"/>
          <w:lang w:val="es-ES"/>
        </w:rPr>
      </w:pPr>
    </w:p>
    <w:p w14:paraId="2F61F803"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color w:val="0000FF"/>
          <w:sz w:val="22"/>
          <w:szCs w:val="22"/>
          <w:lang w:val="es-ES"/>
        </w:rPr>
        <w:t xml:space="preserve"> Meta 3: </w:t>
      </w:r>
      <w:bookmarkStart w:id="1" w:name="_Hlk490058140"/>
      <w:r w:rsidRPr="002E3942">
        <w:rPr>
          <w:color w:val="0000FF"/>
          <w:sz w:val="22"/>
          <w:szCs w:val="22"/>
          <w:lang w:val="es-ES"/>
        </w:rPr>
        <w:t>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inclusivos.</w:t>
      </w:r>
      <w:bookmarkEnd w:id="1"/>
    </w:p>
    <w:p w14:paraId="5C746A06" w14:textId="77777777" w:rsidR="00367CFC" w:rsidRPr="002E3942" w:rsidRDefault="00367CFC" w:rsidP="00367CFC">
      <w:pPr>
        <w:ind w:left="3"/>
        <w:jc w:val="both"/>
        <w:rPr>
          <w:bCs/>
          <w:sz w:val="16"/>
          <w:szCs w:val="16"/>
          <w:lang w:val="es-ES"/>
        </w:rPr>
      </w:pPr>
    </w:p>
    <w:p w14:paraId="79144756" w14:textId="2FDD8D1D" w:rsidR="00367CFC" w:rsidRDefault="00367CFC" w:rsidP="00647756">
      <w:pPr>
        <w:ind w:left="360" w:right="-285"/>
        <w:jc w:val="both"/>
        <w:rPr>
          <w:bCs/>
          <w:i/>
          <w:sz w:val="20"/>
          <w:szCs w:val="20"/>
          <w:lang w:val="es-ES"/>
        </w:rPr>
      </w:pPr>
      <w:r w:rsidRPr="00037833">
        <w:rPr>
          <w:bCs/>
          <w:i/>
          <w:sz w:val="20"/>
          <w:szCs w:val="20"/>
          <w:lang w:val="es-ES"/>
        </w:rPr>
        <w:t>Nota</w:t>
      </w:r>
      <w:r w:rsidRPr="00BC528E">
        <w:rPr>
          <w:bCs/>
          <w:sz w:val="20"/>
          <w:szCs w:val="20"/>
          <w:lang w:val="es-ES"/>
        </w:rPr>
        <w:t xml:space="preserve">: La referencia a gobernanza que “afecta” a las especies migratorias indica que no se limita solamente </w:t>
      </w:r>
      <w:r w:rsidRPr="00BC528E">
        <w:rPr>
          <w:bCs/>
          <w:sz w:val="20"/>
          <w:szCs w:val="20"/>
          <w:lang w:val="es-ES"/>
        </w:rPr>
        <w:lastRenderedPageBreak/>
        <w:t>a gobernanza relativa a la conservación, sino que se extiende a otros niveles y sectores que también pueden tener un efecto sobre las especies migratorias</w:t>
      </w:r>
      <w:r w:rsidRPr="00BC528E">
        <w:rPr>
          <w:bCs/>
          <w:i/>
          <w:sz w:val="20"/>
          <w:szCs w:val="20"/>
          <w:lang w:val="es-ES"/>
        </w:rPr>
        <w:t>.</w:t>
      </w:r>
    </w:p>
    <w:p w14:paraId="617B66A7" w14:textId="77777777" w:rsidR="00647756" w:rsidRPr="00BC528E" w:rsidRDefault="00647756" w:rsidP="00367CFC">
      <w:pPr>
        <w:ind w:left="3" w:right="-285"/>
        <w:jc w:val="both"/>
        <w:rPr>
          <w:bCs/>
          <w:sz w:val="20"/>
          <w:szCs w:val="20"/>
          <w:lang w:val="es-ES"/>
        </w:rPr>
      </w:pPr>
    </w:p>
    <w:p w14:paraId="1A01A24F"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rFonts w:eastAsia="MS Mincho"/>
          <w:color w:val="0000FF"/>
          <w:sz w:val="22"/>
          <w:szCs w:val="22"/>
          <w:lang w:val="es-ES"/>
        </w:rPr>
        <w:t xml:space="preserve"> </w:t>
      </w:r>
      <w:bookmarkStart w:id="2" w:name="_Hlk490058182"/>
      <w:r w:rsidRPr="002E3942">
        <w:rPr>
          <w:rFonts w:eastAsia="MS Mincho"/>
          <w:color w:val="0000FF"/>
          <w:sz w:val="22"/>
          <w:szCs w:val="22"/>
          <w:lang w:val="es-ES"/>
        </w:rPr>
        <w:t>Meta 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bookmarkEnd w:id="2"/>
    </w:p>
    <w:p w14:paraId="4BBC721C" w14:textId="77777777" w:rsidR="00367CFC" w:rsidRPr="002E3942" w:rsidRDefault="00367CFC" w:rsidP="00367CFC">
      <w:pPr>
        <w:ind w:left="6"/>
        <w:jc w:val="both"/>
        <w:rPr>
          <w:bCs/>
          <w:sz w:val="16"/>
          <w:szCs w:val="16"/>
          <w:lang w:val="es-ES"/>
        </w:rPr>
      </w:pPr>
    </w:p>
    <w:p w14:paraId="17728BF8" w14:textId="1C244642" w:rsidR="00367CFC" w:rsidRPr="00BC528E" w:rsidRDefault="00367CFC" w:rsidP="00647756">
      <w:pPr>
        <w:ind w:left="360"/>
        <w:jc w:val="both"/>
        <w:rPr>
          <w:bCs/>
          <w:sz w:val="20"/>
          <w:szCs w:val="20"/>
          <w:lang w:val="es-ES"/>
        </w:rPr>
      </w:pPr>
      <w:r w:rsidRPr="00037833">
        <w:rPr>
          <w:bCs/>
          <w:i/>
          <w:sz w:val="20"/>
          <w:szCs w:val="20"/>
          <w:lang w:val="es-ES"/>
        </w:rPr>
        <w:t>Nota</w:t>
      </w:r>
      <w:r w:rsidRPr="00BC528E">
        <w:rPr>
          <w:bCs/>
          <w:sz w:val="20"/>
          <w:szCs w:val="20"/>
          <w:lang w:val="es-ES"/>
        </w:rPr>
        <w:t xml:space="preserve">: el enfoque particular en este punto variará, en algunos casos a nivel subnacional, de acuerdo a las circunstancias específicas locales. </w:t>
      </w:r>
    </w:p>
    <w:p w14:paraId="20705CDF" w14:textId="77777777" w:rsidR="00367CFC" w:rsidRPr="002E3942" w:rsidRDefault="00367CFC" w:rsidP="00647756">
      <w:pPr>
        <w:ind w:left="360"/>
        <w:jc w:val="both"/>
        <w:rPr>
          <w:bCs/>
          <w:sz w:val="16"/>
          <w:szCs w:val="16"/>
          <w:lang w:val="es-ES"/>
        </w:rPr>
      </w:pPr>
    </w:p>
    <w:p w14:paraId="11A79E3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b/>
          <w:i/>
          <w:sz w:val="22"/>
          <w:szCs w:val="22"/>
          <w:lang w:val="es-ES"/>
        </w:rPr>
      </w:pPr>
      <w:r w:rsidRPr="002E3942">
        <w:rPr>
          <w:lang w:val="es-ES"/>
        </w:rPr>
        <w:t xml:space="preserve"> </w:t>
      </w:r>
      <w:r w:rsidRPr="002E3942">
        <w:rPr>
          <w:b/>
          <w:i/>
          <w:sz w:val="22"/>
          <w:szCs w:val="22"/>
          <w:lang w:val="es-ES"/>
        </w:rPr>
        <w:t xml:space="preserve">Objetivo 2: Reducir las presiones directas sobre las especies migratorias y sus hábitats </w:t>
      </w:r>
    </w:p>
    <w:p w14:paraId="666CAD11" w14:textId="77777777" w:rsidR="00367CFC" w:rsidRPr="002E3942" w:rsidRDefault="00367CFC" w:rsidP="00367CFC">
      <w:pPr>
        <w:ind w:right="-88"/>
        <w:jc w:val="both"/>
        <w:rPr>
          <w:sz w:val="22"/>
          <w:szCs w:val="22"/>
          <w:lang w:val="es-ES"/>
        </w:rPr>
      </w:pPr>
    </w:p>
    <w:p w14:paraId="72385B43"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color w:val="0000FF"/>
          <w:sz w:val="22"/>
          <w:szCs w:val="22"/>
          <w:lang w:val="es-ES"/>
        </w:rPr>
        <w:t xml:space="preserve"> Meta </w:t>
      </w:r>
      <w:bookmarkStart w:id="3" w:name="_Hlk490058203"/>
      <w:r w:rsidRPr="002E3942">
        <w:rPr>
          <w:color w:val="0000FF"/>
          <w:sz w:val="22"/>
          <w:szCs w:val="22"/>
          <w:lang w:val="es-ES"/>
        </w:rPr>
        <w:t>5: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bookmarkEnd w:id="3"/>
    </w:p>
    <w:p w14:paraId="7711FD5E" w14:textId="77777777" w:rsidR="00367CFC" w:rsidRPr="002E3942" w:rsidRDefault="00367CFC" w:rsidP="00367CFC">
      <w:pPr>
        <w:jc w:val="both"/>
        <w:rPr>
          <w:bCs/>
          <w:sz w:val="16"/>
          <w:szCs w:val="16"/>
          <w:lang w:val="es-ES"/>
        </w:rPr>
      </w:pPr>
    </w:p>
    <w:p w14:paraId="0831EBE0" w14:textId="3733E3FD" w:rsidR="00367CFC" w:rsidRPr="00647756" w:rsidRDefault="00367CFC" w:rsidP="00647756">
      <w:pPr>
        <w:ind w:left="360"/>
        <w:jc w:val="both"/>
        <w:rPr>
          <w:bCs/>
          <w:sz w:val="20"/>
          <w:szCs w:val="20"/>
          <w:lang w:val="es-ES"/>
        </w:rPr>
      </w:pPr>
      <w:r w:rsidRPr="00037833">
        <w:rPr>
          <w:bCs/>
          <w:i/>
          <w:sz w:val="20"/>
          <w:szCs w:val="20"/>
          <w:lang w:val="es-ES"/>
        </w:rPr>
        <w:t>Nota</w:t>
      </w:r>
      <w:r w:rsidRPr="00647756">
        <w:rPr>
          <w:bCs/>
          <w:sz w:val="20"/>
          <w:szCs w:val="20"/>
          <w:lang w:val="es-ES"/>
        </w:rPr>
        <w:t xml:space="preserve">: Cuando haya incertidumbre acerca de lo que constituye un "límite ecológico seguro" en un caso determinado, se debe tomar un enfoque precautorio. </w:t>
      </w:r>
    </w:p>
    <w:p w14:paraId="5CBE25FE" w14:textId="77777777" w:rsidR="00BC528E" w:rsidRPr="002E3942" w:rsidRDefault="00BC528E" w:rsidP="00367CFC">
      <w:pPr>
        <w:ind w:left="6"/>
        <w:jc w:val="both"/>
        <w:rPr>
          <w:bCs/>
          <w:sz w:val="22"/>
          <w:szCs w:val="22"/>
          <w:lang w:val="es-ES"/>
        </w:rPr>
      </w:pPr>
    </w:p>
    <w:p w14:paraId="7E329310"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 w:val="22"/>
          <w:szCs w:val="22"/>
          <w:lang w:val="es-ES"/>
        </w:rPr>
      </w:pPr>
      <w:r w:rsidRPr="002E3942">
        <w:rPr>
          <w:bCs/>
          <w:color w:val="0000FF"/>
          <w:sz w:val="22"/>
          <w:szCs w:val="22"/>
          <w:lang w:val="es-ES"/>
        </w:rPr>
        <w:t xml:space="preserve"> </w:t>
      </w:r>
      <w:bookmarkStart w:id="4" w:name="_Hlk490058227"/>
      <w:r w:rsidRPr="002E3942">
        <w:rPr>
          <w:bCs/>
          <w:color w:val="0000FF"/>
          <w:sz w:val="22"/>
          <w:szCs w:val="22"/>
          <w:lang w:val="es-ES"/>
        </w:rPr>
        <w:t>Meta 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bookmarkEnd w:id="4"/>
    </w:p>
    <w:p w14:paraId="7540D0D5" w14:textId="77777777" w:rsidR="00367CFC" w:rsidRPr="002E3942" w:rsidRDefault="00367CFC" w:rsidP="00367CFC">
      <w:pPr>
        <w:ind w:left="6"/>
        <w:jc w:val="both"/>
        <w:rPr>
          <w:bCs/>
          <w:sz w:val="16"/>
          <w:szCs w:val="16"/>
          <w:lang w:val="es-ES"/>
        </w:rPr>
      </w:pPr>
    </w:p>
    <w:p w14:paraId="52987DAE" w14:textId="1DCCB0BE" w:rsidR="00367CFC" w:rsidRDefault="00037833" w:rsidP="00647756">
      <w:pPr>
        <w:ind w:left="360"/>
        <w:jc w:val="both"/>
        <w:rPr>
          <w:bCs/>
          <w:sz w:val="20"/>
          <w:szCs w:val="20"/>
          <w:lang w:val="es-ES"/>
        </w:rPr>
      </w:pPr>
      <w:r w:rsidRPr="00037833">
        <w:rPr>
          <w:bCs/>
          <w:i/>
          <w:sz w:val="20"/>
          <w:szCs w:val="20"/>
          <w:lang w:val="es-ES"/>
        </w:rPr>
        <w:t>Nota</w:t>
      </w:r>
      <w:r>
        <w:rPr>
          <w:bCs/>
          <w:sz w:val="20"/>
          <w:szCs w:val="20"/>
          <w:lang w:val="es-ES"/>
        </w:rPr>
        <w:t xml:space="preserve">: </w:t>
      </w:r>
      <w:r w:rsidR="00367CFC" w:rsidRPr="00647756">
        <w:rPr>
          <w:bCs/>
          <w:sz w:val="20"/>
          <w:szCs w:val="20"/>
          <w:lang w:val="es-ES"/>
        </w:rPr>
        <w:t>El logro de esta meta requerirá que las especies migratorias se gestionen y utilicen de manera sostenible, legal y mediante el uso de los enfoques basados en los ecosistemas. La sobreexplotación de las especies migratorias se debe evitar, y los planes y medidas de recuperación deben estar en funcionamiento para todas las especies que hayan sido agotadas. Cuando haya incertidumbre acerca de lo que constituye un "límite ecológico seguro" en un caso determinado, se debe tomar un enfoque precautorio.</w:t>
      </w:r>
    </w:p>
    <w:p w14:paraId="4A6EF27E" w14:textId="77777777" w:rsidR="00647756" w:rsidRPr="00647756" w:rsidRDefault="00647756" w:rsidP="00367CFC">
      <w:pPr>
        <w:ind w:left="6"/>
        <w:jc w:val="both"/>
        <w:rPr>
          <w:bCs/>
          <w:sz w:val="22"/>
          <w:szCs w:val="22"/>
          <w:lang w:val="es-ES"/>
        </w:rPr>
      </w:pPr>
    </w:p>
    <w:p w14:paraId="3F1A5141" w14:textId="77777777" w:rsidR="00367CFC" w:rsidRPr="002E3942" w:rsidRDefault="00367CFC" w:rsidP="00367CFC">
      <w:pPr>
        <w:pBdr>
          <w:top w:val="single" w:sz="4" w:space="1" w:color="auto"/>
          <w:left w:val="single" w:sz="4" w:space="4" w:color="auto"/>
          <w:bottom w:val="single" w:sz="4" w:space="1" w:color="auto"/>
          <w:right w:val="single" w:sz="4" w:space="4" w:color="auto"/>
        </w:pBdr>
        <w:ind w:right="-1"/>
        <w:jc w:val="both"/>
        <w:rPr>
          <w:color w:val="0000FF"/>
          <w:szCs w:val="18"/>
          <w:lang w:val="es-ES"/>
        </w:rPr>
      </w:pPr>
      <w:r w:rsidRPr="002E3942">
        <w:rPr>
          <w:color w:val="0000FF"/>
          <w:sz w:val="22"/>
          <w:szCs w:val="22"/>
          <w:lang w:val="es-ES"/>
        </w:rPr>
        <w:t xml:space="preserve"> </w:t>
      </w:r>
      <w:bookmarkStart w:id="5" w:name="_Hlk490058243"/>
      <w:r w:rsidRPr="002E3942">
        <w:rPr>
          <w:color w:val="0000FF"/>
          <w:sz w:val="22"/>
          <w:szCs w:val="22"/>
          <w:lang w:val="es-ES"/>
        </w:rPr>
        <w:t>Meta 7: Las múltiples presiones antropogénicas se habrán llevado a niveles que no resulten perjudiciales para las especies migratorias o para el funcionamiento, la integridad, la conectividad ecológica y la resiliencia de sus hábitats.</w:t>
      </w:r>
      <w:bookmarkEnd w:id="5"/>
    </w:p>
    <w:p w14:paraId="6FAC0AAB" w14:textId="77777777" w:rsidR="00367CFC" w:rsidRPr="002E3942" w:rsidRDefault="00367CFC" w:rsidP="00367CFC">
      <w:pPr>
        <w:ind w:left="6"/>
        <w:jc w:val="both"/>
        <w:rPr>
          <w:bCs/>
          <w:sz w:val="16"/>
          <w:szCs w:val="16"/>
          <w:lang w:val="es-ES"/>
        </w:rPr>
      </w:pPr>
    </w:p>
    <w:p w14:paraId="36223D14" w14:textId="77777777" w:rsidR="00367CFC" w:rsidRPr="00647756" w:rsidRDefault="00367CFC" w:rsidP="00647756">
      <w:pPr>
        <w:ind w:left="360"/>
        <w:jc w:val="both"/>
        <w:rPr>
          <w:bCs/>
          <w:sz w:val="22"/>
          <w:szCs w:val="22"/>
          <w:lang w:val="es-ES"/>
        </w:rPr>
      </w:pPr>
      <w:r w:rsidRPr="00037833">
        <w:rPr>
          <w:bCs/>
          <w:i/>
          <w:sz w:val="20"/>
          <w:szCs w:val="20"/>
          <w:lang w:val="es-ES"/>
        </w:rPr>
        <w:t>Nota</w:t>
      </w:r>
      <w:r w:rsidRPr="00647756">
        <w:rPr>
          <w:bCs/>
          <w:sz w:val="20"/>
          <w:szCs w:val="20"/>
          <w:lang w:val="es-ES"/>
        </w:rPr>
        <w:t xml:space="preserve">: Las presiones implicadas pueden incluir las relativas al cambio climático, el desarrollo de energías renovables, los tendidos eléctricos, las capturas incidentales, el ruido submarino, la colisión con embarcaciones, el envenenamiento, la contaminación, las enfermedades, las especies invasoras, la extracción ilegal e insostenible, y los desechos marinos. </w:t>
      </w:r>
    </w:p>
    <w:p w14:paraId="5A8E04F3" w14:textId="77777777" w:rsidR="00367CFC" w:rsidRPr="002E3942" w:rsidRDefault="00367CFC" w:rsidP="00367CFC">
      <w:pPr>
        <w:ind w:left="6"/>
        <w:jc w:val="both"/>
        <w:rPr>
          <w:bCs/>
          <w:sz w:val="22"/>
          <w:szCs w:val="22"/>
          <w:lang w:val="es-ES"/>
        </w:rPr>
      </w:pPr>
    </w:p>
    <w:p w14:paraId="1560D29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i/>
          <w:sz w:val="22"/>
          <w:szCs w:val="22"/>
          <w:lang w:val="es-ES"/>
        </w:rPr>
      </w:pPr>
      <w:r w:rsidRPr="002E3942">
        <w:rPr>
          <w:lang w:val="es-ES"/>
        </w:rPr>
        <w:t xml:space="preserve"> </w:t>
      </w:r>
      <w:r w:rsidRPr="002E3942">
        <w:rPr>
          <w:rFonts w:eastAsia="MS Mincho"/>
          <w:b/>
          <w:i/>
          <w:sz w:val="22"/>
          <w:szCs w:val="22"/>
          <w:lang w:val="es-ES"/>
        </w:rPr>
        <w:t>Objetivo 3: Mejorar el estado de conservación de las especies migratorias y la conectividad ecológica y la capacidad de recuperación de sus hábitats</w:t>
      </w:r>
    </w:p>
    <w:p w14:paraId="3E7ADAEB" w14:textId="77777777" w:rsidR="00367CFC" w:rsidRPr="002E3942" w:rsidRDefault="00367CFC" w:rsidP="00367CFC">
      <w:pPr>
        <w:ind w:left="6"/>
        <w:jc w:val="both"/>
        <w:rPr>
          <w:sz w:val="22"/>
          <w:szCs w:val="22"/>
          <w:lang w:val="es-ES"/>
        </w:rPr>
      </w:pPr>
    </w:p>
    <w:p w14:paraId="0A2D45D6"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right="-1"/>
        <w:jc w:val="both"/>
        <w:rPr>
          <w:color w:val="0000FF"/>
          <w:sz w:val="22"/>
          <w:szCs w:val="22"/>
          <w:lang w:val="es-ES"/>
        </w:rPr>
      </w:pPr>
      <w:r w:rsidRPr="002E3942">
        <w:rPr>
          <w:color w:val="0000FF"/>
          <w:sz w:val="22"/>
          <w:szCs w:val="22"/>
          <w:lang w:val="es-ES"/>
        </w:rPr>
        <w:t xml:space="preserve"> </w:t>
      </w:r>
      <w:bookmarkStart w:id="6" w:name="_Hlk490058262"/>
      <w:r w:rsidRPr="002E3942">
        <w:rPr>
          <w:color w:val="0000FF"/>
          <w:sz w:val="22"/>
          <w:szCs w:val="22"/>
          <w:lang w:val="es-ES"/>
        </w:rPr>
        <w:t>Meta 8: Se habrá mejorado considerablemente el estado de conservación de las especies migratorias, particularmente de especies en peligro, en toda su área de distribución.</w:t>
      </w:r>
      <w:bookmarkEnd w:id="6"/>
    </w:p>
    <w:p w14:paraId="05DCDBC4" w14:textId="77777777" w:rsidR="00367CFC" w:rsidRPr="002E3942" w:rsidRDefault="00367CFC" w:rsidP="00367CFC">
      <w:pPr>
        <w:ind w:left="6"/>
        <w:jc w:val="both"/>
        <w:rPr>
          <w:bCs/>
          <w:sz w:val="16"/>
          <w:szCs w:val="16"/>
          <w:lang w:val="es-ES"/>
        </w:rPr>
      </w:pPr>
    </w:p>
    <w:p w14:paraId="04E7AA73" w14:textId="0DABD8C5" w:rsidR="00367CFC" w:rsidRDefault="00367CFC" w:rsidP="00CA250F">
      <w:pPr>
        <w:ind w:left="360"/>
        <w:jc w:val="both"/>
        <w:rPr>
          <w:bCs/>
          <w:sz w:val="20"/>
          <w:szCs w:val="20"/>
          <w:lang w:val="es-ES"/>
        </w:rPr>
      </w:pPr>
      <w:r w:rsidRPr="00037833">
        <w:rPr>
          <w:bCs/>
          <w:i/>
          <w:sz w:val="20"/>
          <w:szCs w:val="20"/>
          <w:lang w:val="es-ES"/>
        </w:rPr>
        <w:t>Nota:</w:t>
      </w:r>
      <w:r w:rsidRPr="00647756">
        <w:rPr>
          <w:bCs/>
          <w:sz w:val="20"/>
          <w:szCs w:val="20"/>
          <w:lang w:val="es-ES"/>
        </w:rPr>
        <w:t xml:space="preserve"> Las acciones a favor de esta meta del SPMS pueden contribuir también a la Meta 11 del SPMS.</w:t>
      </w:r>
    </w:p>
    <w:p w14:paraId="14A7B7B7" w14:textId="77777777" w:rsidR="00647756" w:rsidRPr="00647756" w:rsidRDefault="00647756" w:rsidP="00367CFC">
      <w:pPr>
        <w:ind w:left="290"/>
        <w:jc w:val="both"/>
        <w:rPr>
          <w:bCs/>
          <w:sz w:val="22"/>
          <w:szCs w:val="22"/>
          <w:lang w:val="es-ES"/>
        </w:rPr>
      </w:pPr>
    </w:p>
    <w:p w14:paraId="4682B2C0"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jc w:val="both"/>
        <w:rPr>
          <w:bCs/>
          <w:color w:val="0000FF"/>
          <w:sz w:val="22"/>
          <w:szCs w:val="22"/>
          <w:lang w:val="es-ES"/>
        </w:rPr>
      </w:pPr>
      <w:r w:rsidRPr="002E3942">
        <w:rPr>
          <w:bCs/>
          <w:color w:val="0000FF"/>
          <w:sz w:val="22"/>
          <w:szCs w:val="22"/>
          <w:lang w:val="es-ES"/>
        </w:rPr>
        <w:t xml:space="preserve"> Meta </w:t>
      </w:r>
      <w:bookmarkStart w:id="7" w:name="_Hlk490058278"/>
      <w:r w:rsidRPr="002E3942">
        <w:rPr>
          <w:bCs/>
          <w:color w:val="0000FF"/>
          <w:sz w:val="22"/>
          <w:szCs w:val="22"/>
          <w:lang w:val="es-ES"/>
        </w:rPr>
        <w:t xml:space="preserve">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w:t>
      </w:r>
      <w:r w:rsidRPr="002E3942">
        <w:rPr>
          <w:bCs/>
          <w:color w:val="0000FF"/>
          <w:sz w:val="22"/>
          <w:szCs w:val="22"/>
          <w:lang w:val="es-ES"/>
        </w:rPr>
        <w:lastRenderedPageBreak/>
        <w:t>llevan a cabo este tipo de acciones de manera concertada.</w:t>
      </w:r>
      <w:bookmarkEnd w:id="7"/>
    </w:p>
    <w:p w14:paraId="1F1059B3" w14:textId="77777777" w:rsidR="00367CFC" w:rsidRPr="002E3942" w:rsidRDefault="00367CFC" w:rsidP="00367CFC">
      <w:pPr>
        <w:ind w:left="6"/>
        <w:jc w:val="both"/>
        <w:rPr>
          <w:bCs/>
          <w:sz w:val="16"/>
          <w:szCs w:val="16"/>
          <w:lang w:val="es-ES"/>
        </w:rPr>
      </w:pPr>
    </w:p>
    <w:p w14:paraId="514DFBB9" w14:textId="4A6A6066" w:rsidR="00367CFC" w:rsidRDefault="00367CFC" w:rsidP="00647756">
      <w:pPr>
        <w:ind w:left="360"/>
        <w:jc w:val="both"/>
        <w:rPr>
          <w:bCs/>
          <w:i/>
          <w:sz w:val="20"/>
          <w:szCs w:val="20"/>
          <w:lang w:val="es-ES"/>
        </w:rPr>
      </w:pPr>
      <w:r w:rsidRPr="00037833">
        <w:rPr>
          <w:bCs/>
          <w:i/>
          <w:sz w:val="20"/>
          <w:szCs w:val="20"/>
          <w:lang w:val="es-ES"/>
        </w:rPr>
        <w:t xml:space="preserve">Nota: </w:t>
      </w:r>
      <w:r w:rsidRPr="00647756">
        <w:rPr>
          <w:bCs/>
          <w:sz w:val="20"/>
          <w:szCs w:val="20"/>
          <w:lang w:val="es-ES"/>
        </w:rPr>
        <w:t>La Convención sobre las Especies Migratorias, estando “preocupada en particular por las especies de animales silvestres que en sus migraciones franquean los límites de jurisdicciones nacionales” hace hincapié en que “la conservación y la gestión eficaz de las especies migratorias de animales silvestres requieren una acción concertada de todos los Estados dentro de los límites de jurisdicción nacional en los que dichas especies pasan alguna parte de su ciclo de vida”. Esto incluiría el desarrollo de la capacidad necesaria como un componente clave de la cooperación transfronteriza. La Meta 9 busca una participación más completa de todos los Estados que comparten la responsabilidad conjunta en tales circunstancias</w:t>
      </w:r>
      <w:r w:rsidRPr="002E3942">
        <w:rPr>
          <w:bCs/>
          <w:i/>
          <w:sz w:val="20"/>
          <w:szCs w:val="20"/>
          <w:lang w:val="es-ES"/>
        </w:rPr>
        <w:t>.</w:t>
      </w:r>
    </w:p>
    <w:p w14:paraId="6E00F421" w14:textId="77777777" w:rsidR="00647756" w:rsidRPr="002E3942" w:rsidRDefault="00647756" w:rsidP="00367CFC">
      <w:pPr>
        <w:ind w:left="6"/>
        <w:jc w:val="both"/>
        <w:rPr>
          <w:bCs/>
          <w:sz w:val="20"/>
          <w:szCs w:val="20"/>
          <w:lang w:val="es-ES"/>
        </w:rPr>
      </w:pPr>
    </w:p>
    <w:p w14:paraId="37BEBDED"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color w:val="0000FF"/>
          <w:sz w:val="22"/>
          <w:szCs w:val="22"/>
          <w:lang w:val="es-ES"/>
        </w:rPr>
        <w:t xml:space="preserve"> Meta </w:t>
      </w:r>
      <w:bookmarkStart w:id="8" w:name="_Hlk490058296"/>
      <w:r w:rsidRPr="002E3942">
        <w:rPr>
          <w:color w:val="0000FF"/>
          <w:sz w:val="22"/>
          <w:szCs w:val="22"/>
          <w:lang w:val="es-ES"/>
        </w:rPr>
        <w:t>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bookmarkEnd w:id="8"/>
    </w:p>
    <w:p w14:paraId="0CC61126" w14:textId="0EB0A518" w:rsidR="00647756" w:rsidRPr="00573D8D" w:rsidRDefault="00647756" w:rsidP="00647756">
      <w:pPr>
        <w:ind w:left="290"/>
        <w:jc w:val="both"/>
        <w:rPr>
          <w:bCs/>
          <w:sz w:val="20"/>
          <w:szCs w:val="20"/>
          <w:lang w:val="es-ES" w:eastAsia="en-GB"/>
        </w:rPr>
      </w:pPr>
      <w:r w:rsidRPr="00037833">
        <w:rPr>
          <w:bCs/>
          <w:i/>
          <w:sz w:val="20"/>
          <w:szCs w:val="20"/>
          <w:lang w:val="es-ES" w:eastAsia="en-GB"/>
        </w:rPr>
        <w:t>Nota</w:t>
      </w:r>
      <w:r>
        <w:rPr>
          <w:bCs/>
          <w:sz w:val="20"/>
          <w:szCs w:val="20"/>
          <w:lang w:val="es-ES" w:eastAsia="en-GB"/>
        </w:rPr>
        <w:t xml:space="preserve">: </w:t>
      </w:r>
      <w:r w:rsidRPr="00573D8D">
        <w:rPr>
          <w:bCs/>
          <w:sz w:val="20"/>
          <w:szCs w:val="20"/>
          <w:lang w:val="es-ES" w:eastAsia="en-GB"/>
        </w:rPr>
        <w:t>La Meta de Aichi 11 establece que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p w14:paraId="5E154933" w14:textId="77777777" w:rsidR="00367CFC" w:rsidRPr="00647756" w:rsidRDefault="00367CFC" w:rsidP="00367CFC">
      <w:pPr>
        <w:ind w:left="6"/>
        <w:jc w:val="both"/>
        <w:rPr>
          <w:bCs/>
          <w:sz w:val="22"/>
          <w:szCs w:val="22"/>
          <w:lang w:val="es-ES"/>
        </w:rPr>
      </w:pPr>
    </w:p>
    <w:p w14:paraId="71A60A42"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1"/>
        <w:jc w:val="both"/>
        <w:rPr>
          <w:sz w:val="22"/>
          <w:szCs w:val="22"/>
          <w:lang w:val="es-ES"/>
        </w:rPr>
      </w:pPr>
      <w:r w:rsidRPr="00647756">
        <w:rPr>
          <w:lang w:val="es-ES"/>
        </w:rPr>
        <w:t xml:space="preserve"> </w:t>
      </w:r>
      <w:r w:rsidRPr="002E3942">
        <w:rPr>
          <w:b/>
          <w:bCs/>
          <w:i/>
          <w:sz w:val="22"/>
          <w:szCs w:val="22"/>
          <w:lang w:val="es-ES"/>
        </w:rPr>
        <w:t>Objetivo 4: Mejorar los beneficios para todos a partir del estado de conservación favorable de las especies migratorias</w:t>
      </w:r>
    </w:p>
    <w:p w14:paraId="09E472ED" w14:textId="77777777" w:rsidR="00367CFC" w:rsidRPr="002E3942" w:rsidRDefault="00367CFC" w:rsidP="00367CFC">
      <w:pPr>
        <w:ind w:left="6" w:right="-88"/>
        <w:jc w:val="both"/>
        <w:rPr>
          <w:sz w:val="22"/>
          <w:szCs w:val="22"/>
          <w:lang w:val="es-ES"/>
        </w:rPr>
      </w:pPr>
    </w:p>
    <w:p w14:paraId="1C19A5C6" w14:textId="2B8DDC2B" w:rsidR="00367CFC" w:rsidRPr="002E3942" w:rsidRDefault="00367CFC" w:rsidP="00367CFC">
      <w:pPr>
        <w:pBdr>
          <w:top w:val="single" w:sz="4" w:space="1" w:color="auto"/>
          <w:left w:val="single" w:sz="4" w:space="4" w:color="auto"/>
          <w:bottom w:val="single" w:sz="4" w:space="1" w:color="auto"/>
          <w:right w:val="single" w:sz="4" w:space="4" w:color="auto"/>
        </w:pBdr>
        <w:ind w:left="6" w:right="-1"/>
        <w:jc w:val="both"/>
        <w:rPr>
          <w:sz w:val="22"/>
          <w:szCs w:val="22"/>
          <w:lang w:val="es-ES"/>
        </w:rPr>
      </w:pPr>
      <w:r w:rsidRPr="002E3942">
        <w:rPr>
          <w:lang w:val="es-ES"/>
        </w:rPr>
        <w:t xml:space="preserve"> </w:t>
      </w:r>
      <w:bookmarkStart w:id="9" w:name="_Hlk490058314"/>
      <w:r w:rsidRPr="002E3942">
        <w:rPr>
          <w:color w:val="0000FF"/>
          <w:sz w:val="22"/>
          <w:szCs w:val="22"/>
          <w:lang w:val="es-ES"/>
        </w:rPr>
        <w:t>Meta 11: Se habrán salvaguardado o restablecido a un estado de conservación favorable las especies migratorias y sus hábitats que aseguran servicios de los ecosistemas importantes, tomando en cuenta las necesidades de las mujeres, las comunidades indígenas y locales</w:t>
      </w:r>
      <w:r w:rsidR="00037833" w:rsidRPr="00037833">
        <w:rPr>
          <w:rFonts w:eastAsia="MS Mincho"/>
          <w:color w:val="0000FF"/>
          <w:sz w:val="22"/>
          <w:szCs w:val="22"/>
          <w:vertAlign w:val="superscript"/>
        </w:rPr>
        <w:footnoteReference w:id="6"/>
      </w:r>
      <w:r w:rsidR="00037833" w:rsidRPr="00037833">
        <w:rPr>
          <w:color w:val="0000FF"/>
          <w:sz w:val="22"/>
          <w:szCs w:val="22"/>
          <w:lang w:val="es-ES"/>
        </w:rPr>
        <w:t>,</w:t>
      </w:r>
      <w:r w:rsidRPr="002E3942">
        <w:rPr>
          <w:color w:val="0000FF"/>
          <w:sz w:val="22"/>
          <w:szCs w:val="22"/>
          <w:lang w:val="es-ES"/>
        </w:rPr>
        <w:t>, y los pobres y vulnerables.</w:t>
      </w:r>
      <w:bookmarkEnd w:id="9"/>
    </w:p>
    <w:p w14:paraId="1EF94ED6" w14:textId="77777777" w:rsidR="00367CFC" w:rsidRPr="002E3942" w:rsidRDefault="00367CFC" w:rsidP="00367CFC">
      <w:pPr>
        <w:jc w:val="both"/>
        <w:rPr>
          <w:bCs/>
          <w:sz w:val="16"/>
          <w:szCs w:val="16"/>
          <w:lang w:val="es-ES"/>
        </w:rPr>
      </w:pPr>
    </w:p>
    <w:p w14:paraId="5D521A2B" w14:textId="157C7AC8"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Estos servicios pueden incluir el suministro, la calidad y la regulación de agua, la reducción del riesgo de desastres, la regulación del clima, los servicios culturales, el alimento y otros beneficios socio- económicos, todo lo cual contribuye a la salud, los medios de vida y el bienestar de las personas. Las acciones a favor de esta meta del SPMS pueden contribuir también a la Meta 8 del SPMS.</w:t>
      </w:r>
    </w:p>
    <w:p w14:paraId="637EFE21" w14:textId="77777777" w:rsidR="00CA250F" w:rsidRPr="00CA250F" w:rsidRDefault="00CA250F" w:rsidP="00367CFC">
      <w:pPr>
        <w:ind w:left="6"/>
        <w:jc w:val="both"/>
        <w:rPr>
          <w:bCs/>
          <w:sz w:val="22"/>
          <w:szCs w:val="22"/>
          <w:lang w:val="es-ES"/>
        </w:rPr>
      </w:pPr>
    </w:p>
    <w:p w14:paraId="31C2C6D4" w14:textId="77777777" w:rsidR="00367CFC" w:rsidRPr="002E3942" w:rsidRDefault="00367CFC" w:rsidP="00367CFC">
      <w:pPr>
        <w:pBdr>
          <w:top w:val="single" w:sz="4" w:space="1" w:color="auto"/>
          <w:left w:val="single" w:sz="4" w:space="4" w:color="auto"/>
          <w:bottom w:val="single" w:sz="4" w:space="1" w:color="auto"/>
          <w:right w:val="single" w:sz="4" w:space="4" w:color="auto"/>
        </w:pBdr>
        <w:ind w:left="6"/>
        <w:jc w:val="both"/>
        <w:rPr>
          <w:color w:val="0000FF"/>
          <w:sz w:val="22"/>
          <w:szCs w:val="22"/>
          <w:lang w:val="es-ES"/>
        </w:rPr>
      </w:pPr>
      <w:r w:rsidRPr="002E3942">
        <w:rPr>
          <w:lang w:val="es-ES"/>
        </w:rPr>
        <w:t xml:space="preserve"> </w:t>
      </w:r>
      <w:bookmarkStart w:id="10" w:name="_Hlk490058327"/>
      <w:r w:rsidRPr="002E3942">
        <w:rPr>
          <w:color w:val="0000FF"/>
          <w:sz w:val="22"/>
          <w:szCs w:val="22"/>
          <w:lang w:val="es-ES"/>
        </w:rPr>
        <w:t>Meta 12: Se salvaguardará la diversidad genética de las especies migratorias y se habrán elaborado y aplicado estrategias para reducir al mínimo la erosión genética.</w:t>
      </w:r>
      <w:bookmarkEnd w:id="10"/>
    </w:p>
    <w:p w14:paraId="18527960" w14:textId="77777777" w:rsidR="00367CFC" w:rsidRPr="002E3942" w:rsidRDefault="00367CFC" w:rsidP="00367CFC">
      <w:pPr>
        <w:ind w:left="6"/>
        <w:jc w:val="both"/>
        <w:rPr>
          <w:bCs/>
          <w:sz w:val="16"/>
          <w:szCs w:val="16"/>
          <w:lang w:val="es-ES"/>
        </w:rPr>
      </w:pPr>
    </w:p>
    <w:p w14:paraId="2F0720DB" w14:textId="77777777" w:rsidR="00367CFC" w:rsidRPr="00CA250F" w:rsidRDefault="00367CFC" w:rsidP="00CA250F">
      <w:pPr>
        <w:ind w:left="360"/>
        <w:jc w:val="both"/>
        <w:rPr>
          <w:bCs/>
          <w:sz w:val="22"/>
          <w:szCs w:val="22"/>
          <w:lang w:val="es-ES"/>
        </w:rPr>
      </w:pPr>
      <w:r w:rsidRPr="00037833">
        <w:rPr>
          <w:bCs/>
          <w:i/>
          <w:sz w:val="20"/>
          <w:szCs w:val="20"/>
          <w:lang w:val="es-ES"/>
        </w:rPr>
        <w:t>Nota</w:t>
      </w:r>
      <w:r w:rsidRPr="00CA250F">
        <w:rPr>
          <w:bCs/>
          <w:sz w:val="20"/>
          <w:szCs w:val="20"/>
          <w:lang w:val="es-ES"/>
        </w:rPr>
        <w:t>: Las acciones de salvaguarda pueden incluir el mantenimiento del patrimonio genético original para las especies migratorias que están gestionadas bajo el cuidado humano para la reintroducción en el medio silvestre y otros fines, o entrañan de otra manera un valor socioeconómico, así como cultural.</w:t>
      </w:r>
    </w:p>
    <w:p w14:paraId="3F844840" w14:textId="77777777" w:rsidR="00367CFC" w:rsidRPr="002E3942" w:rsidRDefault="00367CFC" w:rsidP="00367CFC">
      <w:pPr>
        <w:ind w:left="6"/>
        <w:jc w:val="both"/>
        <w:rPr>
          <w:bCs/>
          <w:sz w:val="22"/>
          <w:szCs w:val="22"/>
          <w:lang w:val="es-ES"/>
        </w:rPr>
      </w:pPr>
    </w:p>
    <w:p w14:paraId="50D49F28" w14:textId="77777777" w:rsidR="00367CFC" w:rsidRPr="002E3942" w:rsidRDefault="00367CFC" w:rsidP="00367CFC">
      <w:pPr>
        <w:pBdr>
          <w:top w:val="single" w:sz="4" w:space="1" w:color="auto"/>
          <w:left w:val="single" w:sz="4" w:space="4" w:color="auto"/>
          <w:bottom w:val="single" w:sz="4" w:space="1" w:color="auto"/>
          <w:right w:val="single" w:sz="4" w:space="4" w:color="auto"/>
        </w:pBdr>
        <w:shd w:val="clear" w:color="auto" w:fill="D9D9D9" w:themeFill="background1" w:themeFillShade="D9"/>
        <w:ind w:left="6"/>
        <w:jc w:val="both"/>
        <w:rPr>
          <w:bCs/>
          <w:sz w:val="22"/>
          <w:szCs w:val="22"/>
          <w:lang w:val="es-ES"/>
        </w:rPr>
      </w:pPr>
      <w:r w:rsidRPr="002E3942">
        <w:rPr>
          <w:lang w:val="es-ES"/>
        </w:rPr>
        <w:t xml:space="preserve"> </w:t>
      </w:r>
      <w:r w:rsidRPr="002E3942">
        <w:rPr>
          <w:b/>
          <w:bCs/>
          <w:i/>
          <w:iCs/>
          <w:sz w:val="22"/>
          <w:szCs w:val="22"/>
          <w:lang w:val="es-ES"/>
        </w:rPr>
        <w:t>Objetivo 5: Mejorar la implementación a través de la planificación participativa, la gestión de los conocimientos y la creación de capacidad</w:t>
      </w:r>
    </w:p>
    <w:p w14:paraId="07EAAE8E" w14:textId="77777777" w:rsidR="00367CFC" w:rsidRPr="002E3942" w:rsidRDefault="00367CFC" w:rsidP="00367CFC">
      <w:pPr>
        <w:jc w:val="both"/>
        <w:rPr>
          <w:sz w:val="22"/>
          <w:szCs w:val="22"/>
          <w:lang w:val="es-ES"/>
        </w:rPr>
      </w:pPr>
      <w:bookmarkStart w:id="11" w:name="GoalD"/>
      <w:bookmarkEnd w:id="11"/>
    </w:p>
    <w:p w14:paraId="51373C13"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lang w:val="es-ES"/>
        </w:rPr>
        <w:t xml:space="preserve"> </w:t>
      </w:r>
      <w:r w:rsidRPr="002E3942">
        <w:rPr>
          <w:color w:val="0000FF"/>
          <w:sz w:val="22"/>
          <w:szCs w:val="22"/>
          <w:lang w:val="es-ES"/>
        </w:rPr>
        <w:t xml:space="preserve">Meta </w:t>
      </w:r>
      <w:bookmarkStart w:id="12" w:name="_Hlk490058344"/>
      <w:r w:rsidRPr="002E3942">
        <w:rPr>
          <w:color w:val="0000FF"/>
          <w:sz w:val="22"/>
          <w:szCs w:val="22"/>
          <w:lang w:val="es-ES"/>
        </w:rPr>
        <w:t xml:space="preserve">13: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bookmarkEnd w:id="12"/>
    </w:p>
    <w:p w14:paraId="4F089179" w14:textId="77777777" w:rsidR="00367CFC" w:rsidRPr="002E3942" w:rsidRDefault="00367CFC" w:rsidP="00367CFC">
      <w:pPr>
        <w:ind w:left="6"/>
        <w:jc w:val="both"/>
        <w:rPr>
          <w:bCs/>
          <w:sz w:val="16"/>
          <w:szCs w:val="16"/>
          <w:lang w:val="es-ES"/>
        </w:rPr>
      </w:pPr>
    </w:p>
    <w:p w14:paraId="16C1B05E" w14:textId="4D089E80" w:rsidR="00367CFC" w:rsidRPr="002E3942" w:rsidRDefault="00367CFC" w:rsidP="00CA250F">
      <w:pPr>
        <w:ind w:left="360"/>
        <w:jc w:val="both"/>
        <w:rPr>
          <w:bCs/>
          <w:i/>
          <w:sz w:val="20"/>
          <w:szCs w:val="20"/>
          <w:lang w:val="es-ES"/>
        </w:rPr>
      </w:pPr>
      <w:r w:rsidRPr="00037833">
        <w:rPr>
          <w:bCs/>
          <w:i/>
          <w:sz w:val="20"/>
          <w:szCs w:val="20"/>
          <w:lang w:val="es-ES"/>
        </w:rPr>
        <w:t>Nota</w:t>
      </w:r>
      <w:r w:rsidRPr="00CA250F">
        <w:rPr>
          <w:bCs/>
          <w:sz w:val="20"/>
          <w:szCs w:val="20"/>
          <w:lang w:val="es-ES"/>
        </w:rPr>
        <w:t xml:space="preserve">: Otros tipos de planes y estrategias nacionales, como los de aplicación de otros acuerdos ambientales multilaterales o los planes nacionales de desarrollo, también pueden ser de gran importancia. </w:t>
      </w:r>
      <w:r w:rsidRPr="00CA250F">
        <w:rPr>
          <w:bCs/>
          <w:sz w:val="20"/>
          <w:szCs w:val="20"/>
          <w:lang w:val="es-ES"/>
        </w:rPr>
        <w:lastRenderedPageBreak/>
        <w:t>Incluso si no están diseñados abiertamente para tener metas relacionados con la biodiversidad, los planes para cuestiones tales como el uso del suelo, uso de recursos, la salud pública, la reducción del riesgo de desastres, la distribución de la infraestructura y el desarrollo económico pueden incluir disposiciones que son importantes para la conservación de las especies migratorias. Las acciones a favor de esta meta del SPMS pueden contribuir también a la Meta 2 del SPMS</w:t>
      </w:r>
      <w:r w:rsidRPr="002E3942">
        <w:rPr>
          <w:bCs/>
          <w:i/>
          <w:sz w:val="20"/>
          <w:szCs w:val="20"/>
          <w:lang w:val="es-ES"/>
        </w:rPr>
        <w:t>.</w:t>
      </w:r>
    </w:p>
    <w:p w14:paraId="1F97BEB9" w14:textId="77777777" w:rsidR="00367CFC" w:rsidRPr="002E3942" w:rsidRDefault="00367CFC" w:rsidP="00367CFC">
      <w:pPr>
        <w:spacing w:before="40" w:after="40"/>
        <w:ind w:right="-1"/>
        <w:jc w:val="both"/>
        <w:rPr>
          <w:bCs/>
          <w:color w:val="0000FF"/>
          <w:sz w:val="22"/>
          <w:szCs w:val="22"/>
          <w:lang w:val="es-ES"/>
        </w:rPr>
      </w:pPr>
    </w:p>
    <w:p w14:paraId="1B7C7801"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lang w:val="es-ES"/>
        </w:rPr>
      </w:pPr>
      <w:r w:rsidRPr="002E3942">
        <w:rPr>
          <w:lang w:val="es-ES"/>
        </w:rPr>
        <w:t xml:space="preserve"> </w:t>
      </w:r>
      <w:r w:rsidRPr="002E3942">
        <w:rPr>
          <w:color w:val="0000FF"/>
          <w:sz w:val="22"/>
          <w:szCs w:val="22"/>
          <w:lang w:val="es-ES"/>
        </w:rPr>
        <w:t xml:space="preserve">Meta </w:t>
      </w:r>
      <w:bookmarkStart w:id="13" w:name="_Hlk490058361"/>
      <w:r w:rsidRPr="002E3942">
        <w:rPr>
          <w:color w:val="0000FF"/>
          <w:sz w:val="22"/>
          <w:szCs w:val="22"/>
          <w:lang w:val="es-ES"/>
        </w:rPr>
        <w:t>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bookmarkEnd w:id="13"/>
    </w:p>
    <w:p w14:paraId="11148C11" w14:textId="77777777" w:rsidR="00367CFC" w:rsidRPr="002E3942" w:rsidRDefault="00367CFC" w:rsidP="00367CFC">
      <w:pPr>
        <w:ind w:left="6"/>
        <w:jc w:val="both"/>
        <w:rPr>
          <w:bCs/>
          <w:sz w:val="16"/>
          <w:szCs w:val="16"/>
          <w:lang w:val="es-ES"/>
        </w:rPr>
      </w:pPr>
    </w:p>
    <w:p w14:paraId="5C4E2983" w14:textId="37E1FCE7"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Esta meta refleja la opinión internacional sobre el tema en otros foros.</w:t>
      </w:r>
    </w:p>
    <w:p w14:paraId="73AFEA81" w14:textId="77777777" w:rsidR="00CA250F" w:rsidRPr="00CA250F" w:rsidRDefault="00CA250F" w:rsidP="00367CFC">
      <w:pPr>
        <w:jc w:val="both"/>
        <w:rPr>
          <w:bCs/>
          <w:sz w:val="22"/>
          <w:szCs w:val="22"/>
          <w:lang w:val="es-ES"/>
        </w:rPr>
      </w:pPr>
    </w:p>
    <w:p w14:paraId="3D9B6F6A"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lang w:val="es-ES"/>
        </w:rPr>
      </w:pPr>
      <w:r w:rsidRPr="002E3942">
        <w:rPr>
          <w:lang w:val="es-ES"/>
        </w:rPr>
        <w:t xml:space="preserve"> </w:t>
      </w:r>
      <w:r w:rsidRPr="002E3942">
        <w:rPr>
          <w:rFonts w:eastAsia="MS Mincho"/>
          <w:color w:val="0000FF"/>
          <w:sz w:val="22"/>
          <w:szCs w:val="22"/>
          <w:lang w:val="es-ES"/>
        </w:rPr>
        <w:t xml:space="preserve">Meta </w:t>
      </w:r>
      <w:bookmarkStart w:id="14" w:name="_Hlk490058376"/>
      <w:r w:rsidRPr="002E3942">
        <w:rPr>
          <w:rFonts w:eastAsia="MS Mincho"/>
          <w:color w:val="0000FF"/>
          <w:sz w:val="22"/>
          <w:szCs w:val="22"/>
          <w:lang w:val="es-ES"/>
        </w:rPr>
        <w:t>15: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bookmarkEnd w:id="14"/>
    </w:p>
    <w:p w14:paraId="0F0E13C5" w14:textId="77777777" w:rsidR="00367CFC" w:rsidRPr="00037833" w:rsidRDefault="00367CFC" w:rsidP="00367CFC">
      <w:pPr>
        <w:ind w:left="6"/>
        <w:jc w:val="both"/>
        <w:rPr>
          <w:bCs/>
          <w:i/>
          <w:sz w:val="16"/>
          <w:szCs w:val="16"/>
          <w:lang w:val="es-ES"/>
        </w:rPr>
      </w:pPr>
    </w:p>
    <w:p w14:paraId="2A193360" w14:textId="5C701A1F" w:rsidR="00367CFC" w:rsidRDefault="00367CFC" w:rsidP="00CA250F">
      <w:pPr>
        <w:ind w:left="360"/>
        <w:jc w:val="both"/>
        <w:rPr>
          <w:bCs/>
          <w:sz w:val="20"/>
          <w:szCs w:val="20"/>
          <w:lang w:val="es-ES"/>
        </w:rPr>
      </w:pPr>
      <w:r w:rsidRPr="00037833">
        <w:rPr>
          <w:bCs/>
          <w:i/>
          <w:sz w:val="20"/>
          <w:szCs w:val="20"/>
          <w:lang w:val="es-ES"/>
        </w:rPr>
        <w:t>Nota</w:t>
      </w:r>
      <w:r w:rsidRPr="00CA250F">
        <w:rPr>
          <w:bCs/>
          <w:sz w:val="20"/>
          <w:szCs w:val="20"/>
          <w:lang w:val="es-ES"/>
        </w:rPr>
        <w:t xml:space="preserve">: La “base científica” en este punto no se refiere solo a la nueva investigación y monitoreo, sino también a hacer un mejor uso de los datos existentes (incluyendo mejorar su disponibilidad pública), y a la mejora de la normalización de los protocolos de recogida de datos. Además de la investigación y la comprensión de los eventos, fenómenos, los patrones y las consecuencias específicos, también pueden ser necesarios mayores esfuerzos para mejorar los datos sobre las condiciones de base, de manera que se puedan hacer coherentes evaluaciones de significancia y evaluaciones de cambio. </w:t>
      </w:r>
    </w:p>
    <w:p w14:paraId="53A6FF09" w14:textId="77777777" w:rsidR="00CA250F" w:rsidRPr="00CA250F" w:rsidRDefault="00CA250F" w:rsidP="00CA250F">
      <w:pPr>
        <w:ind w:left="360"/>
        <w:jc w:val="both"/>
        <w:rPr>
          <w:bCs/>
          <w:sz w:val="22"/>
          <w:szCs w:val="22"/>
          <w:lang w:val="es-ES"/>
        </w:rPr>
      </w:pPr>
    </w:p>
    <w:p w14:paraId="23D4B64E" w14:textId="77777777" w:rsidR="00367CFC" w:rsidRPr="002E3942" w:rsidRDefault="00367CFC" w:rsidP="00367CFC">
      <w:pPr>
        <w:pBdr>
          <w:top w:val="single" w:sz="4" w:space="1" w:color="auto"/>
          <w:left w:val="single" w:sz="4" w:space="4" w:color="auto"/>
          <w:bottom w:val="single" w:sz="4" w:space="1" w:color="auto"/>
          <w:right w:val="single" w:sz="4" w:space="4" w:color="auto"/>
        </w:pBdr>
        <w:spacing w:before="40" w:after="40"/>
        <w:ind w:right="-1"/>
        <w:jc w:val="both"/>
        <w:rPr>
          <w:color w:val="0000FF"/>
          <w:szCs w:val="18"/>
          <w:lang w:val="es-ES"/>
        </w:rPr>
      </w:pPr>
      <w:r w:rsidRPr="002E3942">
        <w:rPr>
          <w:lang w:val="es-ES"/>
        </w:rPr>
        <w:t xml:space="preserve"> </w:t>
      </w:r>
      <w:r w:rsidRPr="002E3942">
        <w:rPr>
          <w:color w:val="0000FF"/>
          <w:sz w:val="22"/>
          <w:szCs w:val="22"/>
          <w:lang w:val="es-ES"/>
        </w:rPr>
        <w:t xml:space="preserve">Meta </w:t>
      </w:r>
      <w:bookmarkStart w:id="15" w:name="_Hlk490058390"/>
      <w:r w:rsidRPr="002E3942">
        <w:rPr>
          <w:color w:val="0000FF"/>
          <w:sz w:val="22"/>
          <w:szCs w:val="22"/>
          <w:lang w:val="es-ES"/>
        </w:rPr>
        <w:t>16: La movilización de recursos suficientes adecuados de todas las fuentes, para implementar de manera efectiva el Plan Estratégico para las Especies Migratorias, se habrá aumentado sustancialmente.</w:t>
      </w:r>
      <w:bookmarkEnd w:id="15"/>
    </w:p>
    <w:p w14:paraId="32628C4E" w14:textId="77777777" w:rsidR="00367CFC" w:rsidRPr="002E3942" w:rsidRDefault="00367CFC" w:rsidP="00367CFC">
      <w:pPr>
        <w:ind w:left="6"/>
        <w:jc w:val="both"/>
        <w:rPr>
          <w:bCs/>
          <w:sz w:val="16"/>
          <w:szCs w:val="16"/>
          <w:lang w:val="es-ES"/>
        </w:rPr>
      </w:pPr>
    </w:p>
    <w:p w14:paraId="09AD4822" w14:textId="77777777" w:rsidR="00367CFC" w:rsidRPr="002E3942" w:rsidRDefault="00367CFC" w:rsidP="00CA250F">
      <w:pPr>
        <w:ind w:left="360"/>
        <w:jc w:val="both"/>
        <w:rPr>
          <w:b/>
          <w:bCs/>
          <w:sz w:val="22"/>
          <w:szCs w:val="22"/>
          <w:lang w:val="es-ES"/>
        </w:rPr>
      </w:pPr>
      <w:r w:rsidRPr="00037833">
        <w:rPr>
          <w:bCs/>
          <w:i/>
          <w:sz w:val="20"/>
          <w:szCs w:val="20"/>
          <w:lang w:val="es-ES"/>
        </w:rPr>
        <w:t>Nota</w:t>
      </w:r>
      <w:r w:rsidRPr="002E3942">
        <w:rPr>
          <w:bCs/>
          <w:sz w:val="20"/>
          <w:szCs w:val="20"/>
          <w:lang w:val="es-ES"/>
        </w:rPr>
        <w:t xml:space="preserve">: Esta meta se refiere a la movilización de recursos en el sentido amplio e incluye la financiación nacional e internacional de fuentes públicas, privadas y otras. No obstante, también implica opciones políticas que reducen los costes de la reparación de daños a las especies migratorias y por lo tanto también se beneficia de la correcta aplicación de los Objetivos 1 y 2. Los países en desarrollo, los países menos desarrollados, los pequeños estados insulares en desarrollo y los países con economías en transición tienen necesidades particularmente graves en este sentido. Los flujos de recursos hacia estos países, así como dentro de ellos, deben aumentar, tanto a través de la cooperación “norte-sur” como “sur-sur”. </w:t>
      </w:r>
    </w:p>
    <w:p w14:paraId="57B4F1E1" w14:textId="77777777" w:rsidR="00367CFC" w:rsidRDefault="00367CFC" w:rsidP="00367CFC">
      <w:pPr>
        <w:ind w:left="6"/>
        <w:jc w:val="both"/>
        <w:rPr>
          <w:b/>
          <w:bCs/>
          <w:sz w:val="22"/>
          <w:lang w:val="es-ES" w:eastAsia="en-GB"/>
        </w:rPr>
      </w:pPr>
    </w:p>
    <w:p w14:paraId="53B0210D" w14:textId="77777777" w:rsidR="00367CFC" w:rsidRPr="00573D8D" w:rsidRDefault="00367CFC" w:rsidP="00367CFC">
      <w:pPr>
        <w:ind w:left="6"/>
        <w:jc w:val="both"/>
        <w:rPr>
          <w:b/>
          <w:bCs/>
          <w:sz w:val="22"/>
          <w:lang w:val="es-ES" w:eastAsia="en-GB"/>
        </w:rPr>
      </w:pPr>
    </w:p>
    <w:p w14:paraId="26F0C12C" w14:textId="77777777" w:rsidR="00367CFC" w:rsidRPr="00573D8D" w:rsidRDefault="00367CFC" w:rsidP="00367CFC">
      <w:pPr>
        <w:ind w:right="-88"/>
        <w:rPr>
          <w:bCs/>
          <w:sz w:val="8"/>
          <w:szCs w:val="8"/>
          <w:lang w:val="es-ES" w:eastAsia="en-GB"/>
        </w:rPr>
      </w:pPr>
    </w:p>
    <w:tbl>
      <w:tblPr>
        <w:tblW w:w="0" w:type="auto"/>
        <w:tblBorders>
          <w:bottom w:val="single" w:sz="4" w:space="0" w:color="auto"/>
        </w:tblBorders>
        <w:tblLook w:val="01E0" w:firstRow="1" w:lastRow="1" w:firstColumn="1" w:lastColumn="1" w:noHBand="0" w:noVBand="0"/>
      </w:tblPr>
      <w:tblGrid>
        <w:gridCol w:w="9638"/>
      </w:tblGrid>
      <w:tr w:rsidR="00367CFC" w:rsidRPr="00DA2A2C" w14:paraId="2153CB2F" w14:textId="77777777" w:rsidTr="00367CFC">
        <w:tc>
          <w:tcPr>
            <w:tcW w:w="9678" w:type="dxa"/>
            <w:tcBorders>
              <w:bottom w:val="single" w:sz="4" w:space="0" w:color="auto"/>
            </w:tcBorders>
            <w:shd w:val="clear" w:color="auto" w:fill="E6E6E6"/>
          </w:tcPr>
          <w:p w14:paraId="7D2F7977" w14:textId="77777777" w:rsidR="00367CFC" w:rsidRPr="00573D8D" w:rsidRDefault="00367CFC" w:rsidP="00367CFC">
            <w:pPr>
              <w:ind w:right="-88"/>
              <w:rPr>
                <w:rFonts w:eastAsia="MS Mincho"/>
                <w:b/>
                <w:color w:val="000080"/>
                <w:sz w:val="30"/>
                <w:szCs w:val="30"/>
                <w:lang w:val="es-ES" w:eastAsia="en-GB"/>
              </w:rPr>
            </w:pPr>
            <w:r w:rsidRPr="00573D8D">
              <w:rPr>
                <w:b/>
                <w:color w:val="000080"/>
                <w:sz w:val="30"/>
                <w:szCs w:val="30"/>
                <w:lang w:val="es-ES" w:eastAsia="en-GB"/>
              </w:rPr>
              <w:br w:type="page"/>
            </w:r>
            <w:r w:rsidRPr="00573D8D">
              <w:rPr>
                <w:rFonts w:eastAsia="MS Mincho"/>
                <w:b/>
                <w:color w:val="000080"/>
                <w:sz w:val="30"/>
                <w:szCs w:val="30"/>
                <w:lang w:val="es-ES" w:eastAsia="en-GB"/>
              </w:rPr>
              <w:br w:type="page"/>
              <w:t xml:space="preserve"> Capítulo 4.   Creando condiciones propicias para la Implementación</w:t>
            </w:r>
          </w:p>
        </w:tc>
      </w:tr>
    </w:tbl>
    <w:p w14:paraId="0C46132E" w14:textId="77777777" w:rsidR="00CA250F" w:rsidRDefault="00CA250F" w:rsidP="00367CFC">
      <w:pPr>
        <w:spacing w:before="120"/>
        <w:ind w:right="-91"/>
        <w:jc w:val="both"/>
        <w:rPr>
          <w:rFonts w:eastAsia="MS Mincho"/>
          <w:sz w:val="22"/>
          <w:lang w:val="es-ES" w:eastAsia="en-GB"/>
        </w:rPr>
      </w:pPr>
    </w:p>
    <w:p w14:paraId="26A694C8" w14:textId="3CD32BDA" w:rsidR="00367CFC" w:rsidRPr="00573D8D" w:rsidRDefault="00367CFC" w:rsidP="00367CFC">
      <w:pPr>
        <w:spacing w:before="120"/>
        <w:ind w:right="-91"/>
        <w:jc w:val="both"/>
        <w:rPr>
          <w:rFonts w:eastAsia="MS Mincho"/>
          <w:sz w:val="22"/>
          <w:lang w:val="es-ES" w:eastAsia="en-GB"/>
        </w:rPr>
      </w:pPr>
      <w:r w:rsidRPr="00573D8D">
        <w:rPr>
          <w:rFonts w:eastAsia="MS Mincho"/>
          <w:sz w:val="22"/>
          <w:lang w:val="es-ES" w:eastAsia="en-GB"/>
        </w:rPr>
        <w:t>El logro satisfactorio de los objetivos del Plan Estratégico (SPMS) depende del compromiso y la participación de las Partes y otros interesados. El SPMS está diseñado para maximizar el compromiso político de alto nivel con los temas de especies migratorias, y el impacto real vendrá de la voluntad y el compromiso de todos los interesados a ser imaginativos, positivos y colaborativos, y decididos a hacer realidad, en la práctica, la visión adoptada a través de sus acciones cotidianas.</w:t>
      </w:r>
    </w:p>
    <w:p w14:paraId="5FA673CD" w14:textId="77777777" w:rsidR="00367CFC" w:rsidRPr="00573D8D" w:rsidRDefault="00367CFC" w:rsidP="00367CFC">
      <w:pPr>
        <w:spacing w:before="120"/>
        <w:ind w:left="6" w:right="-91"/>
        <w:jc w:val="both"/>
        <w:rPr>
          <w:rFonts w:eastAsia="MS Mincho"/>
          <w:sz w:val="22"/>
          <w:lang w:val="es-ES" w:eastAsia="en-GB"/>
        </w:rPr>
      </w:pPr>
      <w:r w:rsidRPr="00573D8D">
        <w:rPr>
          <w:rFonts w:eastAsia="MS Mincho"/>
          <w:sz w:val="22"/>
          <w:lang w:val="es-ES" w:eastAsia="en-GB"/>
        </w:rPr>
        <w:t xml:space="preserve">Esto debe tener el apoyo de una serie de medidas organizativas y medidas de implementación. Basándose en las lecciones aprendidas de la implementación del Plan Estratégico de la CMS 2006-2014, el presente capítulo describe las principales áreas en las que se deben crear condiciones de alto nivel adecuadas para permitir las distintas medidas de aplicación necesarias. Lo que incluye, en </w:t>
      </w:r>
      <w:r w:rsidRPr="00573D8D">
        <w:rPr>
          <w:rFonts w:eastAsia="MS Mincho"/>
          <w:sz w:val="22"/>
          <w:lang w:val="es-ES" w:eastAsia="en-GB"/>
        </w:rPr>
        <w:lastRenderedPageBreak/>
        <w:t>particular: mecanismos de cumplimiento, infraestructura de apoyo y evaluación del desempeño. En cada una de estas áreas se requiere un nivel mínimo de recursos humanos, técnicos y financieros para que este plan tenga éxito. Con este fin, las siguientes sugerencias podrían ayudar a los agentes gubernamentales y no gubernamentales a traducir e integrar las metas mundiales en sus contextos regionales y nacionales específicos</w:t>
      </w:r>
    </w:p>
    <w:p w14:paraId="0FB573B1" w14:textId="77777777" w:rsidR="00367CFC" w:rsidRPr="00573D8D" w:rsidRDefault="00367CFC" w:rsidP="00367CFC">
      <w:pPr>
        <w:spacing w:before="120"/>
        <w:ind w:left="6" w:right="-91"/>
        <w:jc w:val="both"/>
        <w:rPr>
          <w:rFonts w:eastAsia="MS Mincho"/>
          <w:sz w:val="22"/>
          <w:lang w:val="es-ES" w:eastAsia="en-GB"/>
        </w:rPr>
      </w:pPr>
      <w:r w:rsidRPr="00573D8D">
        <w:rPr>
          <w:rFonts w:eastAsia="MS Mincho"/>
          <w:sz w:val="22"/>
          <w:lang w:val="es-ES" w:eastAsia="en-GB"/>
        </w:rPr>
        <w:t>Se proporciona una orientación más detallada sobre las dimensiones prácticas relacionadas con la aplicación del SPMS por todas las partes interesadas en el volumen complementario sobre Implementación que acompaña a este Plan Estratégico. Ese volumen complementario pretende ayudar tanto a los expertos de los países como a otras partes interesadas a poner en marcha y ejecutar los medios necesarios para la implementación a fin de alcanzar las metas y objetivos del SPMS.</w:t>
      </w:r>
    </w:p>
    <w:p w14:paraId="3F23F636" w14:textId="77777777" w:rsidR="00367CFC" w:rsidRPr="00573D8D" w:rsidRDefault="00367CFC" w:rsidP="00367CFC">
      <w:pPr>
        <w:ind w:left="6" w:right="-91"/>
        <w:jc w:val="both"/>
        <w:rPr>
          <w:rFonts w:eastAsia="MS Mincho"/>
          <w:sz w:val="22"/>
          <w:lang w:val="es-ES" w:eastAsia="en-GB"/>
        </w:rPr>
      </w:pPr>
    </w:p>
    <w:p w14:paraId="61A95633" w14:textId="77777777" w:rsidR="00367CFC" w:rsidRPr="00573D8D" w:rsidRDefault="00367CFC" w:rsidP="00367CFC">
      <w:pPr>
        <w:widowControl/>
        <w:numPr>
          <w:ilvl w:val="0"/>
          <w:numId w:val="5"/>
        </w:numPr>
        <w:autoSpaceDE/>
        <w:autoSpaceDN/>
        <w:adjustRightInd/>
        <w:ind w:right="-91"/>
        <w:jc w:val="both"/>
        <w:rPr>
          <w:rFonts w:eastAsia="MS Mincho"/>
          <w:b/>
          <w:sz w:val="22"/>
          <w:lang w:val="es-ES" w:eastAsia="en-GB"/>
        </w:rPr>
      </w:pPr>
      <w:r w:rsidRPr="00573D8D">
        <w:rPr>
          <w:rFonts w:eastAsia="MS Mincho"/>
          <w:b/>
          <w:sz w:val="22"/>
          <w:lang w:val="es-ES" w:eastAsia="en-GB"/>
        </w:rPr>
        <w:t>Difusión, promoción y asimilación del Plan</w:t>
      </w:r>
    </w:p>
    <w:p w14:paraId="385CC18A" w14:textId="77777777" w:rsidR="00367CFC" w:rsidRPr="00573D8D" w:rsidRDefault="00367CFC" w:rsidP="00367CFC">
      <w:pPr>
        <w:spacing w:before="120"/>
        <w:ind w:left="363"/>
        <w:jc w:val="both"/>
        <w:rPr>
          <w:bCs/>
          <w:sz w:val="22"/>
          <w:lang w:val="es-ES" w:eastAsia="en-GB"/>
        </w:rPr>
      </w:pPr>
      <w:r w:rsidRPr="00573D8D">
        <w:rPr>
          <w:rFonts w:eastAsia="MS Mincho"/>
          <w:sz w:val="22"/>
          <w:lang w:val="es-ES" w:eastAsia="en-GB"/>
        </w:rPr>
        <w:t>El SPMS y sus temas serán promovidos por toda la familia CMS y los canales CMS con el fin de dar a conocer el Plan y la efectiva implementación de las Metas</w:t>
      </w:r>
    </w:p>
    <w:p w14:paraId="59798AE5" w14:textId="4A524386" w:rsidR="00367CFC" w:rsidRPr="00573D8D" w:rsidRDefault="00367CFC" w:rsidP="00367CFC">
      <w:pPr>
        <w:spacing w:before="120"/>
        <w:ind w:left="363"/>
        <w:jc w:val="both"/>
        <w:rPr>
          <w:rFonts w:eastAsia="MS Mincho"/>
          <w:sz w:val="22"/>
          <w:lang w:val="es-ES" w:eastAsia="en-GB"/>
        </w:rPr>
      </w:pPr>
      <w:r w:rsidRPr="00573D8D">
        <w:rPr>
          <w:rFonts w:eastAsia="MS Mincho"/>
          <w:sz w:val="22"/>
          <w:lang w:val="es-ES" w:eastAsia="en-GB"/>
        </w:rPr>
        <w:t>El Plan expresa prioridades que se comparten a nivel mundial, y también está diseñado para enmarcar una respuesta bien integrada a tales prioridades en múltiples escalas. Por lo tanto, los procesos de planificación nacional son indispensables para “traducir” el Plan a los diferentes contextos. La existencia de un sólido marco acordado a nivel mundial debería ayudar enormemente en este tipo de procesos nacionales, por ejemplo</w:t>
      </w:r>
      <w:r w:rsidR="00CA250F">
        <w:rPr>
          <w:rFonts w:eastAsia="MS Mincho"/>
          <w:sz w:val="22"/>
          <w:lang w:val="es-ES" w:eastAsia="en-GB"/>
        </w:rPr>
        <w:t>,</w:t>
      </w:r>
      <w:r w:rsidRPr="00573D8D">
        <w:rPr>
          <w:rFonts w:eastAsia="MS Mincho"/>
          <w:sz w:val="22"/>
          <w:lang w:val="es-ES" w:eastAsia="en-GB"/>
        </w:rPr>
        <w:t xml:space="preserve"> ofreciendo reflexiones ya validadas que se puede adaptar, en lugar de tener que ser creadas de nuevo. Si los planes y políticas nacionales son abordados de esta manera, asegurando la compatibilidad con el SPMS, las propuestas de colaboración internacional, y (en su caso) el apoyo financiero, deberían tener posibilidades de éxito mucho mayores. </w:t>
      </w:r>
    </w:p>
    <w:p w14:paraId="26D26323" w14:textId="77777777" w:rsidR="00367CFC" w:rsidRPr="00573D8D" w:rsidRDefault="00367CFC" w:rsidP="00367CFC">
      <w:pPr>
        <w:spacing w:before="120"/>
        <w:jc w:val="both"/>
        <w:rPr>
          <w:rFonts w:eastAsia="MS Mincho"/>
          <w:sz w:val="22"/>
          <w:lang w:val="es-ES" w:eastAsia="en-GB"/>
        </w:rPr>
      </w:pPr>
    </w:p>
    <w:p w14:paraId="7031F76D" w14:textId="77777777"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Marco de trabajo para el cumplimiento</w:t>
      </w:r>
    </w:p>
    <w:p w14:paraId="47EDF5E7"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La Convención y la Familia de acuerdos de la CMS tienen un papel específico como marco principal de trabajo del SPMS, al igual que sus órganos subsidiarios y los puntos focales nacionales.</w:t>
      </w:r>
    </w:p>
    <w:p w14:paraId="0EFF6893"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Los mecanismos y actividades de cumplimiento existentes incluyen, entre otros, decisiones, sub-estrategias, directrices y programas pertinentes de la familia CMS de apoyo al SPMS, incluyendo las prioridades para el desarrollo de los futuros instrumentos e iniciativas de la CMS.</w:t>
      </w:r>
    </w:p>
    <w:p w14:paraId="775B9814"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El SPMS debe, además, orientar a la COP sobre el desarrollo de nuevos instrumentos y herramientas para apoyar las metas individuales</w:t>
      </w:r>
    </w:p>
    <w:p w14:paraId="0FE63ED0" w14:textId="77777777" w:rsidR="00367CFC" w:rsidRPr="00573D8D" w:rsidRDefault="00367CFC" w:rsidP="00367CFC">
      <w:pPr>
        <w:ind w:left="6"/>
        <w:rPr>
          <w:b/>
          <w:bCs/>
          <w:sz w:val="20"/>
          <w:szCs w:val="20"/>
          <w:lang w:val="es-ES" w:eastAsia="en-GB"/>
        </w:rPr>
      </w:pPr>
    </w:p>
    <w:p w14:paraId="0F047BAB" w14:textId="77777777" w:rsidR="00367CFC" w:rsidRPr="00573D8D" w:rsidRDefault="00367CFC" w:rsidP="00367CFC">
      <w:pPr>
        <w:widowControl/>
        <w:numPr>
          <w:ilvl w:val="0"/>
          <w:numId w:val="5"/>
        </w:numPr>
        <w:autoSpaceDE/>
        <w:autoSpaceDN/>
        <w:adjustRightInd/>
        <w:spacing w:before="120"/>
        <w:jc w:val="both"/>
        <w:rPr>
          <w:rFonts w:eastAsia="MS Mincho"/>
          <w:sz w:val="22"/>
          <w:lang w:val="es-ES" w:eastAsia="en-GB"/>
        </w:rPr>
      </w:pPr>
      <w:r w:rsidRPr="00573D8D">
        <w:rPr>
          <w:rFonts w:eastAsia="MS Mincho"/>
          <w:b/>
          <w:sz w:val="22"/>
          <w:lang w:val="es-ES" w:eastAsia="en-GB"/>
        </w:rPr>
        <w:t xml:space="preserve">Asociaciones fundamentales y otros marcos de apoyo en el cumplimiento </w:t>
      </w:r>
    </w:p>
    <w:p w14:paraId="3A091B40" w14:textId="0468BEA7"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Las asociaciones clave para apoyar el cumplimiento del</w:t>
      </w:r>
      <w:r w:rsidR="00CA250F">
        <w:rPr>
          <w:rFonts w:eastAsia="MS Mincho"/>
          <w:sz w:val="22"/>
          <w:lang w:val="es-ES" w:eastAsia="en-GB"/>
        </w:rPr>
        <w:t xml:space="preserve"> SPMS incluyen aquellas con otra</w:t>
      </w:r>
      <w:r w:rsidRPr="00573D8D">
        <w:rPr>
          <w:rFonts w:eastAsia="MS Mincho"/>
          <w:sz w:val="22"/>
          <w:lang w:val="es-ES" w:eastAsia="en-GB"/>
        </w:rPr>
        <w:t>s convenciones, la sociedad civil, el sector privado, los órganos regionales, y más. Un amplio rango de organizaciones de la sociedad civil y otras partes interesadas hacen una contribución inestimable a la aplicación de la Convención y a la conservación de las especies migratorias. Esta gran cantidad de trabajo a menudo está facilitado por los procesos gubernamentales, y los gobiernos podrían informar a los niveles nacional e internacional, lo que sería muy útil.</w:t>
      </w:r>
    </w:p>
    <w:p w14:paraId="0A672EB6" w14:textId="77777777" w:rsidR="00367CFC" w:rsidRPr="00573D8D" w:rsidRDefault="00367CFC" w:rsidP="00367CFC">
      <w:pPr>
        <w:spacing w:before="120"/>
        <w:jc w:val="both"/>
        <w:rPr>
          <w:rFonts w:eastAsia="MS Mincho"/>
          <w:sz w:val="22"/>
          <w:lang w:val="es-ES" w:eastAsia="en-GB"/>
        </w:rPr>
      </w:pPr>
    </w:p>
    <w:p w14:paraId="3377A208" w14:textId="77777777"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Desarrollo de la Capacidad</w:t>
      </w:r>
    </w:p>
    <w:p w14:paraId="0F8FE34D"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La Familia CMS, las Partes y los interesados deben responder a las necesidades de creación de capacidad</w:t>
      </w:r>
      <w:r>
        <w:rPr>
          <w:rFonts w:eastAsia="MS Mincho"/>
          <w:sz w:val="22"/>
          <w:lang w:val="es-ES" w:eastAsia="en-GB"/>
        </w:rPr>
        <w:t>es</w:t>
      </w:r>
      <w:r w:rsidRPr="00573D8D">
        <w:rPr>
          <w:rFonts w:eastAsia="MS Mincho"/>
          <w:sz w:val="22"/>
          <w:lang w:val="es-ES" w:eastAsia="en-GB"/>
        </w:rPr>
        <w:t xml:space="preserve"> relativas a la información, la sensibilización, el conocimiento y la comprensión tal y como se menciona en las metas estratégicas. Este aspecto se sustenta en especial en la implementación de la Estrategia de Fortalecimiento de Capacidades de la CMS. Un paso más en esta dirección es el </w:t>
      </w:r>
      <w:r>
        <w:rPr>
          <w:rFonts w:eastAsia="MS Mincho"/>
          <w:sz w:val="22"/>
          <w:lang w:val="es-ES" w:eastAsia="en-GB"/>
        </w:rPr>
        <w:t xml:space="preserve">mejoramiento de la capacitación </w:t>
      </w:r>
      <w:r w:rsidRPr="00573D8D">
        <w:rPr>
          <w:rFonts w:eastAsia="MS Mincho"/>
          <w:sz w:val="22"/>
          <w:lang w:val="es-ES" w:eastAsia="en-GB"/>
        </w:rPr>
        <w:t xml:space="preserve"> </w:t>
      </w:r>
      <w:r>
        <w:rPr>
          <w:rFonts w:eastAsia="MS Mincho"/>
          <w:sz w:val="22"/>
          <w:lang w:val="es-ES" w:eastAsia="en-GB"/>
        </w:rPr>
        <w:t xml:space="preserve"> </w:t>
      </w:r>
      <w:r w:rsidRPr="00573D8D">
        <w:rPr>
          <w:rFonts w:eastAsia="MS Mincho"/>
          <w:sz w:val="22"/>
          <w:lang w:val="es-ES" w:eastAsia="en-GB"/>
        </w:rPr>
        <w:t xml:space="preserve"> mediante </w:t>
      </w:r>
      <w:r>
        <w:rPr>
          <w:rFonts w:eastAsia="MS Mincho"/>
          <w:sz w:val="22"/>
          <w:lang w:val="es-ES" w:eastAsia="en-GB"/>
        </w:rPr>
        <w:t xml:space="preserve">la utilización del </w:t>
      </w:r>
      <w:r w:rsidRPr="00573D8D">
        <w:rPr>
          <w:rFonts w:eastAsia="MS Mincho"/>
          <w:sz w:val="22"/>
          <w:lang w:val="es-ES" w:eastAsia="en-GB"/>
        </w:rPr>
        <w:t xml:space="preserve">Manual para los Puntos Focales Nacionales de la CMS y sus Instrumentos - una herramienta de creación de </w:t>
      </w:r>
      <w:r w:rsidRPr="00573D8D">
        <w:rPr>
          <w:rFonts w:eastAsia="MS Mincho"/>
          <w:sz w:val="22"/>
          <w:lang w:val="es-ES" w:eastAsia="en-GB"/>
        </w:rPr>
        <w:lastRenderedPageBreak/>
        <w:t>capacidad para guiar a los P</w:t>
      </w:r>
      <w:r>
        <w:rPr>
          <w:rFonts w:eastAsia="MS Mincho"/>
          <w:sz w:val="22"/>
          <w:lang w:val="es-ES" w:eastAsia="en-GB"/>
        </w:rPr>
        <w:t xml:space="preserve">untos </w:t>
      </w:r>
      <w:r w:rsidRPr="00573D8D">
        <w:rPr>
          <w:rFonts w:eastAsia="MS Mincho"/>
          <w:sz w:val="22"/>
          <w:lang w:val="es-ES" w:eastAsia="en-GB"/>
        </w:rPr>
        <w:t>F</w:t>
      </w:r>
      <w:r>
        <w:rPr>
          <w:rFonts w:eastAsia="MS Mincho"/>
          <w:sz w:val="22"/>
          <w:lang w:val="es-ES" w:eastAsia="en-GB"/>
        </w:rPr>
        <w:t xml:space="preserve">ocales </w:t>
      </w:r>
      <w:r w:rsidRPr="00573D8D">
        <w:rPr>
          <w:rFonts w:eastAsia="MS Mincho"/>
          <w:sz w:val="22"/>
          <w:lang w:val="es-ES" w:eastAsia="en-GB"/>
        </w:rPr>
        <w:t>N</w:t>
      </w:r>
      <w:r>
        <w:rPr>
          <w:rFonts w:eastAsia="MS Mincho"/>
          <w:sz w:val="22"/>
          <w:lang w:val="es-ES" w:eastAsia="en-GB"/>
        </w:rPr>
        <w:t>acionales</w:t>
      </w:r>
      <w:r w:rsidRPr="00573D8D">
        <w:rPr>
          <w:rFonts w:eastAsia="MS Mincho"/>
          <w:sz w:val="22"/>
          <w:lang w:val="es-ES" w:eastAsia="en-GB"/>
        </w:rPr>
        <w:t xml:space="preserve"> de la CMS y sus instrumentos en sus funciones y responsabilidades, ayudándolos a ofrecer una contribución más efectiva a la implementación.</w:t>
      </w:r>
    </w:p>
    <w:p w14:paraId="1E0FC503" w14:textId="77777777" w:rsidR="00367CFC" w:rsidRPr="00573D8D" w:rsidRDefault="00367CFC" w:rsidP="00367CFC">
      <w:pPr>
        <w:spacing w:before="120"/>
        <w:ind w:left="357"/>
        <w:jc w:val="both"/>
        <w:rPr>
          <w:rFonts w:eastAsia="MS Mincho"/>
          <w:sz w:val="22"/>
          <w:lang w:val="es-ES" w:eastAsia="en-GB"/>
        </w:rPr>
      </w:pPr>
    </w:p>
    <w:p w14:paraId="5E05B4DE" w14:textId="77777777" w:rsidR="00367CFC" w:rsidRPr="00573D8D" w:rsidRDefault="00367CFC" w:rsidP="00367CFC">
      <w:pPr>
        <w:widowControl/>
        <w:numPr>
          <w:ilvl w:val="0"/>
          <w:numId w:val="5"/>
        </w:numPr>
        <w:autoSpaceDE/>
        <w:autoSpaceDN/>
        <w:adjustRightInd/>
        <w:jc w:val="both"/>
        <w:rPr>
          <w:rFonts w:eastAsia="SimSun"/>
          <w:b/>
          <w:bCs/>
          <w:iCs/>
          <w:lang w:val="es-ES" w:eastAsia="en-GB"/>
        </w:rPr>
      </w:pPr>
      <w:r w:rsidRPr="00573D8D">
        <w:rPr>
          <w:rFonts w:eastAsia="MS Mincho"/>
          <w:b/>
          <w:sz w:val="22"/>
          <w:lang w:val="es-ES" w:eastAsia="en-GB"/>
        </w:rPr>
        <w:t>Dotación de recursos para la biodiversidad</w:t>
      </w:r>
    </w:p>
    <w:p w14:paraId="1BF88C02" w14:textId="77777777" w:rsidR="00367CFC" w:rsidRPr="00573D8D" w:rsidRDefault="00367CFC" w:rsidP="00367CFC">
      <w:pPr>
        <w:spacing w:before="120"/>
        <w:ind w:left="360"/>
        <w:jc w:val="both"/>
        <w:rPr>
          <w:color w:val="000000"/>
          <w:sz w:val="22"/>
          <w:lang w:val="es-ES" w:eastAsia="en-GB"/>
        </w:rPr>
      </w:pPr>
      <w:r w:rsidRPr="00573D8D">
        <w:rPr>
          <w:color w:val="000000"/>
          <w:sz w:val="22"/>
          <w:lang w:val="es-ES" w:eastAsia="en-GB"/>
        </w:rPr>
        <w:t xml:space="preserve">Al mismo tiempo, el total de los fondos globales comprometidos actualmente </w:t>
      </w:r>
      <w:r>
        <w:rPr>
          <w:color w:val="000000"/>
          <w:sz w:val="22"/>
          <w:lang w:val="es-ES" w:eastAsia="en-GB"/>
        </w:rPr>
        <w:t>p</w:t>
      </w:r>
      <w:r w:rsidRPr="00573D8D">
        <w:rPr>
          <w:color w:val="000000"/>
          <w:sz w:val="22"/>
          <w:lang w:val="es-ES" w:eastAsia="en-GB"/>
        </w:rPr>
        <w:t>a</w:t>
      </w:r>
      <w:r>
        <w:rPr>
          <w:color w:val="000000"/>
          <w:sz w:val="22"/>
          <w:lang w:val="es-ES" w:eastAsia="en-GB"/>
        </w:rPr>
        <w:t>ra</w:t>
      </w:r>
      <w:r w:rsidRPr="00573D8D">
        <w:rPr>
          <w:color w:val="000000"/>
          <w:sz w:val="22"/>
          <w:lang w:val="es-ES" w:eastAsia="en-GB"/>
        </w:rPr>
        <w:t xml:space="preserve"> la conservación de las especies migratorias no son suficientes para lograr el conjunto completo de objetivos y metas expresado en el presente Plan. Se requiere la movilización creativa de recursos adicionales de todas las fuentes.</w:t>
      </w:r>
    </w:p>
    <w:p w14:paraId="291FD6A9" w14:textId="77777777" w:rsidR="00367CFC" w:rsidRPr="00573D8D" w:rsidRDefault="00367CFC" w:rsidP="00367CFC">
      <w:pPr>
        <w:spacing w:before="120"/>
        <w:ind w:left="363"/>
        <w:jc w:val="both"/>
        <w:rPr>
          <w:rFonts w:eastAsia="MS Mincho"/>
          <w:sz w:val="22"/>
          <w:highlight w:val="yellow"/>
          <w:lang w:val="es-ES" w:eastAsia="en-GB"/>
        </w:rPr>
      </w:pPr>
      <w:r w:rsidRPr="00573D8D">
        <w:rPr>
          <w:color w:val="000000"/>
          <w:sz w:val="22"/>
          <w:lang w:val="es-ES" w:eastAsia="en-GB"/>
        </w:rPr>
        <w:t>Lo importante de la movilización de recursos para la biodiversidad al final es la cantidad de fondos disponibles para la biodiversidad.</w:t>
      </w:r>
      <w:r w:rsidRPr="00573D8D">
        <w:rPr>
          <w:rFonts w:eastAsia="MS Mincho"/>
          <w:sz w:val="22"/>
          <w:lang w:val="es-ES" w:eastAsia="en-GB"/>
        </w:rPr>
        <w:t xml:space="preserve"> Dichos recursos pueden ser financieros, humanos y técnicos, tanto nacionales como internacionales, y pueden provenir de distintas fuentes. </w:t>
      </w:r>
    </w:p>
    <w:p w14:paraId="457AD222"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Se puede esperar que el apoyo “en especie” de los esfuerzos voluntarios de particulares y de la sociedad civil en general sea una importante contribución a la investigación científica, </w:t>
      </w:r>
      <w:r>
        <w:rPr>
          <w:rFonts w:eastAsia="MS Mincho"/>
          <w:sz w:val="22"/>
          <w:lang w:val="es-ES" w:eastAsia="en-GB"/>
        </w:rPr>
        <w:t>el monitoreo</w:t>
      </w:r>
      <w:r w:rsidRPr="00573D8D">
        <w:rPr>
          <w:rFonts w:eastAsia="MS Mincho"/>
          <w:sz w:val="22"/>
          <w:lang w:val="es-ES" w:eastAsia="en-GB"/>
        </w:rPr>
        <w:t>, la sensibilización, y otras áreas de implementación. Las innovaciones en la tecnología de la información y en la gestión del conocimiento también aumentarán sustancialmente el poder de lo que se puede hacer con los recursos disponibles.</w:t>
      </w:r>
    </w:p>
    <w:p w14:paraId="13DC39CC" w14:textId="77777777" w:rsidR="00367CFC" w:rsidRPr="00573D8D" w:rsidRDefault="00367CFC" w:rsidP="00367CFC">
      <w:pPr>
        <w:spacing w:before="120"/>
        <w:ind w:left="363"/>
        <w:jc w:val="both"/>
        <w:rPr>
          <w:color w:val="000000"/>
          <w:sz w:val="22"/>
          <w:lang w:val="es-ES" w:eastAsia="en-GB"/>
        </w:rPr>
      </w:pPr>
      <w:r w:rsidRPr="00573D8D">
        <w:rPr>
          <w:color w:val="000000"/>
          <w:sz w:val="22"/>
          <w:lang w:val="es-ES" w:eastAsia="en-GB"/>
        </w:rPr>
        <w:t>La Meta 16 trata este aspecto a nivel general. Debe estar apoyado sobre todo por la implementación de la Estrategia de Movilización de Recursos adoptada bajo el Convenio sobre la Diversidad Biológica (Decisión IX/11 COP 9, 2008) y las metas asociadas acordadas por la COP11 en 2012 en la Decisión XI/4.</w:t>
      </w:r>
    </w:p>
    <w:p w14:paraId="02A1F99D" w14:textId="77777777"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 xml:space="preserve">A este respecto, es importante tener en cuenta que los recursos para la aplicación del SPMS ocurren a través de varios mecanismos, en particular mediante (i) la reducción de gastos, (ii) aumento del uso eficiente de los recursos disponibles y (iii) la generación de nuevos recursos, como se expone a continuación: </w:t>
      </w:r>
    </w:p>
    <w:p w14:paraId="1AF1BFD9" w14:textId="77777777" w:rsidR="00367CFC" w:rsidRPr="00573D8D" w:rsidRDefault="00367CFC" w:rsidP="00367CFC">
      <w:pPr>
        <w:widowControl/>
        <w:numPr>
          <w:ilvl w:val="0"/>
          <w:numId w:val="9"/>
        </w:numPr>
        <w:autoSpaceDE/>
        <w:autoSpaceDN/>
        <w:adjustRightInd/>
        <w:spacing w:before="120"/>
        <w:jc w:val="both"/>
        <w:rPr>
          <w:color w:val="000000"/>
          <w:sz w:val="22"/>
          <w:lang w:val="es-ES" w:eastAsia="en-GB"/>
        </w:rPr>
      </w:pPr>
      <w:r w:rsidRPr="00573D8D">
        <w:rPr>
          <w:color w:val="000000"/>
          <w:sz w:val="22"/>
          <w:lang w:val="es-ES" w:eastAsia="en-GB"/>
        </w:rPr>
        <w:t>Por otra parte, el reto de la movilización de recursos implica también reducir la necesidad de más recursos en primer lugar. La necesidad de recursos para las metas depende en gran medida de las decisiones políticas tomadas por los sectores clave. Por lo tanto, son posibles diferentes escenarios de costes, dependiendo de las políticas sectoriales. Si menos biodiversidad se ve afectada negativamente por las políticas nacionales, regionales y/o globales, entonces se necesitarán menos recursos para protegerla o restaurarla. Ejemplos de sectores clave como la silvicultura, la pesca, la agricultura, etc., muestran que las situaciones ventajosas tanto para el sector como para la biodiversidad son posibles e incluso deseables cuando se considera bajo una perspectiva de medio a largo plazo. La integración de las cuestiones de las especies migratorias en las políticas del sector puede apoyar el desarrollo sostenible y una base más estable a largo plazo. Puede darse a través de mayores asignaciones para las actividades de biodiversidad, y también a través de la mejora de los aspectos de la biodiversidad en las políticas sectoriales y una mejor participación de todos los actores, incluidos los sectores claves de la producción y el sector privado.</w:t>
      </w:r>
    </w:p>
    <w:p w14:paraId="4759AA12" w14:textId="47B0AF91" w:rsidR="00367CFC" w:rsidRPr="00573D8D" w:rsidRDefault="00367CFC" w:rsidP="00367CFC">
      <w:pPr>
        <w:widowControl/>
        <w:numPr>
          <w:ilvl w:val="0"/>
          <w:numId w:val="9"/>
        </w:numPr>
        <w:autoSpaceDE/>
        <w:autoSpaceDN/>
        <w:adjustRightInd/>
        <w:spacing w:before="120"/>
        <w:jc w:val="both"/>
        <w:rPr>
          <w:color w:val="000000"/>
          <w:sz w:val="22"/>
          <w:lang w:val="es-ES" w:eastAsia="en-GB"/>
        </w:rPr>
      </w:pPr>
      <w:r w:rsidRPr="00573D8D">
        <w:rPr>
          <w:color w:val="000000"/>
          <w:sz w:val="22"/>
          <w:lang w:val="es-ES" w:eastAsia="en-GB"/>
        </w:rPr>
        <w:t xml:space="preserve">El aumento/la disposición de fondos también depende de la eficacia y la sostenibilidad de los flujos financieros internacionales y nacionales para la diversidad biológica. Lo que necesita suficiente capacidad institucional, nacional, administrativa y de gestión para garantizar un entorno propicio para un uso más eficaz y sostenible de los recursos y para movilizar la inversión privada y del sector público. </w:t>
      </w:r>
      <w:r w:rsidRPr="00573D8D">
        <w:rPr>
          <w:rFonts w:eastAsia="MS Mincho"/>
          <w:sz w:val="22"/>
          <w:lang w:val="es-ES" w:eastAsia="en-GB"/>
        </w:rPr>
        <w:t xml:space="preserve">No todas las acciones para implementar el Plan cuestan dinero y algunos de los principios de eficacia y asociación descritos por este Plan facilitan activamente un uso más eficiente de los recursos disponibles. </w:t>
      </w:r>
    </w:p>
    <w:p w14:paraId="55DE54E5" w14:textId="77777777" w:rsidR="00367CFC" w:rsidRPr="00573D8D" w:rsidRDefault="00367CFC" w:rsidP="00367CFC">
      <w:pPr>
        <w:widowControl/>
        <w:numPr>
          <w:ilvl w:val="0"/>
          <w:numId w:val="9"/>
        </w:numPr>
        <w:autoSpaceDE/>
        <w:autoSpaceDN/>
        <w:adjustRightInd/>
        <w:spacing w:before="120"/>
        <w:ind w:right="-91"/>
        <w:jc w:val="both"/>
        <w:rPr>
          <w:rFonts w:eastAsia="MS Mincho"/>
          <w:sz w:val="22"/>
          <w:lang w:val="es-ES" w:eastAsia="en-GB"/>
        </w:rPr>
      </w:pPr>
      <w:r w:rsidRPr="00573D8D">
        <w:rPr>
          <w:rFonts w:eastAsia="MS Mincho"/>
          <w:sz w:val="22"/>
          <w:lang w:val="es-ES" w:eastAsia="en-GB"/>
        </w:rPr>
        <w:t xml:space="preserve">Finalmente, la generación de nuevos recursos será muy necesaria para lograr la implementación del Plan. Con la participación de los campeones, de los embajadores, los filántropos y especialistas en relaciones públicas, la evocativa causa de las especies </w:t>
      </w:r>
      <w:r w:rsidRPr="00573D8D">
        <w:rPr>
          <w:rFonts w:eastAsia="MS Mincho"/>
          <w:sz w:val="22"/>
          <w:lang w:val="es-ES" w:eastAsia="en-GB"/>
        </w:rPr>
        <w:lastRenderedPageBreak/>
        <w:t>migratorias se presta fácilmente a los esfuerzos de recaudación de fondos a todos los niveles. Guiados por el SPMS, las actividades específicas de implementación pueden agruparse en atractivos programas regionales o temáticos para este fin, o anunciarse en las carteras de proyectos basados en costes.</w:t>
      </w:r>
    </w:p>
    <w:p w14:paraId="4D6BC5A9" w14:textId="77777777" w:rsidR="00367CFC" w:rsidRDefault="00367CFC" w:rsidP="00367CFC">
      <w:pPr>
        <w:ind w:left="357" w:right="-91"/>
        <w:jc w:val="both"/>
        <w:rPr>
          <w:rFonts w:eastAsia="MS Mincho"/>
          <w:sz w:val="22"/>
          <w:szCs w:val="22"/>
          <w:lang w:val="es-ES"/>
        </w:rPr>
      </w:pPr>
    </w:p>
    <w:p w14:paraId="3A8AB086" w14:textId="77777777" w:rsidR="00367CFC" w:rsidRPr="00573D8D" w:rsidRDefault="00367CFC" w:rsidP="00367CFC">
      <w:pPr>
        <w:widowControl/>
        <w:numPr>
          <w:ilvl w:val="0"/>
          <w:numId w:val="5"/>
        </w:numPr>
        <w:autoSpaceDE/>
        <w:autoSpaceDN/>
        <w:adjustRightInd/>
        <w:jc w:val="both"/>
        <w:rPr>
          <w:rFonts w:eastAsia="MS Mincho"/>
          <w:b/>
          <w:sz w:val="22"/>
          <w:lang w:val="es-ES" w:eastAsia="en-GB"/>
        </w:rPr>
      </w:pPr>
      <w:r w:rsidRPr="00573D8D">
        <w:rPr>
          <w:rFonts w:eastAsia="MS Mincho"/>
          <w:b/>
          <w:sz w:val="22"/>
          <w:lang w:val="es-ES" w:eastAsia="en-GB"/>
        </w:rPr>
        <w:t xml:space="preserve">Seguimiento y evaluación, incluidos los indicadores, los hitos y las aportaciones a las sub-metas, así como las medidas principales para determinar el éxito por las que podrá </w:t>
      </w:r>
      <w:r>
        <w:rPr>
          <w:rFonts w:eastAsia="MS Mincho"/>
          <w:b/>
          <w:sz w:val="22"/>
          <w:lang w:val="es-ES" w:eastAsia="en-GB"/>
        </w:rPr>
        <w:t>evaluarse</w:t>
      </w:r>
      <w:r w:rsidRPr="00573D8D">
        <w:rPr>
          <w:rFonts w:eastAsia="MS Mincho"/>
          <w:b/>
          <w:sz w:val="22"/>
          <w:lang w:val="es-ES" w:eastAsia="en-GB"/>
        </w:rPr>
        <w:t xml:space="preserve"> el éxito general del SPMS</w:t>
      </w:r>
    </w:p>
    <w:p w14:paraId="75A2CD22"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El SPMS define los resultados esperados a largo plazo y de alto nivel de una manera que permite la evaluación de avances y resultados. Establecer una dirección no tiene sentido si no se le da seguimiento a través de: la evaluación de la implementación; la evaluación del impacto sobre el terreno, y los cálculos de “retorno de la inversión”. Además, un sistema de aprendizaje y de gestión adaptativa debe ser parte integral del sistema.</w:t>
      </w:r>
    </w:p>
    <w:p w14:paraId="01A483FF" w14:textId="407028FA"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 xml:space="preserve">Con este fin, en el </w:t>
      </w:r>
      <w:r w:rsidRPr="00573D8D">
        <w:rPr>
          <w:rFonts w:eastAsia="MS Mincho"/>
          <w:b/>
          <w:sz w:val="22"/>
          <w:lang w:val="es-ES" w:eastAsia="en-GB"/>
        </w:rPr>
        <w:t>Anexo B</w:t>
      </w:r>
      <w:r w:rsidRPr="00573D8D">
        <w:rPr>
          <w:rFonts w:eastAsia="MS Mincho"/>
          <w:sz w:val="22"/>
          <w:lang w:val="es-ES" w:eastAsia="en-GB"/>
        </w:rPr>
        <w:t xml:space="preserve"> se detalla el alcance de los indicadores existentes o previstos que deberían (en diversos grados) seguir los progresos hacia las metas individuales del SPMS. Se presentan más detalles sobre estos indicadores en el volumen complementario</w:t>
      </w:r>
      <w:r>
        <w:rPr>
          <w:rFonts w:eastAsia="MS Mincho"/>
          <w:sz w:val="22"/>
          <w:lang w:val="es-ES" w:eastAsia="en-GB"/>
        </w:rPr>
        <w:t xml:space="preserve"> </w:t>
      </w:r>
      <w:r w:rsidR="00D77525" w:rsidRPr="00D77525">
        <w:rPr>
          <w:rFonts w:eastAsia="MS Mincho"/>
          <w:sz w:val="22"/>
          <w:u w:val="single"/>
          <w:lang w:val="es-ES" w:eastAsia="en-GB"/>
        </w:rPr>
        <w:t xml:space="preserve">y en el documento </w:t>
      </w:r>
      <w:r w:rsidRPr="00D77525">
        <w:rPr>
          <w:rFonts w:eastAsia="MS Mincho"/>
          <w:sz w:val="22"/>
          <w:u w:val="single"/>
          <w:lang w:val="es-ES" w:eastAsia="en-GB"/>
        </w:rPr>
        <w:t>UNEP/CMS/COP12/Inf.26</w:t>
      </w:r>
      <w:r w:rsidRPr="00573D8D">
        <w:rPr>
          <w:rFonts w:eastAsia="MS Mincho"/>
          <w:sz w:val="22"/>
          <w:lang w:val="es-ES" w:eastAsia="en-GB"/>
        </w:rPr>
        <w:t xml:space="preserve">. Para ser creíble, el régimen de monitoreo y evaluación tendrá que ser exhaustivo, transparente y fiable, con un sentido claro (y plausible) de la lógica de las vías causales previstas entre actividades, resultados e impactos. La </w:t>
      </w:r>
      <w:r>
        <w:rPr>
          <w:rFonts w:eastAsia="MS Mincho"/>
          <w:sz w:val="22"/>
          <w:lang w:val="es-ES" w:eastAsia="en-GB"/>
        </w:rPr>
        <w:t>solidez</w:t>
      </w:r>
      <w:r w:rsidRPr="00573D8D">
        <w:rPr>
          <w:rFonts w:eastAsia="MS Mincho"/>
          <w:sz w:val="22"/>
          <w:lang w:val="es-ES" w:eastAsia="en-GB"/>
        </w:rPr>
        <w:t xml:space="preserve"> y la calidad en esta área, puede ser incluso una forma de proporcionar algo de la fuerza de la que mayoría de las convenciones relacionadas con la biodiversidad carecen por la ausencia de mecanismos de cumplimiento. </w:t>
      </w:r>
    </w:p>
    <w:p w14:paraId="1F687DD1" w14:textId="77777777" w:rsidR="00367CFC" w:rsidRPr="00573D8D" w:rsidRDefault="00367CFC" w:rsidP="00367CFC">
      <w:pPr>
        <w:spacing w:before="120"/>
        <w:ind w:left="360"/>
        <w:jc w:val="both"/>
        <w:rPr>
          <w:rFonts w:eastAsia="MS Mincho"/>
          <w:sz w:val="22"/>
          <w:lang w:val="es-ES" w:eastAsia="en-GB"/>
        </w:rPr>
      </w:pPr>
      <w:r w:rsidRPr="00573D8D">
        <w:rPr>
          <w:rFonts w:eastAsia="MS Mincho"/>
          <w:sz w:val="22"/>
          <w:lang w:val="es-ES" w:eastAsia="en-GB"/>
        </w:rPr>
        <w:t>Una parte importante de las condiciones que permiten una buena implementación del Plan es una asignación clara de la responsabilidad del trabajo necesario para operar diversos aspectos del régimen de indicadores (y para desarrollar nuevas medidas pertinentes, cuando sea necesario). El liderazgo inicial en este tema se proporcionó en la Resolución 11.2 de la COP.</w:t>
      </w:r>
    </w:p>
    <w:p w14:paraId="06AF8CE7" w14:textId="77777777" w:rsidR="00367CFC" w:rsidRPr="00573D8D" w:rsidRDefault="00367CFC" w:rsidP="00367CFC">
      <w:pPr>
        <w:spacing w:before="120"/>
        <w:ind w:left="360"/>
        <w:jc w:val="both"/>
        <w:rPr>
          <w:rFonts w:eastAsia="MS Mincho"/>
          <w:sz w:val="22"/>
          <w:highlight w:val="yellow"/>
          <w:lang w:val="es-ES" w:eastAsia="en-GB"/>
        </w:rPr>
      </w:pPr>
      <w:r w:rsidRPr="00573D8D">
        <w:rPr>
          <w:rFonts w:eastAsia="MS Mincho"/>
          <w:sz w:val="22"/>
          <w:lang w:val="es-ES" w:eastAsia="en-GB"/>
        </w:rPr>
        <w:t xml:space="preserve">Los </w:t>
      </w:r>
      <w:r>
        <w:rPr>
          <w:rFonts w:eastAsia="MS Mincho"/>
          <w:sz w:val="22"/>
          <w:lang w:val="es-ES" w:eastAsia="en-GB"/>
        </w:rPr>
        <w:t>p</w:t>
      </w:r>
      <w:r w:rsidRPr="00573D8D">
        <w:rPr>
          <w:rFonts w:eastAsia="MS Mincho"/>
          <w:sz w:val="22"/>
          <w:lang w:val="es-ES" w:eastAsia="en-GB"/>
        </w:rPr>
        <w:t xml:space="preserve">rogramas de </w:t>
      </w:r>
      <w:r>
        <w:rPr>
          <w:rFonts w:eastAsia="MS Mincho"/>
          <w:sz w:val="22"/>
          <w:lang w:val="es-ES" w:eastAsia="en-GB"/>
        </w:rPr>
        <w:t>t</w:t>
      </w:r>
      <w:r w:rsidRPr="00573D8D">
        <w:rPr>
          <w:rFonts w:eastAsia="MS Mincho"/>
          <w:sz w:val="22"/>
          <w:lang w:val="es-ES" w:eastAsia="en-GB"/>
        </w:rPr>
        <w:t xml:space="preserve">rabajo adoptados bajo la CMS y los planes de acción adoptados bajo la familia de instrumentos CMS pueden tener sus propios indicadores. Habrá una necesidad de asegurar que se </w:t>
      </w:r>
      <w:r>
        <w:rPr>
          <w:rFonts w:eastAsia="MS Mincho"/>
          <w:sz w:val="22"/>
          <w:lang w:val="es-ES" w:eastAsia="en-GB"/>
        </w:rPr>
        <w:t>realicen</w:t>
      </w:r>
      <w:r w:rsidRPr="00573D8D">
        <w:rPr>
          <w:rFonts w:eastAsia="MS Mincho"/>
          <w:sz w:val="22"/>
          <w:lang w:val="es-ES" w:eastAsia="en-GB"/>
        </w:rPr>
        <w:t xml:space="preserve"> los vínculos apropiados y se aprovechan las posibles sinergias entre los mismos y los indicadores para el Plan Estratégico.</w:t>
      </w:r>
    </w:p>
    <w:p w14:paraId="17BD2DF5" w14:textId="77777777"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Además de la evaluación meta por meta, se espera que las instituciones principales (como la COP de la CMS) se esfuercen para evaluar las medidas titulares globales de éxito que se puedan usar para juzgar el éxito general de este Plan en su conjunto.</w:t>
      </w:r>
    </w:p>
    <w:p w14:paraId="4F98DC65" w14:textId="77777777" w:rsidR="00367CFC" w:rsidRPr="00573D8D" w:rsidRDefault="00367CFC" w:rsidP="00367CFC">
      <w:pPr>
        <w:ind w:right="-91"/>
        <w:jc w:val="both"/>
        <w:rPr>
          <w:rFonts w:eastAsia="MS Mincho"/>
          <w:sz w:val="22"/>
          <w:lang w:val="es-ES" w:eastAsia="en-GB"/>
        </w:rPr>
      </w:pPr>
    </w:p>
    <w:p w14:paraId="364BDC5B" w14:textId="77777777" w:rsidR="00367CFC" w:rsidRPr="00573D8D" w:rsidRDefault="00367CFC" w:rsidP="00367CFC">
      <w:pPr>
        <w:widowControl/>
        <w:numPr>
          <w:ilvl w:val="0"/>
          <w:numId w:val="5"/>
        </w:numPr>
        <w:autoSpaceDE/>
        <w:autoSpaceDN/>
        <w:adjustRightInd/>
        <w:jc w:val="both"/>
        <w:rPr>
          <w:rFonts w:eastAsia="MS Mincho"/>
          <w:b/>
          <w:bCs/>
          <w:sz w:val="22"/>
          <w:lang w:val="es-ES" w:eastAsia="en-GB"/>
        </w:rPr>
      </w:pPr>
      <w:r w:rsidRPr="00573D8D">
        <w:rPr>
          <w:rFonts w:eastAsia="MS Mincho"/>
          <w:b/>
          <w:sz w:val="22"/>
          <w:lang w:val="es-ES" w:eastAsia="en-GB"/>
        </w:rPr>
        <w:t>Presentación de informes y examen de los progresos a nivel nacional y de órganos de gobierno como la COP</w:t>
      </w:r>
    </w:p>
    <w:p w14:paraId="17516022" w14:textId="70891785" w:rsidR="00367CFC" w:rsidRPr="00573D8D" w:rsidRDefault="00367CFC" w:rsidP="00367CFC">
      <w:pPr>
        <w:spacing w:before="120"/>
        <w:ind w:left="357"/>
        <w:jc w:val="both"/>
        <w:rPr>
          <w:rFonts w:eastAsia="MS Mincho"/>
          <w:sz w:val="22"/>
          <w:lang w:val="es-ES" w:eastAsia="en-GB"/>
        </w:rPr>
      </w:pPr>
      <w:r w:rsidRPr="00573D8D">
        <w:rPr>
          <w:rFonts w:eastAsia="MS Mincho"/>
          <w:sz w:val="22"/>
          <w:lang w:val="es-ES" w:eastAsia="en-GB"/>
        </w:rPr>
        <w:t xml:space="preserve">El SPMS proporciona objetivos, pero también es parte de un ciclo de retroalimentación y manejo adaptativo. Utilizando la información de los indicadores, el SPMS debe proporcionar un medio para una información eficiente, eficaz y significativa. </w:t>
      </w:r>
    </w:p>
    <w:p w14:paraId="27E1C05C" w14:textId="35153D22" w:rsidR="00367CFC" w:rsidRDefault="00367CFC" w:rsidP="00367CFC">
      <w:pPr>
        <w:spacing w:before="120"/>
        <w:ind w:left="357"/>
        <w:jc w:val="both"/>
        <w:rPr>
          <w:rFonts w:eastAsia="MS Mincho"/>
          <w:sz w:val="22"/>
          <w:lang w:val="es-ES" w:eastAsia="en-GB"/>
        </w:rPr>
      </w:pPr>
      <w:r w:rsidRPr="00573D8D">
        <w:rPr>
          <w:rFonts w:eastAsia="MS Mincho"/>
          <w:sz w:val="22"/>
          <w:lang w:val="es-ES" w:eastAsia="en-GB"/>
        </w:rPr>
        <w:t>Los ciclos de presentación de informes nacionales proporcionan un medio por el cual se puede medir el progreso del SPMS. Estos informes pueden ayudar a construir una imagen del progreso en el logro de los objetivos y metas del SPMS, y puede destacar áreas de atención. El desarrollo continuo de sistemas armonizados en línea de presentación de informes, así como la información proporcionada por las ONG y la sociedad civil, serán importante en este sentido.</w:t>
      </w:r>
    </w:p>
    <w:p w14:paraId="722C7E31" w14:textId="77777777" w:rsidR="00D77525" w:rsidRDefault="00D77525" w:rsidP="00367CFC">
      <w:pPr>
        <w:spacing w:before="120"/>
        <w:ind w:left="357"/>
        <w:jc w:val="both"/>
        <w:rPr>
          <w:rFonts w:eastAsia="MS Mincho"/>
          <w:sz w:val="22"/>
          <w:lang w:val="es-ES" w:eastAsia="en-GB"/>
        </w:rPr>
        <w:sectPr w:rsidR="00D77525" w:rsidSect="00007F70">
          <w:headerReference w:type="even" r:id="rId30"/>
          <w:headerReference w:type="default" r:id="rId31"/>
          <w:headerReference w:type="first" r:id="rId32"/>
          <w:pgSz w:w="11906" w:h="16838"/>
          <w:pgMar w:top="1418" w:right="1134" w:bottom="1418" w:left="1134" w:header="709" w:footer="709" w:gutter="0"/>
          <w:cols w:space="708"/>
          <w:titlePg/>
          <w:docGrid w:linePitch="360"/>
        </w:sectPr>
      </w:pPr>
    </w:p>
    <w:tbl>
      <w:tblPr>
        <w:tblW w:w="0" w:type="auto"/>
        <w:tblBorders>
          <w:bottom w:val="single" w:sz="4" w:space="0" w:color="auto"/>
        </w:tblBorders>
        <w:tblLook w:val="01E0" w:firstRow="1" w:lastRow="1" w:firstColumn="1" w:lastColumn="1" w:noHBand="0" w:noVBand="0"/>
      </w:tblPr>
      <w:tblGrid>
        <w:gridCol w:w="9638"/>
      </w:tblGrid>
      <w:tr w:rsidR="00367CFC" w:rsidRPr="00DA2A2C" w14:paraId="033D0E4E" w14:textId="77777777" w:rsidTr="00D77525">
        <w:tc>
          <w:tcPr>
            <w:tcW w:w="9638" w:type="dxa"/>
            <w:tcBorders>
              <w:bottom w:val="single" w:sz="4" w:space="0" w:color="auto"/>
            </w:tcBorders>
            <w:shd w:val="clear" w:color="auto" w:fill="E6E6E6"/>
          </w:tcPr>
          <w:p w14:paraId="2069505F" w14:textId="77777777" w:rsidR="00367CFC" w:rsidRPr="00573D8D" w:rsidRDefault="00367CFC" w:rsidP="00367CFC">
            <w:pPr>
              <w:ind w:right="-88"/>
              <w:rPr>
                <w:rFonts w:eastAsia="MS Mincho"/>
                <w:b/>
                <w:color w:val="000080"/>
                <w:sz w:val="30"/>
                <w:szCs w:val="30"/>
                <w:lang w:val="es-ES" w:eastAsia="en-GB"/>
              </w:rPr>
            </w:pPr>
            <w:r w:rsidRPr="00573D8D">
              <w:rPr>
                <w:color w:val="0000FF"/>
                <w:sz w:val="22"/>
                <w:lang w:val="es-ES" w:eastAsia="en-GB"/>
              </w:rPr>
              <w:lastRenderedPageBreak/>
              <w:br w:type="page"/>
            </w:r>
            <w:r w:rsidRPr="00573D8D">
              <w:rPr>
                <w:rFonts w:eastAsia="MS Mincho"/>
                <w:b/>
                <w:color w:val="000080"/>
                <w:sz w:val="30"/>
                <w:szCs w:val="30"/>
                <w:lang w:val="es-ES" w:eastAsia="en-GB"/>
              </w:rPr>
              <w:t>Anexo A.  Correspondencia entre el SPMS y las Metas de Aichi</w:t>
            </w:r>
          </w:p>
        </w:tc>
      </w:tr>
    </w:tbl>
    <w:p w14:paraId="585A65E1" w14:textId="77777777" w:rsidR="00367CFC" w:rsidRDefault="00367CFC" w:rsidP="00367CFC">
      <w:pPr>
        <w:ind w:right="-88"/>
        <w:jc w:val="both"/>
        <w:rPr>
          <w:sz w:val="22"/>
          <w:lang w:val="es-ES" w:eastAsia="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425"/>
      </w:tblGrid>
      <w:tr w:rsidR="00367CFC" w:rsidRPr="00382A38" w14:paraId="7BB33F05" w14:textId="77777777" w:rsidTr="00367CFC">
        <w:tc>
          <w:tcPr>
            <w:tcW w:w="1080" w:type="dxa"/>
          </w:tcPr>
          <w:p w14:paraId="1F0354A4"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SPMS</w:t>
            </w:r>
          </w:p>
        </w:tc>
        <w:tc>
          <w:tcPr>
            <w:tcW w:w="7425" w:type="dxa"/>
          </w:tcPr>
          <w:p w14:paraId="5DD2D145"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Metas de Aichi</w:t>
            </w:r>
          </w:p>
        </w:tc>
      </w:tr>
      <w:tr w:rsidR="00367CFC" w:rsidRPr="00DA2A2C" w14:paraId="68048AC1" w14:textId="77777777" w:rsidTr="00367CFC">
        <w:tc>
          <w:tcPr>
            <w:tcW w:w="1080" w:type="dxa"/>
          </w:tcPr>
          <w:p w14:paraId="2685A5C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w:t>
            </w:r>
          </w:p>
        </w:tc>
        <w:tc>
          <w:tcPr>
            <w:tcW w:w="7425" w:type="dxa"/>
          </w:tcPr>
          <w:p w14:paraId="703623B3"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1 de Aichi: Para 2020, a más tardar, las personas tendrán conciencia del valor de la diversidad biológica y de los pasos que pueden seguir para su conservación y utilización sostenible.</w:t>
            </w:r>
          </w:p>
        </w:tc>
      </w:tr>
      <w:tr w:rsidR="00367CFC" w:rsidRPr="00DA2A2C" w14:paraId="10860BF5" w14:textId="77777777" w:rsidTr="00367CFC">
        <w:tc>
          <w:tcPr>
            <w:tcW w:w="1080" w:type="dxa"/>
          </w:tcPr>
          <w:p w14:paraId="114BEA5A"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2</w:t>
            </w:r>
          </w:p>
        </w:tc>
        <w:tc>
          <w:tcPr>
            <w:tcW w:w="7425" w:type="dxa"/>
          </w:tcPr>
          <w:p w14:paraId="286A492D"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2 de Aichi: Para 2020, a más tardar, los valores de la diversidad biológica habrán sido integrados en las estrategias y procesos de planificación de desarrollo y de reducción de la pobreza nacionales y locales y se estarán integrando en los sistemas nacionales de contabilidad, según proceda, y de presentación de informes.</w:t>
            </w:r>
          </w:p>
        </w:tc>
      </w:tr>
      <w:tr w:rsidR="00367CFC" w:rsidRPr="00382A38" w14:paraId="47993EE7" w14:textId="77777777" w:rsidTr="00367CFC">
        <w:tc>
          <w:tcPr>
            <w:tcW w:w="1080" w:type="dxa"/>
          </w:tcPr>
          <w:p w14:paraId="018569DC"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3</w:t>
            </w:r>
          </w:p>
        </w:tc>
        <w:tc>
          <w:tcPr>
            <w:tcW w:w="7425" w:type="dxa"/>
          </w:tcPr>
          <w:p w14:paraId="763AC4B5" w14:textId="77777777" w:rsidR="00367CFC" w:rsidRPr="00460809" w:rsidRDefault="00367CFC" w:rsidP="00367CFC">
            <w:pPr>
              <w:spacing w:before="120"/>
              <w:ind w:right="-88"/>
              <w:jc w:val="both"/>
              <w:rPr>
                <w:sz w:val="20"/>
                <w:szCs w:val="20"/>
                <w:lang w:val="en-GB" w:eastAsia="en-GB"/>
              </w:rPr>
            </w:pPr>
            <w:r w:rsidRPr="00460809">
              <w:rPr>
                <w:sz w:val="20"/>
                <w:szCs w:val="20"/>
                <w:lang w:val="en-GB" w:eastAsia="en-GB"/>
              </w:rPr>
              <w:t>Ninguna</w:t>
            </w:r>
          </w:p>
        </w:tc>
      </w:tr>
      <w:tr w:rsidR="00367CFC" w:rsidRPr="00DA2A2C" w14:paraId="6C49F191" w14:textId="77777777" w:rsidTr="00367CFC">
        <w:tc>
          <w:tcPr>
            <w:tcW w:w="1080" w:type="dxa"/>
          </w:tcPr>
          <w:p w14:paraId="5D0EFF8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4</w:t>
            </w:r>
          </w:p>
        </w:tc>
        <w:tc>
          <w:tcPr>
            <w:tcW w:w="7425" w:type="dxa"/>
          </w:tcPr>
          <w:p w14:paraId="236ECA0C"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3 de Aichi: </w:t>
            </w:r>
            <w:r w:rsidRPr="00460809">
              <w:rPr>
                <w:sz w:val="20"/>
                <w:szCs w:val="20"/>
                <w:lang w:val="es-ES"/>
              </w:rPr>
              <w:t>Para 2020, a más tardar, se habrán eliminado, eliminado gradualmente o reformado los incentivos, incluidos los subsidios, perjudiciales para la diversidad biológica, a fin de reducir al mínimo o evitar los impactos negativos, y se habrán desarrollado y aplicado incentivos positivos para la conservación y utilización sostenible de la diversidad biológica de conformidad con el Convenio y otras obligaciones internacionales pertinentes y en armonía con ellos, tomando en cuenta las condiciones socioeconómicas nacionales.</w:t>
            </w:r>
          </w:p>
        </w:tc>
      </w:tr>
      <w:tr w:rsidR="00367CFC" w:rsidRPr="00DA2A2C" w14:paraId="683653C4" w14:textId="77777777" w:rsidTr="00367CFC">
        <w:tc>
          <w:tcPr>
            <w:tcW w:w="1080" w:type="dxa"/>
          </w:tcPr>
          <w:p w14:paraId="6BC54541"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5</w:t>
            </w:r>
          </w:p>
        </w:tc>
        <w:tc>
          <w:tcPr>
            <w:tcW w:w="7425" w:type="dxa"/>
          </w:tcPr>
          <w:p w14:paraId="09FEB8F1" w14:textId="77777777" w:rsidR="00367CFC" w:rsidRPr="00460809" w:rsidRDefault="00367CFC" w:rsidP="00367CFC">
            <w:pPr>
              <w:spacing w:before="120"/>
              <w:ind w:right="-88"/>
              <w:jc w:val="both"/>
              <w:rPr>
                <w:rFonts w:eastAsia="MS Mincho"/>
                <w:sz w:val="20"/>
                <w:szCs w:val="20"/>
                <w:lang w:val="es-ES" w:eastAsia="en-GB"/>
              </w:rPr>
            </w:pPr>
            <w:r w:rsidRPr="00460809">
              <w:rPr>
                <w:rFonts w:eastAsia="MS Mincho"/>
                <w:sz w:val="20"/>
                <w:szCs w:val="20"/>
                <w:lang w:val="es-ES" w:eastAsia="en-GB"/>
              </w:rPr>
              <w:t>Meta 4 de Aichi: Para 2020, a más tardar, los gobiernos, empresas e interesados directos de todos los niveles habrán adoptado medidas o habrán puesto en marcha planes para lograr la sostenibilidad en la producción y el consumo y habrán mantenido los impactos del uso de los recursos naturales dentro de límites ecológicos seguros.</w:t>
            </w:r>
          </w:p>
          <w:p w14:paraId="0C099F70"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7 de Aichi: Para 2020, las zonas destinadas a agricultura, acuicultura y silvicultura se gestionarán de manera sostenible, garantizándose la conservación de la diversidad biológica.</w:t>
            </w:r>
          </w:p>
        </w:tc>
      </w:tr>
      <w:tr w:rsidR="00367CFC" w:rsidRPr="00DA2A2C" w14:paraId="532D6F2E" w14:textId="77777777" w:rsidTr="00367CFC">
        <w:tc>
          <w:tcPr>
            <w:tcW w:w="1080" w:type="dxa"/>
          </w:tcPr>
          <w:p w14:paraId="07387C5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 xml:space="preserve">Meta 6  </w:t>
            </w:r>
          </w:p>
        </w:tc>
        <w:tc>
          <w:tcPr>
            <w:tcW w:w="7425" w:type="dxa"/>
          </w:tcPr>
          <w:p w14:paraId="1D07E6C9"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6 de Aichi: </w:t>
            </w:r>
            <w:r w:rsidRPr="00460809">
              <w:rPr>
                <w:sz w:val="20"/>
                <w:szCs w:val="20"/>
                <w:lang w:val="es-ES"/>
              </w:rPr>
              <w:t>Para 2020, todas las reservas de peces e invertebrados y plantas acuáticas se gestionan y cultivan de manera sostenible y lícita y aplicando enfoques basados en los ecosistemas, de manera tal que se evite la pesca excesiva, se hayan establecido planes y medidas de recuperación para todas las especies agotadas, las actividades de pesca no tengan impactos perjudiciales importantes en las especies en peligro y los ecosistemas vulnerables, y los impactos de la pesca en las reservas, especies y ecosistemas se encuentren dentro de límites ecológicos seguros.</w:t>
            </w:r>
          </w:p>
        </w:tc>
      </w:tr>
      <w:tr w:rsidR="00367CFC" w:rsidRPr="00DA2A2C" w14:paraId="74D8C850" w14:textId="77777777" w:rsidTr="00367CFC">
        <w:tc>
          <w:tcPr>
            <w:tcW w:w="1080" w:type="dxa"/>
          </w:tcPr>
          <w:p w14:paraId="110F2077"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7</w:t>
            </w:r>
          </w:p>
        </w:tc>
        <w:tc>
          <w:tcPr>
            <w:tcW w:w="7425" w:type="dxa"/>
          </w:tcPr>
          <w:p w14:paraId="0C5D262A" w14:textId="77777777" w:rsidR="00367CFC" w:rsidRPr="00460809" w:rsidRDefault="00367CFC" w:rsidP="00367CFC">
            <w:pPr>
              <w:spacing w:before="120" w:after="120"/>
              <w:jc w:val="both"/>
              <w:rPr>
                <w:sz w:val="20"/>
                <w:szCs w:val="20"/>
                <w:lang w:val="es-ES"/>
              </w:rPr>
            </w:pPr>
            <w:r w:rsidRPr="00460809">
              <w:rPr>
                <w:bCs/>
                <w:sz w:val="20"/>
                <w:szCs w:val="20"/>
                <w:lang w:val="es-ES" w:eastAsia="en-GB"/>
              </w:rPr>
              <w:t xml:space="preserve">Meta 8 de Aichi: </w:t>
            </w:r>
            <w:r w:rsidRPr="00460809">
              <w:rPr>
                <w:sz w:val="20"/>
                <w:szCs w:val="20"/>
                <w:lang w:val="es-ES"/>
              </w:rPr>
              <w:t>Para 2020, se habrá llevado la contaminación, incluida aquella producida por exceso de nutrientes, a niveles que no resulten perjudiciales para el funcionamiento de los ecosistemas y la diversidad biológica.</w:t>
            </w:r>
          </w:p>
          <w:p w14:paraId="6C8DBDD2" w14:textId="77777777" w:rsidR="00367CFC" w:rsidRPr="00460809" w:rsidRDefault="00367CFC" w:rsidP="00367CFC">
            <w:pPr>
              <w:keepNext/>
              <w:spacing w:before="120" w:after="120"/>
              <w:jc w:val="both"/>
              <w:rPr>
                <w:b/>
                <w:sz w:val="20"/>
                <w:szCs w:val="20"/>
                <w:lang w:val="es-ES"/>
              </w:rPr>
            </w:pPr>
            <w:r w:rsidRPr="00460809">
              <w:rPr>
                <w:bCs/>
                <w:sz w:val="20"/>
                <w:szCs w:val="20"/>
                <w:lang w:val="es-ES" w:eastAsia="en-GB"/>
              </w:rPr>
              <w:t xml:space="preserve">Meta 9 de Aichi: </w:t>
            </w:r>
            <w:r w:rsidRPr="00460809">
              <w:rPr>
                <w:sz w:val="20"/>
                <w:szCs w:val="20"/>
                <w:lang w:val="es-ES"/>
              </w:rPr>
              <w:t>Para 2020, se habrán identificado y priorizado las especies exóticas invasoras y vías de introducción, se habrán controlado o erradicado las especies prioritarias, y se habrán establecido medidas para gestionar las vías de introducción a fin de evitar su introducción y establecimiento.</w:t>
            </w:r>
          </w:p>
          <w:p w14:paraId="14B813B5" w14:textId="77777777" w:rsidR="00367CFC" w:rsidRPr="00460809" w:rsidRDefault="00367CFC" w:rsidP="00367CFC">
            <w:pPr>
              <w:spacing w:before="120"/>
              <w:ind w:right="-88"/>
              <w:jc w:val="both"/>
              <w:rPr>
                <w:sz w:val="20"/>
                <w:szCs w:val="20"/>
                <w:lang w:val="es-ES" w:eastAsia="en-GB"/>
              </w:rPr>
            </w:pPr>
            <w:r w:rsidRPr="00460809">
              <w:rPr>
                <w:bCs/>
                <w:iCs/>
                <w:sz w:val="20"/>
                <w:szCs w:val="20"/>
                <w:lang w:val="es-ES" w:eastAsia="en-GB"/>
              </w:rPr>
              <w:t xml:space="preserve">Meta 10 de Aichi: </w:t>
            </w:r>
            <w:r w:rsidRPr="00460809">
              <w:rPr>
                <w:sz w:val="20"/>
                <w:szCs w:val="20"/>
                <w:lang w:val="es-ES"/>
              </w:rPr>
              <w:t>Para 2015, se habrán reducido al mínimo las múltiples presiones antropogénicas sobre los arrecifes de coral y otros ecosistemas vulnerables afectados por el cambio climático o la acidificación de los océanos, a fin de mantener su integridad y funcionamiento.</w:t>
            </w:r>
          </w:p>
        </w:tc>
      </w:tr>
      <w:tr w:rsidR="00367CFC" w:rsidRPr="00DA2A2C" w14:paraId="1E989C9E" w14:textId="77777777" w:rsidTr="00367CFC">
        <w:tc>
          <w:tcPr>
            <w:tcW w:w="1080" w:type="dxa"/>
          </w:tcPr>
          <w:p w14:paraId="3B89A2C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8</w:t>
            </w:r>
          </w:p>
        </w:tc>
        <w:tc>
          <w:tcPr>
            <w:tcW w:w="7425" w:type="dxa"/>
          </w:tcPr>
          <w:p w14:paraId="2A3717CB"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Meta 12 de Aichi: Para 2020, se habrá evitado la extinción de especies en peligro identificadas y su estado de conservación se habrá mejorado y sostenido, especialmente para las especies en mayor declive.</w:t>
            </w:r>
          </w:p>
        </w:tc>
      </w:tr>
      <w:tr w:rsidR="00367CFC" w:rsidRPr="00382A38" w14:paraId="6172F3C8" w14:textId="77777777" w:rsidTr="00367CFC">
        <w:tc>
          <w:tcPr>
            <w:tcW w:w="1080" w:type="dxa"/>
          </w:tcPr>
          <w:p w14:paraId="5FBD1304"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9</w:t>
            </w:r>
          </w:p>
        </w:tc>
        <w:tc>
          <w:tcPr>
            <w:tcW w:w="7425" w:type="dxa"/>
          </w:tcPr>
          <w:p w14:paraId="738F7470" w14:textId="77777777" w:rsidR="00367CFC" w:rsidRPr="00460809" w:rsidRDefault="00367CFC" w:rsidP="00367CFC">
            <w:pPr>
              <w:spacing w:before="120"/>
              <w:ind w:right="-88"/>
              <w:jc w:val="both"/>
              <w:rPr>
                <w:sz w:val="20"/>
                <w:szCs w:val="20"/>
                <w:lang w:val="en-GB" w:eastAsia="en-GB"/>
              </w:rPr>
            </w:pPr>
            <w:r w:rsidRPr="00460809">
              <w:rPr>
                <w:sz w:val="20"/>
                <w:szCs w:val="20"/>
                <w:lang w:val="en-GB" w:eastAsia="en-GB"/>
              </w:rPr>
              <w:t>Ninguna</w:t>
            </w:r>
          </w:p>
        </w:tc>
      </w:tr>
      <w:tr w:rsidR="00367CFC" w:rsidRPr="00DA2A2C" w14:paraId="401126FD" w14:textId="77777777" w:rsidTr="00367CFC">
        <w:tc>
          <w:tcPr>
            <w:tcW w:w="1080" w:type="dxa"/>
          </w:tcPr>
          <w:p w14:paraId="11FF2CAE"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10</w:t>
            </w:r>
          </w:p>
        </w:tc>
        <w:tc>
          <w:tcPr>
            <w:tcW w:w="7425" w:type="dxa"/>
          </w:tcPr>
          <w:p w14:paraId="0561CDB4"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 xml:space="preserve">Meta 5 de Aichi: para 2020, se habrá reducido por lo menos a la mitad y, donde resulte factible, se habrá reducido hasta un valor cercano a cero, el ritmo de pérdida </w:t>
            </w:r>
            <w:r w:rsidRPr="00460809">
              <w:rPr>
                <w:sz w:val="20"/>
                <w:szCs w:val="20"/>
                <w:lang w:val="es-ES" w:eastAsia="en-GB"/>
              </w:rPr>
              <w:lastRenderedPageBreak/>
              <w:t>de todos los hábitats naturales, incluidos los bosques, y se habrá reducido de manera significativa la degradación y fragmentación.</w:t>
            </w:r>
          </w:p>
          <w:p w14:paraId="141D389A" w14:textId="77777777" w:rsidR="00367CFC" w:rsidRPr="00460809" w:rsidRDefault="00367CFC" w:rsidP="0036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0"/>
                <w:szCs w:val="20"/>
                <w:lang w:val="es-ES"/>
              </w:rPr>
            </w:pPr>
            <w:r w:rsidRPr="00460809">
              <w:rPr>
                <w:bCs/>
                <w:sz w:val="20"/>
                <w:szCs w:val="20"/>
                <w:lang w:val="es-ES" w:eastAsia="en-GB"/>
              </w:rPr>
              <w:t xml:space="preserve">Meta 11 de Aichi: </w:t>
            </w:r>
            <w:r w:rsidRPr="00460809">
              <w:rPr>
                <w:sz w:val="20"/>
                <w:szCs w:val="20"/>
                <w:lang w:val="es-ES"/>
              </w:rPr>
              <w:t>Para 2020, al menos el 17 por ciento de las zonas terrestres y de aguas continentales y el 10 por ciento de las zonas marinas y costeras, especialmente aquellas de particular importancia para la diversidad biológica y los servicios de los ecosistemas,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w:t>
            </w:r>
          </w:p>
        </w:tc>
      </w:tr>
      <w:tr w:rsidR="00367CFC" w:rsidRPr="00DA2A2C" w14:paraId="32EE21E1" w14:textId="77777777" w:rsidTr="00367CFC">
        <w:tc>
          <w:tcPr>
            <w:tcW w:w="1080" w:type="dxa"/>
          </w:tcPr>
          <w:p w14:paraId="6D1196D8" w14:textId="77777777" w:rsidR="00367CFC" w:rsidRPr="00460809" w:rsidRDefault="00367CFC" w:rsidP="00367CFC">
            <w:pPr>
              <w:keepNext/>
              <w:spacing w:before="120"/>
              <w:ind w:right="-91"/>
              <w:jc w:val="both"/>
              <w:rPr>
                <w:b/>
                <w:sz w:val="20"/>
                <w:szCs w:val="20"/>
                <w:lang w:val="en-GB" w:eastAsia="en-GB"/>
              </w:rPr>
            </w:pPr>
            <w:r w:rsidRPr="00460809">
              <w:rPr>
                <w:b/>
                <w:sz w:val="20"/>
                <w:szCs w:val="20"/>
                <w:lang w:val="en-GB" w:eastAsia="en-GB"/>
              </w:rPr>
              <w:lastRenderedPageBreak/>
              <w:t>Meta 11</w:t>
            </w:r>
          </w:p>
        </w:tc>
        <w:tc>
          <w:tcPr>
            <w:tcW w:w="7425" w:type="dxa"/>
          </w:tcPr>
          <w:p w14:paraId="56D4BBA0" w14:textId="77777777" w:rsidR="00367CFC" w:rsidRPr="00460809" w:rsidRDefault="00367CFC" w:rsidP="00367CFC">
            <w:pPr>
              <w:spacing w:before="120" w:after="120"/>
              <w:jc w:val="both"/>
              <w:rPr>
                <w:sz w:val="20"/>
                <w:szCs w:val="20"/>
                <w:lang w:val="es-ES"/>
              </w:rPr>
            </w:pPr>
            <w:r w:rsidRPr="00460809">
              <w:rPr>
                <w:sz w:val="20"/>
                <w:szCs w:val="20"/>
                <w:lang w:val="es-ES" w:eastAsia="en-GB"/>
              </w:rPr>
              <w:t xml:space="preserve">Meta 14 de Aichi:  </w:t>
            </w:r>
            <w:r w:rsidRPr="00460809">
              <w:rPr>
                <w:sz w:val="20"/>
                <w:szCs w:val="20"/>
                <w:lang w:val="es-ES"/>
              </w:rPr>
              <w:t>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p w14:paraId="3A2EDD57" w14:textId="77777777" w:rsidR="00367CFC" w:rsidRPr="00460809" w:rsidRDefault="00367CFC" w:rsidP="00367CFC">
            <w:pPr>
              <w:spacing w:before="120"/>
              <w:jc w:val="both"/>
              <w:rPr>
                <w:sz w:val="20"/>
                <w:szCs w:val="20"/>
                <w:lang w:val="es-ES"/>
              </w:rPr>
            </w:pPr>
            <w:r w:rsidRPr="00460809">
              <w:rPr>
                <w:sz w:val="20"/>
                <w:szCs w:val="20"/>
                <w:lang w:val="es-ES" w:eastAsia="en-GB"/>
              </w:rPr>
              <w:t xml:space="preserve">Meta 15 de Aichi: </w:t>
            </w:r>
            <w:r w:rsidRPr="00460809">
              <w:rPr>
                <w:sz w:val="20"/>
                <w:szCs w:val="20"/>
                <w:lang w:val="es-ES"/>
              </w:rPr>
              <w:t>Para 2020, se habrá incrementado la resiliencia de los ecosistemas y la contribución de la diversidad biológica a las reservas de carbono, mediante la conservación y la restauración, contribuyendo así a la mitigación del cambio climático y a la adaptación a este, así como a la lucha contra la desertificación.</w:t>
            </w:r>
          </w:p>
        </w:tc>
      </w:tr>
      <w:tr w:rsidR="00367CFC" w:rsidRPr="00DA2A2C" w14:paraId="107AFD3D" w14:textId="77777777" w:rsidTr="00367CFC">
        <w:tc>
          <w:tcPr>
            <w:tcW w:w="1080" w:type="dxa"/>
          </w:tcPr>
          <w:p w14:paraId="74969551"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12</w:t>
            </w:r>
          </w:p>
        </w:tc>
        <w:tc>
          <w:tcPr>
            <w:tcW w:w="7425" w:type="dxa"/>
          </w:tcPr>
          <w:p w14:paraId="4FEB49CC" w14:textId="77777777" w:rsidR="00367CFC" w:rsidRPr="00460809" w:rsidRDefault="00367CFC" w:rsidP="00367CFC">
            <w:pPr>
              <w:spacing w:before="120"/>
              <w:jc w:val="both"/>
              <w:rPr>
                <w:sz w:val="20"/>
                <w:szCs w:val="20"/>
                <w:lang w:val="es-ES"/>
              </w:rPr>
            </w:pPr>
            <w:r w:rsidRPr="00460809">
              <w:rPr>
                <w:bCs/>
                <w:sz w:val="20"/>
                <w:szCs w:val="20"/>
                <w:lang w:val="es-ES" w:eastAsia="en-GB"/>
              </w:rPr>
              <w:t xml:space="preserve">Meta 13 de Aichi: </w:t>
            </w:r>
            <w:r w:rsidRPr="00460809">
              <w:rPr>
                <w:sz w:val="20"/>
                <w:szCs w:val="20"/>
                <w:lang w:val="es-ES"/>
              </w:rPr>
              <w:t>Para 2020, se mantiene la diversidad genética de las especies vegetales cultivadas y de los animales de granja y domesticados y de las especies silvestres emparentadas, y se han desarrollado y puesto en práctica estrategias para reducir al mínimo la erosión genética y salvaguardar su diversidad genética.</w:t>
            </w:r>
          </w:p>
        </w:tc>
      </w:tr>
      <w:tr w:rsidR="00367CFC" w:rsidRPr="00DA2A2C" w14:paraId="4DFE2999" w14:textId="77777777" w:rsidTr="00367CFC">
        <w:tc>
          <w:tcPr>
            <w:tcW w:w="1080" w:type="dxa"/>
          </w:tcPr>
          <w:p w14:paraId="5951D6BD"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13</w:t>
            </w:r>
          </w:p>
        </w:tc>
        <w:tc>
          <w:tcPr>
            <w:tcW w:w="7425" w:type="dxa"/>
          </w:tcPr>
          <w:p w14:paraId="33A7F8BD"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17 de Aichi: Para 2015, cada Parte habrá elaborado, habrá adoptado como un instrumento de política y habrá comenzado a poner en práctica una estrategia y un plan de acción nacionales en materia de diversidad biológica eficaces, participativos y actualizados.</w:t>
            </w:r>
          </w:p>
        </w:tc>
      </w:tr>
      <w:tr w:rsidR="00367CFC" w:rsidRPr="00DA2A2C" w14:paraId="5724194E" w14:textId="77777777" w:rsidTr="00367CFC">
        <w:tc>
          <w:tcPr>
            <w:tcW w:w="1080" w:type="dxa"/>
          </w:tcPr>
          <w:p w14:paraId="2A8EC29A"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14</w:t>
            </w:r>
          </w:p>
        </w:tc>
        <w:tc>
          <w:tcPr>
            <w:tcW w:w="7425" w:type="dxa"/>
          </w:tcPr>
          <w:p w14:paraId="41CC56A0"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18 de Aichi: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r w:rsidRPr="00460809">
              <w:rPr>
                <w:sz w:val="20"/>
                <w:szCs w:val="20"/>
                <w:lang w:val="es-ES" w:eastAsia="en-GB"/>
              </w:rPr>
              <w:t>.</w:t>
            </w:r>
          </w:p>
        </w:tc>
      </w:tr>
      <w:tr w:rsidR="00367CFC" w:rsidRPr="00DA2A2C" w14:paraId="5DB6414B" w14:textId="77777777" w:rsidTr="00367CFC">
        <w:tc>
          <w:tcPr>
            <w:tcW w:w="1080" w:type="dxa"/>
          </w:tcPr>
          <w:p w14:paraId="1EEBB5BB"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15</w:t>
            </w:r>
          </w:p>
        </w:tc>
        <w:tc>
          <w:tcPr>
            <w:tcW w:w="7425" w:type="dxa"/>
          </w:tcPr>
          <w:p w14:paraId="53A78C17" w14:textId="77777777" w:rsidR="00367CFC" w:rsidRPr="00460809" w:rsidRDefault="00367CFC" w:rsidP="00367CFC">
            <w:pPr>
              <w:spacing w:before="120"/>
              <w:ind w:right="-88"/>
              <w:jc w:val="both"/>
              <w:rPr>
                <w:sz w:val="20"/>
                <w:szCs w:val="20"/>
                <w:lang w:val="es-ES" w:eastAsia="en-GB"/>
              </w:rPr>
            </w:pPr>
            <w:r w:rsidRPr="00460809">
              <w:rPr>
                <w:bCs/>
                <w:sz w:val="20"/>
                <w:szCs w:val="20"/>
                <w:lang w:val="es-ES" w:eastAsia="en-GB"/>
              </w:rPr>
              <w:t>Meta 19 de Aichi: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w:t>
            </w:r>
          </w:p>
        </w:tc>
      </w:tr>
      <w:tr w:rsidR="00367CFC" w:rsidRPr="00DA2A2C" w14:paraId="67F11221" w14:textId="77777777" w:rsidTr="00367CFC">
        <w:tc>
          <w:tcPr>
            <w:tcW w:w="1080" w:type="dxa"/>
          </w:tcPr>
          <w:p w14:paraId="33F3CC83" w14:textId="77777777" w:rsidR="00367CFC" w:rsidRPr="00460809" w:rsidRDefault="00367CFC" w:rsidP="00367CFC">
            <w:pPr>
              <w:spacing w:before="120"/>
              <w:ind w:right="-88"/>
              <w:jc w:val="both"/>
              <w:rPr>
                <w:b/>
                <w:sz w:val="20"/>
                <w:szCs w:val="20"/>
                <w:lang w:val="en-GB" w:eastAsia="en-GB"/>
              </w:rPr>
            </w:pPr>
            <w:r w:rsidRPr="00460809">
              <w:rPr>
                <w:b/>
                <w:sz w:val="20"/>
                <w:szCs w:val="20"/>
                <w:lang w:val="en-GB" w:eastAsia="en-GB"/>
              </w:rPr>
              <w:t>Meta 16</w:t>
            </w:r>
          </w:p>
        </w:tc>
        <w:tc>
          <w:tcPr>
            <w:tcW w:w="7425" w:type="dxa"/>
          </w:tcPr>
          <w:p w14:paraId="2AF99781"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 xml:space="preserve">Meta 20 de Aichi: </w:t>
            </w:r>
            <w:r w:rsidRPr="00460809">
              <w:rPr>
                <w:sz w:val="20"/>
                <w:szCs w:val="20"/>
                <w:lang w:val="es-ES"/>
              </w:rPr>
              <w:t>Para 2020, a más tardar, la movilización de recursos financieros para aplicar de manera efectiva el Plan Estratégico para la Diversidad Biológica 2011</w:t>
            </w:r>
            <w:r w:rsidRPr="00460809">
              <w:rPr>
                <w:sz w:val="20"/>
                <w:szCs w:val="20"/>
                <w:lang w:val="es-ES"/>
              </w:rPr>
              <w:noBreakHyphen/>
              <w:t>2020 provenientes de todas las fuentes y conforme al proceso refundido y convenido en la Estrategia para la movilización de recursos debería aumentar de manera sustancial en relación con los niveles actuales.</w:t>
            </w:r>
          </w:p>
          <w:p w14:paraId="44360881" w14:textId="77777777" w:rsidR="00367CFC" w:rsidRPr="00460809" w:rsidRDefault="00367CFC" w:rsidP="00367CFC">
            <w:pPr>
              <w:spacing w:before="120"/>
              <w:ind w:right="-88"/>
              <w:jc w:val="both"/>
              <w:rPr>
                <w:sz w:val="20"/>
                <w:szCs w:val="20"/>
                <w:lang w:val="es-ES" w:eastAsia="en-GB"/>
              </w:rPr>
            </w:pPr>
            <w:r w:rsidRPr="00460809">
              <w:rPr>
                <w:sz w:val="20"/>
                <w:szCs w:val="20"/>
                <w:lang w:val="es-ES" w:eastAsia="en-GB"/>
              </w:rPr>
              <w:t>Estrategia de movilización de recursos del CDB  (COPIX/11) y la meta relativa a la movilización de recursos (COPXI/4§7): "</w:t>
            </w:r>
            <w:r w:rsidRPr="00460809">
              <w:rPr>
                <w:i/>
                <w:sz w:val="20"/>
                <w:szCs w:val="20"/>
                <w:lang w:val="es-ES" w:eastAsia="en-GB"/>
              </w:rPr>
              <w:t xml:space="preserve">Duplicar para 2015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como mínimo mantener ese nivel hasta 2020, de acuerdo con el artículo 20 del Convenio, a fin de contribuir al logro de los tres objetivos del Convenio, incluso mediante una priorización de la diversidad biológica en los planes de desarrollo de los países receptores impulsada por los países mismos, utilizando la base preliminar de referencia mencionada en el párrafo 6;"  </w:t>
            </w:r>
          </w:p>
        </w:tc>
      </w:tr>
    </w:tbl>
    <w:p w14:paraId="14CC30C0" w14:textId="77777777" w:rsidR="00367CFC" w:rsidRPr="00EF11E5" w:rsidRDefault="00367CFC" w:rsidP="00367CFC">
      <w:pPr>
        <w:ind w:left="357" w:right="-91"/>
        <w:jc w:val="both"/>
        <w:rPr>
          <w:rFonts w:eastAsia="MS Mincho"/>
          <w:sz w:val="22"/>
          <w:szCs w:val="22"/>
          <w:lang w:val="es-ES"/>
        </w:rPr>
      </w:pPr>
    </w:p>
    <w:p w14:paraId="7876F224" w14:textId="77777777" w:rsidR="00367CFC" w:rsidRPr="002E3942" w:rsidRDefault="00367CFC" w:rsidP="00367CFC">
      <w:pPr>
        <w:spacing w:before="40"/>
        <w:ind w:right="-86"/>
        <w:rPr>
          <w:rFonts w:cs="Arial"/>
          <w:sz w:val="2"/>
          <w:szCs w:val="2"/>
          <w:lang w:val="es-ES"/>
        </w:rPr>
      </w:pPr>
      <w:r w:rsidRPr="002E3942">
        <w:rPr>
          <w:lang w:val="es-ES"/>
        </w:rPr>
        <w:br w:type="page"/>
      </w:r>
    </w:p>
    <w:p w14:paraId="0634385B" w14:textId="77777777" w:rsidR="00367CFC" w:rsidRPr="002E3942" w:rsidRDefault="00367CFC" w:rsidP="00367CFC">
      <w:pPr>
        <w:spacing w:before="40"/>
        <w:ind w:right="-86"/>
        <w:jc w:val="both"/>
        <w:rPr>
          <w:rFonts w:cs="Arial"/>
          <w:sz w:val="2"/>
          <w:szCs w:val="2"/>
          <w:lang w:val="es-ES"/>
        </w:rPr>
      </w:pP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367CFC" w:rsidRPr="00DA2A2C" w14:paraId="11FF41BC" w14:textId="77777777" w:rsidTr="00367CFC">
        <w:tc>
          <w:tcPr>
            <w:tcW w:w="9639" w:type="dxa"/>
            <w:tcBorders>
              <w:bottom w:val="single" w:sz="4" w:space="0" w:color="auto"/>
            </w:tcBorders>
            <w:shd w:val="clear" w:color="auto" w:fill="D9D9D9" w:themeFill="background1" w:themeFillShade="D9"/>
          </w:tcPr>
          <w:p w14:paraId="1C62B67B" w14:textId="0FAD4F69" w:rsidR="00367CFC" w:rsidRPr="00D77525" w:rsidRDefault="00367CFC" w:rsidP="00367CFC">
            <w:pPr>
              <w:ind w:right="-88"/>
              <w:rPr>
                <w:rFonts w:eastAsia="MS Mincho"/>
                <w:b/>
                <w:color w:val="000080"/>
                <w:sz w:val="30"/>
                <w:szCs w:val="30"/>
                <w:lang w:val="es-ES"/>
              </w:rPr>
            </w:pPr>
            <w:r w:rsidRPr="002E3942">
              <w:rPr>
                <w:color w:val="0000FF"/>
                <w:sz w:val="22"/>
                <w:szCs w:val="22"/>
                <w:lang w:val="es-ES"/>
              </w:rPr>
              <w:br w:type="page"/>
            </w:r>
            <w:r w:rsidRPr="002E3942">
              <w:rPr>
                <w:b/>
                <w:color w:val="000080"/>
                <w:sz w:val="30"/>
                <w:szCs w:val="30"/>
                <w:lang w:val="es-ES"/>
              </w:rPr>
              <w:br w:type="page"/>
            </w:r>
            <w:r w:rsidRPr="002E3942">
              <w:rPr>
                <w:rFonts w:eastAsia="MS Mincho"/>
                <w:b/>
                <w:color w:val="000080"/>
                <w:sz w:val="30"/>
                <w:szCs w:val="30"/>
                <w:lang w:val="es-ES"/>
              </w:rPr>
              <w:br w:type="page"/>
            </w:r>
            <w:r w:rsidRPr="00D77525">
              <w:rPr>
                <w:rFonts w:eastAsia="MS Mincho"/>
                <w:b/>
                <w:color w:val="000080"/>
                <w:sz w:val="30"/>
                <w:szCs w:val="30"/>
                <w:lang w:val="es-ES"/>
              </w:rPr>
              <w:t xml:space="preserve">Anexo B.  </w:t>
            </w:r>
            <w:r w:rsidRPr="00D77525">
              <w:rPr>
                <w:rFonts w:eastAsia="MS Mincho"/>
                <w:b/>
                <w:strike/>
                <w:color w:val="000080"/>
                <w:sz w:val="30"/>
                <w:szCs w:val="30"/>
                <w:lang w:val="es-ES"/>
              </w:rPr>
              <w:t>Indicadores orientativos del Plan Estratégico</w:t>
            </w:r>
            <w:r w:rsidRPr="00D77525" w:rsidDel="003648CB">
              <w:rPr>
                <w:rFonts w:eastAsia="MS Mincho"/>
                <w:b/>
                <w:color w:val="000080"/>
                <w:sz w:val="30"/>
                <w:szCs w:val="30"/>
                <w:lang w:val="es-ES"/>
              </w:rPr>
              <w:t xml:space="preserve"> </w:t>
            </w:r>
            <w:r w:rsidR="00D77525" w:rsidRPr="00D77525">
              <w:rPr>
                <w:rFonts w:eastAsia="MS Mincho"/>
                <w:b/>
                <w:color w:val="002060"/>
                <w:sz w:val="30"/>
                <w:szCs w:val="30"/>
                <w:u w:val="single"/>
                <w:lang w:val="es-ES"/>
              </w:rPr>
              <w:t>Indicadores detallados del Plan Estratégico para las Especies Migratorias</w:t>
            </w:r>
          </w:p>
        </w:tc>
      </w:tr>
    </w:tbl>
    <w:p w14:paraId="088993DB" w14:textId="77777777" w:rsidR="00367CFC" w:rsidRPr="00D77525" w:rsidRDefault="00367CFC" w:rsidP="00367CFC">
      <w:pPr>
        <w:rPr>
          <w:b/>
          <w:lang w:val="es-ES"/>
        </w:rPr>
      </w:pPr>
    </w:p>
    <w:p w14:paraId="20F9E1C5" w14:textId="77777777" w:rsidR="00367CFC" w:rsidRPr="002E3942" w:rsidRDefault="00367CFC" w:rsidP="00367CFC">
      <w:pPr>
        <w:spacing w:before="120"/>
        <w:jc w:val="both"/>
        <w:rPr>
          <w:rFonts w:eastAsia="MS Mincho"/>
          <w:sz w:val="22"/>
          <w:szCs w:val="22"/>
          <w:lang w:val="es-ES"/>
        </w:rPr>
      </w:pPr>
      <w:r w:rsidRPr="002E3942">
        <w:rPr>
          <w:rFonts w:eastAsia="MS Mincho"/>
          <w:sz w:val="22"/>
          <w:szCs w:val="22"/>
          <w:lang w:val="es-ES"/>
        </w:rPr>
        <w:t>Una parte central del régimen de monitoreo y evaluación para el Plan Estratégico para las Especies Migratorias es un conjunto de indicadores principales, que se utilizan para medir el progreso en el logro de los objetivos y metas. La selección de las medidas apropiadas para los mismos no es simplemente una cuestión de identificar cuestiones sobre las se puedan generar datos, sino que implica una cuidadosa reflexión sobre la capacidad de generar en última instancia “argumentos” suficientes sobre el éxito o fracaso del Plan en la obtención de resultados genuinamente estratégicos y los impactos reales para las especies migratorias, y no sólo los indicadores de la implementación del proceso.</w:t>
      </w:r>
    </w:p>
    <w:p w14:paraId="2D5718A9" w14:textId="77777777" w:rsidR="00367CFC" w:rsidRPr="002E3942" w:rsidRDefault="00367CFC" w:rsidP="00367CFC">
      <w:pPr>
        <w:spacing w:before="120"/>
        <w:jc w:val="both"/>
        <w:rPr>
          <w:rFonts w:eastAsia="MS Mincho"/>
          <w:strike/>
          <w:sz w:val="22"/>
          <w:szCs w:val="22"/>
          <w:lang w:val="es-ES"/>
        </w:rPr>
      </w:pPr>
      <w:r w:rsidRPr="002E3942">
        <w:rPr>
          <w:rFonts w:eastAsia="MS Mincho"/>
          <w:strike/>
          <w:sz w:val="22"/>
          <w:szCs w:val="22"/>
          <w:lang w:val="es-ES"/>
        </w:rPr>
        <w:t>Dado que el SPMS se ha basado en las Metas de Aichi del Plan Estratégico para la Diversidad Biológica, los indicadores ya definidos en apoyo del mismo proporcionan gran parte de la base para las medidas identificadas aquí.</w:t>
      </w:r>
    </w:p>
    <w:p w14:paraId="0159D9EC" w14:textId="77777777" w:rsidR="00367CFC" w:rsidRPr="002E3942" w:rsidRDefault="00367CFC" w:rsidP="00367CFC">
      <w:pPr>
        <w:spacing w:before="120"/>
        <w:jc w:val="both"/>
        <w:rPr>
          <w:rFonts w:eastAsia="MS Mincho"/>
          <w:strike/>
          <w:sz w:val="22"/>
          <w:szCs w:val="22"/>
          <w:lang w:val="es-ES"/>
        </w:rPr>
      </w:pPr>
      <w:r w:rsidRPr="002E3942">
        <w:rPr>
          <w:rFonts w:eastAsia="MS Mincho"/>
          <w:strike/>
          <w:sz w:val="22"/>
          <w:szCs w:val="22"/>
          <w:lang w:val="es-ES"/>
        </w:rPr>
        <w:t>Por tanto, una fuente principal ha sido el conjunto de indicadores definidos en 2011 por un Grupo de Expertos Técnicos Ad-Hoc (AHTEG) en virtud del Convenio sobre la Diversidad Biológica, que se reflejó posteriormente en el anexo de la Decisión XI/3 de la COP del CDB (octubre de 2012). El AHTEG desarrolló 12 indicadores principales, cada uno de los cuales por lo general se relaciona con varias Metas de Aichi. A un nivel más específico, desarrolló 97 indicadores operativos, para cada uno de los cuales se identificó una “Meta de Aichi más relevante”.</w:t>
      </w:r>
    </w:p>
    <w:p w14:paraId="6F09F3FF" w14:textId="77777777" w:rsidR="00367CFC" w:rsidRPr="002E3942" w:rsidRDefault="00367CFC" w:rsidP="00367CFC">
      <w:pPr>
        <w:spacing w:before="120"/>
        <w:jc w:val="both"/>
        <w:rPr>
          <w:rFonts w:eastAsia="MS Mincho"/>
          <w:strike/>
          <w:sz w:val="22"/>
          <w:szCs w:val="22"/>
          <w:lang w:val="es-ES"/>
        </w:rPr>
      </w:pPr>
      <w:r w:rsidRPr="002E3942">
        <w:rPr>
          <w:rFonts w:eastAsia="MS Mincho"/>
          <w:strike/>
          <w:sz w:val="22"/>
          <w:szCs w:val="22"/>
          <w:lang w:val="es-ES"/>
        </w:rPr>
        <w:t>Paralelamente a este proceso, la Asociación de Indicadores de Biodiversidad global (BIP) ha clasificado su lista de indicadores versus las Metas de Aichi. En el momento de la adopción de este Plan había 45 indicadores BIP.</w:t>
      </w:r>
    </w:p>
    <w:p w14:paraId="6BE25F7E" w14:textId="0B5B28D4" w:rsidR="00367CFC" w:rsidRPr="002E3942" w:rsidRDefault="00367CFC" w:rsidP="00367CFC">
      <w:pPr>
        <w:spacing w:before="120"/>
        <w:jc w:val="both"/>
        <w:rPr>
          <w:rFonts w:eastAsia="MS Mincho"/>
          <w:strike/>
          <w:sz w:val="22"/>
          <w:szCs w:val="22"/>
          <w:lang w:val="es-ES"/>
        </w:rPr>
      </w:pPr>
      <w:r w:rsidRPr="002E3942">
        <w:rPr>
          <w:rFonts w:eastAsia="MS Mincho"/>
          <w:strike/>
          <w:sz w:val="22"/>
          <w:szCs w:val="22"/>
          <w:lang w:val="es-ES"/>
        </w:rPr>
        <w:t>Dos de las metas del Plan Estratégico para las Especies Migratorias (meta 3 sobre la gobernanza y la meta 9 del enfoque de los sistemas migratorios) no tienen equivalentes directos de Aichi, y algunas otras cuestiones van un poco más allá de los regímenes de indicadores de biodiversidad existentes, tales como las redes ecológicas y factores que afectan el proceso de migración. Por lo demás no ha habido una fuerte necesidad de definir nuevos temas de indicadores y los indicadores mencionados a continuación (definidos con más detalle en el volumen complementario relativo a la Implementación) se basan en relacionar los indicadores operativos del AHTEG y los indicadores BIP con cada una de las metas del SPMS, en función de sus vínculos con las metas pertinentes de Aichi. Es necesario seguir trabajando para elaborar un “desglose para las especies migratorias” de los indicadores pertinentes de diversidad biológica existentes o ya propuestos, y en la mayoría de los casos hacerlo operativo.</w:t>
      </w:r>
    </w:p>
    <w:p w14:paraId="667652B1" w14:textId="77777777" w:rsidR="00367CFC" w:rsidRPr="002E3942" w:rsidRDefault="00367CFC" w:rsidP="00367CFC">
      <w:pPr>
        <w:spacing w:before="120"/>
        <w:jc w:val="both"/>
        <w:rPr>
          <w:strike/>
          <w:sz w:val="22"/>
          <w:szCs w:val="22"/>
          <w:lang w:val="es-ES"/>
        </w:rPr>
      </w:pPr>
      <w:r w:rsidRPr="002E3942">
        <w:rPr>
          <w:rFonts w:eastAsia="MS Mincho"/>
          <w:strike/>
          <w:sz w:val="22"/>
          <w:szCs w:val="22"/>
          <w:lang w:val="es-ES"/>
        </w:rPr>
        <w:t>La lista indicativa a continuación identifica una selección de los indicadores principales que podrían ser utilizados (tras desarrollarlos más, cuando sea necesario) para el seguimiento del progreso en el logro de las metas establecidas en el Plan Estratégico de las Especies Migratorias.</w:t>
      </w:r>
    </w:p>
    <w:p w14:paraId="644F3C1F" w14:textId="77777777" w:rsidR="00367CFC" w:rsidRPr="002E3942" w:rsidRDefault="00367CFC" w:rsidP="00367CFC">
      <w:pPr>
        <w:jc w:val="both"/>
        <w:rPr>
          <w:strike/>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710"/>
      </w:tblGrid>
      <w:tr w:rsidR="00367CFC" w:rsidRPr="00A728F6" w14:paraId="27DC5EF8" w14:textId="77777777" w:rsidTr="00367CFC">
        <w:trPr>
          <w:tblHeader/>
        </w:trPr>
        <w:tc>
          <w:tcPr>
            <w:tcW w:w="1818" w:type="dxa"/>
          </w:tcPr>
          <w:p w14:paraId="4EC259B6" w14:textId="77777777" w:rsidR="00367CFC" w:rsidRPr="00A728F6" w:rsidRDefault="00367CFC" w:rsidP="00367CFC">
            <w:pPr>
              <w:spacing w:before="120" w:after="120"/>
              <w:rPr>
                <w:b/>
                <w:strike/>
                <w:sz w:val="22"/>
                <w:lang w:val="es-ES" w:eastAsia="en-GB"/>
              </w:rPr>
            </w:pPr>
            <w:r w:rsidRPr="00A728F6">
              <w:rPr>
                <w:b/>
                <w:strike/>
                <w:sz w:val="22"/>
                <w:lang w:val="es-ES" w:eastAsia="en-GB"/>
              </w:rPr>
              <w:t xml:space="preserve">Meta del SPMS </w:t>
            </w:r>
          </w:p>
        </w:tc>
        <w:tc>
          <w:tcPr>
            <w:tcW w:w="6710" w:type="dxa"/>
          </w:tcPr>
          <w:p w14:paraId="10F87CE7" w14:textId="77777777" w:rsidR="00367CFC" w:rsidRPr="00A728F6" w:rsidRDefault="00367CFC" w:rsidP="00367CFC">
            <w:pPr>
              <w:spacing w:before="120" w:after="120"/>
              <w:rPr>
                <w:b/>
                <w:strike/>
                <w:sz w:val="22"/>
                <w:lang w:val="es-ES" w:eastAsia="en-GB"/>
              </w:rPr>
            </w:pPr>
            <w:r w:rsidRPr="00A728F6">
              <w:rPr>
                <w:b/>
                <w:strike/>
                <w:sz w:val="22"/>
                <w:lang w:val="es-ES" w:eastAsia="en-GB"/>
              </w:rPr>
              <w:t>Indicador principal</w:t>
            </w:r>
          </w:p>
        </w:tc>
      </w:tr>
      <w:tr w:rsidR="00367CFC" w:rsidRPr="00DA2A2C" w14:paraId="60946948" w14:textId="77777777" w:rsidTr="00367CFC">
        <w:tc>
          <w:tcPr>
            <w:tcW w:w="1818" w:type="dxa"/>
          </w:tcPr>
          <w:p w14:paraId="4C341AA6" w14:textId="77777777" w:rsidR="00367CFC" w:rsidRPr="00A728F6" w:rsidRDefault="00367CFC" w:rsidP="00367CFC">
            <w:pPr>
              <w:rPr>
                <w:strike/>
                <w:sz w:val="22"/>
                <w:lang w:val="es-ES" w:eastAsia="en-GB"/>
              </w:rPr>
            </w:pPr>
            <w:r w:rsidRPr="00A728F6">
              <w:rPr>
                <w:b/>
                <w:bCs/>
                <w:strike/>
                <w:sz w:val="22"/>
                <w:lang w:val="es-ES" w:eastAsia="en-GB"/>
              </w:rPr>
              <w:t>Meta 1</w:t>
            </w:r>
            <w:r w:rsidRPr="00A728F6">
              <w:rPr>
                <w:bCs/>
                <w:strike/>
                <w:sz w:val="22"/>
                <w:lang w:val="es-ES" w:eastAsia="en-GB"/>
              </w:rPr>
              <w:t>:</w:t>
            </w:r>
          </w:p>
        </w:tc>
        <w:tc>
          <w:tcPr>
            <w:tcW w:w="6710" w:type="dxa"/>
          </w:tcPr>
          <w:p w14:paraId="05EF21E2"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41F38AD5" w14:textId="77777777" w:rsidR="00367CFC" w:rsidRPr="00A728F6" w:rsidRDefault="00367CFC" w:rsidP="00367CFC">
            <w:pPr>
              <w:jc w:val="both"/>
              <w:rPr>
                <w:strike/>
                <w:sz w:val="22"/>
                <w:lang w:val="es-ES" w:eastAsia="en-GB"/>
              </w:rPr>
            </w:pPr>
          </w:p>
          <w:p w14:paraId="3721DBE8"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rFonts w:eastAsia="MS Mincho"/>
                <w:strike/>
                <w:sz w:val="22"/>
                <w:lang w:val="es-ES" w:eastAsia="ja-JP"/>
              </w:rPr>
              <w:t>Nivel de implicación en el Día Mundial de las Aves Migratorias y eventos similares</w:t>
            </w:r>
          </w:p>
          <w:p w14:paraId="28FE148C" w14:textId="77777777" w:rsidR="00367CFC" w:rsidRPr="00A728F6" w:rsidRDefault="00367CFC" w:rsidP="00367CFC">
            <w:pPr>
              <w:jc w:val="both"/>
              <w:rPr>
                <w:strike/>
                <w:sz w:val="22"/>
                <w:lang w:val="es-ES" w:eastAsia="en-GB"/>
              </w:rPr>
            </w:pPr>
          </w:p>
          <w:p w14:paraId="3666FA5A" w14:textId="77777777" w:rsidR="00367CFC" w:rsidRPr="00A728F6" w:rsidRDefault="00367CFC" w:rsidP="00367CFC">
            <w:pPr>
              <w:jc w:val="both"/>
              <w:rPr>
                <w:strike/>
                <w:sz w:val="22"/>
                <w:lang w:val="es-ES" w:eastAsia="en-GB"/>
              </w:rPr>
            </w:pPr>
            <w:r w:rsidRPr="00A728F6">
              <w:rPr>
                <w:strike/>
                <w:sz w:val="22"/>
                <w:lang w:val="es-ES" w:eastAsia="en-GB"/>
              </w:rPr>
              <w:t xml:space="preserve">Podría medir el número de eventos de los que se informa, o el número de países en los que se producen eventos activos. En ciertos países en los que un determinado evento se repite de una manera estándar de año en año, también podrían estar disponibles datos sobre el número de personas o la cobertura de los medios de </w:t>
            </w:r>
            <w:r w:rsidRPr="00A728F6">
              <w:rPr>
                <w:strike/>
                <w:sz w:val="22"/>
                <w:lang w:val="es-ES" w:eastAsia="en-GB"/>
              </w:rPr>
              <w:lastRenderedPageBreak/>
              <w:t xml:space="preserve">comunicación. </w:t>
            </w:r>
          </w:p>
          <w:p w14:paraId="279F3114" w14:textId="77777777" w:rsidR="00367CFC" w:rsidRPr="00A728F6" w:rsidRDefault="00367CFC" w:rsidP="00367CFC">
            <w:pPr>
              <w:jc w:val="both"/>
              <w:rPr>
                <w:strike/>
                <w:sz w:val="22"/>
                <w:lang w:val="es-ES" w:eastAsia="en-GB"/>
              </w:rPr>
            </w:pPr>
          </w:p>
          <w:p w14:paraId="212A92B3"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794AACF9" w14:textId="77777777" w:rsidR="00367CFC" w:rsidRPr="00A728F6" w:rsidRDefault="00367CFC" w:rsidP="00367CFC">
            <w:pPr>
              <w:jc w:val="both"/>
              <w:rPr>
                <w:strike/>
                <w:sz w:val="22"/>
                <w:lang w:val="es-ES" w:eastAsia="en-GB"/>
              </w:rPr>
            </w:pPr>
          </w:p>
          <w:p w14:paraId="40DAC564" w14:textId="77777777" w:rsidR="00367CFC" w:rsidRPr="00A728F6" w:rsidRDefault="00367CFC" w:rsidP="00367CFC">
            <w:pPr>
              <w:widowControl/>
              <w:numPr>
                <w:ilvl w:val="0"/>
                <w:numId w:val="6"/>
              </w:numPr>
              <w:autoSpaceDE/>
              <w:autoSpaceDN/>
              <w:adjustRightInd/>
              <w:jc w:val="both"/>
              <w:rPr>
                <w:rFonts w:eastAsia="MS Mincho"/>
                <w:strike/>
                <w:sz w:val="22"/>
                <w:lang w:val="es-ES" w:eastAsia="ja-JP"/>
              </w:rPr>
            </w:pPr>
            <w:r w:rsidRPr="00A728F6">
              <w:rPr>
                <w:rFonts w:eastAsia="MS Mincho"/>
                <w:strike/>
                <w:sz w:val="22"/>
                <w:lang w:val="es-ES" w:eastAsia="ja-JP"/>
              </w:rPr>
              <w:t>Tendencias en cuanto a la sensibilización y las actitudes respecto de las especies migratorias.</w:t>
            </w:r>
          </w:p>
          <w:p w14:paraId="23D36DC3" w14:textId="77777777" w:rsidR="00367CFC" w:rsidRPr="00A728F6" w:rsidRDefault="00367CFC" w:rsidP="00367CFC">
            <w:pPr>
              <w:jc w:val="both"/>
              <w:rPr>
                <w:strike/>
                <w:sz w:val="22"/>
                <w:lang w:val="es-ES" w:eastAsia="en-GB"/>
              </w:rPr>
            </w:pPr>
          </w:p>
          <w:p w14:paraId="0126A2EB" w14:textId="73784C3A" w:rsidR="00367CFC" w:rsidRPr="00A728F6" w:rsidRDefault="00367CFC" w:rsidP="00367CFC">
            <w:pPr>
              <w:jc w:val="both"/>
              <w:rPr>
                <w:strike/>
                <w:sz w:val="22"/>
                <w:lang w:val="es-ES" w:eastAsia="en-GB"/>
              </w:rPr>
            </w:pPr>
            <w:r w:rsidRPr="00A728F6">
              <w:rPr>
                <w:strike/>
                <w:sz w:val="22"/>
                <w:lang w:val="es-ES" w:eastAsia="en-GB"/>
              </w:rPr>
              <w:t>Se basa en uno de los indicadores de biodiversidad del AHTEG, aunque es uno que aún no está en funcionamiento. Ya hay un indicador BIP “Barómetro de Biodiversidad” existente, pero esos datos no podrán generar este indicador, ya que el Barómetro se basa en las pruebas de conocimiento de la definición de la palabra biodiversidad. Por lo tanto</w:t>
            </w:r>
            <w:r w:rsidR="00D77525">
              <w:rPr>
                <w:strike/>
                <w:sz w:val="22"/>
                <w:lang w:val="es-ES" w:eastAsia="en-GB"/>
              </w:rPr>
              <w:t>,</w:t>
            </w:r>
            <w:r w:rsidRPr="00A728F6">
              <w:rPr>
                <w:strike/>
                <w:sz w:val="22"/>
                <w:lang w:val="es-ES" w:eastAsia="en-GB"/>
              </w:rPr>
              <w:t xml:space="preserve"> se requerirá desarrollar un nuevo indicador. Se podría examinar en conjunto con cualquier revisión/desarrollo del Plan de difusión y comunicación de la CMS. </w:t>
            </w:r>
          </w:p>
          <w:p w14:paraId="4244B304" w14:textId="77777777" w:rsidR="00367CFC" w:rsidRPr="00A728F6" w:rsidRDefault="00367CFC" w:rsidP="00367CFC">
            <w:pPr>
              <w:jc w:val="both"/>
              <w:rPr>
                <w:strike/>
                <w:sz w:val="22"/>
                <w:lang w:val="es-ES" w:eastAsia="en-GB"/>
              </w:rPr>
            </w:pPr>
          </w:p>
        </w:tc>
      </w:tr>
      <w:tr w:rsidR="00367CFC" w:rsidRPr="00DA2A2C" w14:paraId="4E6DB364" w14:textId="77777777" w:rsidTr="00367CFC">
        <w:tc>
          <w:tcPr>
            <w:tcW w:w="1818" w:type="dxa"/>
          </w:tcPr>
          <w:p w14:paraId="3897E9BD" w14:textId="77777777" w:rsidR="00367CFC" w:rsidRPr="00A728F6" w:rsidRDefault="00367CFC" w:rsidP="00367CFC">
            <w:pPr>
              <w:spacing w:before="40" w:after="40"/>
              <w:rPr>
                <w:bCs/>
                <w:strike/>
                <w:sz w:val="22"/>
                <w:lang w:val="es-ES" w:eastAsia="en-GB"/>
              </w:rPr>
            </w:pPr>
            <w:r w:rsidRPr="00A728F6">
              <w:rPr>
                <w:b/>
                <w:strike/>
                <w:sz w:val="22"/>
                <w:lang w:val="es-ES" w:eastAsia="en-GB"/>
              </w:rPr>
              <w:lastRenderedPageBreak/>
              <w:t>Meta 2</w:t>
            </w:r>
            <w:r w:rsidRPr="00A728F6">
              <w:rPr>
                <w:strike/>
                <w:sz w:val="22"/>
                <w:lang w:val="es-ES" w:eastAsia="en-GB"/>
              </w:rPr>
              <w:t xml:space="preserve">: </w:t>
            </w:r>
          </w:p>
          <w:p w14:paraId="36EED7CB" w14:textId="77777777" w:rsidR="00367CFC" w:rsidRPr="00A728F6" w:rsidRDefault="00367CFC" w:rsidP="00367CFC">
            <w:pPr>
              <w:rPr>
                <w:strike/>
                <w:sz w:val="22"/>
                <w:lang w:val="es-ES" w:eastAsia="en-GB"/>
              </w:rPr>
            </w:pPr>
          </w:p>
        </w:tc>
        <w:tc>
          <w:tcPr>
            <w:tcW w:w="6710" w:type="dxa"/>
          </w:tcPr>
          <w:p w14:paraId="03D96250"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459D4931" w14:textId="77777777" w:rsidR="00367CFC" w:rsidRPr="00A728F6" w:rsidRDefault="00367CFC" w:rsidP="00367CFC">
            <w:pPr>
              <w:jc w:val="both"/>
              <w:rPr>
                <w:strike/>
                <w:sz w:val="22"/>
                <w:lang w:val="es-ES" w:eastAsia="en-GB"/>
              </w:rPr>
            </w:pPr>
          </w:p>
          <w:p w14:paraId="3E0DA422"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2C5E8332" w14:textId="77777777" w:rsidR="00367CFC" w:rsidRPr="00A728F6" w:rsidRDefault="00367CFC" w:rsidP="00367CFC">
            <w:pPr>
              <w:jc w:val="both"/>
              <w:rPr>
                <w:strike/>
                <w:sz w:val="22"/>
                <w:lang w:val="es-ES" w:eastAsia="en-GB"/>
              </w:rPr>
            </w:pPr>
          </w:p>
          <w:p w14:paraId="40DBDCA5"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4DAC8AB8" w14:textId="77777777" w:rsidR="00367CFC" w:rsidRPr="00A728F6" w:rsidRDefault="00367CFC" w:rsidP="00367CFC">
            <w:pPr>
              <w:jc w:val="both"/>
              <w:rPr>
                <w:strike/>
                <w:sz w:val="22"/>
                <w:lang w:val="es-ES" w:eastAsia="en-GB"/>
              </w:rPr>
            </w:pPr>
          </w:p>
          <w:p w14:paraId="6F529A72"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sobre la integración de los valores de las especies migratorias en las políticas nacionales y sectoriales.</w:t>
            </w:r>
          </w:p>
          <w:p w14:paraId="4EFBECF1" w14:textId="77777777" w:rsidR="00367CFC" w:rsidRPr="00A728F6" w:rsidRDefault="00367CFC" w:rsidP="00367CFC">
            <w:pPr>
              <w:jc w:val="both"/>
              <w:rPr>
                <w:rFonts w:eastAsia="MS Mincho"/>
                <w:strike/>
                <w:sz w:val="22"/>
                <w:lang w:val="es-ES" w:eastAsia="ja-JP"/>
              </w:rPr>
            </w:pPr>
          </w:p>
          <w:p w14:paraId="31BDB830" w14:textId="4344813A"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El Formato de los Informes Nacionales de CMS actualmente pregunta sobre la conservación de las características de las especies migratorias en las políticas/planes nacionales o regionales, y podría desarrollarse un indicador a partir de esa base (aceptando que este método dará una imagen incompleta, dado que la meta se aplica igualmente a países que no son Parte de CMS). Ocuparse de las especies migratorias a través de las EPANB, es efectivamente un sub-indicador de este indicador, y está cubierto específicamente en el formato de informe, no obstante, pertenece a la meta 13 del SPMS a continuación. Aquí quizás se podrían considerar sub-indicadores similares, por ejemplo, para los DELP y otros instrumentos de política relevantes estandarizados a nivel mundial. </w:t>
            </w:r>
          </w:p>
          <w:p w14:paraId="564FCCB9" w14:textId="77777777" w:rsidR="00367CFC" w:rsidRPr="00A728F6" w:rsidRDefault="00367CFC" w:rsidP="00367CFC">
            <w:pPr>
              <w:jc w:val="both"/>
              <w:rPr>
                <w:strike/>
                <w:sz w:val="22"/>
                <w:lang w:val="es-ES" w:eastAsia="en-GB"/>
              </w:rPr>
            </w:pPr>
          </w:p>
        </w:tc>
      </w:tr>
      <w:tr w:rsidR="00367CFC" w:rsidRPr="00DA2A2C" w14:paraId="19E3BDFC" w14:textId="77777777" w:rsidTr="00367CFC">
        <w:tc>
          <w:tcPr>
            <w:tcW w:w="1818" w:type="dxa"/>
          </w:tcPr>
          <w:p w14:paraId="6187E987" w14:textId="77777777" w:rsidR="00367CFC" w:rsidRPr="00A728F6" w:rsidRDefault="00367CFC" w:rsidP="00367CFC">
            <w:pPr>
              <w:spacing w:before="40" w:after="40"/>
              <w:rPr>
                <w:strike/>
                <w:sz w:val="22"/>
                <w:lang w:val="es-ES" w:eastAsia="en-GB"/>
              </w:rPr>
            </w:pPr>
            <w:r w:rsidRPr="00A728F6">
              <w:rPr>
                <w:b/>
                <w:strike/>
                <w:sz w:val="22"/>
                <w:lang w:val="es-ES" w:eastAsia="en-GB"/>
              </w:rPr>
              <w:t>Meta 3</w:t>
            </w:r>
            <w:r w:rsidRPr="00A728F6">
              <w:rPr>
                <w:strike/>
                <w:sz w:val="22"/>
                <w:lang w:val="es-ES" w:eastAsia="en-GB"/>
              </w:rPr>
              <w:t xml:space="preserve">: </w:t>
            </w:r>
          </w:p>
          <w:p w14:paraId="3616D6F5" w14:textId="77777777" w:rsidR="00367CFC" w:rsidRPr="00A728F6" w:rsidRDefault="00367CFC" w:rsidP="00367CFC">
            <w:pPr>
              <w:rPr>
                <w:strike/>
                <w:sz w:val="22"/>
                <w:lang w:val="es-ES" w:eastAsia="en-GB"/>
              </w:rPr>
            </w:pPr>
          </w:p>
        </w:tc>
        <w:tc>
          <w:tcPr>
            <w:tcW w:w="6710" w:type="dxa"/>
          </w:tcPr>
          <w:p w14:paraId="25413299"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513ED6E5" w14:textId="77777777" w:rsidR="00367CFC" w:rsidRPr="00A728F6" w:rsidRDefault="00367CFC" w:rsidP="00367CFC">
            <w:pPr>
              <w:jc w:val="both"/>
              <w:rPr>
                <w:strike/>
                <w:sz w:val="22"/>
                <w:lang w:val="es-ES" w:eastAsia="en-GB"/>
              </w:rPr>
            </w:pPr>
          </w:p>
          <w:p w14:paraId="72C6FBAF"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56B26960" w14:textId="77777777" w:rsidR="00367CFC" w:rsidRPr="00A728F6" w:rsidRDefault="00367CFC" w:rsidP="00367CFC">
            <w:pPr>
              <w:jc w:val="both"/>
              <w:rPr>
                <w:strike/>
                <w:sz w:val="22"/>
                <w:lang w:val="es-ES" w:eastAsia="en-GB"/>
              </w:rPr>
            </w:pPr>
          </w:p>
          <w:p w14:paraId="15816B02"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20F2EB1E" w14:textId="77777777" w:rsidR="00367CFC" w:rsidRPr="00A728F6" w:rsidRDefault="00367CFC" w:rsidP="00367CFC">
            <w:pPr>
              <w:jc w:val="both"/>
              <w:rPr>
                <w:strike/>
                <w:sz w:val="22"/>
                <w:lang w:val="es-ES" w:eastAsia="en-GB"/>
              </w:rPr>
            </w:pPr>
          </w:p>
          <w:p w14:paraId="2232AB00"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 xml:space="preserve">Viabilidad/estado de las actividades de la Familia de instrumentos CMS. </w:t>
            </w:r>
          </w:p>
          <w:p w14:paraId="0CD6F552"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(Otro indicador relativo a la gobernanza sobre la implementación de la CMS).</w:t>
            </w:r>
          </w:p>
          <w:p w14:paraId="2D8E07DB" w14:textId="77777777" w:rsidR="00367CFC" w:rsidRPr="00A728F6" w:rsidRDefault="00367CFC" w:rsidP="00367CFC">
            <w:pPr>
              <w:jc w:val="both"/>
              <w:rPr>
                <w:rFonts w:eastAsia="MS Mincho"/>
                <w:strike/>
                <w:sz w:val="22"/>
                <w:highlight w:val="yellow"/>
                <w:lang w:val="es-ES" w:eastAsia="ja-JP"/>
              </w:rPr>
            </w:pPr>
          </w:p>
          <w:p w14:paraId="3CD037D2"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El primer indicador que aquí se sugiere está dirigido a evaluar la gestión coherente de la estructura de la Familia CMS, tal vez a </w:t>
            </w:r>
            <w:r w:rsidRPr="00A728F6">
              <w:rPr>
                <w:rFonts w:eastAsia="MS Mincho"/>
                <w:strike/>
                <w:sz w:val="22"/>
                <w:lang w:val="es-ES" w:eastAsia="ja-JP"/>
              </w:rPr>
              <w:lastRenderedPageBreak/>
              <w:t xml:space="preserve">través de medir la proporción de los instrumentos que están funcionando activa y sosteniblemente como se espera. Los parámetros podrían derivarse del estudio de viabilidad de MdE realizado en 2014. </w:t>
            </w:r>
          </w:p>
          <w:p w14:paraId="1AFA5646" w14:textId="77777777" w:rsidR="00367CFC" w:rsidRPr="00A728F6" w:rsidRDefault="00367CFC" w:rsidP="00367CFC">
            <w:pPr>
              <w:jc w:val="both"/>
              <w:rPr>
                <w:rFonts w:eastAsia="MS Mincho"/>
                <w:strike/>
                <w:sz w:val="22"/>
                <w:lang w:val="es-ES" w:eastAsia="ja-JP"/>
              </w:rPr>
            </w:pPr>
          </w:p>
          <w:p w14:paraId="10CC6CE3" w14:textId="71B11128" w:rsidR="00367CFC" w:rsidRPr="00A728F6" w:rsidRDefault="00D77525" w:rsidP="00367CFC">
            <w:pPr>
              <w:jc w:val="both"/>
              <w:rPr>
                <w:rFonts w:eastAsia="MS Mincho"/>
                <w:strike/>
                <w:sz w:val="22"/>
                <w:lang w:val="es-ES" w:eastAsia="ja-JP"/>
              </w:rPr>
            </w:pPr>
            <w:r>
              <w:rPr>
                <w:rFonts w:eastAsia="MS Mincho"/>
                <w:strike/>
                <w:sz w:val="22"/>
                <w:lang w:val="es-ES" w:eastAsia="ja-JP"/>
              </w:rPr>
              <w:t>El alcance exacto del segundo</w:t>
            </w:r>
            <w:r w:rsidR="00367CFC" w:rsidRPr="00A728F6">
              <w:rPr>
                <w:rFonts w:eastAsia="MS Mincho"/>
                <w:strike/>
                <w:sz w:val="22"/>
                <w:lang w:val="es-ES" w:eastAsia="ja-JP"/>
              </w:rPr>
              <w:t xml:space="preserve"> indicador está por elaborar, y depende de la medida en que resulta posible desarrollar un indicador de la eficacia de rendimiento relacionado con la gobernanza ligado específicamente a la aplicación de la CMS (siendo el marco de gobernanza más relevante). Habría complejidades en el establecimiento de puntos de referencia para los asuntos que son de la discreción de la política nacional. La perspectiva más prometedora puede ser por el estímulo existente para Partes de la CMS para establecer y operar sistemas o comités de enlace nacionales (meta 4.5 del Plan Estratégico de la CMS 2006-2014). El Formato de Informe Nacional de la Convención hace una pregunta sobre esto, pero en la actualidad no es más que una pregunta de respuesta sí/no sobre la existencia de tal sistema o comité (y le daría una imagen incompleta, dado que la meta se aplica igualmente a países que no son Parte de la CMS). </w:t>
            </w:r>
          </w:p>
          <w:p w14:paraId="0D79EF73" w14:textId="77777777" w:rsidR="00367CFC" w:rsidRPr="00A728F6" w:rsidRDefault="00367CFC" w:rsidP="00367CFC">
            <w:pPr>
              <w:jc w:val="both"/>
              <w:rPr>
                <w:strike/>
                <w:sz w:val="22"/>
                <w:lang w:val="es-ES" w:eastAsia="en-GB"/>
              </w:rPr>
            </w:pPr>
          </w:p>
        </w:tc>
      </w:tr>
      <w:tr w:rsidR="00367CFC" w:rsidRPr="00DA2A2C" w14:paraId="372C5EEA" w14:textId="77777777" w:rsidTr="00367CFC">
        <w:tc>
          <w:tcPr>
            <w:tcW w:w="1818" w:type="dxa"/>
          </w:tcPr>
          <w:p w14:paraId="50FC30A8" w14:textId="77777777" w:rsidR="00367CFC" w:rsidRPr="00A728F6" w:rsidRDefault="00367CFC" w:rsidP="00367CFC">
            <w:pPr>
              <w:spacing w:before="40" w:after="40"/>
              <w:rPr>
                <w:strike/>
                <w:sz w:val="22"/>
                <w:lang w:val="es-ES" w:eastAsia="en-GB"/>
              </w:rPr>
            </w:pPr>
            <w:r w:rsidRPr="00A728F6">
              <w:rPr>
                <w:rFonts w:eastAsia="MS Mincho"/>
                <w:b/>
                <w:strike/>
                <w:sz w:val="22"/>
                <w:lang w:val="es-ES" w:eastAsia="en-GB"/>
              </w:rPr>
              <w:lastRenderedPageBreak/>
              <w:t>Meta 4</w:t>
            </w:r>
            <w:r w:rsidRPr="00A728F6">
              <w:rPr>
                <w:rFonts w:eastAsia="MS Mincho"/>
                <w:strike/>
                <w:sz w:val="22"/>
                <w:lang w:val="es-ES" w:eastAsia="en-GB"/>
              </w:rPr>
              <w:t xml:space="preserve">: </w:t>
            </w:r>
          </w:p>
          <w:p w14:paraId="75E37B23" w14:textId="77777777" w:rsidR="00367CFC" w:rsidRPr="00A728F6" w:rsidRDefault="00367CFC" w:rsidP="00367CFC">
            <w:pPr>
              <w:rPr>
                <w:strike/>
                <w:sz w:val="22"/>
                <w:lang w:val="es-ES" w:eastAsia="en-GB"/>
              </w:rPr>
            </w:pPr>
          </w:p>
        </w:tc>
        <w:tc>
          <w:tcPr>
            <w:tcW w:w="6710" w:type="dxa"/>
          </w:tcPr>
          <w:p w14:paraId="32F7F350"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6D3E18CE" w14:textId="77777777" w:rsidR="00367CFC" w:rsidRPr="00A728F6" w:rsidRDefault="00367CFC" w:rsidP="00367CFC">
            <w:pPr>
              <w:jc w:val="both"/>
              <w:rPr>
                <w:strike/>
                <w:sz w:val="22"/>
                <w:lang w:val="es-ES" w:eastAsia="en-GB"/>
              </w:rPr>
            </w:pPr>
          </w:p>
          <w:p w14:paraId="024A8163"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7F5271D3" w14:textId="77777777" w:rsidR="00367CFC" w:rsidRPr="00A728F6" w:rsidRDefault="00367CFC" w:rsidP="00367CFC">
            <w:pPr>
              <w:jc w:val="both"/>
              <w:rPr>
                <w:strike/>
                <w:sz w:val="22"/>
                <w:lang w:val="es-ES" w:eastAsia="en-GB"/>
              </w:rPr>
            </w:pPr>
          </w:p>
          <w:p w14:paraId="18E5BB12"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40465F0E" w14:textId="77777777" w:rsidR="00367CFC" w:rsidRPr="00A728F6" w:rsidRDefault="00367CFC" w:rsidP="00367CFC">
            <w:pPr>
              <w:jc w:val="both"/>
              <w:rPr>
                <w:strike/>
                <w:sz w:val="22"/>
                <w:lang w:val="es-ES" w:eastAsia="en-GB"/>
              </w:rPr>
            </w:pPr>
          </w:p>
          <w:p w14:paraId="66B97ACB" w14:textId="6186F77F" w:rsidR="00367CFC" w:rsidRPr="00A728F6" w:rsidRDefault="00D77525" w:rsidP="00367CFC">
            <w:pPr>
              <w:widowControl/>
              <w:numPr>
                <w:ilvl w:val="0"/>
                <w:numId w:val="6"/>
              </w:numPr>
              <w:jc w:val="both"/>
              <w:rPr>
                <w:rFonts w:eastAsia="MS Mincho"/>
                <w:strike/>
                <w:sz w:val="22"/>
                <w:lang w:val="es-ES" w:eastAsia="ja-JP"/>
              </w:rPr>
            </w:pPr>
            <w:r>
              <w:rPr>
                <w:rFonts w:eastAsia="MS Mincho"/>
                <w:strike/>
                <w:sz w:val="22"/>
                <w:lang w:val="es-ES" w:eastAsia="ja-JP"/>
              </w:rPr>
              <w:t xml:space="preserve"> (pregunta en el Formato </w:t>
            </w:r>
            <w:r w:rsidR="00367CFC" w:rsidRPr="00A728F6">
              <w:rPr>
                <w:rFonts w:eastAsia="MS Mincho"/>
                <w:strike/>
                <w:sz w:val="22"/>
                <w:lang w:val="es-ES" w:eastAsia="ja-JP"/>
              </w:rPr>
              <w:t>de Informe Nacional de la CMS, para preguntar acerca de los progresos realizados en la aplicación de la meta 4).</w:t>
            </w:r>
          </w:p>
          <w:p w14:paraId="74A8AE5C" w14:textId="77777777" w:rsidR="00367CFC" w:rsidRPr="00A728F6" w:rsidRDefault="00367CFC" w:rsidP="00367CFC">
            <w:pPr>
              <w:jc w:val="both"/>
              <w:rPr>
                <w:rFonts w:eastAsia="MS Mincho"/>
                <w:strike/>
                <w:sz w:val="22"/>
                <w:lang w:val="es-ES" w:eastAsia="ja-JP"/>
              </w:rPr>
            </w:pPr>
          </w:p>
          <w:p w14:paraId="0635FFDA" w14:textId="443F0FF2"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La comunidad de la conservación de las especies migratorias prestará atención a la información reportada sobre incentivos y biodiversidad en general, bajo los dos indicadores pertinentes definidos por el AHTEG del CDB; pero es difícil ver cómo dichos datos podrían desglosarse significativamente a fin de dar información específica para las especies migratorias. Puede que estudios de casos ocasionales sí lo hagan, pero probablemente no es un indicador aplicable globalmente, con información regular. La ruta sugerida a seguir para un indicador, por tanto, consiste en recopilar información narrativa de una manera estandarizada a través de los Informes Nacionales de Partes de la CMS, enfocando la cuestión de la dimensión de las especies migratorias (y aceptando que este método dará una imagen incompleta, dado que la meta se aplica igualmente a los países que no son Parte de CMS).</w:t>
            </w:r>
          </w:p>
          <w:p w14:paraId="60A50E8F" w14:textId="77777777" w:rsidR="00367CFC" w:rsidRPr="00A728F6" w:rsidRDefault="00367CFC" w:rsidP="00367CFC">
            <w:pPr>
              <w:jc w:val="both"/>
              <w:rPr>
                <w:strike/>
                <w:sz w:val="22"/>
                <w:lang w:val="es-ES" w:eastAsia="en-GB"/>
              </w:rPr>
            </w:pPr>
          </w:p>
        </w:tc>
      </w:tr>
      <w:tr w:rsidR="00367CFC" w:rsidRPr="00A728F6" w14:paraId="3E249EAE" w14:textId="77777777" w:rsidTr="00367CFC">
        <w:tc>
          <w:tcPr>
            <w:tcW w:w="1818" w:type="dxa"/>
          </w:tcPr>
          <w:p w14:paraId="3C41FE1E" w14:textId="77777777" w:rsidR="00367CFC" w:rsidRPr="00A728F6" w:rsidRDefault="00367CFC" w:rsidP="00367CFC">
            <w:pPr>
              <w:spacing w:before="40" w:after="40"/>
              <w:rPr>
                <w:strike/>
                <w:sz w:val="22"/>
                <w:lang w:val="es-ES" w:eastAsia="en-GB"/>
              </w:rPr>
            </w:pPr>
            <w:r w:rsidRPr="00A728F6">
              <w:rPr>
                <w:b/>
                <w:strike/>
                <w:sz w:val="22"/>
                <w:lang w:val="es-ES" w:eastAsia="en-GB"/>
              </w:rPr>
              <w:t>Meta 5</w:t>
            </w:r>
            <w:r w:rsidRPr="00A728F6">
              <w:rPr>
                <w:strike/>
                <w:sz w:val="22"/>
                <w:lang w:val="es-ES" w:eastAsia="en-GB"/>
              </w:rPr>
              <w:t xml:space="preserve">: </w:t>
            </w:r>
          </w:p>
          <w:p w14:paraId="4ABE86D6" w14:textId="77777777" w:rsidR="00367CFC" w:rsidRPr="00A728F6" w:rsidRDefault="00367CFC" w:rsidP="00367CFC">
            <w:pPr>
              <w:rPr>
                <w:strike/>
                <w:sz w:val="22"/>
                <w:lang w:val="es-ES" w:eastAsia="en-GB"/>
              </w:rPr>
            </w:pPr>
          </w:p>
        </w:tc>
        <w:tc>
          <w:tcPr>
            <w:tcW w:w="6710" w:type="dxa"/>
          </w:tcPr>
          <w:p w14:paraId="0A479397"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76F5C525" w14:textId="77777777" w:rsidR="00367CFC" w:rsidRPr="00A728F6" w:rsidRDefault="00367CFC" w:rsidP="00367CFC">
            <w:pPr>
              <w:jc w:val="both"/>
              <w:rPr>
                <w:strike/>
                <w:sz w:val="22"/>
                <w:lang w:val="es-ES" w:eastAsia="en-GB"/>
              </w:rPr>
            </w:pPr>
          </w:p>
          <w:p w14:paraId="4D990C9C"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Situación respecto de las especies migratorias en el comercio.</w:t>
            </w:r>
          </w:p>
          <w:p w14:paraId="0385935E" w14:textId="77777777" w:rsidR="00367CFC" w:rsidRPr="00A728F6" w:rsidRDefault="00367CFC" w:rsidP="00367CFC">
            <w:pPr>
              <w:jc w:val="both"/>
              <w:rPr>
                <w:rFonts w:eastAsia="MS Mincho"/>
                <w:strike/>
                <w:sz w:val="22"/>
                <w:lang w:val="es-ES" w:eastAsia="ja-JP"/>
              </w:rPr>
            </w:pPr>
          </w:p>
          <w:p w14:paraId="367336B2" w14:textId="7A3D7B06" w:rsidR="00367CFC" w:rsidRPr="00A728F6" w:rsidRDefault="00367CFC" w:rsidP="00367CFC">
            <w:pPr>
              <w:jc w:val="both"/>
              <w:rPr>
                <w:strike/>
                <w:sz w:val="22"/>
                <w:lang w:val="es-ES" w:eastAsia="en-GB"/>
              </w:rPr>
            </w:pPr>
            <w:r w:rsidRPr="00A728F6">
              <w:rPr>
                <w:strike/>
                <w:sz w:val="22"/>
                <w:lang w:val="es-ES" w:eastAsia="en-GB"/>
              </w:rPr>
              <w:t xml:space="preserve">Este indicador se propone como un “corte” del indicador BIP </w:t>
            </w:r>
            <w:r w:rsidRPr="00A728F6">
              <w:rPr>
                <w:strike/>
                <w:sz w:val="22"/>
                <w:lang w:val="es-ES" w:eastAsia="en-GB"/>
              </w:rPr>
              <w:lastRenderedPageBreak/>
              <w:t>correspondiente para las especies migratorias (que se dice que está listo para su uso). Además de generar información sobre la especie en cuestión, serán posibles comparaciones entre el sub-conjunto de las especies migratorias y las tendencias para todas las especies. El indicador se encarga de la explotación de animales migratorios, y por lo tanto realmente no informa sobre cómo la meta se ocupa de impactos sobre tales especies causados por la explotación de</w:t>
            </w:r>
            <w:r w:rsidRPr="00A728F6">
              <w:rPr>
                <w:i/>
                <w:strike/>
                <w:sz w:val="22"/>
                <w:lang w:val="es-ES" w:eastAsia="en-GB"/>
              </w:rPr>
              <w:t xml:space="preserve"> otros</w:t>
            </w:r>
            <w:r w:rsidRPr="00A728F6">
              <w:rPr>
                <w:strike/>
                <w:sz w:val="22"/>
                <w:lang w:val="es-ES" w:eastAsia="en-GB"/>
              </w:rPr>
              <w:t xml:space="preserve"> recursos (puede que esta dimensión deba capturarse con sustitutos definidos en otros metas). Sin embargo, puede ofrecer datos útiles sobre la explotación más directa (y es relevante para la cooperación entre la CMS y CITES). Nota: los indicadores “huella” que se enumeran en las metas de Aichi correspondientes (4 y 7) están basados en los ecosistemas y no se prestan a la separación de argumentos específicos de las especies migratorias. </w:t>
            </w:r>
          </w:p>
          <w:p w14:paraId="7D061151" w14:textId="77777777" w:rsidR="00367CFC" w:rsidRPr="00A728F6" w:rsidRDefault="00367CFC" w:rsidP="00367CFC">
            <w:pPr>
              <w:jc w:val="both"/>
              <w:rPr>
                <w:strike/>
                <w:sz w:val="22"/>
                <w:lang w:val="es-ES" w:eastAsia="en-GB"/>
              </w:rPr>
            </w:pPr>
          </w:p>
          <w:p w14:paraId="6CD35BA4"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036F8F4E" w14:textId="77777777" w:rsidR="00367CFC" w:rsidRPr="00A728F6" w:rsidRDefault="00367CFC" w:rsidP="00367CFC">
            <w:pPr>
              <w:jc w:val="both"/>
              <w:rPr>
                <w:strike/>
                <w:sz w:val="22"/>
                <w:lang w:val="es-ES" w:eastAsia="en-GB"/>
              </w:rPr>
            </w:pPr>
          </w:p>
          <w:p w14:paraId="69D94607" w14:textId="77777777" w:rsidR="00367CFC" w:rsidRPr="00A728F6" w:rsidRDefault="00367CFC" w:rsidP="00367CFC">
            <w:pPr>
              <w:widowControl/>
              <w:numPr>
                <w:ilvl w:val="0"/>
                <w:numId w:val="6"/>
              </w:numPr>
              <w:jc w:val="both"/>
              <w:rPr>
                <w:strike/>
                <w:sz w:val="22"/>
                <w:lang w:val="es-ES" w:eastAsia="en-GB"/>
              </w:rPr>
            </w:pPr>
            <w:r w:rsidRPr="00A728F6">
              <w:rPr>
                <w:rFonts w:eastAsia="MS Mincho"/>
                <w:strike/>
                <w:sz w:val="22"/>
                <w:lang w:val="es-ES" w:eastAsia="ja-JP"/>
              </w:rPr>
              <w:t>(Ninguno)</w:t>
            </w:r>
          </w:p>
          <w:p w14:paraId="4F605834" w14:textId="77777777" w:rsidR="00367CFC" w:rsidRPr="00A728F6" w:rsidRDefault="00367CFC" w:rsidP="00367CFC">
            <w:pPr>
              <w:jc w:val="both"/>
              <w:rPr>
                <w:strike/>
                <w:sz w:val="22"/>
                <w:lang w:val="es-ES" w:eastAsia="en-GB"/>
              </w:rPr>
            </w:pPr>
          </w:p>
        </w:tc>
      </w:tr>
      <w:tr w:rsidR="00367CFC" w:rsidRPr="00DA2A2C" w14:paraId="0611E532" w14:textId="77777777" w:rsidTr="00367CFC">
        <w:tc>
          <w:tcPr>
            <w:tcW w:w="1818" w:type="dxa"/>
          </w:tcPr>
          <w:p w14:paraId="1DE8403F" w14:textId="77777777" w:rsidR="00367CFC" w:rsidRPr="00A728F6" w:rsidRDefault="00367CFC" w:rsidP="00367CFC">
            <w:pPr>
              <w:spacing w:before="40" w:after="40"/>
              <w:rPr>
                <w:strike/>
                <w:sz w:val="22"/>
                <w:lang w:val="es-ES" w:eastAsia="en-GB"/>
              </w:rPr>
            </w:pPr>
            <w:r w:rsidRPr="00A728F6">
              <w:rPr>
                <w:b/>
                <w:bCs/>
                <w:strike/>
                <w:sz w:val="22"/>
                <w:lang w:val="es-ES" w:eastAsia="en-GB"/>
              </w:rPr>
              <w:lastRenderedPageBreak/>
              <w:t>Meta 6</w:t>
            </w:r>
            <w:r w:rsidRPr="00A728F6">
              <w:rPr>
                <w:bCs/>
                <w:strike/>
                <w:sz w:val="22"/>
                <w:lang w:val="es-ES" w:eastAsia="en-GB"/>
              </w:rPr>
              <w:t xml:space="preserve">: </w:t>
            </w:r>
          </w:p>
          <w:p w14:paraId="71F56BDA" w14:textId="77777777" w:rsidR="00367CFC" w:rsidRPr="00A728F6" w:rsidRDefault="00367CFC" w:rsidP="00367CFC">
            <w:pPr>
              <w:rPr>
                <w:strike/>
                <w:sz w:val="22"/>
                <w:lang w:val="es-ES" w:eastAsia="en-GB"/>
              </w:rPr>
            </w:pPr>
          </w:p>
        </w:tc>
        <w:tc>
          <w:tcPr>
            <w:tcW w:w="6710" w:type="dxa"/>
          </w:tcPr>
          <w:p w14:paraId="6F378886"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407D601C" w14:textId="77777777" w:rsidR="00367CFC" w:rsidRPr="00A728F6" w:rsidRDefault="00367CFC" w:rsidP="00367CFC">
            <w:pPr>
              <w:jc w:val="both"/>
              <w:rPr>
                <w:strike/>
                <w:sz w:val="22"/>
                <w:lang w:val="es-ES" w:eastAsia="en-GB"/>
              </w:rPr>
            </w:pPr>
          </w:p>
          <w:p w14:paraId="24DCED83"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Proporción de poblaciones de peces migratorios dentro de los límites biológicos seguros.</w:t>
            </w:r>
          </w:p>
          <w:p w14:paraId="4A907E2D" w14:textId="77777777" w:rsidR="00367CFC" w:rsidRPr="00A728F6" w:rsidRDefault="00367CFC" w:rsidP="00367CFC">
            <w:pPr>
              <w:jc w:val="both"/>
              <w:rPr>
                <w:strike/>
                <w:sz w:val="22"/>
                <w:lang w:val="es-ES" w:eastAsia="en-GB"/>
              </w:rPr>
            </w:pPr>
          </w:p>
          <w:p w14:paraId="2445580B" w14:textId="61A53644"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Este indicador se propone como un “corte” del indicador BIP correspondiente para las especies migratorias, que se dice que está listo para su uso (tanto por parte de AHTEG como BIP); y es un indicador al que se refieren muchos instrumentos internacionales, por ejemplo</w:t>
            </w:r>
            <w:r w:rsidR="00D77525">
              <w:rPr>
                <w:rFonts w:eastAsia="MS Mincho"/>
                <w:strike/>
                <w:sz w:val="22"/>
                <w:lang w:val="es-ES" w:eastAsia="ja-JP"/>
              </w:rPr>
              <w:t>,</w:t>
            </w:r>
            <w:r w:rsidRPr="00A728F6">
              <w:rPr>
                <w:rFonts w:eastAsia="MS Mincho"/>
                <w:strike/>
                <w:sz w:val="22"/>
                <w:lang w:val="es-ES" w:eastAsia="ja-JP"/>
              </w:rPr>
              <w:t xml:space="preserve"> sobre el Derecho del Mar, el Acuerdo sobre las Poblaciones de Peces de la ONU, el Código de Conducta para la Pesca Responsable, y los ODM. </w:t>
            </w:r>
          </w:p>
          <w:p w14:paraId="134F73B8" w14:textId="77777777" w:rsidR="00367CFC" w:rsidRPr="00A728F6" w:rsidRDefault="00367CFC" w:rsidP="00367CFC">
            <w:pPr>
              <w:jc w:val="both"/>
              <w:rPr>
                <w:strike/>
                <w:sz w:val="22"/>
                <w:lang w:val="es-ES" w:eastAsia="en-GB"/>
              </w:rPr>
            </w:pPr>
          </w:p>
          <w:p w14:paraId="6A170586"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103BE1EA" w14:textId="77777777" w:rsidR="00367CFC" w:rsidRPr="00A728F6" w:rsidRDefault="00367CFC" w:rsidP="00367CFC">
            <w:pPr>
              <w:jc w:val="both"/>
              <w:rPr>
                <w:strike/>
                <w:sz w:val="22"/>
                <w:lang w:val="es-ES" w:eastAsia="en-GB"/>
              </w:rPr>
            </w:pPr>
          </w:p>
          <w:p w14:paraId="645687A0" w14:textId="77777777" w:rsidR="00367CFC" w:rsidRPr="00A728F6" w:rsidRDefault="00367CFC" w:rsidP="00367CFC">
            <w:pPr>
              <w:widowControl/>
              <w:numPr>
                <w:ilvl w:val="0"/>
                <w:numId w:val="7"/>
              </w:numPr>
              <w:autoSpaceDE/>
              <w:autoSpaceDN/>
              <w:adjustRightInd/>
              <w:jc w:val="both"/>
              <w:rPr>
                <w:strike/>
                <w:sz w:val="22"/>
                <w:lang w:val="es-ES" w:eastAsia="en-GB"/>
              </w:rPr>
            </w:pPr>
            <w:r w:rsidRPr="00A728F6">
              <w:rPr>
                <w:strike/>
                <w:sz w:val="22"/>
                <w:lang w:val="es-ES" w:eastAsia="en-GB"/>
              </w:rPr>
              <w:t>(Ninguno)</w:t>
            </w:r>
          </w:p>
          <w:p w14:paraId="669DF91D" w14:textId="77777777" w:rsidR="00367CFC" w:rsidRPr="00A728F6" w:rsidRDefault="00367CFC" w:rsidP="00367CFC">
            <w:pPr>
              <w:jc w:val="both"/>
              <w:rPr>
                <w:rFonts w:eastAsia="MS Mincho"/>
                <w:strike/>
                <w:sz w:val="22"/>
                <w:lang w:val="es-ES" w:eastAsia="ja-JP"/>
              </w:rPr>
            </w:pPr>
          </w:p>
          <w:p w14:paraId="556AAE44"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El seguimiento de otros aspectos de esta meta, incluyendo impactos de la caza, puede incluirse en los indicadores definidos para las metas 5, 7 y 8. </w:t>
            </w:r>
          </w:p>
          <w:p w14:paraId="78AC53A5" w14:textId="77777777" w:rsidR="00367CFC" w:rsidRPr="00A728F6" w:rsidRDefault="00367CFC" w:rsidP="00367CFC">
            <w:pPr>
              <w:jc w:val="both"/>
              <w:rPr>
                <w:strike/>
                <w:sz w:val="22"/>
                <w:lang w:val="es-ES" w:eastAsia="en-GB"/>
              </w:rPr>
            </w:pPr>
          </w:p>
        </w:tc>
      </w:tr>
      <w:tr w:rsidR="00367CFC" w:rsidRPr="00DA2A2C" w14:paraId="4731E4AE" w14:textId="77777777" w:rsidTr="00367CFC">
        <w:tc>
          <w:tcPr>
            <w:tcW w:w="1818" w:type="dxa"/>
          </w:tcPr>
          <w:p w14:paraId="77925334" w14:textId="77777777" w:rsidR="00367CFC" w:rsidRPr="00A728F6" w:rsidRDefault="00367CFC" w:rsidP="00367CFC">
            <w:pPr>
              <w:spacing w:before="40" w:after="40"/>
              <w:rPr>
                <w:strike/>
                <w:sz w:val="22"/>
                <w:lang w:val="es-ES" w:eastAsia="en-GB"/>
              </w:rPr>
            </w:pPr>
            <w:r w:rsidRPr="00A728F6">
              <w:rPr>
                <w:b/>
                <w:strike/>
                <w:sz w:val="22"/>
                <w:lang w:val="es-ES" w:eastAsia="en-GB"/>
              </w:rPr>
              <w:t>Meta 7</w:t>
            </w:r>
            <w:r w:rsidRPr="00A728F6">
              <w:rPr>
                <w:strike/>
                <w:sz w:val="22"/>
                <w:lang w:val="es-ES" w:eastAsia="en-GB"/>
              </w:rPr>
              <w:t xml:space="preserve">: </w:t>
            </w:r>
          </w:p>
          <w:p w14:paraId="438ED9E4" w14:textId="77777777" w:rsidR="00367CFC" w:rsidRPr="00A728F6" w:rsidRDefault="00367CFC" w:rsidP="00367CFC">
            <w:pPr>
              <w:rPr>
                <w:strike/>
                <w:sz w:val="22"/>
                <w:lang w:val="es-ES" w:eastAsia="en-GB"/>
              </w:rPr>
            </w:pPr>
          </w:p>
        </w:tc>
        <w:tc>
          <w:tcPr>
            <w:tcW w:w="6710" w:type="dxa"/>
          </w:tcPr>
          <w:p w14:paraId="5A49DE29"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5EDCBF08" w14:textId="77777777" w:rsidR="00367CFC" w:rsidRPr="00A728F6" w:rsidRDefault="00367CFC" w:rsidP="00367CFC">
            <w:pPr>
              <w:jc w:val="both"/>
              <w:rPr>
                <w:strike/>
                <w:sz w:val="22"/>
                <w:lang w:val="es-ES" w:eastAsia="en-GB"/>
              </w:rPr>
            </w:pPr>
          </w:p>
          <w:p w14:paraId="55998493"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rFonts w:eastAsia="MS Mincho"/>
                <w:strike/>
                <w:sz w:val="22"/>
                <w:lang w:val="es-ES" w:eastAsia="ja-JP"/>
              </w:rPr>
              <w:t>Tendencias en cuanto a las amenazas a las especies migratorias (general).</w:t>
            </w:r>
          </w:p>
          <w:p w14:paraId="7D7FE01A" w14:textId="77777777" w:rsidR="00367CFC" w:rsidRPr="00A728F6" w:rsidRDefault="00367CFC" w:rsidP="00367CFC">
            <w:pPr>
              <w:widowControl/>
              <w:numPr>
                <w:ilvl w:val="0"/>
                <w:numId w:val="6"/>
              </w:numPr>
              <w:autoSpaceDE/>
              <w:autoSpaceDN/>
              <w:adjustRightInd/>
              <w:jc w:val="both"/>
              <w:rPr>
                <w:rFonts w:eastAsia="MS Mincho"/>
                <w:strike/>
                <w:sz w:val="22"/>
                <w:lang w:val="es-ES" w:eastAsia="ja-JP"/>
              </w:rPr>
            </w:pPr>
            <w:r w:rsidRPr="00A728F6">
              <w:rPr>
                <w:rFonts w:eastAsia="MS Mincho"/>
                <w:strike/>
                <w:sz w:val="22"/>
                <w:lang w:val="es-ES" w:eastAsia="ja-JP"/>
              </w:rPr>
              <w:t>Tendencias en cuanto a las amenazas a las especies migratorias. (</w:t>
            </w:r>
            <w:r w:rsidRPr="00A728F6">
              <w:rPr>
                <w:strike/>
                <w:sz w:val="22"/>
                <w:lang w:val="es-ES" w:eastAsia="en-GB"/>
              </w:rPr>
              <w:t>sub-indicadores sobre tipos específicos de amenaza)</w:t>
            </w:r>
          </w:p>
          <w:p w14:paraId="2DC54A72" w14:textId="77777777" w:rsidR="00367CFC" w:rsidRPr="00A728F6" w:rsidRDefault="00367CFC" w:rsidP="00367CFC">
            <w:pPr>
              <w:jc w:val="both"/>
              <w:rPr>
                <w:rFonts w:eastAsia="MS Mincho"/>
                <w:strike/>
                <w:sz w:val="22"/>
                <w:highlight w:val="yellow"/>
                <w:lang w:val="es-ES" w:eastAsia="ja-JP"/>
              </w:rPr>
            </w:pPr>
          </w:p>
          <w:p w14:paraId="04C5BAC7" w14:textId="188B3413"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Estos indicadores requieren cierto desarrollo, que debe ser una prioridad, y si bien la cuestión es compleja, debería ser posible generar por lo menos algunos datos útiles de manera regular. Aislar </w:t>
            </w:r>
            <w:r w:rsidRPr="00A728F6">
              <w:rPr>
                <w:rFonts w:eastAsia="MS Mincho"/>
                <w:strike/>
                <w:sz w:val="22"/>
                <w:lang w:val="es-ES" w:eastAsia="ja-JP"/>
              </w:rPr>
              <w:lastRenderedPageBreak/>
              <w:t>las amenazas a las especies migratorias de los sistemas de monitoreo existentes podría ser complejo, y monitorear las tendencias en, por ejemplo, distribución de los “obstáculos a la migración” puede que no tenga necesariamente sustitutos para el impacto real, por lo que hay aspectos problemáticos. Sin embargo</w:t>
            </w:r>
            <w:r w:rsidR="00D77525">
              <w:rPr>
                <w:rFonts w:eastAsia="MS Mincho"/>
                <w:strike/>
                <w:sz w:val="22"/>
                <w:lang w:val="es-ES" w:eastAsia="ja-JP"/>
              </w:rPr>
              <w:t>,</w:t>
            </w:r>
            <w:r w:rsidRPr="00A728F6">
              <w:rPr>
                <w:rFonts w:eastAsia="MS Mincho"/>
                <w:strike/>
                <w:sz w:val="22"/>
                <w:lang w:val="es-ES" w:eastAsia="ja-JP"/>
              </w:rPr>
              <w:t xml:space="preserve"> los Informes nacionales de CMS generan información sobre amenazas relacionadas específicamente con los migrantes, y aunque la información está sin tratar y es anecdótica (y dará una imagen incompleta, dado que la meta se aplica por igual a los países que no son Parte de CMS), puede proporcionar un punto de entrada pragmático. Hay que examinar otros sistemas de vigilancia de las amenazas sobre el alcance a fin de extraer un “corte” de los datos para especies migratorias. </w:t>
            </w:r>
          </w:p>
          <w:p w14:paraId="309B2316" w14:textId="77777777" w:rsidR="00367CFC" w:rsidRPr="00A728F6" w:rsidRDefault="00367CFC" w:rsidP="00367CFC">
            <w:pPr>
              <w:jc w:val="both"/>
              <w:rPr>
                <w:rFonts w:eastAsia="MS Mincho"/>
                <w:strike/>
                <w:sz w:val="22"/>
                <w:highlight w:val="yellow"/>
                <w:lang w:val="es-ES" w:eastAsia="ja-JP"/>
              </w:rPr>
            </w:pPr>
          </w:p>
          <w:p w14:paraId="4A9DBEB6" w14:textId="77777777"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Los sub-indicadores sobre los tipos de amenazas específicas en algunos casos pueden ser un punto de partida más fácil y tendrán especificidad útil para orientar respuestas políticas. El indicador “global” también es importante, sin embargo, ya que la meta 7 se ocupa principalmente de la naturaleza aditiva de todas las amenazas (y es instructivo para detectar tendencias en la importancia relativa de los diferentes tipos).</w:t>
            </w:r>
          </w:p>
          <w:p w14:paraId="20AA1D0B" w14:textId="77777777" w:rsidR="00367CFC" w:rsidRPr="00A728F6" w:rsidRDefault="00367CFC" w:rsidP="00367CFC">
            <w:pPr>
              <w:jc w:val="both"/>
              <w:rPr>
                <w:strike/>
                <w:sz w:val="22"/>
                <w:lang w:val="es-ES" w:eastAsia="en-GB"/>
              </w:rPr>
            </w:pPr>
          </w:p>
          <w:p w14:paraId="3928E911" w14:textId="34F2B0E2" w:rsidR="00367CFC" w:rsidRPr="00A728F6" w:rsidRDefault="00367CFC" w:rsidP="00367CFC">
            <w:pPr>
              <w:jc w:val="both"/>
              <w:rPr>
                <w:strike/>
                <w:sz w:val="22"/>
                <w:lang w:val="es-ES" w:eastAsia="en-GB"/>
              </w:rPr>
            </w:pPr>
            <w:r w:rsidRPr="00A728F6">
              <w:rPr>
                <w:strike/>
                <w:sz w:val="22"/>
                <w:lang w:val="es-ES" w:eastAsia="en-GB"/>
              </w:rPr>
              <w:t>(Aquí el riesgo de extinción se considera un indicador de estado, más que un indicador de presión, por lo que se sitúa mejor bajo la meta 8).</w:t>
            </w:r>
          </w:p>
          <w:p w14:paraId="7182023F" w14:textId="77777777" w:rsidR="00367CFC" w:rsidRPr="00A728F6" w:rsidRDefault="00367CFC" w:rsidP="00367CFC">
            <w:pPr>
              <w:jc w:val="both"/>
              <w:rPr>
                <w:strike/>
                <w:sz w:val="22"/>
                <w:lang w:val="es-ES" w:eastAsia="en-GB"/>
              </w:rPr>
            </w:pPr>
          </w:p>
          <w:p w14:paraId="239D1942"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5CDEC1E1" w14:textId="77777777" w:rsidR="00367CFC" w:rsidRPr="00A728F6" w:rsidRDefault="00367CFC" w:rsidP="00367CFC">
            <w:pPr>
              <w:jc w:val="both"/>
              <w:rPr>
                <w:strike/>
                <w:sz w:val="22"/>
                <w:lang w:val="es-ES" w:eastAsia="en-GB"/>
              </w:rPr>
            </w:pPr>
          </w:p>
          <w:p w14:paraId="68C0CAD3" w14:textId="77777777" w:rsidR="00367CFC" w:rsidRPr="00A728F6" w:rsidRDefault="00367CFC" w:rsidP="00367CFC">
            <w:pPr>
              <w:widowControl/>
              <w:numPr>
                <w:ilvl w:val="0"/>
                <w:numId w:val="8"/>
              </w:numPr>
              <w:autoSpaceDE/>
              <w:autoSpaceDN/>
              <w:adjustRightInd/>
              <w:jc w:val="both"/>
              <w:rPr>
                <w:strike/>
                <w:sz w:val="22"/>
                <w:lang w:val="es-ES" w:eastAsia="en-GB"/>
              </w:rPr>
            </w:pPr>
            <w:r w:rsidRPr="00A728F6">
              <w:rPr>
                <w:strike/>
                <w:sz w:val="22"/>
                <w:lang w:val="es-ES" w:eastAsia="en-GB"/>
              </w:rPr>
              <w:t xml:space="preserve">Otros sub-indicadores sobre tipos de amenazas adicionales/más específicas </w:t>
            </w:r>
          </w:p>
        </w:tc>
      </w:tr>
      <w:tr w:rsidR="00367CFC" w:rsidRPr="00DA2A2C" w14:paraId="50AD9673" w14:textId="77777777" w:rsidTr="00367CFC">
        <w:tc>
          <w:tcPr>
            <w:tcW w:w="1818" w:type="dxa"/>
          </w:tcPr>
          <w:p w14:paraId="601ED3DB" w14:textId="77777777" w:rsidR="00367CFC" w:rsidRPr="00A728F6" w:rsidRDefault="00367CFC" w:rsidP="00367CFC">
            <w:pPr>
              <w:spacing w:before="40" w:after="40"/>
              <w:rPr>
                <w:strike/>
                <w:sz w:val="22"/>
                <w:lang w:val="es-ES" w:eastAsia="en-GB"/>
              </w:rPr>
            </w:pPr>
            <w:r w:rsidRPr="00A728F6">
              <w:rPr>
                <w:b/>
                <w:strike/>
                <w:sz w:val="22"/>
                <w:lang w:val="es-ES" w:eastAsia="en-GB"/>
              </w:rPr>
              <w:lastRenderedPageBreak/>
              <w:t>Meta 8</w:t>
            </w:r>
            <w:r w:rsidRPr="00A728F6">
              <w:rPr>
                <w:strike/>
                <w:sz w:val="22"/>
                <w:lang w:val="es-ES" w:eastAsia="en-GB"/>
              </w:rPr>
              <w:t xml:space="preserve">: </w:t>
            </w:r>
          </w:p>
          <w:p w14:paraId="19B260F0" w14:textId="77777777" w:rsidR="00367CFC" w:rsidRPr="00A728F6" w:rsidRDefault="00367CFC" w:rsidP="00367CFC">
            <w:pPr>
              <w:rPr>
                <w:strike/>
                <w:sz w:val="22"/>
                <w:lang w:val="es-ES" w:eastAsia="en-GB"/>
              </w:rPr>
            </w:pPr>
          </w:p>
        </w:tc>
        <w:tc>
          <w:tcPr>
            <w:tcW w:w="6710" w:type="dxa"/>
          </w:tcPr>
          <w:p w14:paraId="6B3D8BA3"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3322CBC0" w14:textId="77777777" w:rsidR="00367CFC" w:rsidRPr="00A728F6" w:rsidRDefault="00367CFC" w:rsidP="00367CFC">
            <w:pPr>
              <w:jc w:val="both"/>
              <w:rPr>
                <w:strike/>
                <w:sz w:val="22"/>
                <w:lang w:val="es-ES" w:eastAsia="en-GB"/>
              </w:rPr>
            </w:pPr>
          </w:p>
          <w:p w14:paraId="58EF4F01"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Índice de la Lista Roja de especies migratorias.</w:t>
            </w:r>
          </w:p>
          <w:p w14:paraId="6FB6B36D"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Índice del Planeta Vivo para las especies migratorias.</w:t>
            </w:r>
          </w:p>
          <w:p w14:paraId="4F0E432D"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Índice de Aves Silvestres para las aves migratorias.</w:t>
            </w:r>
          </w:p>
          <w:p w14:paraId="7133E272" w14:textId="77777777" w:rsidR="00367CFC" w:rsidRPr="00A728F6" w:rsidRDefault="00367CFC" w:rsidP="00367CFC">
            <w:pPr>
              <w:jc w:val="both"/>
              <w:rPr>
                <w:rFonts w:eastAsia="MS Mincho"/>
                <w:strike/>
                <w:sz w:val="22"/>
                <w:lang w:val="es-ES" w:eastAsia="ja-JP"/>
              </w:rPr>
            </w:pPr>
          </w:p>
          <w:p w14:paraId="6E832C18" w14:textId="77777777" w:rsidR="00367CFC" w:rsidRPr="00A728F6" w:rsidRDefault="00367CFC" w:rsidP="00367CFC">
            <w:pPr>
              <w:jc w:val="both"/>
              <w:rPr>
                <w:strike/>
                <w:sz w:val="22"/>
                <w:lang w:val="es-ES" w:eastAsia="en-GB"/>
              </w:rPr>
            </w:pPr>
            <w:r w:rsidRPr="00A728F6">
              <w:rPr>
                <w:strike/>
                <w:sz w:val="22"/>
                <w:lang w:val="es-ES" w:eastAsia="en-GB"/>
              </w:rPr>
              <w:t xml:space="preserve">Los tres indicadores propuestos aquí son sub-conjuntos de indicadores existentes, aparentemente viables, actualmente en operación (para más detalles véase BIP). La presentación de informes debe diseñarse para que hay referencias cruzadas específicas (en su caso) con los Apéndices de la CMS y/o Apéndices en los instrumentos de la CMS </w:t>
            </w:r>
          </w:p>
          <w:p w14:paraId="393F7826" w14:textId="77777777" w:rsidR="00367CFC" w:rsidRPr="00A728F6" w:rsidRDefault="00367CFC" w:rsidP="00367CFC">
            <w:pPr>
              <w:jc w:val="both"/>
              <w:rPr>
                <w:strike/>
                <w:sz w:val="22"/>
                <w:lang w:val="es-ES" w:eastAsia="en-GB"/>
              </w:rPr>
            </w:pPr>
          </w:p>
          <w:p w14:paraId="52F12524"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082AC008" w14:textId="77777777" w:rsidR="00367CFC" w:rsidRPr="00A728F6" w:rsidRDefault="00367CFC" w:rsidP="00367CFC">
            <w:pPr>
              <w:jc w:val="both"/>
              <w:rPr>
                <w:strike/>
                <w:sz w:val="22"/>
                <w:lang w:val="es-ES" w:eastAsia="en-GB"/>
              </w:rPr>
            </w:pPr>
          </w:p>
          <w:p w14:paraId="6B15A03C"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en la distribución de las especies migratorias.</w:t>
            </w:r>
          </w:p>
          <w:p w14:paraId="37B119E1" w14:textId="77777777" w:rsidR="00367CFC" w:rsidRPr="00A728F6" w:rsidRDefault="00367CFC" w:rsidP="00367CFC">
            <w:pPr>
              <w:jc w:val="both"/>
              <w:rPr>
                <w:rFonts w:eastAsia="MS Mincho"/>
                <w:strike/>
                <w:sz w:val="22"/>
                <w:lang w:val="es-ES" w:eastAsia="ja-JP"/>
              </w:rPr>
            </w:pPr>
          </w:p>
          <w:p w14:paraId="203A9EC9" w14:textId="2CC6C9EF"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Esta propuesta se basa en un indicador de que es una “prioridad a desarrollarse” del CDB, y aborda el elemento clave de la condición favorable para los migrantes en relación con el mantenimiento del área de distribución. Será difícil una medición graduada de esto para la mayoría de las especies; pero</w:t>
            </w:r>
            <w:r w:rsidR="00D77525">
              <w:rPr>
                <w:rFonts w:eastAsia="MS Mincho"/>
                <w:strike/>
                <w:sz w:val="22"/>
                <w:lang w:val="es-ES" w:eastAsia="ja-JP"/>
              </w:rPr>
              <w:t>,</w:t>
            </w:r>
            <w:r w:rsidRPr="00A728F6">
              <w:rPr>
                <w:rFonts w:eastAsia="MS Mincho"/>
                <w:strike/>
                <w:sz w:val="22"/>
                <w:lang w:val="es-ES" w:eastAsia="ja-JP"/>
              </w:rPr>
              <w:t xml:space="preserve"> para empezar, podría </w:t>
            </w:r>
            <w:r w:rsidRPr="00A728F6">
              <w:rPr>
                <w:rFonts w:eastAsia="MS Mincho"/>
                <w:strike/>
                <w:sz w:val="22"/>
                <w:lang w:val="es-ES" w:eastAsia="ja-JP"/>
              </w:rPr>
              <w:lastRenderedPageBreak/>
              <w:t xml:space="preserve">construirse un índice básico basándose en los cambios en las listas de la CMS sobre los Estados del área de distribución para las especies incluidas en Apéndices, que se mantiene regularmente. Probablemente muestre solamente los cambios más drásticos y retrasados; y el proceso de actualización de la lista de Estados del área sufre de algunos problemas de control de calidad que también deben abordarse. El método potencialmente podría adaptarse para su uso por ejemplo a nivel de las regiones administrativas sub-nacionales. </w:t>
            </w:r>
          </w:p>
          <w:p w14:paraId="03EA5AE4" w14:textId="77777777" w:rsidR="00367CFC" w:rsidRPr="00A728F6" w:rsidRDefault="00367CFC" w:rsidP="00367CFC">
            <w:pPr>
              <w:jc w:val="both"/>
              <w:rPr>
                <w:strike/>
                <w:sz w:val="22"/>
                <w:lang w:val="es-ES" w:eastAsia="en-GB"/>
              </w:rPr>
            </w:pPr>
          </w:p>
        </w:tc>
      </w:tr>
      <w:tr w:rsidR="00367CFC" w:rsidRPr="00DA2A2C" w14:paraId="207C0015" w14:textId="77777777" w:rsidTr="00367CFC">
        <w:tc>
          <w:tcPr>
            <w:tcW w:w="1818" w:type="dxa"/>
          </w:tcPr>
          <w:p w14:paraId="2E718768" w14:textId="77777777" w:rsidR="00367CFC" w:rsidRPr="00A728F6" w:rsidRDefault="00367CFC" w:rsidP="00367CFC">
            <w:pPr>
              <w:rPr>
                <w:strike/>
                <w:sz w:val="22"/>
                <w:lang w:val="es-ES" w:eastAsia="en-GB"/>
              </w:rPr>
            </w:pPr>
            <w:r w:rsidRPr="00A728F6">
              <w:rPr>
                <w:b/>
                <w:strike/>
                <w:sz w:val="22"/>
                <w:lang w:val="es-ES" w:eastAsia="en-GB"/>
              </w:rPr>
              <w:lastRenderedPageBreak/>
              <w:t>Meta 9</w:t>
            </w:r>
            <w:r w:rsidRPr="00A728F6">
              <w:rPr>
                <w:strike/>
                <w:sz w:val="22"/>
                <w:lang w:val="es-ES" w:eastAsia="en-GB"/>
              </w:rPr>
              <w:t xml:space="preserve">: </w:t>
            </w:r>
          </w:p>
          <w:p w14:paraId="54645B26" w14:textId="77777777" w:rsidR="00367CFC" w:rsidRPr="00A728F6" w:rsidRDefault="00367CFC" w:rsidP="00367CFC">
            <w:pPr>
              <w:spacing w:before="40" w:after="40"/>
              <w:rPr>
                <w:strike/>
                <w:sz w:val="22"/>
                <w:lang w:val="es-ES" w:eastAsia="en-GB"/>
              </w:rPr>
            </w:pPr>
          </w:p>
        </w:tc>
        <w:tc>
          <w:tcPr>
            <w:tcW w:w="6710" w:type="dxa"/>
          </w:tcPr>
          <w:p w14:paraId="2909ADC1"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735B7CA2" w14:textId="77777777" w:rsidR="00367CFC" w:rsidRPr="00A728F6" w:rsidRDefault="00367CFC" w:rsidP="00367CFC">
            <w:pPr>
              <w:jc w:val="both"/>
              <w:rPr>
                <w:strike/>
                <w:sz w:val="22"/>
                <w:lang w:val="es-ES" w:eastAsia="en-GB"/>
              </w:rPr>
            </w:pPr>
          </w:p>
          <w:p w14:paraId="17C9438C"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1F310C88" w14:textId="77777777" w:rsidR="00367CFC" w:rsidRPr="00A728F6" w:rsidRDefault="00367CFC" w:rsidP="00367CFC">
            <w:pPr>
              <w:jc w:val="both"/>
              <w:rPr>
                <w:strike/>
                <w:sz w:val="22"/>
                <w:lang w:val="es-ES" w:eastAsia="en-GB"/>
              </w:rPr>
            </w:pPr>
          </w:p>
          <w:p w14:paraId="37BA7980"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07D3F0E8" w14:textId="77777777" w:rsidR="00367CFC" w:rsidRPr="00A728F6" w:rsidRDefault="00367CFC" w:rsidP="00367CFC">
            <w:pPr>
              <w:jc w:val="both"/>
              <w:rPr>
                <w:strike/>
                <w:sz w:val="22"/>
                <w:lang w:val="es-ES" w:eastAsia="en-GB"/>
              </w:rPr>
            </w:pPr>
          </w:p>
          <w:p w14:paraId="68CD99BE"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 xml:space="preserve">Tendencias en la cobertura relativa al rango de los acuerdos sobre especies migratorias y otras acciones concertadas entre Estados </w:t>
            </w:r>
          </w:p>
          <w:p w14:paraId="32900755" w14:textId="77777777" w:rsidR="00367CFC" w:rsidRPr="00A728F6" w:rsidRDefault="00367CFC" w:rsidP="00367CFC">
            <w:pPr>
              <w:jc w:val="both"/>
              <w:rPr>
                <w:rFonts w:eastAsia="MS Mincho"/>
                <w:strike/>
                <w:sz w:val="22"/>
                <w:lang w:val="es-ES" w:eastAsia="ja-JP"/>
              </w:rPr>
            </w:pPr>
          </w:p>
          <w:p w14:paraId="5A7624A4" w14:textId="2D30C950"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Este indicador requiere desarrollo. Uno de sus grandes componentes (aunque no necesariamente todos) podría comenzar a partir de la información existente sobre el estado de ratificación de los Acuerdos de la familia CMS, acciones concertadas y cooperativas formales y planes de acción para especies en el marco de la CMS. Poner en práctica el indicador para esta meta, sin embargo, requiere un paso adicional a fin de relacionar esta información con datos sobre áreas de distribución de las especies, ya que el propósito es mostrar cómo es de completa la participación internacional en cuanto a cada una de las especies en cuestión. Bajo la CMS ya se manejan datos de áreas de distribución a nivel de las listas de Estados del área, aunque sufre de algunos problemas de control de calidad que deben ser abordados. El título indicador está necesariamente abreviado; pero “otras acciones concertadas” debe entenderse como aquellas que abarcan los planes de acción y equivalentes (es decir, no sólo el mecanismo “acciones concertadas” específico tal como la CMS lo estableció formalmente); y “cobertura” debe entenderse como (al menos potencialmente) que abarca tanto la cobertura geográfica como una medida de la participación activa de los Estados del área. </w:t>
            </w:r>
          </w:p>
          <w:p w14:paraId="01687C7A" w14:textId="77777777" w:rsidR="00367CFC" w:rsidRPr="00A728F6" w:rsidRDefault="00367CFC" w:rsidP="00367CFC">
            <w:pPr>
              <w:jc w:val="both"/>
              <w:rPr>
                <w:strike/>
                <w:sz w:val="22"/>
                <w:lang w:val="es-ES" w:eastAsia="en-GB"/>
              </w:rPr>
            </w:pPr>
          </w:p>
        </w:tc>
      </w:tr>
      <w:tr w:rsidR="00367CFC" w:rsidRPr="00DA2A2C" w14:paraId="0AB6EA6E" w14:textId="77777777" w:rsidTr="00367CFC">
        <w:tc>
          <w:tcPr>
            <w:tcW w:w="1818" w:type="dxa"/>
          </w:tcPr>
          <w:p w14:paraId="501BDC1A" w14:textId="77777777" w:rsidR="00367CFC" w:rsidRPr="00A728F6" w:rsidRDefault="00367CFC" w:rsidP="00367CFC">
            <w:pPr>
              <w:spacing w:before="40" w:after="40"/>
              <w:rPr>
                <w:strike/>
                <w:sz w:val="22"/>
                <w:lang w:val="es-ES" w:eastAsia="en-GB"/>
              </w:rPr>
            </w:pPr>
            <w:r w:rsidRPr="00A728F6">
              <w:rPr>
                <w:b/>
                <w:strike/>
                <w:sz w:val="22"/>
                <w:lang w:val="es-ES" w:eastAsia="en-GB"/>
              </w:rPr>
              <w:t>Meta 10</w:t>
            </w:r>
            <w:r w:rsidRPr="00A728F6">
              <w:rPr>
                <w:strike/>
                <w:sz w:val="22"/>
                <w:lang w:val="es-ES" w:eastAsia="en-GB"/>
              </w:rPr>
              <w:t xml:space="preserve">: </w:t>
            </w:r>
          </w:p>
          <w:p w14:paraId="57D7B8CF" w14:textId="77777777" w:rsidR="00367CFC" w:rsidRPr="00A728F6" w:rsidRDefault="00367CFC" w:rsidP="00367CFC">
            <w:pPr>
              <w:spacing w:before="40" w:after="40"/>
              <w:rPr>
                <w:strike/>
                <w:sz w:val="22"/>
                <w:lang w:val="es-ES" w:eastAsia="en-GB"/>
              </w:rPr>
            </w:pPr>
          </w:p>
        </w:tc>
        <w:tc>
          <w:tcPr>
            <w:tcW w:w="6710" w:type="dxa"/>
          </w:tcPr>
          <w:p w14:paraId="09D9B9D0"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00BA2786" w14:textId="77777777" w:rsidR="00367CFC" w:rsidRPr="00A728F6" w:rsidRDefault="00367CFC" w:rsidP="00367CFC">
            <w:pPr>
              <w:jc w:val="both"/>
              <w:rPr>
                <w:strike/>
                <w:sz w:val="22"/>
                <w:lang w:val="es-ES" w:eastAsia="en-GB"/>
              </w:rPr>
            </w:pPr>
          </w:p>
          <w:p w14:paraId="008AF3AF"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6DB3364C" w14:textId="77777777" w:rsidR="00367CFC" w:rsidRPr="00A728F6" w:rsidRDefault="00367CFC" w:rsidP="00367CFC">
            <w:pPr>
              <w:jc w:val="both"/>
              <w:rPr>
                <w:strike/>
                <w:sz w:val="22"/>
                <w:lang w:val="es-ES" w:eastAsia="en-GB"/>
              </w:rPr>
            </w:pPr>
          </w:p>
          <w:p w14:paraId="0F36F004"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49A2920F" w14:textId="77777777" w:rsidR="00367CFC" w:rsidRPr="00A728F6" w:rsidRDefault="00367CFC" w:rsidP="00367CFC">
            <w:pPr>
              <w:jc w:val="both"/>
              <w:rPr>
                <w:strike/>
                <w:sz w:val="22"/>
                <w:lang w:val="es-ES" w:eastAsia="en-GB"/>
              </w:rPr>
            </w:pPr>
          </w:p>
          <w:p w14:paraId="7CCA23A9"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sobre el estado de conservación, incluida la conectividad, de los hábitats identificados de importancia fundamental para las especies migratorias.</w:t>
            </w:r>
          </w:p>
          <w:p w14:paraId="71C6FEE8"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Cobertura de hábitats fundamentales para especies migratorias en áreas protegidas.</w:t>
            </w:r>
          </w:p>
          <w:p w14:paraId="7A2DF580"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lastRenderedPageBreak/>
              <w:t>Eficacia de la gestión de áreas protegidas específicamente para las especies migratorias.</w:t>
            </w:r>
          </w:p>
          <w:p w14:paraId="50302D01" w14:textId="77777777" w:rsidR="00367CFC" w:rsidRPr="00A728F6" w:rsidRDefault="00367CFC" w:rsidP="00367CFC">
            <w:pPr>
              <w:jc w:val="both"/>
              <w:rPr>
                <w:rFonts w:eastAsia="MS Mincho"/>
                <w:strike/>
                <w:sz w:val="22"/>
                <w:highlight w:val="yellow"/>
                <w:lang w:val="es-ES" w:eastAsia="ja-JP"/>
              </w:rPr>
            </w:pPr>
          </w:p>
          <w:p w14:paraId="633B62CB" w14:textId="77777777"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El primero de estos tres indicadores recoge en el indicador AHTEG “Tendencias en la conectividad de los enfoques basados en áreas y áreas protegidas integrados en paisajes terrestres y marinos”. Requiere desarrollo. Su viabilidad plantea retos considerables, como la elaboración de un método válido para la identificación sistemática de hábitats con esta relevancia específica, decidir la forma de medir los cambios en la conectividad, y relacionarlo de modo significativo con los impactos sobre las especies migratorias.</w:t>
            </w:r>
          </w:p>
          <w:p w14:paraId="7849E101" w14:textId="77777777" w:rsidR="00367CFC" w:rsidRPr="00A728F6" w:rsidRDefault="00367CFC" w:rsidP="00367CFC">
            <w:pPr>
              <w:jc w:val="both"/>
              <w:rPr>
                <w:rFonts w:eastAsia="MS Mincho"/>
                <w:strike/>
                <w:sz w:val="22"/>
                <w:highlight w:val="yellow"/>
                <w:lang w:val="es-ES" w:eastAsia="ja-JP"/>
              </w:rPr>
            </w:pPr>
          </w:p>
          <w:p w14:paraId="4549ECB5" w14:textId="77777777"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Los indicadores de fragmentación de los bosques y los ríos ya están en discusión en un contexto más amplio de la biodiversidad, pero traducirlos en efectos sobre la migración es difícil.</w:t>
            </w:r>
          </w:p>
          <w:p w14:paraId="400AB3A5" w14:textId="77777777" w:rsidR="00367CFC" w:rsidRPr="00A728F6" w:rsidRDefault="00367CFC" w:rsidP="00367CFC">
            <w:pPr>
              <w:jc w:val="both"/>
              <w:rPr>
                <w:rFonts w:eastAsia="MS Mincho"/>
                <w:strike/>
                <w:sz w:val="22"/>
                <w:highlight w:val="yellow"/>
                <w:lang w:val="es-ES" w:eastAsia="ja-JP"/>
              </w:rPr>
            </w:pPr>
          </w:p>
          <w:p w14:paraId="759A9D40" w14:textId="7B66B9E5"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La comunidad de la conservac</w:t>
            </w:r>
            <w:r w:rsidR="003E2E1F">
              <w:rPr>
                <w:rFonts w:eastAsia="MS Mincho"/>
                <w:strike/>
                <w:sz w:val="22"/>
                <w:lang w:val="es-ES" w:eastAsia="ja-JP"/>
              </w:rPr>
              <w:t>ión de las especies migratorias</w:t>
            </w:r>
            <w:r w:rsidRPr="00A728F6">
              <w:rPr>
                <w:rFonts w:eastAsia="MS Mincho"/>
                <w:strike/>
                <w:sz w:val="22"/>
                <w:lang w:val="es-ES" w:eastAsia="ja-JP"/>
              </w:rPr>
              <w:t xml:space="preserve"> prestará atención a la información reportada en los indicadores más generales de determinados tipos de hábitat y tendencias de los ecosistemas, que están asociadas con la correspondiente Meta de Aichi 5, pero no parece haber ninguna buena razón sobre la que proponer un “corte” de cualquiera de ellos que podría aislar los factores de especies migratorias.</w:t>
            </w:r>
          </w:p>
          <w:p w14:paraId="478F980F" w14:textId="77777777" w:rsidR="00367CFC" w:rsidRPr="00A728F6" w:rsidRDefault="00367CFC" w:rsidP="00367CFC">
            <w:pPr>
              <w:jc w:val="both"/>
              <w:rPr>
                <w:rFonts w:eastAsia="MS Mincho"/>
                <w:strike/>
                <w:sz w:val="22"/>
                <w:lang w:val="es-ES" w:eastAsia="ja-JP"/>
              </w:rPr>
            </w:pPr>
          </w:p>
          <w:p w14:paraId="6AC9625F" w14:textId="5C00A92E"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En cuanto a la segunda y tercera cuestiones enumeradas más arriba, puede ser posible desarrollar algún tipo de indicadores como subconjuntos de los tres indicadores BIP correspondientes más genéricos sobre estos temas, los cuales están clasificados como listos para su uso (los indicadores BIP “cobertura” y “solapamiento” contribuyen a la primera de las dos propuestas de especies migratorias más arriba). Aislar los componentes que se refieren específicamente a las especies migratorias no obstante requiere un trabajo considerable, y es probable que sea un reto. Una forma de desglosar los datos de los indicadores de eficacia de gestión existentes podría ser la de separar todos los sitios cubiertos según los que se incluyen en las redes de sitios de vías migratorias (y aplicar la metodología a tales sitios, cuando no estén ya evaluados para esto).</w:t>
            </w:r>
          </w:p>
          <w:p w14:paraId="4ACFB811" w14:textId="77777777" w:rsidR="00367CFC" w:rsidRPr="00A728F6" w:rsidRDefault="00367CFC" w:rsidP="00367CFC">
            <w:pPr>
              <w:jc w:val="both"/>
              <w:rPr>
                <w:rFonts w:eastAsia="MS Mincho"/>
                <w:strike/>
                <w:sz w:val="22"/>
                <w:highlight w:val="yellow"/>
                <w:lang w:val="es-ES" w:eastAsia="ja-JP"/>
              </w:rPr>
            </w:pPr>
          </w:p>
          <w:p w14:paraId="1DD55133" w14:textId="0C1F51B1"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Que haya mayor elaboración de un enfoque en este sentido también depende de abordar las cuestiones relativas a bases ausentes o inciertas para los elementos cuantitativos de la meta de Aichi correspondiente, y para la totalidad de los sitios considerados como de importancia crítica para las especies migratorias.</w:t>
            </w:r>
          </w:p>
          <w:p w14:paraId="1B98D005" w14:textId="77777777" w:rsidR="00367CFC" w:rsidRPr="00A728F6" w:rsidRDefault="00367CFC" w:rsidP="00367CFC">
            <w:pPr>
              <w:jc w:val="both"/>
              <w:rPr>
                <w:rFonts w:eastAsia="MS Mincho"/>
                <w:strike/>
                <w:sz w:val="22"/>
                <w:highlight w:val="yellow"/>
                <w:lang w:val="es-ES" w:eastAsia="ja-JP"/>
              </w:rPr>
            </w:pPr>
          </w:p>
          <w:p w14:paraId="50711606"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Ver si merece la pena invertir en estos indicadores puede necesitar una evaluación cuidadosa.</w:t>
            </w:r>
          </w:p>
          <w:p w14:paraId="1D66C597" w14:textId="77777777" w:rsidR="00367CFC" w:rsidRPr="00A728F6" w:rsidRDefault="00367CFC" w:rsidP="00367CFC">
            <w:pPr>
              <w:jc w:val="both"/>
              <w:rPr>
                <w:strike/>
                <w:sz w:val="22"/>
                <w:lang w:val="es-ES" w:eastAsia="en-GB"/>
              </w:rPr>
            </w:pPr>
          </w:p>
        </w:tc>
      </w:tr>
      <w:tr w:rsidR="00367CFC" w:rsidRPr="00DA2A2C" w14:paraId="57CD2AFD" w14:textId="77777777" w:rsidTr="00367CFC">
        <w:tc>
          <w:tcPr>
            <w:tcW w:w="1818" w:type="dxa"/>
          </w:tcPr>
          <w:p w14:paraId="264C36C2" w14:textId="77777777" w:rsidR="00367CFC" w:rsidRPr="00A728F6" w:rsidRDefault="00367CFC" w:rsidP="00367CFC">
            <w:pPr>
              <w:spacing w:before="40" w:after="40"/>
              <w:rPr>
                <w:strike/>
                <w:sz w:val="22"/>
                <w:lang w:val="es-ES" w:eastAsia="en-GB"/>
              </w:rPr>
            </w:pPr>
            <w:r w:rsidRPr="00A728F6">
              <w:rPr>
                <w:b/>
                <w:strike/>
                <w:sz w:val="22"/>
                <w:lang w:val="es-ES" w:eastAsia="en-GB"/>
              </w:rPr>
              <w:lastRenderedPageBreak/>
              <w:t>Meta 11</w:t>
            </w:r>
            <w:r w:rsidRPr="00A728F6">
              <w:rPr>
                <w:strike/>
                <w:sz w:val="22"/>
                <w:lang w:val="es-ES" w:eastAsia="en-GB"/>
              </w:rPr>
              <w:t xml:space="preserve">: </w:t>
            </w:r>
          </w:p>
          <w:p w14:paraId="54DD7E2D" w14:textId="77777777" w:rsidR="00367CFC" w:rsidRPr="00A728F6" w:rsidRDefault="00367CFC" w:rsidP="00367CFC">
            <w:pPr>
              <w:rPr>
                <w:strike/>
                <w:sz w:val="22"/>
                <w:lang w:val="es-ES" w:eastAsia="en-GB"/>
              </w:rPr>
            </w:pPr>
          </w:p>
        </w:tc>
        <w:tc>
          <w:tcPr>
            <w:tcW w:w="6710" w:type="dxa"/>
          </w:tcPr>
          <w:p w14:paraId="503E6C0C"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05C3F130" w14:textId="77777777" w:rsidR="00367CFC" w:rsidRPr="00A728F6" w:rsidRDefault="00367CFC" w:rsidP="00367CFC">
            <w:pPr>
              <w:jc w:val="both"/>
              <w:rPr>
                <w:strike/>
                <w:sz w:val="22"/>
                <w:lang w:val="es-ES" w:eastAsia="en-GB"/>
              </w:rPr>
            </w:pPr>
          </w:p>
          <w:p w14:paraId="49087655"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64B0880C" w14:textId="77777777" w:rsidR="00367CFC" w:rsidRPr="00A728F6" w:rsidRDefault="00367CFC" w:rsidP="00367CFC">
            <w:pPr>
              <w:jc w:val="both"/>
              <w:rPr>
                <w:strike/>
                <w:sz w:val="22"/>
                <w:lang w:val="es-ES" w:eastAsia="en-GB"/>
              </w:rPr>
            </w:pPr>
          </w:p>
          <w:p w14:paraId="63602726" w14:textId="77777777" w:rsidR="00367CFC" w:rsidRPr="00A728F6" w:rsidRDefault="00367CFC" w:rsidP="00367CFC">
            <w:pPr>
              <w:jc w:val="both"/>
              <w:rPr>
                <w:i/>
                <w:strike/>
                <w:sz w:val="22"/>
                <w:lang w:val="es-ES" w:eastAsia="en-GB"/>
              </w:rPr>
            </w:pPr>
            <w:r w:rsidRPr="00A728F6">
              <w:rPr>
                <w:i/>
                <w:strike/>
                <w:sz w:val="22"/>
                <w:lang w:val="es-ES" w:eastAsia="en-GB"/>
              </w:rPr>
              <w:lastRenderedPageBreak/>
              <w:t>Para posible desarrollo futuro:</w:t>
            </w:r>
          </w:p>
          <w:p w14:paraId="7ACAC121" w14:textId="77777777" w:rsidR="00367CFC" w:rsidRPr="00A728F6" w:rsidRDefault="00367CFC" w:rsidP="00367CFC">
            <w:pPr>
              <w:jc w:val="both"/>
              <w:rPr>
                <w:strike/>
                <w:sz w:val="22"/>
                <w:lang w:val="es-ES" w:eastAsia="en-GB"/>
              </w:rPr>
            </w:pPr>
          </w:p>
          <w:p w14:paraId="4F601782"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respecto de la prestación de servicios ecosistémicos que dependen directamente de las especies migratorias.</w:t>
            </w:r>
          </w:p>
          <w:p w14:paraId="3472AE45" w14:textId="77777777" w:rsidR="00367CFC" w:rsidRPr="00A728F6" w:rsidRDefault="00367CFC" w:rsidP="00367CFC">
            <w:pPr>
              <w:jc w:val="both"/>
              <w:rPr>
                <w:rFonts w:eastAsia="MS Mincho"/>
                <w:strike/>
                <w:sz w:val="22"/>
                <w:lang w:val="es-ES" w:eastAsia="ja-JP"/>
              </w:rPr>
            </w:pPr>
          </w:p>
          <w:p w14:paraId="2E9450F4" w14:textId="77777777" w:rsidR="00367CFC" w:rsidRPr="00A728F6" w:rsidRDefault="00367CFC" w:rsidP="00367CFC">
            <w:pPr>
              <w:jc w:val="both"/>
              <w:rPr>
                <w:rFonts w:eastAsia="MS Mincho"/>
                <w:strike/>
                <w:sz w:val="22"/>
                <w:highlight w:val="yellow"/>
                <w:lang w:val="es-ES" w:eastAsia="ja-JP"/>
              </w:rPr>
            </w:pPr>
            <w:r w:rsidRPr="00A728F6">
              <w:rPr>
                <w:rFonts w:eastAsia="MS Mincho"/>
                <w:strike/>
                <w:sz w:val="22"/>
                <w:lang w:val="es-ES" w:eastAsia="ja-JP"/>
              </w:rPr>
              <w:t>El indicador propuesto está compuesto de los componentes más relevantes de los indicadores de la CDB y BIP que se corresponden con la meta de Aichi (14) que corresponde a esta meta propuesta sobre las especies migratorias, y que incluye algunos que están listos para su uso y algunos que están en desarrollo. Es necesario trabajar para definir los servicios seleccionados pertinentes, para aislar y especificar la dependencia causa-efecto sobre ciertas especies migratorias, y para diseñar parámetros de medición que están vinculados a esta dependencia y no simplemente repetir las evaluaciones de estatus de las especies que ya son objeto de la meta 8 anterior. La propuesta responde a esto con la meta de medir los beneficios que la gente deriva en lugar de la situación de la especie, aunque esto extrapola un poco más allá del ámbito estricto de la meta (que llega sólo a asegurar el potencial de beneficio).</w:t>
            </w:r>
          </w:p>
          <w:p w14:paraId="0AF269D9" w14:textId="77777777" w:rsidR="00367CFC" w:rsidRPr="00A728F6" w:rsidRDefault="00367CFC" w:rsidP="00367CFC">
            <w:pPr>
              <w:jc w:val="both"/>
              <w:rPr>
                <w:strike/>
                <w:sz w:val="22"/>
                <w:lang w:val="es-ES" w:eastAsia="en-GB"/>
              </w:rPr>
            </w:pPr>
          </w:p>
          <w:p w14:paraId="10D36F12" w14:textId="260A3EEB"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El desarrollo de indicadores de servicios ecosistémicos es muy difícil; pero puede ser que sea posible aislar los servicios particulares de determinada especie migratoria, para que actúe como una muestra de este tema. Sería preferible elegir algo que no sea de particular uso consuntivo, ya que está cubierto por otros indicadores; así que quizás</w:t>
            </w:r>
            <w:r w:rsidR="003E2E1F">
              <w:rPr>
                <w:rFonts w:eastAsia="MS Mincho"/>
                <w:strike/>
                <w:sz w:val="22"/>
                <w:lang w:val="es-ES" w:eastAsia="ja-JP"/>
              </w:rPr>
              <w:t>,</w:t>
            </w:r>
            <w:r w:rsidRPr="00A728F6">
              <w:rPr>
                <w:rFonts w:eastAsia="MS Mincho"/>
                <w:strike/>
                <w:sz w:val="22"/>
                <w:lang w:val="es-ES" w:eastAsia="ja-JP"/>
              </w:rPr>
              <w:t xml:space="preserve"> por ejemplo, la polinización o servicios relacionados con el pastoreo-serían la prioridad. </w:t>
            </w:r>
          </w:p>
          <w:p w14:paraId="1A58B2B9" w14:textId="77777777" w:rsidR="00367CFC" w:rsidRPr="00A728F6" w:rsidRDefault="00367CFC" w:rsidP="00367CFC">
            <w:pPr>
              <w:jc w:val="both"/>
              <w:rPr>
                <w:strike/>
                <w:sz w:val="22"/>
                <w:lang w:val="es-ES" w:eastAsia="en-GB"/>
              </w:rPr>
            </w:pPr>
          </w:p>
        </w:tc>
      </w:tr>
      <w:tr w:rsidR="00367CFC" w:rsidRPr="00DA2A2C" w14:paraId="689BAA85" w14:textId="77777777" w:rsidTr="00367CFC">
        <w:tc>
          <w:tcPr>
            <w:tcW w:w="1818" w:type="dxa"/>
          </w:tcPr>
          <w:p w14:paraId="74F70632" w14:textId="77777777" w:rsidR="00367CFC" w:rsidRPr="00A728F6" w:rsidRDefault="00367CFC" w:rsidP="00367CFC">
            <w:pPr>
              <w:spacing w:before="40" w:after="40"/>
              <w:rPr>
                <w:strike/>
                <w:sz w:val="22"/>
                <w:lang w:val="es-ES" w:eastAsia="en-GB"/>
              </w:rPr>
            </w:pPr>
            <w:r w:rsidRPr="00A728F6">
              <w:rPr>
                <w:b/>
                <w:bCs/>
                <w:strike/>
                <w:sz w:val="22"/>
                <w:lang w:val="es-ES" w:eastAsia="en-GB"/>
              </w:rPr>
              <w:lastRenderedPageBreak/>
              <w:t>Meta 12</w:t>
            </w:r>
            <w:r w:rsidRPr="00A728F6">
              <w:rPr>
                <w:bCs/>
                <w:strike/>
                <w:sz w:val="22"/>
                <w:lang w:val="es-ES" w:eastAsia="en-GB"/>
              </w:rPr>
              <w:t xml:space="preserve">: </w:t>
            </w:r>
          </w:p>
          <w:p w14:paraId="43B5A7A5" w14:textId="77777777" w:rsidR="00367CFC" w:rsidRPr="00A728F6" w:rsidRDefault="00367CFC" w:rsidP="00367CFC">
            <w:pPr>
              <w:rPr>
                <w:strike/>
                <w:sz w:val="22"/>
                <w:lang w:val="es-ES" w:eastAsia="en-GB"/>
              </w:rPr>
            </w:pPr>
          </w:p>
        </w:tc>
        <w:tc>
          <w:tcPr>
            <w:tcW w:w="6710" w:type="dxa"/>
          </w:tcPr>
          <w:p w14:paraId="2AED4BF8"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6C883990" w14:textId="77777777" w:rsidR="00367CFC" w:rsidRPr="00A728F6" w:rsidRDefault="00367CFC" w:rsidP="00367CFC">
            <w:pPr>
              <w:jc w:val="both"/>
              <w:rPr>
                <w:strike/>
                <w:sz w:val="22"/>
                <w:lang w:val="es-ES" w:eastAsia="en-GB"/>
              </w:rPr>
            </w:pPr>
          </w:p>
          <w:p w14:paraId="41154CA9"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Estrategias de importancia para las especies migratorias, desarrolladas e implementadas para reducir al mínimo la erosión genética.</w:t>
            </w:r>
          </w:p>
          <w:p w14:paraId="692AD944" w14:textId="77777777" w:rsidR="00367CFC" w:rsidRPr="00A728F6" w:rsidRDefault="00367CFC" w:rsidP="00367CFC">
            <w:pPr>
              <w:jc w:val="both"/>
              <w:rPr>
                <w:rFonts w:eastAsia="MS Mincho"/>
                <w:strike/>
                <w:sz w:val="22"/>
                <w:lang w:val="es-ES" w:eastAsia="ja-JP"/>
              </w:rPr>
            </w:pPr>
          </w:p>
          <w:p w14:paraId="2BDDF8CB" w14:textId="77777777" w:rsidR="00367CFC" w:rsidRPr="00A728F6" w:rsidRDefault="00367CFC" w:rsidP="00367CFC">
            <w:pPr>
              <w:jc w:val="both"/>
              <w:rPr>
                <w:strike/>
                <w:sz w:val="22"/>
                <w:lang w:val="es-ES" w:eastAsia="en-GB"/>
              </w:rPr>
            </w:pPr>
            <w:r w:rsidRPr="00A728F6">
              <w:rPr>
                <w:strike/>
                <w:sz w:val="22"/>
                <w:lang w:val="es-ES" w:eastAsia="en-GB"/>
              </w:rPr>
              <w:t xml:space="preserve">Dada la dificultad en la elaboración de un indicador de resultado realista para la meta, el camino más viable es, probablemente, informar sobre el “objetivo” que forma la segunda parte de la meta. Limitar esto a las estrategias que afecten únicamente a las especies migratorias podrían limitar el alcance de forma demasiado estricta; de ahí la referencia en este caso sólo a las estrategias que son “relevantes” para las especies migratorias </w:t>
            </w:r>
          </w:p>
          <w:p w14:paraId="7D9E5D95" w14:textId="77777777" w:rsidR="00367CFC" w:rsidRPr="00A728F6" w:rsidRDefault="00367CFC" w:rsidP="00367CFC">
            <w:pPr>
              <w:jc w:val="both"/>
              <w:rPr>
                <w:strike/>
                <w:sz w:val="22"/>
                <w:lang w:val="es-ES" w:eastAsia="en-GB"/>
              </w:rPr>
            </w:pPr>
          </w:p>
          <w:p w14:paraId="3F79152A"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232DC5CD" w14:textId="77777777" w:rsidR="00367CFC" w:rsidRPr="00A728F6" w:rsidRDefault="00367CFC" w:rsidP="00367CFC">
            <w:pPr>
              <w:jc w:val="both"/>
              <w:rPr>
                <w:strike/>
                <w:sz w:val="22"/>
                <w:lang w:val="es-ES" w:eastAsia="en-GB"/>
              </w:rPr>
            </w:pPr>
          </w:p>
          <w:p w14:paraId="2E09FF46"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(no es probable que sea factible).</w:t>
            </w:r>
          </w:p>
          <w:p w14:paraId="5092E3F0" w14:textId="77777777" w:rsidR="00367CFC" w:rsidRPr="00A728F6" w:rsidRDefault="00367CFC" w:rsidP="00367CFC">
            <w:pPr>
              <w:jc w:val="both"/>
              <w:rPr>
                <w:rFonts w:eastAsia="MS Mincho"/>
                <w:strike/>
                <w:sz w:val="22"/>
                <w:lang w:val="es-ES" w:eastAsia="ja-JP"/>
              </w:rPr>
            </w:pPr>
          </w:p>
          <w:p w14:paraId="2E3F6147"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Los indicadores existentes no son muy adecuados para hacer frente a la erosión genética en los animales silvestres. Este puede ser el caso de que el progreso hacia el resultado de una meta del Plan Estratégico sólo puede ser evaluado por “informes de excepción”, es decir, mantener la vigilancia reactiva y quizás </w:t>
            </w:r>
            <w:r w:rsidRPr="00A728F6">
              <w:rPr>
                <w:rFonts w:eastAsia="MS Mincho"/>
                <w:strike/>
                <w:sz w:val="22"/>
                <w:lang w:val="es-ES" w:eastAsia="ja-JP"/>
              </w:rPr>
              <w:lastRenderedPageBreak/>
              <w:t xml:space="preserve">anuales recordatorios para documentar todos los casos de desplazamientos notables hacia o desde el estado meta definido. </w:t>
            </w:r>
          </w:p>
          <w:p w14:paraId="5083BAA2" w14:textId="77777777" w:rsidR="00367CFC" w:rsidRPr="00A728F6" w:rsidRDefault="00367CFC" w:rsidP="00367CFC">
            <w:pPr>
              <w:jc w:val="both"/>
              <w:rPr>
                <w:strike/>
                <w:sz w:val="22"/>
                <w:lang w:val="es-ES" w:eastAsia="en-GB"/>
              </w:rPr>
            </w:pPr>
          </w:p>
        </w:tc>
      </w:tr>
      <w:tr w:rsidR="00367CFC" w:rsidRPr="00DA2A2C" w14:paraId="2F64C069" w14:textId="77777777" w:rsidTr="00367CFC">
        <w:tc>
          <w:tcPr>
            <w:tcW w:w="1818" w:type="dxa"/>
          </w:tcPr>
          <w:p w14:paraId="36E9B012" w14:textId="77777777" w:rsidR="00367CFC" w:rsidRPr="00A728F6" w:rsidRDefault="00367CFC" w:rsidP="00367CFC">
            <w:pPr>
              <w:spacing w:before="40" w:after="40"/>
              <w:rPr>
                <w:b/>
                <w:strike/>
                <w:sz w:val="22"/>
                <w:lang w:val="es-ES" w:eastAsia="en-GB"/>
              </w:rPr>
            </w:pPr>
            <w:r w:rsidRPr="00A728F6">
              <w:rPr>
                <w:b/>
                <w:bCs/>
                <w:strike/>
                <w:sz w:val="22"/>
                <w:lang w:val="es-ES" w:eastAsia="en-GB"/>
              </w:rPr>
              <w:lastRenderedPageBreak/>
              <w:t>Meta 13</w:t>
            </w:r>
            <w:r w:rsidRPr="00A728F6">
              <w:rPr>
                <w:bCs/>
                <w:strike/>
                <w:sz w:val="22"/>
                <w:lang w:val="es-ES" w:eastAsia="en-GB"/>
              </w:rPr>
              <w:t>:</w:t>
            </w:r>
          </w:p>
        </w:tc>
        <w:tc>
          <w:tcPr>
            <w:tcW w:w="6710" w:type="dxa"/>
          </w:tcPr>
          <w:p w14:paraId="3E1470C4"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3136DAF5" w14:textId="77777777" w:rsidR="00367CFC" w:rsidRPr="00A728F6" w:rsidRDefault="00367CFC" w:rsidP="00367CFC">
            <w:pPr>
              <w:jc w:val="both"/>
              <w:rPr>
                <w:strike/>
                <w:sz w:val="22"/>
                <w:lang w:val="es-ES" w:eastAsia="en-GB"/>
              </w:rPr>
            </w:pPr>
          </w:p>
          <w:p w14:paraId="207AB4FC" w14:textId="77777777" w:rsidR="00367CFC" w:rsidRPr="00A728F6" w:rsidRDefault="00367CFC" w:rsidP="00367CFC">
            <w:pPr>
              <w:widowControl/>
              <w:numPr>
                <w:ilvl w:val="0"/>
                <w:numId w:val="6"/>
              </w:numPr>
              <w:autoSpaceDE/>
              <w:autoSpaceDN/>
              <w:adjustRightInd/>
              <w:jc w:val="both"/>
              <w:rPr>
                <w:rFonts w:eastAsia="MS Mincho"/>
                <w:strike/>
                <w:sz w:val="22"/>
                <w:lang w:val="es-ES" w:eastAsia="ja-JP"/>
              </w:rPr>
            </w:pPr>
            <w:r w:rsidRPr="00A728F6">
              <w:rPr>
                <w:rFonts w:eastAsia="MS Mincho"/>
                <w:strike/>
                <w:sz w:val="22"/>
                <w:lang w:val="es-ES" w:eastAsia="ja-JP"/>
              </w:rPr>
              <w:t>Tendencias sobre la integración de la atención sobre las especies migratorias en las Estrategias y Planes de Acción Nacionales en materia de Biodiversidad.</w:t>
            </w:r>
          </w:p>
          <w:p w14:paraId="1E7DE211" w14:textId="77777777" w:rsidR="00367CFC" w:rsidRPr="00A728F6" w:rsidRDefault="00367CFC" w:rsidP="00367CFC">
            <w:pPr>
              <w:jc w:val="both"/>
              <w:rPr>
                <w:rFonts w:eastAsia="MS Mincho"/>
                <w:strike/>
                <w:sz w:val="22"/>
                <w:lang w:val="es-ES" w:eastAsia="ja-JP"/>
              </w:rPr>
            </w:pPr>
          </w:p>
          <w:p w14:paraId="5E567AB2" w14:textId="00C11576" w:rsidR="00367CFC" w:rsidRPr="00A728F6" w:rsidRDefault="00367CFC" w:rsidP="00367CFC">
            <w:pPr>
              <w:jc w:val="both"/>
              <w:rPr>
                <w:strike/>
                <w:sz w:val="22"/>
                <w:lang w:val="es-ES" w:eastAsia="en-GB"/>
              </w:rPr>
            </w:pPr>
            <w:r w:rsidRPr="00A728F6">
              <w:rPr>
                <w:strike/>
                <w:sz w:val="22"/>
                <w:lang w:val="es-ES" w:eastAsia="en-GB"/>
              </w:rPr>
              <w:t>El Formato de los Informes Nacionales de CMS actualmente solicita información sobre si las EPANB de cada país se ocupan de las especies migratorias en las políticas/planes nacionales o regionales, y podría desarrollarse un indicador a partir de esa base (aceptando que este método dará una imagen incompleta, dado que la meta se aplica igualmente a países que no son Parte de CMS). Es probable que sólo llegue a hacer seguimiento de la presencia o ausencia de referencias a las especies migratorias en las EPANB, ya que esto es todo lo que la mayoría de las Partes suelen reportar en respuesta a la pregunta existente en el Informe Nacional.</w:t>
            </w:r>
          </w:p>
          <w:p w14:paraId="36ADD44F" w14:textId="77777777" w:rsidR="00367CFC" w:rsidRPr="00A728F6" w:rsidRDefault="00367CFC" w:rsidP="00367CFC">
            <w:pPr>
              <w:jc w:val="both"/>
              <w:rPr>
                <w:strike/>
                <w:sz w:val="22"/>
                <w:lang w:val="es-ES" w:eastAsia="en-GB"/>
              </w:rPr>
            </w:pPr>
          </w:p>
          <w:p w14:paraId="45B6A5C7"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0B029D49" w14:textId="77777777" w:rsidR="00367CFC" w:rsidRPr="00A728F6" w:rsidRDefault="00367CFC" w:rsidP="00367CFC">
            <w:pPr>
              <w:jc w:val="both"/>
              <w:rPr>
                <w:strike/>
                <w:sz w:val="22"/>
                <w:lang w:val="es-ES" w:eastAsia="en-GB"/>
              </w:rPr>
            </w:pPr>
          </w:p>
          <w:p w14:paraId="7E58B2C3"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sobre la integración de las preocupaciones relacionadas con las especies migratorias en las Estrategias y Planes de Acción Nacionales en materia de Biodiversidad.</w:t>
            </w:r>
          </w:p>
          <w:p w14:paraId="2BCEDA5A" w14:textId="77777777" w:rsidR="00367CFC" w:rsidRPr="00A728F6" w:rsidRDefault="00367CFC" w:rsidP="00367CFC">
            <w:pPr>
              <w:jc w:val="both"/>
              <w:rPr>
                <w:rFonts w:eastAsia="MS Mincho"/>
                <w:strike/>
                <w:sz w:val="22"/>
                <w:highlight w:val="yellow"/>
                <w:lang w:val="es-ES" w:eastAsia="ja-JP"/>
              </w:rPr>
            </w:pPr>
          </w:p>
          <w:p w14:paraId="399B7DBF"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Esto va más allá que el primer indicador definido anteriormente, abordando no sólo la presencia o ausencia de referencia a las especies migratorias, también la manera en que las preocupaciones sobre especies migratorias se integran en el Plan Estratégico/ de Acción. Las “Tendencias”, tal vez sea exagerado, ya que es probable que se base en la evaluación cualitativa ocasional de contenido de EPANB según respuestas a esta pregunta concreta, y lo máximo que podría esperarse es una comparación entre un momento temprano en el período de tiempo del SPMS y un momento en o cerca del final de su duración. </w:t>
            </w:r>
          </w:p>
          <w:p w14:paraId="1D33D411" w14:textId="77777777" w:rsidR="00367CFC" w:rsidRPr="00A728F6" w:rsidRDefault="00367CFC" w:rsidP="00367CFC">
            <w:pPr>
              <w:jc w:val="both"/>
              <w:rPr>
                <w:rFonts w:eastAsia="MS Mincho"/>
                <w:strike/>
                <w:sz w:val="22"/>
                <w:lang w:val="es-ES" w:eastAsia="ja-JP"/>
              </w:rPr>
            </w:pPr>
          </w:p>
          <w:p w14:paraId="685B552F"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La Meta 13 es efectivamente una meta secundaria de la meta 2 anterior, y el indicador, por tanto, funcionaría como un sub-indicador del indicador propuesto allí. </w:t>
            </w:r>
          </w:p>
          <w:p w14:paraId="12DFD115" w14:textId="77777777" w:rsidR="00367CFC" w:rsidRPr="00A728F6" w:rsidRDefault="00367CFC" w:rsidP="00367CFC">
            <w:pPr>
              <w:jc w:val="both"/>
              <w:rPr>
                <w:rFonts w:eastAsia="MS Mincho"/>
                <w:strike/>
                <w:sz w:val="22"/>
                <w:lang w:val="es-ES" w:eastAsia="ja-JP"/>
              </w:rPr>
            </w:pPr>
          </w:p>
        </w:tc>
      </w:tr>
      <w:tr w:rsidR="00367CFC" w:rsidRPr="00DA2A2C" w14:paraId="14B5DF4C" w14:textId="77777777" w:rsidTr="00367CFC">
        <w:tc>
          <w:tcPr>
            <w:tcW w:w="1818" w:type="dxa"/>
          </w:tcPr>
          <w:p w14:paraId="4736554F" w14:textId="77777777" w:rsidR="00367CFC" w:rsidRPr="00A728F6" w:rsidRDefault="00367CFC" w:rsidP="00367CFC">
            <w:pPr>
              <w:spacing w:before="40" w:after="40"/>
              <w:rPr>
                <w:strike/>
                <w:sz w:val="22"/>
                <w:lang w:val="es-ES" w:eastAsia="en-GB"/>
              </w:rPr>
            </w:pPr>
            <w:r w:rsidRPr="00A728F6">
              <w:rPr>
                <w:b/>
                <w:bCs/>
                <w:strike/>
                <w:sz w:val="22"/>
                <w:lang w:val="es-ES" w:eastAsia="en-GB"/>
              </w:rPr>
              <w:t>Meta 14</w:t>
            </w:r>
            <w:r w:rsidRPr="00A728F6">
              <w:rPr>
                <w:bCs/>
                <w:strike/>
                <w:sz w:val="22"/>
                <w:lang w:val="es-ES" w:eastAsia="en-GB"/>
              </w:rPr>
              <w:t xml:space="preserve">: </w:t>
            </w:r>
          </w:p>
          <w:p w14:paraId="0A739763" w14:textId="77777777" w:rsidR="00367CFC" w:rsidRPr="00A728F6" w:rsidRDefault="00367CFC" w:rsidP="00367CFC">
            <w:pPr>
              <w:spacing w:before="40" w:after="40"/>
              <w:rPr>
                <w:b/>
                <w:bCs/>
                <w:strike/>
                <w:sz w:val="22"/>
                <w:lang w:val="es-ES" w:eastAsia="en-GB"/>
              </w:rPr>
            </w:pPr>
          </w:p>
        </w:tc>
        <w:tc>
          <w:tcPr>
            <w:tcW w:w="6710" w:type="dxa"/>
          </w:tcPr>
          <w:p w14:paraId="0F8362B8"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3E6EF7B3" w14:textId="77777777" w:rsidR="00367CFC" w:rsidRPr="00A728F6" w:rsidRDefault="00367CFC" w:rsidP="00367CFC">
            <w:pPr>
              <w:jc w:val="both"/>
              <w:rPr>
                <w:strike/>
                <w:sz w:val="22"/>
                <w:lang w:val="es-ES" w:eastAsia="en-GB"/>
              </w:rPr>
            </w:pPr>
          </w:p>
          <w:p w14:paraId="4221531D"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137E4526" w14:textId="77777777" w:rsidR="00367CFC" w:rsidRPr="00A728F6" w:rsidRDefault="00367CFC" w:rsidP="00367CFC">
            <w:pPr>
              <w:jc w:val="both"/>
              <w:rPr>
                <w:strike/>
                <w:sz w:val="22"/>
                <w:lang w:val="es-ES" w:eastAsia="en-GB"/>
              </w:rPr>
            </w:pPr>
          </w:p>
          <w:p w14:paraId="6E2F6C76"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2C60EAC5" w14:textId="77777777" w:rsidR="00367CFC" w:rsidRPr="00A728F6" w:rsidRDefault="00367CFC" w:rsidP="00367CFC">
            <w:pPr>
              <w:jc w:val="both"/>
              <w:rPr>
                <w:strike/>
                <w:sz w:val="22"/>
                <w:lang w:val="es-ES" w:eastAsia="en-GB"/>
              </w:rPr>
            </w:pPr>
          </w:p>
          <w:p w14:paraId="1D1B63CE"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en cuanto al grado en el que el conocimiento y las prácticas tradicionales se respetan a través de: la plena integración, participación y salvaguardias en la aplicación nacional del Plan Estratégico para las Especies Migratorias.</w:t>
            </w:r>
          </w:p>
          <w:p w14:paraId="3ED0A051" w14:textId="77777777" w:rsidR="00367CFC" w:rsidRPr="00A728F6" w:rsidRDefault="00367CFC" w:rsidP="00367CFC">
            <w:pPr>
              <w:jc w:val="both"/>
              <w:rPr>
                <w:rFonts w:eastAsia="MS Mincho"/>
                <w:strike/>
                <w:sz w:val="22"/>
                <w:lang w:val="es-ES" w:eastAsia="ja-JP"/>
              </w:rPr>
            </w:pPr>
          </w:p>
          <w:p w14:paraId="64A30C08"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Este indicador se basa en una de las propuestas del AHTEG del CDB para la correspondiente Meta de Aichi 18 (listada como “prioridad para el desarrollo”), pero aquí se hace referencia al Plan de Especies Migratorias y no al Plan de Biodiversidad. Los “conocimiento y prácticas” en cuestión igualmente tendrían que ser más específicos a los asuntos de especies migratorias. </w:t>
            </w:r>
          </w:p>
          <w:p w14:paraId="5E11691E"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La forma más pragmática para desarrollar este indicador podría ser la de añadir una pregunta al Formato de Informe Nacional de CMS (aceptando que este método dará una imagen incompleta, dado que la meta se aplica por igual a los países que no son Parte de CMS). Lo que necesitaría una cuidadosa redacción y una respuesta más amplia, en lugar de simplemente “sí/no”. </w:t>
            </w:r>
          </w:p>
          <w:p w14:paraId="5CFA9869" w14:textId="77777777" w:rsidR="00367CFC" w:rsidRPr="00A728F6" w:rsidRDefault="00367CFC" w:rsidP="00367CFC">
            <w:pPr>
              <w:jc w:val="both"/>
              <w:rPr>
                <w:rFonts w:eastAsia="MS Mincho"/>
                <w:strike/>
                <w:sz w:val="22"/>
                <w:lang w:val="es-ES" w:eastAsia="ja-JP"/>
              </w:rPr>
            </w:pPr>
          </w:p>
        </w:tc>
      </w:tr>
      <w:tr w:rsidR="00367CFC" w:rsidRPr="00DA2A2C" w14:paraId="67F0AD62" w14:textId="77777777" w:rsidTr="00367CFC">
        <w:tc>
          <w:tcPr>
            <w:tcW w:w="1818" w:type="dxa"/>
          </w:tcPr>
          <w:p w14:paraId="20441059" w14:textId="77777777" w:rsidR="00367CFC" w:rsidRPr="00A728F6" w:rsidRDefault="00367CFC" w:rsidP="00367CFC">
            <w:pPr>
              <w:spacing w:before="40" w:after="40"/>
              <w:rPr>
                <w:rFonts w:eastAsia="MS Mincho"/>
                <w:strike/>
                <w:sz w:val="22"/>
                <w:lang w:val="es-ES" w:eastAsia="en-GB"/>
              </w:rPr>
            </w:pPr>
            <w:r w:rsidRPr="00A728F6">
              <w:rPr>
                <w:b/>
                <w:bCs/>
                <w:strike/>
                <w:sz w:val="22"/>
                <w:lang w:val="es-ES" w:eastAsia="en-GB"/>
              </w:rPr>
              <w:lastRenderedPageBreak/>
              <w:t>Meta 15</w:t>
            </w:r>
            <w:r w:rsidRPr="00A728F6">
              <w:rPr>
                <w:bCs/>
                <w:strike/>
                <w:sz w:val="22"/>
                <w:lang w:val="es-ES" w:eastAsia="en-GB"/>
              </w:rPr>
              <w:t xml:space="preserve">: </w:t>
            </w:r>
          </w:p>
          <w:p w14:paraId="6E33E079" w14:textId="77777777" w:rsidR="00367CFC" w:rsidRPr="00A728F6" w:rsidRDefault="00367CFC" w:rsidP="00367CFC">
            <w:pPr>
              <w:spacing w:before="40" w:after="40"/>
              <w:rPr>
                <w:b/>
                <w:bCs/>
                <w:strike/>
                <w:sz w:val="22"/>
                <w:lang w:val="es-ES" w:eastAsia="en-GB"/>
              </w:rPr>
            </w:pPr>
          </w:p>
        </w:tc>
        <w:tc>
          <w:tcPr>
            <w:tcW w:w="6710" w:type="dxa"/>
          </w:tcPr>
          <w:p w14:paraId="5737805C"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074433C0" w14:textId="77777777" w:rsidR="00367CFC" w:rsidRPr="00A728F6" w:rsidRDefault="00367CFC" w:rsidP="00367CFC">
            <w:pPr>
              <w:jc w:val="both"/>
              <w:rPr>
                <w:strike/>
                <w:sz w:val="22"/>
                <w:lang w:val="es-ES" w:eastAsia="en-GB"/>
              </w:rPr>
            </w:pPr>
          </w:p>
          <w:p w14:paraId="5E81F68F"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3ADCB36D" w14:textId="77777777" w:rsidR="00367CFC" w:rsidRPr="00A728F6" w:rsidRDefault="00367CFC" w:rsidP="00367CFC">
            <w:pPr>
              <w:jc w:val="both"/>
              <w:rPr>
                <w:strike/>
                <w:sz w:val="22"/>
                <w:lang w:val="es-ES" w:eastAsia="en-GB"/>
              </w:rPr>
            </w:pPr>
          </w:p>
          <w:p w14:paraId="3FDC3085"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7D3E2293" w14:textId="77777777" w:rsidR="00367CFC" w:rsidRPr="00A728F6" w:rsidRDefault="00367CFC" w:rsidP="00367CFC">
            <w:pPr>
              <w:jc w:val="both"/>
              <w:rPr>
                <w:strike/>
                <w:sz w:val="22"/>
                <w:lang w:val="es-ES" w:eastAsia="en-GB"/>
              </w:rPr>
            </w:pPr>
          </w:p>
          <w:p w14:paraId="53C14D73" w14:textId="77777777" w:rsidR="00367CFC" w:rsidRPr="00A728F6" w:rsidRDefault="00367CFC" w:rsidP="00367CFC">
            <w:pPr>
              <w:widowControl/>
              <w:numPr>
                <w:ilvl w:val="0"/>
                <w:numId w:val="6"/>
              </w:numPr>
              <w:jc w:val="both"/>
              <w:rPr>
                <w:rFonts w:eastAsia="MS Mincho"/>
                <w:strike/>
                <w:sz w:val="22"/>
                <w:lang w:val="es-ES" w:eastAsia="ja-JP"/>
              </w:rPr>
            </w:pPr>
            <w:r w:rsidRPr="00A728F6">
              <w:rPr>
                <w:rFonts w:eastAsia="MS Mincho"/>
                <w:strike/>
                <w:sz w:val="22"/>
                <w:lang w:val="es-ES" w:eastAsia="ja-JP"/>
              </w:rPr>
              <w:t>Tendencias en publicaciones de artículos científicos sobre conservación de especies migratorias en literatura revisada por homólogos.</w:t>
            </w:r>
          </w:p>
          <w:p w14:paraId="39C50BEB" w14:textId="77777777" w:rsidR="00367CFC" w:rsidRPr="00A728F6" w:rsidRDefault="00367CFC" w:rsidP="00367CFC">
            <w:pPr>
              <w:jc w:val="both"/>
              <w:rPr>
                <w:rFonts w:eastAsia="MS Mincho"/>
                <w:strike/>
                <w:sz w:val="22"/>
                <w:lang w:val="es-ES" w:eastAsia="ja-JP"/>
              </w:rPr>
            </w:pPr>
          </w:p>
          <w:p w14:paraId="576719BA"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Un método de medición de este indicador a nivel global requiere desarrollo, tal vez mediante la definición de protocolos de búsqueda de información en internet y bases de datos. El indicador no se ocupa de la parte de “aplicación efectiva” de la meta, pero es difícil de encontrar una manera operable de hacerlo. Los indicadores pertinentes AHTEG y BIP del CDB (aún no en uso) se refieren más específicamente a las evaluaciones sub-globales y a inventarios de especies - ambos están incluidos aquí en la interpretación de “publicaciones”, siempre que hayan sido revisados por expertos; pero este indicador no pretende ser tan precisos como los de AHTEG/BIP. </w:t>
            </w:r>
          </w:p>
          <w:p w14:paraId="2952C8DE" w14:textId="77777777" w:rsidR="00367CFC" w:rsidRPr="00A728F6" w:rsidRDefault="00367CFC" w:rsidP="00367CFC">
            <w:pPr>
              <w:jc w:val="both"/>
              <w:rPr>
                <w:rFonts w:eastAsia="MS Mincho"/>
                <w:strike/>
                <w:sz w:val="22"/>
                <w:lang w:val="es-ES" w:eastAsia="ja-JP"/>
              </w:rPr>
            </w:pPr>
          </w:p>
        </w:tc>
      </w:tr>
      <w:tr w:rsidR="00367CFC" w:rsidRPr="00DA2A2C" w14:paraId="64380181" w14:textId="77777777" w:rsidTr="00367CFC">
        <w:tc>
          <w:tcPr>
            <w:tcW w:w="1818" w:type="dxa"/>
          </w:tcPr>
          <w:p w14:paraId="17388669" w14:textId="77777777" w:rsidR="00367CFC" w:rsidRPr="00A728F6" w:rsidRDefault="00367CFC" w:rsidP="00367CFC">
            <w:pPr>
              <w:spacing w:before="40" w:after="40"/>
              <w:rPr>
                <w:strike/>
                <w:sz w:val="22"/>
                <w:lang w:val="es-ES" w:eastAsia="en-GB"/>
              </w:rPr>
            </w:pPr>
            <w:r w:rsidRPr="00A728F6">
              <w:rPr>
                <w:b/>
                <w:strike/>
                <w:sz w:val="22"/>
                <w:lang w:val="es-ES" w:eastAsia="en-GB"/>
              </w:rPr>
              <w:t>Meta 16</w:t>
            </w:r>
            <w:r w:rsidRPr="00A728F6">
              <w:rPr>
                <w:strike/>
                <w:sz w:val="22"/>
                <w:lang w:val="es-ES" w:eastAsia="en-GB"/>
              </w:rPr>
              <w:t xml:space="preserve">: </w:t>
            </w:r>
          </w:p>
          <w:p w14:paraId="6E891CA5" w14:textId="77777777" w:rsidR="00367CFC" w:rsidRPr="00A728F6" w:rsidRDefault="00367CFC" w:rsidP="00367CFC">
            <w:pPr>
              <w:spacing w:before="40" w:after="40"/>
              <w:rPr>
                <w:b/>
                <w:bCs/>
                <w:strike/>
                <w:sz w:val="22"/>
                <w:lang w:val="es-ES" w:eastAsia="en-GB"/>
              </w:rPr>
            </w:pPr>
          </w:p>
        </w:tc>
        <w:tc>
          <w:tcPr>
            <w:tcW w:w="6710" w:type="dxa"/>
          </w:tcPr>
          <w:p w14:paraId="1D1CD01E" w14:textId="77777777" w:rsidR="00367CFC" w:rsidRPr="00A728F6" w:rsidRDefault="00367CFC" w:rsidP="00367CFC">
            <w:pPr>
              <w:jc w:val="both"/>
              <w:rPr>
                <w:i/>
                <w:strike/>
                <w:sz w:val="22"/>
                <w:lang w:val="es-ES" w:eastAsia="en-GB"/>
              </w:rPr>
            </w:pPr>
            <w:r w:rsidRPr="00A728F6">
              <w:rPr>
                <w:i/>
                <w:strike/>
                <w:sz w:val="22"/>
                <w:lang w:val="es-ES" w:eastAsia="en-GB"/>
              </w:rPr>
              <w:t>Potencialmente en funcionamiento a corto plazo:</w:t>
            </w:r>
          </w:p>
          <w:p w14:paraId="7568D135" w14:textId="77777777" w:rsidR="00367CFC" w:rsidRPr="00A728F6" w:rsidRDefault="00367CFC" w:rsidP="00367CFC">
            <w:pPr>
              <w:widowControl/>
              <w:numPr>
                <w:ilvl w:val="0"/>
                <w:numId w:val="6"/>
              </w:numPr>
              <w:autoSpaceDE/>
              <w:autoSpaceDN/>
              <w:adjustRightInd/>
              <w:jc w:val="both"/>
              <w:rPr>
                <w:strike/>
                <w:sz w:val="22"/>
                <w:lang w:val="es-ES" w:eastAsia="en-GB"/>
              </w:rPr>
            </w:pPr>
            <w:r w:rsidRPr="00A728F6">
              <w:rPr>
                <w:strike/>
                <w:sz w:val="22"/>
                <w:lang w:val="es-ES" w:eastAsia="en-GB"/>
              </w:rPr>
              <w:t>(Ninguno)</w:t>
            </w:r>
          </w:p>
          <w:p w14:paraId="512ED4F1" w14:textId="77777777" w:rsidR="00367CFC" w:rsidRPr="00A728F6" w:rsidRDefault="00367CFC" w:rsidP="00367CFC">
            <w:pPr>
              <w:jc w:val="both"/>
              <w:rPr>
                <w:strike/>
                <w:sz w:val="22"/>
                <w:lang w:val="es-ES" w:eastAsia="en-GB"/>
              </w:rPr>
            </w:pPr>
          </w:p>
          <w:p w14:paraId="0CABF09B" w14:textId="77777777" w:rsidR="00367CFC" w:rsidRPr="00A728F6" w:rsidRDefault="00367CFC" w:rsidP="00367CFC">
            <w:pPr>
              <w:jc w:val="both"/>
              <w:rPr>
                <w:i/>
                <w:strike/>
                <w:sz w:val="22"/>
                <w:lang w:val="es-ES" w:eastAsia="en-GB"/>
              </w:rPr>
            </w:pPr>
            <w:r w:rsidRPr="00A728F6">
              <w:rPr>
                <w:i/>
                <w:strike/>
                <w:sz w:val="22"/>
                <w:lang w:val="es-ES" w:eastAsia="en-GB"/>
              </w:rPr>
              <w:t>Para posible desarrollo futuro:</w:t>
            </w:r>
          </w:p>
          <w:p w14:paraId="3B3A0FA0" w14:textId="77777777" w:rsidR="00367CFC" w:rsidRPr="00A728F6" w:rsidRDefault="00367CFC" w:rsidP="00367CFC">
            <w:pPr>
              <w:jc w:val="both"/>
              <w:rPr>
                <w:strike/>
                <w:sz w:val="22"/>
                <w:lang w:val="es-ES" w:eastAsia="en-GB"/>
              </w:rPr>
            </w:pPr>
          </w:p>
          <w:p w14:paraId="3D763222" w14:textId="77777777" w:rsidR="00367CFC" w:rsidRPr="00A728F6" w:rsidRDefault="00367CFC" w:rsidP="00367CFC">
            <w:pPr>
              <w:widowControl/>
              <w:numPr>
                <w:ilvl w:val="0"/>
                <w:numId w:val="6"/>
              </w:numPr>
              <w:jc w:val="both"/>
              <w:rPr>
                <w:strike/>
                <w:sz w:val="22"/>
                <w:lang w:val="es-ES" w:eastAsia="en-GB"/>
              </w:rPr>
            </w:pPr>
            <w:r w:rsidRPr="00A728F6">
              <w:rPr>
                <w:strike/>
                <w:sz w:val="22"/>
                <w:lang w:val="es-ES" w:eastAsia="en-GB"/>
              </w:rPr>
              <w:t>Tendencias en financiación oficial para las actividades que apoyan la implementación del Plan Estratégico para las Especies Migratorias.</w:t>
            </w:r>
          </w:p>
          <w:p w14:paraId="7A6E275A" w14:textId="77777777" w:rsidR="00367CFC" w:rsidRPr="00A728F6" w:rsidRDefault="00367CFC" w:rsidP="00367CFC">
            <w:pPr>
              <w:jc w:val="both"/>
              <w:rPr>
                <w:strike/>
                <w:sz w:val="22"/>
                <w:lang w:val="es-ES" w:eastAsia="en-GB"/>
              </w:rPr>
            </w:pPr>
          </w:p>
          <w:p w14:paraId="6EE8A233"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Los indicadores definidos para la Estrategia de Movilización de Recursos de la CDB (y que allí se indican como “prioridades para el desarrollo”) podrían sugerir que se podría desarrollar un indicador adecuado para esta meta en relación a los flujos internacionales de financiamiento anuales agregados para el logro de los objetivos del SPMS, y algo similar para el nivel nacional. Durante el desarrollo de la SPMS, sin embargo, se planteó una </w:t>
            </w:r>
            <w:r w:rsidRPr="00A728F6">
              <w:rPr>
                <w:rFonts w:eastAsia="MS Mincho"/>
                <w:strike/>
                <w:sz w:val="22"/>
                <w:lang w:val="es-ES" w:eastAsia="ja-JP"/>
              </w:rPr>
              <w:lastRenderedPageBreak/>
              <w:t xml:space="preserve">duda considerable sobre la viabilidad de hacer operables tales indicadores, por lo menos en términos de separar la dimensión “especie migratoria” de la biodiversidad. </w:t>
            </w:r>
          </w:p>
          <w:p w14:paraId="6DA37E21" w14:textId="77777777" w:rsidR="00367CFC" w:rsidRPr="00A728F6" w:rsidRDefault="00367CFC" w:rsidP="00367CFC">
            <w:pPr>
              <w:jc w:val="both"/>
              <w:rPr>
                <w:rFonts w:eastAsia="MS Mincho"/>
                <w:strike/>
                <w:sz w:val="22"/>
                <w:lang w:val="es-ES" w:eastAsia="ja-JP"/>
              </w:rPr>
            </w:pPr>
          </w:p>
          <w:p w14:paraId="342A9EB7"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 xml:space="preserve">El indicador que se sugiere aquí, aunque básico y parcial, puede ser lo máximo que se puede esperar. Se ocuparía de los principales casos documentables de apoyo a los programas y proyectos de conservación de especies migratorias, idealmente en los que haya un enlace explícito a una o más metas del SPMS. Podría incluir los casos pertinentes específicos de financiación por parte de organismos multilaterales como el FMAM, y el apoyo de los gobiernos para las acciones de la CMS y su familia de instrumentos, entre otras acciones. </w:t>
            </w:r>
          </w:p>
          <w:p w14:paraId="6217AD84" w14:textId="77777777" w:rsidR="00367CFC" w:rsidRPr="00A728F6" w:rsidRDefault="00367CFC" w:rsidP="00367CFC">
            <w:pPr>
              <w:jc w:val="both"/>
              <w:rPr>
                <w:rFonts w:eastAsia="MS Mincho"/>
                <w:strike/>
                <w:sz w:val="22"/>
                <w:lang w:val="es-ES" w:eastAsia="ja-JP"/>
              </w:rPr>
            </w:pPr>
            <w:r w:rsidRPr="00A728F6">
              <w:rPr>
                <w:rFonts w:eastAsia="MS Mincho"/>
                <w:strike/>
                <w:sz w:val="22"/>
                <w:lang w:val="es-ES" w:eastAsia="ja-JP"/>
              </w:rPr>
              <w:t>Hay un desafío metodológico significativo para definir bases de referencia apropiadas para el 2015, lo que también requerirá atención.</w:t>
            </w:r>
          </w:p>
          <w:p w14:paraId="41689564" w14:textId="77777777" w:rsidR="00367CFC" w:rsidRPr="00A728F6" w:rsidRDefault="00367CFC" w:rsidP="00367CFC">
            <w:pPr>
              <w:jc w:val="both"/>
              <w:rPr>
                <w:rFonts w:eastAsia="MS Mincho"/>
                <w:strike/>
                <w:sz w:val="22"/>
                <w:lang w:val="es-ES" w:eastAsia="ja-JP"/>
              </w:rPr>
            </w:pPr>
          </w:p>
        </w:tc>
      </w:tr>
    </w:tbl>
    <w:p w14:paraId="539EAC72" w14:textId="77777777" w:rsidR="00367CFC" w:rsidRPr="002E3942" w:rsidRDefault="00367CFC" w:rsidP="00367CFC">
      <w:pPr>
        <w:rPr>
          <w:rFonts w:eastAsia="MS Mincho" w:cs="Arial"/>
          <w:sz w:val="22"/>
          <w:szCs w:val="22"/>
          <w:lang w:val="es-ES"/>
        </w:rPr>
      </w:pPr>
    </w:p>
    <w:p w14:paraId="2B41E4ED" w14:textId="0D107B92" w:rsidR="003E2E1F" w:rsidRPr="003E2E1F" w:rsidRDefault="003E2E1F" w:rsidP="003E2E1F">
      <w:pPr>
        <w:jc w:val="both"/>
        <w:rPr>
          <w:rFonts w:eastAsia="MS Mincho" w:cs="Arial"/>
          <w:noProof/>
          <w:sz w:val="22"/>
          <w:szCs w:val="22"/>
          <w:u w:val="single"/>
          <w:lang w:val="es-ES_tradnl"/>
        </w:rPr>
      </w:pPr>
      <w:r w:rsidRPr="003E2E1F">
        <w:rPr>
          <w:rFonts w:eastAsia="MS Mincho" w:cs="Arial"/>
          <w:noProof/>
          <w:sz w:val="22"/>
          <w:szCs w:val="22"/>
          <w:u w:val="single"/>
          <w:lang w:val="es-ES_tradnl"/>
        </w:rPr>
        <w:t xml:space="preserve">Tal como se solicitó en la Resolución 11.2, el Grupo de Trabajo sobre el Plan Estratégico desarrolló los siguientes indicadores detallados para el </w:t>
      </w:r>
      <w:r w:rsidR="00002F5C">
        <w:rPr>
          <w:rFonts w:eastAsia="MS Mincho" w:cs="Arial"/>
          <w:noProof/>
          <w:sz w:val="22"/>
          <w:szCs w:val="22"/>
          <w:u w:val="single"/>
          <w:lang w:val="es-ES_tradnl"/>
        </w:rPr>
        <w:t>SPMS</w:t>
      </w:r>
      <w:r w:rsidRPr="003E2E1F">
        <w:rPr>
          <w:rFonts w:eastAsia="MS Mincho" w:cs="Arial"/>
          <w:noProof/>
          <w:sz w:val="22"/>
          <w:szCs w:val="22"/>
          <w:u w:val="single"/>
          <w:lang w:val="es-ES_tradnl"/>
        </w:rPr>
        <w:t>, teniendo en cuenta los indicadores principales mencionados en la Resolución 11.2 Anexo B, la implementación del Plan Estratégico para la Biodiversodad 2011-2020, los documentos estratégicos de otros acuerdos ambientales multilaterales y otros documentos y materiales pertinentes que se consideren apropiados.</w:t>
      </w:r>
    </w:p>
    <w:p w14:paraId="07F2E36D" w14:textId="77777777" w:rsidR="00367CFC" w:rsidRPr="003E2E1F" w:rsidRDefault="00367CFC" w:rsidP="00367CFC">
      <w:pPr>
        <w:jc w:val="both"/>
        <w:rPr>
          <w:rFonts w:eastAsia="MS Mincho" w:cs="Arial"/>
          <w:sz w:val="22"/>
          <w:szCs w:val="22"/>
          <w:lang w:val="es-ES_tradnl"/>
        </w:rPr>
      </w:pPr>
    </w:p>
    <w:p w14:paraId="44E1F998" w14:textId="4885065A" w:rsidR="003E2E1F" w:rsidRPr="003E2E1F" w:rsidRDefault="003E2E1F" w:rsidP="003E2E1F">
      <w:pPr>
        <w:jc w:val="both"/>
        <w:rPr>
          <w:rFonts w:eastAsia="MS Mincho" w:cs="Arial"/>
          <w:noProof/>
          <w:sz w:val="22"/>
          <w:szCs w:val="22"/>
          <w:u w:val="single"/>
          <w:lang w:val="es-ES_tradnl"/>
        </w:rPr>
      </w:pPr>
      <w:r w:rsidRPr="003E2E1F">
        <w:rPr>
          <w:rFonts w:eastAsia="MS Mincho" w:cs="Arial"/>
          <w:noProof/>
          <w:sz w:val="22"/>
          <w:szCs w:val="22"/>
          <w:u w:val="single"/>
          <w:lang w:val="es-ES_tradnl"/>
        </w:rPr>
        <w:t xml:space="preserve">La tabla más abajo muestra los títulos de los indicadores definidos para cada una de las 16 metas del Plan Estratégico para las Especies Migratorias. El razonamiento base para cada una de ellas, los factores que requieren medición, posibles fuentes de información, problemas de base, preguntas propuestas en los informes y enlaces a otros procesos existentes así como algunas observaciones sobre el alcance y la disposición están explicados en las </w:t>
      </w:r>
      <w:r w:rsidR="00C42069">
        <w:rPr>
          <w:rFonts w:eastAsia="MS Mincho" w:cs="Arial"/>
          <w:noProof/>
          <w:sz w:val="22"/>
          <w:szCs w:val="22"/>
          <w:u w:val="single"/>
          <w:lang w:val="es-ES_tradnl"/>
        </w:rPr>
        <w:t>fichas técnicas de</w:t>
      </w:r>
      <w:r w:rsidRPr="003E2E1F">
        <w:rPr>
          <w:rFonts w:eastAsia="MS Mincho" w:cs="Arial"/>
          <w:noProof/>
          <w:sz w:val="22"/>
          <w:szCs w:val="22"/>
          <w:u w:val="single"/>
          <w:lang w:val="es-ES_tradnl"/>
        </w:rPr>
        <w:t xml:space="preserve"> </w:t>
      </w:r>
      <w:r w:rsidR="00C42069">
        <w:rPr>
          <w:rFonts w:eastAsia="MS Mincho" w:cs="Arial"/>
          <w:noProof/>
          <w:sz w:val="22"/>
          <w:szCs w:val="22"/>
          <w:u w:val="single"/>
          <w:lang w:val="es-ES_tradnl"/>
        </w:rPr>
        <w:t>i</w:t>
      </w:r>
      <w:r w:rsidRPr="003E2E1F">
        <w:rPr>
          <w:rFonts w:eastAsia="MS Mincho" w:cs="Arial"/>
          <w:noProof/>
          <w:sz w:val="22"/>
          <w:szCs w:val="22"/>
          <w:u w:val="single"/>
          <w:lang w:val="es-ES_tradnl"/>
        </w:rPr>
        <w:t xml:space="preserve">ndicadores elaboradas para cada meta y presentadas en el documento </w:t>
      </w:r>
      <w:r w:rsidRPr="003E2E1F">
        <w:rPr>
          <w:rFonts w:eastAsiaTheme="minorHAnsi" w:cs="Arial"/>
          <w:color w:val="000000"/>
          <w:sz w:val="22"/>
          <w:szCs w:val="22"/>
          <w:u w:val="single"/>
          <w:lang w:val="es-ES"/>
        </w:rPr>
        <w:t>UNEP/CMS/COP12/Inf.26.</w:t>
      </w:r>
    </w:p>
    <w:p w14:paraId="2C31043A" w14:textId="77777777" w:rsidR="003E2E1F" w:rsidRPr="003E2E1F" w:rsidRDefault="003E2E1F" w:rsidP="003E2E1F">
      <w:pPr>
        <w:jc w:val="both"/>
        <w:rPr>
          <w:rFonts w:eastAsia="MS Mincho" w:cs="Arial"/>
          <w:noProof/>
          <w:sz w:val="22"/>
          <w:szCs w:val="22"/>
          <w:u w:val="single"/>
          <w:lang w:val="es-ES_tradnl"/>
        </w:rPr>
      </w:pPr>
    </w:p>
    <w:p w14:paraId="6F7BEDE6" w14:textId="77777777" w:rsidR="003E2E1F" w:rsidRPr="0088227E" w:rsidRDefault="003E2E1F" w:rsidP="003E2E1F">
      <w:pPr>
        <w:jc w:val="both"/>
        <w:rPr>
          <w:rFonts w:eastAsia="MS Mincho" w:cs="Arial"/>
          <w:noProof/>
          <w:sz w:val="22"/>
          <w:szCs w:val="22"/>
          <w:u w:val="single"/>
          <w:lang w:val="es-ES_tradnl"/>
        </w:rPr>
      </w:pPr>
      <w:r w:rsidRPr="003E2E1F">
        <w:rPr>
          <w:rFonts w:eastAsia="MS Mincho" w:cs="Arial"/>
          <w:noProof/>
          <w:sz w:val="22"/>
          <w:szCs w:val="22"/>
          <w:u w:val="single"/>
          <w:lang w:val="es-ES_tradnl"/>
        </w:rPr>
        <w:t>De los 29 indicadores definidos, 10 han sido resaltados como prioridades sugeridas iniciales, basándose en su viabilidad relativa y la importancia de la información que puedan generar sobre componentes más concretos de las metas.</w:t>
      </w:r>
      <w:r>
        <w:rPr>
          <w:rFonts w:eastAsia="MS Mincho" w:cs="Arial"/>
          <w:noProof/>
          <w:sz w:val="22"/>
          <w:szCs w:val="22"/>
          <w:u w:val="single"/>
          <w:lang w:val="es-ES_tradnl"/>
        </w:rPr>
        <w:t xml:space="preserve"> </w:t>
      </w:r>
    </w:p>
    <w:p w14:paraId="46C0F052" w14:textId="77777777" w:rsidR="00367CFC" w:rsidRPr="003E2E1F" w:rsidRDefault="00367CFC" w:rsidP="00367CFC">
      <w:pPr>
        <w:jc w:val="both"/>
        <w:rPr>
          <w:rFonts w:eastAsia="MS Mincho" w:cs="Arial"/>
          <w:sz w:val="22"/>
          <w:szCs w:val="22"/>
          <w:lang w:val="es-ES_tradnl"/>
        </w:rPr>
      </w:pPr>
    </w:p>
    <w:tbl>
      <w:tblPr>
        <w:tblStyle w:val="TableGrid"/>
        <w:tblW w:w="4998" w:type="pct"/>
        <w:tblLayout w:type="fixed"/>
        <w:tblLook w:val="04A0" w:firstRow="1" w:lastRow="0" w:firstColumn="1" w:lastColumn="0" w:noHBand="0" w:noVBand="1"/>
      </w:tblPr>
      <w:tblGrid>
        <w:gridCol w:w="4812"/>
        <w:gridCol w:w="4812"/>
      </w:tblGrid>
      <w:tr w:rsidR="00367CFC" w:rsidRPr="00647F86" w14:paraId="13F84B41" w14:textId="77777777" w:rsidTr="00367CFC">
        <w:tc>
          <w:tcPr>
            <w:tcW w:w="2500" w:type="pct"/>
            <w:shd w:val="clear" w:color="auto" w:fill="D9D9D9" w:themeFill="background1" w:themeFillShade="D9"/>
          </w:tcPr>
          <w:p w14:paraId="72D05EB7" w14:textId="77777777" w:rsidR="00367CFC" w:rsidRPr="00800DEC" w:rsidRDefault="00367CFC" w:rsidP="00367CFC">
            <w:pPr>
              <w:spacing w:before="20" w:after="20"/>
              <w:rPr>
                <w:rFonts w:eastAsia="MS Mincho" w:cs="Arial"/>
                <w:b/>
                <w:sz w:val="22"/>
                <w:szCs w:val="22"/>
                <w:u w:val="single"/>
              </w:rPr>
            </w:pPr>
            <w:r>
              <w:rPr>
                <w:rFonts w:eastAsia="MS Mincho" w:cs="Arial"/>
                <w:b/>
                <w:sz w:val="22"/>
                <w:szCs w:val="22"/>
                <w:u w:val="single"/>
              </w:rPr>
              <w:t xml:space="preserve">Meta del </w:t>
            </w:r>
            <w:r w:rsidRPr="00800DEC">
              <w:rPr>
                <w:rFonts w:eastAsia="MS Mincho" w:cs="Arial"/>
                <w:b/>
                <w:sz w:val="22"/>
                <w:szCs w:val="22"/>
                <w:u w:val="single"/>
              </w:rPr>
              <w:t>SPM</w:t>
            </w:r>
            <w:r>
              <w:rPr>
                <w:rFonts w:eastAsia="MS Mincho" w:cs="Arial"/>
                <w:b/>
                <w:sz w:val="22"/>
                <w:szCs w:val="22"/>
                <w:u w:val="single"/>
              </w:rPr>
              <w:t>S</w:t>
            </w:r>
          </w:p>
        </w:tc>
        <w:tc>
          <w:tcPr>
            <w:tcW w:w="2500" w:type="pct"/>
            <w:shd w:val="clear" w:color="auto" w:fill="D9D9D9" w:themeFill="background1" w:themeFillShade="D9"/>
          </w:tcPr>
          <w:p w14:paraId="3ECE8605" w14:textId="77777777" w:rsidR="00367CFC" w:rsidRPr="00800DEC" w:rsidRDefault="00367CFC" w:rsidP="00367CFC">
            <w:pPr>
              <w:spacing w:before="20" w:after="20"/>
              <w:rPr>
                <w:rFonts w:eastAsia="MS Mincho" w:cs="Arial"/>
                <w:b/>
                <w:sz w:val="22"/>
                <w:szCs w:val="22"/>
                <w:u w:val="single"/>
              </w:rPr>
            </w:pPr>
            <w:r w:rsidRPr="00800DEC">
              <w:rPr>
                <w:rFonts w:eastAsia="MS Mincho" w:cs="Arial"/>
                <w:b/>
                <w:sz w:val="22"/>
                <w:szCs w:val="22"/>
                <w:u w:val="single"/>
              </w:rPr>
              <w:t>Indica</w:t>
            </w:r>
            <w:r>
              <w:rPr>
                <w:rFonts w:eastAsia="MS Mincho" w:cs="Arial"/>
                <w:b/>
                <w:sz w:val="22"/>
                <w:szCs w:val="22"/>
                <w:u w:val="single"/>
              </w:rPr>
              <w:t>d</w:t>
            </w:r>
            <w:r w:rsidRPr="00800DEC">
              <w:rPr>
                <w:rFonts w:eastAsia="MS Mincho" w:cs="Arial"/>
                <w:b/>
                <w:sz w:val="22"/>
                <w:szCs w:val="22"/>
                <w:u w:val="single"/>
              </w:rPr>
              <w:t>or(</w:t>
            </w:r>
            <w:r>
              <w:rPr>
                <w:rFonts w:eastAsia="MS Mincho" w:cs="Arial"/>
                <w:b/>
                <w:sz w:val="22"/>
                <w:szCs w:val="22"/>
                <w:u w:val="single"/>
              </w:rPr>
              <w:t>e</w:t>
            </w:r>
            <w:r w:rsidRPr="00800DEC">
              <w:rPr>
                <w:rFonts w:eastAsia="MS Mincho" w:cs="Arial"/>
                <w:b/>
                <w:sz w:val="22"/>
                <w:szCs w:val="22"/>
                <w:u w:val="single"/>
              </w:rPr>
              <w:t>s)</w:t>
            </w:r>
          </w:p>
        </w:tc>
      </w:tr>
      <w:tr w:rsidR="00367CFC" w:rsidRPr="00DA2A2C" w14:paraId="3FC8EB9D" w14:textId="77777777" w:rsidTr="00367CFC">
        <w:tc>
          <w:tcPr>
            <w:tcW w:w="2500" w:type="pct"/>
            <w:vMerge w:val="restart"/>
          </w:tcPr>
          <w:p w14:paraId="376BC37F"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rPr>
              <w:t xml:space="preserve">1.  </w:t>
            </w:r>
            <w:r w:rsidRPr="002E3942">
              <w:rPr>
                <w:rFonts w:eastAsia="MS Mincho" w:cs="Arial"/>
                <w:sz w:val="22"/>
                <w:szCs w:val="22"/>
                <w:u w:val="single"/>
                <w:lang w:val="es-ES" w:eastAsia="ja-JP"/>
              </w:rPr>
              <w:t>Las personas tendrán conciencia de los múltiples valores de las especies migratorias, sus hábitats, y los sistemas migratorios y de los pasos que pueden dar para su conservación y asegurar la utilización sostenible.</w:t>
            </w:r>
          </w:p>
        </w:tc>
        <w:tc>
          <w:tcPr>
            <w:tcW w:w="2500" w:type="pct"/>
          </w:tcPr>
          <w:p w14:paraId="3C37B288"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1.1 Nivel de implicación en el Día Mundial de las Aves Migratorias y eventos similares.</w:t>
            </w:r>
          </w:p>
        </w:tc>
      </w:tr>
      <w:tr w:rsidR="00367CFC" w:rsidRPr="00DA2A2C" w14:paraId="07768F12" w14:textId="77777777" w:rsidTr="00367CFC">
        <w:tc>
          <w:tcPr>
            <w:tcW w:w="2500" w:type="pct"/>
            <w:vMerge/>
          </w:tcPr>
          <w:p w14:paraId="1A03C892"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1E32370C"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1.2 Evaluación cualitativa sencilla realizada por las Partes en la CMS en los informes nacionales trienales.</w:t>
            </w:r>
          </w:p>
        </w:tc>
      </w:tr>
      <w:tr w:rsidR="00367CFC" w:rsidRPr="00647F86" w14:paraId="4C536887" w14:textId="77777777" w:rsidTr="00367CFC">
        <w:tc>
          <w:tcPr>
            <w:tcW w:w="2500" w:type="pct"/>
            <w:vMerge/>
          </w:tcPr>
          <w:p w14:paraId="6A5B527E"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4C78AB60" w14:textId="77777777" w:rsidR="00367CFC" w:rsidRPr="00A870A9" w:rsidRDefault="00367CFC" w:rsidP="00367CFC">
            <w:pPr>
              <w:spacing w:before="20" w:after="20"/>
              <w:ind w:left="113" w:hanging="113"/>
              <w:rPr>
                <w:rFonts w:eastAsia="MS Mincho" w:cs="Arial"/>
                <w:sz w:val="22"/>
                <w:szCs w:val="22"/>
                <w:highlight w:val="yellow"/>
                <w:u w:val="single"/>
              </w:rPr>
            </w:pPr>
            <w:r w:rsidRPr="002E3942">
              <w:rPr>
                <w:lang w:val="es-ES"/>
              </w:rPr>
              <w:t xml:space="preserve"> </w:t>
            </w:r>
            <w:r w:rsidRPr="00113B8A">
              <w:rPr>
                <w:rFonts w:eastAsia="MS Mincho" w:cs="Arial"/>
                <w:sz w:val="22"/>
                <w:szCs w:val="22"/>
                <w:u w:val="single"/>
              </w:rPr>
              <w:t>1.3 Estudios de casos específicos</w:t>
            </w:r>
            <w:r>
              <w:rPr>
                <w:rFonts w:eastAsia="MS Mincho" w:cs="Arial"/>
                <w:sz w:val="22"/>
                <w:szCs w:val="22"/>
                <w:u w:val="single"/>
              </w:rPr>
              <w:t>.</w:t>
            </w:r>
          </w:p>
        </w:tc>
      </w:tr>
      <w:tr w:rsidR="00367CFC" w:rsidRPr="00647F86" w14:paraId="534390D9" w14:textId="77777777" w:rsidTr="00367CFC">
        <w:tc>
          <w:tcPr>
            <w:tcW w:w="2500" w:type="pct"/>
            <w:vMerge w:val="restart"/>
          </w:tcPr>
          <w:p w14:paraId="36DDD70A"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rPr>
              <w:t>2.  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p>
        </w:tc>
        <w:tc>
          <w:tcPr>
            <w:tcW w:w="2500" w:type="pct"/>
          </w:tcPr>
          <w:p w14:paraId="778F65DC" w14:textId="77777777" w:rsidR="00367CFC" w:rsidRPr="00A870A9" w:rsidRDefault="00367CFC" w:rsidP="00367CFC">
            <w:pPr>
              <w:spacing w:before="20" w:after="20"/>
              <w:ind w:left="113" w:hanging="113"/>
              <w:rPr>
                <w:rFonts w:eastAsia="MS Mincho" w:cs="Arial"/>
                <w:sz w:val="22"/>
                <w:szCs w:val="22"/>
                <w:highlight w:val="yellow"/>
                <w:u w:val="single"/>
              </w:rPr>
            </w:pPr>
            <w:r w:rsidRPr="002E3942">
              <w:rPr>
                <w:lang w:val="es-ES"/>
              </w:rPr>
              <w:t xml:space="preserve"> </w:t>
            </w:r>
            <w:r w:rsidRPr="00191976">
              <w:rPr>
                <w:rFonts w:eastAsia="MS Mincho" w:cs="Arial"/>
                <w:sz w:val="22"/>
                <w:szCs w:val="22"/>
                <w:u w:val="single"/>
              </w:rPr>
              <w:t>2.1 Estudio único de evaluación.</w:t>
            </w:r>
          </w:p>
        </w:tc>
      </w:tr>
      <w:tr w:rsidR="00367CFC" w:rsidRPr="00DA2A2C" w14:paraId="2758FE79" w14:textId="77777777" w:rsidTr="00367CFC">
        <w:tc>
          <w:tcPr>
            <w:tcW w:w="2500" w:type="pct"/>
            <w:vMerge/>
          </w:tcPr>
          <w:p w14:paraId="6218AC46" w14:textId="77777777" w:rsidR="00367CFC" w:rsidRPr="00180183" w:rsidRDefault="00367CFC" w:rsidP="00367CFC">
            <w:pPr>
              <w:spacing w:before="20" w:after="20"/>
              <w:ind w:left="113" w:hanging="113"/>
              <w:rPr>
                <w:rFonts w:eastAsia="MS Mincho" w:cs="Arial"/>
                <w:sz w:val="22"/>
                <w:szCs w:val="22"/>
                <w:u w:val="single"/>
              </w:rPr>
            </w:pPr>
          </w:p>
        </w:tc>
        <w:tc>
          <w:tcPr>
            <w:tcW w:w="2500" w:type="pct"/>
          </w:tcPr>
          <w:p w14:paraId="07CD55A3" w14:textId="283DC053" w:rsidR="003E2E1F" w:rsidRPr="003E2E1F" w:rsidRDefault="003E2E1F" w:rsidP="003E2E1F">
            <w:pPr>
              <w:spacing w:before="20" w:after="20"/>
              <w:ind w:left="113" w:hanging="113"/>
              <w:rPr>
                <w:rFonts w:eastAsia="MS Mincho" w:cs="Arial"/>
                <w:b/>
                <w:noProof/>
                <w:sz w:val="22"/>
                <w:szCs w:val="22"/>
                <w:u w:val="single"/>
                <w:lang w:val="es-ES_tradnl"/>
              </w:rPr>
            </w:pPr>
            <w:r w:rsidRPr="003E2E1F">
              <w:rPr>
                <w:rFonts w:eastAsia="MS Mincho" w:cs="Arial"/>
                <w:noProof/>
                <w:sz w:val="22"/>
                <w:szCs w:val="22"/>
                <w:u w:val="single"/>
                <w:lang w:val="es-ES_tradnl"/>
              </w:rPr>
              <w:t xml:space="preserve">2.2 </w:t>
            </w:r>
            <w:r w:rsidRPr="003E2E1F">
              <w:rPr>
                <w:noProof/>
                <w:sz w:val="22"/>
                <w:u w:val="single"/>
                <w:lang w:val="es-ES_tradnl"/>
              </w:rPr>
              <w:t>Pregunta en el modelo de presentación de informes nacionales de la CMS</w:t>
            </w:r>
          </w:p>
          <w:p w14:paraId="79B1716B" w14:textId="325185E2" w:rsidR="00367CFC" w:rsidRPr="003E2E1F" w:rsidRDefault="003E2E1F" w:rsidP="00DA6552">
            <w:pPr>
              <w:spacing w:before="20" w:after="20"/>
              <w:ind w:left="113" w:firstLine="8"/>
              <w:rPr>
                <w:rFonts w:eastAsia="MS Mincho" w:cs="Arial"/>
                <w:sz w:val="22"/>
                <w:szCs w:val="22"/>
                <w:u w:val="single"/>
                <w:lang w:val="es-ES"/>
              </w:rPr>
            </w:pPr>
            <w:r w:rsidRPr="003E2E1F">
              <w:rPr>
                <w:rFonts w:eastAsia="MS Mincho" w:cs="Arial"/>
                <w:b/>
                <w:noProof/>
                <w:sz w:val="22"/>
                <w:szCs w:val="22"/>
                <w:u w:val="single"/>
                <w:lang w:val="es-ES_tradnl"/>
              </w:rPr>
              <w:t>Prioridad sugerida</w:t>
            </w:r>
            <w:r w:rsidRPr="003E2E1F">
              <w:rPr>
                <w:rFonts w:eastAsia="MS Mincho" w:cs="Arial"/>
                <w:noProof/>
                <w:sz w:val="22"/>
                <w:szCs w:val="22"/>
                <w:u w:val="single"/>
                <w:lang w:val="es-ES_tradnl"/>
              </w:rPr>
              <w:t>: sujeto a la adopción de las enmiendas sugeridas</w:t>
            </w:r>
            <w:r w:rsidR="006762E3">
              <w:rPr>
                <w:rFonts w:eastAsia="MS Mincho" w:cs="Arial"/>
                <w:noProof/>
                <w:sz w:val="22"/>
                <w:szCs w:val="22"/>
                <w:u w:val="single"/>
                <w:lang w:val="es-ES_tradnl"/>
              </w:rPr>
              <w:t xml:space="preserve"> para</w:t>
            </w:r>
            <w:r w:rsidRPr="003E2E1F">
              <w:rPr>
                <w:rFonts w:eastAsia="MS Mincho" w:cs="Arial"/>
                <w:noProof/>
                <w:sz w:val="22"/>
                <w:szCs w:val="22"/>
                <w:u w:val="single"/>
                <w:lang w:val="es-ES_tradnl"/>
              </w:rPr>
              <w:t xml:space="preserve"> actualizar y optimizar el formato para la presentación de los informes nacionales</w:t>
            </w:r>
            <w:r w:rsidR="00367CFC" w:rsidRPr="003E2E1F">
              <w:rPr>
                <w:rFonts w:eastAsia="MS Mincho" w:cs="Arial"/>
                <w:sz w:val="22"/>
                <w:szCs w:val="22"/>
                <w:u w:val="single"/>
                <w:lang w:val="es-ES"/>
              </w:rPr>
              <w:t>.</w:t>
            </w:r>
          </w:p>
        </w:tc>
      </w:tr>
      <w:tr w:rsidR="00367CFC" w:rsidRPr="00DA2A2C" w14:paraId="03E7F7FB" w14:textId="77777777" w:rsidTr="00367CFC">
        <w:tc>
          <w:tcPr>
            <w:tcW w:w="2500" w:type="pct"/>
            <w:vMerge w:val="restart"/>
          </w:tcPr>
          <w:p w14:paraId="1C273150"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 xml:space="preserve">3. La gobernanza nacional, regional, e </w:t>
            </w:r>
            <w:r w:rsidRPr="002E3942">
              <w:rPr>
                <w:rFonts w:eastAsia="MS Mincho" w:cs="Arial"/>
                <w:sz w:val="22"/>
                <w:szCs w:val="22"/>
                <w:u w:val="single"/>
                <w:lang w:val="es-ES" w:eastAsia="ja-JP"/>
              </w:rPr>
              <w:lastRenderedPageBreak/>
              <w:t>internacional que afecta a las especies migratorias y sus hábitats habrá mejorado significativamente, haciendo que los procesos políticos, normativos y de implementación pertinentes sean más coherentes, responsables, transparentes, participativos, equitativos e inclusivos.</w:t>
            </w:r>
          </w:p>
        </w:tc>
        <w:tc>
          <w:tcPr>
            <w:tcW w:w="2500" w:type="pct"/>
          </w:tcPr>
          <w:p w14:paraId="4D0EEA74" w14:textId="33567DF5" w:rsidR="003E2E1F" w:rsidRPr="003E2E1F" w:rsidRDefault="003E2E1F" w:rsidP="003E2E1F">
            <w:pPr>
              <w:spacing w:before="20" w:after="20"/>
              <w:ind w:left="113" w:hanging="113"/>
              <w:rPr>
                <w:rFonts w:eastAsia="MS Mincho" w:cs="Arial"/>
                <w:b/>
                <w:noProof/>
                <w:sz w:val="22"/>
                <w:szCs w:val="22"/>
                <w:u w:val="single"/>
                <w:lang w:val="es-ES_tradnl"/>
              </w:rPr>
            </w:pPr>
            <w:r w:rsidRPr="003E2E1F">
              <w:rPr>
                <w:rFonts w:eastAsia="MS Mincho" w:cs="Arial"/>
                <w:noProof/>
                <w:sz w:val="22"/>
                <w:szCs w:val="22"/>
                <w:u w:val="single"/>
                <w:lang w:val="es-ES_tradnl"/>
              </w:rPr>
              <w:lastRenderedPageBreak/>
              <w:t xml:space="preserve">3.1 </w:t>
            </w:r>
            <w:r w:rsidRPr="003E2E1F">
              <w:rPr>
                <w:noProof/>
                <w:sz w:val="22"/>
                <w:u w:val="single"/>
                <w:lang w:val="es-ES_tradnl"/>
              </w:rPr>
              <w:t xml:space="preserve">Pregunta en el modelo de presentación de </w:t>
            </w:r>
            <w:r w:rsidRPr="003E2E1F">
              <w:rPr>
                <w:noProof/>
                <w:sz w:val="22"/>
                <w:u w:val="single"/>
                <w:lang w:val="es-ES_tradnl"/>
              </w:rPr>
              <w:lastRenderedPageBreak/>
              <w:t>informes nacionales de la CMS</w:t>
            </w:r>
          </w:p>
          <w:p w14:paraId="3AEBD21A" w14:textId="7C8A0B1C" w:rsidR="00367CFC" w:rsidRPr="003E2E1F" w:rsidRDefault="003E2E1F" w:rsidP="00DA6552">
            <w:pPr>
              <w:spacing w:before="20" w:after="20"/>
              <w:ind w:left="113" w:firstLine="8"/>
              <w:rPr>
                <w:rFonts w:eastAsia="MS Mincho" w:cs="Arial"/>
                <w:sz w:val="22"/>
                <w:szCs w:val="22"/>
                <w:u w:val="single"/>
                <w:lang w:val="es-ES"/>
              </w:rPr>
            </w:pPr>
            <w:r w:rsidRPr="003E2E1F">
              <w:rPr>
                <w:rFonts w:eastAsia="MS Mincho" w:cs="Arial"/>
                <w:b/>
                <w:noProof/>
                <w:sz w:val="22"/>
                <w:szCs w:val="22"/>
                <w:u w:val="single"/>
                <w:lang w:val="es-ES_tradnl"/>
              </w:rPr>
              <w:t>Prioridad sugerida</w:t>
            </w:r>
            <w:r w:rsidRPr="003E2E1F">
              <w:rPr>
                <w:rFonts w:eastAsia="MS Mincho" w:cs="Arial"/>
                <w:noProof/>
                <w:sz w:val="22"/>
                <w:szCs w:val="22"/>
                <w:u w:val="single"/>
                <w:lang w:val="es-ES_tradnl"/>
              </w:rPr>
              <w:t>: sujeto a la adopción de las enmiendas sugeridas</w:t>
            </w:r>
            <w:r w:rsidR="006762E3">
              <w:rPr>
                <w:rFonts w:eastAsia="MS Mincho" w:cs="Arial"/>
                <w:noProof/>
                <w:sz w:val="22"/>
                <w:szCs w:val="22"/>
                <w:u w:val="single"/>
                <w:lang w:val="es-ES_tradnl"/>
              </w:rPr>
              <w:t xml:space="preserve"> para</w:t>
            </w:r>
            <w:r w:rsidRPr="003E2E1F">
              <w:rPr>
                <w:rFonts w:eastAsia="MS Mincho" w:cs="Arial"/>
                <w:noProof/>
                <w:sz w:val="22"/>
                <w:szCs w:val="22"/>
                <w:u w:val="single"/>
                <w:lang w:val="es-ES_tradnl"/>
              </w:rPr>
              <w:t xml:space="preserve"> actualizar y optimizar el formato para la presentación de los informes nacionales</w:t>
            </w:r>
          </w:p>
        </w:tc>
      </w:tr>
      <w:tr w:rsidR="00367CFC" w:rsidRPr="00DA2A2C" w14:paraId="4A451356" w14:textId="77777777" w:rsidTr="00367CFC">
        <w:tc>
          <w:tcPr>
            <w:tcW w:w="2500" w:type="pct"/>
            <w:vMerge/>
          </w:tcPr>
          <w:p w14:paraId="75210510"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0ECC2F73"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3.2 Estudio de evaluación único de la familia de instrumentos de la CMS.</w:t>
            </w:r>
          </w:p>
        </w:tc>
      </w:tr>
      <w:tr w:rsidR="00367CFC" w:rsidRPr="00DA2A2C" w14:paraId="0AD37D1B" w14:textId="77777777" w:rsidTr="00367CFC">
        <w:tc>
          <w:tcPr>
            <w:tcW w:w="2500" w:type="pct"/>
          </w:tcPr>
          <w:p w14:paraId="5703ABCC" w14:textId="77777777" w:rsidR="00367CFC" w:rsidRPr="002E3942" w:rsidRDefault="00367CFC" w:rsidP="00367CFC">
            <w:pPr>
              <w:tabs>
                <w:tab w:val="left" w:pos="2025"/>
              </w:tabs>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4.  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p>
        </w:tc>
        <w:tc>
          <w:tcPr>
            <w:tcW w:w="2500" w:type="pct"/>
          </w:tcPr>
          <w:p w14:paraId="42E29DFB"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 xml:space="preserve">4.1 Pregunta </w:t>
            </w:r>
            <w:r>
              <w:rPr>
                <w:rFonts w:eastAsia="MS Mincho" w:cs="Arial"/>
                <w:sz w:val="22"/>
                <w:szCs w:val="22"/>
                <w:u w:val="single"/>
                <w:lang w:val="es-ES"/>
              </w:rPr>
              <w:t>en</w:t>
            </w:r>
            <w:r w:rsidRPr="002E3942">
              <w:rPr>
                <w:rFonts w:eastAsia="MS Mincho" w:cs="Arial"/>
                <w:sz w:val="22"/>
                <w:szCs w:val="22"/>
                <w:u w:val="single"/>
                <w:lang w:val="es-ES"/>
              </w:rPr>
              <w:t xml:space="preserve"> el modelo de presentación de informes nacionales de la CMS.</w:t>
            </w:r>
          </w:p>
        </w:tc>
      </w:tr>
      <w:tr w:rsidR="00367CFC" w:rsidRPr="00DA2A2C" w14:paraId="20C72DF3" w14:textId="77777777" w:rsidTr="00367CFC">
        <w:tc>
          <w:tcPr>
            <w:tcW w:w="2500" w:type="pct"/>
            <w:vMerge w:val="restart"/>
          </w:tcPr>
          <w:p w14:paraId="6E731CE5"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5.  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p>
        </w:tc>
        <w:tc>
          <w:tcPr>
            <w:tcW w:w="2500" w:type="pct"/>
          </w:tcPr>
          <w:p w14:paraId="51285DD9" w14:textId="06365E13" w:rsidR="00367CFC" w:rsidRPr="002E3942" w:rsidRDefault="00367CFC" w:rsidP="00367CFC">
            <w:pPr>
              <w:spacing w:before="20" w:after="20"/>
              <w:ind w:left="113" w:hanging="113"/>
              <w:rPr>
                <w:rFonts w:eastAsia="MS Mincho" w:cs="Arial"/>
                <w:b/>
                <w:sz w:val="22"/>
                <w:szCs w:val="22"/>
                <w:highlight w:val="yellow"/>
                <w:u w:val="single"/>
                <w:lang w:val="es-ES"/>
              </w:rPr>
            </w:pPr>
            <w:r w:rsidRPr="002E3942">
              <w:rPr>
                <w:rFonts w:eastAsia="MS Mincho" w:cs="Arial"/>
                <w:sz w:val="22"/>
                <w:szCs w:val="22"/>
                <w:u w:val="single"/>
                <w:lang w:val="es-ES"/>
              </w:rPr>
              <w:t>5.1 Índice de la Lista Roja (e</w:t>
            </w:r>
            <w:r w:rsidR="00D01905">
              <w:rPr>
                <w:rFonts w:eastAsia="MS Mincho" w:cs="Arial"/>
                <w:sz w:val="22"/>
                <w:szCs w:val="22"/>
                <w:u w:val="single"/>
                <w:lang w:val="es-ES"/>
              </w:rPr>
              <w:t xml:space="preserve">fectos de la utilización en las </w:t>
            </w:r>
            <w:r w:rsidRPr="002E3942">
              <w:rPr>
                <w:rFonts w:eastAsia="MS Mincho" w:cs="Arial"/>
                <w:sz w:val="22"/>
                <w:szCs w:val="22"/>
                <w:u w:val="single"/>
                <w:lang w:val="es-ES"/>
              </w:rPr>
              <w:t>especies migratorias).</w:t>
            </w:r>
          </w:p>
          <w:p w14:paraId="14A533F6" w14:textId="77B0841B" w:rsidR="00367CFC" w:rsidRPr="00D01905" w:rsidRDefault="00D01905" w:rsidP="00DA6552">
            <w:pPr>
              <w:spacing w:before="20" w:after="20"/>
              <w:ind w:left="113" w:firstLine="8"/>
              <w:rPr>
                <w:rFonts w:eastAsia="MS Mincho" w:cs="Arial"/>
                <w:sz w:val="22"/>
                <w:szCs w:val="22"/>
                <w:highlight w:val="yellow"/>
                <w:u w:val="single"/>
                <w:lang w:val="es-ES"/>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hipótesis y un  desglose de las especies migratorias, en colaboración con la Alianza de la Lista Roja.</w:t>
            </w:r>
          </w:p>
        </w:tc>
      </w:tr>
      <w:tr w:rsidR="00367CFC" w:rsidRPr="00DA2A2C" w14:paraId="18A9DEA3" w14:textId="77777777" w:rsidTr="00367CFC">
        <w:tc>
          <w:tcPr>
            <w:tcW w:w="2500" w:type="pct"/>
            <w:vMerge/>
          </w:tcPr>
          <w:p w14:paraId="143A84FE" w14:textId="77777777" w:rsidR="00367CFC" w:rsidRPr="00D01905" w:rsidRDefault="00367CFC" w:rsidP="00367CFC">
            <w:pPr>
              <w:spacing w:before="20" w:after="20"/>
              <w:ind w:left="113" w:hanging="113"/>
              <w:rPr>
                <w:rFonts w:eastAsia="MS Mincho" w:cs="Arial"/>
                <w:sz w:val="22"/>
                <w:szCs w:val="22"/>
                <w:u w:val="single"/>
                <w:lang w:val="es-ES"/>
              </w:rPr>
            </w:pPr>
          </w:p>
        </w:tc>
        <w:tc>
          <w:tcPr>
            <w:tcW w:w="2500" w:type="pct"/>
          </w:tcPr>
          <w:p w14:paraId="240CC337"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D01905">
              <w:rPr>
                <w:lang w:val="es-ES"/>
              </w:rPr>
              <w:t xml:space="preserve"> </w:t>
            </w:r>
            <w:r w:rsidRPr="002E3942">
              <w:rPr>
                <w:rFonts w:eastAsia="MS Mincho" w:cs="Arial"/>
                <w:sz w:val="22"/>
                <w:szCs w:val="22"/>
                <w:u w:val="single"/>
                <w:lang w:val="es-ES"/>
              </w:rPr>
              <w:t xml:space="preserve">5.2 Pregunta </w:t>
            </w:r>
            <w:r>
              <w:rPr>
                <w:rFonts w:eastAsia="MS Mincho" w:cs="Arial"/>
                <w:sz w:val="22"/>
                <w:szCs w:val="22"/>
                <w:u w:val="single"/>
                <w:lang w:val="es-ES"/>
              </w:rPr>
              <w:t>en</w:t>
            </w:r>
            <w:r w:rsidRPr="002E3942">
              <w:rPr>
                <w:rFonts w:eastAsia="MS Mincho" w:cs="Arial"/>
                <w:sz w:val="22"/>
                <w:szCs w:val="22"/>
                <w:u w:val="single"/>
                <w:lang w:val="es-ES"/>
              </w:rPr>
              <w:t xml:space="preserve"> el modelo de presentación de informes nacionales de la CMS.</w:t>
            </w:r>
          </w:p>
        </w:tc>
      </w:tr>
      <w:tr w:rsidR="00367CFC" w:rsidRPr="00DA2A2C" w14:paraId="7AC549E7" w14:textId="77777777" w:rsidTr="00367CFC">
        <w:tc>
          <w:tcPr>
            <w:tcW w:w="2500" w:type="pct"/>
            <w:vMerge w:val="restart"/>
          </w:tcPr>
          <w:p w14:paraId="47CEDBE5"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6.  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p>
        </w:tc>
        <w:tc>
          <w:tcPr>
            <w:tcW w:w="2500" w:type="pct"/>
          </w:tcPr>
          <w:p w14:paraId="65D6C15F"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6.1 Tendencias en la aplicación de medidas destinadas a reducir al mínimo los efectos de la pesca y la caza sobre las especies migratorias, sus hábitats y sus corredores migratorios.</w:t>
            </w:r>
          </w:p>
        </w:tc>
      </w:tr>
      <w:tr w:rsidR="00367CFC" w:rsidRPr="00DA2A2C" w14:paraId="74A2F500" w14:textId="77777777" w:rsidTr="00367CFC">
        <w:tc>
          <w:tcPr>
            <w:tcW w:w="2500" w:type="pct"/>
            <w:vMerge/>
          </w:tcPr>
          <w:p w14:paraId="7DB10E70"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0C83D1B5" w14:textId="77777777" w:rsidR="00367CFC" w:rsidRPr="002E3942" w:rsidRDefault="00367CFC" w:rsidP="00367CFC">
            <w:pPr>
              <w:spacing w:before="20" w:after="20"/>
              <w:ind w:left="113" w:hanging="113"/>
              <w:rPr>
                <w:rFonts w:eastAsia="MS Mincho" w:cs="Arial"/>
                <w:b/>
                <w:sz w:val="22"/>
                <w:szCs w:val="22"/>
                <w:highlight w:val="yellow"/>
                <w:u w:val="single"/>
                <w:lang w:val="es-ES"/>
              </w:rPr>
            </w:pPr>
            <w:r w:rsidRPr="002E3942">
              <w:rPr>
                <w:rFonts w:eastAsia="MS Mincho" w:cs="Arial"/>
                <w:sz w:val="22"/>
                <w:szCs w:val="22"/>
                <w:u w:val="single"/>
                <w:lang w:val="es-ES"/>
              </w:rPr>
              <w:t>6.2 Índice de la Lista Roja (efectos de la pesca en las especies migratorias)</w:t>
            </w:r>
          </w:p>
          <w:p w14:paraId="3810B956" w14:textId="69BCA8E2" w:rsidR="00367CFC" w:rsidRPr="00D01905" w:rsidRDefault="00D01905" w:rsidP="00DA6552">
            <w:pPr>
              <w:spacing w:before="20" w:after="20"/>
              <w:ind w:left="113" w:firstLine="8"/>
              <w:rPr>
                <w:rFonts w:eastAsia="MS Mincho" w:cs="Arial"/>
                <w:sz w:val="22"/>
                <w:szCs w:val="22"/>
                <w:highlight w:val="yellow"/>
                <w:u w:val="single"/>
                <w:lang w:val="es-ES"/>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un desglose de las especies migratorias, en colaboración con la Alianza de la Lista Roja</w:t>
            </w:r>
          </w:p>
        </w:tc>
      </w:tr>
      <w:tr w:rsidR="00367CFC" w:rsidRPr="00DA2A2C" w14:paraId="6E6E75C9" w14:textId="77777777" w:rsidTr="00367CFC">
        <w:tc>
          <w:tcPr>
            <w:tcW w:w="2500" w:type="pct"/>
          </w:tcPr>
          <w:p w14:paraId="2A9DFC42"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7.  Las múltiples presiones antropogénicas se habrán llevado a niveles que no resulten perjudiciales para las especies migratorias o para el funcionamiento, la integridad, la conectividad ecológica y la resiliencia de sus hábitats.</w:t>
            </w:r>
          </w:p>
        </w:tc>
        <w:tc>
          <w:tcPr>
            <w:tcW w:w="2500" w:type="pct"/>
          </w:tcPr>
          <w:p w14:paraId="09E3422D" w14:textId="15780937" w:rsidR="00367CFC" w:rsidRPr="00D01905" w:rsidRDefault="00367CFC" w:rsidP="00367CFC">
            <w:pPr>
              <w:spacing w:before="20" w:after="20"/>
              <w:ind w:left="113" w:hanging="113"/>
              <w:rPr>
                <w:rFonts w:eastAsia="MS Mincho" w:cs="Arial"/>
                <w:sz w:val="22"/>
                <w:szCs w:val="22"/>
                <w:highlight w:val="yellow"/>
                <w:u w:val="single"/>
                <w:lang w:val="es-ES"/>
              </w:rPr>
            </w:pPr>
            <w:r w:rsidRPr="002E3942">
              <w:rPr>
                <w:rFonts w:eastAsia="MS Mincho" w:cs="Arial"/>
                <w:sz w:val="22"/>
                <w:szCs w:val="22"/>
                <w:u w:val="single"/>
                <w:lang w:val="es-ES"/>
              </w:rPr>
              <w:t>7.1 Tendencias en determinadas amenazas seleccionadas para las especies migratorias, sus hábitats y corredores migratorios.</w:t>
            </w:r>
            <w:r w:rsidRPr="002E3942">
              <w:rPr>
                <w:rFonts w:eastAsia="MS Mincho" w:cs="Arial"/>
                <w:b/>
                <w:sz w:val="22"/>
                <w:szCs w:val="22"/>
                <w:highlight w:val="yellow"/>
                <w:u w:val="single"/>
                <w:lang w:val="es-ES"/>
              </w:rPr>
              <w:t xml:space="preserve"> </w:t>
            </w:r>
            <w:r w:rsidR="00D01905" w:rsidRPr="00D01905">
              <w:rPr>
                <w:rFonts w:eastAsia="MS Mincho" w:cs="Arial"/>
                <w:b/>
                <w:noProof/>
                <w:sz w:val="22"/>
                <w:szCs w:val="22"/>
                <w:u w:val="single"/>
                <w:lang w:val="es-ES_tradnl"/>
              </w:rPr>
              <w:t xml:space="preserve">Prioridad sugerida: </w:t>
            </w:r>
            <w:r w:rsidR="00D01905" w:rsidRPr="00D01905">
              <w:rPr>
                <w:rFonts w:eastAsia="MS Mincho" w:cs="Arial"/>
                <w:noProof/>
                <w:sz w:val="22"/>
                <w:szCs w:val="22"/>
                <w:u w:val="single"/>
                <w:lang w:val="es-ES_tradnl"/>
              </w:rPr>
              <w:t>un indicador combinado, aunque con algunas partes que es viable implementar ahora, p.ej. datos de los informes nacionales e información obtenida de los indicadores 5.1 y 6.2.</w:t>
            </w:r>
          </w:p>
        </w:tc>
      </w:tr>
      <w:tr w:rsidR="00367CFC" w:rsidRPr="00DA2A2C" w14:paraId="41928914" w14:textId="77777777" w:rsidTr="00367CFC">
        <w:tc>
          <w:tcPr>
            <w:tcW w:w="2500" w:type="pct"/>
            <w:vMerge w:val="restart"/>
          </w:tcPr>
          <w:p w14:paraId="1EA99E20"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8.  Se habrá mejorado considerablemente el estado de conservación de las especies migratorias, particularmente de especies en peligro, en toda su área de distribución.</w:t>
            </w:r>
          </w:p>
        </w:tc>
        <w:tc>
          <w:tcPr>
            <w:tcW w:w="2500" w:type="pct"/>
          </w:tcPr>
          <w:p w14:paraId="6C240013" w14:textId="77777777" w:rsidR="00367CFC" w:rsidRPr="00EB3C28" w:rsidRDefault="00367CFC" w:rsidP="00367CFC">
            <w:pPr>
              <w:spacing w:before="20" w:after="20"/>
              <w:ind w:left="113" w:hanging="113"/>
              <w:rPr>
                <w:rFonts w:eastAsia="MS Mincho" w:cs="Arial"/>
                <w:sz w:val="22"/>
                <w:szCs w:val="22"/>
                <w:highlight w:val="yellow"/>
                <w:u w:val="single"/>
                <w:lang w:val="es-ES"/>
              </w:rPr>
            </w:pPr>
            <w:r w:rsidRPr="00EB3C28">
              <w:rPr>
                <w:rFonts w:eastAsia="MS Mincho" w:cs="Arial"/>
                <w:sz w:val="22"/>
                <w:szCs w:val="22"/>
                <w:u w:val="single"/>
                <w:lang w:val="es-ES"/>
              </w:rPr>
              <w:t>8.1 Índice de la Lista Roja de especies migratorias.</w:t>
            </w:r>
          </w:p>
          <w:p w14:paraId="3C23B98F" w14:textId="56D93379" w:rsidR="00367CFC" w:rsidRPr="00D01905" w:rsidRDefault="00D01905" w:rsidP="00DA6552">
            <w:pPr>
              <w:spacing w:before="20" w:after="20"/>
              <w:ind w:left="113" w:firstLine="8"/>
              <w:rPr>
                <w:rFonts w:eastAsia="MS Mincho" w:cs="Arial"/>
                <w:sz w:val="22"/>
                <w:szCs w:val="22"/>
                <w:highlight w:val="yellow"/>
                <w:u w:val="single"/>
                <w:lang w:val="es-ES"/>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un desglose de las especies migratorias, en colaboración </w:t>
            </w:r>
            <w:r w:rsidRPr="00D01905">
              <w:rPr>
                <w:rFonts w:eastAsia="MS Mincho" w:cs="Arial"/>
                <w:noProof/>
                <w:sz w:val="22"/>
                <w:szCs w:val="22"/>
                <w:u w:val="single"/>
                <w:lang w:val="es-ES_tradnl"/>
              </w:rPr>
              <w:lastRenderedPageBreak/>
              <w:t xml:space="preserve">con la Alianza de la Lista Roja. Establecer enlaces con la inciativa propuesta </w:t>
            </w:r>
            <w:r w:rsidRPr="00D01905">
              <w:rPr>
                <w:rFonts w:eastAsia="MS Mincho" w:cs="Arial"/>
                <w:i/>
                <w:noProof/>
                <w:sz w:val="22"/>
                <w:szCs w:val="22"/>
                <w:u w:val="single"/>
                <w:lang w:val="es-ES_tradnl"/>
              </w:rPr>
              <w:t>Estado de las especies migratorias del mundo</w:t>
            </w:r>
            <w:r w:rsidRPr="00D01905">
              <w:rPr>
                <w:rFonts w:eastAsia="MS Mincho" w:cs="Arial"/>
                <w:noProof/>
                <w:sz w:val="22"/>
                <w:szCs w:val="22"/>
                <w:u w:val="single"/>
                <w:lang w:val="es-ES_tradnl"/>
              </w:rPr>
              <w:t xml:space="preserve"> (UNEP/CMS/ScC-SC2/Doc.6.1).</w:t>
            </w:r>
          </w:p>
        </w:tc>
      </w:tr>
      <w:tr w:rsidR="00367CFC" w:rsidRPr="00DA2A2C" w14:paraId="7EE8DCCC" w14:textId="77777777" w:rsidTr="00367CFC">
        <w:tc>
          <w:tcPr>
            <w:tcW w:w="2500" w:type="pct"/>
            <w:vMerge/>
          </w:tcPr>
          <w:p w14:paraId="2DA18DD9" w14:textId="77777777" w:rsidR="00367CFC" w:rsidRPr="00D01905" w:rsidRDefault="00367CFC" w:rsidP="00367CFC">
            <w:pPr>
              <w:spacing w:before="20" w:after="20"/>
              <w:ind w:left="113" w:hanging="113"/>
              <w:rPr>
                <w:rFonts w:eastAsia="MS Mincho" w:cs="Arial"/>
                <w:sz w:val="22"/>
                <w:szCs w:val="22"/>
                <w:u w:val="single"/>
                <w:lang w:val="es-ES"/>
              </w:rPr>
            </w:pPr>
          </w:p>
        </w:tc>
        <w:tc>
          <w:tcPr>
            <w:tcW w:w="2500" w:type="pct"/>
          </w:tcPr>
          <w:p w14:paraId="522C8108" w14:textId="77777777" w:rsidR="00D01905" w:rsidRPr="002770E0" w:rsidRDefault="00367CFC" w:rsidP="00367CFC">
            <w:pPr>
              <w:spacing w:before="20" w:after="20"/>
              <w:ind w:left="113" w:hanging="113"/>
              <w:rPr>
                <w:rFonts w:eastAsia="MS Mincho" w:cs="Arial"/>
                <w:sz w:val="22"/>
                <w:szCs w:val="22"/>
                <w:u w:val="single"/>
                <w:lang w:val="es-ES" w:eastAsia="ja-JP"/>
              </w:rPr>
            </w:pPr>
            <w:r w:rsidRPr="00D01905">
              <w:rPr>
                <w:lang w:val="es-ES"/>
              </w:rPr>
              <w:t xml:space="preserve"> </w:t>
            </w:r>
            <w:r w:rsidRPr="002770E0">
              <w:rPr>
                <w:rFonts w:eastAsia="MS Mincho" w:cs="Arial"/>
                <w:sz w:val="22"/>
                <w:szCs w:val="22"/>
                <w:u w:val="single"/>
                <w:lang w:val="es-ES" w:eastAsia="ja-JP"/>
              </w:rPr>
              <w:t>8.2 Índice de la Lista Roja de especies migratorias.</w:t>
            </w:r>
          </w:p>
          <w:p w14:paraId="29CB7F8C" w14:textId="19DD25C1" w:rsidR="00367CFC" w:rsidRPr="00D01905" w:rsidRDefault="00D01905" w:rsidP="00DA6552">
            <w:pPr>
              <w:spacing w:before="20" w:after="20"/>
              <w:ind w:left="113" w:firstLine="8"/>
              <w:rPr>
                <w:rFonts w:eastAsia="MS Mincho" w:cs="Arial"/>
                <w:sz w:val="22"/>
                <w:szCs w:val="22"/>
                <w:highlight w:val="yellow"/>
                <w:u w:val="single"/>
                <w:lang w:val="es-ES_tradnl"/>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un desglose de las especies migratorias, en collaboración con el consorcio del IPV.</w:t>
            </w:r>
          </w:p>
        </w:tc>
      </w:tr>
      <w:tr w:rsidR="00367CFC" w:rsidRPr="00DA2A2C" w14:paraId="3EC5512D" w14:textId="77777777" w:rsidTr="00367CFC">
        <w:tc>
          <w:tcPr>
            <w:tcW w:w="2500" w:type="pct"/>
            <w:vMerge/>
          </w:tcPr>
          <w:p w14:paraId="466B6E21" w14:textId="77777777" w:rsidR="00367CFC" w:rsidRPr="00D01905" w:rsidRDefault="00367CFC" w:rsidP="00367CFC">
            <w:pPr>
              <w:spacing w:before="20" w:after="20"/>
              <w:ind w:left="113" w:hanging="113"/>
              <w:rPr>
                <w:rFonts w:eastAsia="MS Mincho" w:cs="Arial"/>
                <w:sz w:val="22"/>
                <w:szCs w:val="22"/>
                <w:u w:val="single"/>
                <w:lang w:val="es-ES"/>
              </w:rPr>
            </w:pPr>
          </w:p>
        </w:tc>
        <w:tc>
          <w:tcPr>
            <w:tcW w:w="2500" w:type="pct"/>
          </w:tcPr>
          <w:p w14:paraId="79763C6F" w14:textId="77777777" w:rsidR="00D01905" w:rsidRPr="002770E0" w:rsidRDefault="00367CFC" w:rsidP="00367CFC">
            <w:pPr>
              <w:spacing w:before="20" w:after="20"/>
              <w:ind w:left="113" w:hanging="113"/>
              <w:rPr>
                <w:rFonts w:eastAsia="MS Mincho" w:cs="Arial"/>
                <w:sz w:val="22"/>
                <w:szCs w:val="22"/>
                <w:u w:val="single"/>
                <w:lang w:val="es-ES" w:eastAsia="ja-JP"/>
              </w:rPr>
            </w:pPr>
            <w:r w:rsidRPr="00D01905">
              <w:rPr>
                <w:lang w:val="es-ES"/>
              </w:rPr>
              <w:t xml:space="preserve"> </w:t>
            </w:r>
            <w:r w:rsidRPr="002770E0">
              <w:rPr>
                <w:rFonts w:eastAsia="MS Mincho" w:cs="Arial"/>
                <w:sz w:val="22"/>
                <w:szCs w:val="22"/>
                <w:u w:val="single"/>
                <w:lang w:val="es-ES" w:eastAsia="ja-JP"/>
              </w:rPr>
              <w:t>8.3 Índice de Aves Silvestres para las aves migratorias.</w:t>
            </w:r>
          </w:p>
          <w:p w14:paraId="226CB0BF" w14:textId="79D6298B" w:rsidR="00367CFC" w:rsidRPr="00D01905" w:rsidRDefault="00D01905" w:rsidP="00DA6552">
            <w:pPr>
              <w:spacing w:before="20" w:after="20"/>
              <w:ind w:left="113" w:firstLine="8"/>
              <w:rPr>
                <w:rFonts w:eastAsia="MS Mincho" w:cs="Arial"/>
                <w:sz w:val="22"/>
                <w:szCs w:val="22"/>
                <w:highlight w:val="yellow"/>
                <w:u w:val="single"/>
                <w:lang w:val="es-ES"/>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un desglose de las especies migratorias, en collaboración con BirdLife International y los socios de WBI</w:t>
            </w:r>
          </w:p>
        </w:tc>
      </w:tr>
      <w:tr w:rsidR="00367CFC" w:rsidRPr="00DA2A2C" w14:paraId="1A5B08A6" w14:textId="77777777" w:rsidTr="00367CFC">
        <w:tc>
          <w:tcPr>
            <w:tcW w:w="2500" w:type="pct"/>
            <w:vMerge/>
          </w:tcPr>
          <w:p w14:paraId="32C7F142" w14:textId="77777777" w:rsidR="00367CFC" w:rsidRPr="00D01905" w:rsidRDefault="00367CFC" w:rsidP="00367CFC">
            <w:pPr>
              <w:spacing w:before="20" w:after="20"/>
              <w:ind w:left="113" w:hanging="113"/>
              <w:rPr>
                <w:rFonts w:eastAsia="MS Mincho" w:cs="Arial"/>
                <w:sz w:val="22"/>
                <w:szCs w:val="22"/>
                <w:u w:val="single"/>
                <w:lang w:val="es-ES"/>
              </w:rPr>
            </w:pPr>
          </w:p>
        </w:tc>
        <w:tc>
          <w:tcPr>
            <w:tcW w:w="2500" w:type="pct"/>
          </w:tcPr>
          <w:p w14:paraId="3B7F3683"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D01905">
              <w:rPr>
                <w:lang w:val="es-ES"/>
              </w:rPr>
              <w:t xml:space="preserve"> </w:t>
            </w:r>
            <w:r w:rsidRPr="002E3942">
              <w:rPr>
                <w:rFonts w:eastAsia="MS Mincho" w:cs="Arial"/>
                <w:sz w:val="22"/>
                <w:szCs w:val="22"/>
                <w:u w:val="single"/>
                <w:lang w:val="es-ES" w:eastAsia="ja-JP"/>
              </w:rPr>
              <w:t>8.4 Tendencias en la distribución de las especies migratorias.</w:t>
            </w:r>
          </w:p>
        </w:tc>
      </w:tr>
      <w:tr w:rsidR="00367CFC" w:rsidRPr="00DA2A2C" w14:paraId="40B67D54" w14:textId="77777777" w:rsidTr="00367CFC">
        <w:tc>
          <w:tcPr>
            <w:tcW w:w="2500" w:type="pct"/>
            <w:vMerge w:val="restart"/>
          </w:tcPr>
          <w:p w14:paraId="31677F9A"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9.  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p>
        </w:tc>
        <w:tc>
          <w:tcPr>
            <w:tcW w:w="2500" w:type="pct"/>
          </w:tcPr>
          <w:p w14:paraId="6A9712BB"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9.1 Estudio de evaluación específico de los compromisos concertados que reflejan un enfoque de sistemas migratorios.</w:t>
            </w:r>
          </w:p>
        </w:tc>
      </w:tr>
      <w:tr w:rsidR="00367CFC" w:rsidRPr="00DA2A2C" w14:paraId="6F5FC163" w14:textId="77777777" w:rsidTr="00367CFC">
        <w:tc>
          <w:tcPr>
            <w:tcW w:w="2500" w:type="pct"/>
            <w:vMerge/>
          </w:tcPr>
          <w:p w14:paraId="33F2E0D9"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07A8BCCD"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 xml:space="preserve">9.2 Pregunta </w:t>
            </w:r>
            <w:r>
              <w:rPr>
                <w:rFonts w:eastAsia="MS Mincho" w:cs="Arial"/>
                <w:sz w:val="22"/>
                <w:szCs w:val="22"/>
                <w:u w:val="single"/>
                <w:lang w:val="es-ES"/>
              </w:rPr>
              <w:t>en</w:t>
            </w:r>
            <w:r w:rsidRPr="002E3942">
              <w:rPr>
                <w:rFonts w:eastAsia="MS Mincho" w:cs="Arial"/>
                <w:sz w:val="22"/>
                <w:szCs w:val="22"/>
                <w:u w:val="single"/>
                <w:lang w:val="es-ES"/>
              </w:rPr>
              <w:t xml:space="preserve"> el modelo de presentación de informes nacionales de la CMS</w:t>
            </w:r>
          </w:p>
        </w:tc>
      </w:tr>
      <w:tr w:rsidR="00367CFC" w:rsidRPr="00DA2A2C" w14:paraId="6B9A24E4" w14:textId="77777777" w:rsidTr="00367CFC">
        <w:tc>
          <w:tcPr>
            <w:tcW w:w="2500" w:type="pct"/>
            <w:vMerge w:val="restart"/>
          </w:tcPr>
          <w:p w14:paraId="478AE6A7"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10.  Todos los hábitats y los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p>
        </w:tc>
        <w:tc>
          <w:tcPr>
            <w:tcW w:w="2500" w:type="pct"/>
          </w:tcPr>
          <w:p w14:paraId="36BF7FE4" w14:textId="2725EA8F"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10.1 Proporción de especies migratorias amenazadas y/o congregatorias para las cuales se han identificado áreas de biodiversidad fundamentales a lo largo de su área de distribución.</w:t>
            </w:r>
          </w:p>
        </w:tc>
      </w:tr>
      <w:tr w:rsidR="00367CFC" w:rsidRPr="00DA2A2C" w14:paraId="4B0BC78A" w14:textId="77777777" w:rsidTr="00367CFC">
        <w:tc>
          <w:tcPr>
            <w:tcW w:w="2500" w:type="pct"/>
            <w:vMerge/>
          </w:tcPr>
          <w:p w14:paraId="13864195"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208EA342" w14:textId="77777777" w:rsidR="00367CFC" w:rsidRPr="002E3942" w:rsidRDefault="00367CFC" w:rsidP="00367CFC">
            <w:pPr>
              <w:spacing w:before="20" w:after="20"/>
              <w:ind w:left="113" w:hanging="113"/>
              <w:rPr>
                <w:rFonts w:eastAsia="MS Mincho" w:cs="Arial"/>
                <w:b/>
                <w:sz w:val="22"/>
                <w:szCs w:val="22"/>
                <w:highlight w:val="yellow"/>
                <w:u w:val="single"/>
                <w:lang w:val="es-ES"/>
              </w:rPr>
            </w:pPr>
            <w:r w:rsidRPr="002E3942">
              <w:rPr>
                <w:lang w:val="es-ES"/>
              </w:rPr>
              <w:t xml:space="preserve"> </w:t>
            </w:r>
            <w:r w:rsidRPr="002E3942">
              <w:rPr>
                <w:rFonts w:eastAsia="MS Mincho" w:cs="Arial"/>
                <w:sz w:val="22"/>
                <w:szCs w:val="22"/>
                <w:u w:val="single"/>
                <w:lang w:val="es-ES"/>
              </w:rPr>
              <w:t>10.2 Proporción de áreas de biodiversidad fundamentales identificadas para determinados grupos de especies migratorias que se incluyen en las medidas de conservación basadas en el área.</w:t>
            </w:r>
            <w:r w:rsidRPr="002E3942">
              <w:rPr>
                <w:rFonts w:eastAsia="MS Mincho" w:cs="Arial"/>
                <w:b/>
                <w:sz w:val="22"/>
                <w:szCs w:val="22"/>
                <w:highlight w:val="yellow"/>
                <w:u w:val="single"/>
                <w:lang w:val="es-ES"/>
              </w:rPr>
              <w:t xml:space="preserve"> </w:t>
            </w:r>
          </w:p>
          <w:p w14:paraId="1B19E250" w14:textId="1A262F24" w:rsidR="00367CFC" w:rsidRPr="00D01905" w:rsidRDefault="00D01905" w:rsidP="00DA6552">
            <w:pPr>
              <w:spacing w:before="20" w:after="20"/>
              <w:ind w:left="113" w:firstLine="8"/>
              <w:rPr>
                <w:rFonts w:eastAsia="MS Mincho" w:cs="Arial"/>
                <w:sz w:val="22"/>
                <w:szCs w:val="22"/>
                <w:highlight w:val="yellow"/>
                <w:u w:val="single"/>
                <w:lang w:val="es-ES"/>
              </w:rPr>
            </w:pPr>
            <w:r w:rsidRPr="00D01905">
              <w:rPr>
                <w:rFonts w:eastAsia="MS Mincho" w:cs="Arial"/>
                <w:b/>
                <w:noProof/>
                <w:sz w:val="22"/>
                <w:szCs w:val="22"/>
                <w:u w:val="single"/>
                <w:lang w:val="es-ES_tradnl"/>
              </w:rPr>
              <w:t>Prioridad sugerida:</w:t>
            </w:r>
            <w:r w:rsidRPr="00D01905">
              <w:rPr>
                <w:rFonts w:eastAsia="MS Mincho" w:cs="Arial"/>
                <w:noProof/>
                <w:sz w:val="22"/>
                <w:szCs w:val="22"/>
                <w:u w:val="single"/>
                <w:lang w:val="es-ES_tradnl"/>
              </w:rPr>
              <w:t xml:space="preserve"> Desarrollar un “corte” para las especies migratorias del indicador equivalente utilizado para la Meta 11 de Aichi, en colaboración con la Alianza de KBA. En la actualidad viable solamente para los aspectos de la meta relacionados con las áreas protegidas.</w:t>
            </w:r>
          </w:p>
        </w:tc>
      </w:tr>
      <w:tr w:rsidR="00367CFC" w:rsidRPr="00DA2A2C" w14:paraId="6775782F" w14:textId="77777777" w:rsidTr="00367CFC">
        <w:tc>
          <w:tcPr>
            <w:tcW w:w="2500" w:type="pct"/>
            <w:vMerge/>
          </w:tcPr>
          <w:p w14:paraId="1DF2E6FB" w14:textId="77777777" w:rsidR="00367CFC" w:rsidRPr="00D01905" w:rsidRDefault="00367CFC" w:rsidP="00367CFC">
            <w:pPr>
              <w:spacing w:before="20" w:after="20"/>
              <w:ind w:left="113" w:hanging="113"/>
              <w:rPr>
                <w:rFonts w:eastAsia="MS Mincho" w:cs="Arial"/>
                <w:sz w:val="22"/>
                <w:szCs w:val="22"/>
                <w:u w:val="single"/>
                <w:lang w:val="es-ES"/>
              </w:rPr>
            </w:pPr>
          </w:p>
        </w:tc>
        <w:tc>
          <w:tcPr>
            <w:tcW w:w="2500" w:type="pct"/>
          </w:tcPr>
          <w:p w14:paraId="0A93E99A"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D01905">
              <w:rPr>
                <w:lang w:val="es-ES"/>
              </w:rPr>
              <w:t xml:space="preserve"> </w:t>
            </w:r>
            <w:r w:rsidRPr="002E3942">
              <w:rPr>
                <w:rFonts w:eastAsia="MS Mincho" w:cs="Arial"/>
                <w:sz w:val="22"/>
                <w:szCs w:val="22"/>
                <w:u w:val="single"/>
                <w:lang w:val="es-ES" w:eastAsia="ja-JP"/>
              </w:rPr>
              <w:t>10.3 Eficacia de la gestión de las áreas protegidas específicamente para las especies migratorias.</w:t>
            </w:r>
          </w:p>
        </w:tc>
      </w:tr>
      <w:tr w:rsidR="00367CFC" w:rsidRPr="00DA2A2C" w14:paraId="0AFDE98C" w14:textId="77777777" w:rsidTr="00367CFC">
        <w:tc>
          <w:tcPr>
            <w:tcW w:w="2500" w:type="pct"/>
          </w:tcPr>
          <w:p w14:paraId="2090889B" w14:textId="6B875EFF"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11.  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tc>
        <w:tc>
          <w:tcPr>
            <w:tcW w:w="2500" w:type="pct"/>
          </w:tcPr>
          <w:p w14:paraId="63D55A81"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11.1 Enfoque de estudio de casos.</w:t>
            </w:r>
          </w:p>
        </w:tc>
      </w:tr>
      <w:tr w:rsidR="00367CFC" w:rsidRPr="00DA2A2C" w14:paraId="0E38370C" w14:textId="77777777" w:rsidTr="00367CFC">
        <w:tc>
          <w:tcPr>
            <w:tcW w:w="2500" w:type="pct"/>
          </w:tcPr>
          <w:p w14:paraId="49F55BCD"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lastRenderedPageBreak/>
              <w:t>12.  Se salvaguardará la diversidad genética de las especies migratorias y se habrán elaborado y aplicado estrategias para reducir al mínimo la erosión genética.</w:t>
            </w:r>
          </w:p>
        </w:tc>
        <w:tc>
          <w:tcPr>
            <w:tcW w:w="2500" w:type="pct"/>
          </w:tcPr>
          <w:p w14:paraId="64CFAD4C"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 xml:space="preserve">12.1 Pregunta </w:t>
            </w:r>
            <w:r>
              <w:rPr>
                <w:rFonts w:eastAsia="MS Mincho" w:cs="Arial"/>
                <w:sz w:val="22"/>
                <w:szCs w:val="22"/>
                <w:u w:val="single"/>
                <w:lang w:val="es-ES"/>
              </w:rPr>
              <w:t>en el</w:t>
            </w:r>
            <w:r w:rsidRPr="002E3942">
              <w:rPr>
                <w:rFonts w:eastAsia="MS Mincho" w:cs="Arial"/>
                <w:sz w:val="22"/>
                <w:szCs w:val="22"/>
                <w:u w:val="single"/>
                <w:lang w:val="es-ES"/>
              </w:rPr>
              <w:t xml:space="preserve"> modelo de presentación de informes nacionales de la CMS formulada en dos partes.</w:t>
            </w:r>
          </w:p>
        </w:tc>
      </w:tr>
      <w:tr w:rsidR="00367CFC" w:rsidRPr="00DA2A2C" w14:paraId="6E44CC0C" w14:textId="77777777" w:rsidTr="00367CFC">
        <w:tc>
          <w:tcPr>
            <w:tcW w:w="2500" w:type="pct"/>
            <w:vMerge w:val="restart"/>
          </w:tcPr>
          <w:p w14:paraId="1DA47332"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 xml:space="preserve">13.  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  </w:t>
            </w:r>
          </w:p>
        </w:tc>
        <w:tc>
          <w:tcPr>
            <w:tcW w:w="2500" w:type="pct"/>
          </w:tcPr>
          <w:p w14:paraId="48E4029B"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eastAsia="ja-JP"/>
              </w:rPr>
              <w:t>13.1 Grado en que se reflejan las preocupaciones relacionadas con las especies migratorias en las Estrategias y planes de acción nacionales en materia de biodiversidad.</w:t>
            </w:r>
          </w:p>
        </w:tc>
      </w:tr>
      <w:tr w:rsidR="00367CFC" w:rsidRPr="00DA2A2C" w14:paraId="60272B2B" w14:textId="77777777" w:rsidTr="00367CFC">
        <w:tc>
          <w:tcPr>
            <w:tcW w:w="2500" w:type="pct"/>
            <w:vMerge/>
          </w:tcPr>
          <w:p w14:paraId="6054DD19" w14:textId="77777777" w:rsidR="00367CFC" w:rsidRPr="002E3942" w:rsidRDefault="00367CFC" w:rsidP="00367CFC">
            <w:pPr>
              <w:spacing w:before="20" w:after="20"/>
              <w:ind w:left="113" w:hanging="113"/>
              <w:rPr>
                <w:rFonts w:eastAsia="MS Mincho" w:cs="Arial"/>
                <w:sz w:val="22"/>
                <w:szCs w:val="22"/>
                <w:u w:val="single"/>
                <w:lang w:val="es-ES"/>
              </w:rPr>
            </w:pPr>
          </w:p>
        </w:tc>
        <w:tc>
          <w:tcPr>
            <w:tcW w:w="2500" w:type="pct"/>
          </w:tcPr>
          <w:p w14:paraId="32B2E1EC" w14:textId="77777777" w:rsidR="00367CFC" w:rsidRPr="002E3942" w:rsidRDefault="00367CFC" w:rsidP="00367CFC">
            <w:pPr>
              <w:spacing w:before="20" w:after="20"/>
              <w:ind w:left="113" w:hanging="113"/>
              <w:rPr>
                <w:rFonts w:eastAsia="MS Mincho" w:cs="Arial"/>
                <w:b/>
                <w:sz w:val="22"/>
                <w:szCs w:val="22"/>
                <w:highlight w:val="yellow"/>
                <w:u w:val="single"/>
                <w:lang w:val="es-ES"/>
              </w:rPr>
            </w:pPr>
            <w:r w:rsidRPr="002E3942">
              <w:rPr>
                <w:lang w:val="es-ES"/>
              </w:rPr>
              <w:t xml:space="preserve"> </w:t>
            </w:r>
            <w:r w:rsidRPr="002E3942">
              <w:rPr>
                <w:rFonts w:eastAsia="MS Mincho" w:cs="Arial"/>
                <w:sz w:val="22"/>
                <w:szCs w:val="22"/>
                <w:u w:val="single"/>
                <w:lang w:val="es-ES" w:eastAsia="ja-JP"/>
              </w:rPr>
              <w:t>13.2 Grado en que se reflejan las preocupaciones relacionadas con las especies migratorias en las Estrategias y planes de acción nacionales en materia de biodiversidad.</w:t>
            </w:r>
            <w:r w:rsidRPr="002E3942">
              <w:rPr>
                <w:rFonts w:eastAsia="MS Mincho" w:cs="Arial"/>
                <w:b/>
                <w:sz w:val="22"/>
                <w:szCs w:val="22"/>
                <w:highlight w:val="yellow"/>
                <w:u w:val="single"/>
                <w:lang w:val="es-ES"/>
              </w:rPr>
              <w:t xml:space="preserve"> </w:t>
            </w:r>
          </w:p>
          <w:p w14:paraId="1391EC69" w14:textId="65987E00" w:rsidR="00367CFC" w:rsidRPr="00D01905" w:rsidRDefault="00D01905" w:rsidP="00DA6552">
            <w:pPr>
              <w:spacing w:before="20" w:after="20"/>
              <w:ind w:left="113" w:firstLine="8"/>
              <w:rPr>
                <w:rFonts w:eastAsia="MS Mincho" w:cs="Arial"/>
                <w:sz w:val="22"/>
                <w:szCs w:val="22"/>
                <w:highlight w:val="yellow"/>
                <w:u w:val="single"/>
                <w:lang w:val="es-ES"/>
              </w:rPr>
            </w:pPr>
            <w:r w:rsidRPr="00CD1A24">
              <w:rPr>
                <w:rFonts w:eastAsia="MS Mincho" w:cs="Arial"/>
                <w:b/>
                <w:noProof/>
                <w:sz w:val="22"/>
                <w:szCs w:val="22"/>
                <w:u w:val="single"/>
                <w:lang w:val="es-ES_tradnl"/>
              </w:rPr>
              <w:t>Prioridad sugerida:</w:t>
            </w:r>
            <w:r w:rsidRPr="00CD1A24">
              <w:rPr>
                <w:rFonts w:eastAsia="MS Mincho" w:cs="Arial"/>
                <w:noProof/>
                <w:sz w:val="22"/>
                <w:szCs w:val="22"/>
                <w:u w:val="single"/>
                <w:lang w:val="es-ES_tradnl"/>
              </w:rPr>
              <w:t xml:space="preserve"> </w:t>
            </w:r>
            <w:r w:rsidRPr="00CD1A24">
              <w:rPr>
                <w:rFonts w:eastAsia="MS Mincho" w:cs="Arial"/>
                <w:noProof/>
                <w:sz w:val="22"/>
                <w:szCs w:val="22"/>
                <w:u w:val="single"/>
                <w:lang w:val="es-ES_tradnl" w:eastAsia="ja-JP"/>
              </w:rPr>
              <w:t>Desarrollar un método para la obtención de datos de los mecanismos nacionales para monitorear la implementación de los E</w:t>
            </w:r>
            <w:r w:rsidR="006762E3">
              <w:rPr>
                <w:rFonts w:eastAsia="MS Mincho" w:cs="Arial"/>
                <w:noProof/>
                <w:sz w:val="22"/>
                <w:szCs w:val="22"/>
                <w:u w:val="single"/>
                <w:lang w:val="es-ES_tradnl" w:eastAsia="ja-JP"/>
              </w:rPr>
              <w:t>NB</w:t>
            </w:r>
            <w:r w:rsidRPr="00CD1A24">
              <w:rPr>
                <w:rFonts w:eastAsia="MS Mincho" w:cs="Arial"/>
                <w:noProof/>
                <w:sz w:val="22"/>
                <w:szCs w:val="22"/>
                <w:u w:val="single"/>
                <w:lang w:val="es-ES_tradnl" w:eastAsia="ja-JP"/>
              </w:rPr>
              <w:t>PA y quizás de los informes del CDB.</w:t>
            </w:r>
          </w:p>
        </w:tc>
      </w:tr>
      <w:tr w:rsidR="00367CFC" w:rsidRPr="00DA2A2C" w14:paraId="25486C7E" w14:textId="77777777" w:rsidTr="00367CFC">
        <w:tc>
          <w:tcPr>
            <w:tcW w:w="2500" w:type="pct"/>
          </w:tcPr>
          <w:p w14:paraId="59B00535"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tc>
        <w:tc>
          <w:tcPr>
            <w:tcW w:w="2500" w:type="pct"/>
          </w:tcPr>
          <w:p w14:paraId="50C4B45E"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 xml:space="preserve">14.1 Pregunta </w:t>
            </w:r>
            <w:r>
              <w:rPr>
                <w:rFonts w:eastAsia="MS Mincho" w:cs="Arial"/>
                <w:sz w:val="22"/>
                <w:szCs w:val="22"/>
                <w:u w:val="single"/>
                <w:lang w:val="es-ES"/>
              </w:rPr>
              <w:t>en</w:t>
            </w:r>
            <w:r w:rsidRPr="002E3942">
              <w:rPr>
                <w:rFonts w:eastAsia="MS Mincho" w:cs="Arial"/>
                <w:sz w:val="22"/>
                <w:szCs w:val="22"/>
                <w:u w:val="single"/>
                <w:lang w:val="es-ES"/>
              </w:rPr>
              <w:t xml:space="preserve"> el modelo de presentación de informes nacionales de la CMS</w:t>
            </w:r>
          </w:p>
        </w:tc>
      </w:tr>
      <w:tr w:rsidR="00367CFC" w:rsidRPr="00DA2A2C" w14:paraId="5E35F9D8" w14:textId="77777777" w:rsidTr="00367CFC">
        <w:tc>
          <w:tcPr>
            <w:tcW w:w="2500" w:type="pct"/>
          </w:tcPr>
          <w:p w14:paraId="6676D84A"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15.  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p>
        </w:tc>
        <w:tc>
          <w:tcPr>
            <w:tcW w:w="2500" w:type="pct"/>
          </w:tcPr>
          <w:p w14:paraId="785489C3"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eastAsia="ja-JP"/>
              </w:rPr>
              <w:t>15.1 Tendencias en publicaciones de artículos científicos sobre conservación de especies migratorias en fuentes revisadas por homólogos.</w:t>
            </w:r>
          </w:p>
        </w:tc>
      </w:tr>
      <w:tr w:rsidR="00367CFC" w:rsidRPr="00DA2A2C" w14:paraId="7859A859" w14:textId="77777777" w:rsidTr="00367CFC">
        <w:tc>
          <w:tcPr>
            <w:tcW w:w="2500" w:type="pct"/>
          </w:tcPr>
          <w:p w14:paraId="57BEC4FC" w14:textId="77777777" w:rsidR="00367CFC" w:rsidRPr="002E3942" w:rsidRDefault="00367CFC" w:rsidP="00367CFC">
            <w:pPr>
              <w:spacing w:before="20" w:after="20"/>
              <w:ind w:left="113" w:hanging="113"/>
              <w:rPr>
                <w:rFonts w:eastAsia="MS Mincho" w:cs="Arial"/>
                <w:sz w:val="22"/>
                <w:szCs w:val="22"/>
                <w:u w:val="single"/>
                <w:lang w:val="es-ES"/>
              </w:rPr>
            </w:pPr>
            <w:r w:rsidRPr="002E3942">
              <w:rPr>
                <w:rFonts w:eastAsia="MS Mincho" w:cs="Arial"/>
                <w:sz w:val="22"/>
                <w:szCs w:val="22"/>
                <w:u w:val="single"/>
                <w:lang w:val="es-ES" w:eastAsia="ja-JP"/>
              </w:rPr>
              <w:t>16.  La movilización de recursos suficientes adecuados de todas las fuentes, para implementar de manera efectiva el Plan Estratégico para las Especies Migratorias, se habrá aumentado sustancialmente.</w:t>
            </w:r>
          </w:p>
        </w:tc>
        <w:tc>
          <w:tcPr>
            <w:tcW w:w="2500" w:type="pct"/>
          </w:tcPr>
          <w:p w14:paraId="4C97D881" w14:textId="77777777" w:rsidR="00367CFC" w:rsidRPr="002E3942" w:rsidRDefault="00367CFC" w:rsidP="00367CFC">
            <w:pPr>
              <w:spacing w:before="20" w:after="20"/>
              <w:ind w:left="113" w:hanging="113"/>
              <w:rPr>
                <w:rFonts w:eastAsia="MS Mincho" w:cs="Arial"/>
                <w:sz w:val="22"/>
                <w:szCs w:val="22"/>
                <w:highlight w:val="yellow"/>
                <w:u w:val="single"/>
                <w:lang w:val="es-ES"/>
              </w:rPr>
            </w:pPr>
            <w:r w:rsidRPr="002E3942">
              <w:rPr>
                <w:lang w:val="es-ES"/>
              </w:rPr>
              <w:t xml:space="preserve"> </w:t>
            </w:r>
            <w:r w:rsidRPr="002E3942">
              <w:rPr>
                <w:rFonts w:eastAsia="MS Mincho" w:cs="Arial"/>
                <w:sz w:val="22"/>
                <w:szCs w:val="22"/>
                <w:u w:val="single"/>
                <w:lang w:val="es-ES"/>
              </w:rPr>
              <w:t>16.1 El éxito en la aplicación de medidas nacionales destinadas a movilizar recursos para alcanzar la Meta 16.</w:t>
            </w:r>
          </w:p>
        </w:tc>
      </w:tr>
    </w:tbl>
    <w:p w14:paraId="229C5638" w14:textId="77777777" w:rsidR="00367CFC" w:rsidRPr="002E3942" w:rsidRDefault="00367CFC" w:rsidP="00367CFC">
      <w:pPr>
        <w:jc w:val="both"/>
        <w:rPr>
          <w:rFonts w:eastAsia="MS Mincho" w:cs="Arial"/>
          <w:sz w:val="22"/>
          <w:szCs w:val="22"/>
          <w:u w:val="single"/>
          <w:lang w:val="es-ES"/>
        </w:rPr>
      </w:pPr>
    </w:p>
    <w:p w14:paraId="62A46DCB" w14:textId="77777777" w:rsidR="00367CFC" w:rsidRPr="002E3942" w:rsidRDefault="00367CFC" w:rsidP="00367CFC">
      <w:pPr>
        <w:jc w:val="both"/>
        <w:rPr>
          <w:rFonts w:eastAsia="MS Mincho" w:cs="Arial"/>
          <w:sz w:val="22"/>
          <w:szCs w:val="22"/>
          <w:u w:val="single"/>
          <w:lang w:val="es-ES"/>
        </w:rPr>
      </w:pPr>
    </w:p>
    <w:p w14:paraId="59150193" w14:textId="77777777" w:rsidR="00367CFC" w:rsidRPr="002E3942" w:rsidRDefault="00367CFC" w:rsidP="00367CFC">
      <w:pPr>
        <w:widowControl/>
        <w:autoSpaceDE/>
        <w:autoSpaceDN/>
        <w:adjustRightInd/>
        <w:spacing w:after="160" w:line="259" w:lineRule="auto"/>
        <w:rPr>
          <w:rFonts w:cs="Arial"/>
          <w:sz w:val="22"/>
          <w:szCs w:val="22"/>
          <w:u w:val="single"/>
          <w:lang w:val="es-ES"/>
        </w:rPr>
      </w:pPr>
      <w:r w:rsidRPr="002E3942">
        <w:rPr>
          <w:rFonts w:cs="Arial"/>
          <w:sz w:val="22"/>
          <w:szCs w:val="22"/>
          <w:u w:val="single"/>
          <w:lang w:val="es-ES"/>
        </w:rPr>
        <w:br w:type="page"/>
      </w:r>
    </w:p>
    <w:p w14:paraId="15EA55C6" w14:textId="77777777" w:rsidR="00367CFC" w:rsidRPr="006846AD" w:rsidRDefault="00367CFC" w:rsidP="00367CFC">
      <w:pPr>
        <w:jc w:val="right"/>
        <w:rPr>
          <w:rFonts w:cs="Arial"/>
          <w:b/>
          <w:strike/>
          <w:sz w:val="22"/>
          <w:szCs w:val="22"/>
          <w:lang w:val="es-ES" w:eastAsia="en-GB"/>
        </w:rPr>
      </w:pPr>
      <w:bookmarkStart w:id="16" w:name="_Hlk490051702"/>
      <w:r w:rsidRPr="006846AD">
        <w:rPr>
          <w:rFonts w:cs="Arial"/>
          <w:b/>
          <w:strike/>
          <w:sz w:val="22"/>
          <w:szCs w:val="22"/>
          <w:lang w:val="es-ES" w:eastAsia="en-GB"/>
        </w:rPr>
        <w:lastRenderedPageBreak/>
        <w:t>Anexo 2 a la Resolución 11.2</w:t>
      </w:r>
    </w:p>
    <w:p w14:paraId="59E93996" w14:textId="77777777" w:rsidR="00367CFC" w:rsidRPr="00775707" w:rsidRDefault="00367CFC" w:rsidP="00367CFC">
      <w:pPr>
        <w:jc w:val="both"/>
        <w:rPr>
          <w:rFonts w:cs="Arial"/>
          <w:sz w:val="22"/>
          <w:szCs w:val="22"/>
          <w:lang w:val="es-ES" w:eastAsia="en-GB"/>
        </w:rPr>
      </w:pPr>
    </w:p>
    <w:p w14:paraId="63531338" w14:textId="77777777" w:rsidR="00367CFC" w:rsidRPr="00775707" w:rsidRDefault="00367CFC" w:rsidP="00367CFC">
      <w:pPr>
        <w:jc w:val="both"/>
        <w:rPr>
          <w:rFonts w:cs="Arial"/>
          <w:sz w:val="22"/>
          <w:szCs w:val="22"/>
          <w:lang w:val="es-ES" w:eastAsia="en-GB"/>
        </w:rPr>
      </w:pPr>
    </w:p>
    <w:p w14:paraId="0515427C" w14:textId="77777777" w:rsidR="00367CFC" w:rsidRPr="00775707" w:rsidRDefault="00367CFC" w:rsidP="00367CFC">
      <w:pPr>
        <w:jc w:val="center"/>
        <w:rPr>
          <w:rFonts w:cs="Arial"/>
          <w:b/>
          <w:caps/>
          <w:strike/>
          <w:sz w:val="22"/>
          <w:szCs w:val="22"/>
          <w:lang w:val="es-ES" w:eastAsia="en-GB"/>
        </w:rPr>
      </w:pPr>
      <w:r w:rsidRPr="00775707">
        <w:rPr>
          <w:rFonts w:cs="Arial"/>
          <w:b/>
          <w:caps/>
          <w:strike/>
          <w:sz w:val="22"/>
          <w:szCs w:val="22"/>
          <w:lang w:val="es-ES" w:eastAsia="en-GB"/>
        </w:rPr>
        <w:t xml:space="preserve">TermINOs DE ReferencIA PARA EL GRUPO DE TRABAJO </w:t>
      </w:r>
    </w:p>
    <w:p w14:paraId="1BA43B2F" w14:textId="77777777" w:rsidR="00367CFC" w:rsidRPr="00775707" w:rsidRDefault="00367CFC" w:rsidP="00367CFC">
      <w:pPr>
        <w:jc w:val="center"/>
        <w:rPr>
          <w:rFonts w:cs="Arial"/>
          <w:b/>
          <w:caps/>
          <w:strike/>
          <w:sz w:val="22"/>
          <w:szCs w:val="22"/>
          <w:lang w:val="es-ES" w:eastAsia="en-GB"/>
        </w:rPr>
      </w:pPr>
      <w:r w:rsidRPr="00775707">
        <w:rPr>
          <w:rFonts w:cs="Arial"/>
          <w:b/>
          <w:caps/>
          <w:strike/>
          <w:sz w:val="22"/>
          <w:szCs w:val="22"/>
          <w:lang w:val="es-ES" w:eastAsia="en-GB"/>
        </w:rPr>
        <w:t xml:space="preserve">PARA LA IMPLEMENTACIÓN DEL PLAN ESTRATÉGICO </w:t>
      </w:r>
    </w:p>
    <w:p w14:paraId="067F2D08" w14:textId="77777777" w:rsidR="00367CFC" w:rsidRPr="00775707" w:rsidRDefault="00367CFC" w:rsidP="00367CFC">
      <w:pPr>
        <w:jc w:val="both"/>
        <w:rPr>
          <w:rFonts w:cs="Arial"/>
          <w:strike/>
          <w:sz w:val="22"/>
          <w:szCs w:val="22"/>
          <w:lang w:val="es-ES" w:eastAsia="en-GB"/>
        </w:rPr>
      </w:pPr>
    </w:p>
    <w:p w14:paraId="57EF2CCC" w14:textId="77777777" w:rsidR="00367CFC" w:rsidRPr="00775707" w:rsidRDefault="00367CFC" w:rsidP="00367CFC">
      <w:pPr>
        <w:jc w:val="both"/>
        <w:outlineLvl w:val="1"/>
        <w:rPr>
          <w:rFonts w:cs="Arial"/>
          <w:strike/>
          <w:sz w:val="22"/>
          <w:szCs w:val="22"/>
          <w:lang w:val="es-ES"/>
        </w:rPr>
      </w:pPr>
      <w:r w:rsidRPr="00775707">
        <w:rPr>
          <w:rFonts w:cs="Arial"/>
          <w:strike/>
          <w:sz w:val="22"/>
          <w:szCs w:val="22"/>
          <w:lang w:val="es-ES"/>
        </w:rPr>
        <w:t>Objetivos</w:t>
      </w:r>
    </w:p>
    <w:p w14:paraId="0D96845A" w14:textId="77777777" w:rsidR="00367CFC" w:rsidRPr="00775707" w:rsidRDefault="00367CFC" w:rsidP="00367CFC">
      <w:pPr>
        <w:jc w:val="both"/>
        <w:rPr>
          <w:rFonts w:cs="Arial"/>
          <w:strike/>
          <w:sz w:val="22"/>
          <w:szCs w:val="22"/>
          <w:lang w:val="es-ES" w:eastAsia="en-GB"/>
        </w:rPr>
      </w:pPr>
    </w:p>
    <w:p w14:paraId="626015EF"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Los principales objetivos del Grupo de Trabajo serán</w:t>
      </w:r>
    </w:p>
    <w:p w14:paraId="1B36563B" w14:textId="77777777" w:rsidR="00367CFC" w:rsidRPr="00775707" w:rsidRDefault="00367CFC" w:rsidP="00367CFC">
      <w:pPr>
        <w:jc w:val="both"/>
        <w:rPr>
          <w:rFonts w:cs="Arial"/>
          <w:strike/>
          <w:sz w:val="22"/>
          <w:szCs w:val="22"/>
          <w:lang w:val="es-ES"/>
        </w:rPr>
      </w:pPr>
    </w:p>
    <w:p w14:paraId="0E96D833" w14:textId="77777777" w:rsidR="00367CFC" w:rsidRPr="00775707" w:rsidRDefault="00367CFC" w:rsidP="00367CFC">
      <w:pPr>
        <w:widowControl/>
        <w:numPr>
          <w:ilvl w:val="0"/>
          <w:numId w:val="13"/>
        </w:numPr>
        <w:ind w:left="709" w:hanging="709"/>
        <w:jc w:val="both"/>
        <w:rPr>
          <w:rFonts w:cs="Arial"/>
          <w:strike/>
          <w:sz w:val="22"/>
          <w:szCs w:val="22"/>
          <w:lang w:val="es-ES" w:eastAsia="en-GB"/>
        </w:rPr>
      </w:pPr>
      <w:r w:rsidRPr="00775707">
        <w:rPr>
          <w:rFonts w:cs="Arial"/>
          <w:strike/>
          <w:sz w:val="22"/>
          <w:szCs w:val="22"/>
          <w:lang w:val="es-ES" w:eastAsia="en-GB"/>
        </w:rPr>
        <w:t>Desarrollar indicadores nuevos o identificar indicadores detallados existentes para el Plan Estratégico; y</w:t>
      </w:r>
    </w:p>
    <w:p w14:paraId="4BF0C9EF" w14:textId="77777777" w:rsidR="00367CFC" w:rsidRPr="00775707" w:rsidRDefault="00367CFC" w:rsidP="00367CFC">
      <w:pPr>
        <w:ind w:left="709" w:hanging="709"/>
        <w:jc w:val="both"/>
        <w:rPr>
          <w:rFonts w:cs="Arial"/>
          <w:strike/>
          <w:sz w:val="22"/>
          <w:szCs w:val="22"/>
          <w:lang w:val="es-ES" w:eastAsia="en-GB"/>
        </w:rPr>
      </w:pPr>
    </w:p>
    <w:p w14:paraId="6F7FB282" w14:textId="77777777" w:rsidR="00367CFC" w:rsidRPr="00775707" w:rsidRDefault="00367CFC" w:rsidP="00367CFC">
      <w:pPr>
        <w:widowControl/>
        <w:numPr>
          <w:ilvl w:val="0"/>
          <w:numId w:val="13"/>
        </w:numPr>
        <w:ind w:left="709" w:hanging="709"/>
        <w:jc w:val="both"/>
        <w:rPr>
          <w:rFonts w:cs="Arial"/>
          <w:strike/>
          <w:sz w:val="22"/>
          <w:szCs w:val="22"/>
          <w:lang w:val="es-ES" w:eastAsia="en-GB"/>
        </w:rPr>
      </w:pPr>
      <w:r w:rsidRPr="00775707">
        <w:rPr>
          <w:rFonts w:cs="Arial"/>
          <w:strike/>
          <w:sz w:val="22"/>
          <w:szCs w:val="22"/>
          <w:lang w:val="es-ES" w:eastAsia="en-GB"/>
        </w:rPr>
        <w:t xml:space="preserve">Desarrollar un “Volumen Complementario relativo a la Implementación” para el Plan Estratégico, en particular tomando en cuenta las herramientas disponibles en el marco de la CMS, así como otros acuerdos ambientales multilaterales y mediante la identificación de lagunas para las que puede que se necesite desarrollar nuevas herramientas. </w:t>
      </w:r>
    </w:p>
    <w:p w14:paraId="10F01985" w14:textId="77777777" w:rsidR="00367CFC" w:rsidRPr="00775707" w:rsidRDefault="00367CFC" w:rsidP="00367CFC">
      <w:pPr>
        <w:jc w:val="both"/>
        <w:rPr>
          <w:rFonts w:cs="Arial"/>
          <w:strike/>
          <w:sz w:val="22"/>
          <w:szCs w:val="22"/>
          <w:lang w:val="es-ES" w:eastAsia="en-GB"/>
        </w:rPr>
      </w:pPr>
    </w:p>
    <w:p w14:paraId="660FB332"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eastAsia="en-GB"/>
        </w:rPr>
        <w:t>Con este fin, el Grupo de Trabajo tendrá en cuenta los indicadores principales y el esbozo del Volumen Complementario presentado en el documento PNUMA/CMS/COP11/Doc.15.2</w:t>
      </w:r>
      <w:r w:rsidRPr="00775707">
        <w:rPr>
          <w:rFonts w:cs="Arial"/>
          <w:strike/>
          <w:sz w:val="22"/>
          <w:szCs w:val="22"/>
          <w:lang w:val="es-ES"/>
        </w:rPr>
        <w:t>.</w:t>
      </w:r>
    </w:p>
    <w:p w14:paraId="035A61A1" w14:textId="77777777" w:rsidR="00367CFC" w:rsidRPr="00775707" w:rsidRDefault="00367CFC" w:rsidP="00367CFC">
      <w:pPr>
        <w:jc w:val="both"/>
        <w:rPr>
          <w:rFonts w:cs="Arial"/>
          <w:strike/>
          <w:sz w:val="22"/>
          <w:szCs w:val="22"/>
          <w:lang w:val="es-ES" w:eastAsia="en-GB"/>
        </w:rPr>
      </w:pPr>
    </w:p>
    <w:p w14:paraId="3D601682" w14:textId="77777777" w:rsidR="00367CFC" w:rsidRPr="00775707" w:rsidRDefault="00367CFC" w:rsidP="00367CFC">
      <w:pPr>
        <w:widowControl/>
        <w:numPr>
          <w:ilvl w:val="0"/>
          <w:numId w:val="12"/>
        </w:numPr>
        <w:autoSpaceDE/>
        <w:autoSpaceDN/>
        <w:adjustRightInd/>
        <w:ind w:left="0" w:firstLine="0"/>
        <w:contextualSpacing/>
        <w:jc w:val="both"/>
        <w:rPr>
          <w:rFonts w:cs="Arial"/>
          <w:strike/>
          <w:sz w:val="22"/>
          <w:szCs w:val="22"/>
          <w:lang w:val="es-ES"/>
        </w:rPr>
      </w:pPr>
      <w:r w:rsidRPr="00775707">
        <w:rPr>
          <w:rFonts w:cs="Arial"/>
          <w:strike/>
          <w:sz w:val="22"/>
          <w:szCs w:val="22"/>
          <w:lang w:val="es-ES"/>
        </w:rPr>
        <w:t xml:space="preserve">El Grupo de Trabajo tendrá en cuenta además la implementación del Plan Estratégico para la Diversidad Biológica para el período 2011-2020, así como los documentos estratégicos de otros acuerdos ambientales multilaterales relacionados con la diversidad biológica a nivel mundial, y cualquier otro documento o material pertinente que el Grupo de Trabajo considere apropiado. </w:t>
      </w:r>
    </w:p>
    <w:p w14:paraId="2A4C5BD5" w14:textId="77777777" w:rsidR="00367CFC" w:rsidRPr="00775707" w:rsidRDefault="00367CFC" w:rsidP="00367CFC">
      <w:pPr>
        <w:contextualSpacing/>
        <w:rPr>
          <w:rFonts w:cs="Arial"/>
          <w:strike/>
          <w:sz w:val="22"/>
          <w:szCs w:val="22"/>
          <w:lang w:val="es-ES"/>
        </w:rPr>
      </w:pPr>
    </w:p>
    <w:p w14:paraId="4E6BD5B7"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El grupo de trabajo presentará un informe a las reuniones del Comité Permanente para la aprobación de los avances en la identificación y/o el desarrollo de los indicadores (y su implementación progresiva) y orientación en la preparación del Volumen Complementario durante el período entre sesiones.</w:t>
      </w:r>
    </w:p>
    <w:p w14:paraId="19F2B76F" w14:textId="77777777" w:rsidR="00367CFC" w:rsidRPr="00775707" w:rsidRDefault="00367CFC" w:rsidP="00367CFC">
      <w:pPr>
        <w:jc w:val="both"/>
        <w:rPr>
          <w:rFonts w:cs="Arial"/>
          <w:strike/>
          <w:sz w:val="22"/>
          <w:szCs w:val="22"/>
          <w:lang w:val="es-ES" w:eastAsia="en-GB"/>
        </w:rPr>
      </w:pPr>
    </w:p>
    <w:p w14:paraId="0F73CAA9"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El Grupo de Trabajo presentará sus conclusiones a la 12ª Reunión de la Conferencia de las Partes.</w:t>
      </w:r>
    </w:p>
    <w:p w14:paraId="683264BF" w14:textId="77777777" w:rsidR="00367CFC" w:rsidRPr="00775707" w:rsidRDefault="00367CFC" w:rsidP="00367CFC">
      <w:pPr>
        <w:jc w:val="both"/>
        <w:rPr>
          <w:rFonts w:cs="Arial"/>
          <w:strike/>
          <w:sz w:val="22"/>
          <w:szCs w:val="22"/>
          <w:lang w:val="es-ES" w:eastAsia="en-GB"/>
        </w:rPr>
      </w:pPr>
    </w:p>
    <w:p w14:paraId="704FEBCB" w14:textId="77777777" w:rsidR="00367CFC" w:rsidRPr="00775707" w:rsidRDefault="00367CFC" w:rsidP="00367CFC">
      <w:pPr>
        <w:jc w:val="both"/>
        <w:outlineLvl w:val="1"/>
        <w:rPr>
          <w:rFonts w:cs="Arial"/>
          <w:strike/>
          <w:sz w:val="22"/>
          <w:szCs w:val="22"/>
          <w:lang w:val="es-ES"/>
        </w:rPr>
      </w:pPr>
      <w:r w:rsidRPr="00775707">
        <w:rPr>
          <w:rFonts w:cs="Arial"/>
          <w:strike/>
          <w:sz w:val="22"/>
          <w:szCs w:val="22"/>
          <w:lang w:val="es-ES"/>
        </w:rPr>
        <w:t xml:space="preserve">Composición del Grupo de Trabajo </w:t>
      </w:r>
    </w:p>
    <w:p w14:paraId="4515C6FA" w14:textId="77777777" w:rsidR="00367CFC" w:rsidRPr="00775707" w:rsidRDefault="00367CFC" w:rsidP="00367CFC">
      <w:pPr>
        <w:contextualSpacing/>
        <w:rPr>
          <w:rFonts w:cs="Arial"/>
          <w:strike/>
          <w:sz w:val="22"/>
          <w:szCs w:val="22"/>
          <w:lang w:val="es-ES"/>
        </w:rPr>
      </w:pPr>
    </w:p>
    <w:p w14:paraId="6F7F44F3"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 xml:space="preserve">El grupo de trabajo estará compuesto por Partes de la Convención en base a las mismas regiones que el Comité Permanente, con un máximo de dos representantes por región. Los grupos regionales elegirán sus representantes en función de su conocimiento de la CMS, las actividades de la familia de instrumentos de la CMS, y la implementación de la Convención. Los Presidentes del Comité Permanente y el Consejo Científico serán miembros ex-oficio del Grupo de Trabajo. También se invitará a organizaciones asociadas y a las secretarías de los acuerdos ambientales multilaterales pertinentes para contribuir a la labor del Grupo, y para ser observadores. </w:t>
      </w:r>
    </w:p>
    <w:p w14:paraId="00852035" w14:textId="77777777" w:rsidR="00367CFC" w:rsidRPr="00775707" w:rsidRDefault="00367CFC" w:rsidP="00367CFC">
      <w:pPr>
        <w:jc w:val="both"/>
        <w:rPr>
          <w:rFonts w:cs="Arial"/>
          <w:strike/>
          <w:sz w:val="22"/>
          <w:szCs w:val="22"/>
          <w:lang w:val="es-ES" w:eastAsia="en-GB"/>
        </w:rPr>
      </w:pPr>
    </w:p>
    <w:p w14:paraId="0E314389"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Los representantes regionales deberán consultar sus Partes Contratantes y el Grupo de Trabajo también invitará a toda la familia CMS a aportar sus opiniones y trabajar en cooperación.</w:t>
      </w:r>
    </w:p>
    <w:p w14:paraId="12F88DAE"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El Grupo de Trabajo consultará al Consejo Científico de la CMS cuando proceda, incluyendo sustentar con evidencia científica los indicadores relevantes.</w:t>
      </w:r>
    </w:p>
    <w:p w14:paraId="645FFFF2" w14:textId="77777777" w:rsidR="00367CFC" w:rsidRPr="00775707" w:rsidRDefault="00367CFC" w:rsidP="00367CFC">
      <w:pPr>
        <w:contextualSpacing/>
        <w:rPr>
          <w:rFonts w:cs="Arial"/>
          <w:strike/>
          <w:sz w:val="22"/>
          <w:szCs w:val="22"/>
          <w:lang w:val="es-ES"/>
        </w:rPr>
      </w:pPr>
    </w:p>
    <w:p w14:paraId="51EAE428" w14:textId="77777777" w:rsidR="00367CFC" w:rsidRPr="00775707" w:rsidRDefault="00367CFC" w:rsidP="00367CFC">
      <w:pPr>
        <w:widowControl/>
        <w:numPr>
          <w:ilvl w:val="0"/>
          <w:numId w:val="12"/>
        </w:numPr>
        <w:autoSpaceDE/>
        <w:autoSpaceDN/>
        <w:adjustRightInd/>
        <w:ind w:left="0" w:firstLine="0"/>
        <w:contextualSpacing/>
        <w:jc w:val="both"/>
        <w:rPr>
          <w:rFonts w:cs="Arial"/>
          <w:strike/>
          <w:sz w:val="22"/>
          <w:szCs w:val="22"/>
          <w:lang w:val="es-ES"/>
        </w:rPr>
      </w:pPr>
      <w:r w:rsidRPr="00775707">
        <w:rPr>
          <w:rFonts w:cs="Arial"/>
          <w:strike/>
          <w:sz w:val="22"/>
          <w:szCs w:val="22"/>
          <w:lang w:val="es-ES"/>
        </w:rPr>
        <w:t xml:space="preserve">El nombramiento de los representantes designados del Grupo de Trabajo se acordará bajo la responsabilidad del Comité Permanente de la CMS, a más tardar dos meses después del final de la COP11. </w:t>
      </w:r>
    </w:p>
    <w:p w14:paraId="3B3FB0A4" w14:textId="77777777" w:rsidR="00367CFC" w:rsidRPr="00775707" w:rsidRDefault="00367CFC" w:rsidP="00367CFC">
      <w:pPr>
        <w:contextualSpacing/>
        <w:rPr>
          <w:rFonts w:cs="Arial"/>
          <w:strike/>
          <w:sz w:val="22"/>
          <w:szCs w:val="22"/>
          <w:lang w:val="es-ES"/>
        </w:rPr>
      </w:pPr>
    </w:p>
    <w:p w14:paraId="156862D1" w14:textId="77777777" w:rsidR="00367CFC" w:rsidRPr="00775707" w:rsidRDefault="00367CFC" w:rsidP="00367CFC">
      <w:pPr>
        <w:widowControl/>
        <w:numPr>
          <w:ilvl w:val="0"/>
          <w:numId w:val="12"/>
        </w:numPr>
        <w:tabs>
          <w:tab w:val="left" w:pos="810"/>
        </w:tabs>
        <w:autoSpaceDE/>
        <w:autoSpaceDN/>
        <w:adjustRightInd/>
        <w:ind w:left="0" w:firstLine="0"/>
        <w:jc w:val="both"/>
        <w:rPr>
          <w:rFonts w:cs="Arial"/>
          <w:strike/>
          <w:sz w:val="22"/>
          <w:szCs w:val="22"/>
          <w:lang w:val="es-ES"/>
        </w:rPr>
      </w:pPr>
      <w:r w:rsidRPr="00775707">
        <w:rPr>
          <w:rFonts w:cs="Arial"/>
          <w:strike/>
          <w:sz w:val="22"/>
          <w:szCs w:val="22"/>
          <w:lang w:val="es-ES"/>
        </w:rPr>
        <w:lastRenderedPageBreak/>
        <w:t>El Presidente y el Vicepresidente serán elegidos de entre los miembros del Grupo de Trabajo bajo la responsabilidad del Comité Permanente de la CMS a más tardar tres meses después del final de la COP11.</w:t>
      </w:r>
    </w:p>
    <w:p w14:paraId="60A39A3B" w14:textId="77777777" w:rsidR="00367CFC" w:rsidRPr="00775707" w:rsidRDefault="00367CFC" w:rsidP="00367CFC">
      <w:pPr>
        <w:jc w:val="both"/>
        <w:rPr>
          <w:rFonts w:cs="Arial"/>
          <w:strike/>
          <w:sz w:val="22"/>
          <w:szCs w:val="22"/>
          <w:lang w:val="es-ES" w:eastAsia="en-GB"/>
        </w:rPr>
      </w:pPr>
    </w:p>
    <w:p w14:paraId="7F60AD02" w14:textId="77777777" w:rsidR="00367CFC" w:rsidRPr="00775707" w:rsidRDefault="00367CFC" w:rsidP="00367CFC">
      <w:pPr>
        <w:widowControl/>
        <w:numPr>
          <w:ilvl w:val="0"/>
          <w:numId w:val="12"/>
        </w:numPr>
        <w:autoSpaceDE/>
        <w:autoSpaceDN/>
        <w:adjustRightInd/>
        <w:ind w:left="0" w:firstLine="0"/>
        <w:jc w:val="both"/>
        <w:rPr>
          <w:rFonts w:cs="Arial"/>
          <w:strike/>
          <w:sz w:val="22"/>
          <w:szCs w:val="22"/>
          <w:lang w:val="es-ES"/>
        </w:rPr>
      </w:pPr>
      <w:r w:rsidRPr="00775707">
        <w:rPr>
          <w:rFonts w:cs="Arial"/>
          <w:strike/>
          <w:sz w:val="22"/>
          <w:szCs w:val="22"/>
          <w:lang w:val="es-ES"/>
        </w:rPr>
        <w:t>La Secretaría de la CMS facilitará la labor del Grupo de Trabajo y tendrá el apoyo, en parte del presupuesto central, y en parte mediante contribuciones voluntarias.</w:t>
      </w:r>
    </w:p>
    <w:bookmarkEnd w:id="16"/>
    <w:p w14:paraId="3ADA354A" w14:textId="77777777" w:rsidR="00367CFC" w:rsidRPr="00775707" w:rsidRDefault="00367CFC" w:rsidP="00367CFC">
      <w:pPr>
        <w:jc w:val="both"/>
        <w:rPr>
          <w:rFonts w:cs="Arial"/>
          <w:strike/>
          <w:sz w:val="22"/>
          <w:szCs w:val="22"/>
          <w:lang w:val="es-ES"/>
        </w:rPr>
      </w:pPr>
    </w:p>
    <w:p w14:paraId="603B329F" w14:textId="77777777" w:rsidR="00367CFC" w:rsidRPr="002E3942" w:rsidRDefault="00367CFC" w:rsidP="00367CFC">
      <w:pPr>
        <w:widowControl/>
        <w:autoSpaceDE/>
        <w:autoSpaceDN/>
        <w:adjustRightInd/>
        <w:spacing w:after="160" w:line="259" w:lineRule="auto"/>
        <w:rPr>
          <w:rFonts w:cs="Arial"/>
          <w:sz w:val="22"/>
          <w:szCs w:val="22"/>
          <w:u w:val="single"/>
          <w:lang w:val="es-ES"/>
        </w:rPr>
      </w:pPr>
      <w:r w:rsidRPr="002E3942">
        <w:rPr>
          <w:rFonts w:cs="Arial"/>
          <w:sz w:val="22"/>
          <w:szCs w:val="22"/>
          <w:u w:val="single"/>
          <w:lang w:val="es-ES"/>
        </w:rPr>
        <w:br w:type="page"/>
      </w:r>
    </w:p>
    <w:p w14:paraId="5A11D653" w14:textId="77777777" w:rsidR="00367CFC" w:rsidRPr="006846AD" w:rsidRDefault="00367CFC" w:rsidP="00367CFC">
      <w:pPr>
        <w:pStyle w:val="Default"/>
        <w:rPr>
          <w:strike/>
          <w:sz w:val="22"/>
          <w:szCs w:val="22"/>
          <w:lang w:val="es-ES"/>
        </w:rPr>
        <w:sectPr w:rsidR="00367CFC" w:rsidRPr="006846AD" w:rsidSect="00007F70">
          <w:pgSz w:w="11906" w:h="16838"/>
          <w:pgMar w:top="1418" w:right="1134" w:bottom="1418" w:left="1134" w:header="709" w:footer="709" w:gutter="0"/>
          <w:cols w:space="708"/>
          <w:titlePg/>
          <w:docGrid w:linePitch="360"/>
        </w:sectPr>
      </w:pPr>
    </w:p>
    <w:p w14:paraId="795822D0" w14:textId="2626A60F" w:rsidR="00367CFC" w:rsidRPr="002770E0" w:rsidRDefault="00367CFC" w:rsidP="00367CFC">
      <w:pPr>
        <w:jc w:val="right"/>
        <w:rPr>
          <w:rFonts w:cs="Arial"/>
          <w:sz w:val="22"/>
          <w:szCs w:val="22"/>
          <w:lang w:val="es-ES"/>
        </w:rPr>
      </w:pPr>
      <w:r w:rsidRPr="002770E0">
        <w:rPr>
          <w:rFonts w:cs="Arial"/>
          <w:b/>
          <w:sz w:val="22"/>
          <w:szCs w:val="22"/>
          <w:lang w:val="es-ES"/>
        </w:rPr>
        <w:lastRenderedPageBreak/>
        <w:t>ANEX</w:t>
      </w:r>
      <w:r w:rsidR="00FC7C90">
        <w:rPr>
          <w:rFonts w:cs="Arial"/>
          <w:b/>
          <w:sz w:val="22"/>
          <w:szCs w:val="22"/>
          <w:lang w:val="es-ES"/>
        </w:rPr>
        <w:t>O</w:t>
      </w:r>
      <w:r w:rsidRPr="002770E0">
        <w:rPr>
          <w:rFonts w:cs="Arial"/>
          <w:b/>
          <w:sz w:val="22"/>
          <w:szCs w:val="22"/>
          <w:lang w:val="es-ES"/>
        </w:rPr>
        <w:t xml:space="preserve"> 2</w:t>
      </w:r>
    </w:p>
    <w:p w14:paraId="453C7EA6" w14:textId="77777777" w:rsidR="00367CFC" w:rsidRPr="002770E0" w:rsidRDefault="00367CFC" w:rsidP="00367CFC">
      <w:pPr>
        <w:rPr>
          <w:rFonts w:cs="Arial"/>
          <w:sz w:val="22"/>
          <w:szCs w:val="22"/>
          <w:lang w:val="es-ES"/>
        </w:rPr>
      </w:pPr>
    </w:p>
    <w:p w14:paraId="3CD36E29" w14:textId="77777777" w:rsidR="00367CFC" w:rsidRPr="002770E0" w:rsidRDefault="00367CFC" w:rsidP="00367CFC">
      <w:pPr>
        <w:widowControl/>
        <w:autoSpaceDE/>
        <w:adjustRightInd/>
        <w:jc w:val="center"/>
        <w:rPr>
          <w:rFonts w:cs="Arial"/>
          <w:sz w:val="22"/>
          <w:szCs w:val="22"/>
          <w:lang w:val="es-ES"/>
        </w:rPr>
      </w:pPr>
    </w:p>
    <w:p w14:paraId="1635FC28" w14:textId="0CBCFF12" w:rsidR="00367CFC" w:rsidRPr="004122B7" w:rsidRDefault="004122B7" w:rsidP="00367CFC">
      <w:pPr>
        <w:widowControl/>
        <w:autoSpaceDE/>
        <w:adjustRightInd/>
        <w:jc w:val="center"/>
        <w:rPr>
          <w:rFonts w:cs="Arial"/>
          <w:sz w:val="22"/>
          <w:szCs w:val="22"/>
          <w:lang w:val="es-ES"/>
        </w:rPr>
      </w:pPr>
      <w:r w:rsidRPr="004122B7">
        <w:rPr>
          <w:rFonts w:cs="Arial"/>
          <w:sz w:val="22"/>
          <w:szCs w:val="22"/>
          <w:lang w:val="es-ES"/>
        </w:rPr>
        <w:t>PROYECTO DE DECISIONES</w:t>
      </w:r>
    </w:p>
    <w:p w14:paraId="3017352B" w14:textId="77777777" w:rsidR="00367CFC" w:rsidRPr="004122B7" w:rsidRDefault="00367CFC" w:rsidP="00367CFC">
      <w:pPr>
        <w:widowControl/>
        <w:autoSpaceDE/>
        <w:adjustRightInd/>
        <w:jc w:val="center"/>
        <w:rPr>
          <w:rFonts w:cs="Arial"/>
          <w:sz w:val="22"/>
          <w:szCs w:val="22"/>
          <w:lang w:val="es-ES"/>
        </w:rPr>
      </w:pPr>
    </w:p>
    <w:p w14:paraId="055F73AA" w14:textId="77777777" w:rsidR="00367CFC" w:rsidRPr="004122B7" w:rsidRDefault="00367CFC" w:rsidP="00367CFC">
      <w:pPr>
        <w:widowControl/>
        <w:autoSpaceDE/>
        <w:adjustRightInd/>
        <w:jc w:val="center"/>
        <w:rPr>
          <w:rFonts w:cs="Arial"/>
          <w:sz w:val="22"/>
          <w:szCs w:val="22"/>
          <w:lang w:val="es-ES"/>
        </w:rPr>
      </w:pPr>
    </w:p>
    <w:p w14:paraId="41BD3596" w14:textId="40C98448" w:rsidR="004122B7" w:rsidRPr="004122B7" w:rsidRDefault="006762E3" w:rsidP="004122B7">
      <w:pPr>
        <w:jc w:val="both"/>
        <w:rPr>
          <w:rFonts w:cs="Arial"/>
          <w:i/>
          <w:sz w:val="22"/>
          <w:szCs w:val="22"/>
          <w:lang w:val="it-IT"/>
        </w:rPr>
      </w:pPr>
      <w:r>
        <w:rPr>
          <w:rFonts w:cs="Arial"/>
          <w:i/>
          <w:sz w:val="22"/>
          <w:szCs w:val="22"/>
          <w:lang w:val="it-IT"/>
        </w:rPr>
        <w:t>E</w:t>
      </w:r>
      <w:r w:rsidR="004122B7" w:rsidRPr="004122B7">
        <w:rPr>
          <w:rFonts w:cs="Arial"/>
          <w:i/>
          <w:sz w:val="22"/>
          <w:szCs w:val="22"/>
          <w:lang w:val="it-IT"/>
        </w:rPr>
        <w:t>l nuevo texto propuesto</w:t>
      </w:r>
      <w:r>
        <w:rPr>
          <w:rFonts w:cs="Arial"/>
          <w:i/>
          <w:sz w:val="22"/>
          <w:szCs w:val="22"/>
          <w:lang w:val="it-IT"/>
        </w:rPr>
        <w:t xml:space="preserve"> </w:t>
      </w:r>
      <w:r w:rsidRPr="0001378A">
        <w:rPr>
          <w:rFonts w:cs="Arial"/>
          <w:i/>
          <w:noProof/>
          <w:sz w:val="22"/>
          <w:szCs w:val="22"/>
          <w:lang w:val="es-ES_tradnl"/>
        </w:rPr>
        <w:t xml:space="preserve">está </w:t>
      </w:r>
      <w:r w:rsidRPr="0001378A">
        <w:rPr>
          <w:rFonts w:cs="Arial"/>
          <w:i/>
          <w:noProof/>
          <w:sz w:val="22"/>
          <w:szCs w:val="22"/>
          <w:u w:val="single"/>
          <w:lang w:val="es-ES_tradnl"/>
        </w:rPr>
        <w:t>subrayado</w:t>
      </w:r>
      <w:r w:rsidR="004122B7" w:rsidRPr="004122B7">
        <w:rPr>
          <w:rFonts w:cs="Arial"/>
          <w:i/>
          <w:sz w:val="22"/>
          <w:szCs w:val="22"/>
          <w:lang w:val="it-IT"/>
        </w:rPr>
        <w:t xml:space="preserve">. El texto a </w:t>
      </w:r>
      <w:r>
        <w:rPr>
          <w:rFonts w:cs="Arial"/>
          <w:i/>
          <w:sz w:val="22"/>
          <w:szCs w:val="22"/>
          <w:lang w:val="it-IT"/>
        </w:rPr>
        <w:t>eliminar</w:t>
      </w:r>
      <w:r w:rsidR="004122B7" w:rsidRPr="004122B7">
        <w:rPr>
          <w:rFonts w:cs="Arial"/>
          <w:i/>
          <w:sz w:val="22"/>
          <w:szCs w:val="22"/>
          <w:lang w:val="it-IT"/>
        </w:rPr>
        <w:t xml:space="preserve"> </w:t>
      </w:r>
      <w:r>
        <w:rPr>
          <w:rFonts w:cs="Arial"/>
          <w:i/>
          <w:sz w:val="22"/>
          <w:szCs w:val="22"/>
          <w:lang w:val="it-IT"/>
        </w:rPr>
        <w:t>aparece</w:t>
      </w:r>
      <w:r w:rsidR="004122B7" w:rsidRPr="004122B7">
        <w:rPr>
          <w:rFonts w:cs="Arial"/>
          <w:i/>
          <w:sz w:val="22"/>
          <w:szCs w:val="22"/>
          <w:lang w:val="it-IT"/>
        </w:rPr>
        <w:t xml:space="preserve"> t</w:t>
      </w:r>
      <w:r w:rsidR="004122B7" w:rsidRPr="004122B7">
        <w:rPr>
          <w:rFonts w:cs="Arial"/>
          <w:i/>
          <w:strike/>
          <w:sz w:val="22"/>
          <w:szCs w:val="22"/>
          <w:lang w:val="it-IT"/>
        </w:rPr>
        <w:t>achado</w:t>
      </w:r>
    </w:p>
    <w:p w14:paraId="26BD8E0F" w14:textId="295046E5" w:rsidR="006762E3" w:rsidRPr="0001378A" w:rsidRDefault="006762E3" w:rsidP="006762E3">
      <w:pPr>
        <w:jc w:val="both"/>
        <w:rPr>
          <w:rFonts w:cs="Arial"/>
          <w:i/>
          <w:noProof/>
          <w:sz w:val="22"/>
          <w:szCs w:val="22"/>
          <w:lang w:val="es-ES_tradnl"/>
        </w:rPr>
      </w:pPr>
      <w:r w:rsidRPr="0001378A">
        <w:rPr>
          <w:rFonts w:cs="Arial"/>
          <w:i/>
          <w:noProof/>
          <w:sz w:val="22"/>
          <w:szCs w:val="22"/>
          <w:lang w:val="es-ES_tradnl"/>
        </w:rPr>
        <w:t>.</w:t>
      </w:r>
    </w:p>
    <w:p w14:paraId="205D76CB" w14:textId="77777777" w:rsidR="00367CFC" w:rsidRPr="00C50ACF" w:rsidRDefault="00367CFC" w:rsidP="00367CFC">
      <w:pPr>
        <w:spacing w:after="240"/>
        <w:contextualSpacing/>
        <w:jc w:val="both"/>
        <w:rPr>
          <w:rFonts w:cs="Arial"/>
          <w:i/>
          <w:sz w:val="22"/>
          <w:szCs w:val="22"/>
          <w:lang w:val="es-ES_tradnl"/>
        </w:rPr>
      </w:pPr>
    </w:p>
    <w:p w14:paraId="3CA2FDE6" w14:textId="19DABE21" w:rsidR="00367CFC" w:rsidRPr="004122B7" w:rsidRDefault="00367CFC" w:rsidP="00367CFC">
      <w:pPr>
        <w:rPr>
          <w:rFonts w:cs="Arial"/>
          <w:b/>
          <w:sz w:val="22"/>
          <w:szCs w:val="22"/>
          <w:lang w:val="es-ES"/>
        </w:rPr>
      </w:pPr>
      <w:r w:rsidRPr="004122B7">
        <w:rPr>
          <w:rFonts w:cs="Arial"/>
          <w:b/>
          <w:sz w:val="22"/>
          <w:szCs w:val="22"/>
          <w:lang w:val="es-ES"/>
        </w:rPr>
        <w:t>Dir</w:t>
      </w:r>
      <w:r w:rsidR="004122B7" w:rsidRPr="004122B7">
        <w:rPr>
          <w:rFonts w:cs="Arial"/>
          <w:b/>
          <w:sz w:val="22"/>
          <w:szCs w:val="22"/>
          <w:lang w:val="es-ES"/>
        </w:rPr>
        <w:t>igido a la Secretaría</w:t>
      </w:r>
      <w:r w:rsidRPr="004122B7">
        <w:rPr>
          <w:rFonts w:cs="Arial"/>
          <w:b/>
          <w:sz w:val="22"/>
          <w:szCs w:val="22"/>
          <w:lang w:val="es-ES"/>
        </w:rPr>
        <w:t xml:space="preserve"> </w:t>
      </w:r>
    </w:p>
    <w:p w14:paraId="53F32437" w14:textId="77777777" w:rsidR="00367CFC" w:rsidRPr="004122B7" w:rsidRDefault="00367CFC" w:rsidP="00367CFC">
      <w:pPr>
        <w:rPr>
          <w:rFonts w:cs="Arial"/>
          <w:b/>
          <w:sz w:val="22"/>
          <w:szCs w:val="22"/>
          <w:lang w:val="es-ES"/>
        </w:rPr>
      </w:pPr>
    </w:p>
    <w:p w14:paraId="31C12CA5" w14:textId="336C0B9F" w:rsidR="00367CFC" w:rsidRPr="004122B7" w:rsidRDefault="004122B7" w:rsidP="00367CFC">
      <w:pPr>
        <w:rPr>
          <w:rFonts w:cs="Arial"/>
          <w:sz w:val="22"/>
          <w:szCs w:val="22"/>
          <w:lang w:val="es-ES"/>
        </w:rPr>
      </w:pPr>
      <w:r w:rsidRPr="004122B7">
        <w:rPr>
          <w:rFonts w:cs="Arial"/>
          <w:sz w:val="22"/>
          <w:szCs w:val="22"/>
          <w:lang w:val="es-ES"/>
        </w:rPr>
        <w:t>12.AA</w:t>
      </w:r>
      <w:r w:rsidR="00367CFC" w:rsidRPr="004122B7">
        <w:rPr>
          <w:rFonts w:cs="Arial"/>
          <w:sz w:val="22"/>
          <w:szCs w:val="22"/>
          <w:lang w:val="es-ES"/>
        </w:rPr>
        <w:tab/>
      </w:r>
      <w:r>
        <w:rPr>
          <w:rFonts w:cs="Arial"/>
          <w:sz w:val="22"/>
          <w:szCs w:val="22"/>
          <w:lang w:val="es-ES"/>
        </w:rPr>
        <w:t>La Secretaría</w:t>
      </w:r>
      <w:r w:rsidR="00367CFC" w:rsidRPr="004122B7">
        <w:rPr>
          <w:rFonts w:cs="Arial"/>
          <w:sz w:val="22"/>
          <w:szCs w:val="22"/>
          <w:lang w:val="es-ES"/>
        </w:rPr>
        <w:t>:</w:t>
      </w:r>
    </w:p>
    <w:p w14:paraId="5ADA8789" w14:textId="77777777" w:rsidR="00367CFC" w:rsidRPr="004122B7" w:rsidRDefault="00367CFC" w:rsidP="00367CFC">
      <w:pPr>
        <w:rPr>
          <w:rFonts w:cs="Arial"/>
          <w:sz w:val="22"/>
          <w:szCs w:val="22"/>
          <w:lang w:val="es-ES"/>
        </w:rPr>
      </w:pPr>
    </w:p>
    <w:p w14:paraId="5C8DD3DF" w14:textId="0D120556" w:rsidR="004122B7" w:rsidRPr="00AB24EF" w:rsidRDefault="004122B7" w:rsidP="004122B7">
      <w:pPr>
        <w:pStyle w:val="ListParagraph"/>
        <w:numPr>
          <w:ilvl w:val="0"/>
          <w:numId w:val="3"/>
        </w:numPr>
        <w:jc w:val="both"/>
        <w:rPr>
          <w:rFonts w:ascii="Arial" w:hAnsi="Arial" w:cs="Arial"/>
        </w:rPr>
      </w:pPr>
      <w:r w:rsidRPr="00AB24EF">
        <w:rPr>
          <w:rFonts w:ascii="Arial" w:hAnsi="Arial" w:cs="Arial"/>
          <w:i/>
          <w:strike/>
        </w:rPr>
        <w:t>Solicita asimismo</w:t>
      </w:r>
      <w:r w:rsidRPr="00AB24EF">
        <w:rPr>
          <w:rFonts w:ascii="Arial" w:hAnsi="Arial" w:cs="Arial"/>
        </w:rPr>
        <w:t xml:space="preserve"> </w:t>
      </w:r>
      <w:r w:rsidRPr="00AB24EF">
        <w:rPr>
          <w:rFonts w:ascii="Arial" w:hAnsi="Arial" w:cs="Arial"/>
          <w:strike/>
        </w:rPr>
        <w:t>a la Secretaría</w:t>
      </w:r>
      <w:r w:rsidRPr="00AB24EF">
        <w:rPr>
          <w:rFonts w:ascii="Arial" w:hAnsi="Arial" w:cs="Arial"/>
        </w:rPr>
        <w:t xml:space="preserve"> </w:t>
      </w:r>
      <w:r w:rsidRPr="00C50ACF">
        <w:rPr>
          <w:rFonts w:ascii="Arial" w:hAnsi="Arial" w:cs="Arial"/>
          <w:u w:val="single"/>
        </w:rPr>
        <w:t>Que de conformidad con la solicitud de la COP11</w:t>
      </w:r>
      <w:r w:rsidRPr="00AB24EF">
        <w:rPr>
          <w:rFonts w:ascii="Arial" w:hAnsi="Arial" w:cs="Arial"/>
        </w:rPr>
        <w:t xml:space="preserve">, tenga en cuenta las modificaciones del formato para los Informes Nacionales, en su caso, en relación con la evaluación de la implementación del Plan Estratégico y los indicadores para los que dichos informes han sido identificados como una fuente potencialmente importante de información, </w:t>
      </w:r>
    </w:p>
    <w:p w14:paraId="538C98EE" w14:textId="77777777" w:rsidR="00367CFC" w:rsidRDefault="00367CFC" w:rsidP="00367CFC">
      <w:pPr>
        <w:pStyle w:val="ListParagraph"/>
        <w:widowControl w:val="0"/>
        <w:contextualSpacing w:val="0"/>
        <w:jc w:val="both"/>
        <w:rPr>
          <w:rFonts w:ascii="Arial" w:hAnsi="Arial" w:cs="Arial"/>
        </w:rPr>
      </w:pPr>
    </w:p>
    <w:p w14:paraId="61C3447B" w14:textId="7CA2541D" w:rsidR="004122B7" w:rsidRDefault="004122B7" w:rsidP="00367CFC">
      <w:pPr>
        <w:pStyle w:val="ListParagraph"/>
        <w:widowControl w:val="0"/>
        <w:numPr>
          <w:ilvl w:val="0"/>
          <w:numId w:val="3"/>
        </w:numPr>
        <w:contextualSpacing w:val="0"/>
        <w:jc w:val="both"/>
        <w:rPr>
          <w:rFonts w:ascii="Arial" w:hAnsi="Arial" w:cs="Arial"/>
        </w:rPr>
      </w:pPr>
      <w:r>
        <w:rPr>
          <w:rFonts w:ascii="Arial" w:hAnsi="Arial" w:cs="Arial"/>
          <w:strike/>
        </w:rPr>
        <w:t>y</w:t>
      </w:r>
      <w:r w:rsidR="00367CFC" w:rsidRPr="004D5758">
        <w:rPr>
          <w:rFonts w:ascii="Arial" w:hAnsi="Arial" w:cs="Arial"/>
          <w:strike/>
        </w:rPr>
        <w:t xml:space="preserve"> </w:t>
      </w:r>
      <w:r>
        <w:rPr>
          <w:rFonts w:ascii="Arial" w:hAnsi="Arial" w:cs="Arial"/>
        </w:rPr>
        <w:t>presente</w:t>
      </w:r>
      <w:r w:rsidRPr="004122B7">
        <w:rPr>
          <w:rFonts w:ascii="Arial" w:hAnsi="Arial" w:cs="Arial"/>
        </w:rPr>
        <w:t xml:space="preserve"> </w:t>
      </w:r>
      <w:r w:rsidR="006762E3">
        <w:rPr>
          <w:rFonts w:ascii="Arial" w:hAnsi="Arial" w:cs="Arial"/>
        </w:rPr>
        <w:t>to</w:t>
      </w:r>
      <w:r w:rsidR="00C50ACF">
        <w:rPr>
          <w:rFonts w:ascii="Arial" w:hAnsi="Arial" w:cs="Arial"/>
        </w:rPr>
        <w:t>d</w:t>
      </w:r>
      <w:r w:rsidR="006762E3">
        <w:rPr>
          <w:rFonts w:ascii="Arial" w:hAnsi="Arial" w:cs="Arial"/>
        </w:rPr>
        <w:t>a</w:t>
      </w:r>
      <w:r w:rsidRPr="004122B7">
        <w:rPr>
          <w:rFonts w:ascii="Arial" w:hAnsi="Arial" w:cs="Arial"/>
        </w:rPr>
        <w:t xml:space="preserve"> enmienda </w:t>
      </w:r>
      <w:r w:rsidR="006762E3">
        <w:rPr>
          <w:rFonts w:ascii="Arial" w:hAnsi="Arial" w:cs="Arial"/>
        </w:rPr>
        <w:t xml:space="preserve">propuesta </w:t>
      </w:r>
      <w:r w:rsidRPr="004122B7">
        <w:rPr>
          <w:rFonts w:ascii="Arial" w:hAnsi="Arial" w:cs="Arial"/>
        </w:rPr>
        <w:t xml:space="preserve">al formato de los </w:t>
      </w:r>
      <w:r w:rsidR="006762E3">
        <w:rPr>
          <w:rFonts w:ascii="Arial" w:hAnsi="Arial" w:cs="Arial"/>
        </w:rPr>
        <w:t>I</w:t>
      </w:r>
      <w:r w:rsidRPr="004122B7">
        <w:rPr>
          <w:rFonts w:ascii="Arial" w:hAnsi="Arial" w:cs="Arial"/>
        </w:rPr>
        <w:t xml:space="preserve">nformes </w:t>
      </w:r>
      <w:r w:rsidR="006762E3">
        <w:rPr>
          <w:rFonts w:ascii="Arial" w:hAnsi="Arial" w:cs="Arial"/>
        </w:rPr>
        <w:t>N</w:t>
      </w:r>
      <w:r w:rsidRPr="004122B7">
        <w:rPr>
          <w:rFonts w:ascii="Arial" w:hAnsi="Arial" w:cs="Arial"/>
        </w:rPr>
        <w:t xml:space="preserve">acionales al Comité Permanente para su consideración y </w:t>
      </w:r>
      <w:r>
        <w:rPr>
          <w:rFonts w:ascii="Arial" w:hAnsi="Arial" w:cs="Arial"/>
          <w:strike/>
        </w:rPr>
        <w:t>transmisión a la 12ª</w:t>
      </w:r>
      <w:r>
        <w:rPr>
          <w:rFonts w:ascii="Arial" w:hAnsi="Arial" w:cs="Arial"/>
        </w:rPr>
        <w:t xml:space="preserve"> </w:t>
      </w:r>
      <w:r w:rsidRPr="00C50ACF">
        <w:rPr>
          <w:rFonts w:ascii="Arial" w:hAnsi="Arial" w:cs="Arial"/>
          <w:u w:val="single"/>
        </w:rPr>
        <w:t>aprobación para su uso en la compilación de los Informes Nacionales que se presentarán a la 13</w:t>
      </w:r>
      <w:r w:rsidRPr="00C50ACF">
        <w:rPr>
          <w:rFonts w:ascii="Arial" w:hAnsi="Arial" w:cs="Arial"/>
          <w:u w:val="single"/>
          <w:vertAlign w:val="superscript"/>
        </w:rPr>
        <w:t>a</w:t>
      </w:r>
      <w:r w:rsidRPr="004122B7">
        <w:rPr>
          <w:rFonts w:ascii="Arial" w:hAnsi="Arial" w:cs="Arial"/>
        </w:rPr>
        <w:t xml:space="preserve"> Reunión de la Conferencia de las Partes</w:t>
      </w:r>
      <w:r>
        <w:rPr>
          <w:rFonts w:ascii="Arial" w:hAnsi="Arial" w:cs="Arial"/>
        </w:rPr>
        <w:t>.</w:t>
      </w:r>
    </w:p>
    <w:p w14:paraId="265EEE8A" w14:textId="77777777" w:rsidR="004122B7" w:rsidRPr="004122B7" w:rsidRDefault="004122B7" w:rsidP="004122B7">
      <w:pPr>
        <w:pStyle w:val="ListParagraph"/>
        <w:rPr>
          <w:rFonts w:ascii="Arial" w:hAnsi="Arial" w:cs="Arial"/>
          <w:strike/>
        </w:rPr>
      </w:pPr>
    </w:p>
    <w:sectPr w:rsidR="004122B7" w:rsidRPr="004122B7" w:rsidSect="00007F70">
      <w:headerReference w:type="first" r:id="rId3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D707" w14:textId="77777777" w:rsidR="00124973" w:rsidRDefault="00124973" w:rsidP="00DF126C">
      <w:r>
        <w:separator/>
      </w:r>
    </w:p>
  </w:endnote>
  <w:endnote w:type="continuationSeparator" w:id="0">
    <w:p w14:paraId="6A5744CF" w14:textId="77777777" w:rsidR="00124973" w:rsidRDefault="00124973"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67FB" w14:textId="77777777" w:rsidR="00124973" w:rsidRPr="00922791" w:rsidRDefault="00124973" w:rsidP="00AE4998">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A005" w14:textId="1BDB17B5" w:rsidR="00124973" w:rsidRPr="00620809" w:rsidRDefault="00124973" w:rsidP="00AE4998">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12</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9F2B" w14:textId="77777777" w:rsidR="00124973" w:rsidRPr="00CD7355" w:rsidRDefault="00124973" w:rsidP="00AE499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7EE2" w14:textId="13F4CAED" w:rsidR="00124973" w:rsidRPr="00231BE0" w:rsidRDefault="00124973"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DA2A2C">
      <w:rPr>
        <w:rFonts w:cs="Arial"/>
        <w:noProof/>
      </w:rPr>
      <w:t>20</w:t>
    </w:r>
    <w:r w:rsidRPr="00231BE0">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2CB6" w14:textId="04F8D437" w:rsidR="00124973" w:rsidRPr="00231BE0" w:rsidRDefault="00124973"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DA2A2C">
      <w:rPr>
        <w:rFonts w:cs="Arial"/>
        <w:noProof/>
      </w:rPr>
      <w:t>9</w:t>
    </w:r>
    <w:r w:rsidRPr="00231BE0">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14089"/>
      <w:docPartObj>
        <w:docPartGallery w:val="Page Numbers (Bottom of Page)"/>
        <w:docPartUnique/>
      </w:docPartObj>
    </w:sdtPr>
    <w:sdtEndPr>
      <w:rPr>
        <w:noProof/>
      </w:rPr>
    </w:sdtEndPr>
    <w:sdtContent>
      <w:p w14:paraId="556ECDE3" w14:textId="5737AB49" w:rsidR="00124973" w:rsidRPr="007A50F4" w:rsidRDefault="00124973" w:rsidP="007A50F4">
        <w:pPr>
          <w:pStyle w:val="Footer"/>
          <w:jc w:val="center"/>
        </w:pPr>
        <w:r>
          <w:fldChar w:fldCharType="begin"/>
        </w:r>
        <w:r>
          <w:instrText xml:space="preserve"> PAGE   \* MERGEFORMAT </w:instrText>
        </w:r>
        <w:r>
          <w:fldChar w:fldCharType="separate"/>
        </w:r>
        <w:r w:rsidR="00DA2A2C">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5597"/>
      <w:docPartObj>
        <w:docPartGallery w:val="Page Numbers (Bottom of Page)"/>
        <w:docPartUnique/>
      </w:docPartObj>
    </w:sdtPr>
    <w:sdtEndPr>
      <w:rPr>
        <w:noProof/>
      </w:rPr>
    </w:sdtEndPr>
    <w:sdtContent>
      <w:p w14:paraId="159419FD" w14:textId="3B5E8730" w:rsidR="00124973" w:rsidRPr="00CD7355" w:rsidRDefault="00124973" w:rsidP="00BE149B">
        <w:pPr>
          <w:pStyle w:val="Footer"/>
          <w:jc w:val="center"/>
        </w:pPr>
        <w:r>
          <w:fldChar w:fldCharType="begin"/>
        </w:r>
        <w:r>
          <w:instrText xml:space="preserve"> PAGE   \* MERGEFORMAT </w:instrText>
        </w:r>
        <w:r>
          <w:fldChar w:fldCharType="separate"/>
        </w:r>
        <w:r w:rsidR="00DA2A2C">
          <w:rPr>
            <w:noProof/>
          </w:rPr>
          <w:t>12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F288" w14:textId="41A645BA" w:rsidR="00124973" w:rsidRPr="00BE149B" w:rsidRDefault="00124973" w:rsidP="00B15943">
    <w:pPr>
      <w:pStyle w:val="Header"/>
      <w:jc w:val="center"/>
      <w:rPr>
        <w:rFonts w:cs="Arial"/>
      </w:rPr>
    </w:pPr>
    <w:r w:rsidRPr="00BE149B">
      <w:rPr>
        <w:rFonts w:cs="Arial"/>
      </w:rPr>
      <w:fldChar w:fldCharType="begin"/>
    </w:r>
    <w:r w:rsidRPr="00BE149B">
      <w:rPr>
        <w:rFonts w:cs="Arial"/>
      </w:rPr>
      <w:instrText xml:space="preserve"> PAGE   \* MERGEFORMAT </w:instrText>
    </w:r>
    <w:r w:rsidRPr="00BE149B">
      <w:rPr>
        <w:rFonts w:cs="Arial"/>
      </w:rPr>
      <w:fldChar w:fldCharType="separate"/>
    </w:r>
    <w:r w:rsidR="00DA2A2C">
      <w:rPr>
        <w:rFonts w:cs="Arial"/>
        <w:noProof/>
      </w:rPr>
      <w:t>21</w:t>
    </w:r>
    <w:r w:rsidRPr="00BE149B">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EF00" w14:textId="77777777" w:rsidR="00124973" w:rsidRDefault="00124973" w:rsidP="00DF126C">
      <w:r>
        <w:separator/>
      </w:r>
    </w:p>
  </w:footnote>
  <w:footnote w:type="continuationSeparator" w:id="0">
    <w:p w14:paraId="6A416DEC" w14:textId="77777777" w:rsidR="00124973" w:rsidRDefault="00124973" w:rsidP="00DF126C">
      <w:r>
        <w:continuationSeparator/>
      </w:r>
    </w:p>
  </w:footnote>
  <w:footnote w:id="1">
    <w:p w14:paraId="71D047F1" w14:textId="4BF8B699" w:rsidR="00124973" w:rsidRPr="0089035D" w:rsidRDefault="00124973" w:rsidP="001D5FC8">
      <w:pPr>
        <w:pStyle w:val="NormalWeb"/>
        <w:spacing w:before="0" w:beforeAutospacing="0" w:after="0" w:afterAutospacing="0"/>
        <w:rPr>
          <w:rFonts w:ascii="Arial" w:hAnsi="Arial" w:cs="Arial"/>
          <w:noProof/>
          <w:sz w:val="22"/>
          <w:szCs w:val="22"/>
          <w:lang w:val="es-ES_tradnl"/>
        </w:rPr>
      </w:pPr>
      <w:r w:rsidRPr="0089035D">
        <w:rPr>
          <w:rStyle w:val="FootnoteReference"/>
          <w:rFonts w:ascii="Arial" w:hAnsi="Arial" w:cs="Arial"/>
          <w:noProof/>
          <w:sz w:val="18"/>
          <w:szCs w:val="18"/>
          <w:lang w:val="es-ES_tradnl"/>
        </w:rPr>
        <w:footnoteRef/>
      </w:r>
      <w:r w:rsidRPr="0089035D">
        <w:rPr>
          <w:rFonts w:ascii="Arial" w:hAnsi="Arial" w:cs="Arial"/>
          <w:noProof/>
          <w:sz w:val="18"/>
          <w:szCs w:val="18"/>
          <w:lang w:val="es-ES_tradnl"/>
        </w:rPr>
        <w:t xml:space="preserve"> Prideaux, M., (2013) </w:t>
      </w:r>
      <w:r w:rsidRPr="0089035D">
        <w:rPr>
          <w:rFonts w:ascii="Arial" w:hAnsi="Arial" w:cs="Arial"/>
          <w:i/>
          <w:noProof/>
          <w:sz w:val="18"/>
          <w:szCs w:val="18"/>
          <w:lang w:val="es-ES_tradnl"/>
        </w:rPr>
        <w:t>A Natural Affiliation: Developing the Role of NGOs in the Convention on Migratory Species Family</w:t>
      </w:r>
      <w:r w:rsidRPr="0089035D">
        <w:rPr>
          <w:rFonts w:ascii="Arial" w:hAnsi="Arial" w:cs="Arial"/>
          <w:noProof/>
          <w:sz w:val="18"/>
          <w:szCs w:val="18"/>
          <w:lang w:val="es-ES_tradnl"/>
        </w:rPr>
        <w:t xml:space="preserve"> (Una Afiliación Natural: Desarrollo del papel de las ONG en la Familia de la Convención sobre Especies Migratorias), Wild Migration, Australia. </w:t>
      </w:r>
    </w:p>
  </w:footnote>
  <w:footnote w:id="2">
    <w:p w14:paraId="1DE2AA2C" w14:textId="77777777" w:rsidR="00124973" w:rsidRPr="005F0837" w:rsidRDefault="00124973" w:rsidP="00367CFC">
      <w:pPr>
        <w:pStyle w:val="FootnoteText"/>
        <w:ind w:left="180" w:hanging="180"/>
        <w:jc w:val="both"/>
        <w:rPr>
          <w:rFonts w:ascii="Arial" w:hAnsi="Arial" w:cs="Arial"/>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lang w:val="es-ES"/>
        </w:rPr>
        <w:t xml:space="preserve">  La COP13 de la CMS no podrá evaluar el SPMS en cuanto a las Metas de Aichi dado que la evaluación de la consecución de las Metas de Aichi tendrá lugar justo antes de la COP 13 de CMS. La integración de dicha evaluación será posible en la COP14 de la CMS, de aquí que la fecha de finalización del SPMS sea 2023.</w:t>
      </w:r>
    </w:p>
  </w:footnote>
  <w:footnote w:id="3">
    <w:p w14:paraId="2C9D23D5" w14:textId="77777777" w:rsidR="00124973" w:rsidRPr="005F0837" w:rsidRDefault="00124973" w:rsidP="00367CFC">
      <w:pPr>
        <w:pStyle w:val="FootnoteText"/>
        <w:ind w:left="180" w:hanging="180"/>
        <w:jc w:val="both"/>
        <w:rPr>
          <w:rFonts w:ascii="Arial" w:hAnsi="Arial" w:cs="Arial"/>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lang w:val="es-ES"/>
        </w:rPr>
        <w:t xml:space="preserve">   Resolución 10.5 de la COP10 de la CMS, Plan Estratégico de la CMS 2015-2023.  </w:t>
      </w:r>
    </w:p>
  </w:footnote>
  <w:footnote w:id="4">
    <w:p w14:paraId="1C94A72D" w14:textId="77777777" w:rsidR="00124973" w:rsidRPr="005F0837" w:rsidRDefault="00124973" w:rsidP="00367CFC">
      <w:pPr>
        <w:pStyle w:val="FootnoteText"/>
        <w:ind w:left="180" w:hanging="180"/>
        <w:jc w:val="both"/>
        <w:rPr>
          <w:rFonts w:ascii="Arial" w:hAnsi="Arial" w:cs="Arial"/>
          <w:sz w:val="18"/>
          <w:szCs w:val="18"/>
          <w:lang w:val="es-ES"/>
        </w:rPr>
      </w:pPr>
      <w:r w:rsidRPr="00EC1EDD">
        <w:rPr>
          <w:rStyle w:val="FootnoteReference"/>
        </w:rPr>
        <w:footnoteRef/>
      </w:r>
      <w:r w:rsidRPr="00EC1EDD">
        <w:rPr>
          <w:sz w:val="18"/>
          <w:szCs w:val="18"/>
          <w:vertAlign w:val="superscript"/>
          <w:lang w:val="es-ES"/>
        </w:rPr>
        <w:t xml:space="preserve"> </w:t>
      </w:r>
      <w:r w:rsidRPr="00103D29">
        <w:rPr>
          <w:sz w:val="18"/>
          <w:szCs w:val="18"/>
          <w:lang w:val="es-ES"/>
        </w:rPr>
        <w:t xml:space="preserve"> </w:t>
      </w:r>
      <w:r w:rsidRPr="005F0837">
        <w:rPr>
          <w:rFonts w:ascii="Arial" w:hAnsi="Arial" w:cs="Arial"/>
          <w:bCs/>
          <w:sz w:val="18"/>
          <w:szCs w:val="18"/>
          <w:lang w:val="es-ES"/>
        </w:rPr>
        <w:t>Por ejemplo, la Resolución 67/212, en la que la Asamblea General: “Toma nota de los esfuerzos para integrar las Metas de Aichi para la Diversidad Biológica en la contribución del sistema de las Naciones Unidas para apoyar el Plan Estratégico para la Diversidad Biológica 2011-2020, e invita al sistema de las Naciones Unidas a que sigan facilitando cooperación entre sus miembros en apoyo de la aplicación del Plan Estratégico.” Esto también tiene relevancia, entre otras cosas, para los Objetivos de Desarrollo Sostenible post-2015 de la ONU.</w:t>
      </w:r>
    </w:p>
  </w:footnote>
  <w:footnote w:id="5">
    <w:p w14:paraId="0DDE3148" w14:textId="4BBF51A7" w:rsidR="00124973" w:rsidRPr="00103D29" w:rsidRDefault="00124973" w:rsidP="00367CFC">
      <w:pPr>
        <w:pStyle w:val="FootnoteText"/>
        <w:ind w:left="180" w:hanging="180"/>
        <w:jc w:val="both"/>
        <w:rPr>
          <w:sz w:val="18"/>
          <w:szCs w:val="18"/>
          <w:lang w:val="es-ES"/>
        </w:rPr>
      </w:pPr>
      <w:r w:rsidRPr="005F0837">
        <w:rPr>
          <w:rStyle w:val="FootnoteReference"/>
          <w:rFonts w:ascii="Arial" w:hAnsi="Arial" w:cs="Arial"/>
          <w:sz w:val="18"/>
          <w:szCs w:val="18"/>
        </w:rPr>
        <w:footnoteRef/>
      </w:r>
      <w:r w:rsidRPr="005F0837">
        <w:rPr>
          <w:rFonts w:ascii="Arial" w:hAnsi="Arial" w:cs="Arial"/>
          <w:sz w:val="18"/>
          <w:szCs w:val="18"/>
          <w:vertAlign w:val="superscript"/>
          <w:lang w:val="es-ES"/>
        </w:rPr>
        <w:t xml:space="preserve">   </w:t>
      </w:r>
      <w:r w:rsidRPr="005F0837">
        <w:rPr>
          <w:rFonts w:ascii="Arial" w:hAnsi="Arial" w:cs="Arial"/>
          <w:sz w:val="18"/>
          <w:szCs w:val="18"/>
          <w:lang w:val="es-ES"/>
        </w:rPr>
        <w:t>Este reconocimiento se recoge por ejemplo en acuerdos de cooperación con otras Convenciones; y en el caso del CBD también en su Decisión VI/20 (2002) de la COP del CBD que reconoce a la CMS como “el socio líder en la conservación y el uso sostenible de las especies migratorias”.</w:t>
      </w:r>
      <w:r w:rsidRPr="00103D29">
        <w:rPr>
          <w:sz w:val="18"/>
          <w:szCs w:val="18"/>
          <w:lang w:val="es-ES"/>
        </w:rPr>
        <w:t xml:space="preserve"> </w:t>
      </w:r>
    </w:p>
  </w:footnote>
  <w:footnote w:id="6">
    <w:p w14:paraId="7C441A3C" w14:textId="66B36EE3" w:rsidR="00124973" w:rsidRPr="001D0AD7" w:rsidRDefault="00124973" w:rsidP="001D0AD7">
      <w:pPr>
        <w:pStyle w:val="FootnoteText"/>
        <w:ind w:left="170" w:hanging="170"/>
        <w:jc w:val="both"/>
        <w:rPr>
          <w:rFonts w:ascii="Arial" w:hAnsi="Arial" w:cs="Arial"/>
          <w:sz w:val="18"/>
          <w:szCs w:val="18"/>
        </w:rPr>
      </w:pPr>
      <w:r w:rsidRPr="007A578F">
        <w:rPr>
          <w:rStyle w:val="FootnoteReference"/>
        </w:rPr>
        <w:footnoteRef/>
      </w:r>
      <w:r w:rsidRPr="007A578F">
        <w:t xml:space="preserve"> </w:t>
      </w:r>
      <w:r>
        <w:tab/>
      </w:r>
      <w:r w:rsidRPr="001D0AD7">
        <w:rPr>
          <w:rFonts w:ascii="Arial" w:hAnsi="Arial" w:cs="Arial"/>
          <w:spacing w:val="-4"/>
          <w:sz w:val="18"/>
          <w:szCs w:val="18"/>
          <w:lang w:val="es-ES"/>
        </w:rPr>
        <w:t>Al momento de adoptar este Plan, el término que refiere a la gente indígena y las comunidades locales está bajo debate en otros contextos intergubernamentales.  El texto de este Plan no debe ser tomado a favor de una terminología sobre otra.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F959" w14:textId="77777777" w:rsidR="00124973" w:rsidRPr="00811F15" w:rsidRDefault="00124973" w:rsidP="00AE4998">
    <w:pPr>
      <w:pStyle w:val="Heading1"/>
      <w:keepNext w:val="0"/>
      <w:pBdr>
        <w:bottom w:val="single" w:sz="4" w:space="1" w:color="auto"/>
      </w:pBdr>
      <w:tabs>
        <w:tab w:val="clear" w:pos="-720"/>
      </w:tabs>
      <w:ind w:left="261" w:right="-277" w:hanging="261"/>
      <w:rPr>
        <w:rFonts w:cs="Arial"/>
        <w:b w:val="0"/>
        <w:i/>
        <w:sz w:val="18"/>
        <w:szCs w:val="18"/>
        <w:lang w:val="fr-FR"/>
      </w:rPr>
    </w:pPr>
    <w:r w:rsidRPr="00811F15">
      <w:rPr>
        <w:rFonts w:cs="Arial"/>
        <w:b w:val="0"/>
        <w:i/>
        <w:sz w:val="18"/>
        <w:szCs w:val="18"/>
        <w:lang w:val="fr-FR"/>
      </w:rPr>
      <w:t>UNEP/CMS/COP12/Doc.x/Annex 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DB5B" w14:textId="4601FC76" w:rsidR="00124973" w:rsidRPr="00FB3096" w:rsidRDefault="00124973" w:rsidP="00B15943">
    <w:pPr>
      <w:pStyle w:val="Heading1"/>
      <w:keepNext w:val="0"/>
      <w:pBdr>
        <w:bottom w:val="single" w:sz="4" w:space="1" w:color="auto"/>
      </w:pBdr>
      <w:ind w:left="261" w:right="-2" w:hanging="261"/>
      <w:jc w:val="right"/>
      <w:rPr>
        <w:rFonts w:cs="Arial"/>
        <w:b w:val="0"/>
        <w:bCs w:val="0"/>
        <w:i/>
        <w:sz w:val="18"/>
        <w:szCs w:val="18"/>
        <w:lang w:val="fr-FR"/>
      </w:rPr>
    </w:pPr>
    <w:r w:rsidRPr="00FB3096">
      <w:rPr>
        <w:rFonts w:cs="Arial"/>
        <w:b w:val="0"/>
        <w:bCs w:val="0"/>
        <w:i/>
        <w:sz w:val="18"/>
        <w:szCs w:val="18"/>
        <w:lang w:val="fr-FR"/>
      </w:rPr>
      <w:t>UNEP/CMS/COP12/</w:t>
    </w:r>
    <w:r>
      <w:rPr>
        <w:rFonts w:cs="Arial"/>
        <w:b w:val="0"/>
        <w:bCs w:val="0"/>
        <w:i/>
        <w:sz w:val="18"/>
        <w:szCs w:val="18"/>
        <w:lang w:val="fr-FR"/>
      </w:rPr>
      <w:t>D</w:t>
    </w:r>
    <w:r w:rsidRPr="00FB3096">
      <w:rPr>
        <w:rFonts w:cs="Arial"/>
        <w:b w:val="0"/>
        <w:bCs w:val="0"/>
        <w:i/>
        <w:sz w:val="18"/>
        <w:szCs w:val="18"/>
        <w:lang w:val="fr-FR"/>
      </w:rPr>
      <w:t>oc.</w:t>
    </w:r>
    <w:r>
      <w:rPr>
        <w:rFonts w:cs="Arial"/>
        <w:b w:val="0"/>
        <w:bCs w:val="0"/>
        <w:i/>
        <w:sz w:val="18"/>
        <w:szCs w:val="18"/>
        <w:lang w:val="fr-FR"/>
      </w:rPr>
      <w:t>15</w:t>
    </w:r>
    <w:r w:rsidRPr="00FB3096">
      <w:rPr>
        <w:rFonts w:cs="Arial"/>
        <w:b w:val="0"/>
        <w:bCs w:val="0"/>
        <w:i/>
        <w:sz w:val="18"/>
        <w:szCs w:val="18"/>
        <w:lang w:val="fr-FR"/>
      </w:rPr>
      <w:t>/Anex</w:t>
    </w:r>
    <w:r>
      <w:rPr>
        <w:rFonts w:cs="Arial"/>
        <w:b w:val="0"/>
        <w:bCs w:val="0"/>
        <w:i/>
        <w:sz w:val="18"/>
        <w:szCs w:val="18"/>
        <w:lang w:val="fr-FR"/>
      </w:rPr>
      <w:t>o</w:t>
    </w:r>
    <w:r w:rsidRPr="00FB3096">
      <w:rPr>
        <w:rFonts w:cs="Arial"/>
        <w:b w:val="0"/>
        <w:bCs w:val="0"/>
        <w:i/>
        <w:sz w:val="18"/>
        <w:szCs w:val="18"/>
        <w:lang w:val="fr-FR"/>
      </w:rPr>
      <w:t xml:space="preserve"> 1</w:t>
    </w:r>
  </w:p>
  <w:p w14:paraId="203EF74B" w14:textId="77777777" w:rsidR="00124973" w:rsidRPr="00FB3096" w:rsidRDefault="00124973" w:rsidP="00B15943">
    <w:pPr>
      <w:pStyle w:val="Header"/>
      <w:jc w:val="right"/>
      <w:rPr>
        <w:rFonts w:ascii="Times New Roman" w:hAnsi="Times New Roman"/>
        <w:sz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5905" w14:textId="541D2A7B" w:rsidR="00124973" w:rsidRPr="00C51BAD" w:rsidRDefault="00124973" w:rsidP="007A50F4">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/Anex</w:t>
    </w:r>
    <w:r>
      <w:rPr>
        <w:rFonts w:cs="Arial"/>
        <w:i/>
        <w:szCs w:val="18"/>
        <w:lang w:val="fr-FR"/>
      </w:rPr>
      <w:t>o</w:t>
    </w:r>
    <w:r w:rsidRPr="000A7ABB">
      <w:rPr>
        <w:rFonts w:cs="Arial"/>
        <w:i/>
        <w:szCs w:val="18"/>
        <w:lang w:val="fr-FR"/>
      </w:rPr>
      <w:t xml:space="preserve"> </w:t>
    </w:r>
    <w:r>
      <w:rPr>
        <w:rFonts w:cs="Arial"/>
        <w:i/>
        <w:szCs w:val="18"/>
        <w:lang w:val="fr-FR"/>
      </w:rPr>
      <w:t>1</w:t>
    </w:r>
  </w:p>
  <w:p w14:paraId="6E04E1B1" w14:textId="77777777" w:rsidR="00124973" w:rsidRDefault="001249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67C6" w14:textId="6618F24C" w:rsidR="00124973" w:rsidRPr="00CB1224" w:rsidRDefault="00124973" w:rsidP="00BE149B">
    <w:pPr>
      <w:pStyle w:val="Header"/>
      <w:pBdr>
        <w:bottom w:val="single" w:sz="4" w:space="1" w:color="auto"/>
      </w:pBdr>
      <w:jc w:val="right"/>
      <w:rPr>
        <w:lang w:val="fr-FR"/>
      </w:rPr>
    </w:pPr>
    <w:r w:rsidRPr="000A7ABB">
      <w:rPr>
        <w:rFonts w:cs="Arial"/>
        <w:i/>
        <w:szCs w:val="18"/>
        <w:lang w:val="fr-FR"/>
      </w:rPr>
      <w:t>UNEP/CMS/COP12/Doc</w:t>
    </w:r>
    <w:r w:rsidRPr="00C9312D">
      <w:rPr>
        <w:rFonts w:cs="Arial"/>
        <w:i/>
        <w:szCs w:val="18"/>
        <w:lang w:val="fr-FR"/>
      </w:rPr>
      <w:t>.15</w:t>
    </w:r>
    <w:r w:rsidRPr="000A7ABB">
      <w:rPr>
        <w:rFonts w:cs="Arial"/>
        <w:i/>
        <w:szCs w:val="18"/>
        <w:lang w:val="fr-FR"/>
      </w:rPr>
      <w:t>/Anex</w:t>
    </w:r>
    <w:r>
      <w:rPr>
        <w:rFonts w:cs="Arial"/>
        <w:i/>
        <w:szCs w:val="18"/>
        <w:lang w:val="fr-FR"/>
      </w:rPr>
      <w:t>o</w:t>
    </w:r>
    <w:r w:rsidRPr="000A7ABB">
      <w:rPr>
        <w:rFonts w:cs="Arial"/>
        <w:i/>
        <w:szCs w:val="18"/>
        <w:lang w:val="fr-FR"/>
      </w:rPr>
      <w:t xml:space="preserve"> </w:t>
    </w:r>
    <w:r>
      <w:rPr>
        <w:rFonts w:cs="Arial"/>
        <w:i/>
        <w:szCs w:val="18"/>
        <w:lang w:val="fr-FR"/>
      </w:rPr>
      <w:t>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9CE8" w14:textId="626A754F" w:rsidR="00124973" w:rsidRPr="00C51BAD" w:rsidRDefault="00124973" w:rsidP="0089035D">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/Anex</w:t>
    </w:r>
    <w:r>
      <w:rPr>
        <w:rFonts w:cs="Arial"/>
        <w:i/>
        <w:szCs w:val="18"/>
        <w:lang w:val="fr-FR"/>
      </w:rPr>
      <w:t>o</w:t>
    </w:r>
    <w:r w:rsidRPr="000A7ABB">
      <w:rPr>
        <w:rFonts w:cs="Arial"/>
        <w:i/>
        <w:szCs w:val="18"/>
        <w:lang w:val="fr-FR"/>
      </w:rPr>
      <w:t xml:space="preserve"> </w:t>
    </w:r>
    <w:r>
      <w:rPr>
        <w:rFonts w:cs="Arial"/>
        <w:i/>
        <w:szCs w:val="18"/>
        <w:lang w:val="fr-FR"/>
      </w:rPr>
      <w:t>1</w:t>
    </w:r>
  </w:p>
  <w:p w14:paraId="4B915FED" w14:textId="77777777" w:rsidR="00124973" w:rsidRPr="00C51BAD" w:rsidRDefault="00124973" w:rsidP="00B12B45">
    <w:pPr>
      <w:pStyle w:val="Header"/>
      <w:tabs>
        <w:tab w:val="clear" w:pos="4513"/>
        <w:tab w:val="clear" w:pos="9026"/>
        <w:tab w:val="left" w:pos="1260"/>
      </w:tabs>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5F1D" w14:textId="0ABAFB24" w:rsidR="00124973" w:rsidRPr="00C51BAD" w:rsidRDefault="00124973" w:rsidP="001D0AD7">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15/An</w:t>
    </w:r>
    <w:r w:rsidRPr="000A7ABB">
      <w:rPr>
        <w:rFonts w:cs="Arial"/>
        <w:i/>
        <w:szCs w:val="18"/>
        <w:lang w:val="fr-FR"/>
      </w:rPr>
      <w:t>ex</w:t>
    </w:r>
    <w:r>
      <w:rPr>
        <w:rFonts w:cs="Arial"/>
        <w:i/>
        <w:szCs w:val="18"/>
        <w:lang w:val="fr-FR"/>
      </w:rPr>
      <w:t>o</w:t>
    </w:r>
    <w:r w:rsidRPr="000A7ABB">
      <w:rPr>
        <w:rFonts w:cs="Arial"/>
        <w:i/>
        <w:szCs w:val="18"/>
        <w:lang w:val="fr-FR"/>
      </w:rPr>
      <w:t xml:space="preserve"> </w:t>
    </w:r>
    <w:r>
      <w:rPr>
        <w:rFonts w:cs="Arial"/>
        <w:i/>
        <w:szCs w:val="18"/>
        <w:lang w:val="fr-FR"/>
      </w:rPr>
      <w:t>2</w:t>
    </w:r>
  </w:p>
  <w:p w14:paraId="207FA1BF" w14:textId="77777777" w:rsidR="00124973" w:rsidRPr="00C51BAD" w:rsidRDefault="00124973" w:rsidP="00B12B45">
    <w:pPr>
      <w:pStyle w:val="Header"/>
      <w:tabs>
        <w:tab w:val="clear" w:pos="4513"/>
        <w:tab w:val="clear" w:pos="9026"/>
        <w:tab w:val="left" w:pos="126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1837" w14:textId="77777777" w:rsidR="00124973" w:rsidRPr="00497E66" w:rsidRDefault="00124973" w:rsidP="00AE4998">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w:t>
    </w:r>
    <w:r>
      <w:rPr>
        <w:rFonts w:cs="Arial"/>
        <w:b w:val="0"/>
        <w:i/>
        <w:sz w:val="18"/>
        <w:szCs w:val="18"/>
        <w:lang w:val="fr-FR"/>
      </w:rPr>
      <w:t xml:space="preserve">Annex </w:t>
    </w:r>
    <w:r w:rsidRPr="00497E66">
      <w:rPr>
        <w:rFonts w:cs="Arial"/>
        <w:b w:val="0"/>
        <w:i/>
        <w:sz w:val="18"/>
        <w:szCs w:val="18"/>
        <w:lang w:val="fr-FR"/>
      </w:rPr>
      <w:t>x</w:t>
    </w:r>
  </w:p>
  <w:p w14:paraId="4051D477" w14:textId="77777777" w:rsidR="00124973" w:rsidRPr="00497E66" w:rsidRDefault="00124973" w:rsidP="00AE4998">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F41F" w14:textId="081C997C" w:rsidR="00124973" w:rsidRDefault="00124973">
    <w:pPr>
      <w:pStyle w:val="Header"/>
    </w:pPr>
    <w:r>
      <w:rPr>
        <w:noProof/>
      </w:rPr>
      <w:drawing>
        <wp:anchor distT="0" distB="0" distL="114300" distR="114300" simplePos="0" relativeHeight="251661312" behindDoc="1" locked="0" layoutInCell="1" allowOverlap="1" wp14:anchorId="392164C8" wp14:editId="6F7A2219">
          <wp:simplePos x="0" y="0"/>
          <wp:positionH relativeFrom="column">
            <wp:posOffset>800100</wp:posOffset>
          </wp:positionH>
          <wp:positionV relativeFrom="paragraph">
            <wp:posOffset>129540</wp:posOffset>
          </wp:positionV>
          <wp:extent cx="431165" cy="441325"/>
          <wp:effectExtent l="0" t="0" r="635" b="0"/>
          <wp:wrapTight wrapText="bothSides">
            <wp:wrapPolygon edited="0">
              <wp:start x="0" y="0"/>
              <wp:lineTo x="0" y="19891"/>
              <wp:lineTo x="20359" y="19891"/>
              <wp:lineTo x="20359" y="0"/>
              <wp:lineTo x="0" y="0"/>
            </wp:wrapPolygon>
          </wp:wrapTight>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B32C143" wp14:editId="4C38DE32">
          <wp:simplePos x="0" y="0"/>
          <wp:positionH relativeFrom="column">
            <wp:posOffset>-114300</wp:posOffset>
          </wp:positionH>
          <wp:positionV relativeFrom="paragraph">
            <wp:posOffset>129540</wp:posOffset>
          </wp:positionV>
          <wp:extent cx="939165" cy="506730"/>
          <wp:effectExtent l="0" t="0" r="0" b="0"/>
          <wp:wrapTight wrapText="bothSides">
            <wp:wrapPolygon edited="0">
              <wp:start x="1753" y="2165"/>
              <wp:lineTo x="1168" y="18406"/>
              <wp:lineTo x="19862" y="18406"/>
              <wp:lineTo x="19278" y="2165"/>
              <wp:lineTo x="1753" y="2165"/>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C49E" w14:textId="77777777" w:rsidR="00124973" w:rsidRPr="002F5087" w:rsidRDefault="00124973" w:rsidP="007A50F4">
    <w:pPr>
      <w:pStyle w:val="Header"/>
      <w:pBdr>
        <w:bottom w:val="single" w:sz="4" w:space="1" w:color="auto"/>
      </w:pBdr>
      <w:rPr>
        <w:i/>
        <w:lang w:val="de-DE"/>
      </w:rPr>
    </w:pPr>
    <w:r>
      <w:rPr>
        <w:i/>
        <w:lang w:val="de-DE"/>
      </w:rPr>
      <w:t>UNEP/CMS/COP12/D</w:t>
    </w:r>
    <w:r w:rsidRPr="002F5087">
      <w:rPr>
        <w:i/>
        <w:lang w:val="de-DE"/>
      </w:rPr>
      <w:t>oc.15</w:t>
    </w:r>
  </w:p>
  <w:p w14:paraId="7B3C0F2A" w14:textId="77777777" w:rsidR="00124973" w:rsidRDefault="00124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082B" w14:textId="70CE3680" w:rsidR="00124973" w:rsidRPr="00CB1224" w:rsidRDefault="00124973" w:rsidP="007A50F4">
    <w:pPr>
      <w:pStyle w:val="Heading1"/>
      <w:keepNext w:val="0"/>
      <w:pBdr>
        <w:bottom w:val="single" w:sz="4" w:space="1" w:color="auto"/>
      </w:pBdr>
      <w:ind w:left="261" w:right="-2" w:hanging="261"/>
      <w:jc w:val="right"/>
      <w:rPr>
        <w:rFonts w:cs="Arial"/>
        <w:b w:val="0"/>
        <w:bCs w:val="0"/>
        <w:i/>
        <w:sz w:val="18"/>
        <w:szCs w:val="18"/>
        <w:lang w:val="fr-FR"/>
      </w:rPr>
    </w:pPr>
    <w:r w:rsidRPr="00CB1224">
      <w:rPr>
        <w:rFonts w:cs="Arial"/>
        <w:b w:val="0"/>
        <w:bCs w:val="0"/>
        <w:i/>
        <w:sz w:val="18"/>
        <w:szCs w:val="18"/>
        <w:lang w:val="fr-FR"/>
      </w:rPr>
      <w:t>UNEP/CMS/COP12/Doc.</w:t>
    </w:r>
    <w:r>
      <w:rPr>
        <w:rFonts w:cs="Arial"/>
        <w:b w:val="0"/>
        <w:bCs w:val="0"/>
        <w:i/>
        <w:sz w:val="18"/>
        <w:szCs w:val="18"/>
        <w:lang w:val="fr-FR"/>
      </w:rPr>
      <w:t>15</w:t>
    </w:r>
  </w:p>
  <w:p w14:paraId="77551EB4" w14:textId="77777777" w:rsidR="00124973" w:rsidRPr="00164382" w:rsidRDefault="00124973" w:rsidP="00B15943">
    <w:pPr>
      <w:pStyle w:val="Header"/>
      <w:jc w:val="right"/>
      <w:rPr>
        <w:rFonts w:ascii="Times New Roman" w:hAnsi="Times New Roman"/>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10D0" w14:textId="7ABE842D" w:rsidR="00124973" w:rsidRPr="002F5087" w:rsidRDefault="00124973" w:rsidP="002F5087">
    <w:pPr>
      <w:pStyle w:val="Header"/>
      <w:pBdr>
        <w:bottom w:val="single" w:sz="4" w:space="1" w:color="auto"/>
      </w:pBdr>
      <w:rPr>
        <w:i/>
        <w:lang w:val="de-DE"/>
      </w:rPr>
    </w:pPr>
    <w:r>
      <w:rPr>
        <w:i/>
        <w:lang w:val="de-DE"/>
      </w:rPr>
      <w:t>UNEP/CMS/COP12/D</w:t>
    </w:r>
    <w:r w:rsidRPr="002F5087">
      <w:rPr>
        <w:i/>
        <w:lang w:val="de-DE"/>
      </w:rPr>
      <w:t>oc.15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10DC" w14:textId="0548F82C" w:rsidR="00124973" w:rsidRPr="00101681" w:rsidRDefault="00124973" w:rsidP="00231BE0">
    <w:pPr>
      <w:pStyle w:val="Header"/>
      <w:pBdr>
        <w:bottom w:val="single" w:sz="4" w:space="1" w:color="auto"/>
      </w:pBdr>
      <w:rPr>
        <w:i/>
      </w:rPr>
    </w:pPr>
    <w:r w:rsidRPr="00101681">
      <w:rPr>
        <w:i/>
      </w:rPr>
      <w:t>UNEP/CMS/COP12/Doc.15/Anexo 1</w:t>
    </w:r>
  </w:p>
  <w:p w14:paraId="19C10472" w14:textId="77777777" w:rsidR="00124973" w:rsidRPr="007A50F4" w:rsidRDefault="00124973">
    <w:pPr>
      <w:pStyle w:val="Head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9783" w14:textId="18E771FD" w:rsidR="00124973" w:rsidRPr="00101681" w:rsidRDefault="00124973" w:rsidP="00231BE0">
    <w:pPr>
      <w:pStyle w:val="Heading1"/>
      <w:keepNext w:val="0"/>
      <w:pBdr>
        <w:bottom w:val="single" w:sz="4" w:space="1" w:color="auto"/>
      </w:pBdr>
      <w:ind w:left="261" w:right="-2" w:hanging="261"/>
      <w:jc w:val="right"/>
      <w:rPr>
        <w:rFonts w:cs="Arial"/>
        <w:b w:val="0"/>
        <w:bCs w:val="0"/>
        <w:i/>
        <w:sz w:val="18"/>
        <w:szCs w:val="18"/>
        <w:lang w:val="en-US"/>
      </w:rPr>
    </w:pPr>
    <w:r w:rsidRPr="00101681">
      <w:rPr>
        <w:rFonts w:cs="Arial"/>
        <w:b w:val="0"/>
        <w:bCs w:val="0"/>
        <w:i/>
        <w:sz w:val="18"/>
        <w:szCs w:val="18"/>
        <w:lang w:val="en-US"/>
      </w:rPr>
      <w:t>UNEP/CMS/COP12/Doc.15/Anexo 1</w:t>
    </w:r>
  </w:p>
  <w:p w14:paraId="31858689" w14:textId="77777777" w:rsidR="00124973" w:rsidRPr="00164382" w:rsidRDefault="00124973" w:rsidP="00B15943">
    <w:pPr>
      <w:pStyle w:val="Header"/>
      <w:jc w:val="right"/>
      <w:rPr>
        <w:rFonts w:ascii="Times New Roman" w:hAnsi="Times New Roman"/>
        <w:sz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1E40" w14:textId="3F4C147F" w:rsidR="00124973" w:rsidRPr="00101681" w:rsidRDefault="00124973" w:rsidP="0089035D">
    <w:pPr>
      <w:pStyle w:val="Header"/>
      <w:pBdr>
        <w:bottom w:val="single" w:sz="4" w:space="1" w:color="auto"/>
      </w:pBdr>
      <w:jc w:val="right"/>
      <w:rPr>
        <w:i/>
        <w:noProof/>
      </w:rPr>
    </w:pPr>
    <w:r w:rsidRPr="00101681">
      <w:rPr>
        <w:i/>
        <w:noProof/>
      </w:rPr>
      <w:t>UNEP/CMS/COP12/Doc.15/Anexo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3BB"/>
    <w:multiLevelType w:val="hybridMultilevel"/>
    <w:tmpl w:val="CE1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3"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265C79"/>
    <w:multiLevelType w:val="hybridMultilevel"/>
    <w:tmpl w:val="9FD2D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566D1"/>
    <w:multiLevelType w:val="hybridMultilevel"/>
    <w:tmpl w:val="507633B4"/>
    <w:lvl w:ilvl="0" w:tplc="0409000F">
      <w:start w:val="1"/>
      <w:numFmt w:val="decimal"/>
      <w:lvlText w:val="%1."/>
      <w:lvlJc w:val="left"/>
      <w:pPr>
        <w:ind w:left="450" w:hanging="360"/>
      </w:pPr>
      <w:rPr>
        <w:rFonts w:cs="Times New Roman" w:hint="default"/>
      </w:rPr>
    </w:lvl>
    <w:lvl w:ilvl="1" w:tplc="0C090019">
      <w:start w:val="1"/>
      <w:numFmt w:val="lowerLetter"/>
      <w:lvlText w:val="%2."/>
      <w:lvlJc w:val="left"/>
      <w:pPr>
        <w:ind w:left="1170" w:hanging="360"/>
      </w:pPr>
      <w:rPr>
        <w:rFonts w:cs="Times New Roman"/>
      </w:rPr>
    </w:lvl>
    <w:lvl w:ilvl="2" w:tplc="0C09001B" w:tentative="1">
      <w:start w:val="1"/>
      <w:numFmt w:val="lowerRoman"/>
      <w:lvlText w:val="%3."/>
      <w:lvlJc w:val="right"/>
      <w:pPr>
        <w:ind w:left="1890" w:hanging="180"/>
      </w:pPr>
      <w:rPr>
        <w:rFonts w:cs="Times New Roman"/>
      </w:rPr>
    </w:lvl>
    <w:lvl w:ilvl="3" w:tplc="0C09000F" w:tentative="1">
      <w:start w:val="1"/>
      <w:numFmt w:val="decimal"/>
      <w:lvlText w:val="%4."/>
      <w:lvlJc w:val="left"/>
      <w:pPr>
        <w:ind w:left="2610" w:hanging="360"/>
      </w:pPr>
      <w:rPr>
        <w:rFonts w:cs="Times New Roman"/>
      </w:rPr>
    </w:lvl>
    <w:lvl w:ilvl="4" w:tplc="0C090019" w:tentative="1">
      <w:start w:val="1"/>
      <w:numFmt w:val="lowerLetter"/>
      <w:lvlText w:val="%5."/>
      <w:lvlJc w:val="left"/>
      <w:pPr>
        <w:ind w:left="3330" w:hanging="360"/>
      </w:pPr>
      <w:rPr>
        <w:rFonts w:cs="Times New Roman"/>
      </w:rPr>
    </w:lvl>
    <w:lvl w:ilvl="5" w:tplc="0C09001B" w:tentative="1">
      <w:start w:val="1"/>
      <w:numFmt w:val="lowerRoman"/>
      <w:lvlText w:val="%6."/>
      <w:lvlJc w:val="right"/>
      <w:pPr>
        <w:ind w:left="4050" w:hanging="180"/>
      </w:pPr>
      <w:rPr>
        <w:rFonts w:cs="Times New Roman"/>
      </w:rPr>
    </w:lvl>
    <w:lvl w:ilvl="6" w:tplc="0C09000F" w:tentative="1">
      <w:start w:val="1"/>
      <w:numFmt w:val="decimal"/>
      <w:lvlText w:val="%7."/>
      <w:lvlJc w:val="left"/>
      <w:pPr>
        <w:ind w:left="4770" w:hanging="360"/>
      </w:pPr>
      <w:rPr>
        <w:rFonts w:cs="Times New Roman"/>
      </w:rPr>
    </w:lvl>
    <w:lvl w:ilvl="7" w:tplc="0C090019" w:tentative="1">
      <w:start w:val="1"/>
      <w:numFmt w:val="lowerLetter"/>
      <w:lvlText w:val="%8."/>
      <w:lvlJc w:val="left"/>
      <w:pPr>
        <w:ind w:left="5490" w:hanging="360"/>
      </w:pPr>
      <w:rPr>
        <w:rFonts w:cs="Times New Roman"/>
      </w:rPr>
    </w:lvl>
    <w:lvl w:ilvl="8" w:tplc="0C09001B" w:tentative="1">
      <w:start w:val="1"/>
      <w:numFmt w:val="lowerRoman"/>
      <w:lvlText w:val="%9."/>
      <w:lvlJc w:val="right"/>
      <w:pPr>
        <w:ind w:left="6210" w:hanging="180"/>
      </w:pPr>
      <w:rPr>
        <w:rFonts w:cs="Times New Roman"/>
      </w:rPr>
    </w:lvl>
  </w:abstractNum>
  <w:abstractNum w:abstractNumId="7" w15:restartNumberingAfterBreak="0">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B080DCB"/>
    <w:multiLevelType w:val="hybridMultilevel"/>
    <w:tmpl w:val="6D2EE958"/>
    <w:lvl w:ilvl="0" w:tplc="78CA602E">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4E5C80"/>
    <w:multiLevelType w:val="hybridMultilevel"/>
    <w:tmpl w:val="C0900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675A"/>
    <w:multiLevelType w:val="hybridMultilevel"/>
    <w:tmpl w:val="67FE117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66184A"/>
    <w:multiLevelType w:val="hybridMultilevel"/>
    <w:tmpl w:val="04E8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05429"/>
    <w:multiLevelType w:val="hybridMultilevel"/>
    <w:tmpl w:val="DDFCC92A"/>
    <w:lvl w:ilvl="0" w:tplc="4B66F610">
      <w:start w:val="1"/>
      <w:numFmt w:val="decimal"/>
      <w:lvlText w:val="%1."/>
      <w:lvlJc w:val="left"/>
      <w:pPr>
        <w:ind w:left="720" w:hanging="360"/>
      </w:pPr>
      <w:rPr>
        <w:rFonts w:eastAsiaTheme="minorEastAsia" w:hint="default"/>
        <w:color w:val="000000" w:themeColor="text1"/>
      </w:rPr>
    </w:lvl>
    <w:lvl w:ilvl="1" w:tplc="EF0424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56F6F"/>
    <w:multiLevelType w:val="hybridMultilevel"/>
    <w:tmpl w:val="87CE56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1"/>
  </w:num>
  <w:num w:numId="3">
    <w:abstractNumId w:val="13"/>
  </w:num>
  <w:num w:numId="4">
    <w:abstractNumId w:val="3"/>
  </w:num>
  <w:num w:numId="5">
    <w:abstractNumId w:val="8"/>
  </w:num>
  <w:num w:numId="6">
    <w:abstractNumId w:val="7"/>
  </w:num>
  <w:num w:numId="7">
    <w:abstractNumId w:val="5"/>
  </w:num>
  <w:num w:numId="8">
    <w:abstractNumId w:val="18"/>
  </w:num>
  <w:num w:numId="9">
    <w:abstractNumId w:val="2"/>
  </w:num>
  <w:num w:numId="10">
    <w:abstractNumId w:val="9"/>
  </w:num>
  <w:num w:numId="11">
    <w:abstractNumId w:val="17"/>
  </w:num>
  <w:num w:numId="12">
    <w:abstractNumId w:val="6"/>
  </w:num>
  <w:num w:numId="13">
    <w:abstractNumId w:val="12"/>
  </w:num>
  <w:num w:numId="14">
    <w:abstractNumId w:val="0"/>
  </w:num>
  <w:num w:numId="15">
    <w:abstractNumId w:val="16"/>
  </w:num>
  <w:num w:numId="16">
    <w:abstractNumId w:val="11"/>
  </w:num>
  <w:num w:numId="17">
    <w:abstractNumId w:val="19"/>
  </w:num>
  <w:num w:numId="18">
    <w:abstractNumId w:val="10"/>
  </w:num>
  <w:num w:numId="19">
    <w:abstractNumId w:val="15"/>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1FA0"/>
    <w:rsid w:val="00002F5C"/>
    <w:rsid w:val="00003FA9"/>
    <w:rsid w:val="00007F70"/>
    <w:rsid w:val="0001003C"/>
    <w:rsid w:val="0001080B"/>
    <w:rsid w:val="00010E2C"/>
    <w:rsid w:val="00011D7F"/>
    <w:rsid w:val="0001378A"/>
    <w:rsid w:val="00015282"/>
    <w:rsid w:val="00026EBE"/>
    <w:rsid w:val="00027BE6"/>
    <w:rsid w:val="00027F45"/>
    <w:rsid w:val="000309F2"/>
    <w:rsid w:val="000311CB"/>
    <w:rsid w:val="000361BB"/>
    <w:rsid w:val="00037833"/>
    <w:rsid w:val="00040864"/>
    <w:rsid w:val="00040F7E"/>
    <w:rsid w:val="00041A26"/>
    <w:rsid w:val="00042476"/>
    <w:rsid w:val="00044729"/>
    <w:rsid w:val="00045F27"/>
    <w:rsid w:val="00051DCB"/>
    <w:rsid w:val="000528E7"/>
    <w:rsid w:val="00054530"/>
    <w:rsid w:val="00061CB7"/>
    <w:rsid w:val="00062CD3"/>
    <w:rsid w:val="00065EFC"/>
    <w:rsid w:val="00070D44"/>
    <w:rsid w:val="000746B6"/>
    <w:rsid w:val="000750E3"/>
    <w:rsid w:val="00075841"/>
    <w:rsid w:val="0007702D"/>
    <w:rsid w:val="0008236C"/>
    <w:rsid w:val="000823F9"/>
    <w:rsid w:val="0008323F"/>
    <w:rsid w:val="00084EFF"/>
    <w:rsid w:val="00085884"/>
    <w:rsid w:val="000861D2"/>
    <w:rsid w:val="00090DB6"/>
    <w:rsid w:val="000935C4"/>
    <w:rsid w:val="00095940"/>
    <w:rsid w:val="000A08F7"/>
    <w:rsid w:val="000A4023"/>
    <w:rsid w:val="000A49C1"/>
    <w:rsid w:val="000A5C28"/>
    <w:rsid w:val="000A7ABB"/>
    <w:rsid w:val="000B0D9F"/>
    <w:rsid w:val="000B202A"/>
    <w:rsid w:val="000B2921"/>
    <w:rsid w:val="000B6F95"/>
    <w:rsid w:val="000C4542"/>
    <w:rsid w:val="000D261A"/>
    <w:rsid w:val="000D2E45"/>
    <w:rsid w:val="000D6BB0"/>
    <w:rsid w:val="000E105C"/>
    <w:rsid w:val="000E29D8"/>
    <w:rsid w:val="000F3BC1"/>
    <w:rsid w:val="000F45CE"/>
    <w:rsid w:val="000F486F"/>
    <w:rsid w:val="000F4B2A"/>
    <w:rsid w:val="000F66D8"/>
    <w:rsid w:val="000F7EC9"/>
    <w:rsid w:val="0010003C"/>
    <w:rsid w:val="00101681"/>
    <w:rsid w:val="00102360"/>
    <w:rsid w:val="001024FC"/>
    <w:rsid w:val="0010291F"/>
    <w:rsid w:val="00103D85"/>
    <w:rsid w:val="00107751"/>
    <w:rsid w:val="00107EAF"/>
    <w:rsid w:val="00116C34"/>
    <w:rsid w:val="00122013"/>
    <w:rsid w:val="001248FF"/>
    <w:rsid w:val="00124973"/>
    <w:rsid w:val="0012585A"/>
    <w:rsid w:val="00125F98"/>
    <w:rsid w:val="00126709"/>
    <w:rsid w:val="00126CAF"/>
    <w:rsid w:val="00127602"/>
    <w:rsid w:val="00132F63"/>
    <w:rsid w:val="001348B7"/>
    <w:rsid w:val="001428C2"/>
    <w:rsid w:val="00143E12"/>
    <w:rsid w:val="00147733"/>
    <w:rsid w:val="0015135D"/>
    <w:rsid w:val="001526DB"/>
    <w:rsid w:val="00152C40"/>
    <w:rsid w:val="001558E1"/>
    <w:rsid w:val="00162BA2"/>
    <w:rsid w:val="0016362C"/>
    <w:rsid w:val="00163CD9"/>
    <w:rsid w:val="00163F94"/>
    <w:rsid w:val="00164382"/>
    <w:rsid w:val="001648C7"/>
    <w:rsid w:val="00165CD7"/>
    <w:rsid w:val="00165D2B"/>
    <w:rsid w:val="00166AC6"/>
    <w:rsid w:val="001672F5"/>
    <w:rsid w:val="00167B01"/>
    <w:rsid w:val="001714BC"/>
    <w:rsid w:val="00173F32"/>
    <w:rsid w:val="00174AB1"/>
    <w:rsid w:val="00177E1B"/>
    <w:rsid w:val="001807AF"/>
    <w:rsid w:val="00183DE6"/>
    <w:rsid w:val="00183E55"/>
    <w:rsid w:val="00191FC6"/>
    <w:rsid w:val="00194882"/>
    <w:rsid w:val="0019493E"/>
    <w:rsid w:val="00194A24"/>
    <w:rsid w:val="00196180"/>
    <w:rsid w:val="001A1932"/>
    <w:rsid w:val="001A1CBC"/>
    <w:rsid w:val="001A31A0"/>
    <w:rsid w:val="001A528B"/>
    <w:rsid w:val="001A5459"/>
    <w:rsid w:val="001A6C2C"/>
    <w:rsid w:val="001A7000"/>
    <w:rsid w:val="001A7BA1"/>
    <w:rsid w:val="001B2FD1"/>
    <w:rsid w:val="001B32BC"/>
    <w:rsid w:val="001C023B"/>
    <w:rsid w:val="001C0C33"/>
    <w:rsid w:val="001C2486"/>
    <w:rsid w:val="001C2774"/>
    <w:rsid w:val="001C4245"/>
    <w:rsid w:val="001C42C9"/>
    <w:rsid w:val="001C598C"/>
    <w:rsid w:val="001C6974"/>
    <w:rsid w:val="001C78DC"/>
    <w:rsid w:val="001D06B6"/>
    <w:rsid w:val="001D0AD7"/>
    <w:rsid w:val="001D2F9E"/>
    <w:rsid w:val="001D5FC8"/>
    <w:rsid w:val="001D61B0"/>
    <w:rsid w:val="001D754A"/>
    <w:rsid w:val="001E306A"/>
    <w:rsid w:val="001E4C0E"/>
    <w:rsid w:val="001E7E18"/>
    <w:rsid w:val="001F20F6"/>
    <w:rsid w:val="001F3AB9"/>
    <w:rsid w:val="00200754"/>
    <w:rsid w:val="0020128F"/>
    <w:rsid w:val="0020283A"/>
    <w:rsid w:val="0020689B"/>
    <w:rsid w:val="00206CD7"/>
    <w:rsid w:val="0021111F"/>
    <w:rsid w:val="002138B0"/>
    <w:rsid w:val="002140AF"/>
    <w:rsid w:val="00214422"/>
    <w:rsid w:val="002146CC"/>
    <w:rsid w:val="0021513E"/>
    <w:rsid w:val="00217585"/>
    <w:rsid w:val="002258E0"/>
    <w:rsid w:val="00226FAF"/>
    <w:rsid w:val="00230BBB"/>
    <w:rsid w:val="00231BE0"/>
    <w:rsid w:val="002475EE"/>
    <w:rsid w:val="00251C3A"/>
    <w:rsid w:val="002541F2"/>
    <w:rsid w:val="0025682B"/>
    <w:rsid w:val="002604D6"/>
    <w:rsid w:val="002622A3"/>
    <w:rsid w:val="00270AE3"/>
    <w:rsid w:val="00273468"/>
    <w:rsid w:val="00274909"/>
    <w:rsid w:val="00276B7E"/>
    <w:rsid w:val="002770E0"/>
    <w:rsid w:val="00283BE4"/>
    <w:rsid w:val="002852AB"/>
    <w:rsid w:val="00287464"/>
    <w:rsid w:val="002919F7"/>
    <w:rsid w:val="00292551"/>
    <w:rsid w:val="002972C4"/>
    <w:rsid w:val="002A15FA"/>
    <w:rsid w:val="002A29DD"/>
    <w:rsid w:val="002A3401"/>
    <w:rsid w:val="002A5552"/>
    <w:rsid w:val="002A5659"/>
    <w:rsid w:val="002A5F70"/>
    <w:rsid w:val="002B006A"/>
    <w:rsid w:val="002B0F6D"/>
    <w:rsid w:val="002B351C"/>
    <w:rsid w:val="002B626F"/>
    <w:rsid w:val="002C4385"/>
    <w:rsid w:val="002D3921"/>
    <w:rsid w:val="002D5EC4"/>
    <w:rsid w:val="002E2CCF"/>
    <w:rsid w:val="002E3D26"/>
    <w:rsid w:val="002E69F6"/>
    <w:rsid w:val="002F4554"/>
    <w:rsid w:val="002F5087"/>
    <w:rsid w:val="00302C50"/>
    <w:rsid w:val="00305894"/>
    <w:rsid w:val="00305BC5"/>
    <w:rsid w:val="0031095E"/>
    <w:rsid w:val="00311B67"/>
    <w:rsid w:val="00324AC5"/>
    <w:rsid w:val="003253D1"/>
    <w:rsid w:val="003266C8"/>
    <w:rsid w:val="0033209A"/>
    <w:rsid w:val="00340DC6"/>
    <w:rsid w:val="003417C8"/>
    <w:rsid w:val="0034285E"/>
    <w:rsid w:val="00345473"/>
    <w:rsid w:val="00347CE1"/>
    <w:rsid w:val="00347EB5"/>
    <w:rsid w:val="00347F22"/>
    <w:rsid w:val="00350700"/>
    <w:rsid w:val="003629AC"/>
    <w:rsid w:val="00365C49"/>
    <w:rsid w:val="00367193"/>
    <w:rsid w:val="00367CFC"/>
    <w:rsid w:val="00372236"/>
    <w:rsid w:val="0037433E"/>
    <w:rsid w:val="0038248B"/>
    <w:rsid w:val="00384BC7"/>
    <w:rsid w:val="003906C7"/>
    <w:rsid w:val="00395D40"/>
    <w:rsid w:val="003A1B31"/>
    <w:rsid w:val="003A2C15"/>
    <w:rsid w:val="003A397A"/>
    <w:rsid w:val="003A3DF2"/>
    <w:rsid w:val="003A602F"/>
    <w:rsid w:val="003A7301"/>
    <w:rsid w:val="003A777F"/>
    <w:rsid w:val="003B0E66"/>
    <w:rsid w:val="003B0FF1"/>
    <w:rsid w:val="003B276F"/>
    <w:rsid w:val="003B3607"/>
    <w:rsid w:val="003B3A43"/>
    <w:rsid w:val="003C265C"/>
    <w:rsid w:val="003C3FC3"/>
    <w:rsid w:val="003C5848"/>
    <w:rsid w:val="003D007E"/>
    <w:rsid w:val="003D0696"/>
    <w:rsid w:val="003D260E"/>
    <w:rsid w:val="003D478B"/>
    <w:rsid w:val="003D4960"/>
    <w:rsid w:val="003D63EA"/>
    <w:rsid w:val="003E073C"/>
    <w:rsid w:val="003E1523"/>
    <w:rsid w:val="003E1B26"/>
    <w:rsid w:val="003E2E1F"/>
    <w:rsid w:val="003E4E24"/>
    <w:rsid w:val="003E50DB"/>
    <w:rsid w:val="003E53EA"/>
    <w:rsid w:val="003E5B49"/>
    <w:rsid w:val="003E62A5"/>
    <w:rsid w:val="003F21AB"/>
    <w:rsid w:val="004051B9"/>
    <w:rsid w:val="004122B7"/>
    <w:rsid w:val="0041282E"/>
    <w:rsid w:val="00417136"/>
    <w:rsid w:val="00421340"/>
    <w:rsid w:val="0042232D"/>
    <w:rsid w:val="00422F08"/>
    <w:rsid w:val="00424C37"/>
    <w:rsid w:val="00432E8F"/>
    <w:rsid w:val="00435F9D"/>
    <w:rsid w:val="00436EFC"/>
    <w:rsid w:val="0043770B"/>
    <w:rsid w:val="00463A1B"/>
    <w:rsid w:val="004645AA"/>
    <w:rsid w:val="00465E15"/>
    <w:rsid w:val="00465FB0"/>
    <w:rsid w:val="004661C3"/>
    <w:rsid w:val="00470D36"/>
    <w:rsid w:val="00470D96"/>
    <w:rsid w:val="004710DC"/>
    <w:rsid w:val="0048341B"/>
    <w:rsid w:val="004854CF"/>
    <w:rsid w:val="00485770"/>
    <w:rsid w:val="00491A37"/>
    <w:rsid w:val="004A471C"/>
    <w:rsid w:val="004C2541"/>
    <w:rsid w:val="004C284B"/>
    <w:rsid w:val="004C4D62"/>
    <w:rsid w:val="004C6EC9"/>
    <w:rsid w:val="004C7CFC"/>
    <w:rsid w:val="004D0385"/>
    <w:rsid w:val="004D0A9C"/>
    <w:rsid w:val="004D1871"/>
    <w:rsid w:val="004D3B79"/>
    <w:rsid w:val="004D5758"/>
    <w:rsid w:val="004E1148"/>
    <w:rsid w:val="004E24CF"/>
    <w:rsid w:val="004F1375"/>
    <w:rsid w:val="004F2296"/>
    <w:rsid w:val="004F2C0F"/>
    <w:rsid w:val="004F32EC"/>
    <w:rsid w:val="004F5331"/>
    <w:rsid w:val="005021AA"/>
    <w:rsid w:val="005036BA"/>
    <w:rsid w:val="0050757A"/>
    <w:rsid w:val="0051103A"/>
    <w:rsid w:val="00511CA5"/>
    <w:rsid w:val="00511D5D"/>
    <w:rsid w:val="005132CB"/>
    <w:rsid w:val="00515AF1"/>
    <w:rsid w:val="00516BBB"/>
    <w:rsid w:val="00516F25"/>
    <w:rsid w:val="00520EB8"/>
    <w:rsid w:val="00521B96"/>
    <w:rsid w:val="005244B2"/>
    <w:rsid w:val="00524C8D"/>
    <w:rsid w:val="00525385"/>
    <w:rsid w:val="00526BAC"/>
    <w:rsid w:val="00530C8D"/>
    <w:rsid w:val="00531647"/>
    <w:rsid w:val="005321E2"/>
    <w:rsid w:val="005360BB"/>
    <w:rsid w:val="0053662E"/>
    <w:rsid w:val="00536DEB"/>
    <w:rsid w:val="00536EB4"/>
    <w:rsid w:val="005418D8"/>
    <w:rsid w:val="0054250B"/>
    <w:rsid w:val="005522B9"/>
    <w:rsid w:val="00553C88"/>
    <w:rsid w:val="00553D65"/>
    <w:rsid w:val="005542F4"/>
    <w:rsid w:val="00555EDC"/>
    <w:rsid w:val="00557258"/>
    <w:rsid w:val="005579C6"/>
    <w:rsid w:val="00560461"/>
    <w:rsid w:val="00562376"/>
    <w:rsid w:val="00566AC0"/>
    <w:rsid w:val="00566EA6"/>
    <w:rsid w:val="00567A49"/>
    <w:rsid w:val="00570C45"/>
    <w:rsid w:val="0057456D"/>
    <w:rsid w:val="00575AAD"/>
    <w:rsid w:val="00580AD5"/>
    <w:rsid w:val="00580C44"/>
    <w:rsid w:val="00582764"/>
    <w:rsid w:val="00584B10"/>
    <w:rsid w:val="00584EC4"/>
    <w:rsid w:val="005875AE"/>
    <w:rsid w:val="005904E0"/>
    <w:rsid w:val="00591543"/>
    <w:rsid w:val="00593F65"/>
    <w:rsid w:val="00595171"/>
    <w:rsid w:val="005B2286"/>
    <w:rsid w:val="005B38CF"/>
    <w:rsid w:val="005B6D40"/>
    <w:rsid w:val="005C05A9"/>
    <w:rsid w:val="005C136A"/>
    <w:rsid w:val="005C15C9"/>
    <w:rsid w:val="005C1C7D"/>
    <w:rsid w:val="005C26BF"/>
    <w:rsid w:val="005C53BE"/>
    <w:rsid w:val="005C65E7"/>
    <w:rsid w:val="005D260D"/>
    <w:rsid w:val="005D2720"/>
    <w:rsid w:val="005D5920"/>
    <w:rsid w:val="005D62E5"/>
    <w:rsid w:val="005E3D94"/>
    <w:rsid w:val="005E40CC"/>
    <w:rsid w:val="005E6624"/>
    <w:rsid w:val="005E7E77"/>
    <w:rsid w:val="005F0837"/>
    <w:rsid w:val="005F0A37"/>
    <w:rsid w:val="005F0A77"/>
    <w:rsid w:val="005F1E19"/>
    <w:rsid w:val="005F2609"/>
    <w:rsid w:val="005F2C40"/>
    <w:rsid w:val="00604742"/>
    <w:rsid w:val="006064CC"/>
    <w:rsid w:val="00611312"/>
    <w:rsid w:val="00615262"/>
    <w:rsid w:val="006219FC"/>
    <w:rsid w:val="006254FB"/>
    <w:rsid w:val="006257D5"/>
    <w:rsid w:val="00625B7B"/>
    <w:rsid w:val="00627419"/>
    <w:rsid w:val="006335AA"/>
    <w:rsid w:val="006356F6"/>
    <w:rsid w:val="006361BE"/>
    <w:rsid w:val="006367F5"/>
    <w:rsid w:val="00640865"/>
    <w:rsid w:val="0064179D"/>
    <w:rsid w:val="00644B21"/>
    <w:rsid w:val="00645C27"/>
    <w:rsid w:val="00646E41"/>
    <w:rsid w:val="0064708A"/>
    <w:rsid w:val="00647756"/>
    <w:rsid w:val="00647C64"/>
    <w:rsid w:val="00647F0A"/>
    <w:rsid w:val="00647F86"/>
    <w:rsid w:val="00651F77"/>
    <w:rsid w:val="00662D4F"/>
    <w:rsid w:val="006663F5"/>
    <w:rsid w:val="00666F99"/>
    <w:rsid w:val="00667BAD"/>
    <w:rsid w:val="00673384"/>
    <w:rsid w:val="00675257"/>
    <w:rsid w:val="006755FE"/>
    <w:rsid w:val="006762E3"/>
    <w:rsid w:val="00677CF5"/>
    <w:rsid w:val="00677D73"/>
    <w:rsid w:val="00680481"/>
    <w:rsid w:val="00681076"/>
    <w:rsid w:val="00683D33"/>
    <w:rsid w:val="006852D0"/>
    <w:rsid w:val="00690CF0"/>
    <w:rsid w:val="00691CAF"/>
    <w:rsid w:val="006921C8"/>
    <w:rsid w:val="0069298B"/>
    <w:rsid w:val="0069500A"/>
    <w:rsid w:val="0069520C"/>
    <w:rsid w:val="00695F1A"/>
    <w:rsid w:val="0069688C"/>
    <w:rsid w:val="006A13AA"/>
    <w:rsid w:val="006A7808"/>
    <w:rsid w:val="006B5083"/>
    <w:rsid w:val="006B7D77"/>
    <w:rsid w:val="006C1B6B"/>
    <w:rsid w:val="006C4B20"/>
    <w:rsid w:val="006C7522"/>
    <w:rsid w:val="006C7832"/>
    <w:rsid w:val="006D3634"/>
    <w:rsid w:val="006D48AD"/>
    <w:rsid w:val="006D4E0C"/>
    <w:rsid w:val="006D5CCE"/>
    <w:rsid w:val="006D6083"/>
    <w:rsid w:val="006D69A1"/>
    <w:rsid w:val="006D7292"/>
    <w:rsid w:val="006D7C0B"/>
    <w:rsid w:val="006E19AA"/>
    <w:rsid w:val="006E4D35"/>
    <w:rsid w:val="006E5D1C"/>
    <w:rsid w:val="00700070"/>
    <w:rsid w:val="007027A2"/>
    <w:rsid w:val="007052BE"/>
    <w:rsid w:val="00705CC2"/>
    <w:rsid w:val="00706FBE"/>
    <w:rsid w:val="007070F6"/>
    <w:rsid w:val="00707AD2"/>
    <w:rsid w:val="00710B17"/>
    <w:rsid w:val="00711E60"/>
    <w:rsid w:val="0071452C"/>
    <w:rsid w:val="007158CE"/>
    <w:rsid w:val="00720BE7"/>
    <w:rsid w:val="00720D76"/>
    <w:rsid w:val="00724704"/>
    <w:rsid w:val="00726D99"/>
    <w:rsid w:val="00730A66"/>
    <w:rsid w:val="0073218E"/>
    <w:rsid w:val="00732756"/>
    <w:rsid w:val="00740DC3"/>
    <w:rsid w:val="00741B70"/>
    <w:rsid w:val="00742284"/>
    <w:rsid w:val="00743570"/>
    <w:rsid w:val="00745E30"/>
    <w:rsid w:val="00747942"/>
    <w:rsid w:val="00747DE8"/>
    <w:rsid w:val="00747E93"/>
    <w:rsid w:val="00752C3B"/>
    <w:rsid w:val="00755517"/>
    <w:rsid w:val="00761BB1"/>
    <w:rsid w:val="00763179"/>
    <w:rsid w:val="00763EA7"/>
    <w:rsid w:val="0076463A"/>
    <w:rsid w:val="00764AEE"/>
    <w:rsid w:val="0076778D"/>
    <w:rsid w:val="00771112"/>
    <w:rsid w:val="00774174"/>
    <w:rsid w:val="00774F66"/>
    <w:rsid w:val="0077738F"/>
    <w:rsid w:val="0078399C"/>
    <w:rsid w:val="00785DBC"/>
    <w:rsid w:val="00785EF6"/>
    <w:rsid w:val="007869BD"/>
    <w:rsid w:val="00787D6C"/>
    <w:rsid w:val="00787E25"/>
    <w:rsid w:val="007928DB"/>
    <w:rsid w:val="00792B2B"/>
    <w:rsid w:val="007A4BEB"/>
    <w:rsid w:val="007A50F4"/>
    <w:rsid w:val="007A54AA"/>
    <w:rsid w:val="007B191B"/>
    <w:rsid w:val="007C0AFA"/>
    <w:rsid w:val="007C2D68"/>
    <w:rsid w:val="007C2E50"/>
    <w:rsid w:val="007C5DFE"/>
    <w:rsid w:val="007C5E65"/>
    <w:rsid w:val="007D3782"/>
    <w:rsid w:val="007D4FF8"/>
    <w:rsid w:val="007D6B07"/>
    <w:rsid w:val="007D7209"/>
    <w:rsid w:val="007D7708"/>
    <w:rsid w:val="007D7C11"/>
    <w:rsid w:val="007E0804"/>
    <w:rsid w:val="007E26BC"/>
    <w:rsid w:val="007E41DC"/>
    <w:rsid w:val="007E4471"/>
    <w:rsid w:val="007E5277"/>
    <w:rsid w:val="007E710A"/>
    <w:rsid w:val="007F13AD"/>
    <w:rsid w:val="007F3BEE"/>
    <w:rsid w:val="00803334"/>
    <w:rsid w:val="00807C75"/>
    <w:rsid w:val="00811F15"/>
    <w:rsid w:val="00812880"/>
    <w:rsid w:val="00815BA3"/>
    <w:rsid w:val="0081651A"/>
    <w:rsid w:val="008177E1"/>
    <w:rsid w:val="00821924"/>
    <w:rsid w:val="00822062"/>
    <w:rsid w:val="00822587"/>
    <w:rsid w:val="008232F9"/>
    <w:rsid w:val="00825FA0"/>
    <w:rsid w:val="00831484"/>
    <w:rsid w:val="008318BA"/>
    <w:rsid w:val="008332F3"/>
    <w:rsid w:val="00834613"/>
    <w:rsid w:val="00834E62"/>
    <w:rsid w:val="00840627"/>
    <w:rsid w:val="00841F2C"/>
    <w:rsid w:val="00843FFE"/>
    <w:rsid w:val="00852969"/>
    <w:rsid w:val="00852D28"/>
    <w:rsid w:val="0085388D"/>
    <w:rsid w:val="00854F88"/>
    <w:rsid w:val="008560A3"/>
    <w:rsid w:val="00857324"/>
    <w:rsid w:val="00860772"/>
    <w:rsid w:val="008634DB"/>
    <w:rsid w:val="00866D1A"/>
    <w:rsid w:val="00871C21"/>
    <w:rsid w:val="00874CD5"/>
    <w:rsid w:val="00874F50"/>
    <w:rsid w:val="008809B8"/>
    <w:rsid w:val="00881653"/>
    <w:rsid w:val="0088227E"/>
    <w:rsid w:val="00886067"/>
    <w:rsid w:val="0088611C"/>
    <w:rsid w:val="0089035D"/>
    <w:rsid w:val="00890829"/>
    <w:rsid w:val="00890C8E"/>
    <w:rsid w:val="008919F0"/>
    <w:rsid w:val="00892BE4"/>
    <w:rsid w:val="00892F12"/>
    <w:rsid w:val="00895B2E"/>
    <w:rsid w:val="00897EA7"/>
    <w:rsid w:val="008A1636"/>
    <w:rsid w:val="008A6035"/>
    <w:rsid w:val="008A6BD8"/>
    <w:rsid w:val="008B1405"/>
    <w:rsid w:val="008B35BA"/>
    <w:rsid w:val="008B3DF8"/>
    <w:rsid w:val="008B47C1"/>
    <w:rsid w:val="008B56A3"/>
    <w:rsid w:val="008B56F4"/>
    <w:rsid w:val="008B5BD0"/>
    <w:rsid w:val="008B6535"/>
    <w:rsid w:val="008B7B23"/>
    <w:rsid w:val="008C0497"/>
    <w:rsid w:val="008D0B94"/>
    <w:rsid w:val="008D0D8F"/>
    <w:rsid w:val="008D22D0"/>
    <w:rsid w:val="008D3EED"/>
    <w:rsid w:val="008D695D"/>
    <w:rsid w:val="008D6988"/>
    <w:rsid w:val="008D73C9"/>
    <w:rsid w:val="008E6983"/>
    <w:rsid w:val="008F233C"/>
    <w:rsid w:val="008F3A6B"/>
    <w:rsid w:val="008F4E90"/>
    <w:rsid w:val="008F600A"/>
    <w:rsid w:val="009029FA"/>
    <w:rsid w:val="009054B6"/>
    <w:rsid w:val="00912B8E"/>
    <w:rsid w:val="00917AA9"/>
    <w:rsid w:val="00934F37"/>
    <w:rsid w:val="00936DF0"/>
    <w:rsid w:val="009374A4"/>
    <w:rsid w:val="00937739"/>
    <w:rsid w:val="00943685"/>
    <w:rsid w:val="009457B6"/>
    <w:rsid w:val="009479BD"/>
    <w:rsid w:val="00950DF3"/>
    <w:rsid w:val="00952D64"/>
    <w:rsid w:val="00953CB5"/>
    <w:rsid w:val="00953EB5"/>
    <w:rsid w:val="0095547C"/>
    <w:rsid w:val="00955C26"/>
    <w:rsid w:val="0095648A"/>
    <w:rsid w:val="0095736B"/>
    <w:rsid w:val="00957DEF"/>
    <w:rsid w:val="00961099"/>
    <w:rsid w:val="0096138D"/>
    <w:rsid w:val="00961E70"/>
    <w:rsid w:val="00962763"/>
    <w:rsid w:val="009640EB"/>
    <w:rsid w:val="00967E59"/>
    <w:rsid w:val="009721BB"/>
    <w:rsid w:val="00974371"/>
    <w:rsid w:val="009758E6"/>
    <w:rsid w:val="00975D5C"/>
    <w:rsid w:val="009769D3"/>
    <w:rsid w:val="00981E87"/>
    <w:rsid w:val="00982EC5"/>
    <w:rsid w:val="00983C15"/>
    <w:rsid w:val="00987C89"/>
    <w:rsid w:val="009917C2"/>
    <w:rsid w:val="00992E43"/>
    <w:rsid w:val="00995503"/>
    <w:rsid w:val="009960BF"/>
    <w:rsid w:val="009A2BDF"/>
    <w:rsid w:val="009A47BD"/>
    <w:rsid w:val="009A68A6"/>
    <w:rsid w:val="009A7CC7"/>
    <w:rsid w:val="009B0850"/>
    <w:rsid w:val="009B2AC5"/>
    <w:rsid w:val="009B2FEB"/>
    <w:rsid w:val="009B3899"/>
    <w:rsid w:val="009B64BD"/>
    <w:rsid w:val="009B6B70"/>
    <w:rsid w:val="009C00FE"/>
    <w:rsid w:val="009C3721"/>
    <w:rsid w:val="009C43F4"/>
    <w:rsid w:val="009C5A46"/>
    <w:rsid w:val="009C5D13"/>
    <w:rsid w:val="009D3780"/>
    <w:rsid w:val="009D6515"/>
    <w:rsid w:val="009E2C9C"/>
    <w:rsid w:val="009E3812"/>
    <w:rsid w:val="009E6774"/>
    <w:rsid w:val="009E70EC"/>
    <w:rsid w:val="009F0A99"/>
    <w:rsid w:val="009F110F"/>
    <w:rsid w:val="009F53BC"/>
    <w:rsid w:val="009F5F44"/>
    <w:rsid w:val="009F7464"/>
    <w:rsid w:val="009F7ABA"/>
    <w:rsid w:val="00A00DCE"/>
    <w:rsid w:val="00A02780"/>
    <w:rsid w:val="00A028B0"/>
    <w:rsid w:val="00A02DA2"/>
    <w:rsid w:val="00A12C31"/>
    <w:rsid w:val="00A14E9B"/>
    <w:rsid w:val="00A153EA"/>
    <w:rsid w:val="00A15DA6"/>
    <w:rsid w:val="00A17856"/>
    <w:rsid w:val="00A21403"/>
    <w:rsid w:val="00A23A09"/>
    <w:rsid w:val="00A30A41"/>
    <w:rsid w:val="00A32AF7"/>
    <w:rsid w:val="00A35B3B"/>
    <w:rsid w:val="00A36870"/>
    <w:rsid w:val="00A43579"/>
    <w:rsid w:val="00A45AD0"/>
    <w:rsid w:val="00A45D98"/>
    <w:rsid w:val="00A46B77"/>
    <w:rsid w:val="00A475AE"/>
    <w:rsid w:val="00A52632"/>
    <w:rsid w:val="00A53826"/>
    <w:rsid w:val="00A550DC"/>
    <w:rsid w:val="00A57349"/>
    <w:rsid w:val="00A575E7"/>
    <w:rsid w:val="00A63B80"/>
    <w:rsid w:val="00A766F8"/>
    <w:rsid w:val="00A7730B"/>
    <w:rsid w:val="00A814BC"/>
    <w:rsid w:val="00A84C7A"/>
    <w:rsid w:val="00A870A9"/>
    <w:rsid w:val="00A87B1C"/>
    <w:rsid w:val="00A917F5"/>
    <w:rsid w:val="00A91997"/>
    <w:rsid w:val="00A9432E"/>
    <w:rsid w:val="00A9510A"/>
    <w:rsid w:val="00A96C09"/>
    <w:rsid w:val="00AA0BD0"/>
    <w:rsid w:val="00AA2EB6"/>
    <w:rsid w:val="00AA3081"/>
    <w:rsid w:val="00AA5BEB"/>
    <w:rsid w:val="00AB1972"/>
    <w:rsid w:val="00AB218B"/>
    <w:rsid w:val="00AB22CE"/>
    <w:rsid w:val="00AB24EF"/>
    <w:rsid w:val="00AB3596"/>
    <w:rsid w:val="00AB3F2D"/>
    <w:rsid w:val="00AB4CE7"/>
    <w:rsid w:val="00AB5D8F"/>
    <w:rsid w:val="00AC1451"/>
    <w:rsid w:val="00AC1ABC"/>
    <w:rsid w:val="00AC22F1"/>
    <w:rsid w:val="00AC3E91"/>
    <w:rsid w:val="00AC6E00"/>
    <w:rsid w:val="00AD0198"/>
    <w:rsid w:val="00AD1215"/>
    <w:rsid w:val="00AD47BA"/>
    <w:rsid w:val="00AD737C"/>
    <w:rsid w:val="00AE15FA"/>
    <w:rsid w:val="00AE24AD"/>
    <w:rsid w:val="00AE25E6"/>
    <w:rsid w:val="00AE3AC9"/>
    <w:rsid w:val="00AE4998"/>
    <w:rsid w:val="00AE6735"/>
    <w:rsid w:val="00AE772B"/>
    <w:rsid w:val="00AF046A"/>
    <w:rsid w:val="00AF10B5"/>
    <w:rsid w:val="00AF31AD"/>
    <w:rsid w:val="00AF46A2"/>
    <w:rsid w:val="00AF485C"/>
    <w:rsid w:val="00AF520B"/>
    <w:rsid w:val="00AF6012"/>
    <w:rsid w:val="00AF7775"/>
    <w:rsid w:val="00B01750"/>
    <w:rsid w:val="00B10365"/>
    <w:rsid w:val="00B12B45"/>
    <w:rsid w:val="00B153B4"/>
    <w:rsid w:val="00B155BF"/>
    <w:rsid w:val="00B15943"/>
    <w:rsid w:val="00B2061C"/>
    <w:rsid w:val="00B20C26"/>
    <w:rsid w:val="00B22193"/>
    <w:rsid w:val="00B23ABB"/>
    <w:rsid w:val="00B247E1"/>
    <w:rsid w:val="00B25AD6"/>
    <w:rsid w:val="00B26035"/>
    <w:rsid w:val="00B27FDD"/>
    <w:rsid w:val="00B319A0"/>
    <w:rsid w:val="00B35701"/>
    <w:rsid w:val="00B370C6"/>
    <w:rsid w:val="00B37D62"/>
    <w:rsid w:val="00B416E5"/>
    <w:rsid w:val="00B43DF8"/>
    <w:rsid w:val="00B464C0"/>
    <w:rsid w:val="00B473EC"/>
    <w:rsid w:val="00B4754D"/>
    <w:rsid w:val="00B476C1"/>
    <w:rsid w:val="00B47824"/>
    <w:rsid w:val="00B47A8A"/>
    <w:rsid w:val="00B50C61"/>
    <w:rsid w:val="00B518F3"/>
    <w:rsid w:val="00B54922"/>
    <w:rsid w:val="00B56DE6"/>
    <w:rsid w:val="00B60DAE"/>
    <w:rsid w:val="00B65662"/>
    <w:rsid w:val="00B66EAF"/>
    <w:rsid w:val="00B7063D"/>
    <w:rsid w:val="00B70A53"/>
    <w:rsid w:val="00B71D2A"/>
    <w:rsid w:val="00B7772A"/>
    <w:rsid w:val="00B801CF"/>
    <w:rsid w:val="00B81413"/>
    <w:rsid w:val="00B8704F"/>
    <w:rsid w:val="00B94601"/>
    <w:rsid w:val="00B96FAF"/>
    <w:rsid w:val="00B9729C"/>
    <w:rsid w:val="00B97C34"/>
    <w:rsid w:val="00BA44F9"/>
    <w:rsid w:val="00BA4741"/>
    <w:rsid w:val="00BA56F7"/>
    <w:rsid w:val="00BA6A17"/>
    <w:rsid w:val="00BB0531"/>
    <w:rsid w:val="00BB18CF"/>
    <w:rsid w:val="00BB22F1"/>
    <w:rsid w:val="00BB5876"/>
    <w:rsid w:val="00BC4EE7"/>
    <w:rsid w:val="00BC528E"/>
    <w:rsid w:val="00BC6A55"/>
    <w:rsid w:val="00BC6C97"/>
    <w:rsid w:val="00BD01B0"/>
    <w:rsid w:val="00BD0E53"/>
    <w:rsid w:val="00BD6C33"/>
    <w:rsid w:val="00BD6EF4"/>
    <w:rsid w:val="00BE149B"/>
    <w:rsid w:val="00BE2B74"/>
    <w:rsid w:val="00BE49BB"/>
    <w:rsid w:val="00BE7BCE"/>
    <w:rsid w:val="00BF4CED"/>
    <w:rsid w:val="00BF702A"/>
    <w:rsid w:val="00BF7650"/>
    <w:rsid w:val="00BF776D"/>
    <w:rsid w:val="00BF7AC4"/>
    <w:rsid w:val="00C005EC"/>
    <w:rsid w:val="00C13210"/>
    <w:rsid w:val="00C20A68"/>
    <w:rsid w:val="00C20C84"/>
    <w:rsid w:val="00C21CFD"/>
    <w:rsid w:val="00C25B63"/>
    <w:rsid w:val="00C30424"/>
    <w:rsid w:val="00C33282"/>
    <w:rsid w:val="00C3727B"/>
    <w:rsid w:val="00C412EF"/>
    <w:rsid w:val="00C41E8E"/>
    <w:rsid w:val="00C42069"/>
    <w:rsid w:val="00C50ACF"/>
    <w:rsid w:val="00C513C7"/>
    <w:rsid w:val="00C51BAD"/>
    <w:rsid w:val="00C51ED4"/>
    <w:rsid w:val="00C53090"/>
    <w:rsid w:val="00C531AC"/>
    <w:rsid w:val="00C547F6"/>
    <w:rsid w:val="00C56A61"/>
    <w:rsid w:val="00C63560"/>
    <w:rsid w:val="00C636BE"/>
    <w:rsid w:val="00C65535"/>
    <w:rsid w:val="00C65F0C"/>
    <w:rsid w:val="00C713C0"/>
    <w:rsid w:val="00C73D9A"/>
    <w:rsid w:val="00C761D2"/>
    <w:rsid w:val="00C816CF"/>
    <w:rsid w:val="00C905D6"/>
    <w:rsid w:val="00C90CB9"/>
    <w:rsid w:val="00C9312D"/>
    <w:rsid w:val="00C9374B"/>
    <w:rsid w:val="00C94515"/>
    <w:rsid w:val="00C97952"/>
    <w:rsid w:val="00C97D39"/>
    <w:rsid w:val="00CA0620"/>
    <w:rsid w:val="00CA250F"/>
    <w:rsid w:val="00CA3BAD"/>
    <w:rsid w:val="00CB1224"/>
    <w:rsid w:val="00CB1701"/>
    <w:rsid w:val="00CB44C6"/>
    <w:rsid w:val="00CB469E"/>
    <w:rsid w:val="00CC1508"/>
    <w:rsid w:val="00CC2012"/>
    <w:rsid w:val="00CC36A2"/>
    <w:rsid w:val="00CC3A8E"/>
    <w:rsid w:val="00CC5A78"/>
    <w:rsid w:val="00CC684B"/>
    <w:rsid w:val="00CD01D0"/>
    <w:rsid w:val="00CD1A24"/>
    <w:rsid w:val="00CD5F68"/>
    <w:rsid w:val="00CE2460"/>
    <w:rsid w:val="00CF4F07"/>
    <w:rsid w:val="00CF4FCE"/>
    <w:rsid w:val="00CF5A1A"/>
    <w:rsid w:val="00CF60E1"/>
    <w:rsid w:val="00CF683C"/>
    <w:rsid w:val="00CF7399"/>
    <w:rsid w:val="00CF7CB2"/>
    <w:rsid w:val="00D01713"/>
    <w:rsid w:val="00D01905"/>
    <w:rsid w:val="00D045E3"/>
    <w:rsid w:val="00D0520D"/>
    <w:rsid w:val="00D056AA"/>
    <w:rsid w:val="00D06439"/>
    <w:rsid w:val="00D125C9"/>
    <w:rsid w:val="00D147CA"/>
    <w:rsid w:val="00D22DF7"/>
    <w:rsid w:val="00D25178"/>
    <w:rsid w:val="00D26207"/>
    <w:rsid w:val="00D27010"/>
    <w:rsid w:val="00D319FD"/>
    <w:rsid w:val="00D338F9"/>
    <w:rsid w:val="00D34B35"/>
    <w:rsid w:val="00D447A1"/>
    <w:rsid w:val="00D4482E"/>
    <w:rsid w:val="00D51784"/>
    <w:rsid w:val="00D51EFA"/>
    <w:rsid w:val="00D5671E"/>
    <w:rsid w:val="00D63FB9"/>
    <w:rsid w:val="00D77525"/>
    <w:rsid w:val="00D81253"/>
    <w:rsid w:val="00D86273"/>
    <w:rsid w:val="00D911B9"/>
    <w:rsid w:val="00D91EBC"/>
    <w:rsid w:val="00D930A9"/>
    <w:rsid w:val="00D94783"/>
    <w:rsid w:val="00D95517"/>
    <w:rsid w:val="00D96F4B"/>
    <w:rsid w:val="00DA2A2C"/>
    <w:rsid w:val="00DA4990"/>
    <w:rsid w:val="00DA5AB5"/>
    <w:rsid w:val="00DA5CE2"/>
    <w:rsid w:val="00DA6552"/>
    <w:rsid w:val="00DB2518"/>
    <w:rsid w:val="00DB6786"/>
    <w:rsid w:val="00DC25D0"/>
    <w:rsid w:val="00DC2B56"/>
    <w:rsid w:val="00DC2CA9"/>
    <w:rsid w:val="00DC5CB7"/>
    <w:rsid w:val="00DC7664"/>
    <w:rsid w:val="00DD256A"/>
    <w:rsid w:val="00DD2719"/>
    <w:rsid w:val="00DD3386"/>
    <w:rsid w:val="00DD4407"/>
    <w:rsid w:val="00DD5C29"/>
    <w:rsid w:val="00DD6247"/>
    <w:rsid w:val="00DE42E1"/>
    <w:rsid w:val="00DE5817"/>
    <w:rsid w:val="00DE6EA4"/>
    <w:rsid w:val="00DF126C"/>
    <w:rsid w:val="00DF201F"/>
    <w:rsid w:val="00DF423D"/>
    <w:rsid w:val="00E005AD"/>
    <w:rsid w:val="00E00A6B"/>
    <w:rsid w:val="00E103DE"/>
    <w:rsid w:val="00E12A99"/>
    <w:rsid w:val="00E13553"/>
    <w:rsid w:val="00E21564"/>
    <w:rsid w:val="00E22CCA"/>
    <w:rsid w:val="00E25155"/>
    <w:rsid w:val="00E25723"/>
    <w:rsid w:val="00E25AAE"/>
    <w:rsid w:val="00E30447"/>
    <w:rsid w:val="00E30D05"/>
    <w:rsid w:val="00E31446"/>
    <w:rsid w:val="00E3338C"/>
    <w:rsid w:val="00E33522"/>
    <w:rsid w:val="00E33A82"/>
    <w:rsid w:val="00E3445D"/>
    <w:rsid w:val="00E36464"/>
    <w:rsid w:val="00E37115"/>
    <w:rsid w:val="00E435C3"/>
    <w:rsid w:val="00E473D0"/>
    <w:rsid w:val="00E47E18"/>
    <w:rsid w:val="00E530A5"/>
    <w:rsid w:val="00E5604E"/>
    <w:rsid w:val="00E56132"/>
    <w:rsid w:val="00E56EDE"/>
    <w:rsid w:val="00E57CEA"/>
    <w:rsid w:val="00E64FE9"/>
    <w:rsid w:val="00E7132A"/>
    <w:rsid w:val="00E7468B"/>
    <w:rsid w:val="00E860E2"/>
    <w:rsid w:val="00E922F8"/>
    <w:rsid w:val="00E96710"/>
    <w:rsid w:val="00EA06E4"/>
    <w:rsid w:val="00EA3655"/>
    <w:rsid w:val="00EA45FF"/>
    <w:rsid w:val="00EA4882"/>
    <w:rsid w:val="00EA49BC"/>
    <w:rsid w:val="00EA5C04"/>
    <w:rsid w:val="00EA6B07"/>
    <w:rsid w:val="00EB13E1"/>
    <w:rsid w:val="00EB6C84"/>
    <w:rsid w:val="00EB7081"/>
    <w:rsid w:val="00EC090D"/>
    <w:rsid w:val="00EC2CB5"/>
    <w:rsid w:val="00EC403A"/>
    <w:rsid w:val="00EC5CDA"/>
    <w:rsid w:val="00EC631F"/>
    <w:rsid w:val="00EC6989"/>
    <w:rsid w:val="00EC6CC3"/>
    <w:rsid w:val="00EC71C2"/>
    <w:rsid w:val="00ED1517"/>
    <w:rsid w:val="00EE0238"/>
    <w:rsid w:val="00EE1BF6"/>
    <w:rsid w:val="00EE69EF"/>
    <w:rsid w:val="00EE6C3B"/>
    <w:rsid w:val="00EE77CF"/>
    <w:rsid w:val="00EF5AD3"/>
    <w:rsid w:val="00EF5BDB"/>
    <w:rsid w:val="00F00155"/>
    <w:rsid w:val="00F033FC"/>
    <w:rsid w:val="00F03C08"/>
    <w:rsid w:val="00F10934"/>
    <w:rsid w:val="00F12ED0"/>
    <w:rsid w:val="00F138A7"/>
    <w:rsid w:val="00F15AAC"/>
    <w:rsid w:val="00F1658A"/>
    <w:rsid w:val="00F17E8A"/>
    <w:rsid w:val="00F2165E"/>
    <w:rsid w:val="00F22707"/>
    <w:rsid w:val="00F22ECA"/>
    <w:rsid w:val="00F232B0"/>
    <w:rsid w:val="00F24F9E"/>
    <w:rsid w:val="00F25A76"/>
    <w:rsid w:val="00F31EEC"/>
    <w:rsid w:val="00F32005"/>
    <w:rsid w:val="00F35453"/>
    <w:rsid w:val="00F3777D"/>
    <w:rsid w:val="00F46CD5"/>
    <w:rsid w:val="00F50A61"/>
    <w:rsid w:val="00F516F1"/>
    <w:rsid w:val="00F548E9"/>
    <w:rsid w:val="00F5602D"/>
    <w:rsid w:val="00F56719"/>
    <w:rsid w:val="00F61436"/>
    <w:rsid w:val="00F630F7"/>
    <w:rsid w:val="00F6407E"/>
    <w:rsid w:val="00F649AE"/>
    <w:rsid w:val="00F657C0"/>
    <w:rsid w:val="00F67041"/>
    <w:rsid w:val="00F67AE2"/>
    <w:rsid w:val="00F7306F"/>
    <w:rsid w:val="00F767B7"/>
    <w:rsid w:val="00F773F6"/>
    <w:rsid w:val="00F800F4"/>
    <w:rsid w:val="00F80E79"/>
    <w:rsid w:val="00F8160B"/>
    <w:rsid w:val="00F84881"/>
    <w:rsid w:val="00F8497D"/>
    <w:rsid w:val="00F855DA"/>
    <w:rsid w:val="00F85FC2"/>
    <w:rsid w:val="00F86FB7"/>
    <w:rsid w:val="00F904CD"/>
    <w:rsid w:val="00F9288F"/>
    <w:rsid w:val="00F934D4"/>
    <w:rsid w:val="00FA4461"/>
    <w:rsid w:val="00FA4922"/>
    <w:rsid w:val="00FA4C3D"/>
    <w:rsid w:val="00FB21F1"/>
    <w:rsid w:val="00FB3096"/>
    <w:rsid w:val="00FB3A11"/>
    <w:rsid w:val="00FB3B52"/>
    <w:rsid w:val="00FB4089"/>
    <w:rsid w:val="00FC1A93"/>
    <w:rsid w:val="00FC7C90"/>
    <w:rsid w:val="00FD00B1"/>
    <w:rsid w:val="00FD3E3A"/>
    <w:rsid w:val="00FE07D4"/>
    <w:rsid w:val="00FE100B"/>
    <w:rsid w:val="00FE2B38"/>
    <w:rsid w:val="00FE4C2D"/>
    <w:rsid w:val="00FE511E"/>
    <w:rsid w:val="00FE5223"/>
    <w:rsid w:val="00FE5231"/>
    <w:rsid w:val="00FE5D71"/>
    <w:rsid w:val="00FF0D9B"/>
    <w:rsid w:val="00FF34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4F7346"/>
  <w15:docId w15:val="{2CD9CC98-7698-4B93-85F2-63E2D2AD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uiPriority w:val="99"/>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customStyle="1" w:styleId="Mention2">
    <w:name w:val="Mention2"/>
    <w:basedOn w:val="DefaultParagraphFont"/>
    <w:uiPriority w:val="99"/>
    <w:semiHidden/>
    <w:unhideWhenUsed/>
    <w:rsid w:val="00B7772A"/>
    <w:rPr>
      <w:color w:val="2B579A"/>
      <w:shd w:val="clear" w:color="auto" w:fill="E6E6E6"/>
    </w:rPr>
  </w:style>
  <w:style w:type="character" w:styleId="Mention">
    <w:name w:val="Mention"/>
    <w:basedOn w:val="DefaultParagraphFont"/>
    <w:uiPriority w:val="99"/>
    <w:semiHidden/>
    <w:unhideWhenUsed/>
    <w:rsid w:val="00101681"/>
    <w:rPr>
      <w:color w:val="2B579A"/>
      <w:shd w:val="clear" w:color="auto" w:fill="E6E6E6"/>
    </w:rPr>
  </w:style>
  <w:style w:type="paragraph" w:styleId="Revision">
    <w:name w:val="Revision"/>
    <w:hidden/>
    <w:uiPriority w:val="99"/>
    <w:semiHidden/>
    <w:rsid w:val="00647756"/>
    <w:pPr>
      <w:spacing w:after="0" w:line="240" w:lineRule="auto"/>
    </w:pPr>
    <w:rPr>
      <w:rFonts w:ascii="Arial" w:eastAsia="Times New Roman" w:hAnsi="Arial" w:cs="Times New Roman"/>
      <w:sz w:val="18"/>
      <w:szCs w:val="24"/>
      <w:lang w:val="en-US"/>
    </w:rPr>
  </w:style>
  <w:style w:type="character" w:styleId="FollowedHyperlink">
    <w:name w:val="FollowedHyperlink"/>
    <w:basedOn w:val="DefaultParagraphFont"/>
    <w:uiPriority w:val="99"/>
    <w:semiHidden/>
    <w:unhideWhenUsed/>
    <w:rsid w:val="00CC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524174411">
      <w:bodyDiv w:val="1"/>
      <w:marLeft w:val="0"/>
      <w:marRight w:val="0"/>
      <w:marTop w:val="0"/>
      <w:marBottom w:val="0"/>
      <w:divBdr>
        <w:top w:val="none" w:sz="0" w:space="0" w:color="auto"/>
        <w:left w:val="none" w:sz="0" w:space="0" w:color="auto"/>
        <w:bottom w:val="none" w:sz="0" w:space="0" w:color="auto"/>
        <w:right w:val="none" w:sz="0" w:space="0" w:color="auto"/>
      </w:divBdr>
      <w:divsChild>
        <w:div w:id="526064554">
          <w:marLeft w:val="0"/>
          <w:marRight w:val="0"/>
          <w:marTop w:val="0"/>
          <w:marBottom w:val="0"/>
          <w:divBdr>
            <w:top w:val="none" w:sz="0" w:space="0" w:color="auto"/>
            <w:left w:val="none" w:sz="0" w:space="0" w:color="auto"/>
            <w:bottom w:val="none" w:sz="0" w:space="0" w:color="auto"/>
            <w:right w:val="none" w:sz="0" w:space="0" w:color="auto"/>
          </w:divBdr>
          <w:divsChild>
            <w:div w:id="1126119302">
              <w:marLeft w:val="0"/>
              <w:marRight w:val="0"/>
              <w:marTop w:val="0"/>
              <w:marBottom w:val="0"/>
              <w:divBdr>
                <w:top w:val="none" w:sz="0" w:space="0" w:color="auto"/>
                <w:left w:val="none" w:sz="0" w:space="0" w:color="auto"/>
                <w:bottom w:val="none" w:sz="0" w:space="0" w:color="auto"/>
                <w:right w:val="none" w:sz="0" w:space="0" w:color="auto"/>
              </w:divBdr>
              <w:divsChild>
                <w:div w:id="1933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cms.int/es/plan-estrategico/volumen-complementario-del-spms-version-en-linea" TargetMode="Externa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894E-6888-4346-B2B8-33A2F67E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17416</Words>
  <Characters>99275</Characters>
  <Application>Microsoft Office Word</Application>
  <DocSecurity>0</DocSecurity>
  <Lines>827</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Ximena Cancino</cp:lastModifiedBy>
  <cp:revision>3</cp:revision>
  <cp:lastPrinted>2017-08-17T08:08:00Z</cp:lastPrinted>
  <dcterms:created xsi:type="dcterms:W3CDTF">2017-08-17T08:19:00Z</dcterms:created>
  <dcterms:modified xsi:type="dcterms:W3CDTF">2017-08-17T08:22:00Z</dcterms:modified>
</cp:coreProperties>
</file>