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B31" w:rsidRPr="00BA7075" w:rsidRDefault="00682B31" w:rsidP="00682B31">
      <w:pPr>
        <w:tabs>
          <w:tab w:val="left" w:pos="-1057"/>
          <w:tab w:val="left" w:pos="-720"/>
        </w:tabs>
        <w:ind w:left="-90"/>
        <w:rPr>
          <w:rFonts w:ascii="Arial" w:hAnsi="Arial" w:cs="Arial"/>
          <w:spacing w:val="-8"/>
          <w:sz w:val="12"/>
          <w:szCs w:val="12"/>
          <w:lang w:val="es-ES"/>
        </w:rPr>
      </w:pPr>
    </w:p>
    <w:p w:rsidR="00992727" w:rsidRPr="00BA7075" w:rsidRDefault="00992727" w:rsidP="00992727">
      <w:pPr>
        <w:spacing w:line="228" w:lineRule="auto"/>
        <w:ind w:left="-90"/>
        <w:rPr>
          <w:rFonts w:ascii="Arial" w:hAnsi="Arial" w:cs="Arial"/>
          <w:iCs/>
          <w:sz w:val="22"/>
          <w:szCs w:val="22"/>
          <w:lang w:val="es-ES"/>
        </w:rPr>
      </w:pP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BA7075"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rsidR="00FA61AF" w:rsidRPr="00BA7075" w:rsidRDefault="00FA61AF" w:rsidP="00040591">
            <w:pPr>
              <w:tabs>
                <w:tab w:val="left" w:pos="-1057"/>
                <w:tab w:val="left" w:pos="-720"/>
                <w:tab w:val="left" w:pos="0"/>
                <w:tab w:val="left" w:pos="141"/>
                <w:tab w:val="left" w:pos="720"/>
                <w:tab w:val="left" w:pos="1155"/>
                <w:tab w:val="right" w:pos="9072"/>
                <w:tab w:val="right" w:pos="9432"/>
              </w:tabs>
              <w:rPr>
                <w:rFonts w:ascii="Arial" w:hAnsi="Arial" w:cs="Arial"/>
                <w:sz w:val="22"/>
                <w:szCs w:val="22"/>
                <w:lang w:val="es-ES"/>
              </w:rPr>
            </w:pPr>
          </w:p>
        </w:tc>
      </w:tr>
      <w:tr w:rsidR="0081600F" w:rsidRPr="00FA2D5F"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rsidR="0081600F" w:rsidRPr="00BA7075" w:rsidRDefault="00DA6312">
            <w:pPr>
              <w:rPr>
                <w:rFonts w:ascii="Arial" w:hAnsi="Arial" w:cs="Arial"/>
                <w:sz w:val="22"/>
                <w:szCs w:val="22"/>
                <w:lang w:val="es-ES"/>
              </w:rPr>
            </w:pPr>
            <w:r w:rsidRPr="00BA7075">
              <w:rPr>
                <w:rFonts w:ascii="Arial" w:hAnsi="Arial" w:cs="Arial"/>
                <w:noProof/>
                <w:sz w:val="22"/>
                <w:szCs w:val="22"/>
                <w:lang w:val="en-GB" w:eastAsia="en-GB"/>
              </w:rPr>
              <w:drawing>
                <wp:inline distT="0" distB="0" distL="0" distR="0">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rsidR="0081600F" w:rsidRPr="00BA7075" w:rsidRDefault="0081600F">
            <w:pPr>
              <w:rPr>
                <w:rFonts w:ascii="Arial" w:hAnsi="Arial" w:cs="Arial"/>
                <w:sz w:val="22"/>
                <w:szCs w:val="22"/>
                <w:lang w:val="es-ES"/>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rsidR="00682B31" w:rsidRPr="00BA7075" w:rsidRDefault="00682B31" w:rsidP="006B103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12"/>
                <w:szCs w:val="12"/>
                <w:lang w:val="es-ES"/>
              </w:rPr>
            </w:pPr>
          </w:p>
          <w:p w:rsidR="00992727" w:rsidRPr="00BA7075"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
              </w:rPr>
            </w:pPr>
            <w:r w:rsidRPr="00BA7075">
              <w:rPr>
                <w:rFonts w:ascii="Arial" w:hAnsi="Arial" w:cs="Arial"/>
                <w:bCs w:val="0"/>
                <w:sz w:val="28"/>
                <w:szCs w:val="28"/>
                <w:lang w:val="es-ES"/>
              </w:rPr>
              <w:t>CONVENCIÓN SOBRE</w:t>
            </w:r>
          </w:p>
          <w:p w:rsidR="00992727" w:rsidRPr="00BA7075"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
              </w:rPr>
            </w:pPr>
            <w:r w:rsidRPr="00BA7075">
              <w:rPr>
                <w:rFonts w:ascii="Arial" w:hAnsi="Arial" w:cs="Arial"/>
                <w:bCs w:val="0"/>
                <w:sz w:val="28"/>
                <w:szCs w:val="28"/>
                <w:lang w:val="es-ES"/>
              </w:rPr>
              <w:t>LAS ESPECIES</w:t>
            </w:r>
          </w:p>
          <w:p w:rsidR="0081600F" w:rsidRPr="00BA7075"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22"/>
                <w:szCs w:val="22"/>
                <w:lang w:val="es-ES"/>
              </w:rPr>
            </w:pPr>
            <w:r w:rsidRPr="00BA7075">
              <w:rPr>
                <w:rFonts w:ascii="Arial" w:hAnsi="Arial" w:cs="Arial"/>
                <w:bCs w:val="0"/>
                <w:sz w:val="28"/>
                <w:szCs w:val="28"/>
                <w:lang w:val="es-ES"/>
              </w:rPr>
              <w:t>MIGRATORIAS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rsidR="00992727" w:rsidRPr="006A709B" w:rsidRDefault="00992727" w:rsidP="00992727">
            <w:pPr>
              <w:tabs>
                <w:tab w:val="left" w:pos="5040"/>
                <w:tab w:val="left" w:pos="5760"/>
                <w:tab w:val="left" w:pos="6008"/>
                <w:tab w:val="left" w:pos="6480"/>
                <w:tab w:val="left" w:pos="7200"/>
                <w:tab w:val="left" w:pos="7920"/>
                <w:tab w:val="left" w:pos="8640"/>
              </w:tabs>
              <w:rPr>
                <w:rFonts w:ascii="Arial" w:hAnsi="Arial" w:cs="Arial"/>
                <w:sz w:val="18"/>
                <w:szCs w:val="18"/>
                <w:lang w:val="es-ES"/>
              </w:rPr>
            </w:pPr>
          </w:p>
          <w:p w:rsidR="00992727" w:rsidRPr="00BA7075" w:rsidRDefault="00992727" w:rsidP="00F50CF5">
            <w:pPr>
              <w:tabs>
                <w:tab w:val="left" w:pos="5040"/>
                <w:tab w:val="left" w:pos="5760"/>
                <w:tab w:val="left" w:pos="6008"/>
                <w:tab w:val="left" w:pos="6480"/>
                <w:tab w:val="left" w:pos="7200"/>
                <w:tab w:val="left" w:pos="7920"/>
                <w:tab w:val="left" w:pos="8640"/>
              </w:tabs>
              <w:rPr>
                <w:rFonts w:ascii="Arial" w:hAnsi="Arial" w:cs="Arial"/>
                <w:sz w:val="22"/>
                <w:szCs w:val="22"/>
                <w:lang w:val="es-ES"/>
              </w:rPr>
            </w:pPr>
            <w:r w:rsidRPr="00BA7075">
              <w:rPr>
                <w:rFonts w:ascii="Arial" w:hAnsi="Arial" w:cs="Arial"/>
                <w:sz w:val="22"/>
                <w:szCs w:val="22"/>
                <w:lang w:val="es-ES"/>
              </w:rPr>
              <w:t>UNEP/CMS/COP12/</w:t>
            </w:r>
            <w:r w:rsidR="006A709B">
              <w:rPr>
                <w:rFonts w:ascii="Arial" w:hAnsi="Arial" w:cs="Arial"/>
                <w:sz w:val="22"/>
                <w:szCs w:val="22"/>
                <w:lang w:val="es-ES"/>
              </w:rPr>
              <w:t>CRP</w:t>
            </w:r>
            <w:r w:rsidR="00A9784C">
              <w:rPr>
                <w:rFonts w:ascii="Arial" w:hAnsi="Arial" w:cs="Arial"/>
                <w:sz w:val="22"/>
                <w:szCs w:val="22"/>
                <w:lang w:val="es-ES"/>
              </w:rPr>
              <w:t>20</w:t>
            </w:r>
          </w:p>
          <w:p w:rsidR="00992727" w:rsidRPr="00BA7075" w:rsidRDefault="00ED5BC6" w:rsidP="006A709B">
            <w:pPr>
              <w:tabs>
                <w:tab w:val="left" w:pos="5040"/>
                <w:tab w:val="left" w:pos="5760"/>
                <w:tab w:val="left" w:pos="6008"/>
                <w:tab w:val="left" w:pos="6480"/>
                <w:tab w:val="left" w:pos="7200"/>
                <w:tab w:val="left" w:pos="7920"/>
                <w:tab w:val="left" w:pos="8640"/>
              </w:tabs>
              <w:rPr>
                <w:rFonts w:ascii="Arial" w:hAnsi="Arial" w:cs="Arial"/>
                <w:sz w:val="22"/>
                <w:szCs w:val="22"/>
                <w:lang w:val="es-ES"/>
              </w:rPr>
            </w:pPr>
            <w:r>
              <w:rPr>
                <w:rFonts w:ascii="Arial" w:hAnsi="Arial" w:cs="Arial"/>
                <w:sz w:val="22"/>
                <w:szCs w:val="22"/>
                <w:lang w:val="es-ES"/>
              </w:rPr>
              <w:t>26</w:t>
            </w:r>
            <w:r w:rsidR="00BA7075">
              <w:rPr>
                <w:rFonts w:ascii="Arial" w:hAnsi="Arial" w:cs="Arial"/>
                <w:sz w:val="22"/>
                <w:szCs w:val="22"/>
                <w:lang w:val="es-ES"/>
              </w:rPr>
              <w:t xml:space="preserve"> de </w:t>
            </w:r>
            <w:r w:rsidR="006A709B">
              <w:rPr>
                <w:rFonts w:ascii="Arial" w:hAnsi="Arial" w:cs="Arial"/>
                <w:sz w:val="22"/>
                <w:szCs w:val="22"/>
                <w:lang w:val="es-ES"/>
              </w:rPr>
              <w:t>octubre</w:t>
            </w:r>
            <w:r w:rsidR="00227850" w:rsidRPr="00BA7075">
              <w:rPr>
                <w:rFonts w:ascii="Arial" w:hAnsi="Arial" w:cs="Arial"/>
                <w:sz w:val="22"/>
                <w:szCs w:val="22"/>
                <w:lang w:val="es-ES"/>
              </w:rPr>
              <w:t xml:space="preserve"> de 2017</w:t>
            </w:r>
          </w:p>
          <w:p w:rsidR="00992727" w:rsidRPr="00BA7075" w:rsidRDefault="00992727" w:rsidP="00992727">
            <w:pPr>
              <w:tabs>
                <w:tab w:val="left" w:pos="5040"/>
                <w:tab w:val="left" w:pos="5760"/>
                <w:tab w:val="left" w:pos="6008"/>
                <w:tab w:val="left" w:pos="6480"/>
                <w:tab w:val="left" w:pos="7200"/>
                <w:tab w:val="left" w:pos="7920"/>
                <w:tab w:val="left" w:pos="8640"/>
              </w:tabs>
              <w:rPr>
                <w:rFonts w:ascii="Arial" w:hAnsi="Arial" w:cs="Arial"/>
                <w:sz w:val="12"/>
                <w:szCs w:val="12"/>
                <w:lang w:val="es-ES"/>
              </w:rPr>
            </w:pPr>
          </w:p>
          <w:p w:rsidR="00682B31" w:rsidRPr="00BA7075" w:rsidRDefault="00682B31" w:rsidP="006A709B">
            <w:pPr>
              <w:rPr>
                <w:rFonts w:ascii="Arial" w:hAnsi="Arial" w:cs="Arial"/>
                <w:sz w:val="12"/>
                <w:szCs w:val="12"/>
                <w:lang w:val="es-ES"/>
              </w:rPr>
            </w:pPr>
          </w:p>
        </w:tc>
      </w:tr>
    </w:tbl>
    <w:p w:rsidR="00E8776E" w:rsidRPr="00BA7075" w:rsidRDefault="00E8776E" w:rsidP="00E8776E">
      <w:pPr>
        <w:tabs>
          <w:tab w:val="left" w:pos="7020"/>
        </w:tabs>
        <w:rPr>
          <w:rFonts w:ascii="Arial" w:hAnsi="Arial" w:cs="Arial"/>
          <w:sz w:val="22"/>
          <w:szCs w:val="22"/>
          <w:lang w:val="es-ES"/>
        </w:rPr>
      </w:pPr>
    </w:p>
    <w:p w:rsidR="00354A9C" w:rsidRDefault="006A709B" w:rsidP="006A709B">
      <w:pPr>
        <w:tabs>
          <w:tab w:val="left" w:pos="7020"/>
        </w:tabs>
        <w:jc w:val="center"/>
        <w:rPr>
          <w:rFonts w:ascii="Arial" w:hAnsi="Arial" w:cs="Arial"/>
          <w:sz w:val="22"/>
          <w:szCs w:val="22"/>
          <w:lang w:val="es-ES"/>
        </w:rPr>
      </w:pPr>
      <w:r w:rsidRPr="006A709B">
        <w:rPr>
          <w:rFonts w:ascii="Arial" w:hAnsi="Arial" w:cs="Arial"/>
          <w:sz w:val="22"/>
          <w:szCs w:val="22"/>
          <w:lang w:val="es-ES"/>
        </w:rPr>
        <w:t>BORRADOR DE RESOLUCIÓN</w:t>
      </w:r>
      <w:r w:rsidR="00BA3A74">
        <w:rPr>
          <w:rFonts w:ascii="Arial" w:hAnsi="Arial" w:cs="Arial"/>
          <w:sz w:val="22"/>
          <w:szCs w:val="22"/>
          <w:lang w:val="es-ES"/>
        </w:rPr>
        <w:t xml:space="preserve"> Y PROPUESTA</w:t>
      </w:r>
      <w:r w:rsidR="006A7A08">
        <w:rPr>
          <w:rFonts w:ascii="Arial" w:hAnsi="Arial" w:cs="Arial"/>
          <w:sz w:val="22"/>
          <w:szCs w:val="22"/>
          <w:lang w:val="es-ES"/>
        </w:rPr>
        <w:t>S</w:t>
      </w:r>
      <w:r w:rsidR="00BA3A74">
        <w:rPr>
          <w:rFonts w:ascii="Arial" w:hAnsi="Arial" w:cs="Arial"/>
          <w:sz w:val="22"/>
          <w:szCs w:val="22"/>
          <w:lang w:val="es-ES"/>
        </w:rPr>
        <w:t xml:space="preserve"> DE DECISIONES</w:t>
      </w:r>
    </w:p>
    <w:p w:rsidR="006A709B" w:rsidRPr="006A709B" w:rsidRDefault="006A709B" w:rsidP="006A709B">
      <w:pPr>
        <w:tabs>
          <w:tab w:val="left" w:pos="7020"/>
        </w:tabs>
        <w:jc w:val="center"/>
        <w:rPr>
          <w:rFonts w:ascii="Arial" w:hAnsi="Arial" w:cs="Arial"/>
          <w:sz w:val="22"/>
          <w:szCs w:val="22"/>
          <w:lang w:val="es-ES"/>
        </w:rPr>
      </w:pPr>
    </w:p>
    <w:p w:rsidR="006A709B" w:rsidRPr="00FA2D5F" w:rsidRDefault="00A9784C" w:rsidP="006A709B">
      <w:pPr>
        <w:pBdr>
          <w:top w:val="single" w:sz="6" w:space="2" w:color="FFFFFF"/>
          <w:left w:val="single" w:sz="6" w:space="0" w:color="FFFFFF"/>
          <w:bottom w:val="single" w:sz="6" w:space="0" w:color="FFFFFF"/>
          <w:right w:val="single" w:sz="6" w:space="0" w:color="FFFFFF"/>
        </w:pBdr>
        <w:ind w:left="-90" w:right="-367"/>
        <w:jc w:val="center"/>
        <w:outlineLvl w:val="1"/>
        <w:rPr>
          <w:rFonts w:ascii="Arial" w:hAnsi="Arial" w:cs="Arial"/>
          <w:b/>
          <w:bCs/>
          <w:caps/>
          <w:sz w:val="22"/>
          <w:szCs w:val="22"/>
          <w:lang w:val="es-ES"/>
        </w:rPr>
      </w:pPr>
      <w:r w:rsidRPr="00FA2D5F">
        <w:rPr>
          <w:rFonts w:ascii="Arial" w:hAnsi="Arial" w:cs="Arial"/>
          <w:b/>
          <w:bCs/>
          <w:caps/>
          <w:sz w:val="22"/>
          <w:szCs w:val="22"/>
          <w:lang w:val="es-ES"/>
        </w:rPr>
        <w:t>T</w:t>
      </w:r>
      <w:r w:rsidR="00261048" w:rsidRPr="00FA2D5F">
        <w:rPr>
          <w:rFonts w:ascii="Arial" w:hAnsi="Arial" w:cs="Arial"/>
          <w:b/>
          <w:bCs/>
          <w:caps/>
          <w:sz w:val="22"/>
          <w:szCs w:val="22"/>
          <w:lang w:val="es-ES"/>
        </w:rPr>
        <w:t>axonomía y nomenclatura</w:t>
      </w:r>
      <w:r w:rsidR="006A709B" w:rsidRPr="00FA2D5F">
        <w:rPr>
          <w:rFonts w:ascii="Arial" w:hAnsi="Arial" w:cs="Arial"/>
          <w:b/>
          <w:bCs/>
          <w:caps/>
          <w:sz w:val="22"/>
          <w:szCs w:val="22"/>
          <w:lang w:val="es-ES"/>
        </w:rPr>
        <w:cr/>
      </w:r>
      <w:bookmarkStart w:id="0" w:name="_GoBack"/>
      <w:bookmarkEnd w:id="0"/>
    </w:p>
    <w:p w:rsidR="00A9784C" w:rsidRPr="00FA2D5F" w:rsidRDefault="00ED1D9B" w:rsidP="00A9784C">
      <w:pPr>
        <w:jc w:val="center"/>
        <w:rPr>
          <w:rFonts w:ascii="Arial" w:hAnsi="Arial" w:cs="Arial"/>
          <w:bCs/>
          <w:caps/>
          <w:sz w:val="22"/>
          <w:szCs w:val="22"/>
          <w:lang w:val="es-ES"/>
        </w:rPr>
      </w:pPr>
      <w:r w:rsidRPr="00FA2D5F">
        <w:rPr>
          <w:rFonts w:ascii="Arial" w:hAnsi="Arial" w:cs="Arial"/>
          <w:bCs/>
          <w:caps/>
          <w:sz w:val="22"/>
          <w:szCs w:val="22"/>
          <w:lang w:val="es-ES"/>
        </w:rPr>
        <w:t>(</w:t>
      </w:r>
      <w:r w:rsidR="00A9784C" w:rsidRPr="00FA2D5F">
        <w:rPr>
          <w:rFonts w:ascii="Arial" w:hAnsi="Arial" w:cs="Arial"/>
          <w:bCs/>
          <w:caps/>
          <w:sz w:val="22"/>
          <w:szCs w:val="22"/>
          <w:lang w:val="es-ES"/>
        </w:rPr>
        <w:t xml:space="preserve">UNEP/CMS/COP12/Doc.25.3 </w:t>
      </w:r>
      <w:r w:rsidR="00237F08" w:rsidRPr="00FA2D5F">
        <w:rPr>
          <w:rFonts w:ascii="Arial" w:hAnsi="Arial" w:cs="Arial"/>
          <w:bCs/>
          <w:sz w:val="22"/>
          <w:szCs w:val="22"/>
          <w:lang w:val="es-ES"/>
        </w:rPr>
        <w:t>y</w:t>
      </w:r>
      <w:r w:rsidR="00A9784C" w:rsidRPr="00FA2D5F">
        <w:rPr>
          <w:rFonts w:ascii="Arial" w:hAnsi="Arial" w:cs="Arial"/>
          <w:bCs/>
          <w:sz w:val="22"/>
          <w:szCs w:val="22"/>
          <w:lang w:val="es-ES"/>
        </w:rPr>
        <w:t xml:space="preserve"> </w:t>
      </w:r>
      <w:r w:rsidR="00A9784C" w:rsidRPr="00FA2D5F">
        <w:rPr>
          <w:rFonts w:ascii="Arial" w:hAnsi="Arial" w:cs="Arial"/>
          <w:bCs/>
          <w:caps/>
          <w:sz w:val="22"/>
          <w:szCs w:val="22"/>
          <w:lang w:val="es-ES"/>
        </w:rPr>
        <w:t>UNEP/CMS/COP12/Doc.21.2.2/</w:t>
      </w:r>
      <w:r w:rsidR="00A9784C" w:rsidRPr="00FA2D5F">
        <w:rPr>
          <w:rFonts w:ascii="Arial" w:hAnsi="Arial" w:cs="Arial"/>
          <w:bCs/>
          <w:sz w:val="22"/>
          <w:szCs w:val="22"/>
          <w:lang w:val="es-ES"/>
        </w:rPr>
        <w:t>Rev</w:t>
      </w:r>
      <w:r w:rsidR="00A9784C" w:rsidRPr="00FA2D5F">
        <w:rPr>
          <w:rFonts w:ascii="Arial" w:hAnsi="Arial" w:cs="Arial"/>
          <w:bCs/>
          <w:caps/>
          <w:sz w:val="22"/>
          <w:szCs w:val="22"/>
          <w:lang w:val="es-ES"/>
        </w:rPr>
        <w:t>.1</w:t>
      </w:r>
      <w:r w:rsidRPr="00FA2D5F">
        <w:rPr>
          <w:rFonts w:ascii="Arial" w:hAnsi="Arial" w:cs="Arial"/>
          <w:bCs/>
          <w:caps/>
          <w:sz w:val="22"/>
          <w:szCs w:val="22"/>
          <w:lang w:val="es-ES"/>
        </w:rPr>
        <w:t>)</w:t>
      </w:r>
    </w:p>
    <w:p w:rsidR="00A9784C" w:rsidRPr="00FA2D5F" w:rsidRDefault="00A9784C" w:rsidP="00A9784C">
      <w:pPr>
        <w:jc w:val="center"/>
        <w:rPr>
          <w:rFonts w:ascii="Arial" w:hAnsi="Arial" w:cs="Arial"/>
          <w:b/>
          <w:caps/>
          <w:sz w:val="22"/>
          <w:szCs w:val="22"/>
          <w:lang w:val="es-ES"/>
        </w:rPr>
      </w:pPr>
    </w:p>
    <w:p w:rsidR="00A9784C" w:rsidRPr="00237F08" w:rsidRDefault="00A9784C" w:rsidP="00A9784C">
      <w:pPr>
        <w:jc w:val="center"/>
        <w:rPr>
          <w:rFonts w:ascii="Arial" w:hAnsi="Arial" w:cs="Arial"/>
          <w:bCs/>
          <w:i/>
          <w:iCs/>
          <w:sz w:val="22"/>
          <w:szCs w:val="22"/>
          <w:lang w:val="es-ES"/>
        </w:rPr>
      </w:pPr>
      <w:r w:rsidRPr="00237F08">
        <w:rPr>
          <w:rFonts w:ascii="Arial" w:hAnsi="Arial" w:cs="Arial"/>
          <w:bCs/>
          <w:i/>
          <w:iCs/>
          <w:sz w:val="22"/>
          <w:szCs w:val="22"/>
          <w:lang w:val="es-ES"/>
        </w:rPr>
        <w:t>(Prepa</w:t>
      </w:r>
      <w:r w:rsidR="0032297F">
        <w:rPr>
          <w:rFonts w:ascii="Arial" w:hAnsi="Arial" w:cs="Arial"/>
          <w:bCs/>
          <w:i/>
          <w:iCs/>
          <w:sz w:val="22"/>
          <w:szCs w:val="22"/>
          <w:lang w:val="es-ES"/>
        </w:rPr>
        <w:t>rado por el Grupo de Trabajo aves</w:t>
      </w:r>
      <w:r w:rsidRPr="00237F08">
        <w:rPr>
          <w:rFonts w:ascii="Arial" w:hAnsi="Arial" w:cs="Arial"/>
          <w:bCs/>
          <w:i/>
          <w:iCs/>
          <w:sz w:val="22"/>
          <w:szCs w:val="22"/>
          <w:lang w:val="es-ES"/>
        </w:rPr>
        <w:t>)</w:t>
      </w:r>
    </w:p>
    <w:p w:rsidR="00A9784C" w:rsidRPr="00237F08" w:rsidRDefault="00A9784C" w:rsidP="00A9784C">
      <w:pPr>
        <w:jc w:val="both"/>
        <w:rPr>
          <w:rFonts w:ascii="Arial" w:hAnsi="Arial" w:cs="Arial"/>
          <w:szCs w:val="20"/>
          <w:lang w:val="es-ES"/>
        </w:rPr>
      </w:pPr>
    </w:p>
    <w:p w:rsidR="006A709B" w:rsidRPr="006A709B" w:rsidRDefault="006A709B" w:rsidP="001764E6">
      <w:pPr>
        <w:jc w:val="both"/>
        <w:rPr>
          <w:rFonts w:ascii="Arial" w:hAnsi="Arial" w:cs="Arial"/>
          <w:sz w:val="22"/>
          <w:szCs w:val="22"/>
          <w:lang w:val="es-ES"/>
        </w:rPr>
      </w:pPr>
    </w:p>
    <w:p w:rsidR="00A9784C" w:rsidRPr="00A9784C" w:rsidRDefault="00A9784C" w:rsidP="00A9784C">
      <w:pPr>
        <w:widowControl/>
        <w:autoSpaceDE/>
        <w:autoSpaceDN/>
        <w:adjustRightInd/>
        <w:jc w:val="both"/>
        <w:rPr>
          <w:rFonts w:ascii="Arial" w:hAnsi="Arial" w:cs="Arial"/>
          <w:sz w:val="22"/>
          <w:szCs w:val="22"/>
          <w:lang w:val="es-ES"/>
        </w:rPr>
      </w:pPr>
      <w:r w:rsidRPr="00A9784C">
        <w:rPr>
          <w:rFonts w:ascii="Arial" w:hAnsi="Arial" w:cs="Arial"/>
          <w:i/>
          <w:sz w:val="22"/>
          <w:szCs w:val="22"/>
          <w:lang w:val="es-ES"/>
        </w:rPr>
        <w:t xml:space="preserve">Recordando </w:t>
      </w:r>
      <w:r w:rsidRPr="00A9784C">
        <w:rPr>
          <w:rFonts w:ascii="Arial" w:hAnsi="Arial" w:cs="Arial"/>
          <w:sz w:val="22"/>
          <w:szCs w:val="22"/>
          <w:lang w:val="es-ES"/>
        </w:rPr>
        <w:t>que con la Recomendación 6.1, la Recomendación 9.4, la Resolución 10.13 y la Resolución 11.19, la Conferencia de las Partes adoptó referencias normalizadas que deben ser reconocidas y utilizadas como base sobre las cuales deben prepararse los Apéndices de la CMS y sus enmiendas</w:t>
      </w:r>
    </w:p>
    <w:p w:rsidR="00A9784C" w:rsidRPr="00A9784C" w:rsidRDefault="00A9784C" w:rsidP="00A9784C">
      <w:pPr>
        <w:widowControl/>
        <w:autoSpaceDE/>
        <w:autoSpaceDN/>
        <w:adjustRightInd/>
        <w:jc w:val="both"/>
        <w:rPr>
          <w:rFonts w:ascii="Arial" w:hAnsi="Arial" w:cs="Arial"/>
          <w:i/>
          <w:iCs/>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Recordando </w:t>
      </w:r>
      <w:r w:rsidRPr="00A9784C">
        <w:rPr>
          <w:rFonts w:ascii="Arial" w:hAnsi="Arial" w:cs="Arial"/>
          <w:sz w:val="22"/>
          <w:szCs w:val="17"/>
          <w:lang w:val="es-ES"/>
        </w:rPr>
        <w:t>la Resolución 10.13 sobre Nomenclatura Estandarizada de las aves incluidas en los Apéndices de la CMS, que solicitaba al Presidente del Consejo Científico que hiciera de enlace con los Presidentes de los órganos asesores científicos de las convenciones relacionadas con la diversidad biológica, las Secretarías de los Acuerdos Ambientales Multilaterales (AAM) pertinentes y las organizaciones internacionales pertinentes, incluyendo a la UICN, BirdLife International, Wetlands International y el PNUMA-WCMC, con el objetivo de evaluar la posible adopción de una sola nomenclatura y taxonomía para las aves, y que informara al Consejo Científico en su dieciochoava reunión, con miras a la adopción de la Resolución correspondiente en la COP11; </w:t>
      </w:r>
    </w:p>
    <w:p w:rsidR="00A9784C" w:rsidRPr="00A9784C" w:rsidRDefault="00A9784C" w:rsidP="00A9784C">
      <w:pPr>
        <w:widowControl/>
        <w:autoSpaceDE/>
        <w:autoSpaceDN/>
        <w:adjustRightInd/>
        <w:jc w:val="both"/>
        <w:rPr>
          <w:rFonts w:ascii="Arial" w:hAnsi="Arial" w:cs="Arial"/>
          <w:i/>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sz w:val="22"/>
          <w:szCs w:val="17"/>
          <w:lang w:val="es-ES"/>
        </w:rPr>
        <w:t>Recordando</w:t>
      </w:r>
      <w:r w:rsidRPr="00A9784C">
        <w:rPr>
          <w:rFonts w:ascii="Arial" w:hAnsi="Arial" w:cs="Arial"/>
          <w:sz w:val="22"/>
          <w:szCs w:val="17"/>
          <w:lang w:val="es-ES"/>
        </w:rPr>
        <w:t xml:space="preserve"> que mediante la Resolución 3.1 (Ginebra, 1991) respecto de la inclusión de especies en los Apéndices de la Convención, la Conferencia de las Partes convino en que cualesquiera nuevas adiciones a los Apéndices de la Convención se limitasen a especies o grupos taxonómicos inferiores y que sólo cuando se estén elaborando ACUERDOS es necesario determinar las especies migratorias incluidas en enumeraciones de grupos taxonómicos superiores que ya figuran en el Apéndice II;</w:t>
      </w:r>
    </w:p>
    <w:p w:rsidR="00A9784C" w:rsidRPr="00A9784C" w:rsidRDefault="00A9784C" w:rsidP="00A9784C">
      <w:pPr>
        <w:widowControl/>
        <w:autoSpaceDE/>
        <w:autoSpaceDN/>
        <w:adjustRightInd/>
        <w:jc w:val="both"/>
        <w:rPr>
          <w:rFonts w:ascii="Arial" w:hAnsi="Arial" w:cs="Arial"/>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Tomando nota </w:t>
      </w:r>
      <w:r w:rsidRPr="00A9784C">
        <w:rPr>
          <w:rFonts w:ascii="Arial" w:hAnsi="Arial" w:cs="Arial"/>
          <w:sz w:val="22"/>
          <w:szCs w:val="17"/>
          <w:lang w:val="es-ES"/>
        </w:rPr>
        <w:t>de que la taxonomía y la nomenclatura biológica son dinámicas; </w:t>
      </w:r>
    </w:p>
    <w:p w:rsidR="00A9784C" w:rsidRPr="00A9784C" w:rsidRDefault="00A9784C" w:rsidP="00A9784C">
      <w:pPr>
        <w:widowControl/>
        <w:autoSpaceDE/>
        <w:autoSpaceDN/>
        <w:adjustRightInd/>
        <w:jc w:val="both"/>
        <w:rPr>
          <w:rFonts w:ascii="Arial" w:hAnsi="Arial" w:cs="Arial"/>
          <w:strike/>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Consciente </w:t>
      </w:r>
      <w:r w:rsidRPr="00A9784C">
        <w:rPr>
          <w:rFonts w:ascii="Arial" w:hAnsi="Arial" w:cs="Arial"/>
          <w:sz w:val="22"/>
          <w:szCs w:val="17"/>
          <w:lang w:val="es-ES"/>
        </w:rPr>
        <w:t>de que los esfuerzos internacionales para tomar medidas coherentes para la conservación y la utilización sostenible de la biodiversidad a nivel de especies pueden verse obstaculizados de forma significativa si no hay un entendimiento común de a qué animales o plantas se refiere un nombre en particular y que esta falta de comprensión puede representar dificultades particulares para actividades tales como la aplicación de las convenciones, posiblemente con implicaciones legales; </w:t>
      </w:r>
    </w:p>
    <w:p w:rsidR="00A9784C" w:rsidRPr="00A9784C" w:rsidRDefault="00A9784C" w:rsidP="00A9784C">
      <w:pPr>
        <w:widowControl/>
        <w:autoSpaceDE/>
        <w:autoSpaceDN/>
        <w:adjustRightInd/>
        <w:jc w:val="both"/>
        <w:rPr>
          <w:rFonts w:ascii="Arial" w:hAnsi="Arial" w:cs="Arial"/>
          <w:i/>
          <w:iCs/>
          <w:strike/>
          <w:sz w:val="22"/>
          <w:szCs w:val="17"/>
          <w:lang w:val="es-ES"/>
        </w:rPr>
      </w:pPr>
    </w:p>
    <w:p w:rsidR="00A9784C" w:rsidRPr="00A9784C" w:rsidRDefault="00A9784C" w:rsidP="00A9784C">
      <w:pPr>
        <w:widowControl/>
        <w:autoSpaceDE/>
        <w:autoSpaceDN/>
        <w:adjustRightInd/>
        <w:jc w:val="both"/>
        <w:rPr>
          <w:rFonts w:ascii="Arial" w:hAnsi="Arial" w:cs="Arial"/>
          <w:sz w:val="22"/>
          <w:szCs w:val="22"/>
          <w:lang w:val="es-ES"/>
        </w:rPr>
      </w:pPr>
      <w:r w:rsidRPr="00A9784C">
        <w:rPr>
          <w:rFonts w:ascii="Arial" w:hAnsi="Arial" w:cs="Arial"/>
          <w:i/>
          <w:iCs/>
          <w:sz w:val="22"/>
          <w:szCs w:val="17"/>
          <w:lang w:val="es-ES"/>
        </w:rPr>
        <w:t xml:space="preserve">Reconociendo </w:t>
      </w:r>
      <w:r w:rsidRPr="00A9784C">
        <w:rPr>
          <w:rFonts w:ascii="Arial" w:hAnsi="Arial" w:cs="Arial"/>
          <w:sz w:val="22"/>
          <w:szCs w:val="17"/>
          <w:lang w:val="es-ES"/>
        </w:rPr>
        <w:t>que la 4ª reunión de los Presidentes de los órganos asesores científicos de las convenciones relativas a la biodiversidad (CSAB, Gland, Suiza, 13 de febrero 2011) expresó su apoyo a la idea de avanzar hacia la armonización de la nomenclatura y la taxonomía en las listas de especies utilizadas por las convenciones relativas a la biodiversidad, y elogió el proceso de armonización llevado a cabo por la CITES y la CMS; </w:t>
      </w:r>
    </w:p>
    <w:p w:rsidR="00A9784C" w:rsidRPr="00A9784C" w:rsidRDefault="00A9784C" w:rsidP="00A9784C">
      <w:pPr>
        <w:widowControl/>
        <w:autoSpaceDE/>
        <w:autoSpaceDN/>
        <w:adjustRightInd/>
        <w:jc w:val="both"/>
        <w:rPr>
          <w:rFonts w:ascii="Arial" w:hAnsi="Arial" w:cs="Arial"/>
          <w:i/>
          <w:iCs/>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Reconociendo </w:t>
      </w:r>
      <w:r w:rsidRPr="00A9784C">
        <w:rPr>
          <w:rFonts w:ascii="Arial" w:hAnsi="Arial" w:cs="Arial"/>
          <w:sz w:val="22"/>
          <w:szCs w:val="17"/>
          <w:lang w:val="es-ES"/>
        </w:rPr>
        <w:t xml:space="preserve">que, a fin de fortalecer el esfuerzo global para alcanzar los Objetivos de Aichi sobre Biodiversidad, con el fin de reducir la tasa de pérdida de biodiversidad para el año 2020, </w:t>
      </w:r>
      <w:r w:rsidRPr="00A9784C">
        <w:rPr>
          <w:rFonts w:ascii="Arial" w:hAnsi="Arial" w:cs="Arial"/>
          <w:sz w:val="22"/>
          <w:szCs w:val="17"/>
          <w:lang w:val="es-ES"/>
        </w:rPr>
        <w:lastRenderedPageBreak/>
        <w:t>sería sensato tratar de lograr una mayor armonización entre los acuerdos ambientales multilaterales relacionados con la biodiversidad, en el campo de la taxonomía y nomenclatura; </w:t>
      </w:r>
    </w:p>
    <w:p w:rsidR="00A9784C" w:rsidRPr="00A9784C" w:rsidRDefault="00A9784C" w:rsidP="00A9784C">
      <w:pPr>
        <w:widowControl/>
        <w:autoSpaceDE/>
        <w:autoSpaceDN/>
        <w:adjustRightInd/>
        <w:jc w:val="both"/>
        <w:rPr>
          <w:rFonts w:ascii="Arial" w:hAnsi="Arial" w:cs="Arial"/>
          <w:i/>
          <w:iCs/>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Tomando nota además </w:t>
      </w:r>
      <w:r w:rsidRPr="00A9784C">
        <w:rPr>
          <w:rFonts w:ascii="Arial" w:hAnsi="Arial" w:cs="Arial"/>
          <w:sz w:val="22"/>
          <w:szCs w:val="17"/>
          <w:lang w:val="es-ES"/>
        </w:rPr>
        <w:t>de que esta armonización es más apremiante por el hecho de que de las 124 Partes de la CMS, sólo uno no es miembro de CITES; </w:t>
      </w:r>
    </w:p>
    <w:p w:rsidR="00A9784C" w:rsidRPr="00A9784C" w:rsidRDefault="00A9784C" w:rsidP="00A9784C">
      <w:pPr>
        <w:widowControl/>
        <w:autoSpaceDE/>
        <w:autoSpaceDN/>
        <w:adjustRightInd/>
        <w:jc w:val="both"/>
        <w:rPr>
          <w:rFonts w:ascii="Arial" w:hAnsi="Arial" w:cs="Arial"/>
          <w:i/>
          <w:strike/>
          <w:sz w:val="22"/>
          <w:szCs w:val="17"/>
          <w:lang w:val="es-ES"/>
        </w:rPr>
      </w:pPr>
    </w:p>
    <w:p w:rsid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Reconociendo </w:t>
      </w:r>
      <w:r w:rsidRPr="00A9784C">
        <w:rPr>
          <w:rFonts w:ascii="Arial" w:hAnsi="Arial" w:cs="Arial"/>
          <w:sz w:val="22"/>
          <w:szCs w:val="17"/>
          <w:lang w:val="es-ES"/>
        </w:rPr>
        <w:t>que la armonización de la nomenclatura puede conducir a un proceso más integrado, a la reducción de la duplicación de esfuerzos y a un mayor intercambio de información entre los Acuerdos Ambientales Multilaterales (AAM) relacionados con la biodiversidad; </w:t>
      </w:r>
    </w:p>
    <w:p w:rsidR="000E6630" w:rsidRPr="00A9784C" w:rsidRDefault="000E6630" w:rsidP="00A9784C">
      <w:pPr>
        <w:widowControl/>
        <w:autoSpaceDE/>
        <w:autoSpaceDN/>
        <w:adjustRightInd/>
        <w:jc w:val="both"/>
        <w:rPr>
          <w:rFonts w:ascii="Arial" w:hAnsi="Arial" w:cs="Arial"/>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Recordando </w:t>
      </w:r>
      <w:r w:rsidRPr="00A9784C">
        <w:rPr>
          <w:rFonts w:ascii="Arial" w:hAnsi="Arial" w:cs="Arial"/>
          <w:sz w:val="22"/>
          <w:szCs w:val="17"/>
          <w:lang w:val="es-ES"/>
        </w:rPr>
        <w:t>que este objetivo fue señalado por la 6ª Reunión del Grupo de Enlace de las Convenciones relativas a la Biodiversidad (Bonn, mayo de 2008), y por lo tanto se incluyó en la Lista de actividades conjuntas CITES/CMS, adoptada por la 34ª Reunión del Comité Permanente de la CMS (Roma, noviembre de 2008); y el Programa de Trabajo Conjunto CMS-CITES 2012-2014 adoptado en la 38ª reunión del Comité Permanente de la CMS (Bergen, noviembre de 2011);</w:t>
      </w:r>
    </w:p>
    <w:p w:rsidR="00A9784C" w:rsidRPr="00A9784C" w:rsidRDefault="00A9784C" w:rsidP="00A9784C">
      <w:pPr>
        <w:widowControl/>
        <w:autoSpaceDE/>
        <w:autoSpaceDN/>
        <w:adjustRightInd/>
        <w:jc w:val="both"/>
        <w:rPr>
          <w:rFonts w:ascii="Arial" w:hAnsi="Arial" w:cs="Arial"/>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eastAsia="MS Mincho" w:hAnsi="Arial" w:cs="Arial"/>
          <w:i/>
          <w:iCs/>
          <w:sz w:val="22"/>
          <w:szCs w:val="17"/>
          <w:lang w:val="es-ES"/>
        </w:rPr>
        <w:t xml:space="preserve">Consciente además </w:t>
      </w:r>
      <w:r w:rsidRPr="00A9784C">
        <w:rPr>
          <w:rFonts w:ascii="Arial" w:eastAsia="MS Mincho" w:hAnsi="Arial" w:cs="Arial"/>
          <w:sz w:val="22"/>
          <w:szCs w:val="17"/>
          <w:lang w:val="es-ES"/>
        </w:rPr>
        <w:t>de que una armonización de la taxonomía y la nomenclatura para las aves, en los AAM y otros socios, como la CMS, CITES, Ramsar, UICN, BirdLife International, Wetlands International y el PNUMA-WCMC, puede mejorar las sinergias que </w:t>
      </w:r>
      <w:r w:rsidRPr="00A9784C">
        <w:rPr>
          <w:rFonts w:ascii="Arial" w:hAnsi="Arial" w:cs="Arial"/>
          <w:sz w:val="22"/>
          <w:szCs w:val="17"/>
          <w:lang w:val="es-ES"/>
        </w:rPr>
        <w:t>benefician a la conservación de las especies migratorias y a una mejor aplicación de los instrumentos de la familia de la CMS; </w:t>
      </w:r>
    </w:p>
    <w:p w:rsidR="00A9784C" w:rsidRPr="00A9784C" w:rsidRDefault="00A9784C" w:rsidP="00A9784C">
      <w:pPr>
        <w:widowControl/>
        <w:autoSpaceDE/>
        <w:autoSpaceDN/>
        <w:adjustRightInd/>
        <w:jc w:val="both"/>
        <w:rPr>
          <w:rFonts w:ascii="Arial" w:eastAsia="MS Mincho" w:hAnsi="Arial" w:cs="Arial"/>
          <w:sz w:val="22"/>
          <w:szCs w:val="22"/>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Reconociendo </w:t>
      </w:r>
      <w:r w:rsidRPr="00A9784C">
        <w:rPr>
          <w:rFonts w:ascii="Arial" w:hAnsi="Arial" w:cs="Arial"/>
          <w:sz w:val="22"/>
          <w:szCs w:val="17"/>
          <w:lang w:val="es-ES"/>
        </w:rPr>
        <w:t>que los Presidentes de los órganos asesores científicos de las convenciones relacionadas con la diversidad biológica (CSAB) han expresado repetidamente su apoyo a la idea de avanzar hacia la armonización de la nomenclatura y la taxonomía en las listas de especies que utilizan, y han solicitado una mayor cooperación entre los AAM en relación a dicha meta;</w:t>
      </w: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sz w:val="22"/>
          <w:szCs w:val="17"/>
          <w:lang w:val="es-ES"/>
        </w:rPr>
        <w:t> </w:t>
      </w: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Tomando nota </w:t>
      </w:r>
      <w:r w:rsidRPr="00A9784C">
        <w:rPr>
          <w:rFonts w:ascii="Arial" w:hAnsi="Arial" w:cs="Arial"/>
          <w:sz w:val="22"/>
          <w:szCs w:val="17"/>
          <w:lang w:val="es-ES"/>
        </w:rPr>
        <w:t>del informe de la Reunión Especial sobre Armonización de la Taxonomía de Aves que se celebró en Formia (Italia) el 8 de octubre de 2013 (PNUMA/CMS/ScC18/Inf.9.1) y agradeciendo al Presidente del Consejo Científico la convocatoria de dicha reunión; </w:t>
      </w:r>
    </w:p>
    <w:p w:rsidR="00A9784C" w:rsidRPr="00A9784C" w:rsidRDefault="00A9784C" w:rsidP="00A9784C">
      <w:pPr>
        <w:widowControl/>
        <w:autoSpaceDE/>
        <w:autoSpaceDN/>
        <w:adjustRightInd/>
        <w:jc w:val="both"/>
        <w:rPr>
          <w:rFonts w:ascii="Arial" w:hAnsi="Arial" w:cs="Arial"/>
          <w:i/>
          <w:iCs/>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Tomando nota </w:t>
      </w:r>
      <w:r w:rsidRPr="00A9784C">
        <w:rPr>
          <w:rFonts w:ascii="Arial" w:hAnsi="Arial" w:cs="Arial"/>
          <w:sz w:val="22"/>
          <w:szCs w:val="17"/>
          <w:lang w:val="es-ES"/>
        </w:rPr>
        <w:t>también del informe del Comité de Fauna de la CITES, que tuvo lugar en Veracruz (México) los días 28 de mayo a 3 de abril, 2014; </w:t>
      </w:r>
    </w:p>
    <w:p w:rsidR="00A9784C" w:rsidRPr="00A9784C" w:rsidRDefault="00A9784C" w:rsidP="00A9784C">
      <w:pPr>
        <w:widowControl/>
        <w:autoSpaceDE/>
        <w:autoSpaceDN/>
        <w:adjustRightInd/>
        <w:jc w:val="both"/>
        <w:rPr>
          <w:rFonts w:ascii="Arial" w:hAnsi="Arial" w:cs="Arial"/>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Reiterando </w:t>
      </w:r>
      <w:r w:rsidRPr="00A9784C">
        <w:rPr>
          <w:rFonts w:ascii="Arial" w:hAnsi="Arial" w:cs="Arial"/>
          <w:sz w:val="22"/>
          <w:szCs w:val="17"/>
          <w:lang w:val="es-ES"/>
        </w:rPr>
        <w:t>que independientemente de la adopción, por razones prácticas, de referencias de nomenclatura estándar al nivel de especies, la diversidad biológica en todos los niveles taxonómicos debe ser valorada, protegida y utilizada sosteniblemente; </w:t>
      </w:r>
    </w:p>
    <w:p w:rsidR="00A9784C" w:rsidRPr="00A9784C" w:rsidRDefault="00A9784C" w:rsidP="00A9784C">
      <w:pPr>
        <w:widowControl/>
        <w:autoSpaceDE/>
        <w:autoSpaceDN/>
        <w:adjustRightInd/>
        <w:jc w:val="both"/>
        <w:rPr>
          <w:rFonts w:ascii="Arial" w:hAnsi="Arial" w:cs="Arial"/>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sz w:val="22"/>
          <w:szCs w:val="17"/>
          <w:lang w:val="es-ES"/>
        </w:rPr>
        <w:t>Tomando nota</w:t>
      </w:r>
      <w:r w:rsidRPr="00A9784C">
        <w:rPr>
          <w:rFonts w:ascii="Arial" w:hAnsi="Arial" w:cs="Arial"/>
          <w:sz w:val="22"/>
          <w:szCs w:val="17"/>
          <w:lang w:val="es-ES"/>
        </w:rPr>
        <w:t xml:space="preserve"> de las recomendaciones de la 15ª reunión del Consejo Científico de la CMS (Roma, 27-28 de noviembre de 2008), relativa a la revisión de la nomenclatura de referencia para las especies de mamíferos terrestres y acuáticos incluidas en los Apéndices de la CMS;</w:t>
      </w:r>
    </w:p>
    <w:p w:rsidR="00A9784C" w:rsidRPr="00A9784C" w:rsidRDefault="00A9784C" w:rsidP="00A9784C">
      <w:pPr>
        <w:widowControl/>
        <w:autoSpaceDE/>
        <w:autoSpaceDN/>
        <w:adjustRightInd/>
        <w:jc w:val="both"/>
        <w:rPr>
          <w:rFonts w:ascii="Arial" w:hAnsi="Arial" w:cs="Arial"/>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Tomando nota </w:t>
      </w:r>
      <w:r w:rsidRPr="00A9784C">
        <w:rPr>
          <w:rFonts w:ascii="Arial" w:hAnsi="Arial" w:cs="Arial"/>
          <w:sz w:val="22"/>
          <w:szCs w:val="17"/>
          <w:lang w:val="es-ES"/>
        </w:rPr>
        <w:t>de la recomendación formulada por el Consejo Científico de la CMS en su 18ª Reunión (Bonn, 1-3 julio 2014), sobre una referencia de nomenclatura normalizada para las aves no paseriformes;</w:t>
      </w: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sz w:val="22"/>
          <w:szCs w:val="17"/>
          <w:lang w:val="es-ES"/>
        </w:rPr>
        <w:t> </w:t>
      </w: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Tomando nota </w:t>
      </w:r>
      <w:r w:rsidRPr="00A9784C">
        <w:rPr>
          <w:rFonts w:ascii="Arial" w:hAnsi="Arial" w:cs="Arial"/>
          <w:sz w:val="22"/>
          <w:szCs w:val="17"/>
          <w:lang w:val="es-ES"/>
        </w:rPr>
        <w:t>de que, en relación con los albatros y petreles, la COP10 adoptó la taxonomía utilizada por ACAP como referencia de nomenclatura estándar de la Convención, y que ACAP tiene en cuenta la información taxonómica más reciente sobre las especies de albatros y petreles; </w:t>
      </w:r>
    </w:p>
    <w:p w:rsidR="00A9784C" w:rsidRPr="00A9784C" w:rsidRDefault="00A9784C" w:rsidP="00A9784C">
      <w:pPr>
        <w:widowControl/>
        <w:autoSpaceDE/>
        <w:autoSpaceDN/>
        <w:adjustRightInd/>
        <w:jc w:val="both"/>
        <w:rPr>
          <w:rFonts w:ascii="Arial" w:hAnsi="Arial" w:cs="Arial"/>
          <w:i/>
          <w:iCs/>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Reconociendo </w:t>
      </w:r>
      <w:r w:rsidRPr="00A9784C">
        <w:rPr>
          <w:rFonts w:ascii="Arial" w:hAnsi="Arial" w:cs="Arial"/>
          <w:sz w:val="22"/>
          <w:szCs w:val="17"/>
          <w:lang w:val="es-ES"/>
        </w:rPr>
        <w:t>que la adopción de una nueva referencia puede implicar casos de sinonimia, agregación de especies y/o la separación de especies, y que la CMS ha acordado normas sobre cómo actuar en estos casos y su consecuente reflejo en los Apéndices; </w:t>
      </w:r>
    </w:p>
    <w:p w:rsidR="00A9784C" w:rsidRPr="00A9784C" w:rsidRDefault="00A9784C" w:rsidP="00A9784C">
      <w:pPr>
        <w:widowControl/>
        <w:autoSpaceDE/>
        <w:autoSpaceDN/>
        <w:adjustRightInd/>
        <w:jc w:val="both"/>
        <w:rPr>
          <w:rFonts w:ascii="Arial" w:hAnsi="Arial" w:cs="Arial"/>
          <w:i/>
          <w:iCs/>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lastRenderedPageBreak/>
        <w:t xml:space="preserve">Tomando nota </w:t>
      </w:r>
      <w:r w:rsidRPr="00A9784C">
        <w:rPr>
          <w:rFonts w:ascii="Arial" w:hAnsi="Arial" w:cs="Arial"/>
          <w:sz w:val="22"/>
          <w:szCs w:val="17"/>
          <w:lang w:val="es-ES"/>
        </w:rPr>
        <w:t>de las recomendaciones del Consejo Científico de la CMS en su 17 ª reunión (Bergen, noviembre de 2011); </w:t>
      </w:r>
    </w:p>
    <w:p w:rsidR="00A9784C" w:rsidRPr="00A9784C" w:rsidRDefault="00A9784C" w:rsidP="00A9784C">
      <w:pPr>
        <w:widowControl/>
        <w:autoSpaceDE/>
        <w:autoSpaceDN/>
        <w:adjustRightInd/>
        <w:jc w:val="both"/>
        <w:rPr>
          <w:rFonts w:ascii="Arial" w:hAnsi="Arial" w:cs="Arial"/>
          <w:i/>
          <w:iCs/>
          <w:sz w:val="22"/>
          <w:szCs w:val="17"/>
          <w:lang w:val="es-ES"/>
        </w:rPr>
      </w:pPr>
    </w:p>
    <w:p w:rsidR="00A9784C" w:rsidRP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iCs/>
          <w:sz w:val="22"/>
          <w:szCs w:val="17"/>
          <w:lang w:val="es-ES"/>
        </w:rPr>
        <w:t xml:space="preserve">Destacando </w:t>
      </w:r>
      <w:r w:rsidRPr="00A9784C">
        <w:rPr>
          <w:rFonts w:ascii="Arial" w:hAnsi="Arial" w:cs="Arial"/>
          <w:sz w:val="22"/>
          <w:szCs w:val="17"/>
          <w:lang w:val="es-ES"/>
        </w:rPr>
        <w:t>que la estabilidad, a través del tiempo, de la taxonomía y nomenclatura de las especies listadas bajo la CMS es esencial para asegurar la garantía legal para la implementación de la Convención; y</w:t>
      </w:r>
    </w:p>
    <w:p w:rsidR="00A9784C" w:rsidRPr="00A9784C" w:rsidRDefault="00A9784C" w:rsidP="00A9784C">
      <w:pPr>
        <w:widowControl/>
        <w:autoSpaceDE/>
        <w:autoSpaceDN/>
        <w:adjustRightInd/>
        <w:jc w:val="both"/>
        <w:rPr>
          <w:rFonts w:ascii="Arial" w:hAnsi="Arial" w:cs="Arial"/>
          <w:sz w:val="22"/>
          <w:szCs w:val="17"/>
          <w:lang w:val="es-ES"/>
        </w:rPr>
      </w:pPr>
    </w:p>
    <w:p w:rsidR="00A9784C" w:rsidRDefault="00A9784C" w:rsidP="00A9784C">
      <w:pPr>
        <w:widowControl/>
        <w:autoSpaceDE/>
        <w:autoSpaceDN/>
        <w:adjustRightInd/>
        <w:jc w:val="both"/>
        <w:rPr>
          <w:rFonts w:ascii="Arial" w:hAnsi="Arial" w:cs="Arial"/>
          <w:sz w:val="22"/>
          <w:szCs w:val="17"/>
          <w:lang w:val="es-ES"/>
        </w:rPr>
      </w:pPr>
      <w:r w:rsidRPr="00A9784C">
        <w:rPr>
          <w:rFonts w:ascii="Arial" w:hAnsi="Arial" w:cs="Arial"/>
          <w:i/>
          <w:sz w:val="22"/>
          <w:szCs w:val="17"/>
          <w:lang w:val="es-ES"/>
        </w:rPr>
        <w:t>Reconociendo</w:t>
      </w:r>
      <w:r w:rsidRPr="00A9784C">
        <w:rPr>
          <w:rFonts w:ascii="Arial" w:hAnsi="Arial" w:cs="Arial"/>
          <w:sz w:val="22"/>
          <w:szCs w:val="17"/>
          <w:lang w:val="es-ES"/>
        </w:rPr>
        <w:t xml:space="preserve"> que la clasificación taxonómica empleada en los Apéndices de la Convención será más útil para las Partes si se estandariza mediante referencias nomenclaturales;</w:t>
      </w:r>
    </w:p>
    <w:p w:rsidR="000E6630" w:rsidRDefault="000E6630" w:rsidP="00A9784C">
      <w:pPr>
        <w:widowControl/>
        <w:autoSpaceDE/>
        <w:autoSpaceDN/>
        <w:adjustRightInd/>
        <w:jc w:val="both"/>
        <w:rPr>
          <w:rFonts w:ascii="Arial" w:hAnsi="Arial" w:cs="Arial"/>
          <w:sz w:val="22"/>
          <w:szCs w:val="17"/>
          <w:lang w:val="es-ES"/>
        </w:rPr>
      </w:pPr>
    </w:p>
    <w:p w:rsidR="000E6630" w:rsidRDefault="000E6630" w:rsidP="00A9784C">
      <w:pPr>
        <w:widowControl/>
        <w:autoSpaceDE/>
        <w:autoSpaceDN/>
        <w:adjustRightInd/>
        <w:jc w:val="both"/>
        <w:rPr>
          <w:rFonts w:ascii="Arial" w:hAnsi="Arial" w:cs="Arial"/>
          <w:sz w:val="22"/>
          <w:szCs w:val="17"/>
          <w:lang w:val="es-ES"/>
        </w:rPr>
      </w:pPr>
    </w:p>
    <w:p w:rsidR="000E6630" w:rsidRPr="000E6630" w:rsidRDefault="000E6630" w:rsidP="000E6630">
      <w:pPr>
        <w:widowControl/>
        <w:autoSpaceDE/>
        <w:autoSpaceDN/>
        <w:adjustRightInd/>
        <w:jc w:val="center"/>
        <w:rPr>
          <w:rFonts w:ascii="Arial" w:hAnsi="Arial" w:cs="Arial"/>
          <w:i/>
          <w:sz w:val="22"/>
          <w:szCs w:val="17"/>
          <w:lang w:val="en-PH"/>
        </w:rPr>
      </w:pPr>
      <w:r w:rsidRPr="000E6630">
        <w:rPr>
          <w:rFonts w:ascii="Arial" w:hAnsi="Arial" w:cs="Arial"/>
          <w:i/>
          <w:sz w:val="22"/>
          <w:szCs w:val="17"/>
          <w:lang w:val="en-PH"/>
        </w:rPr>
        <w:t>The Conference of the Parties to the</w:t>
      </w:r>
    </w:p>
    <w:p w:rsidR="000E6630" w:rsidRPr="000E6630" w:rsidRDefault="000E6630" w:rsidP="000E6630">
      <w:pPr>
        <w:widowControl/>
        <w:autoSpaceDE/>
        <w:autoSpaceDN/>
        <w:adjustRightInd/>
        <w:jc w:val="center"/>
        <w:rPr>
          <w:rFonts w:ascii="Arial" w:hAnsi="Arial" w:cs="Arial"/>
          <w:i/>
          <w:sz w:val="22"/>
          <w:szCs w:val="17"/>
          <w:lang w:val="en-PH"/>
        </w:rPr>
      </w:pPr>
      <w:r w:rsidRPr="000E6630">
        <w:rPr>
          <w:rFonts w:ascii="Arial" w:hAnsi="Arial" w:cs="Arial"/>
          <w:i/>
          <w:sz w:val="22"/>
          <w:szCs w:val="17"/>
          <w:lang w:val="en-PH"/>
        </w:rPr>
        <w:t>Convention on the Conservation of Migratory Species of Wild Animals</w:t>
      </w:r>
    </w:p>
    <w:p w:rsidR="00ED5BC6" w:rsidRPr="000E6630" w:rsidRDefault="00ED5BC6" w:rsidP="00A9784C">
      <w:pPr>
        <w:widowControl/>
        <w:autoSpaceDE/>
        <w:autoSpaceDN/>
        <w:adjustRightInd/>
        <w:jc w:val="both"/>
        <w:rPr>
          <w:rFonts w:ascii="Arial" w:hAnsi="Arial" w:cs="Arial"/>
          <w:sz w:val="22"/>
          <w:szCs w:val="17"/>
          <w:lang w:val="en-PH"/>
        </w:rPr>
      </w:pPr>
    </w:p>
    <w:p w:rsidR="00ED5BC6" w:rsidRPr="000E6630" w:rsidRDefault="00ED5BC6" w:rsidP="00ED5BC6">
      <w:pPr>
        <w:jc w:val="both"/>
        <w:rPr>
          <w:rFonts w:ascii="Arial" w:hAnsi="Arial" w:cs="Arial"/>
          <w:sz w:val="22"/>
          <w:szCs w:val="22"/>
          <w:lang w:val="en-PH" w:eastAsia="es-ES"/>
        </w:rPr>
      </w:pPr>
    </w:p>
    <w:p w:rsidR="00ED5BC6" w:rsidRPr="00ED5BC6" w:rsidRDefault="00ED5BC6" w:rsidP="00ED5BC6">
      <w:pPr>
        <w:numPr>
          <w:ilvl w:val="0"/>
          <w:numId w:val="46"/>
        </w:numPr>
        <w:ind w:left="360" w:hanging="360"/>
        <w:contextualSpacing/>
        <w:jc w:val="both"/>
        <w:rPr>
          <w:rFonts w:ascii="Arial" w:hAnsi="Arial" w:cs="Arial"/>
          <w:sz w:val="22"/>
          <w:szCs w:val="22"/>
          <w:lang w:val="es-ES" w:eastAsia="es-ES"/>
        </w:rPr>
      </w:pPr>
      <w:r w:rsidRPr="00ED5BC6">
        <w:rPr>
          <w:rFonts w:ascii="Arial" w:hAnsi="Arial"/>
          <w:i/>
          <w:sz w:val="22"/>
          <w:szCs w:val="22"/>
          <w:lang w:val="es-ES" w:eastAsia="es-ES"/>
        </w:rPr>
        <w:t xml:space="preserve">Adopta </w:t>
      </w:r>
      <w:r w:rsidRPr="00ED5BC6">
        <w:rPr>
          <w:rFonts w:ascii="Arial" w:hAnsi="Arial"/>
          <w:sz w:val="22"/>
          <w:szCs w:val="22"/>
          <w:lang w:val="es-ES" w:eastAsia="es-ES"/>
        </w:rPr>
        <w:t>la lista de referencias estándar</w:t>
      </w:r>
      <w:r w:rsidRPr="00ED5BC6">
        <w:rPr>
          <w:rFonts w:ascii="Arial" w:hAnsi="Arial"/>
          <w:sz w:val="22"/>
          <w:szCs w:val="22"/>
          <w:vertAlign w:val="superscript"/>
          <w:lang w:val="es-ES" w:eastAsia="es-ES"/>
        </w:rPr>
        <w:footnoteReference w:id="1"/>
      </w:r>
      <w:r w:rsidRPr="00ED5BC6">
        <w:rPr>
          <w:rFonts w:ascii="Arial" w:hAnsi="Arial"/>
          <w:sz w:val="22"/>
          <w:szCs w:val="22"/>
          <w:lang w:val="es-ES" w:eastAsia="es-ES"/>
        </w:rPr>
        <w:t xml:space="preserve"> que figura en el Anexo 1 para que se reconozca y se utilice como fundamento sobre cuya base se elaboran los Apéndices y las enmiendas a los mismos;</w:t>
      </w:r>
    </w:p>
    <w:p w:rsidR="00ED5BC6" w:rsidRPr="00ED5BC6" w:rsidRDefault="00ED5BC6" w:rsidP="00AC77A9">
      <w:pPr>
        <w:ind w:left="1440" w:hanging="1440"/>
        <w:jc w:val="both"/>
        <w:rPr>
          <w:rFonts w:ascii="Arial" w:hAnsi="Arial" w:cs="Arial"/>
          <w:sz w:val="22"/>
          <w:szCs w:val="22"/>
          <w:lang w:val="es-ES" w:eastAsia="es-ES"/>
        </w:rPr>
      </w:pPr>
      <w:r w:rsidRPr="00ED5BC6">
        <w:rPr>
          <w:rFonts w:ascii="Arial" w:hAnsi="Arial"/>
          <w:i/>
          <w:sz w:val="22"/>
          <w:szCs w:val="22"/>
          <w:lang w:val="es-ES" w:eastAsia="es-ES"/>
        </w:rPr>
        <w:t>1. bis</w:t>
      </w:r>
      <w:r w:rsidRPr="00ED5BC6">
        <w:rPr>
          <w:rFonts w:ascii="Arial" w:hAnsi="Arial"/>
          <w:sz w:val="22"/>
          <w:szCs w:val="22"/>
          <w:lang w:val="es-ES" w:eastAsia="es-ES"/>
        </w:rPr>
        <w:t xml:space="preserve"> </w:t>
      </w:r>
      <w:r w:rsidRPr="00ED5BC6">
        <w:rPr>
          <w:sz w:val="22"/>
          <w:szCs w:val="22"/>
          <w:lang w:val="es-ES" w:eastAsia="es-ES"/>
        </w:rPr>
        <w:tab/>
      </w:r>
      <w:r w:rsidRPr="008A564B">
        <w:rPr>
          <w:rFonts w:ascii="Arial" w:hAnsi="Arial"/>
          <w:i/>
          <w:sz w:val="22"/>
          <w:szCs w:val="22"/>
          <w:lang w:val="es-ES" w:eastAsia="es-ES"/>
        </w:rPr>
        <w:t>Acuerda</w:t>
      </w:r>
      <w:r w:rsidRPr="008A564B">
        <w:rPr>
          <w:rFonts w:ascii="Arial" w:hAnsi="Arial"/>
          <w:sz w:val="22"/>
          <w:szCs w:val="22"/>
          <w:lang w:val="es-ES" w:eastAsia="es-ES"/>
        </w:rPr>
        <w:t xml:space="preserve"> remitirse a la versión en línea de Eschmeyer, W. N., R. Fricke y R. van der Laan (eds.), Catalog of Fishes: Genera, Species, References (</w:t>
      </w:r>
      <w:hyperlink r:id="rId8" w:history="1">
        <w:r w:rsidRPr="008A564B">
          <w:rPr>
            <w:rFonts w:ascii="Arial" w:hAnsi="Arial"/>
            <w:color w:val="0000FF"/>
            <w:sz w:val="22"/>
            <w:szCs w:val="22"/>
            <w:lang w:val="es-ES" w:eastAsia="es-ES"/>
          </w:rPr>
          <w:t>http://researcharchive.calacademy.org/research/ichthyology/catalog/fishcatmain</w:t>
        </w:r>
      </w:hyperlink>
      <w:r w:rsidRPr="008A564B">
        <w:rPr>
          <w:rFonts w:ascii="Arial" w:hAnsi="Arial"/>
          <w:sz w:val="22"/>
          <w:szCs w:val="22"/>
          <w:lang w:val="es-ES" w:eastAsia="es-ES"/>
        </w:rPr>
        <w:t xml:space="preserve">) como referencia para los peces cuando se incluyeran nuevas especies en los Apéndices de la CMS y </w:t>
      </w:r>
      <w:r w:rsidRPr="008A564B">
        <w:rPr>
          <w:rFonts w:ascii="Arial" w:hAnsi="Arial"/>
          <w:i/>
          <w:sz w:val="22"/>
          <w:szCs w:val="22"/>
          <w:lang w:val="es-ES" w:eastAsia="es-ES"/>
        </w:rPr>
        <w:t xml:space="preserve">encarga </w:t>
      </w:r>
      <w:r w:rsidRPr="008A564B">
        <w:rPr>
          <w:rFonts w:ascii="Arial" w:hAnsi="Arial"/>
          <w:sz w:val="22"/>
          <w:szCs w:val="22"/>
          <w:lang w:val="es-ES" w:eastAsia="es-ES"/>
        </w:rPr>
        <w:t>a la Secretaría que mantenga un extracto impreso de la referencia en línea como referencia estándar para las especies recién incluidas;</w:t>
      </w:r>
    </w:p>
    <w:p w:rsidR="00ED5BC6" w:rsidRPr="00ED5BC6" w:rsidRDefault="00ED5BC6" w:rsidP="00ED5BC6">
      <w:pPr>
        <w:rPr>
          <w:rFonts w:ascii="Arial" w:hAnsi="Arial" w:cs="Arial"/>
          <w:sz w:val="22"/>
          <w:szCs w:val="22"/>
          <w:lang w:val="es-ES" w:eastAsia="es-ES"/>
        </w:rPr>
      </w:pPr>
    </w:p>
    <w:p w:rsidR="00ED5BC6" w:rsidRPr="00ED5BC6" w:rsidRDefault="00ED5BC6" w:rsidP="00ED5BC6">
      <w:pPr>
        <w:ind w:left="1440" w:hanging="1440"/>
        <w:jc w:val="both"/>
        <w:rPr>
          <w:rFonts w:ascii="Arial" w:hAnsi="Arial" w:cs="Arial"/>
          <w:sz w:val="22"/>
          <w:szCs w:val="22"/>
          <w:lang w:val="es-ES" w:eastAsia="es-ES"/>
        </w:rPr>
      </w:pPr>
      <w:r w:rsidRPr="00ED5BC6">
        <w:rPr>
          <w:rFonts w:ascii="Arial" w:hAnsi="Arial"/>
          <w:i/>
          <w:sz w:val="22"/>
          <w:szCs w:val="22"/>
          <w:lang w:val="es-ES" w:eastAsia="es-ES"/>
        </w:rPr>
        <w:t>1. ter</w:t>
      </w:r>
      <w:r w:rsidRPr="00ED5BC6">
        <w:rPr>
          <w:sz w:val="22"/>
          <w:szCs w:val="22"/>
          <w:lang w:val="es-ES" w:eastAsia="es-ES"/>
        </w:rPr>
        <w:tab/>
      </w:r>
      <w:r w:rsidRPr="008A564B">
        <w:rPr>
          <w:rFonts w:ascii="Arial" w:hAnsi="Arial"/>
          <w:i/>
          <w:sz w:val="22"/>
          <w:szCs w:val="22"/>
          <w:lang w:val="es-ES" w:eastAsia="es-ES"/>
        </w:rPr>
        <w:t xml:space="preserve">Pide </w:t>
      </w:r>
      <w:r w:rsidRPr="008A564B">
        <w:rPr>
          <w:rFonts w:ascii="Arial" w:hAnsi="Arial"/>
          <w:sz w:val="22"/>
          <w:szCs w:val="22"/>
          <w:lang w:val="es-ES" w:eastAsia="es-ES"/>
        </w:rPr>
        <w:t>al Consejo Científico que en la última reunión que celebre antes de cada reunión de la Conferencia de las Partes examine la versión en línea de la referencia sobre los peces para las especies incluidas en los Apéndices y formule recomendaciones sobre si se debe actualizar el nombre de alguna especie incluida en la lista.</w:t>
      </w:r>
    </w:p>
    <w:p w:rsidR="00ED5BC6" w:rsidRPr="00ED5BC6" w:rsidRDefault="00ED5BC6" w:rsidP="00ED5BC6">
      <w:pPr>
        <w:contextualSpacing/>
        <w:jc w:val="both"/>
        <w:rPr>
          <w:rFonts w:ascii="Arial" w:hAnsi="Arial" w:cs="Arial"/>
          <w:sz w:val="22"/>
          <w:szCs w:val="22"/>
          <w:lang w:val="es-ES" w:eastAsia="es-ES"/>
        </w:rPr>
      </w:pPr>
    </w:p>
    <w:p w:rsidR="00ED5BC6" w:rsidRPr="00DA2D2E" w:rsidRDefault="00ED5BC6" w:rsidP="00ED5BC6">
      <w:pPr>
        <w:ind w:left="1440" w:hanging="1440"/>
        <w:jc w:val="both"/>
        <w:rPr>
          <w:rFonts w:ascii="Arial" w:hAnsi="Arial" w:cs="Arial"/>
          <w:sz w:val="22"/>
          <w:szCs w:val="22"/>
          <w:lang w:val="es-ES" w:eastAsia="es-ES"/>
        </w:rPr>
      </w:pPr>
      <w:r w:rsidRPr="00ED5BC6">
        <w:rPr>
          <w:rFonts w:ascii="Arial" w:hAnsi="Arial"/>
          <w:i/>
          <w:sz w:val="22"/>
          <w:szCs w:val="22"/>
          <w:lang w:val="es-ES" w:eastAsia="es-ES"/>
        </w:rPr>
        <w:t>1. quarter</w:t>
      </w:r>
      <w:r w:rsidRPr="00ED5BC6">
        <w:rPr>
          <w:sz w:val="22"/>
          <w:szCs w:val="22"/>
          <w:lang w:val="es-ES" w:eastAsia="es-ES"/>
        </w:rPr>
        <w:tab/>
      </w:r>
      <w:r w:rsidRPr="00DA2D2E">
        <w:rPr>
          <w:rFonts w:ascii="Arial" w:hAnsi="Arial"/>
          <w:i/>
          <w:sz w:val="22"/>
          <w:szCs w:val="22"/>
          <w:lang w:val="es-ES" w:eastAsia="es-ES"/>
        </w:rPr>
        <w:t xml:space="preserve">Conviene en </w:t>
      </w:r>
      <w:r w:rsidRPr="00DA2D2E">
        <w:rPr>
          <w:rFonts w:ascii="Arial" w:hAnsi="Arial"/>
          <w:sz w:val="22"/>
          <w:szCs w:val="22"/>
          <w:lang w:val="es-ES" w:eastAsia="es-ES"/>
        </w:rPr>
        <w:t>adoptar un enfoque prudente en el uso de la referencia en línea para actualizar los nombres de las especies incluidas en las listas, en espera de que la nueva taxonomía sea confirmada por la mayoría de los científicos y otros marcos jurídicos como la CITES, antes de introducir cualquier cambio;</w:t>
      </w:r>
    </w:p>
    <w:p w:rsidR="00ED5BC6" w:rsidRPr="00DA2D2E" w:rsidRDefault="00ED5BC6" w:rsidP="00ED5BC6">
      <w:pPr>
        <w:ind w:left="720" w:hanging="720"/>
        <w:jc w:val="both"/>
        <w:rPr>
          <w:rFonts w:ascii="Arial" w:hAnsi="Arial" w:cs="Arial"/>
          <w:sz w:val="22"/>
          <w:szCs w:val="22"/>
          <w:lang w:val="es-ES" w:eastAsia="es-ES"/>
        </w:rPr>
      </w:pPr>
    </w:p>
    <w:p w:rsidR="00ED5BC6" w:rsidRDefault="00ED5BC6" w:rsidP="00ED5BC6">
      <w:pPr>
        <w:ind w:left="1440" w:hanging="1440"/>
        <w:jc w:val="both"/>
        <w:rPr>
          <w:rFonts w:ascii="Arial" w:hAnsi="Arial"/>
          <w:sz w:val="22"/>
          <w:szCs w:val="22"/>
          <w:lang w:val="es-ES" w:eastAsia="es-ES"/>
        </w:rPr>
      </w:pPr>
      <w:r w:rsidRPr="00DA2D2E">
        <w:rPr>
          <w:rFonts w:ascii="Arial" w:hAnsi="Arial"/>
          <w:i/>
          <w:sz w:val="22"/>
          <w:szCs w:val="22"/>
          <w:lang w:val="es-ES" w:eastAsia="es-ES"/>
        </w:rPr>
        <w:t>1. quinquiens</w:t>
      </w:r>
      <w:r w:rsidRPr="00DA2D2E">
        <w:rPr>
          <w:sz w:val="22"/>
          <w:szCs w:val="22"/>
          <w:lang w:val="es-ES" w:eastAsia="es-ES"/>
        </w:rPr>
        <w:tab/>
      </w:r>
      <w:r w:rsidRPr="00DA2D2E">
        <w:rPr>
          <w:rFonts w:ascii="Arial" w:hAnsi="Arial"/>
          <w:i/>
          <w:sz w:val="22"/>
          <w:szCs w:val="22"/>
          <w:lang w:val="es-ES" w:eastAsia="es-ES"/>
        </w:rPr>
        <w:t>Conviene en</w:t>
      </w:r>
      <w:r w:rsidRPr="00DA2D2E">
        <w:rPr>
          <w:rFonts w:ascii="Arial" w:hAnsi="Arial"/>
          <w:sz w:val="22"/>
          <w:szCs w:val="22"/>
          <w:lang w:val="es-ES" w:eastAsia="es-ES"/>
        </w:rPr>
        <w:t xml:space="preserve"> adoptar el mismo enfoque para otros grupos taxonómicos en el caso de que se adopten versiones en línea de referencias estándar para esos grupos;</w:t>
      </w:r>
    </w:p>
    <w:p w:rsidR="003A6FA0" w:rsidRDefault="003A6FA0" w:rsidP="00ED5BC6">
      <w:pPr>
        <w:ind w:left="1440" w:hanging="1440"/>
        <w:jc w:val="both"/>
        <w:rPr>
          <w:rFonts w:ascii="Arial" w:hAnsi="Arial"/>
          <w:sz w:val="22"/>
          <w:szCs w:val="22"/>
          <w:lang w:val="es-ES" w:eastAsia="es-ES"/>
        </w:rPr>
      </w:pPr>
    </w:p>
    <w:p w:rsidR="003A6FA0" w:rsidRDefault="003A6FA0" w:rsidP="00ED5BC6">
      <w:pPr>
        <w:ind w:left="1440" w:hanging="1440"/>
        <w:jc w:val="both"/>
        <w:rPr>
          <w:rFonts w:ascii="Arial" w:hAnsi="Arial"/>
          <w:sz w:val="22"/>
          <w:szCs w:val="22"/>
          <w:lang w:val="es-ES" w:eastAsia="es-ES"/>
        </w:rPr>
      </w:pPr>
      <w:r w:rsidRPr="003A6FA0">
        <w:rPr>
          <w:rFonts w:ascii="Arial" w:hAnsi="Arial"/>
          <w:i/>
          <w:sz w:val="22"/>
          <w:szCs w:val="22"/>
          <w:lang w:val="es-ES" w:eastAsia="es-ES"/>
        </w:rPr>
        <w:t>1. sexsies</w:t>
      </w:r>
      <w:r w:rsidR="009460A8">
        <w:rPr>
          <w:rFonts w:ascii="Arial" w:hAnsi="Arial"/>
          <w:sz w:val="22"/>
          <w:szCs w:val="22"/>
          <w:lang w:val="es-ES" w:eastAsia="es-ES"/>
        </w:rPr>
        <w:tab/>
      </w:r>
      <w:r w:rsidR="009460A8" w:rsidRPr="00502272">
        <w:rPr>
          <w:rFonts w:ascii="Arial" w:hAnsi="Arial"/>
          <w:i/>
          <w:sz w:val="22"/>
          <w:szCs w:val="22"/>
          <w:lang w:val="es-ES" w:eastAsia="es-ES"/>
        </w:rPr>
        <w:t>Instruye</w:t>
      </w:r>
      <w:r w:rsidR="009460A8">
        <w:rPr>
          <w:rFonts w:ascii="Arial" w:hAnsi="Arial"/>
          <w:sz w:val="22"/>
          <w:szCs w:val="22"/>
          <w:lang w:val="es-ES" w:eastAsia="es-ES"/>
        </w:rPr>
        <w:t xml:space="preserve"> </w:t>
      </w:r>
      <w:r w:rsidR="00502272">
        <w:rPr>
          <w:rFonts w:ascii="Arial" w:hAnsi="Arial"/>
          <w:sz w:val="22"/>
          <w:szCs w:val="22"/>
          <w:lang w:val="es-ES" w:eastAsia="es-ES"/>
        </w:rPr>
        <w:t xml:space="preserve">al Consejo Científico que revise la versión actualizada en línea de la </w:t>
      </w:r>
      <w:r w:rsidR="00FD6D29">
        <w:rPr>
          <w:rFonts w:ascii="Arial" w:hAnsi="Arial"/>
          <w:sz w:val="22"/>
          <w:szCs w:val="22"/>
          <w:lang w:val="es-ES" w:eastAsia="es-ES"/>
        </w:rPr>
        <w:t>referencia correspondiente a las</w:t>
      </w:r>
      <w:r w:rsidR="00502272">
        <w:rPr>
          <w:rFonts w:ascii="Arial" w:hAnsi="Arial"/>
          <w:sz w:val="22"/>
          <w:szCs w:val="22"/>
          <w:lang w:val="es-ES" w:eastAsia="es-ES"/>
        </w:rPr>
        <w:t xml:space="preserve"> aves</w:t>
      </w:r>
      <w:r w:rsidR="00FD6D29">
        <w:rPr>
          <w:rFonts w:ascii="Arial" w:hAnsi="Arial"/>
          <w:sz w:val="22"/>
          <w:szCs w:val="22"/>
          <w:lang w:val="es-ES" w:eastAsia="es-ES"/>
        </w:rPr>
        <w:t>,</w:t>
      </w:r>
      <w:r w:rsidR="00502272">
        <w:rPr>
          <w:rFonts w:ascii="Arial" w:hAnsi="Arial"/>
          <w:sz w:val="22"/>
          <w:szCs w:val="22"/>
          <w:lang w:val="es-ES" w:eastAsia="es-ES"/>
        </w:rPr>
        <w:t xml:space="preserve"> para las especies que figuran en los apéndice</w:t>
      </w:r>
      <w:r w:rsidR="00BA4A2E">
        <w:rPr>
          <w:rFonts w:ascii="Arial" w:hAnsi="Arial"/>
          <w:sz w:val="22"/>
          <w:szCs w:val="22"/>
          <w:lang w:val="es-ES" w:eastAsia="es-ES"/>
        </w:rPr>
        <w:t>s</w:t>
      </w:r>
      <w:r w:rsidR="00FD6D29">
        <w:rPr>
          <w:rFonts w:ascii="Arial" w:hAnsi="Arial"/>
          <w:sz w:val="22"/>
          <w:szCs w:val="22"/>
          <w:lang w:val="es-ES" w:eastAsia="es-ES"/>
        </w:rPr>
        <w:t>,</w:t>
      </w:r>
      <w:r w:rsidR="00502272">
        <w:rPr>
          <w:rFonts w:ascii="Arial" w:hAnsi="Arial"/>
          <w:sz w:val="22"/>
          <w:szCs w:val="22"/>
          <w:lang w:val="es-ES" w:eastAsia="es-ES"/>
        </w:rPr>
        <w:t xml:space="preserve"> en su última reunión</w:t>
      </w:r>
      <w:r w:rsidR="00FF3BB5">
        <w:rPr>
          <w:rFonts w:ascii="Arial" w:hAnsi="Arial"/>
          <w:sz w:val="22"/>
          <w:szCs w:val="22"/>
          <w:lang w:val="es-ES" w:eastAsia="es-ES"/>
        </w:rPr>
        <w:t xml:space="preserve"> antes de cada reunión de la Conferencia de las Partes y haga recomendaciones sobre</w:t>
      </w:r>
      <w:r w:rsidR="004D1287">
        <w:rPr>
          <w:rFonts w:ascii="Arial" w:hAnsi="Arial"/>
          <w:sz w:val="22"/>
          <w:szCs w:val="22"/>
          <w:lang w:val="es-ES" w:eastAsia="es-ES"/>
        </w:rPr>
        <w:t xml:space="preserve"> si el nombre de alguna especie</w:t>
      </w:r>
      <w:r w:rsidR="00FF3BB5">
        <w:rPr>
          <w:rFonts w:ascii="Arial" w:hAnsi="Arial"/>
          <w:sz w:val="22"/>
          <w:szCs w:val="22"/>
          <w:lang w:val="es-ES" w:eastAsia="es-ES"/>
        </w:rPr>
        <w:t xml:space="preserve"> debe ser actualizado;</w:t>
      </w:r>
    </w:p>
    <w:p w:rsidR="00ED5BC6" w:rsidRPr="00ED5BC6" w:rsidRDefault="00ED5BC6" w:rsidP="00ED5BC6">
      <w:pPr>
        <w:contextualSpacing/>
        <w:jc w:val="both"/>
        <w:rPr>
          <w:rFonts w:ascii="Arial" w:hAnsi="Arial" w:cs="Arial"/>
          <w:sz w:val="22"/>
          <w:szCs w:val="22"/>
          <w:lang w:val="es-ES" w:eastAsia="es-ES"/>
        </w:rPr>
      </w:pPr>
    </w:p>
    <w:p w:rsidR="00ED5BC6" w:rsidRPr="00ED5BC6" w:rsidRDefault="00ED5BC6" w:rsidP="00ED5BC6">
      <w:pPr>
        <w:numPr>
          <w:ilvl w:val="0"/>
          <w:numId w:val="46"/>
        </w:numPr>
        <w:ind w:left="360" w:hanging="360"/>
        <w:contextualSpacing/>
        <w:jc w:val="both"/>
        <w:rPr>
          <w:rFonts w:ascii="Arial" w:hAnsi="Arial" w:cs="Arial"/>
          <w:sz w:val="22"/>
          <w:szCs w:val="22"/>
          <w:lang w:val="es-ES" w:eastAsia="es-ES"/>
        </w:rPr>
      </w:pPr>
      <w:r w:rsidRPr="00ED5BC6">
        <w:rPr>
          <w:rFonts w:ascii="Arial" w:hAnsi="Arial"/>
          <w:i/>
          <w:sz w:val="22"/>
          <w:szCs w:val="22"/>
          <w:lang w:val="es-ES" w:eastAsia="es-ES"/>
        </w:rPr>
        <w:t>Reafirma</w:t>
      </w:r>
      <w:r w:rsidRPr="00ED5BC6">
        <w:rPr>
          <w:rFonts w:ascii="Arial" w:hAnsi="Arial"/>
          <w:sz w:val="22"/>
          <w:szCs w:val="22"/>
          <w:lang w:val="es-ES" w:eastAsia="es-ES"/>
        </w:rPr>
        <w:t xml:space="preserve"> las normas adoptadas por la Convención para el tratamiento de los casos de sinonimia, división y agregación (agrupación) de especies como resultado de un cambio de referencia de nomenclatura normalizada, como sigue: </w:t>
      </w:r>
    </w:p>
    <w:p w:rsidR="00ED5BC6" w:rsidRPr="00ED5BC6" w:rsidRDefault="00ED5BC6" w:rsidP="00ED5BC6">
      <w:pPr>
        <w:widowControl/>
        <w:adjustRightInd/>
        <w:jc w:val="both"/>
        <w:rPr>
          <w:rFonts w:ascii="Arial" w:hAnsi="Arial" w:cs="Arial"/>
          <w:color w:val="000000"/>
          <w:sz w:val="22"/>
          <w:szCs w:val="22"/>
          <w:lang w:val="es-ES" w:eastAsia="es-ES"/>
        </w:rPr>
      </w:pPr>
    </w:p>
    <w:p w:rsidR="00ED5BC6" w:rsidRPr="00ED5BC6" w:rsidRDefault="00ED5BC6" w:rsidP="00ED5BC6">
      <w:pPr>
        <w:widowControl/>
        <w:adjustRightInd/>
        <w:ind w:left="714" w:hanging="357"/>
        <w:jc w:val="both"/>
        <w:rPr>
          <w:rFonts w:ascii="Arial" w:hAnsi="Arial" w:cs="Arial"/>
          <w:color w:val="000000"/>
          <w:sz w:val="22"/>
          <w:szCs w:val="22"/>
          <w:lang w:val="es-ES" w:eastAsia="es-ES"/>
        </w:rPr>
      </w:pPr>
      <w:r w:rsidRPr="00ED5BC6">
        <w:rPr>
          <w:rFonts w:ascii="Arial" w:hAnsi="Arial" w:cs="Arial"/>
          <w:color w:val="000000"/>
          <w:sz w:val="22"/>
          <w:szCs w:val="22"/>
          <w:lang w:val="es-ES" w:eastAsia="es-ES"/>
        </w:rPr>
        <w:sym w:font="Symbol" w:char="F0B7"/>
      </w:r>
      <w:r w:rsidRPr="00ED5BC6">
        <w:rPr>
          <w:rFonts w:ascii="Arial" w:hAnsi="Arial"/>
          <w:color w:val="000000"/>
          <w:sz w:val="22"/>
          <w:szCs w:val="22"/>
          <w:lang w:val="es-ES" w:eastAsia="es-ES"/>
        </w:rPr>
        <w:t xml:space="preserve"> </w:t>
      </w:r>
      <w:r w:rsidRPr="00ED5BC6">
        <w:rPr>
          <w:color w:val="000000"/>
          <w:sz w:val="22"/>
          <w:szCs w:val="22"/>
          <w:lang w:val="es-ES" w:eastAsia="es-ES"/>
        </w:rPr>
        <w:tab/>
      </w:r>
      <w:r w:rsidRPr="00ED5BC6">
        <w:rPr>
          <w:rFonts w:ascii="Arial" w:hAnsi="Arial"/>
          <w:color w:val="000000"/>
          <w:sz w:val="22"/>
          <w:szCs w:val="22"/>
          <w:lang w:val="es-ES" w:eastAsia="es-ES"/>
        </w:rPr>
        <w:t xml:space="preserve">Sinonimia: se pueden hacer correcciones de forma automática, ya que no hay cambio de estatus de ninguna población incluida en los Apéndices; </w:t>
      </w:r>
    </w:p>
    <w:p w:rsidR="00ED5BC6" w:rsidRPr="00ED5BC6" w:rsidRDefault="00ED5BC6" w:rsidP="00ED5BC6">
      <w:pPr>
        <w:widowControl/>
        <w:adjustRightInd/>
        <w:ind w:left="714" w:hanging="357"/>
        <w:jc w:val="both"/>
        <w:rPr>
          <w:rFonts w:ascii="Arial" w:hAnsi="Arial" w:cs="Arial"/>
          <w:color w:val="000000"/>
          <w:sz w:val="22"/>
          <w:szCs w:val="22"/>
          <w:lang w:val="es-ES" w:eastAsia="es-ES"/>
        </w:rPr>
      </w:pPr>
    </w:p>
    <w:p w:rsidR="00ED5BC6" w:rsidRPr="00ED5BC6" w:rsidRDefault="00ED5BC6" w:rsidP="00ED5BC6">
      <w:pPr>
        <w:widowControl/>
        <w:adjustRightInd/>
        <w:ind w:left="714" w:hanging="357"/>
        <w:jc w:val="both"/>
        <w:rPr>
          <w:rFonts w:ascii="Arial" w:hAnsi="Arial" w:cs="Arial"/>
          <w:color w:val="000000"/>
          <w:sz w:val="22"/>
          <w:szCs w:val="22"/>
          <w:lang w:val="es-ES" w:eastAsia="es-ES"/>
        </w:rPr>
      </w:pPr>
      <w:r w:rsidRPr="00ED5BC6">
        <w:rPr>
          <w:rFonts w:ascii="Arial" w:hAnsi="Arial" w:cs="Arial"/>
          <w:color w:val="000000"/>
          <w:sz w:val="22"/>
          <w:szCs w:val="22"/>
          <w:lang w:val="es-ES" w:eastAsia="es-ES"/>
        </w:rPr>
        <w:lastRenderedPageBreak/>
        <w:sym w:font="Symbol" w:char="F0B7"/>
      </w:r>
      <w:r w:rsidRPr="00ED5BC6">
        <w:rPr>
          <w:rFonts w:ascii="Arial" w:hAnsi="Arial"/>
          <w:color w:val="000000"/>
          <w:sz w:val="22"/>
          <w:szCs w:val="22"/>
          <w:lang w:val="es-ES" w:eastAsia="es-ES"/>
        </w:rPr>
        <w:t xml:space="preserve"> </w:t>
      </w:r>
      <w:r w:rsidRPr="00ED5BC6">
        <w:rPr>
          <w:color w:val="000000"/>
          <w:sz w:val="22"/>
          <w:szCs w:val="22"/>
          <w:lang w:val="es-ES" w:eastAsia="es-ES"/>
        </w:rPr>
        <w:tab/>
      </w:r>
      <w:r w:rsidRPr="00ED5BC6">
        <w:rPr>
          <w:rFonts w:ascii="Arial" w:hAnsi="Arial"/>
          <w:color w:val="000000"/>
          <w:sz w:val="22"/>
          <w:szCs w:val="22"/>
          <w:lang w:val="es-ES" w:eastAsia="es-ES"/>
        </w:rPr>
        <w:t xml:space="preserve">División: cuando un taxón incluido en las listas se divide en dos o más, cada uno de los taxones resultante conserva el estatus del antiguo taxón agregado; y </w:t>
      </w:r>
    </w:p>
    <w:p w:rsidR="00ED5BC6" w:rsidRPr="00ED5BC6" w:rsidRDefault="00ED5BC6" w:rsidP="00ED5BC6">
      <w:pPr>
        <w:widowControl/>
        <w:adjustRightInd/>
        <w:ind w:left="714" w:hanging="357"/>
        <w:jc w:val="both"/>
        <w:rPr>
          <w:rFonts w:ascii="Arial" w:hAnsi="Arial" w:cs="Arial"/>
          <w:color w:val="000000"/>
          <w:sz w:val="22"/>
          <w:szCs w:val="22"/>
          <w:lang w:val="es-ES" w:eastAsia="es-ES"/>
        </w:rPr>
      </w:pPr>
    </w:p>
    <w:p w:rsidR="00ED5BC6" w:rsidRPr="00ED5BC6" w:rsidRDefault="00ED5BC6" w:rsidP="00ED5BC6">
      <w:pPr>
        <w:ind w:left="714" w:hanging="357"/>
        <w:jc w:val="both"/>
        <w:rPr>
          <w:rFonts w:ascii="Arial" w:hAnsi="Arial" w:cs="Arial"/>
          <w:sz w:val="22"/>
          <w:szCs w:val="22"/>
          <w:lang w:val="es-ES" w:eastAsia="es-ES"/>
        </w:rPr>
      </w:pPr>
      <w:r w:rsidRPr="00ED5BC6">
        <w:rPr>
          <w:rFonts w:ascii="Arial" w:hAnsi="Arial" w:cs="Arial"/>
          <w:sz w:val="22"/>
          <w:szCs w:val="22"/>
          <w:lang w:val="es-ES" w:eastAsia="es-ES"/>
        </w:rPr>
        <w:sym w:font="Symbol" w:char="F0B7"/>
      </w:r>
      <w:r w:rsidRPr="00ED5BC6">
        <w:rPr>
          <w:rFonts w:ascii="Arial" w:hAnsi="Arial"/>
          <w:sz w:val="22"/>
          <w:szCs w:val="22"/>
          <w:lang w:val="es-ES" w:eastAsia="es-ES"/>
        </w:rPr>
        <w:t xml:space="preserve"> </w:t>
      </w:r>
      <w:r w:rsidRPr="00ED5BC6">
        <w:rPr>
          <w:sz w:val="22"/>
          <w:szCs w:val="22"/>
          <w:lang w:val="es-ES" w:eastAsia="es-ES"/>
        </w:rPr>
        <w:tab/>
      </w:r>
      <w:r w:rsidRPr="00ED5BC6">
        <w:rPr>
          <w:rFonts w:ascii="Arial" w:hAnsi="Arial"/>
          <w:sz w:val="22"/>
          <w:szCs w:val="22"/>
          <w:lang w:val="es-ES" w:eastAsia="es-ES"/>
        </w:rPr>
        <w:t>Agregación (agrupación): si un taxón que figura en el Apéndice I o el Apéndice II de la Convención se fusiona con uno o más taxones no incluidos en los Apéndices, bajo su nombre o bajo uno de los taxones no incluidos, el taxón agregado entero se incluirá en el Apéndice que contenía el taxón más restringido incluido originalmente, en todos los casos en que la entidad no incluida, y por tanto añadida, presenta un estado de conservación igual o peor del taxón que estaba incluido precedentemente. En los demás casos, se introducirá una restricción taxonómica o geográfica, en espera de que el Consejo Científico y la Conferencia de las Partes examinen las propuestas de inclusión ampliada;</w:t>
      </w:r>
    </w:p>
    <w:p w:rsidR="00ED5BC6" w:rsidRPr="00ED5BC6" w:rsidRDefault="00ED5BC6" w:rsidP="00ED5BC6">
      <w:pPr>
        <w:jc w:val="both"/>
        <w:rPr>
          <w:rFonts w:ascii="Arial" w:hAnsi="Arial" w:cs="Arial"/>
          <w:sz w:val="22"/>
          <w:szCs w:val="22"/>
          <w:lang w:val="es-ES" w:eastAsia="es-ES"/>
        </w:rPr>
      </w:pPr>
    </w:p>
    <w:p w:rsidR="00ED5BC6" w:rsidRPr="00ED5BC6" w:rsidRDefault="00ED5BC6" w:rsidP="00ED5BC6">
      <w:pPr>
        <w:numPr>
          <w:ilvl w:val="0"/>
          <w:numId w:val="46"/>
        </w:numPr>
        <w:ind w:left="360" w:hanging="360"/>
        <w:contextualSpacing/>
        <w:jc w:val="both"/>
        <w:rPr>
          <w:rFonts w:ascii="Arial" w:hAnsi="Arial" w:cs="Arial"/>
          <w:sz w:val="22"/>
          <w:szCs w:val="22"/>
          <w:lang w:val="es-ES" w:eastAsia="es-ES"/>
        </w:rPr>
      </w:pPr>
      <w:r w:rsidRPr="00ED5BC6">
        <w:rPr>
          <w:rFonts w:ascii="Arial" w:hAnsi="Arial"/>
          <w:i/>
          <w:sz w:val="22"/>
          <w:szCs w:val="22"/>
          <w:lang w:val="es-ES" w:eastAsia="es-ES"/>
        </w:rPr>
        <w:t xml:space="preserve">Insta </w:t>
      </w:r>
      <w:r w:rsidRPr="00ED5BC6">
        <w:rPr>
          <w:rFonts w:ascii="Arial" w:hAnsi="Arial"/>
          <w:sz w:val="22"/>
          <w:szCs w:val="22"/>
          <w:lang w:val="es-ES" w:eastAsia="es-ES"/>
        </w:rPr>
        <w:t xml:space="preserve">a otros AAM a adoptar la misma referencia taxonómica estándar para las aves paseriformes; y </w:t>
      </w:r>
    </w:p>
    <w:p w:rsidR="00ED5BC6" w:rsidRPr="00ED5BC6" w:rsidRDefault="00ED5BC6" w:rsidP="00ED5BC6">
      <w:pPr>
        <w:ind w:left="360"/>
        <w:contextualSpacing/>
        <w:jc w:val="both"/>
        <w:rPr>
          <w:rFonts w:ascii="Arial" w:hAnsi="Arial" w:cs="Arial"/>
          <w:i/>
          <w:sz w:val="22"/>
          <w:szCs w:val="22"/>
          <w:lang w:val="es-ES" w:eastAsia="es-ES"/>
        </w:rPr>
      </w:pPr>
    </w:p>
    <w:p w:rsidR="00ED5BC6" w:rsidRPr="00ED5BC6" w:rsidRDefault="00ED5BC6" w:rsidP="00ED5BC6">
      <w:pPr>
        <w:numPr>
          <w:ilvl w:val="0"/>
          <w:numId w:val="46"/>
        </w:numPr>
        <w:ind w:left="360" w:hanging="360"/>
        <w:contextualSpacing/>
        <w:jc w:val="both"/>
        <w:rPr>
          <w:rFonts w:ascii="Arial" w:hAnsi="Arial" w:cs="Arial"/>
          <w:sz w:val="22"/>
          <w:szCs w:val="22"/>
          <w:lang w:val="es-ES" w:eastAsia="es-ES"/>
        </w:rPr>
      </w:pPr>
      <w:r w:rsidRPr="00ED5BC6">
        <w:rPr>
          <w:rFonts w:ascii="Arial" w:hAnsi="Arial"/>
          <w:i/>
          <w:sz w:val="22"/>
          <w:szCs w:val="22"/>
          <w:lang w:val="es-ES" w:eastAsia="es-ES"/>
        </w:rPr>
        <w:t>Revoca</w:t>
      </w:r>
      <w:r w:rsidRPr="00ED5BC6">
        <w:rPr>
          <w:rFonts w:ascii="Arial" w:hAnsi="Arial"/>
          <w:sz w:val="22"/>
          <w:szCs w:val="22"/>
          <w:lang w:val="es-ES" w:eastAsia="es-ES"/>
        </w:rPr>
        <w:t xml:space="preserve"> </w:t>
      </w:r>
    </w:p>
    <w:p w:rsidR="00ED5BC6" w:rsidRPr="00ED5BC6" w:rsidRDefault="00ED5BC6" w:rsidP="00ED5BC6">
      <w:pPr>
        <w:jc w:val="both"/>
        <w:rPr>
          <w:rFonts w:ascii="Arial" w:hAnsi="Arial" w:cs="Arial"/>
          <w:sz w:val="22"/>
          <w:szCs w:val="22"/>
          <w:lang w:val="es-ES" w:eastAsia="es-ES"/>
        </w:rPr>
      </w:pPr>
    </w:p>
    <w:p w:rsidR="00ED5BC6" w:rsidRPr="00ED5BC6" w:rsidRDefault="00ED5BC6" w:rsidP="00ED5BC6">
      <w:pPr>
        <w:numPr>
          <w:ilvl w:val="0"/>
          <w:numId w:val="47"/>
        </w:numPr>
        <w:ind w:hanging="720"/>
        <w:contextualSpacing/>
        <w:jc w:val="both"/>
        <w:rPr>
          <w:rFonts w:ascii="Arial" w:hAnsi="Arial" w:cs="Arial"/>
          <w:sz w:val="22"/>
          <w:szCs w:val="22"/>
          <w:lang w:val="es-ES" w:eastAsia="es-ES"/>
        </w:rPr>
      </w:pPr>
      <w:r w:rsidRPr="00ED5BC6">
        <w:rPr>
          <w:rFonts w:ascii="Arial" w:hAnsi="Arial"/>
          <w:sz w:val="22"/>
          <w:szCs w:val="22"/>
          <w:lang w:val="es-ES" w:eastAsia="es-ES"/>
        </w:rPr>
        <w:t xml:space="preserve">La Recomendación 6.1, </w:t>
      </w:r>
      <w:r w:rsidRPr="00ED5BC6">
        <w:rPr>
          <w:rFonts w:ascii="Arial" w:hAnsi="Arial"/>
          <w:i/>
          <w:sz w:val="22"/>
          <w:szCs w:val="22"/>
          <w:lang w:val="es-ES" w:eastAsia="es-ES"/>
        </w:rPr>
        <w:t>Nomenclatura estandarizada para los Apéndices de la CMS;</w:t>
      </w:r>
    </w:p>
    <w:p w:rsidR="00ED5BC6" w:rsidRPr="00ED5BC6" w:rsidRDefault="00ED5BC6" w:rsidP="00ED5BC6">
      <w:pPr>
        <w:ind w:left="1440" w:hanging="720"/>
        <w:contextualSpacing/>
        <w:jc w:val="both"/>
        <w:rPr>
          <w:rFonts w:ascii="Arial" w:hAnsi="Arial" w:cs="Arial"/>
          <w:sz w:val="22"/>
          <w:szCs w:val="22"/>
          <w:lang w:val="es-ES" w:eastAsia="es-ES"/>
        </w:rPr>
      </w:pPr>
    </w:p>
    <w:p w:rsidR="00ED5BC6" w:rsidRPr="00ED5BC6" w:rsidRDefault="00ED5BC6" w:rsidP="00ED5BC6">
      <w:pPr>
        <w:numPr>
          <w:ilvl w:val="0"/>
          <w:numId w:val="47"/>
        </w:numPr>
        <w:ind w:hanging="720"/>
        <w:contextualSpacing/>
        <w:jc w:val="both"/>
        <w:rPr>
          <w:rFonts w:ascii="Arial" w:hAnsi="Arial" w:cs="Arial"/>
          <w:sz w:val="22"/>
          <w:szCs w:val="22"/>
          <w:lang w:val="es-ES" w:eastAsia="es-ES"/>
        </w:rPr>
      </w:pPr>
      <w:r w:rsidRPr="00ED5BC6">
        <w:rPr>
          <w:rFonts w:ascii="Arial" w:hAnsi="Arial"/>
          <w:sz w:val="22"/>
          <w:szCs w:val="22"/>
          <w:lang w:val="es-ES" w:eastAsia="es-ES"/>
        </w:rPr>
        <w:t xml:space="preserve">La Recomendación 9.4, </w:t>
      </w:r>
      <w:r w:rsidRPr="00ED5BC6">
        <w:rPr>
          <w:rFonts w:ascii="Arial" w:hAnsi="Arial"/>
          <w:i/>
          <w:sz w:val="22"/>
          <w:szCs w:val="22"/>
          <w:lang w:val="es-ES" w:eastAsia="es-ES"/>
        </w:rPr>
        <w:t>Nomenclatura estandarizada para los Apéndices de la CMS;</w:t>
      </w:r>
    </w:p>
    <w:p w:rsidR="00ED5BC6" w:rsidRPr="00ED5BC6" w:rsidRDefault="00ED5BC6" w:rsidP="00ED5BC6">
      <w:pPr>
        <w:ind w:left="1440" w:hanging="720"/>
        <w:jc w:val="both"/>
        <w:rPr>
          <w:rFonts w:ascii="Arial" w:hAnsi="Arial" w:cs="Arial"/>
          <w:sz w:val="22"/>
          <w:szCs w:val="22"/>
          <w:lang w:val="es-ES" w:eastAsia="es-ES"/>
        </w:rPr>
      </w:pPr>
    </w:p>
    <w:p w:rsidR="00ED5BC6" w:rsidRPr="00ED5BC6" w:rsidRDefault="00ED5BC6" w:rsidP="00ED5BC6">
      <w:pPr>
        <w:numPr>
          <w:ilvl w:val="0"/>
          <w:numId w:val="47"/>
        </w:numPr>
        <w:ind w:hanging="720"/>
        <w:contextualSpacing/>
        <w:jc w:val="both"/>
        <w:rPr>
          <w:rFonts w:ascii="Arial" w:hAnsi="Arial" w:cs="Arial"/>
          <w:sz w:val="22"/>
          <w:szCs w:val="22"/>
          <w:lang w:val="es-ES" w:eastAsia="es-ES"/>
        </w:rPr>
      </w:pPr>
      <w:r w:rsidRPr="00ED5BC6">
        <w:rPr>
          <w:rFonts w:ascii="Arial" w:hAnsi="Arial"/>
          <w:sz w:val="22"/>
          <w:szCs w:val="22"/>
          <w:lang w:val="es-ES" w:eastAsia="es-ES"/>
        </w:rPr>
        <w:t xml:space="preserve">La Resolución 10.13, </w:t>
      </w:r>
      <w:r w:rsidRPr="00ED5BC6">
        <w:rPr>
          <w:rFonts w:ascii="Arial" w:hAnsi="Arial"/>
          <w:i/>
          <w:sz w:val="22"/>
          <w:szCs w:val="22"/>
          <w:lang w:val="es-ES" w:eastAsia="es-ES"/>
        </w:rPr>
        <w:t>Nomenclatura estandarizada para las aves incluidas en los Apéndices de la CMS; y</w:t>
      </w:r>
    </w:p>
    <w:p w:rsidR="00ED5BC6" w:rsidRPr="00ED5BC6" w:rsidRDefault="00ED5BC6" w:rsidP="00ED5BC6">
      <w:pPr>
        <w:ind w:left="1440" w:hanging="720"/>
        <w:jc w:val="both"/>
        <w:rPr>
          <w:rFonts w:ascii="Arial" w:hAnsi="Arial" w:cs="Arial"/>
          <w:sz w:val="22"/>
          <w:szCs w:val="22"/>
          <w:lang w:val="es-ES" w:eastAsia="es-ES"/>
        </w:rPr>
      </w:pPr>
    </w:p>
    <w:p w:rsidR="00ED5BC6" w:rsidRPr="00ED5BC6" w:rsidRDefault="00ED5BC6" w:rsidP="00ED5BC6">
      <w:pPr>
        <w:numPr>
          <w:ilvl w:val="0"/>
          <w:numId w:val="47"/>
        </w:numPr>
        <w:ind w:hanging="720"/>
        <w:contextualSpacing/>
        <w:jc w:val="both"/>
        <w:rPr>
          <w:rFonts w:ascii="Arial" w:hAnsi="Arial" w:cs="Arial"/>
          <w:sz w:val="22"/>
          <w:szCs w:val="22"/>
          <w:u w:val="single"/>
          <w:lang w:val="es-ES" w:eastAsia="es-ES"/>
        </w:rPr>
      </w:pPr>
      <w:r w:rsidRPr="00ED5BC6">
        <w:rPr>
          <w:rFonts w:ascii="Arial" w:hAnsi="Arial"/>
          <w:sz w:val="22"/>
          <w:szCs w:val="22"/>
          <w:lang w:val="es-ES" w:eastAsia="es-ES"/>
        </w:rPr>
        <w:t xml:space="preserve">La Resolución 11.19, </w:t>
      </w:r>
      <w:r w:rsidRPr="00ED5BC6">
        <w:rPr>
          <w:rFonts w:ascii="Arial" w:hAnsi="Arial"/>
          <w:i/>
          <w:sz w:val="22"/>
          <w:szCs w:val="22"/>
          <w:lang w:val="es-ES" w:eastAsia="es-ES"/>
        </w:rPr>
        <w:t>Taxonomía y nomenclatura de las aves incluidas en los Apéndices de la CMS</w:t>
      </w:r>
      <w:r w:rsidRPr="00ED5BC6">
        <w:rPr>
          <w:rFonts w:ascii="Arial" w:hAnsi="Arial"/>
          <w:sz w:val="22"/>
          <w:szCs w:val="22"/>
          <w:lang w:val="es-ES" w:eastAsia="es-ES"/>
        </w:rPr>
        <w:t>.</w:t>
      </w:r>
    </w:p>
    <w:p w:rsidR="00ED5BC6" w:rsidRPr="00ED5BC6" w:rsidRDefault="00ED5BC6" w:rsidP="00ED5BC6">
      <w:pPr>
        <w:ind w:left="360"/>
        <w:contextualSpacing/>
        <w:jc w:val="both"/>
        <w:rPr>
          <w:rFonts w:ascii="Arial" w:hAnsi="Arial" w:cs="Arial"/>
          <w:i/>
          <w:sz w:val="22"/>
          <w:szCs w:val="22"/>
          <w:lang w:val="es-ES" w:eastAsia="es-ES"/>
        </w:rPr>
      </w:pPr>
    </w:p>
    <w:p w:rsidR="00ED5BC6" w:rsidRDefault="00ED5BC6">
      <w:pPr>
        <w:widowControl/>
        <w:autoSpaceDE/>
        <w:autoSpaceDN/>
        <w:adjustRightInd/>
        <w:rPr>
          <w:rFonts w:ascii="Arial" w:hAnsi="Arial" w:cs="Arial"/>
          <w:sz w:val="22"/>
          <w:szCs w:val="17"/>
          <w:lang w:val="es-ES"/>
        </w:rPr>
      </w:pPr>
      <w:r>
        <w:rPr>
          <w:rFonts w:ascii="Arial" w:hAnsi="Arial" w:cs="Arial"/>
          <w:sz w:val="22"/>
          <w:szCs w:val="17"/>
          <w:lang w:val="es-ES"/>
        </w:rPr>
        <w:br w:type="page"/>
      </w:r>
    </w:p>
    <w:p w:rsidR="00ED5BC6" w:rsidRPr="00ED5BC6" w:rsidRDefault="00E97001" w:rsidP="00ED5BC6">
      <w:pPr>
        <w:widowControl/>
        <w:autoSpaceDE/>
        <w:adjustRightInd/>
        <w:jc w:val="right"/>
        <w:rPr>
          <w:rFonts w:ascii="Arial" w:hAnsi="Arial" w:cs="Arial"/>
          <w:b/>
          <w:sz w:val="22"/>
          <w:szCs w:val="22"/>
          <w:lang w:val="es-ES" w:eastAsia="es-ES"/>
        </w:rPr>
      </w:pPr>
      <w:r>
        <w:rPr>
          <w:rFonts w:ascii="Arial" w:hAnsi="Arial"/>
          <w:b/>
          <w:sz w:val="22"/>
          <w:lang w:val="es-ES" w:eastAsia="es-ES"/>
        </w:rPr>
        <w:lastRenderedPageBreak/>
        <w:t>ANEXO 1 a la resolución</w:t>
      </w:r>
    </w:p>
    <w:p w:rsidR="00ED5BC6" w:rsidRPr="00ED5BC6" w:rsidRDefault="00ED5BC6" w:rsidP="00ED5BC6">
      <w:pPr>
        <w:jc w:val="center"/>
        <w:rPr>
          <w:rFonts w:ascii="Arial" w:hAnsi="Arial" w:cs="Arial"/>
          <w:b/>
          <w:sz w:val="22"/>
          <w:szCs w:val="22"/>
          <w:lang w:val="es-ES" w:eastAsia="es-ES"/>
        </w:rPr>
      </w:pPr>
    </w:p>
    <w:p w:rsidR="00E97001" w:rsidRDefault="00E97001" w:rsidP="00ED5BC6">
      <w:pPr>
        <w:jc w:val="center"/>
        <w:rPr>
          <w:rFonts w:ascii="Arial" w:hAnsi="Arial"/>
          <w:b/>
          <w:sz w:val="22"/>
          <w:lang w:val="es-ES" w:eastAsia="es-ES"/>
        </w:rPr>
      </w:pPr>
      <w:r>
        <w:rPr>
          <w:rFonts w:ascii="Arial" w:hAnsi="Arial"/>
          <w:b/>
          <w:sz w:val="22"/>
          <w:lang w:val="es-ES" w:eastAsia="es-ES"/>
        </w:rPr>
        <w:t>LISTA DE REFERENCIAS ESTANDARIZADAS</w:t>
      </w:r>
      <w:r w:rsidR="00ED5BC6" w:rsidRPr="00ED5BC6">
        <w:rPr>
          <w:rFonts w:ascii="Arial" w:hAnsi="Arial"/>
          <w:b/>
          <w:sz w:val="22"/>
          <w:lang w:val="es-ES" w:eastAsia="es-ES"/>
        </w:rPr>
        <w:t xml:space="preserve"> ADOPTADA </w:t>
      </w:r>
    </w:p>
    <w:p w:rsidR="00ED5BC6" w:rsidRPr="00ED5BC6" w:rsidRDefault="00ED5BC6" w:rsidP="00E97001">
      <w:pPr>
        <w:jc w:val="center"/>
        <w:rPr>
          <w:rFonts w:ascii="Arial" w:hAnsi="Arial" w:cs="Arial"/>
          <w:b/>
          <w:sz w:val="22"/>
          <w:szCs w:val="22"/>
          <w:lang w:val="es-ES" w:eastAsia="es-ES"/>
        </w:rPr>
      </w:pPr>
      <w:r w:rsidRPr="00ED5BC6">
        <w:rPr>
          <w:rFonts w:ascii="Arial" w:hAnsi="Arial"/>
          <w:b/>
          <w:sz w:val="22"/>
          <w:lang w:val="es-ES" w:eastAsia="es-ES"/>
        </w:rPr>
        <w:t>POR LA CONFERENCIA DE LAS PARTES</w:t>
      </w:r>
    </w:p>
    <w:p w:rsidR="00ED5BC6" w:rsidRPr="00ED5BC6" w:rsidRDefault="00ED5BC6" w:rsidP="00ED5BC6">
      <w:pPr>
        <w:jc w:val="both"/>
        <w:rPr>
          <w:rFonts w:ascii="Arial" w:hAnsi="Arial" w:cs="Arial"/>
          <w:sz w:val="22"/>
          <w:szCs w:val="22"/>
          <w:lang w:val="es-ES" w:eastAsia="es-ES"/>
        </w:rPr>
      </w:pPr>
    </w:p>
    <w:p w:rsidR="00ED5BC6" w:rsidRPr="00ED5BC6" w:rsidRDefault="00ED5BC6" w:rsidP="00ED5BC6">
      <w:pPr>
        <w:jc w:val="both"/>
        <w:rPr>
          <w:rFonts w:ascii="Arial" w:hAnsi="Arial" w:cs="Arial"/>
          <w:i/>
          <w:sz w:val="22"/>
          <w:szCs w:val="22"/>
          <w:lang w:val="es-ES" w:eastAsia="es-ES"/>
        </w:rPr>
      </w:pPr>
      <w:r w:rsidRPr="00ED5BC6">
        <w:rPr>
          <w:rFonts w:ascii="Arial" w:hAnsi="Arial"/>
          <w:i/>
          <w:sz w:val="22"/>
          <w:lang w:val="es-ES" w:eastAsia="es-ES"/>
        </w:rPr>
        <w:t xml:space="preserve">Mamíferos </w:t>
      </w:r>
    </w:p>
    <w:p w:rsidR="00ED5BC6" w:rsidRPr="00ED5BC6" w:rsidRDefault="00ED5BC6" w:rsidP="00ED5BC6">
      <w:pPr>
        <w:jc w:val="both"/>
        <w:rPr>
          <w:rFonts w:ascii="Arial" w:hAnsi="Arial" w:cs="Arial"/>
          <w:sz w:val="22"/>
          <w:szCs w:val="22"/>
          <w:lang w:val="es-ES" w:eastAsia="es-ES"/>
        </w:rPr>
      </w:pPr>
    </w:p>
    <w:p w:rsidR="00ED5BC6" w:rsidRPr="00FA2D5F" w:rsidRDefault="00ED5BC6" w:rsidP="00ED5BC6">
      <w:pPr>
        <w:ind w:firstLine="720"/>
        <w:jc w:val="both"/>
        <w:rPr>
          <w:rFonts w:ascii="Arial" w:hAnsi="Arial" w:cs="Arial"/>
          <w:sz w:val="22"/>
          <w:szCs w:val="22"/>
          <w:lang w:val="es-ES" w:eastAsia="es-ES"/>
        </w:rPr>
      </w:pPr>
      <w:r w:rsidRPr="00FA2D5F">
        <w:rPr>
          <w:rFonts w:ascii="Arial" w:hAnsi="Arial"/>
          <w:sz w:val="22"/>
          <w:lang w:val="es-ES" w:eastAsia="es-ES"/>
        </w:rPr>
        <w:t>Mamíferos marinos:</w:t>
      </w:r>
    </w:p>
    <w:p w:rsidR="00ED5BC6" w:rsidRPr="00FA2D5F" w:rsidRDefault="00ED5BC6" w:rsidP="00ED5BC6">
      <w:pPr>
        <w:jc w:val="both"/>
        <w:rPr>
          <w:rFonts w:ascii="Arial" w:hAnsi="Arial" w:cs="Arial"/>
          <w:sz w:val="22"/>
          <w:szCs w:val="22"/>
          <w:lang w:val="es-ES" w:eastAsia="es-ES"/>
        </w:rPr>
      </w:pPr>
    </w:p>
    <w:p w:rsidR="00ED5BC6" w:rsidRPr="00ED5BC6" w:rsidRDefault="00FA2D5F" w:rsidP="00ED5BC6">
      <w:pPr>
        <w:jc w:val="both"/>
        <w:rPr>
          <w:rFonts w:ascii="Arial" w:hAnsi="Arial" w:cs="Arial"/>
          <w:sz w:val="22"/>
          <w:szCs w:val="22"/>
          <w:lang w:val="es-ES" w:eastAsia="es-ES"/>
        </w:rPr>
      </w:pPr>
      <w:hyperlink r:id="rId9" w:history="1">
        <w:r w:rsidR="00ED5BC6" w:rsidRPr="0032297F">
          <w:rPr>
            <w:rFonts w:ascii="Arial" w:hAnsi="Arial"/>
            <w:color w:val="000000"/>
            <w:sz w:val="22"/>
            <w:lang w:val="en-PH" w:eastAsia="es-ES"/>
          </w:rPr>
          <w:t>Perrin</w:t>
        </w:r>
      </w:hyperlink>
      <w:r w:rsidR="00ED5BC6" w:rsidRPr="0032297F">
        <w:rPr>
          <w:rFonts w:ascii="Arial" w:hAnsi="Arial"/>
          <w:sz w:val="22"/>
          <w:lang w:val="en-PH" w:eastAsia="es-ES"/>
        </w:rPr>
        <w:t xml:space="preserve"> W.F., Wursig B. and Thewissen J.G.M. (Editores), (2009), Encyclopaedia of Marine Mammals, Segunda edición. </w:t>
      </w:r>
      <w:r w:rsidR="00ED5BC6" w:rsidRPr="00ED5BC6">
        <w:rPr>
          <w:rFonts w:ascii="Arial" w:hAnsi="Arial"/>
          <w:sz w:val="22"/>
          <w:lang w:val="es-ES" w:eastAsia="es-ES"/>
        </w:rPr>
        <w:t>Academic Press, como la nomenclatura estándar de referencia para los mamíferos marinos, recomendada por el Consejo Científico en su 15ª reunión;</w:t>
      </w:r>
    </w:p>
    <w:p w:rsidR="00ED5BC6" w:rsidRPr="00ED5BC6" w:rsidRDefault="00ED5BC6" w:rsidP="00ED5BC6">
      <w:pPr>
        <w:ind w:firstLine="720"/>
        <w:jc w:val="both"/>
        <w:rPr>
          <w:rFonts w:ascii="Arial" w:hAnsi="Arial" w:cs="Arial"/>
          <w:sz w:val="22"/>
          <w:szCs w:val="22"/>
          <w:lang w:val="es-ES" w:eastAsia="es-ES"/>
        </w:rPr>
      </w:pPr>
    </w:p>
    <w:p w:rsidR="00ED5BC6" w:rsidRPr="00ED5BC6" w:rsidRDefault="00ED5BC6" w:rsidP="00ED5BC6">
      <w:pPr>
        <w:ind w:firstLine="720"/>
        <w:jc w:val="both"/>
        <w:rPr>
          <w:rFonts w:ascii="Arial" w:hAnsi="Arial" w:cs="Arial"/>
          <w:sz w:val="22"/>
          <w:szCs w:val="22"/>
          <w:lang w:val="en-GB" w:eastAsia="es-ES"/>
        </w:rPr>
      </w:pPr>
      <w:r w:rsidRPr="00ED5BC6">
        <w:rPr>
          <w:rFonts w:ascii="Arial" w:hAnsi="Arial"/>
          <w:sz w:val="22"/>
          <w:lang w:val="en-GB" w:eastAsia="es-ES"/>
        </w:rPr>
        <w:t>Mamíferos terrestres:</w:t>
      </w:r>
    </w:p>
    <w:p w:rsidR="00ED5BC6" w:rsidRPr="00ED5BC6" w:rsidRDefault="00ED5BC6" w:rsidP="00ED5BC6">
      <w:pPr>
        <w:jc w:val="both"/>
        <w:rPr>
          <w:rFonts w:ascii="Arial" w:hAnsi="Arial" w:cs="Arial"/>
          <w:sz w:val="22"/>
          <w:szCs w:val="22"/>
          <w:lang w:val="en-GB" w:eastAsia="es-ES"/>
        </w:rPr>
      </w:pPr>
    </w:p>
    <w:p w:rsidR="00ED5BC6" w:rsidRPr="00ED5BC6" w:rsidRDefault="00ED5BC6" w:rsidP="00ED5BC6">
      <w:pPr>
        <w:jc w:val="both"/>
        <w:rPr>
          <w:rFonts w:ascii="Arial" w:hAnsi="Arial" w:cs="Arial"/>
          <w:sz w:val="22"/>
          <w:szCs w:val="22"/>
          <w:lang w:val="es-ES" w:eastAsia="es-ES"/>
        </w:rPr>
      </w:pPr>
      <w:r w:rsidRPr="00ED5BC6">
        <w:rPr>
          <w:rFonts w:ascii="Arial" w:hAnsi="Arial"/>
          <w:sz w:val="22"/>
          <w:lang w:val="en-GB" w:eastAsia="es-ES"/>
        </w:rPr>
        <w:t xml:space="preserve">Wilson, D. E. &amp; Reeder, D. M. (ed.) (2005): Mammal Species of the World. </w:t>
      </w:r>
      <w:r w:rsidRPr="00ED5BC6">
        <w:rPr>
          <w:rFonts w:ascii="Arial" w:hAnsi="Arial"/>
          <w:sz w:val="22"/>
          <w:lang w:val="es-ES" w:eastAsia="es-ES"/>
        </w:rPr>
        <w:t>A Taxonomic and Geographic Reference. Tercera edición, John Hopkins, University Press, como la nomenclatura estándar de referencia para los mamíferos terrestres, recomendada por el Consejo Científico</w:t>
      </w:r>
      <w:r w:rsidRPr="00ED5BC6">
        <w:rPr>
          <w:rFonts w:ascii="Arial" w:hAnsi="Arial"/>
          <w:sz w:val="22"/>
          <w:vertAlign w:val="superscript"/>
          <w:lang w:val="es-ES" w:eastAsia="es-ES"/>
        </w:rPr>
        <w:t>;</w:t>
      </w:r>
      <w:r w:rsidRPr="00ED5BC6">
        <w:rPr>
          <w:rFonts w:ascii="Arial" w:hAnsi="Arial"/>
          <w:sz w:val="22"/>
          <w:lang w:val="es-ES" w:eastAsia="es-ES"/>
        </w:rPr>
        <w:t>en su 14ª reunión;</w:t>
      </w:r>
    </w:p>
    <w:p w:rsidR="00ED5BC6" w:rsidRPr="00ED5BC6" w:rsidRDefault="00ED5BC6" w:rsidP="00ED5BC6">
      <w:pPr>
        <w:jc w:val="both"/>
        <w:rPr>
          <w:rFonts w:ascii="Arial" w:hAnsi="Arial" w:cs="Arial"/>
          <w:sz w:val="22"/>
          <w:szCs w:val="22"/>
          <w:lang w:val="es-ES" w:eastAsia="es-ES"/>
        </w:rPr>
      </w:pPr>
    </w:p>
    <w:p w:rsidR="00ED5BC6" w:rsidRPr="00ED5BC6" w:rsidRDefault="00ED5BC6" w:rsidP="00ED5BC6">
      <w:pPr>
        <w:jc w:val="both"/>
        <w:rPr>
          <w:rFonts w:ascii="Arial" w:hAnsi="Arial" w:cs="Arial"/>
          <w:sz w:val="22"/>
          <w:szCs w:val="22"/>
          <w:lang w:val="en-GB" w:eastAsia="es-ES"/>
        </w:rPr>
      </w:pPr>
      <w:r w:rsidRPr="00ED5BC6">
        <w:rPr>
          <w:rFonts w:ascii="Arial" w:hAnsi="Arial"/>
          <w:i/>
          <w:sz w:val="22"/>
          <w:lang w:val="en-GB" w:eastAsia="es-ES"/>
        </w:rPr>
        <w:t xml:space="preserve">Aves </w:t>
      </w:r>
    </w:p>
    <w:p w:rsidR="00ED5BC6" w:rsidRPr="00ED5BC6" w:rsidRDefault="00ED5BC6" w:rsidP="00ED5BC6">
      <w:pPr>
        <w:jc w:val="both"/>
        <w:rPr>
          <w:rFonts w:ascii="Arial" w:hAnsi="Arial" w:cs="Arial"/>
          <w:sz w:val="22"/>
          <w:szCs w:val="22"/>
          <w:lang w:val="en-GB" w:eastAsia="es-ES"/>
        </w:rPr>
      </w:pPr>
    </w:p>
    <w:p w:rsidR="00ED5BC6" w:rsidRPr="00ED5BC6" w:rsidRDefault="00ED5BC6" w:rsidP="00ED5BC6">
      <w:pPr>
        <w:ind w:firstLine="720"/>
        <w:jc w:val="both"/>
        <w:rPr>
          <w:rFonts w:ascii="Arial" w:hAnsi="Arial" w:cs="Arial"/>
          <w:sz w:val="22"/>
          <w:szCs w:val="22"/>
          <w:lang w:val="en-GB" w:eastAsia="es-ES"/>
        </w:rPr>
      </w:pPr>
      <w:r w:rsidRPr="00ED5BC6">
        <w:rPr>
          <w:rFonts w:ascii="Arial" w:hAnsi="Arial"/>
          <w:sz w:val="22"/>
          <w:lang w:val="en-GB" w:eastAsia="es-ES"/>
        </w:rPr>
        <w:t>Especies no paseriformes:</w:t>
      </w:r>
    </w:p>
    <w:p w:rsidR="00ED5BC6" w:rsidRPr="00ED5BC6" w:rsidRDefault="00ED5BC6" w:rsidP="00ED5BC6">
      <w:pPr>
        <w:jc w:val="both"/>
        <w:rPr>
          <w:rFonts w:ascii="Arial" w:hAnsi="Arial" w:cs="Arial"/>
          <w:sz w:val="22"/>
          <w:szCs w:val="22"/>
          <w:lang w:val="en-GB" w:eastAsia="es-ES"/>
        </w:rPr>
      </w:pPr>
    </w:p>
    <w:p w:rsidR="00ED5BC6" w:rsidRPr="00ED5BC6" w:rsidRDefault="00ED5BC6" w:rsidP="00ED5BC6">
      <w:pPr>
        <w:jc w:val="both"/>
        <w:rPr>
          <w:rFonts w:ascii="Arial" w:hAnsi="Arial" w:cs="Arial"/>
          <w:sz w:val="22"/>
          <w:szCs w:val="22"/>
          <w:lang w:val="en-GB" w:eastAsia="es-ES"/>
        </w:rPr>
      </w:pPr>
      <w:r w:rsidRPr="00ED5BC6">
        <w:rPr>
          <w:rFonts w:ascii="Arial" w:hAnsi="Arial"/>
          <w:sz w:val="22"/>
          <w:lang w:val="en-GB" w:eastAsia="es-ES"/>
        </w:rPr>
        <w:t>Handbook of the Birds of the World/BirdLife International Illustrated Checklist of the Birds of the World, Volume 1: Non-passerines, by Josep del Hoyo, Nigel J. Collar, David A. Christie, Andrew Elliot and Lincoln D.C. Fishpool (2014);</w:t>
      </w:r>
    </w:p>
    <w:p w:rsidR="00ED5BC6" w:rsidRPr="00ED5BC6" w:rsidRDefault="00ED5BC6" w:rsidP="00ED5BC6">
      <w:pPr>
        <w:jc w:val="both"/>
        <w:rPr>
          <w:rFonts w:ascii="Arial" w:hAnsi="Arial" w:cs="Arial"/>
          <w:sz w:val="22"/>
          <w:szCs w:val="22"/>
          <w:lang w:val="en-GB" w:eastAsia="es-ES"/>
        </w:rPr>
      </w:pPr>
    </w:p>
    <w:p w:rsidR="00ED5BC6" w:rsidRPr="00ED5BC6" w:rsidRDefault="00ED5BC6" w:rsidP="00ED5BC6">
      <w:pPr>
        <w:widowControl/>
        <w:adjustRightInd/>
        <w:ind w:firstLine="720"/>
        <w:jc w:val="both"/>
        <w:rPr>
          <w:rFonts w:ascii="Arial" w:hAnsi="Arial" w:cs="Arial"/>
          <w:color w:val="000000"/>
          <w:sz w:val="22"/>
          <w:szCs w:val="22"/>
          <w:lang w:val="en-GB" w:eastAsia="es-ES"/>
        </w:rPr>
      </w:pPr>
      <w:r w:rsidRPr="00ED5BC6">
        <w:rPr>
          <w:rFonts w:ascii="Arial" w:hAnsi="Arial"/>
          <w:color w:val="000000"/>
          <w:sz w:val="22"/>
          <w:lang w:val="en-GB" w:eastAsia="es-ES"/>
        </w:rPr>
        <w:t>Especies paseriformes:</w:t>
      </w:r>
    </w:p>
    <w:p w:rsidR="00ED5BC6" w:rsidRPr="00ED5BC6" w:rsidRDefault="00ED5BC6" w:rsidP="00ED5BC6">
      <w:pPr>
        <w:jc w:val="both"/>
        <w:rPr>
          <w:rFonts w:ascii="Arial" w:hAnsi="Arial" w:cs="Arial"/>
          <w:spacing w:val="-4"/>
          <w:sz w:val="22"/>
          <w:szCs w:val="22"/>
          <w:u w:val="single"/>
          <w:lang w:val="en-GB" w:eastAsia="es-ES"/>
        </w:rPr>
      </w:pPr>
    </w:p>
    <w:p w:rsidR="00ED5BC6" w:rsidRPr="00DC3E3B" w:rsidRDefault="00ED5BC6" w:rsidP="00ED5BC6">
      <w:pPr>
        <w:jc w:val="both"/>
        <w:rPr>
          <w:rFonts w:ascii="Arial" w:hAnsi="Arial" w:cs="Arial"/>
          <w:spacing w:val="-4"/>
          <w:sz w:val="22"/>
          <w:szCs w:val="22"/>
          <w:lang w:val="en-GB" w:eastAsia="es-ES"/>
        </w:rPr>
      </w:pPr>
      <w:r w:rsidRPr="00DC3E3B">
        <w:rPr>
          <w:rFonts w:ascii="Arial" w:hAnsi="Arial"/>
          <w:spacing w:val="-4"/>
          <w:sz w:val="22"/>
          <w:lang w:val="en-GB" w:eastAsia="es-ES"/>
        </w:rPr>
        <w:t>Handbook of the Birds of the World/BirdLife International Illustrated Checklist of the Birds of the World, Volume 2: Passerines, by Josep del Hoyo and Nigel J. Collar (2016);</w:t>
      </w:r>
    </w:p>
    <w:p w:rsidR="00ED5BC6" w:rsidRPr="00ED5BC6" w:rsidRDefault="00ED5BC6" w:rsidP="00ED5BC6">
      <w:pPr>
        <w:widowControl/>
        <w:adjustRightInd/>
        <w:jc w:val="both"/>
        <w:rPr>
          <w:rFonts w:ascii="Arial" w:hAnsi="Arial" w:cs="Arial"/>
          <w:i/>
          <w:color w:val="000000"/>
          <w:spacing w:val="-4"/>
          <w:sz w:val="22"/>
          <w:szCs w:val="22"/>
          <w:lang w:val="en-GB" w:eastAsia="es-ES"/>
        </w:rPr>
      </w:pPr>
    </w:p>
    <w:p w:rsidR="00ED5BC6" w:rsidRPr="00ED5BC6" w:rsidRDefault="00ED5BC6" w:rsidP="00ED5BC6">
      <w:pPr>
        <w:widowControl/>
        <w:adjustRightInd/>
        <w:jc w:val="both"/>
        <w:rPr>
          <w:rFonts w:ascii="Arial" w:hAnsi="Arial" w:cs="Arial"/>
          <w:color w:val="000000"/>
          <w:spacing w:val="-4"/>
          <w:sz w:val="22"/>
          <w:szCs w:val="22"/>
          <w:lang w:val="en-GB" w:eastAsia="es-ES"/>
        </w:rPr>
      </w:pPr>
      <w:r w:rsidRPr="00ED5BC6">
        <w:rPr>
          <w:rFonts w:ascii="Arial" w:hAnsi="Arial"/>
          <w:i/>
          <w:color w:val="000000"/>
          <w:spacing w:val="-4"/>
          <w:sz w:val="22"/>
          <w:lang w:val="en-GB" w:eastAsia="es-ES"/>
        </w:rPr>
        <w:t xml:space="preserve">Tortugas marinas </w:t>
      </w:r>
    </w:p>
    <w:p w:rsidR="00ED5BC6" w:rsidRPr="00ED5BC6" w:rsidRDefault="00ED5BC6" w:rsidP="00ED5BC6">
      <w:pPr>
        <w:widowControl/>
        <w:adjustRightInd/>
        <w:jc w:val="both"/>
        <w:rPr>
          <w:rFonts w:ascii="Arial" w:hAnsi="Arial" w:cs="Arial"/>
          <w:color w:val="000000"/>
          <w:spacing w:val="-4"/>
          <w:sz w:val="22"/>
          <w:szCs w:val="22"/>
          <w:lang w:val="en-GB" w:eastAsia="es-ES"/>
        </w:rPr>
      </w:pPr>
    </w:p>
    <w:p w:rsidR="00ED5BC6" w:rsidRPr="00ED5BC6" w:rsidRDefault="00ED5BC6" w:rsidP="00ED5BC6">
      <w:pPr>
        <w:widowControl/>
        <w:adjustRightInd/>
        <w:jc w:val="both"/>
        <w:rPr>
          <w:rFonts w:ascii="Arial" w:hAnsi="Arial" w:cs="Arial"/>
          <w:color w:val="000000"/>
          <w:sz w:val="22"/>
          <w:szCs w:val="22"/>
          <w:lang w:val="en-GB" w:eastAsia="es-ES"/>
        </w:rPr>
      </w:pPr>
      <w:r w:rsidRPr="00ED5BC6">
        <w:rPr>
          <w:rFonts w:ascii="Arial" w:hAnsi="Arial"/>
          <w:color w:val="000000"/>
          <w:sz w:val="22"/>
          <w:lang w:val="en-GB" w:eastAsia="es-ES"/>
        </w:rPr>
        <w:t>Eckert, K.L., Bjorndal, K.A., Abreu-Grobois, F.A. and Donnelly, M. (Eds) (1999). Research and management techniques for the conservation of sea turtles. IUCN/SSC Marine Turtle Specialist Group Publication No. 4.</w:t>
      </w:r>
    </w:p>
    <w:p w:rsidR="00ED5BC6" w:rsidRPr="00ED5BC6" w:rsidRDefault="00ED5BC6" w:rsidP="00ED5BC6">
      <w:pPr>
        <w:widowControl/>
        <w:adjustRightInd/>
        <w:jc w:val="both"/>
        <w:rPr>
          <w:rFonts w:ascii="Arial" w:hAnsi="Arial" w:cs="Arial"/>
          <w:color w:val="000000"/>
          <w:sz w:val="22"/>
          <w:szCs w:val="22"/>
          <w:lang w:val="en-GB" w:eastAsia="es-ES"/>
        </w:rPr>
      </w:pPr>
    </w:p>
    <w:p w:rsidR="00ED5BC6" w:rsidRPr="00ED5BC6" w:rsidRDefault="00ED5BC6" w:rsidP="00ED5BC6">
      <w:pPr>
        <w:widowControl/>
        <w:adjustRightInd/>
        <w:jc w:val="both"/>
        <w:rPr>
          <w:rFonts w:ascii="Arial" w:hAnsi="Arial" w:cs="Arial"/>
          <w:color w:val="000000"/>
          <w:sz w:val="22"/>
          <w:szCs w:val="22"/>
          <w:lang w:val="en-GB" w:eastAsia="es-ES"/>
        </w:rPr>
      </w:pPr>
      <w:r w:rsidRPr="00ED5BC6">
        <w:rPr>
          <w:rFonts w:ascii="Arial" w:hAnsi="Arial"/>
          <w:i/>
          <w:color w:val="000000"/>
          <w:sz w:val="22"/>
          <w:lang w:val="en-GB" w:eastAsia="es-ES"/>
        </w:rPr>
        <w:t xml:space="preserve">Peces </w:t>
      </w:r>
    </w:p>
    <w:p w:rsidR="00ED5BC6" w:rsidRPr="00ED5BC6" w:rsidRDefault="00ED5BC6" w:rsidP="00ED5BC6">
      <w:pPr>
        <w:widowControl/>
        <w:adjustRightInd/>
        <w:jc w:val="both"/>
        <w:rPr>
          <w:rFonts w:ascii="Arial" w:hAnsi="Arial" w:cs="Arial"/>
          <w:color w:val="000000"/>
          <w:sz w:val="22"/>
          <w:szCs w:val="22"/>
          <w:lang w:val="en-GB" w:eastAsia="es-ES"/>
        </w:rPr>
      </w:pPr>
    </w:p>
    <w:p w:rsidR="00ED5BC6" w:rsidRPr="0032297F" w:rsidRDefault="00ED5BC6" w:rsidP="00ED5BC6">
      <w:pPr>
        <w:widowControl/>
        <w:adjustRightInd/>
        <w:jc w:val="both"/>
        <w:rPr>
          <w:rFonts w:ascii="Arial" w:hAnsi="Arial" w:cs="Arial"/>
          <w:color w:val="000000"/>
          <w:sz w:val="22"/>
          <w:szCs w:val="22"/>
          <w:lang w:val="es-ES" w:eastAsia="es-ES"/>
        </w:rPr>
      </w:pPr>
      <w:r w:rsidRPr="00DC3E3B">
        <w:rPr>
          <w:rFonts w:ascii="Arial" w:hAnsi="Arial"/>
          <w:color w:val="000000"/>
          <w:sz w:val="22"/>
          <w:lang w:val="en-GB" w:eastAsia="es-ES"/>
        </w:rPr>
        <w:t xml:space="preserve">Online version of the Catalogue of Fishes: Genera, Species, References. </w:t>
      </w:r>
      <w:r w:rsidRPr="00DC3E3B">
        <w:rPr>
          <w:rFonts w:ascii="Arial" w:hAnsi="Arial"/>
          <w:color w:val="000000"/>
          <w:sz w:val="22"/>
          <w:lang w:val="de-DE" w:eastAsia="es-ES"/>
        </w:rPr>
        <w:t xml:space="preserve">Eschmeyer, W.N., R. Fricke and R. van der Laan (eds). </w:t>
      </w:r>
      <w:r w:rsidRPr="0032297F">
        <w:rPr>
          <w:rFonts w:ascii="Arial" w:hAnsi="Arial"/>
          <w:color w:val="000000"/>
          <w:sz w:val="22"/>
          <w:lang w:val="es-ES" w:eastAsia="es-ES"/>
        </w:rPr>
        <w:t>California Academy of Sciences (continuously updated)</w:t>
      </w:r>
    </w:p>
    <w:p w:rsidR="00ED5BC6" w:rsidRPr="0032297F" w:rsidRDefault="00ED5BC6" w:rsidP="00ED5BC6">
      <w:pPr>
        <w:widowControl/>
        <w:adjustRightInd/>
        <w:jc w:val="both"/>
        <w:rPr>
          <w:rFonts w:ascii="Arial" w:hAnsi="Arial" w:cs="Arial"/>
          <w:color w:val="000000"/>
          <w:sz w:val="22"/>
          <w:szCs w:val="22"/>
          <w:lang w:val="es-ES" w:eastAsia="es-ES"/>
        </w:rPr>
      </w:pPr>
    </w:p>
    <w:p w:rsidR="00ED5BC6" w:rsidRPr="00ED5BC6" w:rsidRDefault="00ED5BC6" w:rsidP="00ED5BC6">
      <w:pPr>
        <w:widowControl/>
        <w:adjustRightInd/>
        <w:jc w:val="both"/>
        <w:rPr>
          <w:rFonts w:ascii="Arial" w:hAnsi="Arial" w:cs="Arial"/>
          <w:strike/>
          <w:color w:val="000000"/>
          <w:sz w:val="22"/>
          <w:szCs w:val="22"/>
          <w:lang w:val="es-ES" w:eastAsia="es-ES"/>
        </w:rPr>
      </w:pPr>
    </w:p>
    <w:p w:rsidR="00ED5BC6" w:rsidRDefault="00ED5BC6">
      <w:pPr>
        <w:widowControl/>
        <w:autoSpaceDE/>
        <w:autoSpaceDN/>
        <w:adjustRightInd/>
        <w:rPr>
          <w:rFonts w:ascii="Arial" w:hAnsi="Arial" w:cs="Arial"/>
          <w:sz w:val="22"/>
          <w:szCs w:val="17"/>
          <w:lang w:val="es-ES"/>
        </w:rPr>
      </w:pPr>
      <w:r>
        <w:rPr>
          <w:rFonts w:ascii="Arial" w:hAnsi="Arial" w:cs="Arial"/>
          <w:sz w:val="22"/>
          <w:szCs w:val="17"/>
          <w:lang w:val="es-ES"/>
        </w:rPr>
        <w:br w:type="page"/>
      </w:r>
    </w:p>
    <w:p w:rsidR="00BA3A74" w:rsidRDefault="00BA3A74" w:rsidP="006A709B">
      <w:pPr>
        <w:jc w:val="both"/>
        <w:rPr>
          <w:rFonts w:ascii="Arial" w:hAnsi="Arial" w:cs="Arial"/>
          <w:sz w:val="22"/>
          <w:szCs w:val="22"/>
          <w:lang w:val="es-ES"/>
        </w:rPr>
      </w:pPr>
    </w:p>
    <w:p w:rsidR="00BA3A74" w:rsidRPr="00F17CFC" w:rsidRDefault="00BA3A74" w:rsidP="00BA3A74">
      <w:pPr>
        <w:jc w:val="center"/>
        <w:rPr>
          <w:rFonts w:ascii="Arial" w:hAnsi="Arial" w:cs="Arial"/>
          <w:b/>
          <w:sz w:val="22"/>
          <w:szCs w:val="22"/>
          <w:lang w:val="es-ES"/>
        </w:rPr>
      </w:pPr>
      <w:r w:rsidRPr="00F17CFC">
        <w:rPr>
          <w:rFonts w:ascii="Arial" w:hAnsi="Arial" w:cs="Arial"/>
          <w:b/>
          <w:sz w:val="22"/>
          <w:szCs w:val="22"/>
          <w:lang w:val="es-ES"/>
        </w:rPr>
        <w:t>PROPUESTAS DE DECISIONES</w:t>
      </w:r>
    </w:p>
    <w:p w:rsidR="00BA3A74" w:rsidRDefault="00BA3A74" w:rsidP="00BA3A74">
      <w:pPr>
        <w:jc w:val="center"/>
        <w:rPr>
          <w:rFonts w:ascii="Arial" w:hAnsi="Arial" w:cs="Arial"/>
          <w:sz w:val="22"/>
          <w:szCs w:val="22"/>
          <w:lang w:val="es-ES"/>
        </w:rPr>
      </w:pPr>
    </w:p>
    <w:p w:rsidR="00E04864" w:rsidRDefault="00E04864" w:rsidP="00BA3A74">
      <w:pPr>
        <w:rPr>
          <w:rFonts w:ascii="Arial" w:hAnsi="Arial" w:cs="Arial"/>
          <w:b/>
          <w:bCs/>
          <w:i/>
          <w:iCs/>
          <w:sz w:val="22"/>
          <w:szCs w:val="22"/>
          <w:lang w:val="es-ES"/>
        </w:rPr>
      </w:pPr>
    </w:p>
    <w:p w:rsidR="00E04864" w:rsidRPr="00E04864" w:rsidRDefault="00E04864" w:rsidP="00BA3A74">
      <w:pPr>
        <w:rPr>
          <w:rFonts w:ascii="Arial" w:hAnsi="Arial" w:cs="Arial"/>
          <w:bCs/>
          <w:iCs/>
          <w:sz w:val="22"/>
          <w:szCs w:val="22"/>
          <w:lang w:val="es-ES"/>
        </w:rPr>
      </w:pPr>
      <w:r w:rsidRPr="00E04864">
        <w:rPr>
          <w:rFonts w:ascii="Arial" w:hAnsi="Arial" w:cs="Arial"/>
          <w:bCs/>
          <w:iCs/>
          <w:sz w:val="22"/>
          <w:szCs w:val="22"/>
          <w:lang w:val="es-ES"/>
        </w:rPr>
        <w:t>El texto aparece como presentado en el Anexo 3 del documento 21.2.2.</w:t>
      </w:r>
    </w:p>
    <w:p w:rsidR="00E04864" w:rsidRDefault="00E04864" w:rsidP="00BA3A74">
      <w:pPr>
        <w:rPr>
          <w:rFonts w:ascii="Arial" w:hAnsi="Arial" w:cs="Arial"/>
          <w:b/>
          <w:bCs/>
          <w:i/>
          <w:iCs/>
          <w:sz w:val="22"/>
          <w:szCs w:val="22"/>
          <w:lang w:val="es-ES"/>
        </w:rPr>
      </w:pPr>
    </w:p>
    <w:p w:rsidR="00E04864" w:rsidRDefault="00E04864" w:rsidP="00BA3A74">
      <w:pPr>
        <w:rPr>
          <w:rFonts w:ascii="Arial" w:hAnsi="Arial" w:cs="Arial"/>
          <w:b/>
          <w:bCs/>
          <w:i/>
          <w:iCs/>
          <w:sz w:val="22"/>
          <w:szCs w:val="22"/>
          <w:lang w:val="es-ES"/>
        </w:rPr>
      </w:pPr>
    </w:p>
    <w:p w:rsidR="00BA3A74" w:rsidRPr="00FA2D5F" w:rsidRDefault="00BA3A74" w:rsidP="00BA3A74">
      <w:pPr>
        <w:rPr>
          <w:rFonts w:ascii="Arial" w:hAnsi="Arial" w:cs="Arial"/>
          <w:b/>
          <w:bCs/>
          <w:i/>
          <w:iCs/>
          <w:sz w:val="22"/>
          <w:szCs w:val="22"/>
          <w:lang w:val="es-ES"/>
        </w:rPr>
      </w:pPr>
      <w:r w:rsidRPr="00FA2D5F">
        <w:rPr>
          <w:rFonts w:ascii="Arial" w:hAnsi="Arial" w:cs="Arial"/>
          <w:b/>
          <w:bCs/>
          <w:i/>
          <w:iCs/>
          <w:sz w:val="22"/>
          <w:szCs w:val="22"/>
          <w:lang w:val="es-ES"/>
        </w:rPr>
        <w:t>Dirigidas a la Secretaría</w:t>
      </w:r>
    </w:p>
    <w:p w:rsidR="00BA3A74" w:rsidRPr="00BA3A74" w:rsidRDefault="00BA3A74" w:rsidP="00BA3A74">
      <w:pPr>
        <w:rPr>
          <w:rFonts w:ascii="Arial" w:hAnsi="Arial" w:cs="Arial"/>
          <w:b/>
          <w:bCs/>
          <w:i/>
          <w:iCs/>
          <w:sz w:val="22"/>
          <w:szCs w:val="22"/>
          <w:lang w:val="es-ES"/>
        </w:rPr>
      </w:pPr>
    </w:p>
    <w:p w:rsidR="00BA3A74" w:rsidRPr="00F25D45" w:rsidRDefault="00BA3A74" w:rsidP="00F25D45">
      <w:pPr>
        <w:jc w:val="both"/>
        <w:rPr>
          <w:rFonts w:ascii="Arial" w:hAnsi="Arial" w:cs="Arial"/>
          <w:sz w:val="22"/>
          <w:szCs w:val="22"/>
          <w:lang w:val="es-ES"/>
        </w:rPr>
      </w:pPr>
      <w:r w:rsidRPr="00BA3A74">
        <w:rPr>
          <w:rFonts w:ascii="Arial" w:hAnsi="Arial" w:cs="Arial"/>
          <w:sz w:val="22"/>
          <w:szCs w:val="22"/>
          <w:lang w:val="es-ES"/>
        </w:rPr>
        <w:t xml:space="preserve">12.AA </w:t>
      </w:r>
      <w:r>
        <w:rPr>
          <w:rFonts w:ascii="Arial" w:hAnsi="Arial" w:cs="Arial"/>
          <w:sz w:val="22"/>
          <w:szCs w:val="22"/>
          <w:lang w:val="es-ES"/>
        </w:rPr>
        <w:tab/>
      </w:r>
      <w:r w:rsidR="00F25D45">
        <w:rPr>
          <w:rFonts w:ascii="Arial" w:hAnsi="Arial" w:cs="Arial"/>
          <w:sz w:val="22"/>
          <w:szCs w:val="22"/>
          <w:lang w:val="es-ES"/>
        </w:rPr>
        <w:t>La Secretaría deberá, en consulta con el Consejo Científico y el Depositario, adaptar los Apéndices de la CMS de acuerdo a la nueva referencia para aves adoptada y las reglas descritas en la Resolución 12.X sobre Taxonomía y Nomenclatura, incluyendo la publicación de la taxonomía de</w:t>
      </w:r>
      <w:r w:rsidR="00AC14B5">
        <w:rPr>
          <w:rFonts w:ascii="Arial" w:hAnsi="Arial" w:cs="Arial"/>
          <w:sz w:val="22"/>
          <w:szCs w:val="22"/>
          <w:lang w:val="es-ES"/>
        </w:rPr>
        <w:t>l</w:t>
      </w:r>
      <w:r w:rsidR="00F25D45">
        <w:rPr>
          <w:rFonts w:ascii="Arial" w:hAnsi="Arial" w:cs="Arial"/>
          <w:sz w:val="22"/>
          <w:szCs w:val="22"/>
          <w:lang w:val="es-ES"/>
        </w:rPr>
        <w:t xml:space="preserve"> nivel superior. </w:t>
      </w:r>
    </w:p>
    <w:p w:rsidR="00F50CF5" w:rsidRDefault="00F50CF5" w:rsidP="00F50CF5">
      <w:pPr>
        <w:jc w:val="both"/>
        <w:rPr>
          <w:rFonts w:ascii="Arial" w:hAnsi="Arial" w:cs="Arial"/>
          <w:sz w:val="22"/>
          <w:szCs w:val="22"/>
          <w:lang w:val="es-ES"/>
        </w:rPr>
      </w:pPr>
    </w:p>
    <w:sectPr w:rsidR="00F50CF5" w:rsidSect="00F50CF5">
      <w:footerReference w:type="default" r:id="rId10"/>
      <w:footerReference w:type="first" r:id="rId11"/>
      <w:endnotePr>
        <w:numFmt w:val="decimal"/>
      </w:endnotePr>
      <w:pgSz w:w="11905" w:h="16837" w:code="9"/>
      <w:pgMar w:top="1008" w:right="1411" w:bottom="1152" w:left="1411"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B74" w:rsidRDefault="00F33B74">
      <w:r>
        <w:separator/>
      </w:r>
    </w:p>
  </w:endnote>
  <w:endnote w:type="continuationSeparator" w:id="0">
    <w:p w:rsidR="00F33B74" w:rsidRDefault="00F3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CF5" w:rsidRDefault="00F50CF5" w:rsidP="00F50CF5"/>
  <w:p w:rsidR="00F50CF5" w:rsidRPr="00D605A4" w:rsidRDefault="00F50CF5" w:rsidP="00F50CF5">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sidR="0052320C">
      <w:rPr>
        <w:rFonts w:ascii="Arial" w:hAnsi="Arial" w:cs="Arial"/>
        <w:noProof/>
        <w:sz w:val="18"/>
        <w:szCs w:val="18"/>
      </w:rPr>
      <w:t>1</w:t>
    </w:r>
    <w:r w:rsidRPr="00D605A4">
      <w:rPr>
        <w:rFonts w:ascii="Arial" w:hAnsi="Arial" w:cs="Arial"/>
        <w:noProof/>
        <w:sz w:val="18"/>
        <w:szCs w:val="18"/>
      </w:rPr>
      <w:fldChar w:fldCharType="end"/>
    </w:r>
    <w:r>
      <w:rPr>
        <w:rFonts w:ascii="Arial" w:hAnsi="Arial" w:cs="Arial"/>
        <w:noProof/>
        <w:sz w:val="18"/>
        <w:szCs w:val="18"/>
      </w:rPr>
      <w:t xml:space="preserve">                                               </w:t>
    </w:r>
    <w:r w:rsidRPr="00F50CF5">
      <w:rPr>
        <w:rFonts w:ascii="Arial" w:hAnsi="Arial" w:cs="Arial"/>
        <w:noProof/>
        <w:sz w:val="18"/>
        <w:szCs w:val="18"/>
      </w:rPr>
      <w:t xml:space="preserve">     UNEP/CMS/COP12/CRP</w:t>
    </w:r>
    <w:r w:rsidR="00ED5BC6">
      <w:rPr>
        <w:rFonts w:ascii="Arial" w:hAnsi="Arial" w:cs="Arial"/>
        <w:noProof/>
        <w:sz w:val="18"/>
        <w:szCs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5A4" w:rsidRPr="00D605A4" w:rsidRDefault="00D605A4" w:rsidP="00F50CF5">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sidR="00F50CF5">
      <w:rPr>
        <w:rFonts w:ascii="Arial" w:hAnsi="Arial" w:cs="Arial"/>
        <w:noProof/>
        <w:sz w:val="18"/>
        <w:szCs w:val="18"/>
      </w:rPr>
      <w:t>1</w:t>
    </w:r>
    <w:r w:rsidRPr="00D605A4">
      <w:rPr>
        <w:rFonts w:ascii="Arial" w:hAnsi="Arial" w:cs="Arial"/>
        <w:noProof/>
        <w:sz w:val="18"/>
        <w:szCs w:val="18"/>
      </w:rPr>
      <w:fldChar w:fldCharType="end"/>
    </w:r>
    <w:r w:rsidR="00F50CF5">
      <w:rPr>
        <w:rFonts w:ascii="Arial" w:hAnsi="Arial" w:cs="Arial"/>
        <w:noProof/>
        <w:sz w:val="18"/>
        <w:szCs w:val="18"/>
      </w:rPr>
      <w:t xml:space="preserve">                                               </w:t>
    </w:r>
    <w:r w:rsidR="00F50CF5" w:rsidRPr="00F50CF5">
      <w:rPr>
        <w:rFonts w:ascii="Arial" w:hAnsi="Arial" w:cs="Arial"/>
        <w:noProof/>
        <w:sz w:val="18"/>
        <w:szCs w:val="18"/>
      </w:rPr>
      <w:t xml:space="preserve">     UNEP/CMS/COP12/CRPx</w:t>
    </w:r>
  </w:p>
  <w:p w:rsidR="00D605A4" w:rsidRPr="00D605A4" w:rsidRDefault="00D605A4"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B74" w:rsidRDefault="00F33B74">
      <w:r>
        <w:separator/>
      </w:r>
    </w:p>
  </w:footnote>
  <w:footnote w:type="continuationSeparator" w:id="0">
    <w:p w:rsidR="00F33B74" w:rsidRDefault="00F33B74">
      <w:r>
        <w:continuationSeparator/>
      </w:r>
    </w:p>
  </w:footnote>
  <w:footnote w:id="1">
    <w:p w:rsidR="00ED5BC6" w:rsidRPr="00ED5BC6" w:rsidRDefault="00ED5BC6" w:rsidP="00ED5BC6">
      <w:pPr>
        <w:pStyle w:val="FootnoteText"/>
        <w:rPr>
          <w:lang w:val="es-ES"/>
        </w:rPr>
      </w:pPr>
      <w:r>
        <w:rPr>
          <w:rStyle w:val="FootnoteReference"/>
          <w:rFonts w:ascii="Arial" w:hAnsi="Arial"/>
          <w:sz w:val="22"/>
          <w:vertAlign w:val="superscript"/>
        </w:rPr>
        <w:footnoteRef/>
      </w:r>
      <w:r w:rsidRPr="00ED5BC6">
        <w:rPr>
          <w:rFonts w:ascii="Arial" w:hAnsi="Arial"/>
          <w:sz w:val="22"/>
          <w:vertAlign w:val="superscript"/>
          <w:lang w:val="es-ES"/>
        </w:rPr>
        <w:t xml:space="preserve"> </w:t>
      </w:r>
      <w:r w:rsidRPr="00273CAF">
        <w:rPr>
          <w:rFonts w:ascii="Arial" w:hAnsi="Arial"/>
          <w:sz w:val="18"/>
          <w:szCs w:val="18"/>
          <w:lang w:val="es-ES"/>
        </w:rPr>
        <w:t>Hasta la fecha no ha habido necesidad de utilizar una referencia taxonómica estándar para los insectos o los reptiles (excepto para las tortugas marinas).</w:t>
      </w:r>
      <w:r w:rsidRPr="00ED5BC6">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0A0F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4321059"/>
    <w:multiLevelType w:val="hybridMultilevel"/>
    <w:tmpl w:val="29C4C866"/>
    <w:lvl w:ilvl="0" w:tplc="02387C26">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 w15:restartNumberingAfterBreak="0">
    <w:nsid w:val="081F34E3"/>
    <w:multiLevelType w:val="hybridMultilevel"/>
    <w:tmpl w:val="4E465C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C082F"/>
    <w:multiLevelType w:val="hybridMultilevel"/>
    <w:tmpl w:val="3D8C7CA6"/>
    <w:lvl w:ilvl="0" w:tplc="F6CC7B94">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5" w15:restartNumberingAfterBreak="0">
    <w:nsid w:val="0C4C6476"/>
    <w:multiLevelType w:val="hybridMultilevel"/>
    <w:tmpl w:val="82BCDF30"/>
    <w:lvl w:ilvl="0" w:tplc="5AE46228">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6" w15:restartNumberingAfterBreak="0">
    <w:nsid w:val="0D0B23F5"/>
    <w:multiLevelType w:val="hybridMultilevel"/>
    <w:tmpl w:val="466608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62808"/>
    <w:multiLevelType w:val="multilevel"/>
    <w:tmpl w:val="CF4C2442"/>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FF5CA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27B2A02"/>
    <w:multiLevelType w:val="hybridMultilevel"/>
    <w:tmpl w:val="028AAC8C"/>
    <w:lvl w:ilvl="0" w:tplc="6ABC50D6">
      <w:start w:val="1"/>
      <w:numFmt w:val="lowerLetter"/>
      <w:lvlText w:val="%1)"/>
      <w:lvlJc w:val="left"/>
      <w:pPr>
        <w:ind w:left="1440" w:hanging="360"/>
      </w:pPr>
      <w:rPr>
        <w:rFonts w:cs="Times New Roman"/>
        <w:strike w:val="0"/>
        <w:dstrike w:val="0"/>
        <w:u w:val="none"/>
        <w:effect w:val="none"/>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15:restartNumberingAfterBreak="0">
    <w:nsid w:val="1596530C"/>
    <w:multiLevelType w:val="hybridMultilevel"/>
    <w:tmpl w:val="B64AD86E"/>
    <w:lvl w:ilvl="0" w:tplc="46BAD9BE">
      <w:start w:val="1"/>
      <w:numFmt w:val="lowerLetter"/>
      <w:lvlText w:val="(%1)"/>
      <w:lvlJc w:val="left"/>
      <w:pPr>
        <w:tabs>
          <w:tab w:val="num" w:pos="927"/>
        </w:tabs>
        <w:ind w:left="927" w:hanging="360"/>
      </w:pPr>
      <w:rPr>
        <w:rFonts w:cs="Times New Roman" w:hint="default"/>
      </w:rPr>
    </w:lvl>
    <w:lvl w:ilvl="1" w:tplc="75AEF5EA">
      <w:start w:val="1"/>
      <w:numFmt w:val="lowerRoman"/>
      <w:lvlText w:val="%2."/>
      <w:lvlJc w:val="left"/>
      <w:pPr>
        <w:tabs>
          <w:tab w:val="num" w:pos="2007"/>
        </w:tabs>
        <w:ind w:left="2007" w:hanging="720"/>
      </w:pPr>
      <w:rPr>
        <w:rFonts w:cs="Times New Roman" w:hint="default"/>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1" w15:restartNumberingAfterBreak="0">
    <w:nsid w:val="166676AD"/>
    <w:multiLevelType w:val="hybridMultilevel"/>
    <w:tmpl w:val="5E5A0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684357"/>
    <w:multiLevelType w:val="hybridMultilevel"/>
    <w:tmpl w:val="A2B0D3E6"/>
    <w:lvl w:ilvl="0" w:tplc="D8E66FC0">
      <w:start w:val="1"/>
      <w:numFmt w:val="decimal"/>
      <w:lvlText w:val="%1."/>
      <w:lvlJc w:val="left"/>
      <w:pPr>
        <w:ind w:left="1080" w:hanging="72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A392691"/>
    <w:multiLevelType w:val="hybridMultilevel"/>
    <w:tmpl w:val="B28E6AEE"/>
    <w:lvl w:ilvl="0" w:tplc="83245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B583A"/>
    <w:multiLevelType w:val="hybridMultilevel"/>
    <w:tmpl w:val="1168376E"/>
    <w:lvl w:ilvl="0" w:tplc="B262D66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1D270E9F"/>
    <w:multiLevelType w:val="hybridMultilevel"/>
    <w:tmpl w:val="A808CC1E"/>
    <w:lvl w:ilvl="0" w:tplc="5E8807EA">
      <w:start w:val="1"/>
      <w:numFmt w:val="lowerLetter"/>
      <w:lvlText w:val="(%1)"/>
      <w:lvlJc w:val="left"/>
      <w:pPr>
        <w:tabs>
          <w:tab w:val="num" w:pos="1080"/>
        </w:tabs>
        <w:ind w:left="1080" w:hanging="720"/>
      </w:pPr>
      <w:rPr>
        <w:rFonts w:cs="Times New Roman" w:hint="default"/>
      </w:rPr>
    </w:lvl>
    <w:lvl w:ilvl="1" w:tplc="570610B2">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35796B"/>
    <w:multiLevelType w:val="hybridMultilevel"/>
    <w:tmpl w:val="46603AB6"/>
    <w:lvl w:ilvl="0" w:tplc="82B035B8">
      <w:start w:val="1"/>
      <w:numFmt w:val="decimal"/>
      <w:lvlText w:val="%1."/>
      <w:lvlJc w:val="left"/>
      <w:pPr>
        <w:tabs>
          <w:tab w:val="num" w:pos="719"/>
        </w:tabs>
        <w:ind w:left="719" w:hanging="435"/>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247A1F29"/>
    <w:multiLevelType w:val="hybridMultilevel"/>
    <w:tmpl w:val="60FCFC3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63D1A82"/>
    <w:multiLevelType w:val="multilevel"/>
    <w:tmpl w:val="5D0AB6AC"/>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C05689E"/>
    <w:multiLevelType w:val="hybridMultilevel"/>
    <w:tmpl w:val="C36214A6"/>
    <w:lvl w:ilvl="0" w:tplc="A29CC3F4">
      <w:start w:val="1"/>
      <w:numFmt w:val="decimal"/>
      <w:lvlText w:val="%1."/>
      <w:lvlJc w:val="left"/>
      <w:pPr>
        <w:tabs>
          <w:tab w:val="num" w:pos="1080"/>
        </w:tabs>
        <w:ind w:left="1080" w:hanging="720"/>
      </w:pPr>
      <w:rPr>
        <w:rFonts w:cs="Times New Roman" w:hint="default"/>
      </w:rPr>
    </w:lvl>
    <w:lvl w:ilvl="1" w:tplc="DE66B3EE">
      <w:numFmt w:val="none"/>
      <w:lvlText w:val=""/>
      <w:lvlJc w:val="left"/>
      <w:pPr>
        <w:tabs>
          <w:tab w:val="num" w:pos="360"/>
        </w:tabs>
      </w:pPr>
      <w:rPr>
        <w:rFonts w:cs="Times New Roman"/>
      </w:rPr>
    </w:lvl>
    <w:lvl w:ilvl="2" w:tplc="5F883EF8">
      <w:numFmt w:val="none"/>
      <w:lvlText w:val=""/>
      <w:lvlJc w:val="left"/>
      <w:pPr>
        <w:tabs>
          <w:tab w:val="num" w:pos="360"/>
        </w:tabs>
      </w:pPr>
      <w:rPr>
        <w:rFonts w:cs="Times New Roman"/>
      </w:rPr>
    </w:lvl>
    <w:lvl w:ilvl="3" w:tplc="058ACD36">
      <w:numFmt w:val="none"/>
      <w:lvlText w:val=""/>
      <w:lvlJc w:val="left"/>
      <w:pPr>
        <w:tabs>
          <w:tab w:val="num" w:pos="360"/>
        </w:tabs>
      </w:pPr>
      <w:rPr>
        <w:rFonts w:cs="Times New Roman"/>
      </w:rPr>
    </w:lvl>
    <w:lvl w:ilvl="4" w:tplc="1D6C37D0">
      <w:numFmt w:val="none"/>
      <w:lvlText w:val=""/>
      <w:lvlJc w:val="left"/>
      <w:pPr>
        <w:tabs>
          <w:tab w:val="num" w:pos="360"/>
        </w:tabs>
      </w:pPr>
      <w:rPr>
        <w:rFonts w:cs="Times New Roman"/>
      </w:rPr>
    </w:lvl>
    <w:lvl w:ilvl="5" w:tplc="7F7ACEF8">
      <w:numFmt w:val="none"/>
      <w:lvlText w:val=""/>
      <w:lvlJc w:val="left"/>
      <w:pPr>
        <w:tabs>
          <w:tab w:val="num" w:pos="360"/>
        </w:tabs>
      </w:pPr>
      <w:rPr>
        <w:rFonts w:cs="Times New Roman"/>
      </w:rPr>
    </w:lvl>
    <w:lvl w:ilvl="6" w:tplc="7D64E4F6">
      <w:numFmt w:val="none"/>
      <w:lvlText w:val=""/>
      <w:lvlJc w:val="left"/>
      <w:pPr>
        <w:tabs>
          <w:tab w:val="num" w:pos="360"/>
        </w:tabs>
      </w:pPr>
      <w:rPr>
        <w:rFonts w:cs="Times New Roman"/>
      </w:rPr>
    </w:lvl>
    <w:lvl w:ilvl="7" w:tplc="3AF66BCA">
      <w:numFmt w:val="none"/>
      <w:lvlText w:val=""/>
      <w:lvlJc w:val="left"/>
      <w:pPr>
        <w:tabs>
          <w:tab w:val="num" w:pos="360"/>
        </w:tabs>
      </w:pPr>
      <w:rPr>
        <w:rFonts w:cs="Times New Roman"/>
      </w:rPr>
    </w:lvl>
    <w:lvl w:ilvl="8" w:tplc="B61495FE">
      <w:numFmt w:val="none"/>
      <w:lvlText w:val=""/>
      <w:lvlJc w:val="left"/>
      <w:pPr>
        <w:tabs>
          <w:tab w:val="num" w:pos="360"/>
        </w:tabs>
      </w:pPr>
      <w:rPr>
        <w:rFonts w:cs="Times New Roman"/>
      </w:rPr>
    </w:lvl>
  </w:abstractNum>
  <w:abstractNum w:abstractNumId="20" w15:restartNumberingAfterBreak="0">
    <w:nsid w:val="30060675"/>
    <w:multiLevelType w:val="hybridMultilevel"/>
    <w:tmpl w:val="EACC5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E740B"/>
    <w:multiLevelType w:val="hybridMultilevel"/>
    <w:tmpl w:val="328EEB48"/>
    <w:lvl w:ilvl="0" w:tplc="6AACACFA">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22" w15:restartNumberingAfterBreak="0">
    <w:nsid w:val="33410978"/>
    <w:multiLevelType w:val="multilevel"/>
    <w:tmpl w:val="F0441B76"/>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6692AB0"/>
    <w:multiLevelType w:val="hybridMultilevel"/>
    <w:tmpl w:val="030A09D8"/>
    <w:lvl w:ilvl="0" w:tplc="E4F88CDA">
      <w:start w:val="1"/>
      <w:numFmt w:val="lowerLetter"/>
      <w:lvlText w:val="(%1)"/>
      <w:lvlJc w:val="left"/>
      <w:pPr>
        <w:tabs>
          <w:tab w:val="num" w:pos="1436"/>
        </w:tabs>
        <w:ind w:left="1436" w:hanging="870"/>
      </w:pPr>
      <w:rPr>
        <w:rFonts w:cs="Times New Roman" w:hint="default"/>
      </w:rPr>
    </w:lvl>
    <w:lvl w:ilvl="1" w:tplc="26DC1044">
      <w:start w:val="19"/>
      <w:numFmt w:val="decimal"/>
      <w:lvlText w:val="%2."/>
      <w:lvlJc w:val="left"/>
      <w:pPr>
        <w:tabs>
          <w:tab w:val="num" w:pos="1646"/>
        </w:tabs>
        <w:ind w:left="1646" w:hanging="360"/>
      </w:pPr>
      <w:rPr>
        <w:rFonts w:cs="Times New Roman" w:hint="default"/>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24" w15:restartNumberingAfterBreak="0">
    <w:nsid w:val="388B5E4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B24266A"/>
    <w:multiLevelType w:val="hybridMultilevel"/>
    <w:tmpl w:val="8EF849B6"/>
    <w:lvl w:ilvl="0" w:tplc="503C607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3BB7178F"/>
    <w:multiLevelType w:val="hybridMultilevel"/>
    <w:tmpl w:val="CEF88AB6"/>
    <w:lvl w:ilvl="0" w:tplc="D29AFB4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7" w15:restartNumberingAfterBreak="0">
    <w:nsid w:val="3BBD753F"/>
    <w:multiLevelType w:val="hybridMultilevel"/>
    <w:tmpl w:val="915E3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2016C36"/>
    <w:multiLevelType w:val="hybridMultilevel"/>
    <w:tmpl w:val="64A81B56"/>
    <w:lvl w:ilvl="0" w:tplc="CD8CEEA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5470D4"/>
    <w:multiLevelType w:val="hybridMultilevel"/>
    <w:tmpl w:val="66C07506"/>
    <w:lvl w:ilvl="0" w:tplc="6E22793C">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FE1E5A"/>
    <w:multiLevelType w:val="multilevel"/>
    <w:tmpl w:val="2342F328"/>
    <w:lvl w:ilvl="0">
      <w:start w:val="1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C536292"/>
    <w:multiLevelType w:val="hybridMultilevel"/>
    <w:tmpl w:val="B3CE563E"/>
    <w:lvl w:ilvl="0" w:tplc="08090017">
      <w:start w:val="1"/>
      <w:numFmt w:val="lowerLetter"/>
      <w:lvlText w:val="%1)"/>
      <w:lvlJc w:val="left"/>
      <w:pPr>
        <w:ind w:left="720" w:hanging="360"/>
      </w:pPr>
      <w:rPr>
        <w:rFonts w:cs="Times New Roman"/>
      </w:rPr>
    </w:lvl>
    <w:lvl w:ilvl="1" w:tplc="08090017">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E8630E2"/>
    <w:multiLevelType w:val="hybridMultilevel"/>
    <w:tmpl w:val="4DA6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E613C"/>
    <w:multiLevelType w:val="hybridMultilevel"/>
    <w:tmpl w:val="047099D4"/>
    <w:lvl w:ilvl="0" w:tplc="9A8C7F10">
      <w:start w:val="1"/>
      <w:numFmt w:val="lowerLetter"/>
      <w:lvlText w:val="%1)"/>
      <w:lvlJc w:val="left"/>
      <w:pPr>
        <w:tabs>
          <w:tab w:val="num" w:pos="720"/>
        </w:tabs>
        <w:ind w:left="72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AA604A"/>
    <w:multiLevelType w:val="multilevel"/>
    <w:tmpl w:val="9F38C8DE"/>
    <w:lvl w:ilvl="0">
      <w:start w:val="17"/>
      <w:numFmt w:val="decimal"/>
      <w:lvlText w:val="%1"/>
      <w:lvlJc w:val="left"/>
      <w:pPr>
        <w:ind w:left="600" w:hanging="600"/>
      </w:pPr>
      <w:rPr>
        <w:rFonts w:hint="default"/>
      </w:rPr>
    </w:lvl>
    <w:lvl w:ilvl="1">
      <w:start w:val="1"/>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5" w15:restartNumberingAfterBreak="0">
    <w:nsid w:val="57DC60A2"/>
    <w:multiLevelType w:val="hybridMultilevel"/>
    <w:tmpl w:val="21A4D126"/>
    <w:lvl w:ilvl="0" w:tplc="4530C0E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6" w15:restartNumberingAfterBreak="0">
    <w:nsid w:val="5B9C4A93"/>
    <w:multiLevelType w:val="multilevel"/>
    <w:tmpl w:val="5394E882"/>
    <w:lvl w:ilvl="0">
      <w:start w:val="8"/>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7" w15:restartNumberingAfterBreak="0">
    <w:nsid w:val="67962CD5"/>
    <w:multiLevelType w:val="hybridMultilevel"/>
    <w:tmpl w:val="40821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FE4D9E"/>
    <w:multiLevelType w:val="hybridMultilevel"/>
    <w:tmpl w:val="2AB6DA94"/>
    <w:lvl w:ilvl="0" w:tplc="2146FEA8">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9" w15:restartNumberingAfterBreak="0">
    <w:nsid w:val="69A413E5"/>
    <w:multiLevelType w:val="hybridMultilevel"/>
    <w:tmpl w:val="63EA5E14"/>
    <w:lvl w:ilvl="0" w:tplc="7F1E097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B624AC"/>
    <w:multiLevelType w:val="hybridMultilevel"/>
    <w:tmpl w:val="9F724B70"/>
    <w:lvl w:ilvl="0" w:tplc="224AF010">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41" w15:restartNumberingAfterBreak="0">
    <w:nsid w:val="6FD03DA1"/>
    <w:multiLevelType w:val="hybridMultilevel"/>
    <w:tmpl w:val="FC46D57C"/>
    <w:lvl w:ilvl="0" w:tplc="62ACF7C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6BC6CB8"/>
    <w:multiLevelType w:val="hybridMultilevel"/>
    <w:tmpl w:val="2E1AF1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8FD4C01"/>
    <w:multiLevelType w:val="hybridMultilevel"/>
    <w:tmpl w:val="AD8A31B2"/>
    <w:lvl w:ilvl="0" w:tplc="F6CCB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124298"/>
    <w:multiLevelType w:val="hybridMultilevel"/>
    <w:tmpl w:val="ED986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27857"/>
    <w:multiLevelType w:val="hybridMultilevel"/>
    <w:tmpl w:val="D1F8B00A"/>
    <w:lvl w:ilvl="0" w:tplc="E09C4CBE">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4"/>
  </w:num>
  <w:num w:numId="3">
    <w:abstractNumId w:val="15"/>
  </w:num>
  <w:num w:numId="4">
    <w:abstractNumId w:val="27"/>
  </w:num>
  <w:num w:numId="5">
    <w:abstractNumId w:val="16"/>
  </w:num>
  <w:num w:numId="6">
    <w:abstractNumId w:val="36"/>
  </w:num>
  <w:num w:numId="7">
    <w:abstractNumId w:val="1"/>
    <w:lvlOverride w:ilvl="0">
      <w:lvl w:ilvl="0">
        <w:start w:val="1"/>
        <w:numFmt w:val="decimal"/>
        <w:pStyle w:val="Level1"/>
        <w:lvlText w:val="%1."/>
        <w:lvlJc w:val="left"/>
        <w:rPr>
          <w:rFonts w:cs="Times New Roman"/>
        </w:rPr>
      </w:lvl>
    </w:lvlOverride>
    <w:lvlOverride w:ilvl="1">
      <w:lvl w:ilvl="1">
        <w:start w:val="1"/>
        <w:numFmt w:val="decimal"/>
        <w:pStyle w:val="Level2"/>
        <w:lvlText w:val="(%1%2"/>
        <w:lvlJc w:val="left"/>
        <w:rPr>
          <w:rFonts w:cs="Times New Roman"/>
        </w:rPr>
      </w:lvl>
    </w:lvlOverride>
    <w:lvlOverride w:ilvl="2">
      <w:lvl w:ilvl="2">
        <w:start w:val="1"/>
        <w:numFmt w:val="decimal"/>
        <w:pStyle w:val="Level3"/>
        <w:lvlText w:val="(%2%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8">
    <w:abstractNumId w:val="35"/>
  </w:num>
  <w:num w:numId="9">
    <w:abstractNumId w:val="10"/>
  </w:num>
  <w:num w:numId="10">
    <w:abstractNumId w:val="26"/>
  </w:num>
  <w:num w:numId="11">
    <w:abstractNumId w:val="40"/>
  </w:num>
  <w:num w:numId="12">
    <w:abstractNumId w:val="4"/>
  </w:num>
  <w:num w:numId="13">
    <w:abstractNumId w:val="23"/>
  </w:num>
  <w:num w:numId="14">
    <w:abstractNumId w:val="38"/>
  </w:num>
  <w:num w:numId="15">
    <w:abstractNumId w:val="2"/>
  </w:num>
  <w:num w:numId="16">
    <w:abstractNumId w:val="14"/>
  </w:num>
  <w:num w:numId="17">
    <w:abstractNumId w:val="41"/>
  </w:num>
  <w:num w:numId="18">
    <w:abstractNumId w:val="25"/>
  </w:num>
  <w:num w:numId="19">
    <w:abstractNumId w:val="39"/>
  </w:num>
  <w:num w:numId="20">
    <w:abstractNumId w:val="45"/>
  </w:num>
  <w:num w:numId="21">
    <w:abstractNumId w:val="5"/>
  </w:num>
  <w:num w:numId="22">
    <w:abstractNumId w:val="21"/>
  </w:num>
  <w:num w:numId="23">
    <w:abstractNumId w:val="29"/>
  </w:num>
  <w:num w:numId="24">
    <w:abstractNumId w:val="19"/>
  </w:num>
  <w:num w:numId="25">
    <w:abstractNumId w:val="33"/>
  </w:num>
  <w:num w:numId="26">
    <w:abstractNumId w:val="0"/>
  </w:num>
  <w:num w:numId="27">
    <w:abstractNumId w:val="42"/>
  </w:num>
  <w:num w:numId="28">
    <w:abstractNumId w:val="8"/>
  </w:num>
  <w:num w:numId="29">
    <w:abstractNumId w:val="24"/>
  </w:num>
  <w:num w:numId="30">
    <w:abstractNumId w:val="17"/>
  </w:num>
  <w:num w:numId="31">
    <w:abstractNumId w:val="31"/>
  </w:num>
  <w:num w:numId="32">
    <w:abstractNumId w:val="30"/>
  </w:num>
  <w:num w:numId="33">
    <w:abstractNumId w:val="7"/>
  </w:num>
  <w:num w:numId="34">
    <w:abstractNumId w:val="22"/>
  </w:num>
  <w:num w:numId="35">
    <w:abstractNumId w:val="18"/>
  </w:num>
  <w:num w:numId="36">
    <w:abstractNumId w:val="34"/>
  </w:num>
  <w:num w:numId="37">
    <w:abstractNumId w:val="37"/>
  </w:num>
  <w:num w:numId="38">
    <w:abstractNumId w:val="13"/>
  </w:num>
  <w:num w:numId="39">
    <w:abstractNumId w:val="32"/>
  </w:num>
  <w:num w:numId="40">
    <w:abstractNumId w:val="43"/>
  </w:num>
  <w:num w:numId="41">
    <w:abstractNumId w:val="28"/>
  </w:num>
  <w:num w:numId="42">
    <w:abstractNumId w:val="20"/>
  </w:num>
  <w:num w:numId="43">
    <w:abstractNumId w:val="11"/>
  </w:num>
  <w:num w:numId="44">
    <w:abstractNumId w:val="3"/>
  </w:num>
  <w:num w:numId="45">
    <w:abstractNumId w:val="6"/>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7"/>
    <w:rsid w:val="00007296"/>
    <w:rsid w:val="000254DF"/>
    <w:rsid w:val="00036C53"/>
    <w:rsid w:val="00037AB8"/>
    <w:rsid w:val="00040591"/>
    <w:rsid w:val="000518C2"/>
    <w:rsid w:val="00056DC1"/>
    <w:rsid w:val="00060156"/>
    <w:rsid w:val="00070BBC"/>
    <w:rsid w:val="00073C92"/>
    <w:rsid w:val="00080F03"/>
    <w:rsid w:val="000828A6"/>
    <w:rsid w:val="000900E1"/>
    <w:rsid w:val="0009076A"/>
    <w:rsid w:val="000B6220"/>
    <w:rsid w:val="000C21B1"/>
    <w:rsid w:val="000C3C87"/>
    <w:rsid w:val="000C7460"/>
    <w:rsid w:val="000E01C1"/>
    <w:rsid w:val="000E6630"/>
    <w:rsid w:val="000F1156"/>
    <w:rsid w:val="000F52BA"/>
    <w:rsid w:val="001151A3"/>
    <w:rsid w:val="001245DF"/>
    <w:rsid w:val="00125058"/>
    <w:rsid w:val="00130BFD"/>
    <w:rsid w:val="001419C7"/>
    <w:rsid w:val="00150AC4"/>
    <w:rsid w:val="0016096E"/>
    <w:rsid w:val="00162D88"/>
    <w:rsid w:val="00166ABA"/>
    <w:rsid w:val="00172E09"/>
    <w:rsid w:val="001743FD"/>
    <w:rsid w:val="001764E6"/>
    <w:rsid w:val="001808F1"/>
    <w:rsid w:val="00187D5E"/>
    <w:rsid w:val="00197AFA"/>
    <w:rsid w:val="001A33B6"/>
    <w:rsid w:val="001C6038"/>
    <w:rsid w:val="001F60A1"/>
    <w:rsid w:val="00200A67"/>
    <w:rsid w:val="00201F88"/>
    <w:rsid w:val="00202332"/>
    <w:rsid w:val="002210F4"/>
    <w:rsid w:val="0022635C"/>
    <w:rsid w:val="00227850"/>
    <w:rsid w:val="00234857"/>
    <w:rsid w:val="00237F08"/>
    <w:rsid w:val="00254721"/>
    <w:rsid w:val="00254FA5"/>
    <w:rsid w:val="00261048"/>
    <w:rsid w:val="00262A18"/>
    <w:rsid w:val="00263159"/>
    <w:rsid w:val="00273CAF"/>
    <w:rsid w:val="002779F7"/>
    <w:rsid w:val="00293257"/>
    <w:rsid w:val="002C187A"/>
    <w:rsid w:val="002C20F1"/>
    <w:rsid w:val="002D2863"/>
    <w:rsid w:val="002D5EC0"/>
    <w:rsid w:val="002E3DEA"/>
    <w:rsid w:val="002E7CC2"/>
    <w:rsid w:val="002F6F9B"/>
    <w:rsid w:val="0032297F"/>
    <w:rsid w:val="003331C6"/>
    <w:rsid w:val="003367F5"/>
    <w:rsid w:val="00345044"/>
    <w:rsid w:val="00351095"/>
    <w:rsid w:val="00354A9C"/>
    <w:rsid w:val="00364973"/>
    <w:rsid w:val="00372347"/>
    <w:rsid w:val="003779D4"/>
    <w:rsid w:val="00382398"/>
    <w:rsid w:val="003909E4"/>
    <w:rsid w:val="003A3E30"/>
    <w:rsid w:val="003A6FA0"/>
    <w:rsid w:val="003A70FE"/>
    <w:rsid w:val="003B0C35"/>
    <w:rsid w:val="003B219E"/>
    <w:rsid w:val="003E21B3"/>
    <w:rsid w:val="003F496A"/>
    <w:rsid w:val="00411E65"/>
    <w:rsid w:val="00420040"/>
    <w:rsid w:val="00423388"/>
    <w:rsid w:val="00426D73"/>
    <w:rsid w:val="00442B6C"/>
    <w:rsid w:val="00454913"/>
    <w:rsid w:val="00457441"/>
    <w:rsid w:val="004579F6"/>
    <w:rsid w:val="004656D0"/>
    <w:rsid w:val="00473ABD"/>
    <w:rsid w:val="00482DCA"/>
    <w:rsid w:val="004B6CFD"/>
    <w:rsid w:val="004C204D"/>
    <w:rsid w:val="004D0436"/>
    <w:rsid w:val="004D0936"/>
    <w:rsid w:val="004D1287"/>
    <w:rsid w:val="004F202E"/>
    <w:rsid w:val="004F243D"/>
    <w:rsid w:val="004F3D8D"/>
    <w:rsid w:val="00502272"/>
    <w:rsid w:val="005076F1"/>
    <w:rsid w:val="00512B91"/>
    <w:rsid w:val="005158EB"/>
    <w:rsid w:val="0052082F"/>
    <w:rsid w:val="0052320C"/>
    <w:rsid w:val="00542FCC"/>
    <w:rsid w:val="0055762E"/>
    <w:rsid w:val="00564D08"/>
    <w:rsid w:val="00565445"/>
    <w:rsid w:val="00575334"/>
    <w:rsid w:val="00593736"/>
    <w:rsid w:val="005B0F06"/>
    <w:rsid w:val="005B6141"/>
    <w:rsid w:val="005C3F15"/>
    <w:rsid w:val="005F3989"/>
    <w:rsid w:val="005F4303"/>
    <w:rsid w:val="00601B52"/>
    <w:rsid w:val="0060280B"/>
    <w:rsid w:val="00604422"/>
    <w:rsid w:val="00651341"/>
    <w:rsid w:val="006815B2"/>
    <w:rsid w:val="00682B31"/>
    <w:rsid w:val="006864E1"/>
    <w:rsid w:val="006937DF"/>
    <w:rsid w:val="00695A68"/>
    <w:rsid w:val="006A709B"/>
    <w:rsid w:val="006A7A08"/>
    <w:rsid w:val="006B1037"/>
    <w:rsid w:val="006E56AD"/>
    <w:rsid w:val="006E5763"/>
    <w:rsid w:val="007101BB"/>
    <w:rsid w:val="00713004"/>
    <w:rsid w:val="00713308"/>
    <w:rsid w:val="00727E01"/>
    <w:rsid w:val="00757614"/>
    <w:rsid w:val="007728B4"/>
    <w:rsid w:val="0077622E"/>
    <w:rsid w:val="00777FE4"/>
    <w:rsid w:val="0079075D"/>
    <w:rsid w:val="007C1468"/>
    <w:rsid w:val="007C41D7"/>
    <w:rsid w:val="007F16FB"/>
    <w:rsid w:val="007F1BBA"/>
    <w:rsid w:val="008043F7"/>
    <w:rsid w:val="00804473"/>
    <w:rsid w:val="0081600F"/>
    <w:rsid w:val="00823FE3"/>
    <w:rsid w:val="008269D9"/>
    <w:rsid w:val="0082722D"/>
    <w:rsid w:val="008274F7"/>
    <w:rsid w:val="00841E80"/>
    <w:rsid w:val="008441F9"/>
    <w:rsid w:val="00846A99"/>
    <w:rsid w:val="00853E19"/>
    <w:rsid w:val="008641D1"/>
    <w:rsid w:val="00872F67"/>
    <w:rsid w:val="00893346"/>
    <w:rsid w:val="008A0D8D"/>
    <w:rsid w:val="008A564B"/>
    <w:rsid w:val="008B1A69"/>
    <w:rsid w:val="008C1A39"/>
    <w:rsid w:val="008E7DFB"/>
    <w:rsid w:val="008F7327"/>
    <w:rsid w:val="00904FCE"/>
    <w:rsid w:val="009076C8"/>
    <w:rsid w:val="00915BBE"/>
    <w:rsid w:val="00921D62"/>
    <w:rsid w:val="00922791"/>
    <w:rsid w:val="00927CD6"/>
    <w:rsid w:val="00932037"/>
    <w:rsid w:val="00933572"/>
    <w:rsid w:val="009363C7"/>
    <w:rsid w:val="00945FFB"/>
    <w:rsid w:val="009460A8"/>
    <w:rsid w:val="00972D36"/>
    <w:rsid w:val="00980406"/>
    <w:rsid w:val="00992727"/>
    <w:rsid w:val="009A2C8F"/>
    <w:rsid w:val="009A7B65"/>
    <w:rsid w:val="009D2AD6"/>
    <w:rsid w:val="009D3A07"/>
    <w:rsid w:val="009D4711"/>
    <w:rsid w:val="009D5DA6"/>
    <w:rsid w:val="009E3A84"/>
    <w:rsid w:val="009E7ACC"/>
    <w:rsid w:val="009F450E"/>
    <w:rsid w:val="009F54DA"/>
    <w:rsid w:val="00A06984"/>
    <w:rsid w:val="00A1324E"/>
    <w:rsid w:val="00A27BE3"/>
    <w:rsid w:val="00A339B9"/>
    <w:rsid w:val="00A40EDF"/>
    <w:rsid w:val="00A568DF"/>
    <w:rsid w:val="00A73A79"/>
    <w:rsid w:val="00A93C52"/>
    <w:rsid w:val="00A9784C"/>
    <w:rsid w:val="00AA4F58"/>
    <w:rsid w:val="00AA7368"/>
    <w:rsid w:val="00AB4FF9"/>
    <w:rsid w:val="00AC14B5"/>
    <w:rsid w:val="00AC77A9"/>
    <w:rsid w:val="00AE7B21"/>
    <w:rsid w:val="00AF1980"/>
    <w:rsid w:val="00AF2021"/>
    <w:rsid w:val="00B12998"/>
    <w:rsid w:val="00B471BD"/>
    <w:rsid w:val="00B50C2D"/>
    <w:rsid w:val="00B64904"/>
    <w:rsid w:val="00BA3A74"/>
    <w:rsid w:val="00BA4A2E"/>
    <w:rsid w:val="00BA60CE"/>
    <w:rsid w:val="00BA7075"/>
    <w:rsid w:val="00BC388E"/>
    <w:rsid w:val="00BC5607"/>
    <w:rsid w:val="00BE0D1D"/>
    <w:rsid w:val="00BE2448"/>
    <w:rsid w:val="00BE24D4"/>
    <w:rsid w:val="00BF2BE7"/>
    <w:rsid w:val="00C05102"/>
    <w:rsid w:val="00C13FA6"/>
    <w:rsid w:val="00C169ED"/>
    <w:rsid w:val="00C5484D"/>
    <w:rsid w:val="00C618F2"/>
    <w:rsid w:val="00C73207"/>
    <w:rsid w:val="00C7602A"/>
    <w:rsid w:val="00C82ED9"/>
    <w:rsid w:val="00C87D68"/>
    <w:rsid w:val="00C91CFF"/>
    <w:rsid w:val="00C9281B"/>
    <w:rsid w:val="00CA367A"/>
    <w:rsid w:val="00CB1D26"/>
    <w:rsid w:val="00CC4C21"/>
    <w:rsid w:val="00CC57AD"/>
    <w:rsid w:val="00CE5B83"/>
    <w:rsid w:val="00CF21A2"/>
    <w:rsid w:val="00CF6EDD"/>
    <w:rsid w:val="00D05922"/>
    <w:rsid w:val="00D405ED"/>
    <w:rsid w:val="00D42AE1"/>
    <w:rsid w:val="00D438FE"/>
    <w:rsid w:val="00D605A4"/>
    <w:rsid w:val="00D61B13"/>
    <w:rsid w:val="00D7746A"/>
    <w:rsid w:val="00D838FE"/>
    <w:rsid w:val="00D8406F"/>
    <w:rsid w:val="00D859C7"/>
    <w:rsid w:val="00D9021F"/>
    <w:rsid w:val="00D96D7B"/>
    <w:rsid w:val="00DA1080"/>
    <w:rsid w:val="00DA12C2"/>
    <w:rsid w:val="00DA2D2E"/>
    <w:rsid w:val="00DA6312"/>
    <w:rsid w:val="00DB30A6"/>
    <w:rsid w:val="00DC3E3B"/>
    <w:rsid w:val="00DD6A9E"/>
    <w:rsid w:val="00DF2EBB"/>
    <w:rsid w:val="00E04864"/>
    <w:rsid w:val="00E23367"/>
    <w:rsid w:val="00E31B92"/>
    <w:rsid w:val="00E475D4"/>
    <w:rsid w:val="00E74D1C"/>
    <w:rsid w:val="00E8776E"/>
    <w:rsid w:val="00E9237A"/>
    <w:rsid w:val="00E930AB"/>
    <w:rsid w:val="00E960CF"/>
    <w:rsid w:val="00E97001"/>
    <w:rsid w:val="00EA0B88"/>
    <w:rsid w:val="00EB2285"/>
    <w:rsid w:val="00EC4294"/>
    <w:rsid w:val="00EC681E"/>
    <w:rsid w:val="00ED02D3"/>
    <w:rsid w:val="00ED1D9B"/>
    <w:rsid w:val="00ED5BC6"/>
    <w:rsid w:val="00ED5E31"/>
    <w:rsid w:val="00EE20E2"/>
    <w:rsid w:val="00EE64C1"/>
    <w:rsid w:val="00F05AA0"/>
    <w:rsid w:val="00F061CB"/>
    <w:rsid w:val="00F17CFC"/>
    <w:rsid w:val="00F21FE2"/>
    <w:rsid w:val="00F24050"/>
    <w:rsid w:val="00F248AA"/>
    <w:rsid w:val="00F25D45"/>
    <w:rsid w:val="00F31539"/>
    <w:rsid w:val="00F33B74"/>
    <w:rsid w:val="00F444EC"/>
    <w:rsid w:val="00F45FE3"/>
    <w:rsid w:val="00F50CF5"/>
    <w:rsid w:val="00F54D03"/>
    <w:rsid w:val="00F6347A"/>
    <w:rsid w:val="00F7503A"/>
    <w:rsid w:val="00F81FEF"/>
    <w:rsid w:val="00F978B9"/>
    <w:rsid w:val="00FA2D5F"/>
    <w:rsid w:val="00FA61AF"/>
    <w:rsid w:val="00FD3A06"/>
    <w:rsid w:val="00FD6D29"/>
    <w:rsid w:val="00FD7D14"/>
    <w:rsid w:val="00FE79B8"/>
    <w:rsid w:val="00FF3B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690CF6F"/>
  <w15:chartTrackingRefBased/>
  <w15:docId w15:val="{535FB736-1563-4236-9B80-0E039615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F7"/>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ascii="Arial" w:hAnsi="Arial"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ascii="Arial" w:hAnsi="Arial"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ascii="Arial" w:hAnsi="Arial"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77320">
      <w:bodyDiv w:val="1"/>
      <w:marLeft w:val="0"/>
      <w:marRight w:val="0"/>
      <w:marTop w:val="0"/>
      <w:marBottom w:val="0"/>
      <w:divBdr>
        <w:top w:val="none" w:sz="0" w:space="0" w:color="auto"/>
        <w:left w:val="none" w:sz="0" w:space="0" w:color="auto"/>
        <w:bottom w:val="none" w:sz="0" w:space="0" w:color="auto"/>
        <w:right w:val="none" w:sz="0" w:space="0" w:color="auto"/>
      </w:divBdr>
    </w:div>
    <w:div w:id="774635623">
      <w:bodyDiv w:val="1"/>
      <w:marLeft w:val="0"/>
      <w:marRight w:val="0"/>
      <w:marTop w:val="0"/>
      <w:marBottom w:val="0"/>
      <w:divBdr>
        <w:top w:val="none" w:sz="0" w:space="0" w:color="auto"/>
        <w:left w:val="none" w:sz="0" w:space="0" w:color="auto"/>
        <w:bottom w:val="none" w:sz="0" w:space="0" w:color="auto"/>
        <w:right w:val="none" w:sz="0" w:space="0" w:color="auto"/>
      </w:divBdr>
    </w:div>
    <w:div w:id="1321041135">
      <w:bodyDiv w:val="1"/>
      <w:marLeft w:val="0"/>
      <w:marRight w:val="0"/>
      <w:marTop w:val="0"/>
      <w:marBottom w:val="0"/>
      <w:divBdr>
        <w:top w:val="none" w:sz="0" w:space="0" w:color="auto"/>
        <w:left w:val="none" w:sz="0" w:space="0" w:color="auto"/>
        <w:bottom w:val="none" w:sz="0" w:space="0" w:color="auto"/>
        <w:right w:val="none" w:sz="0" w:space="0" w:color="auto"/>
      </w:divBdr>
    </w:div>
    <w:div w:id="17182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archive.calacademy.org/research/ichthyology/catalog/fishcatm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mail.unv.org/exchweb/bin/redir.asp?URL=http://www.amazon.co.uk/exec/obidos/search-handle-url/277-5240341-5951214?%5Fencoding=UTF8&amp;search-type=ss&amp;index=books-uk&amp;field-author=William%20F.%20Perr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30</TotalTime>
  <Pages>6</Pages>
  <Words>1961</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COP12 CRP_s</vt:lpstr>
    </vt:vector>
  </TitlesOfParts>
  <Company>United Nations Volunteers (UNV) programme</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COP12 CRP_s</dc:title>
  <dc:subject/>
  <dc:creator>barbara.schoenberg@cms.int</dc:creator>
  <cp:keywords/>
  <cp:lastModifiedBy>user</cp:lastModifiedBy>
  <cp:revision>31</cp:revision>
  <cp:lastPrinted>2017-03-22T12:39:00Z</cp:lastPrinted>
  <dcterms:created xsi:type="dcterms:W3CDTF">2017-10-26T07:22:00Z</dcterms:created>
  <dcterms:modified xsi:type="dcterms:W3CDTF">2017-10-27T02:15:00Z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