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47" w:rsidRPr="006E4D14" w:rsidRDefault="007058E6" w:rsidP="00193047">
      <w:pPr>
        <w:jc w:val="right"/>
        <w:rPr>
          <w:rFonts w:ascii="Arial" w:hAnsi="Arial" w:cs="Arial"/>
          <w:b/>
          <w:sz w:val="22"/>
          <w:szCs w:val="22"/>
          <w:lang w:val="es-PE"/>
        </w:rPr>
      </w:pPr>
      <w:r w:rsidRPr="006E4D14">
        <w:rPr>
          <w:rFonts w:ascii="Arial" w:hAnsi="Arial" w:cs="Arial"/>
          <w:b/>
          <w:sz w:val="22"/>
          <w:szCs w:val="22"/>
          <w:lang w:val="es-PE"/>
        </w:rPr>
        <w:t>A</w:t>
      </w:r>
      <w:r w:rsidR="00E45E5B">
        <w:rPr>
          <w:rFonts w:ascii="Arial" w:hAnsi="Arial" w:cs="Arial"/>
          <w:b/>
          <w:sz w:val="22"/>
          <w:szCs w:val="22"/>
          <w:lang w:val="es-PE"/>
        </w:rPr>
        <w:t>NEXO 2</w:t>
      </w:r>
    </w:p>
    <w:p w:rsidR="00193047" w:rsidRPr="006E4D14" w:rsidRDefault="00193047" w:rsidP="00193047">
      <w:pPr>
        <w:rPr>
          <w:rFonts w:ascii="Arial" w:hAnsi="Arial" w:cs="Arial"/>
          <w:b/>
          <w:sz w:val="22"/>
          <w:szCs w:val="22"/>
          <w:lang w:val="es-PE"/>
        </w:rPr>
      </w:pPr>
    </w:p>
    <w:p w:rsidR="00193047" w:rsidRPr="007058E6" w:rsidRDefault="007058E6" w:rsidP="00193047">
      <w:pPr>
        <w:rPr>
          <w:rFonts w:ascii="Arial" w:hAnsi="Arial" w:cs="Arial"/>
          <w:b/>
          <w:sz w:val="22"/>
          <w:szCs w:val="22"/>
          <w:lang w:val="es-PE"/>
        </w:rPr>
      </w:pPr>
      <w:r w:rsidRPr="007058E6">
        <w:rPr>
          <w:rFonts w:ascii="Arial" w:hAnsi="Arial" w:cs="Arial"/>
          <w:b/>
          <w:sz w:val="22"/>
          <w:szCs w:val="22"/>
          <w:lang w:val="es-PE"/>
        </w:rPr>
        <w:t>Lista de especies de aves que pertenecen a las familias y géneros agregadas actualmente en el Apéndice II, cumplen los criterios de la CMS y tienen un estado de conservación desfavorable.</w:t>
      </w:r>
    </w:p>
    <w:p w:rsidR="00193047" w:rsidRDefault="00193047" w:rsidP="00193047">
      <w:pPr>
        <w:rPr>
          <w:rFonts w:ascii="Arial" w:hAnsi="Arial" w:cs="Arial"/>
          <w:sz w:val="22"/>
          <w:szCs w:val="22"/>
          <w:lang w:val="es-PE"/>
        </w:rPr>
      </w:pPr>
    </w:p>
    <w:p w:rsidR="00D6705C" w:rsidRPr="007058E6" w:rsidRDefault="00D6705C" w:rsidP="00193047">
      <w:pPr>
        <w:rPr>
          <w:rFonts w:ascii="Arial" w:hAnsi="Arial" w:cs="Arial"/>
          <w:sz w:val="22"/>
          <w:szCs w:val="22"/>
          <w:lang w:val="es-PE"/>
        </w:rPr>
      </w:pPr>
    </w:p>
    <w:tbl>
      <w:tblPr>
        <w:tblW w:w="966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3969"/>
        <w:gridCol w:w="1018"/>
      </w:tblGrid>
      <w:tr w:rsidR="00193047" w:rsidRPr="00D533D4" w:rsidTr="008317B0">
        <w:trPr>
          <w:cantSplit/>
          <w:trHeight w:val="870"/>
          <w:tblHeader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FC0F15" w:rsidRDefault="00193047" w:rsidP="00FC0F1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Famil</w:t>
            </w:r>
            <w:r w:rsidR="007058E6">
              <w:rPr>
                <w:rFonts w:asciiTheme="minorHAnsi" w:hAnsiTheme="minorHAnsi" w:cstheme="minorHAnsi"/>
                <w:szCs w:val="20"/>
                <w:lang w:val="en-AU" w:eastAsia="en-AU"/>
              </w:rPr>
              <w:t>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FC0F15" w:rsidRDefault="007058E6" w:rsidP="00FC0F1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>Nombre</w:t>
            </w:r>
            <w:proofErr w:type="spellEnd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 xml:space="preserve"> </w:t>
            </w:r>
            <w:proofErr w:type="spellStart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>común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FC0F15" w:rsidRDefault="007058E6" w:rsidP="00FC0F1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>Nombre</w:t>
            </w:r>
            <w:proofErr w:type="spellEnd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 xml:space="preserve"> </w:t>
            </w:r>
            <w:proofErr w:type="spellStart"/>
            <w:r w:rsidRPr="007058E6">
              <w:rPr>
                <w:rFonts w:asciiTheme="minorHAnsi" w:hAnsiTheme="minorHAnsi" w:cstheme="minorHAnsi"/>
                <w:szCs w:val="20"/>
                <w:lang w:val="en-AU" w:eastAsia="en-AU"/>
              </w:rPr>
              <w:t>científico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47" w:rsidRPr="007058E6" w:rsidRDefault="00193047" w:rsidP="00FC0F15">
            <w:pPr>
              <w:widowControl/>
              <w:suppressAutoHyphens w:val="0"/>
              <w:autoSpaceDE/>
              <w:autoSpaceDN/>
              <w:textAlignment w:val="auto"/>
              <w:rPr>
                <w:rFonts w:asciiTheme="minorHAnsi" w:hAnsiTheme="minorHAnsi" w:cstheme="minorHAnsi"/>
                <w:szCs w:val="20"/>
                <w:lang w:val="es-PE" w:eastAsia="en-AU"/>
              </w:rPr>
            </w:pPr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>Not</w:t>
            </w:r>
            <w:r w:rsidR="007058E6"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>a</w:t>
            </w:r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 xml:space="preserve">s </w:t>
            </w:r>
            <w:r w:rsidR="007058E6"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>para el Ap</w:t>
            </w:r>
            <w:r w:rsidR="00D533D4">
              <w:rPr>
                <w:rFonts w:asciiTheme="minorHAnsi" w:hAnsiTheme="minorHAnsi" w:cstheme="minorHAnsi"/>
                <w:szCs w:val="20"/>
                <w:lang w:val="es-PE" w:eastAsia="en-AU"/>
              </w:rPr>
              <w:t>éndice</w:t>
            </w:r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 xml:space="preserve"> II (</w:t>
            </w:r>
            <w:r w:rsidR="007058E6"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>Hojas</w:t>
            </w:r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 xml:space="preserve"> 1 o 2)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7058E6" w:rsidRDefault="007058E6" w:rsidP="00FC0F1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s-PE" w:eastAsia="en-AU"/>
              </w:rPr>
            </w:pPr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 xml:space="preserve">2018 </w:t>
            </w:r>
            <w:proofErr w:type="gramStart"/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>Categoría</w:t>
            </w:r>
            <w:proofErr w:type="gramEnd"/>
            <w:r w:rsidRPr="007058E6">
              <w:rPr>
                <w:rFonts w:asciiTheme="minorHAnsi" w:hAnsiTheme="minorHAnsi" w:cstheme="minorHAnsi"/>
                <w:szCs w:val="20"/>
                <w:lang w:val="es-PE" w:eastAsia="en-AU"/>
              </w:rPr>
              <w:t xml:space="preserve"> de la Lista Roja de la UICN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 xml:space="preserve">Ansar </w:t>
            </w:r>
            <w:proofErr w:type="spellStart"/>
            <w:r w:rsidRPr="00FC0F15">
              <w:rPr>
                <w:rFonts w:asciiTheme="minorHAnsi" w:hAnsiTheme="minorHAnsi"/>
              </w:rPr>
              <w:t>Emperador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Anser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canagicus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Pato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havelda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Clangula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hyemalis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  <w:bookmarkStart w:id="0" w:name="_GoBack"/>
        <w:bookmarkEnd w:id="0"/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Éider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anteojos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Somateria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fischeri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 xml:space="preserve">Eider </w:t>
            </w:r>
            <w:proofErr w:type="spellStart"/>
            <w:r w:rsidRPr="00FC0F15">
              <w:rPr>
                <w:rFonts w:asciiTheme="minorHAnsi" w:hAnsiTheme="minorHAnsi"/>
              </w:rPr>
              <w:t>común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Somateria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mollissima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Migrante parcial: cambio sustancial en el área de distribución después de la reproducción, con lugares de reproducción y no reproducción ocupados de forma fiable cada temporada;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Negrón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especulado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Melanitta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fusca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Negrón</w:t>
            </w:r>
            <w:proofErr w:type="spellEnd"/>
            <w:r w:rsidRPr="00FC0F15">
              <w:rPr>
                <w:rFonts w:asciiTheme="minorHAnsi" w:hAnsiTheme="minorHAnsi"/>
              </w:rPr>
              <w:t xml:space="preserve"> americano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Melanitta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americana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Serreta</w:t>
            </w:r>
            <w:proofErr w:type="spellEnd"/>
            <w:r w:rsidRPr="00FC0F15">
              <w:rPr>
                <w:rFonts w:asciiTheme="minorHAnsi" w:hAnsiTheme="minorHAnsi"/>
              </w:rPr>
              <w:t xml:space="preserve"> china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Mergus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squamatus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En Peligro;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de 100 a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Ganso</w:t>
            </w:r>
            <w:proofErr w:type="spellEnd"/>
            <w:r w:rsidRPr="00FC0F15">
              <w:rPr>
                <w:rFonts w:asciiTheme="minorHAnsi" w:hAnsiTheme="minorHAnsi"/>
              </w:rPr>
              <w:t xml:space="preserve"> del Orinoco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Neochen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jubata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en el área de distribución después de la reproducción, con lugares de reproducción y no reproducción ocupados de forma fiable cada temporada; los individuos viajan normalmente de 100 a 1.000 km, pero en una dirección no uniforme.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Pato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Almizclero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Aliblanco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Asarcornis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scutulata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En Peligro; Movimientos caracterizados como: Sedentarios/residentes: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temporada, pero moderadamente nómadas en la temporada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; los individuos suelen recorrer menos de 100 km, pero en una dirección no uniforme.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Porrón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europeo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Aythya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ferina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Vulnerable; Movimientos caracterizados como: Migrante parcial: cambio sustancial en el área de distribución después de la reproducción, con lugares de reproducción y no reproducción ocupados de forma fiable cada temporada;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Ánade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anteojillo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Speculanas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specularis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sustancial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con lugares de reproducción y no reproducción ocupados de forma fiable cada temporada; los individuos suelen viajar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Anatidae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Cerceta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Alfanjes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Mareca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falcata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Anatidae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Phoenicopteridae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>Flamenco Chileno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Phoenicopterus chilensis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Phoenicopteridae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y moderadamente nómada tanto en las temporadas de reproducción como en las de no reproducción; los individuos viajan comúnmente &gt;1.000 km de norte a sur;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Phoenicopteridae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 xml:space="preserve">Flamenco </w:t>
            </w:r>
            <w:proofErr w:type="spellStart"/>
            <w:r w:rsidRPr="00FC0F15">
              <w:rPr>
                <w:rFonts w:asciiTheme="minorHAnsi" w:hAnsiTheme="minorHAnsi"/>
              </w:rPr>
              <w:t>Enano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Phoeniconaias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minor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Phoenicopteridae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Sedentarios/residentes, pero fuertemente nómadas tanto en las temporadas de reproducción como en las de no reproducción; los individuos viajan comúnmente más de 1.000 </w:t>
            </w:r>
            <w:r w:rsidR="008317B0" w:rsidRPr="00657BB5">
              <w:rPr>
                <w:rFonts w:asciiTheme="minorHAnsi" w:hAnsiTheme="minorHAnsi"/>
                <w:lang w:val="es-PE"/>
              </w:rPr>
              <w:t>km,</w:t>
            </w:r>
            <w:r w:rsidRPr="00657BB5">
              <w:rPr>
                <w:rFonts w:asciiTheme="minorHAnsi" w:hAnsiTheme="minorHAnsi"/>
                <w:lang w:val="es-PE"/>
              </w:rPr>
              <w:t xml:space="preserve"> pero sin una dirección consistente.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Gruidae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Grulla</w:t>
            </w:r>
            <w:proofErr w:type="spellEnd"/>
            <w:r w:rsidRPr="00FC0F15">
              <w:rPr>
                <w:rFonts w:asciiTheme="minorHAnsi" w:hAnsiTheme="minorHAnsi"/>
              </w:rPr>
              <w:t xml:space="preserve"> sarus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Antigone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antigone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 xml:space="preserve">Un miembro de un género agregado, Antígona. Estado en la Lista Roja de la UICN: Vulnerable; Movimientos caracterizados como: Migrante parcial: cambio de área de distribución después de la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, con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y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ocupados de forma fiable cada temporada; los individuos viajan normalmente de 100 a 1.000 km, pero sin una dirección consistente; la subpoblación australiana no migra a través de las fronteras internacionales.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Gruidae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Grulla</w:t>
            </w:r>
            <w:proofErr w:type="spellEnd"/>
            <w:r w:rsidRPr="00FC0F15">
              <w:rPr>
                <w:rFonts w:asciiTheme="minorHAnsi" w:hAnsiTheme="minorHAnsi"/>
              </w:rPr>
              <w:t xml:space="preserve"> Americana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Grus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americana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 xml:space="preserve">Un miembro de un género desagregado,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Grus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. Estado en la Lista Roja de la UICN: En Peligro;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Pluvianellidae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Chorlito</w:t>
            </w:r>
            <w:proofErr w:type="spellEnd"/>
            <w:r w:rsidRPr="00FC0F15">
              <w:rPr>
                <w:rFonts w:asciiTheme="minorHAnsi" w:hAnsiTheme="minorHAnsi"/>
              </w:rPr>
              <w:t xml:space="preserve"> de Magallanes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Pluvianellus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socialis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Pluvianellidae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sustancial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con lugares de reproducción ocupados de forma fiable cada temporada, pero moderadamente nómadas en la temporada de no reproducción; los individuos suelen viajar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Haematopodidae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Ostrero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euroasiático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Haematopus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ostralegus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Haematopodidae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Chorlitejo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cordillerano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Phegornis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mitchellii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después de la reproducción, con lugares de reproducción ocupados de forma fiable cada temporada, pero moderadamente nómadas en la temporada de no reproducción; los individuos suelen viajar de 100 a 1.000 km de norte a sur;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Chorlitejo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silbador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melodus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Chorlitejo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cariblanco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dealbatus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de 100 a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DD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Chorlitejo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nivoso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nivosus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8317B0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sustancial en el área de distribución después de la reproducción: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manera fiable cada temporada, pero son moderadamente nómadas en la temporada de no reproducción; los individuos suelen viajar más de 1.000 km de norte a sur; al menos una subpoblación está separada de la ruta de migración considerada sedentaria.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Chorlitejo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pálido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pallidus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8317B0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Migrante parcial: cambio de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y moderadamente nómada tanto en las temporadas de reproducción como en las de no reproducción; los individuos viajan comúnmente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Chorlito</w:t>
            </w:r>
            <w:proofErr w:type="spellEnd"/>
            <w:r w:rsidRPr="00FC0F15">
              <w:rPr>
                <w:rFonts w:asciiTheme="minorHAnsi" w:hAnsiTheme="minorHAnsi"/>
              </w:rPr>
              <w:t xml:space="preserve"> llanero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montanus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sustancial en el área de distribución después de la reproducción, con lugares de reproducción y no reproducción ocupados de forma fiable cada temporada; los individuos suelen viajar más de 1.000 km de norte a sur; al menos una subpoblación separada de la ruta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Avefría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europea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Vanellus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vanellus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Charadriidae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Migrante parcial: cambio sustancial en el área de distribución después de la reproducción: los lugares de reproducción están ocupados de forma fiable cada temporada, pero son moderadamente nómadas en la temporada de no reproducción;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Zarapito</w:t>
            </w:r>
            <w:proofErr w:type="spellEnd"/>
            <w:r w:rsidRPr="00FC0F15">
              <w:rPr>
                <w:rFonts w:asciiTheme="minorHAnsi" w:hAnsiTheme="minorHAnsi"/>
              </w:rPr>
              <w:t xml:space="preserve"> americano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Numenius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arquata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Aguja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colipinta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lapponica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Aguja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colinegra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Correlimos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zarapitín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Calidris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ferruginea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8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Correlimos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cuellirrojo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Calidris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ruficollis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Agujeta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asiática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Limnodromus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semipalmatus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7058E6">
            <w:pPr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7058E6">
            <w:pPr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Agachadiza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fueguina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stricklandii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después de la reproducción, con lugares de reproducción ocupados de forma fiable cada temporada, pero moderadamente nómadas en la temporada de no reproducción; los individuos suelen viajar de 100 a 1.000 km de norte a sur; al menos una subpoblación separada de la ruta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Agachadiza</w:t>
            </w:r>
            <w:proofErr w:type="spellEnd"/>
            <w:r w:rsidRPr="00FC0F15">
              <w:rPr>
                <w:rFonts w:asciiTheme="minorHAnsi" w:hAnsiTheme="minorHAnsi"/>
              </w:rPr>
              <w:t xml:space="preserve"> del Himalaya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nemoricola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Migrante parcial: cambio de área de distribución después de la reproducción, con lugares de reproducción ocupados de forma fiable cada temporada, pero moderadamente nómadas en la temporada de no reproducción; los individuos suelen viajar de 100 a 1.000 km de norte a sur;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7058E6">
            <w:pPr>
              <w:rPr>
                <w:rFonts w:asciiTheme="minorHAnsi" w:hAnsiTheme="minorHAnsi"/>
              </w:rPr>
            </w:pPr>
          </w:p>
          <w:p w:rsidR="007058E6" w:rsidRPr="00657BB5" w:rsidRDefault="007058E6" w:rsidP="007058E6">
            <w:pPr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Agachadiza</w:t>
            </w:r>
            <w:proofErr w:type="spellEnd"/>
            <w:r w:rsidRPr="00FC0F15">
              <w:rPr>
                <w:rFonts w:asciiTheme="minorHAnsi" w:hAnsiTheme="minorHAnsi"/>
              </w:rPr>
              <w:t xml:space="preserve"> real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media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Playero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siberiano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Tringa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brevipes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Scolopacidae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todas las estaciones, pero son muy nómadas en la temporada de no reproducción;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Quebrantahuesos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Gypaetus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barbatus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Sedentarios/residentes: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inmaduros pueden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migrar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más allá del rango normal de los adultos antes de regresar a la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Águila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volatinera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Terathopius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ecaudatus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en el área de distribución posterior a la reproducción, con lugares de reproducción y no reproducción ocupados de forma fiable cada temporada; los individuos suelen viajar de 100 a 1.000 km de norte a sur; los inmaduros pueden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migrar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más allá del área de distribución normal de los adultos antes de regresar a la reproducción; al menos una subpoblación separada de la vía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Culebrera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sudanesa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Circaetus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beaudouini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Migrante parcial: cambio sustancial en el área de distribución después de la reproducción: los lugares de reproducción están ocupados de forma fiable cada temporada, pero son moderadamente nómadas en la temporada de no reproducción; los individuos suelen viajar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Culebrera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barrada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Circaetus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fasciolatus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con lugares de reproducción y no reproducción ocupados de forma fiable cada temporada; los individuos suelen viajar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7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Buitre</w:t>
            </w:r>
            <w:proofErr w:type="spellEnd"/>
            <w:r w:rsidRPr="00FC0F15">
              <w:rPr>
                <w:rFonts w:asciiTheme="minorHAnsi" w:hAnsiTheme="minorHAnsi"/>
              </w:rPr>
              <w:t xml:space="preserve"> del Himalaya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Gyps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himalayensis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Migración parcial: cambio en el área de distribución posterior a la reproducción, con lugares de reproducción y no reproducción ocupados de forma fiable cada temporada; los individuos suelen recorrer menos de 100 km pero en una dirección no uniforme; al menos algunos movimientos son principalmente altitudinales; los inmaduros pueden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migrar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más allá del área de distribución normal de los adultos antes de regresar a la reproducción.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7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Buitre</w:t>
            </w:r>
            <w:proofErr w:type="spellEnd"/>
            <w:r w:rsidRPr="00FC0F15">
              <w:rPr>
                <w:rFonts w:asciiTheme="minorHAnsi" w:hAnsiTheme="minorHAnsi"/>
              </w:rPr>
              <w:t xml:space="preserve"> Negro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Aegypius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monachus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Migrante parcial: cambio de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y expansión sustancial y moderadamente nómada tanto en las temporadas de reproducción como en las de no reproducción; los individuos suelen viajar más de 1.000 km de norte a sur; al menos una subpoblación separada de la vía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Águila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rapaz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Aquila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rapax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Vulnerable; Movimientos caracterizados como: Migración parcial: cambio del área de distribución después de la reproducción, con lugares de reproducción y no reproducción ocupados de forma fiable cada temporada; los individuos suelen viajar de 100 a 1.000 km de norte a sur; al menos una subpoblación separada de la ruta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7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Aguilucho</w:t>
            </w:r>
            <w:proofErr w:type="spellEnd"/>
            <w:r w:rsidRPr="00FC0F15">
              <w:rPr>
                <w:rFonts w:asciiTheme="minorHAnsi" w:hAnsiTheme="minorHAnsi"/>
              </w:rPr>
              <w:t xml:space="preserve"> Negro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Circus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maurus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En Peligro; Movimientos caracterizados como: Migrante parcial: cambio sustancial en el área de distribución después de la reproducción: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manera fiable todas las estaciones, pero son moderadamente nómadas en las estaciones no reproductoras; los individuos suelen viajar más de 1.000 km de norte a sur; a veces hay irrupciones más allá del área de distribución normal en números significativos; al menos una subpoblación está separada de la ruta de migración considerada sedentaria.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Aguilucho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Papialbo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Circus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macrourus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Azor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Pechigrís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Accipiter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poliogaster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después de la reproducción, con lugares de reproducción y no reproducción ocupados de forma fiable cada temporada;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Pigarguillo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Menor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Icthyophaga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humilis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con lugares de reproducción y no reproducción ocupados de forma fiable cada temporada; los individuos viajan normalmente de 100 a 1.000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consistente; al menos algunos movimientos principalmente altitudinales; al menos una subpoblación separada de la vía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Accipitridae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>Milano Real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Milvus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milvus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Accipitridae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Casi Amenazado; Movimientos caracterizados como: Migrante parcial: cambio de área de distribución después de la reproducción, con lugares de reproducción y no reproducción ocupados de forma fiable cada temporada; los individuos suelen viajar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Falconidae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>Caracara Austral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Phalcoboenus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australis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Falconidae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en el área de distribución después de la reproducción, con lugares de reproducción y no reproducción ocupados de forma fiable cada temporada; los individuos suelen viajar de 100 a 1.000 km de norte a sur;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Falconidae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Alcotán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turumti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Falco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chicquera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Falconidae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de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y moderadamente nómada tanto en las temporadas de reproducción como en las de no reproducción; los individuos viajan comúnmente de 100 a 1.000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consistente; al menos una subpoblación separada de la vía de migración considerada sedentaria.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Falconidae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Halcón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pizarroso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Falco concolor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 de la CMS.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Falconidae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Aunque actualmente está inscrita en la base de datos del Apéndice II como especie, no está oficialmente inscrita.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Oriolidae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Oropéndola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plateada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Oriolus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mellianus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Oriolidae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En Peligro;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Vireonidae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 xml:space="preserve">Vireo </w:t>
            </w:r>
            <w:proofErr w:type="spellStart"/>
            <w:r w:rsidRPr="00FC0F15">
              <w:rPr>
                <w:rFonts w:asciiTheme="minorHAnsi" w:hAnsiTheme="minorHAnsi"/>
              </w:rPr>
              <w:t>cabecinegro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Vireo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atricapilla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Vireonidae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Monarchidae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Monarca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japonés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Terpsiphone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atrocaudata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Monarchidae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sustancial en el área de distribución después de la reproducción, con lugares de reproducción y no reproducción ocupados de forma fiable cada temporada;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Chaetopidae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Saltarrocas</w:t>
            </w:r>
            <w:proofErr w:type="spellEnd"/>
            <w:r w:rsidRPr="00FC0F15">
              <w:rPr>
                <w:rFonts w:asciiTheme="minorHAnsi" w:hAnsiTheme="minorHAnsi"/>
              </w:rPr>
              <w:t xml:space="preserve"> del Drakensberg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Chaetops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aurantius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Chaetopidae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con localizaciones tanto reproductoras como no reproductoras ocupadas de forma fiable cada estación; los individuos viajan normalmente menos de 100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Acrocephalidae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Carricero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picudo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Acrocephalus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orinus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Acrocephalidae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DD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Acrocephalidae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Carricerín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manchú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Acrocephalus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tangorum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Acrocephalidae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Locustellidae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Yerbera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japonesa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pryeri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Locustellidae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Buscarla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Pleske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pleskei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Locustellidae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Zarzalero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piquilargo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major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Locustellidae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recorrer menos de 100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uniforme; al menos algunos movimientos son principalmente altitudinales.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Yerbera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estriada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Chaetornis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striata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Locustellidae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Migrante parcial: cambia de área de distribución después de la reproducción y es fuertemente nómada tanto en las temporadas de reproducción como en las de no reproducción; los individuos viajan comúnmente de 100 a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Phylloscopidae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Mosquitero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Tytler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Phylloscopus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tytleri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Phylloscopidae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Phylloscopidae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Mosquitero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Ijima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Phylloscopus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ijimae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Phylloscopidae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Sylviidae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Curruca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sudafricana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Sylvia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nigricapillus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Sylviidae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Migración parcial: la contracción del área de distribución después de la reproducción, con lugares de reproducción y no reproducción ocupados de forma fiable cada temporada; los individuos viajan normalmente de 100 a 1.000 km, pero sin una dirección consistente;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Sylviidae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Curruca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rabilarga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Sylvia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undata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Sylviidae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de área de distribución después de la reproducción y expansión sustancial con lugares de reproducción ocupados de manera fiable cada temporada, pero moderadamente nómadas en la temporada de no reproducción; los individuos viajan comúnmente de 100 a 1.000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sin una dirección consistente;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Pellorneidae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Prinia</w:t>
            </w:r>
            <w:proofErr w:type="spellEnd"/>
            <w:r w:rsidRPr="00FC0F15">
              <w:rPr>
                <w:rFonts w:asciiTheme="minorHAnsi" w:hAnsiTheme="minorHAnsi"/>
              </w:rPr>
              <w:t xml:space="preserve"> de Burnes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Laticilla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burnesii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Pellorneidae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con lugares de reproducción y no reproducción ocupados de forma fiable cada temporada; los individuos viajan normalmente menos de 100 km, pero en una dirección no consistente.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Zorzalito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maculado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Hylocichla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mustelina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Turdidae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Zorzalito</w:t>
            </w:r>
            <w:proofErr w:type="spellEnd"/>
            <w:r w:rsidRPr="00FC0F15">
              <w:rPr>
                <w:rFonts w:asciiTheme="minorHAnsi" w:hAnsiTheme="minorHAnsi"/>
              </w:rPr>
              <w:t xml:space="preserve"> de Bicknell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Catharus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bicknelli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Turdidae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Zorzal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alirrojo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Turdus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iliacus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Turdidae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Migrante parcial: cambio sustancial en el área de distribución después de la reproducción: los lugares de reproducción están ocupados de forma fiable cada temporada, pero son muy nómadas en la temporada de no reproducción; los individuos suelen viajar más de 1.000 km de norte a sur.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Turdidae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Zorzal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Fea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Turdus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feae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Turdidae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Papamoscas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Zappey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Cyanoptila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cumatilis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Papamoscas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pechipardo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Cyornis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brunneatus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Alicorto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ventrirrufo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Brachypteryx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hyperythra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en el área de distribución después de la reproducción, con lugares de reproducción y no reproducción ocupados de forma fiable cada temporada; los individuos viajan normalmente menos de 100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Ruiseñor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cabecirrojo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Larvivora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ruficeps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En Peligro;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temporada, pero no se dispone de información sobre los movimientos no reproductores;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EN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Ruiseñor</w:t>
            </w:r>
            <w:proofErr w:type="spellEnd"/>
            <w:r w:rsidRPr="00FC0F15">
              <w:rPr>
                <w:rFonts w:asciiTheme="minorHAnsi" w:hAnsiTheme="minorHAnsi"/>
              </w:rPr>
              <w:t xml:space="preserve"> de David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Calliope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pectardens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Ruiseñor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gorjinegro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Calliope obscura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temporada, pero no se dispone de información sobre los movimientos no reproductores; los individuos suelen viajar más de 1.000 km de norte a sur; al menos algunos movimientos son principalmente altitudinales.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Papamoscas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Cachemira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Ficedula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subrubra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Roquero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centinela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Monticola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explorator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expansión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 con lugares de reproducción ocupados de forma fiable cada temporada, pero moderadamente nómadas en la temporada de no reproducción; los individuos viajan normalmente menos de 100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Tarabilla</w:t>
            </w:r>
            <w:proofErr w:type="spellEnd"/>
            <w:r w:rsidRPr="00FC0F15">
              <w:rPr>
                <w:rFonts w:asciiTheme="minorHAnsi" w:hAnsiTheme="minorHAnsi"/>
              </w:rPr>
              <w:t xml:space="preserve"> de </w:t>
            </w:r>
            <w:proofErr w:type="spellStart"/>
            <w:r w:rsidRPr="00FC0F15">
              <w:rPr>
                <w:rFonts w:asciiTheme="minorHAnsi" w:hAnsiTheme="minorHAnsi"/>
              </w:rPr>
              <w:t>Stoliczka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Saxicola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macrorhynchus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Migrante completo y moderadamente nómada en la temporada de reproducción y fuertemente en la temporada de no reproducción; los individuos viajan comúnmente de 100 a 1.000 </w:t>
            </w:r>
            <w:proofErr w:type="gramStart"/>
            <w:r w:rsidRPr="00657BB5">
              <w:rPr>
                <w:rFonts w:asciiTheme="minorHAnsi" w:hAnsiTheme="minorHAnsi"/>
                <w:lang w:val="es-PE"/>
              </w:rPr>
              <w:t>km</w:t>
            </w:r>
            <w:proofErr w:type="gramEnd"/>
            <w:r w:rsidRPr="00657BB5">
              <w:rPr>
                <w:rFonts w:asciiTheme="minorHAnsi" w:hAnsiTheme="minorHAnsi"/>
                <w:lang w:val="es-PE"/>
              </w:rPr>
              <w:t xml:space="preserve"> pero en una dirección no consistente.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Tarabilla</w:t>
            </w:r>
            <w:proofErr w:type="spellEnd"/>
            <w:r w:rsidRPr="00FC0F15">
              <w:rPr>
                <w:rFonts w:asciiTheme="minorHAnsi" w:hAnsiTheme="minorHAnsi"/>
              </w:rPr>
              <w:t xml:space="preserve"> de Hodgson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Saxicola insignis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Muscicapidae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Colinegro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sombrío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Oenanthe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dubia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Sedentarios/residentes: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temporada, pero moderadamente nómadas en la temporada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; los individuos viajan normalmente de 100 a 1.000 km, pero en una dirección no uniforme.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DD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Motacillidae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Bisbita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pratense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pratensis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Motacillidae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Migración parcial: cambio sustancial en el área de distribución después de la reproducción, con lugares de reproducción y no reproducción ocupados de forma fiable cada temporada; los individuos suelen viajar más de 1.000 km de norte a sur;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Bisbita</w:t>
            </w:r>
            <w:proofErr w:type="spellEnd"/>
            <w:r w:rsidRPr="00FC0F15">
              <w:rPr>
                <w:rFonts w:asciiTheme="minorHAnsi" w:hAnsiTheme="minorHAnsi"/>
              </w:rPr>
              <w:t xml:space="preserve"> llanero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spragueii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Motacillidae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Bisbita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montano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hoeschi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Motacillidae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viajar más de 1.000 km de norte a sur.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proofErr w:type="spellStart"/>
            <w:r w:rsidRPr="00FC0F15">
              <w:rPr>
                <w:rFonts w:asciiTheme="minorHAnsi" w:hAnsiTheme="minorHAnsi"/>
              </w:rPr>
              <w:t>Bisbita</w:t>
            </w:r>
            <w:proofErr w:type="spellEnd"/>
            <w:r w:rsidRPr="00FC0F15">
              <w:rPr>
                <w:rFonts w:asciiTheme="minorHAnsi" w:hAnsiTheme="minorHAnsi"/>
              </w:rPr>
              <w:t xml:space="preserve"> </w:t>
            </w:r>
            <w:proofErr w:type="spellStart"/>
            <w:r w:rsidRPr="00FC0F15">
              <w:rPr>
                <w:rFonts w:asciiTheme="minorHAnsi" w:hAnsiTheme="minorHAnsi"/>
              </w:rPr>
              <w:t>pechigualdo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Hemimacronyx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chloris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8E6" w:rsidRPr="00657BB5" w:rsidRDefault="007058E6" w:rsidP="00B439E6">
            <w:pPr>
              <w:jc w:val="both"/>
              <w:rPr>
                <w:rFonts w:asciiTheme="minorHAnsi" w:hAnsiTheme="minorHAnsi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Motacillidae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Vulnerable; Movimientos caracterizados como: Migración parcial: expansión sustancial del área de distribución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post-reproducción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con lugares de reproducción y no reproducción ocupados de forma fiable cada temporada; los individuos viajan comúnmente de 100 a 1.000 km de este a oeste; al menos algunos movimientos son principalmente altitudinales. </w:t>
            </w:r>
            <w:proofErr w:type="spellStart"/>
            <w:r w:rsidRPr="00657BB5">
              <w:rPr>
                <w:rFonts w:asciiTheme="minorHAnsi" w:hAnsiTheme="minorHAnsi"/>
              </w:rPr>
              <w:t>Cumple</w:t>
            </w:r>
            <w:proofErr w:type="spellEnd"/>
            <w:r w:rsidRPr="00657BB5">
              <w:rPr>
                <w:rFonts w:asciiTheme="minorHAnsi" w:hAnsiTheme="minorHAnsi"/>
              </w:rPr>
              <w:t xml:space="preserve"> con los </w:t>
            </w:r>
            <w:proofErr w:type="spellStart"/>
            <w:r w:rsidRPr="00657BB5">
              <w:rPr>
                <w:rFonts w:asciiTheme="minorHAnsi" w:hAnsiTheme="minorHAnsi"/>
              </w:rPr>
              <w:t>criterios</w:t>
            </w:r>
            <w:proofErr w:type="spellEnd"/>
            <w:r w:rsidRPr="00657BB5">
              <w:rPr>
                <w:rFonts w:asciiTheme="minorHAnsi" w:hAnsiTheme="minorHAnsi"/>
              </w:rPr>
              <w:t xml:space="preserve"> de </w:t>
            </w:r>
            <w:proofErr w:type="spellStart"/>
            <w:r w:rsidRPr="00657BB5">
              <w:rPr>
                <w:rFonts w:asciiTheme="minorHAnsi" w:hAnsiTheme="minorHAnsi"/>
              </w:rPr>
              <w:t>movimiento</w:t>
            </w:r>
            <w:proofErr w:type="spellEnd"/>
            <w:r w:rsidRPr="00657BB5">
              <w:rPr>
                <w:rFonts w:asciiTheme="minorHAnsi" w:hAnsiTheme="minorHAnsi"/>
              </w:rPr>
              <w:t xml:space="preserve"> de la CMS.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VU</w:t>
            </w:r>
          </w:p>
        </w:tc>
      </w:tr>
      <w:tr w:rsidR="007058E6" w:rsidRPr="00FC0F15" w:rsidTr="008317B0">
        <w:trPr>
          <w:cantSplit/>
          <w:trHeight w:val="11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lastRenderedPageBreak/>
              <w:t>Motacillidae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rPr>
                <w:rFonts w:asciiTheme="minorHAnsi" w:hAnsiTheme="minorHAnsi"/>
              </w:rPr>
            </w:pPr>
            <w:r w:rsidRPr="00FC0F15">
              <w:rPr>
                <w:rFonts w:asciiTheme="minorHAnsi" w:hAnsiTheme="minorHAnsi"/>
              </w:rPr>
              <w:t>Lavandera del Mekong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Motacilla</w:t>
            </w:r>
            <w:proofErr w:type="spellEnd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FC0F15">
              <w:rPr>
                <w:rFonts w:asciiTheme="minorHAnsi" w:hAnsiTheme="minorHAnsi" w:cstheme="minorHAnsi"/>
                <w:i/>
                <w:iCs/>
                <w:color w:val="000000"/>
                <w:szCs w:val="20"/>
                <w:lang w:val="en-AU" w:eastAsia="en-AU"/>
              </w:rPr>
              <w:t>samveasnae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8E6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  <w:r w:rsidRPr="00657BB5">
              <w:rPr>
                <w:rFonts w:asciiTheme="minorHAnsi" w:hAnsiTheme="minorHAnsi"/>
                <w:lang w:val="es-PE"/>
              </w:rPr>
              <w:t>Un miembro de una familia desagregada del Apéndice II. (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Motacillidae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, anteriormente </w:t>
            </w:r>
            <w:proofErr w:type="spellStart"/>
            <w:r w:rsidRPr="00657BB5">
              <w:rPr>
                <w:rFonts w:asciiTheme="minorHAnsi" w:hAnsiTheme="minorHAnsi"/>
                <w:lang w:val="es-PE"/>
              </w:rPr>
              <w:t>Muscicapidae</w:t>
            </w:r>
            <w:proofErr w:type="spellEnd"/>
            <w:r w:rsidRPr="00657BB5">
              <w:rPr>
                <w:rFonts w:asciiTheme="minorHAnsi" w:hAnsiTheme="minorHAnsi"/>
                <w:lang w:val="es-PE"/>
              </w:rPr>
              <w:t xml:space="preserve">). Estado en la Lista Roja de la UICN: Casi Amenazado; Movimientos caracterizados como: </w:t>
            </w:r>
            <w:r w:rsidR="006E4D14" w:rsidRPr="006E4D14">
              <w:rPr>
                <w:rFonts w:asciiTheme="minorHAnsi" w:hAnsiTheme="minorHAnsi"/>
                <w:lang w:val="es-PE"/>
              </w:rPr>
              <w:t>Migración integral</w:t>
            </w:r>
            <w:r w:rsidRPr="00657BB5">
              <w:rPr>
                <w:rFonts w:asciiTheme="minorHAnsi" w:hAnsiTheme="minorHAnsi"/>
                <w:lang w:val="es-PE"/>
              </w:rPr>
              <w:t xml:space="preserve">: tanto los lugares de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como los de no </w:t>
            </w:r>
            <w:r>
              <w:rPr>
                <w:rFonts w:asciiTheme="minorHAnsi" w:hAnsiTheme="minorHAnsi"/>
                <w:lang w:val="es-PE"/>
              </w:rPr>
              <w:t>reproducción</w:t>
            </w:r>
            <w:r w:rsidRPr="00657BB5">
              <w:rPr>
                <w:rFonts w:asciiTheme="minorHAnsi" w:hAnsiTheme="minorHAnsi"/>
                <w:lang w:val="es-PE"/>
              </w:rPr>
              <w:t xml:space="preserve"> están ocupados de forma fiable cada temporada; los individuos suelen recorrer menos de 100 km, pero en una dirección no uniforme. </w:t>
            </w:r>
            <w:r w:rsidRPr="00AE0AE4">
              <w:rPr>
                <w:rFonts w:asciiTheme="minorHAnsi" w:hAnsiTheme="minorHAnsi"/>
                <w:lang w:val="es-PE"/>
              </w:rPr>
              <w:t>Cumple con los criterios de movimiento de la CMS.</w:t>
            </w:r>
          </w:p>
          <w:p w:rsidR="007058E6" w:rsidRPr="00AE0AE4" w:rsidRDefault="007058E6" w:rsidP="00B439E6">
            <w:pPr>
              <w:jc w:val="both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58E6" w:rsidRPr="00FC0F15" w:rsidRDefault="007058E6" w:rsidP="007058E6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Theme="minorHAnsi" w:hAnsiTheme="minorHAnsi" w:cstheme="minorHAnsi"/>
                <w:szCs w:val="20"/>
                <w:lang w:val="en-AU" w:eastAsia="en-AU"/>
              </w:rPr>
            </w:pPr>
            <w:r w:rsidRPr="00FC0F15">
              <w:rPr>
                <w:rFonts w:asciiTheme="minorHAnsi" w:hAnsiTheme="minorHAnsi" w:cstheme="minorHAnsi"/>
                <w:szCs w:val="20"/>
                <w:lang w:val="en-AU" w:eastAsia="en-AU"/>
              </w:rPr>
              <w:t>NT</w:t>
            </w:r>
          </w:p>
        </w:tc>
      </w:tr>
    </w:tbl>
    <w:p w:rsidR="00193047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Pr="001D67C3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FC0F15" w:rsidRDefault="00FC0F15"/>
    <w:sectPr w:rsidR="00FC0F15" w:rsidSect="002A3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1138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15" w:rsidRDefault="00FC0F15" w:rsidP="00193047">
      <w:r>
        <w:separator/>
      </w:r>
    </w:p>
  </w:endnote>
  <w:endnote w:type="continuationSeparator" w:id="0">
    <w:p w:rsidR="00FC0F15" w:rsidRDefault="00FC0F15" w:rsidP="001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15" w:rsidRDefault="00FC0F15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9387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A3F11" w:rsidRPr="002A3F11" w:rsidRDefault="002A3F11">
        <w:pPr>
          <w:pStyle w:val="Footer"/>
          <w:jc w:val="center"/>
          <w:rPr>
            <w:sz w:val="18"/>
            <w:szCs w:val="18"/>
          </w:rPr>
        </w:pPr>
        <w:r w:rsidRPr="002A3F11">
          <w:rPr>
            <w:sz w:val="18"/>
            <w:szCs w:val="18"/>
          </w:rPr>
          <w:fldChar w:fldCharType="begin"/>
        </w:r>
        <w:r w:rsidRPr="002A3F11">
          <w:rPr>
            <w:sz w:val="18"/>
            <w:szCs w:val="18"/>
          </w:rPr>
          <w:instrText xml:space="preserve"> PAGE   \* MERGEFORMAT </w:instrText>
        </w:r>
        <w:r w:rsidRPr="002A3F11">
          <w:rPr>
            <w:sz w:val="18"/>
            <w:szCs w:val="18"/>
          </w:rPr>
          <w:fldChar w:fldCharType="separate"/>
        </w:r>
        <w:r w:rsidRPr="002A3F11">
          <w:rPr>
            <w:noProof/>
            <w:sz w:val="18"/>
            <w:szCs w:val="18"/>
          </w:rPr>
          <w:t>2</w:t>
        </w:r>
        <w:r w:rsidRPr="002A3F11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11" w:rsidRDefault="002A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15" w:rsidRDefault="00FC0F15" w:rsidP="00193047">
      <w:r>
        <w:separator/>
      </w:r>
    </w:p>
  </w:footnote>
  <w:footnote w:type="continuationSeparator" w:id="0">
    <w:p w:rsidR="00FC0F15" w:rsidRDefault="00FC0F15" w:rsidP="0019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5B" w:rsidRDefault="00E45E5B" w:rsidP="00E45E5B">
    <w:pPr>
      <w:widowControl/>
      <w:pBdr>
        <w:bottom w:val="single" w:sz="4" w:space="1" w:color="000000"/>
      </w:pBdr>
      <w:autoSpaceDE/>
      <w:jc w:val="right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UNEP/CMS/COP13/</w:t>
    </w:r>
    <w:r w:rsidRPr="00833C97">
      <w:rPr>
        <w:rFonts w:ascii="Arial" w:hAnsi="Arial" w:cs="Arial"/>
        <w:i/>
        <w:sz w:val="18"/>
        <w:szCs w:val="18"/>
        <w:lang w:val="en-GB"/>
      </w:rPr>
      <w:t>Doc.27.</w:t>
    </w:r>
    <w:r>
      <w:rPr>
        <w:rFonts w:ascii="Arial" w:hAnsi="Arial" w:cs="Arial"/>
        <w:i/>
        <w:sz w:val="18"/>
        <w:szCs w:val="18"/>
        <w:lang w:val="en-GB"/>
      </w:rPr>
      <w:t>3/Anexo 2</w:t>
    </w:r>
  </w:p>
  <w:p w:rsidR="00FC0F15" w:rsidRPr="00E45E5B" w:rsidRDefault="00FC0F15" w:rsidP="00E45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5B" w:rsidRDefault="00E45E5B" w:rsidP="00E45E5B">
    <w:pPr>
      <w:widowControl/>
      <w:pBdr>
        <w:bottom w:val="single" w:sz="4" w:space="1" w:color="000000"/>
      </w:pBdr>
      <w:autoSpaceDE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UNEP/CMS/COP13/</w:t>
    </w:r>
    <w:r w:rsidRPr="00833C97">
      <w:rPr>
        <w:rFonts w:ascii="Arial" w:hAnsi="Arial" w:cs="Arial"/>
        <w:i/>
        <w:sz w:val="18"/>
        <w:szCs w:val="18"/>
        <w:lang w:val="en-GB"/>
      </w:rPr>
      <w:t>Doc.27.</w:t>
    </w:r>
    <w:r>
      <w:rPr>
        <w:rFonts w:ascii="Arial" w:hAnsi="Arial" w:cs="Arial"/>
        <w:i/>
        <w:sz w:val="18"/>
        <w:szCs w:val="18"/>
        <w:lang w:val="en-GB"/>
      </w:rPr>
      <w:t>3/Anexo 2</w:t>
    </w:r>
  </w:p>
  <w:p w:rsidR="00FC0F15" w:rsidRDefault="00FC0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15" w:rsidRPr="002A3F11" w:rsidRDefault="002A3F11" w:rsidP="002A3F11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A3F11">
      <w:rPr>
        <w:i/>
        <w:sz w:val="18"/>
        <w:szCs w:val="18"/>
      </w:rPr>
      <w:t>UNEP/CMS/ScC-SC4/Doc.11.3.2/Attachment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7"/>
    <w:rsid w:val="000D6810"/>
    <w:rsid w:val="00193047"/>
    <w:rsid w:val="002A3F11"/>
    <w:rsid w:val="006E4D14"/>
    <w:rsid w:val="007058E6"/>
    <w:rsid w:val="007C2BE4"/>
    <w:rsid w:val="008317B0"/>
    <w:rsid w:val="009C76C6"/>
    <w:rsid w:val="00B439E6"/>
    <w:rsid w:val="00D533D4"/>
    <w:rsid w:val="00D6705C"/>
    <w:rsid w:val="00DD7ECA"/>
    <w:rsid w:val="00E45E5B"/>
    <w:rsid w:val="00F126EA"/>
    <w:rsid w:val="00F66049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C6565"/>
  <w15:chartTrackingRefBased/>
  <w15:docId w15:val="{A122FC4C-B97A-430B-85D8-17A7081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3047"/>
    <w:pPr>
      <w:widowControl/>
      <w:tabs>
        <w:tab w:val="center" w:pos="4680"/>
        <w:tab w:val="right" w:pos="9360"/>
      </w:tabs>
      <w:autoSpaceDE/>
    </w:pPr>
    <w:rPr>
      <w:rFonts w:ascii="Arial" w:eastAsia="Calibri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3047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3047"/>
    <w:pPr>
      <w:widowControl/>
      <w:tabs>
        <w:tab w:val="center" w:pos="4680"/>
        <w:tab w:val="right" w:pos="9360"/>
      </w:tabs>
      <w:autoSpaceDE/>
    </w:pPr>
    <w:rPr>
      <w:rFonts w:ascii="Arial" w:eastAsia="Calibri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3047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7101</Words>
  <Characters>39842</Characters>
  <Application>Microsoft Office Word</Application>
  <DocSecurity>0</DocSecurity>
  <Lines>1660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Ximena Cancino</cp:lastModifiedBy>
  <cp:revision>3</cp:revision>
  <dcterms:created xsi:type="dcterms:W3CDTF">2019-12-18T12:17:00Z</dcterms:created>
  <dcterms:modified xsi:type="dcterms:W3CDTF">2019-12-18T12:18:00Z</dcterms:modified>
</cp:coreProperties>
</file>