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0C04D1E" w14:textId="77777777" w:rsidR="008740C5" w:rsidRPr="008740C5" w:rsidRDefault="008740C5" w:rsidP="008740C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</w:pPr>
      <w:r w:rsidRPr="008740C5"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  <w:t>TORTUGAS MARINAS</w:t>
      </w:r>
    </w:p>
    <w:p w14:paraId="77BA811D" w14:textId="55248195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8740C5">
        <w:rPr>
          <w:rFonts w:ascii="Arial" w:hAnsi="Arial" w:cs="Arial"/>
          <w:sz w:val="22"/>
          <w:szCs w:val="22"/>
          <w:lang w:val="es-ES"/>
        </w:rPr>
        <w:t>26.2.6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785BFEE6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566CD8">
        <w:rPr>
          <w:rFonts w:ascii="Arial" w:hAnsi="Arial" w:cs="Arial"/>
          <w:i/>
          <w:sz w:val="22"/>
          <w:szCs w:val="22"/>
          <w:lang w:val="es-ES"/>
        </w:rPr>
        <w:t>el grupo de trabajo acuático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3B817B76" w14:textId="2B3AB8F4" w:rsidR="008740C5" w:rsidRPr="008740C5" w:rsidRDefault="00566CD8" w:rsidP="008740C5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>
        <w:rPr>
          <w:rFonts w:ascii="Arial" w:eastAsiaTheme="minorHAnsi" w:hAnsi="Arial" w:cs="Arial"/>
          <w:sz w:val="22"/>
          <w:szCs w:val="22"/>
          <w:lang w:val="es-ES"/>
        </w:rPr>
        <w:t xml:space="preserve">PROYECTO DE </w:t>
      </w:r>
      <w:r w:rsidR="008740C5" w:rsidRPr="008740C5">
        <w:rPr>
          <w:rFonts w:ascii="Arial" w:eastAsiaTheme="minorHAnsi" w:hAnsi="Arial" w:cs="Arial"/>
          <w:sz w:val="22"/>
          <w:szCs w:val="22"/>
          <w:lang w:val="es-ES"/>
        </w:rPr>
        <w:t>DECISIÓN</w:t>
      </w:r>
    </w:p>
    <w:p w14:paraId="716A2665" w14:textId="77777777" w:rsidR="008740C5" w:rsidRPr="008740C5" w:rsidRDefault="008740C5" w:rsidP="008740C5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51B3B2A" w14:textId="77777777" w:rsidR="008740C5" w:rsidRPr="008740C5" w:rsidRDefault="008740C5" w:rsidP="008740C5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s-ES"/>
        </w:rPr>
      </w:pPr>
    </w:p>
    <w:p w14:paraId="30B9B01F" w14:textId="77777777" w:rsidR="008740C5" w:rsidRPr="008740C5" w:rsidRDefault="008740C5" w:rsidP="008740C5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Theme="minorHAnsi" w:hAnsi="Arial" w:cstheme="minorBidi"/>
          <w:b/>
          <w:bCs/>
          <w:iCs/>
          <w:sz w:val="22"/>
          <w:szCs w:val="22"/>
          <w:lang w:val="es-ES"/>
        </w:rPr>
      </w:pPr>
      <w:r w:rsidRPr="008740C5">
        <w:rPr>
          <w:rFonts w:ascii="Arial" w:eastAsiaTheme="minorHAnsi" w:hAnsi="Arial" w:cstheme="minorBidi"/>
          <w:b/>
          <w:bCs/>
          <w:iCs/>
          <w:sz w:val="22"/>
          <w:szCs w:val="22"/>
          <w:lang w:val="es-ES"/>
        </w:rPr>
        <w:t>Dirigido a las Partes</w:t>
      </w:r>
    </w:p>
    <w:p w14:paraId="5EA66476" w14:textId="77777777" w:rsidR="008740C5" w:rsidRPr="008740C5" w:rsidRDefault="008740C5" w:rsidP="008740C5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</w:p>
    <w:p w14:paraId="3068DC7C" w14:textId="77777777" w:rsidR="008740C5" w:rsidRPr="00566CD8" w:rsidRDefault="008740C5" w:rsidP="008740C5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566CD8">
        <w:rPr>
          <w:rFonts w:ascii="Arial" w:hAnsi="Arial" w:cs="Arial"/>
          <w:iCs/>
          <w:sz w:val="22"/>
          <w:szCs w:val="22"/>
          <w:lang w:val="es-ES"/>
        </w:rPr>
        <w:t>13.AA</w:t>
      </w:r>
      <w:r w:rsidRPr="00566CD8">
        <w:rPr>
          <w:rFonts w:ascii="Arial" w:hAnsi="Arial" w:cs="Arial"/>
          <w:iCs/>
          <w:sz w:val="22"/>
          <w:szCs w:val="22"/>
          <w:lang w:val="es-ES"/>
        </w:rPr>
        <w:tab/>
        <w:t>Se invita a las Partes a aportar fondos a la Secretaría con el fin de apoyar la puesta en marcha de esta Decisión.</w:t>
      </w:r>
    </w:p>
    <w:p w14:paraId="41DF3DD0" w14:textId="77777777" w:rsidR="008740C5" w:rsidRPr="008740C5" w:rsidRDefault="008740C5" w:rsidP="008740C5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s-ES"/>
        </w:rPr>
      </w:pPr>
    </w:p>
    <w:p w14:paraId="2C533A51" w14:textId="77777777" w:rsidR="008740C5" w:rsidRPr="008740C5" w:rsidRDefault="008740C5" w:rsidP="00566CD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bCs/>
          <w:iCs/>
          <w:sz w:val="22"/>
          <w:szCs w:val="22"/>
          <w:lang w:val="es-ES"/>
        </w:rPr>
      </w:pPr>
      <w:r w:rsidRPr="008740C5">
        <w:rPr>
          <w:rFonts w:ascii="Arial" w:eastAsiaTheme="minorHAnsi" w:hAnsi="Arial" w:cstheme="minorBidi"/>
          <w:b/>
          <w:bCs/>
          <w:iCs/>
          <w:sz w:val="22"/>
          <w:szCs w:val="22"/>
          <w:lang w:val="es-ES"/>
        </w:rPr>
        <w:t>Dirigido al Consejo Científico</w:t>
      </w:r>
    </w:p>
    <w:p w14:paraId="0FF10288" w14:textId="77777777" w:rsidR="008740C5" w:rsidRPr="008740C5" w:rsidRDefault="008740C5" w:rsidP="008740C5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</w:p>
    <w:p w14:paraId="2BFACB5D" w14:textId="3F5517C2" w:rsidR="008740C5" w:rsidRPr="008740C5" w:rsidRDefault="008740C5" w:rsidP="00A53A3B">
      <w:pPr>
        <w:widowControl/>
        <w:suppressAutoHyphens w:val="0"/>
        <w:autoSpaceDE/>
        <w:autoSpaceDN/>
        <w:ind w:left="900" w:hanging="900"/>
        <w:textAlignment w:val="auto"/>
        <w:rPr>
          <w:rFonts w:ascii="Arial" w:hAnsi="Arial" w:cs="Arial"/>
          <w:iCs/>
          <w:sz w:val="22"/>
          <w:szCs w:val="22"/>
          <w:lang w:val="es-ES"/>
        </w:rPr>
      </w:pPr>
      <w:r w:rsidRPr="008740C5">
        <w:rPr>
          <w:rFonts w:ascii="Arial" w:hAnsi="Arial" w:cs="Arial"/>
          <w:iCs/>
          <w:sz w:val="22"/>
          <w:szCs w:val="22"/>
          <w:lang w:val="es-ES"/>
        </w:rPr>
        <w:t>13.BB</w:t>
      </w:r>
      <w:r w:rsidRPr="008740C5">
        <w:rPr>
          <w:rFonts w:ascii="Arial" w:hAnsi="Arial" w:cs="Arial"/>
          <w:iCs/>
          <w:sz w:val="22"/>
          <w:szCs w:val="22"/>
          <w:lang w:val="es-ES"/>
        </w:rPr>
        <w:tab/>
      </w:r>
      <w:r w:rsidR="00566CD8">
        <w:rPr>
          <w:rFonts w:ascii="Arial" w:hAnsi="Arial" w:cs="Arial"/>
          <w:iCs/>
          <w:sz w:val="22"/>
          <w:szCs w:val="22"/>
          <w:lang w:val="es-ES"/>
        </w:rPr>
        <w:t xml:space="preserve">Se solicita </w:t>
      </w:r>
      <w:r w:rsidR="00566CD8">
        <w:rPr>
          <w:rFonts w:ascii="Arial" w:eastAsiaTheme="minorHAnsi" w:hAnsi="Arial" w:cs="Arial"/>
          <w:sz w:val="22"/>
          <w:szCs w:val="18"/>
          <w:lang w:val="es-ES_tradnl"/>
        </w:rPr>
        <w:t>a</w:t>
      </w:r>
      <w:r w:rsidRPr="008740C5">
        <w:rPr>
          <w:rFonts w:ascii="Arial" w:eastAsiaTheme="minorHAnsi" w:hAnsi="Arial" w:cs="Arial"/>
          <w:sz w:val="22"/>
          <w:szCs w:val="18"/>
          <w:lang w:val="es-ES_tradnl"/>
        </w:rPr>
        <w:t>l Consejo Científico</w:t>
      </w:r>
      <w:r w:rsidRPr="006A2667">
        <w:rPr>
          <w:rFonts w:ascii="Arial" w:hAnsi="Arial" w:cs="Arial"/>
          <w:iCs/>
          <w:sz w:val="22"/>
          <w:szCs w:val="22"/>
          <w:lang w:val="es-ES"/>
        </w:rPr>
        <w:t>, sujeto a la disponibilidad de recursos:</w:t>
      </w:r>
    </w:p>
    <w:p w14:paraId="4F586BDA" w14:textId="77777777" w:rsidR="008740C5" w:rsidRPr="008740C5" w:rsidRDefault="008740C5" w:rsidP="008740C5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s-ES"/>
        </w:rPr>
      </w:pPr>
    </w:p>
    <w:p w14:paraId="0E2E6576" w14:textId="53793D68" w:rsidR="008740C5" w:rsidRPr="008740C5" w:rsidRDefault="008740C5" w:rsidP="00A53A3B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  <w:r w:rsidRPr="006A1454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Revisar, en la medida de lo posible y en colaboración </w:t>
      </w:r>
      <w:r w:rsidRPr="006A1454">
        <w:rPr>
          <w:rFonts w:ascii="Arial" w:eastAsiaTheme="minorHAnsi" w:hAnsi="Arial" w:cstheme="minorBidi"/>
          <w:sz w:val="22"/>
          <w:szCs w:val="22"/>
          <w:lang w:val="es-ES"/>
        </w:rPr>
        <w:t xml:space="preserve">con el </w:t>
      </w:r>
      <w:proofErr w:type="spellStart"/>
      <w:r w:rsidRPr="006A1454">
        <w:rPr>
          <w:rFonts w:ascii="Arial" w:eastAsiaTheme="minorHAnsi" w:hAnsi="Arial" w:cstheme="minorBidi"/>
          <w:sz w:val="22"/>
          <w:szCs w:val="22"/>
          <w:lang w:val="es-ES"/>
        </w:rPr>
        <w:t>MdE</w:t>
      </w:r>
      <w:proofErr w:type="spellEnd"/>
      <w:r w:rsidRPr="006A1454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 w:rsidRPr="006A1454">
        <w:rPr>
          <w:rFonts w:ascii="Arial" w:eastAsiaTheme="minorHAnsi" w:hAnsi="Arial" w:cstheme="minorBidi"/>
          <w:bCs/>
          <w:iCs/>
          <w:sz w:val="22"/>
          <w:szCs w:val="22"/>
          <w:lang w:val="es-ES"/>
        </w:rPr>
        <w:t>de la IOSEA</w:t>
      </w:r>
      <w:r w:rsidRPr="006A1454">
        <w:rPr>
          <w:rFonts w:ascii="Arial" w:eastAsiaTheme="minorHAnsi" w:hAnsi="Arial" w:cstheme="minorBidi"/>
          <w:sz w:val="22"/>
          <w:szCs w:val="22"/>
          <w:lang w:val="es-ES"/>
        </w:rPr>
        <w:t xml:space="preserve"> y la Convención Interamericana para la Protección y la Conservación de las Tortugas Marinas,</w:t>
      </w:r>
      <w:r w:rsidRPr="008740C5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</w:t>
      </w:r>
      <w:r w:rsidRPr="008740C5">
        <w:rPr>
          <w:rFonts w:ascii="Arial" w:eastAsiaTheme="minorHAnsi" w:hAnsi="Arial" w:cs="Arial"/>
          <w:sz w:val="22"/>
          <w:szCs w:val="18"/>
          <w:lang w:val="es-ES_tradnl"/>
        </w:rPr>
        <w:t>la información científica relevante relativa a la conservación y las amenazas que pesan sobre las tortugas marinas, como el cambio climático</w:t>
      </w:r>
      <w:r w:rsidRPr="008740C5">
        <w:rPr>
          <w:rFonts w:ascii="Arial" w:eastAsiaTheme="minorHAnsi" w:hAnsi="Arial" w:cstheme="minorBidi"/>
          <w:iCs/>
          <w:sz w:val="22"/>
          <w:szCs w:val="22"/>
          <w:lang w:val="es-ES"/>
        </w:rPr>
        <w:t>;</w:t>
      </w:r>
    </w:p>
    <w:p w14:paraId="24F71C7C" w14:textId="77777777" w:rsidR="008740C5" w:rsidRPr="008740C5" w:rsidRDefault="008740C5" w:rsidP="00A53A3B">
      <w:pPr>
        <w:widowControl/>
        <w:suppressAutoHyphens w:val="0"/>
        <w:autoSpaceDE/>
        <w:autoSpaceDN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</w:p>
    <w:p w14:paraId="370C98DD" w14:textId="27C7BE2C" w:rsidR="008740C5" w:rsidRPr="008740C5" w:rsidRDefault="008740C5" w:rsidP="00A53A3B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  <w:r w:rsidRPr="006A1454">
        <w:rPr>
          <w:rFonts w:ascii="Arial" w:eastAsiaTheme="minorHAnsi" w:hAnsi="Arial" w:cstheme="minorBidi"/>
          <w:iCs/>
          <w:sz w:val="22"/>
          <w:szCs w:val="22"/>
          <w:lang w:val="es-ES"/>
        </w:rPr>
        <w:t>De acuerdo con esta revisión,</w:t>
      </w:r>
      <w:r w:rsidRPr="008740C5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</w:t>
      </w:r>
      <w:r w:rsidRPr="008740C5">
        <w:rPr>
          <w:rFonts w:ascii="Arial" w:eastAsiaTheme="minorHAnsi" w:hAnsi="Arial" w:cs="Arial"/>
          <w:sz w:val="22"/>
          <w:szCs w:val="18"/>
          <w:lang w:val="es-ES_tradnl"/>
        </w:rPr>
        <w:t>desarrollar nuevas recomendaciones para la conservación de todas las especies de tortugas marinas incluidas en el Apéndice I o II de la Convención</w:t>
      </w:r>
      <w:r w:rsidR="00553C37">
        <w:rPr>
          <w:rFonts w:ascii="Arial" w:eastAsiaTheme="minorHAnsi" w:hAnsi="Arial" w:cs="Arial"/>
          <w:sz w:val="22"/>
          <w:szCs w:val="18"/>
          <w:lang w:val="es-ES_tradnl"/>
        </w:rPr>
        <w:t xml:space="preserve">, incluyendo la preservación de las actuales playas de anidación </w:t>
      </w:r>
      <w:r w:rsidR="00747CD5">
        <w:rPr>
          <w:rFonts w:ascii="Arial" w:eastAsiaTheme="minorHAnsi" w:hAnsi="Arial" w:cs="Arial"/>
          <w:sz w:val="22"/>
          <w:szCs w:val="18"/>
          <w:lang w:val="es-ES_tradnl"/>
        </w:rPr>
        <w:t xml:space="preserve">y la identificación de nuevas playas de anidación, </w:t>
      </w:r>
      <w:r w:rsidRPr="008740C5">
        <w:rPr>
          <w:rFonts w:ascii="Arial" w:eastAsiaTheme="minorHAnsi" w:hAnsi="Arial" w:cs="Arial"/>
          <w:sz w:val="22"/>
          <w:szCs w:val="18"/>
          <w:lang w:val="es-ES_tradnl"/>
        </w:rPr>
        <w:t>para su presentación en la 14ª Reunión de la Conferencia de las Partes;</w:t>
      </w:r>
    </w:p>
    <w:p w14:paraId="79512BA0" w14:textId="77777777" w:rsidR="008740C5" w:rsidRPr="008740C5" w:rsidRDefault="008740C5" w:rsidP="00A53A3B">
      <w:pPr>
        <w:widowControl/>
        <w:suppressAutoHyphens w:val="0"/>
        <w:autoSpaceDE/>
        <w:autoSpaceDN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</w:p>
    <w:p w14:paraId="3A03950F" w14:textId="20D4CBC7" w:rsidR="008740C5" w:rsidRPr="00E97021" w:rsidRDefault="008740C5" w:rsidP="00A53A3B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ind w:left="1350" w:hanging="450"/>
        <w:contextualSpacing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s-ES"/>
        </w:rPr>
      </w:pPr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Desarrollar, en colaboración con el </w:t>
      </w:r>
      <w:proofErr w:type="spellStart"/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>MdE</w:t>
      </w:r>
      <w:proofErr w:type="spellEnd"/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</w:t>
      </w:r>
      <w:r w:rsidRPr="00E97021">
        <w:rPr>
          <w:rFonts w:ascii="Arial" w:eastAsiaTheme="minorHAnsi" w:hAnsi="Arial" w:cstheme="minorBidi"/>
          <w:bCs/>
          <w:iCs/>
          <w:sz w:val="22"/>
          <w:szCs w:val="22"/>
          <w:lang w:val="es-ES"/>
        </w:rPr>
        <w:t>de la IOSEA</w:t>
      </w:r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>, CITES</w:t>
      </w:r>
      <w:r w:rsidR="00E97021"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>, la Convención de Ramsar</w:t>
      </w:r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y con organizaciones no gubernamentales pertinentes, y con el apoyo de la Secretaría,</w:t>
      </w:r>
      <w:r w:rsidRPr="00E97021">
        <w:rPr>
          <w:rFonts w:ascii="Arial" w:eastAsiaTheme="minorHAnsi" w:hAnsi="Arial" w:cs="Arial"/>
          <w:sz w:val="22"/>
          <w:szCs w:val="18"/>
          <w:lang w:val="es-ES_tradnl"/>
        </w:rPr>
        <w:t xml:space="preserve"> un borrador de Plan de Acción para especies individuales (SSAP) para la conservación de la Tortuga carey, que se presentará </w:t>
      </w:r>
      <w:r w:rsidR="00E97021" w:rsidRPr="00E97021">
        <w:rPr>
          <w:rFonts w:ascii="Arial" w:eastAsiaTheme="minorHAnsi" w:hAnsi="Arial" w:cs="Arial"/>
          <w:sz w:val="22"/>
          <w:szCs w:val="18"/>
          <w:lang w:val="es-ES_tradnl"/>
        </w:rPr>
        <w:t xml:space="preserve">preferentemente </w:t>
      </w:r>
      <w:r w:rsidRPr="00E97021">
        <w:rPr>
          <w:rFonts w:ascii="Arial" w:eastAsiaTheme="minorHAnsi" w:hAnsi="Arial" w:cs="Arial"/>
          <w:sz w:val="22"/>
          <w:szCs w:val="18"/>
          <w:lang w:val="es-ES_tradnl"/>
        </w:rPr>
        <w:t>en la 1</w:t>
      </w:r>
      <w:r w:rsidR="00E97021" w:rsidRPr="00E97021">
        <w:rPr>
          <w:rFonts w:ascii="Arial" w:eastAsiaTheme="minorHAnsi" w:hAnsi="Arial" w:cs="Arial"/>
          <w:sz w:val="22"/>
          <w:szCs w:val="18"/>
          <w:lang w:val="es-ES_tradnl"/>
        </w:rPr>
        <w:t>4</w:t>
      </w:r>
      <w:r w:rsidRPr="00E97021">
        <w:rPr>
          <w:rFonts w:ascii="Arial" w:eastAsiaTheme="minorHAnsi" w:hAnsi="Arial" w:cs="Arial"/>
          <w:sz w:val="22"/>
          <w:szCs w:val="18"/>
          <w:lang w:val="es-ES_tradnl"/>
        </w:rPr>
        <w:t xml:space="preserve">ª reunión de la Conferencia de las Partes, que aborde </w:t>
      </w:r>
      <w:r w:rsidR="00E97021" w:rsidRPr="00E97021">
        <w:rPr>
          <w:rFonts w:ascii="Arial" w:eastAsiaTheme="minorHAnsi" w:hAnsi="Arial" w:cs="Arial"/>
          <w:sz w:val="22"/>
          <w:szCs w:val="18"/>
          <w:lang w:val="es-ES_tradnl"/>
        </w:rPr>
        <w:t>su</w:t>
      </w:r>
      <w:r w:rsidRPr="00E97021">
        <w:rPr>
          <w:rFonts w:ascii="Arial" w:eastAsiaTheme="minorHAnsi" w:hAnsi="Arial" w:cs="Arial"/>
          <w:sz w:val="22"/>
          <w:szCs w:val="18"/>
          <w:lang w:val="es-ES_tradnl"/>
        </w:rPr>
        <w:t xml:space="preserve"> comercio y uso en Asia sudoriental y el Pacífico </w:t>
      </w:r>
      <w:r w:rsidRPr="00F64DFF">
        <w:rPr>
          <w:rFonts w:ascii="Arial" w:eastAsiaTheme="minorHAnsi" w:hAnsi="Arial" w:cs="Arial"/>
          <w:sz w:val="22"/>
          <w:szCs w:val="18"/>
          <w:lang w:val="es-ES_tradnl"/>
        </w:rPr>
        <w:t xml:space="preserve">occidental, </w:t>
      </w:r>
      <w:r w:rsidR="00E97021" w:rsidRPr="00F64DFF">
        <w:rPr>
          <w:rFonts w:ascii="Arial" w:eastAsiaTheme="minorHAnsi" w:hAnsi="Arial" w:cs="Arial"/>
          <w:sz w:val="22"/>
          <w:szCs w:val="18"/>
          <w:lang w:val="es-ES_tradnl"/>
        </w:rPr>
        <w:t xml:space="preserve">y </w:t>
      </w:r>
      <w:r w:rsidRPr="00F64DFF">
        <w:rPr>
          <w:rFonts w:ascii="Arial" w:eastAsiaTheme="minorHAnsi" w:hAnsi="Arial" w:cs="Arial"/>
          <w:sz w:val="22"/>
          <w:szCs w:val="18"/>
          <w:lang w:val="es-ES_tradnl"/>
        </w:rPr>
        <w:t>teniendo en cuenta</w:t>
      </w:r>
      <w:r w:rsidR="00E97021" w:rsidRPr="00E97021">
        <w:rPr>
          <w:rFonts w:ascii="Arial" w:eastAsiaTheme="minorHAnsi" w:hAnsi="Arial" w:cs="Arial"/>
          <w:sz w:val="22"/>
          <w:szCs w:val="18"/>
          <w:lang w:val="es-ES_tradnl"/>
        </w:rPr>
        <w:t xml:space="preserve"> e</w:t>
      </w:r>
      <w:r w:rsidRPr="00E97021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l informe del 2019 de CITES sobre el </w:t>
      </w:r>
      <w:r w:rsidRPr="00E97021">
        <w:rPr>
          <w:rFonts w:ascii="Arial" w:eastAsiaTheme="minorHAnsi" w:hAnsi="Arial" w:cstheme="minorBidi"/>
          <w:bCs/>
          <w:sz w:val="22"/>
          <w:szCs w:val="22"/>
          <w:lang w:val="es-ES"/>
        </w:rPr>
        <w:t xml:space="preserve">estado, alcance y tendencias del comercio internacional legal e ilegal de tortugas marinas, sus efectos sobre la conservación, las opciones de gestión y prioridades en materia de mitigación, así como la evaluación de tortugas carey que está elaborando el Comité Asesor del </w:t>
      </w:r>
      <w:proofErr w:type="spellStart"/>
      <w:r w:rsidRPr="00E97021">
        <w:rPr>
          <w:rFonts w:ascii="Arial" w:eastAsiaTheme="minorHAnsi" w:hAnsi="Arial" w:cstheme="minorBidi"/>
          <w:bCs/>
          <w:sz w:val="22"/>
          <w:szCs w:val="22"/>
          <w:lang w:val="es-ES"/>
        </w:rPr>
        <w:t>MdE</w:t>
      </w:r>
      <w:proofErr w:type="spellEnd"/>
      <w:r w:rsidRPr="00E97021">
        <w:rPr>
          <w:rFonts w:ascii="Arial" w:eastAsiaTheme="minorHAnsi" w:hAnsi="Arial" w:cstheme="minorBidi"/>
          <w:bCs/>
          <w:sz w:val="22"/>
          <w:szCs w:val="22"/>
          <w:lang w:val="es-ES"/>
        </w:rPr>
        <w:t xml:space="preserve"> </w:t>
      </w:r>
      <w:r w:rsidRPr="00E97021">
        <w:rPr>
          <w:rFonts w:ascii="Arial" w:eastAsiaTheme="minorHAnsi" w:hAnsi="Arial" w:cstheme="minorBidi"/>
          <w:bCs/>
          <w:iCs/>
          <w:sz w:val="22"/>
          <w:szCs w:val="22"/>
          <w:lang w:val="es-ES"/>
        </w:rPr>
        <w:t>de la IOSEA</w:t>
      </w:r>
      <w:r w:rsidRPr="00E97021">
        <w:rPr>
          <w:rFonts w:ascii="Arial" w:eastAsiaTheme="minorHAnsi" w:hAnsi="Arial" w:cstheme="minorBidi"/>
          <w:sz w:val="22"/>
          <w:szCs w:val="22"/>
          <w:lang w:val="es-ES"/>
        </w:rPr>
        <w:t>.</w:t>
      </w:r>
    </w:p>
    <w:p w14:paraId="367A24B6" w14:textId="77777777" w:rsidR="008740C5" w:rsidRPr="008740C5" w:rsidRDefault="008740C5" w:rsidP="008740C5">
      <w:pPr>
        <w:ind w:left="567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26A35CF4" w14:textId="77777777" w:rsidR="00D82C56" w:rsidRPr="00FD2360" w:rsidRDefault="00D82C56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D82C56" w:rsidRPr="00FD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A5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A53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795D3FF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8740C5">
      <w:rPr>
        <w:rFonts w:ascii="Arial" w:hAnsi="Arial" w:cs="Arial"/>
        <w:bCs/>
        <w:i/>
        <w:iCs/>
        <w:szCs w:val="20"/>
        <w:lang w:val="en-GB"/>
      </w:rPr>
      <w:t>26.2.6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F4150"/>
    <w:rsid w:val="003F1AD8"/>
    <w:rsid w:val="0043102F"/>
    <w:rsid w:val="00553C37"/>
    <w:rsid w:val="005645C4"/>
    <w:rsid w:val="00566CD8"/>
    <w:rsid w:val="0058757D"/>
    <w:rsid w:val="005D43E4"/>
    <w:rsid w:val="005F0639"/>
    <w:rsid w:val="006A1454"/>
    <w:rsid w:val="006A2667"/>
    <w:rsid w:val="00747CD5"/>
    <w:rsid w:val="007A1066"/>
    <w:rsid w:val="008740C5"/>
    <w:rsid w:val="00923DB0"/>
    <w:rsid w:val="00A53A3B"/>
    <w:rsid w:val="00AA138B"/>
    <w:rsid w:val="00D82C56"/>
    <w:rsid w:val="00E829C9"/>
    <w:rsid w:val="00E97021"/>
    <w:rsid w:val="00F64DFF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2020-02-19T16:00:00Z</dcterms:created>
  <dcterms:modified xsi:type="dcterms:W3CDTF">2020-02-19T16:00:00Z</dcterms:modified>
</cp:coreProperties>
</file>