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23140" w14:textId="77777777" w:rsidR="00682B31" w:rsidRPr="006E696B" w:rsidRDefault="00682B31" w:rsidP="00682B31">
      <w:pPr>
        <w:tabs>
          <w:tab w:val="left" w:pos="-1057"/>
          <w:tab w:val="left" w:pos="-720"/>
        </w:tabs>
        <w:ind w:left="-90"/>
        <w:rPr>
          <w:rFonts w:cs="Arial"/>
          <w:spacing w:val="-8"/>
          <w:sz w:val="12"/>
          <w:szCs w:val="12"/>
          <w:lang w:val="es-ES_tradnl"/>
        </w:rPr>
      </w:pPr>
    </w:p>
    <w:p w14:paraId="2666351B" w14:textId="77777777" w:rsidR="006E696B" w:rsidRPr="006E696B" w:rsidRDefault="006E696B" w:rsidP="006E696B">
      <w:pPr>
        <w:tabs>
          <w:tab w:val="left" w:pos="-1057"/>
          <w:tab w:val="left" w:pos="-720"/>
        </w:tabs>
        <w:ind w:left="-90"/>
        <w:rPr>
          <w:rFonts w:cs="Arial"/>
          <w:sz w:val="22"/>
          <w:szCs w:val="22"/>
          <w:lang w:val="es-ES_tradnl"/>
        </w:rPr>
      </w:pPr>
      <w:r w:rsidRPr="006E696B">
        <w:rPr>
          <w:rFonts w:cs="Arial"/>
          <w:sz w:val="22"/>
          <w:szCs w:val="22"/>
          <w:lang w:val="es-ES_tradnl"/>
        </w:rPr>
        <w:t>12</w:t>
      </w:r>
      <w:r w:rsidRPr="006E696B">
        <w:rPr>
          <w:rFonts w:cs="Arial"/>
          <w:sz w:val="22"/>
          <w:szCs w:val="22"/>
          <w:vertAlign w:val="superscript"/>
          <w:lang w:val="es-ES_tradnl"/>
        </w:rPr>
        <w:t>a</w:t>
      </w:r>
      <w:r w:rsidRPr="006E696B">
        <w:rPr>
          <w:rFonts w:cs="Arial"/>
          <w:sz w:val="22"/>
          <w:szCs w:val="22"/>
          <w:lang w:val="es-ES_tradnl"/>
        </w:rPr>
        <w:t xml:space="preserve"> REUNIÓN DE LA CONFERENCIA DE LAS PARTES</w:t>
      </w:r>
    </w:p>
    <w:p w14:paraId="75D5F9B9" w14:textId="77777777" w:rsidR="006E696B" w:rsidRPr="006E696B" w:rsidRDefault="006E696B" w:rsidP="006E696B">
      <w:pPr>
        <w:pStyle w:val="Heading2"/>
        <w:keepNext w:val="0"/>
        <w:spacing w:line="228" w:lineRule="auto"/>
        <w:ind w:left="-90"/>
        <w:rPr>
          <w:rFonts w:cs="Arial"/>
          <w:b w:val="0"/>
          <w:sz w:val="22"/>
          <w:szCs w:val="22"/>
          <w:lang w:val="es-ES_tradnl"/>
        </w:rPr>
      </w:pPr>
      <w:r w:rsidRPr="006E696B">
        <w:rPr>
          <w:rFonts w:cs="Arial"/>
          <w:b w:val="0"/>
          <w:sz w:val="22"/>
          <w:szCs w:val="22"/>
          <w:lang w:val="es-ES_tradnl"/>
        </w:rPr>
        <w:t>Manila, Filipinas, 23 - 28 octubre 2017</w:t>
      </w:r>
    </w:p>
    <w:p w14:paraId="32CBBFE0" w14:textId="74EBFD79" w:rsidR="0081600F" w:rsidRPr="006E696B" w:rsidRDefault="006E696B" w:rsidP="006E696B">
      <w:pPr>
        <w:pStyle w:val="Heading2"/>
        <w:keepNext w:val="0"/>
        <w:spacing w:line="228" w:lineRule="auto"/>
        <w:ind w:left="-90"/>
        <w:rPr>
          <w:rFonts w:cs="Arial"/>
          <w:b w:val="0"/>
          <w:bCs w:val="0"/>
          <w:sz w:val="22"/>
          <w:szCs w:val="22"/>
          <w:lang w:val="es-ES_tradnl"/>
        </w:rPr>
      </w:pPr>
      <w:r w:rsidRPr="006E696B">
        <w:rPr>
          <w:rFonts w:cs="Arial"/>
          <w:b w:val="0"/>
          <w:iCs/>
          <w:sz w:val="22"/>
          <w:szCs w:val="22"/>
          <w:lang w:val="es-ES_tradnl"/>
        </w:rPr>
        <w:t>Punto 24.3.1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182099" w:rsidRPr="002F6F9B" w14:paraId="68457269" w14:textId="77777777" w:rsidTr="005466A5">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287C539F" w14:textId="77777777" w:rsidR="00182099" w:rsidRPr="00FA61AF" w:rsidRDefault="00182099" w:rsidP="005466A5">
            <w:pPr>
              <w:tabs>
                <w:tab w:val="left" w:pos="-1057"/>
                <w:tab w:val="left" w:pos="-720"/>
                <w:tab w:val="left" w:pos="0"/>
                <w:tab w:val="left" w:pos="141"/>
                <w:tab w:val="left" w:pos="720"/>
                <w:tab w:val="left" w:pos="1155"/>
                <w:tab w:val="right" w:pos="9072"/>
                <w:tab w:val="right" w:pos="9432"/>
              </w:tabs>
              <w:rPr>
                <w:rFonts w:cs="Arial"/>
                <w:sz w:val="22"/>
                <w:szCs w:val="22"/>
                <w:lang w:val="en-GB"/>
              </w:rPr>
            </w:pPr>
            <w:r w:rsidRPr="00992727">
              <w:rPr>
                <w:rFonts w:cs="Arial"/>
                <w:b/>
                <w:sz w:val="28"/>
                <w:szCs w:val="28"/>
                <w:lang w:val="es-ES"/>
              </w:rPr>
              <w:tab/>
            </w:r>
            <w:r w:rsidRPr="00992727">
              <w:rPr>
                <w:rFonts w:cs="Arial"/>
                <w:b/>
                <w:sz w:val="28"/>
                <w:szCs w:val="28"/>
                <w:lang w:val="es-ES"/>
              </w:rPr>
              <w:tab/>
            </w:r>
            <w:r w:rsidRPr="00992727">
              <w:rPr>
                <w:rFonts w:cs="Arial"/>
                <w:b/>
                <w:sz w:val="28"/>
                <w:szCs w:val="28"/>
                <w:lang w:val="es-ES"/>
              </w:rPr>
              <w:tab/>
            </w:r>
            <w:r w:rsidRPr="00992727">
              <w:rPr>
                <w:rFonts w:cs="Arial"/>
                <w:b/>
                <w:sz w:val="28"/>
                <w:szCs w:val="28"/>
                <w:lang w:val="es-ES"/>
              </w:rPr>
              <w:tab/>
            </w:r>
            <w:r w:rsidRPr="002F6F9B">
              <w:rPr>
                <w:rFonts w:cs="Arial"/>
                <w:b/>
                <w:sz w:val="28"/>
                <w:szCs w:val="28"/>
                <w:lang w:val="en-GB"/>
              </w:rPr>
              <w:t>CMS</w:t>
            </w:r>
          </w:p>
          <w:p w14:paraId="44A0CF81" w14:textId="77777777" w:rsidR="00182099" w:rsidRPr="002F6F9B" w:rsidRDefault="00182099" w:rsidP="005466A5">
            <w:pPr>
              <w:tabs>
                <w:tab w:val="left" w:pos="-1057"/>
                <w:tab w:val="left" w:pos="-720"/>
                <w:tab w:val="left" w:pos="0"/>
                <w:tab w:val="left" w:pos="141"/>
                <w:tab w:val="left" w:pos="720"/>
                <w:tab w:val="right" w:pos="9072"/>
              </w:tabs>
              <w:rPr>
                <w:rFonts w:cs="Arial"/>
                <w:sz w:val="22"/>
                <w:szCs w:val="22"/>
                <w:lang w:val="en-GB"/>
              </w:rPr>
            </w:pPr>
          </w:p>
        </w:tc>
      </w:tr>
      <w:tr w:rsidR="00182099" w:rsidRPr="008B2A31" w14:paraId="10A4759A" w14:textId="77777777" w:rsidTr="005466A5">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B430B39" w14:textId="77777777" w:rsidR="00182099" w:rsidRPr="006E696B" w:rsidRDefault="00182099" w:rsidP="005466A5">
            <w:pPr>
              <w:rPr>
                <w:rFonts w:cs="Arial"/>
                <w:sz w:val="22"/>
                <w:szCs w:val="22"/>
                <w:lang w:val="es-ES_tradnl"/>
              </w:rPr>
            </w:pPr>
            <w:r w:rsidRPr="006E696B">
              <w:rPr>
                <w:rFonts w:cs="Arial"/>
                <w:noProof/>
                <w:sz w:val="22"/>
                <w:szCs w:val="22"/>
              </w:rPr>
              <w:drawing>
                <wp:inline distT="0" distB="0" distL="0" distR="0" wp14:anchorId="10405C21" wp14:editId="101B26E6">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661264D1" w14:textId="77777777" w:rsidR="00182099" w:rsidRPr="006E696B" w:rsidRDefault="00182099" w:rsidP="005466A5">
            <w:pPr>
              <w:rPr>
                <w:rFonts w:cs="Arial"/>
                <w:sz w:val="22"/>
                <w:szCs w:val="22"/>
                <w:lang w:val="es-ES_tradnl"/>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AB2A155" w14:textId="77777777" w:rsidR="00182099" w:rsidRPr="006E696B" w:rsidRDefault="00182099" w:rsidP="005466A5">
            <w:pPr>
              <w:pStyle w:val="Heading2"/>
              <w:pBdr>
                <w:top w:val="none" w:sz="0" w:space="0" w:color="auto"/>
                <w:left w:val="none" w:sz="0" w:space="0" w:color="auto"/>
                <w:bottom w:val="none" w:sz="0" w:space="0" w:color="auto"/>
                <w:right w:val="none" w:sz="0" w:space="0" w:color="auto"/>
              </w:pBdr>
              <w:ind w:left="-108"/>
              <w:rPr>
                <w:rFonts w:cs="Arial"/>
                <w:b w:val="0"/>
                <w:bCs w:val="0"/>
                <w:sz w:val="12"/>
                <w:szCs w:val="12"/>
                <w:lang w:val="es-ES_tradnl"/>
              </w:rPr>
            </w:pPr>
          </w:p>
          <w:p w14:paraId="61E419EF" w14:textId="77777777" w:rsidR="00182099" w:rsidRPr="006E696B" w:rsidRDefault="00182099" w:rsidP="005466A5">
            <w:pPr>
              <w:pStyle w:val="Heading2"/>
              <w:pBdr>
                <w:top w:val="none" w:sz="0" w:space="0" w:color="auto"/>
                <w:left w:val="none" w:sz="0" w:space="0" w:color="auto"/>
                <w:bottom w:val="none" w:sz="0" w:space="0" w:color="auto"/>
                <w:right w:val="none" w:sz="0" w:space="0" w:color="auto"/>
              </w:pBdr>
              <w:ind w:left="-108"/>
              <w:rPr>
                <w:rFonts w:cs="Arial"/>
                <w:bCs w:val="0"/>
                <w:sz w:val="28"/>
                <w:szCs w:val="28"/>
                <w:lang w:val="es-ES_tradnl"/>
              </w:rPr>
            </w:pPr>
            <w:r w:rsidRPr="006E696B">
              <w:rPr>
                <w:rFonts w:cs="Arial"/>
                <w:bCs w:val="0"/>
                <w:sz w:val="28"/>
                <w:szCs w:val="28"/>
                <w:lang w:val="es-ES_tradnl"/>
              </w:rPr>
              <w:t>CONVENCIÓN SOBRE</w:t>
            </w:r>
          </w:p>
          <w:p w14:paraId="06C3E0C9" w14:textId="77777777" w:rsidR="00182099" w:rsidRPr="006E696B" w:rsidRDefault="00182099" w:rsidP="005466A5">
            <w:pPr>
              <w:pStyle w:val="Heading2"/>
              <w:pBdr>
                <w:top w:val="none" w:sz="0" w:space="0" w:color="auto"/>
                <w:left w:val="none" w:sz="0" w:space="0" w:color="auto"/>
                <w:bottom w:val="none" w:sz="0" w:space="0" w:color="auto"/>
                <w:right w:val="none" w:sz="0" w:space="0" w:color="auto"/>
              </w:pBdr>
              <w:ind w:left="-108"/>
              <w:rPr>
                <w:rFonts w:cs="Arial"/>
                <w:bCs w:val="0"/>
                <w:sz w:val="28"/>
                <w:szCs w:val="28"/>
                <w:lang w:val="es-ES_tradnl"/>
              </w:rPr>
            </w:pPr>
            <w:r w:rsidRPr="006E696B">
              <w:rPr>
                <w:rFonts w:cs="Arial"/>
                <w:bCs w:val="0"/>
                <w:sz w:val="28"/>
                <w:szCs w:val="28"/>
                <w:lang w:val="es-ES_tradnl"/>
              </w:rPr>
              <w:t>LAS ESPECIES</w:t>
            </w:r>
          </w:p>
          <w:p w14:paraId="23933545" w14:textId="77777777" w:rsidR="00182099" w:rsidRPr="006E696B" w:rsidRDefault="00182099" w:rsidP="005466A5">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s-ES_tradnl"/>
              </w:rPr>
            </w:pPr>
            <w:r w:rsidRPr="006E696B">
              <w:rPr>
                <w:rFonts w:cs="Arial"/>
                <w:bCs w:val="0"/>
                <w:sz w:val="28"/>
                <w:szCs w:val="28"/>
                <w:lang w:val="es-ES_tradnl"/>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616F5F06" w14:textId="77777777" w:rsidR="00182099" w:rsidRPr="006E696B" w:rsidRDefault="00182099" w:rsidP="005466A5">
            <w:pPr>
              <w:tabs>
                <w:tab w:val="left" w:pos="5040"/>
                <w:tab w:val="left" w:pos="5760"/>
                <w:tab w:val="left" w:pos="6008"/>
                <w:tab w:val="left" w:pos="6480"/>
                <w:tab w:val="left" w:pos="7200"/>
                <w:tab w:val="left" w:pos="7920"/>
                <w:tab w:val="left" w:pos="8640"/>
              </w:tabs>
              <w:rPr>
                <w:rFonts w:cs="Arial"/>
                <w:sz w:val="12"/>
                <w:szCs w:val="12"/>
                <w:lang w:val="es-ES_tradnl"/>
              </w:rPr>
            </w:pPr>
          </w:p>
          <w:p w14:paraId="089D438C" w14:textId="77777777" w:rsidR="00182099" w:rsidRPr="006E696B" w:rsidRDefault="00182099" w:rsidP="005466A5">
            <w:pPr>
              <w:tabs>
                <w:tab w:val="left" w:pos="5040"/>
                <w:tab w:val="left" w:pos="5760"/>
                <w:tab w:val="left" w:pos="6008"/>
                <w:tab w:val="left" w:pos="6480"/>
                <w:tab w:val="left" w:pos="7200"/>
                <w:tab w:val="left" w:pos="7920"/>
                <w:tab w:val="left" w:pos="8640"/>
              </w:tabs>
              <w:rPr>
                <w:rFonts w:cs="Arial"/>
                <w:sz w:val="22"/>
                <w:szCs w:val="22"/>
                <w:lang w:val="es-ES_tradnl"/>
              </w:rPr>
            </w:pPr>
            <w:r w:rsidRPr="006E696B">
              <w:rPr>
                <w:rFonts w:cs="Arial"/>
                <w:sz w:val="22"/>
                <w:szCs w:val="22"/>
                <w:lang w:val="es-ES_tradnl"/>
              </w:rPr>
              <w:t>Distribución: General</w:t>
            </w:r>
          </w:p>
          <w:p w14:paraId="14350796" w14:textId="77777777" w:rsidR="00182099" w:rsidRPr="006E696B" w:rsidRDefault="00182099" w:rsidP="005466A5">
            <w:pPr>
              <w:tabs>
                <w:tab w:val="left" w:pos="5040"/>
                <w:tab w:val="left" w:pos="5760"/>
                <w:tab w:val="left" w:pos="6008"/>
                <w:tab w:val="left" w:pos="6480"/>
                <w:tab w:val="left" w:pos="7200"/>
                <w:tab w:val="left" w:pos="7920"/>
                <w:tab w:val="left" w:pos="8640"/>
              </w:tabs>
              <w:rPr>
                <w:rFonts w:cs="Arial"/>
                <w:sz w:val="12"/>
                <w:szCs w:val="12"/>
                <w:lang w:val="es-ES_tradnl"/>
              </w:rPr>
            </w:pPr>
          </w:p>
          <w:p w14:paraId="5170C209" w14:textId="742E8B83" w:rsidR="00182099" w:rsidRPr="006E696B" w:rsidRDefault="00182099" w:rsidP="005466A5">
            <w:pPr>
              <w:tabs>
                <w:tab w:val="left" w:pos="5040"/>
                <w:tab w:val="left" w:pos="5760"/>
                <w:tab w:val="left" w:pos="6008"/>
                <w:tab w:val="left" w:pos="6480"/>
                <w:tab w:val="left" w:pos="7200"/>
                <w:tab w:val="left" w:pos="7920"/>
                <w:tab w:val="left" w:pos="8640"/>
              </w:tabs>
              <w:rPr>
                <w:rFonts w:cs="Arial"/>
                <w:sz w:val="22"/>
                <w:szCs w:val="22"/>
                <w:lang w:val="es-ES_tradnl"/>
              </w:rPr>
            </w:pPr>
            <w:r w:rsidRPr="006E696B">
              <w:rPr>
                <w:rFonts w:cs="Arial"/>
                <w:sz w:val="22"/>
                <w:szCs w:val="22"/>
                <w:lang w:val="es-ES_tradnl"/>
              </w:rPr>
              <w:t>UNEP/CMS/COP12/Doc.24.3.1</w:t>
            </w:r>
            <w:r w:rsidR="008B2A31">
              <w:rPr>
                <w:rFonts w:cs="Arial"/>
                <w:sz w:val="22"/>
                <w:szCs w:val="22"/>
                <w:lang w:val="es-ES_tradnl"/>
              </w:rPr>
              <w:t>.1</w:t>
            </w:r>
          </w:p>
          <w:p w14:paraId="6DD0A41D" w14:textId="02EFB213" w:rsidR="00182099" w:rsidRPr="006E696B" w:rsidRDefault="008B2A31" w:rsidP="005466A5">
            <w:pPr>
              <w:tabs>
                <w:tab w:val="left" w:pos="5040"/>
                <w:tab w:val="left" w:pos="5760"/>
                <w:tab w:val="left" w:pos="6008"/>
                <w:tab w:val="left" w:pos="6480"/>
                <w:tab w:val="left" w:pos="7200"/>
                <w:tab w:val="left" w:pos="7920"/>
                <w:tab w:val="left" w:pos="8640"/>
              </w:tabs>
              <w:rPr>
                <w:rFonts w:cs="Arial"/>
                <w:sz w:val="22"/>
                <w:szCs w:val="22"/>
                <w:lang w:val="es-ES_tradnl"/>
              </w:rPr>
            </w:pPr>
            <w:r>
              <w:rPr>
                <w:rFonts w:cs="Arial"/>
                <w:sz w:val="22"/>
                <w:szCs w:val="22"/>
                <w:lang w:val="es-ES_tradnl"/>
              </w:rPr>
              <w:t xml:space="preserve">22 de mayo </w:t>
            </w:r>
            <w:r w:rsidR="00182099" w:rsidRPr="006E696B">
              <w:rPr>
                <w:rFonts w:cs="Arial"/>
                <w:sz w:val="22"/>
                <w:szCs w:val="22"/>
                <w:lang w:val="es-ES_tradnl"/>
              </w:rPr>
              <w:t>2017</w:t>
            </w:r>
          </w:p>
          <w:p w14:paraId="7834EC5C" w14:textId="77777777" w:rsidR="00182099" w:rsidRPr="006E696B" w:rsidRDefault="00182099" w:rsidP="005466A5">
            <w:pPr>
              <w:tabs>
                <w:tab w:val="left" w:pos="5040"/>
                <w:tab w:val="left" w:pos="5760"/>
                <w:tab w:val="left" w:pos="6008"/>
                <w:tab w:val="left" w:pos="6480"/>
                <w:tab w:val="left" w:pos="7200"/>
                <w:tab w:val="left" w:pos="7920"/>
                <w:tab w:val="left" w:pos="8640"/>
              </w:tabs>
              <w:rPr>
                <w:rFonts w:cs="Arial"/>
                <w:sz w:val="12"/>
                <w:szCs w:val="12"/>
                <w:lang w:val="es-ES_tradnl"/>
              </w:rPr>
            </w:pPr>
          </w:p>
          <w:p w14:paraId="215C8121" w14:textId="77777777" w:rsidR="00182099" w:rsidRPr="006E696B" w:rsidRDefault="00182099" w:rsidP="005466A5">
            <w:pPr>
              <w:autoSpaceDE/>
              <w:autoSpaceDN/>
              <w:adjustRightInd/>
              <w:rPr>
                <w:rFonts w:cs="Arial"/>
                <w:sz w:val="22"/>
                <w:szCs w:val="22"/>
                <w:lang w:val="es-ES_tradnl"/>
              </w:rPr>
            </w:pPr>
            <w:r w:rsidRPr="006E696B">
              <w:rPr>
                <w:rFonts w:cs="Arial"/>
                <w:sz w:val="22"/>
                <w:szCs w:val="22"/>
                <w:lang w:val="es-ES_tradnl"/>
              </w:rPr>
              <w:t>Español</w:t>
            </w:r>
          </w:p>
          <w:p w14:paraId="74D2A4A1" w14:textId="77777777" w:rsidR="00182099" w:rsidRPr="006E696B" w:rsidRDefault="00182099" w:rsidP="005466A5">
            <w:pPr>
              <w:rPr>
                <w:rFonts w:cs="Arial"/>
                <w:sz w:val="22"/>
                <w:szCs w:val="22"/>
                <w:lang w:val="es-ES_tradnl"/>
              </w:rPr>
            </w:pPr>
            <w:r w:rsidRPr="006E696B">
              <w:rPr>
                <w:rFonts w:cs="Arial"/>
                <w:sz w:val="22"/>
                <w:szCs w:val="22"/>
                <w:lang w:val="es-ES_tradnl"/>
              </w:rPr>
              <w:t>Original: Inglés</w:t>
            </w:r>
          </w:p>
          <w:p w14:paraId="5002A5EE" w14:textId="77777777" w:rsidR="00182099" w:rsidRPr="006E696B" w:rsidRDefault="00182099" w:rsidP="005466A5">
            <w:pPr>
              <w:rPr>
                <w:rFonts w:cs="Arial"/>
                <w:sz w:val="12"/>
                <w:szCs w:val="12"/>
                <w:lang w:val="es-ES_tradnl"/>
              </w:rPr>
            </w:pPr>
          </w:p>
        </w:tc>
      </w:tr>
    </w:tbl>
    <w:p w14:paraId="1DFECB3B" w14:textId="77777777" w:rsidR="00354A9C" w:rsidRPr="008B2A31" w:rsidRDefault="00354A9C" w:rsidP="00922791">
      <w:pPr>
        <w:tabs>
          <w:tab w:val="left" w:pos="7020"/>
        </w:tabs>
        <w:rPr>
          <w:rFonts w:cs="Arial"/>
          <w:sz w:val="22"/>
          <w:szCs w:val="22"/>
          <w:lang w:val="es-ES"/>
        </w:rPr>
      </w:pPr>
    </w:p>
    <w:p w14:paraId="6167AB3A" w14:textId="77777777" w:rsidR="0011414B" w:rsidRPr="008B2A31" w:rsidRDefault="0011414B" w:rsidP="00922791">
      <w:pPr>
        <w:tabs>
          <w:tab w:val="left" w:pos="7020"/>
        </w:tabs>
        <w:rPr>
          <w:rFonts w:cs="Arial"/>
          <w:sz w:val="22"/>
          <w:szCs w:val="22"/>
          <w:lang w:val="es-ES"/>
        </w:rPr>
      </w:pPr>
    </w:p>
    <w:p w14:paraId="52C74C9B" w14:textId="77777777" w:rsidR="0052082F" w:rsidRPr="00BF6EAC" w:rsidRDefault="0052082F" w:rsidP="00354A9C">
      <w:pPr>
        <w:rPr>
          <w:rFonts w:cs="Arial"/>
          <w:sz w:val="22"/>
          <w:szCs w:val="22"/>
          <w:lang w:val="es-ES_tradnl"/>
        </w:rPr>
      </w:pPr>
    </w:p>
    <w:p w14:paraId="0C001923" w14:textId="5DDD5BFE" w:rsidR="00BF6EAC" w:rsidRPr="00BF6EAC" w:rsidRDefault="00BF6EAC" w:rsidP="00021EA5">
      <w:pPr>
        <w:jc w:val="center"/>
        <w:rPr>
          <w:rFonts w:cs="Arial"/>
          <w:b/>
          <w:bCs/>
          <w:sz w:val="22"/>
          <w:szCs w:val="22"/>
          <w:lang w:val="es-ES_tradnl"/>
        </w:rPr>
      </w:pPr>
      <w:r w:rsidRPr="00BF6EAC">
        <w:rPr>
          <w:rFonts w:cs="Arial"/>
          <w:b/>
          <w:bCs/>
          <w:sz w:val="22"/>
          <w:szCs w:val="22"/>
          <w:lang w:val="es-ES_tradnl"/>
        </w:rPr>
        <w:t>INICIATIVA CONJUNTA DE LA CMS Y CITES PARA LOS CARNÍVOROS AFRICANOS</w:t>
      </w:r>
    </w:p>
    <w:p w14:paraId="299C7DE1" w14:textId="77777777" w:rsidR="00593736" w:rsidRPr="00BF6EAC" w:rsidRDefault="00593736" w:rsidP="00021EA5">
      <w:pPr>
        <w:jc w:val="center"/>
        <w:rPr>
          <w:sz w:val="8"/>
          <w:szCs w:val="8"/>
          <w:highlight w:val="yellow"/>
          <w:lang w:val="es-ES_tradnl"/>
        </w:rPr>
      </w:pPr>
    </w:p>
    <w:p w14:paraId="7395FC73" w14:textId="2568B09A" w:rsidR="00B64904" w:rsidRPr="00BF6EAC" w:rsidRDefault="00B64904" w:rsidP="00B64904">
      <w:pPr>
        <w:jc w:val="center"/>
        <w:rPr>
          <w:rFonts w:cs="Arial"/>
          <w:i/>
          <w:sz w:val="22"/>
          <w:szCs w:val="22"/>
          <w:lang w:val="es-ES_tradnl"/>
        </w:rPr>
      </w:pPr>
      <w:r w:rsidRPr="00432A64">
        <w:rPr>
          <w:rFonts w:cs="Arial"/>
          <w:i/>
          <w:sz w:val="22"/>
          <w:szCs w:val="22"/>
          <w:lang w:val="es-ES_tradnl"/>
        </w:rPr>
        <w:t>(</w:t>
      </w:r>
      <w:r w:rsidR="00432A64" w:rsidRPr="00432A64">
        <w:rPr>
          <w:rFonts w:cs="Arial"/>
          <w:i/>
          <w:sz w:val="22"/>
          <w:szCs w:val="22"/>
          <w:lang w:val="es-ES_tradnl"/>
        </w:rPr>
        <w:t>Preparado por la Secretaría</w:t>
      </w:r>
      <w:r w:rsidRPr="00432A64">
        <w:rPr>
          <w:rFonts w:cs="Arial"/>
          <w:i/>
          <w:sz w:val="22"/>
          <w:szCs w:val="22"/>
          <w:lang w:val="es-ES_tradnl"/>
        </w:rPr>
        <w:t>)</w:t>
      </w:r>
      <w:r w:rsidR="00497E66" w:rsidRPr="00BF6EAC">
        <w:rPr>
          <w:rFonts w:cs="Arial"/>
          <w:i/>
          <w:sz w:val="22"/>
          <w:szCs w:val="22"/>
          <w:lang w:val="es-ES_tradnl"/>
        </w:rPr>
        <w:t xml:space="preserve"> </w:t>
      </w:r>
    </w:p>
    <w:p w14:paraId="5C02AE34" w14:textId="77777777" w:rsidR="00870FB9" w:rsidRPr="00BF6EAC" w:rsidRDefault="00870FB9" w:rsidP="00870FB9">
      <w:pPr>
        <w:rPr>
          <w:sz w:val="8"/>
          <w:szCs w:val="8"/>
          <w:lang w:val="es-ES_tradnl"/>
        </w:rPr>
      </w:pPr>
    </w:p>
    <w:p w14:paraId="6DE1E66A" w14:textId="77777777" w:rsidR="00870FB9" w:rsidRPr="00BF6EAC" w:rsidRDefault="00870FB9" w:rsidP="00B64904">
      <w:pPr>
        <w:jc w:val="center"/>
        <w:rPr>
          <w:rFonts w:cs="Arial"/>
          <w:i/>
          <w:sz w:val="22"/>
          <w:szCs w:val="22"/>
          <w:lang w:val="es-ES_tradnl"/>
        </w:rPr>
      </w:pPr>
    </w:p>
    <w:p w14:paraId="0E51756F" w14:textId="77777777" w:rsidR="001764E6" w:rsidRPr="00BF6EAC" w:rsidRDefault="001764E6" w:rsidP="001764E6">
      <w:pPr>
        <w:jc w:val="both"/>
        <w:rPr>
          <w:rFonts w:cs="Arial"/>
          <w:sz w:val="21"/>
          <w:szCs w:val="21"/>
          <w:lang w:val="es-ES_tradnl"/>
        </w:rPr>
      </w:pPr>
    </w:p>
    <w:p w14:paraId="6612DFCA" w14:textId="77777777" w:rsidR="001764E6" w:rsidRPr="00BF6EAC" w:rsidRDefault="001764E6" w:rsidP="00D605A4">
      <w:pPr>
        <w:tabs>
          <w:tab w:val="left" w:pos="8295"/>
        </w:tabs>
        <w:jc w:val="both"/>
        <w:rPr>
          <w:rFonts w:cs="Arial"/>
          <w:sz w:val="21"/>
          <w:szCs w:val="21"/>
          <w:lang w:val="es-ES_tradnl"/>
        </w:rPr>
      </w:pPr>
    </w:p>
    <w:p w14:paraId="7D20389F" w14:textId="7DFAAAEE" w:rsidR="00D605A4" w:rsidRPr="00BF6EAC" w:rsidRDefault="00D605A4" w:rsidP="00D605A4">
      <w:pPr>
        <w:rPr>
          <w:rFonts w:cs="Arial"/>
          <w:sz w:val="21"/>
          <w:szCs w:val="21"/>
          <w:lang w:val="es-ES_tradnl"/>
        </w:rPr>
      </w:pPr>
    </w:p>
    <w:p w14:paraId="58292FB6" w14:textId="147C7B0D" w:rsidR="00D605A4" w:rsidRPr="00BF6EAC" w:rsidRDefault="0011414B" w:rsidP="00D605A4">
      <w:pPr>
        <w:rPr>
          <w:rFonts w:cs="Arial"/>
          <w:sz w:val="21"/>
          <w:szCs w:val="21"/>
          <w:lang w:val="es-ES_tradnl"/>
        </w:rPr>
      </w:pPr>
      <w:r w:rsidRPr="00BF6EAC">
        <w:rPr>
          <w:rFonts w:cs="Arial"/>
          <w:noProof/>
          <w:sz w:val="21"/>
          <w:szCs w:val="21"/>
        </w:rPr>
        <mc:AlternateContent>
          <mc:Choice Requires="wps">
            <w:drawing>
              <wp:anchor distT="0" distB="0" distL="114300" distR="114300" simplePos="0" relativeHeight="251657728" behindDoc="0" locked="0" layoutInCell="1" allowOverlap="1" wp14:anchorId="77886A66" wp14:editId="23B38C59">
                <wp:simplePos x="0" y="0"/>
                <wp:positionH relativeFrom="column">
                  <wp:posOffset>799465</wp:posOffset>
                </wp:positionH>
                <wp:positionV relativeFrom="paragraph">
                  <wp:posOffset>132716</wp:posOffset>
                </wp:positionV>
                <wp:extent cx="4305300" cy="40195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019550"/>
                        </a:xfrm>
                        <a:prstGeom prst="rect">
                          <a:avLst/>
                        </a:prstGeom>
                        <a:solidFill>
                          <a:srgbClr val="FFFFFF"/>
                        </a:solidFill>
                        <a:ln w="3175">
                          <a:solidFill>
                            <a:srgbClr val="000000"/>
                          </a:solidFill>
                          <a:miter lim="800000"/>
                          <a:headEnd/>
                          <a:tailEnd/>
                        </a:ln>
                      </wps:spPr>
                      <wps:txbx>
                        <w:txbxContent>
                          <w:p w14:paraId="6DA3E693" w14:textId="1EAF95A7" w:rsidR="00FA5354" w:rsidRPr="004B2604" w:rsidRDefault="00FA5354" w:rsidP="007848EE">
                            <w:pPr>
                              <w:jc w:val="both"/>
                              <w:rPr>
                                <w:rFonts w:cs="Arial"/>
                                <w:sz w:val="22"/>
                                <w:szCs w:val="22"/>
                                <w:lang w:val="es-ES_tradnl"/>
                              </w:rPr>
                            </w:pPr>
                            <w:r w:rsidRPr="004B2604">
                              <w:rPr>
                                <w:rFonts w:cs="Arial"/>
                                <w:sz w:val="22"/>
                                <w:szCs w:val="22"/>
                                <w:lang w:val="es-ES_tradnl"/>
                              </w:rPr>
                              <w:t>Resumen:</w:t>
                            </w:r>
                          </w:p>
                          <w:p w14:paraId="43D1783C" w14:textId="77777777" w:rsidR="00FA5354" w:rsidRPr="004B2604" w:rsidRDefault="00FA5354" w:rsidP="007848EE">
                            <w:pPr>
                              <w:jc w:val="both"/>
                              <w:rPr>
                                <w:rFonts w:cs="Arial"/>
                                <w:i/>
                                <w:sz w:val="22"/>
                                <w:szCs w:val="22"/>
                                <w:lang w:val="es-ES_tradnl"/>
                              </w:rPr>
                            </w:pPr>
                          </w:p>
                          <w:p w14:paraId="0DBD38EE" w14:textId="00D76101" w:rsidR="00FA5354" w:rsidRPr="004B2604" w:rsidRDefault="00FA5354" w:rsidP="007848EE">
                            <w:pPr>
                              <w:jc w:val="both"/>
                              <w:rPr>
                                <w:rFonts w:cs="Arial"/>
                                <w:sz w:val="22"/>
                                <w:szCs w:val="22"/>
                                <w:lang w:val="es-ES_tradnl"/>
                              </w:rPr>
                            </w:pPr>
                            <w:r w:rsidRPr="004B2604">
                              <w:rPr>
                                <w:rFonts w:cs="Arial"/>
                                <w:sz w:val="22"/>
                                <w:szCs w:val="22"/>
                                <w:lang w:val="es-ES_tradnl"/>
                              </w:rPr>
                              <w:t>El Programa de T</w:t>
                            </w:r>
                            <w:r>
                              <w:rPr>
                                <w:rFonts w:cs="Arial"/>
                                <w:sz w:val="22"/>
                                <w:szCs w:val="22"/>
                                <w:lang w:val="es-ES_tradnl"/>
                              </w:rPr>
                              <w:t>rabajo C</w:t>
                            </w:r>
                            <w:r w:rsidRPr="004B2604">
                              <w:rPr>
                                <w:rFonts w:cs="Arial"/>
                                <w:sz w:val="22"/>
                                <w:szCs w:val="22"/>
                                <w:lang w:val="es-ES_tradnl"/>
                              </w:rPr>
                              <w:t>onjunto</w:t>
                            </w:r>
                            <w:r>
                              <w:rPr>
                                <w:rFonts w:cs="Arial"/>
                                <w:sz w:val="22"/>
                                <w:szCs w:val="22"/>
                                <w:lang w:val="es-ES_tradnl"/>
                              </w:rPr>
                              <w:t xml:space="preserve"> de la CMS y CITES para el periodo 2015-2020, acordado por ambas Convenciones en 2014, solicita a las dos Secretarías cooperar en relación con sus especies compartidas. Las Conferencias de las Partes de la CMS y CITES han adoptado varias resoluciones y decisiones relativas  a las cuatro especies icónicas de carnívoros africanos, </w:t>
                            </w:r>
                            <w:r w:rsidRPr="00AA694E">
                              <w:rPr>
                                <w:rFonts w:cs="Arial"/>
                                <w:sz w:val="22"/>
                                <w:szCs w:val="22"/>
                                <w:lang w:val="es-ES_tradnl"/>
                              </w:rPr>
                              <w:t>concretamente el león africano (</w:t>
                            </w:r>
                            <w:r w:rsidRPr="00AA694E">
                              <w:rPr>
                                <w:rFonts w:cs="Arial"/>
                                <w:i/>
                                <w:sz w:val="22"/>
                                <w:szCs w:val="22"/>
                                <w:lang w:val="es-ES_tradnl"/>
                              </w:rPr>
                              <w:t>Panthera leo</w:t>
                            </w:r>
                            <w:r w:rsidRPr="00AA694E">
                              <w:rPr>
                                <w:rFonts w:cs="Arial"/>
                                <w:sz w:val="22"/>
                                <w:szCs w:val="22"/>
                                <w:lang w:val="es-ES_tradnl"/>
                              </w:rPr>
                              <w:t>), el guepardo (</w:t>
                            </w:r>
                            <w:r w:rsidRPr="00AA694E">
                              <w:rPr>
                                <w:rFonts w:cs="Arial"/>
                                <w:i/>
                                <w:sz w:val="22"/>
                                <w:szCs w:val="22"/>
                                <w:lang w:val="es-ES_tradnl"/>
                              </w:rPr>
                              <w:t>Acinonyx jubatus</w:t>
                            </w:r>
                            <w:r w:rsidRPr="00AA694E">
                              <w:rPr>
                                <w:rFonts w:cs="Arial"/>
                                <w:sz w:val="22"/>
                                <w:szCs w:val="22"/>
                                <w:lang w:val="es-ES_tradnl"/>
                              </w:rPr>
                              <w:t>), el leopardo (</w:t>
                            </w:r>
                            <w:r w:rsidRPr="00AA694E">
                              <w:rPr>
                                <w:rFonts w:cs="Arial"/>
                                <w:i/>
                                <w:sz w:val="22"/>
                                <w:szCs w:val="22"/>
                                <w:lang w:val="es-ES_tradnl"/>
                              </w:rPr>
                              <w:t>Panthera pardus</w:t>
                            </w:r>
                            <w:r w:rsidRPr="00AA694E">
                              <w:rPr>
                                <w:rFonts w:cs="Arial"/>
                                <w:sz w:val="22"/>
                                <w:szCs w:val="22"/>
                                <w:lang w:val="es-ES_tradnl"/>
                              </w:rPr>
                              <w:t>) y el licaón (</w:t>
                            </w:r>
                            <w:r w:rsidRPr="00AA694E">
                              <w:rPr>
                                <w:rFonts w:cs="Arial"/>
                                <w:i/>
                                <w:sz w:val="22"/>
                                <w:szCs w:val="22"/>
                                <w:lang w:val="es-ES_tradnl"/>
                              </w:rPr>
                              <w:t>Lycaon pictus</w:t>
                            </w:r>
                            <w:r w:rsidRPr="00AA694E">
                              <w:rPr>
                                <w:rFonts w:cs="Arial"/>
                                <w:sz w:val="22"/>
                                <w:szCs w:val="22"/>
                                <w:lang w:val="es-ES_tradnl"/>
                              </w:rPr>
                              <w:t>).</w:t>
                            </w:r>
                            <w:r>
                              <w:rPr>
                                <w:rFonts w:cs="Arial"/>
                                <w:sz w:val="22"/>
                                <w:szCs w:val="22"/>
                                <w:lang w:val="es-ES_tradnl"/>
                              </w:rPr>
                              <w:t xml:space="preserve"> Mediante el establecimiento de una Iniciativa Conjunta de la CMS y CITES para los Carnívoros Africanos, las Secretarías de la CMS y CITES buscan dar coherencia y aportar eficacia a la implementación de dichas resoluciones y decisiones. La iniciativa aspira además a trabajar en estrecha colaboración con la UICN.</w:t>
                            </w:r>
                          </w:p>
                          <w:p w14:paraId="1AAC2D4E" w14:textId="77777777" w:rsidR="00FA5354" w:rsidRPr="004B2604" w:rsidRDefault="00FA5354" w:rsidP="00565E18">
                            <w:pPr>
                              <w:rPr>
                                <w:rFonts w:cs="Arial"/>
                                <w:sz w:val="22"/>
                                <w:szCs w:val="22"/>
                                <w:highlight w:val="yellow"/>
                                <w:lang w:val="es-ES_tradnl"/>
                              </w:rPr>
                            </w:pPr>
                          </w:p>
                          <w:p w14:paraId="6F7468CE" w14:textId="2D2BC3BE" w:rsidR="00FA5354" w:rsidRPr="00182099" w:rsidRDefault="00FA5354" w:rsidP="00ED477B">
                            <w:pPr>
                              <w:rPr>
                                <w:rFonts w:cs="Arial"/>
                                <w:sz w:val="22"/>
                                <w:szCs w:val="22"/>
                                <w:lang w:val="es-ES_tradnl"/>
                              </w:rPr>
                            </w:pPr>
                            <w:r w:rsidRPr="00182099">
                              <w:rPr>
                                <w:rFonts w:cs="Arial"/>
                                <w:sz w:val="22"/>
                                <w:szCs w:val="22"/>
                                <w:lang w:val="es-ES_tradnl"/>
                              </w:rPr>
                              <w:t>La imple</w:t>
                            </w:r>
                            <w:r>
                              <w:rPr>
                                <w:rFonts w:cs="Arial"/>
                                <w:sz w:val="22"/>
                                <w:szCs w:val="22"/>
                                <w:lang w:val="es-ES_tradnl"/>
                              </w:rPr>
                              <w:t>mentación de las propuestas de D</w:t>
                            </w:r>
                            <w:r w:rsidRPr="00182099">
                              <w:rPr>
                                <w:rFonts w:cs="Arial"/>
                                <w:sz w:val="22"/>
                                <w:szCs w:val="22"/>
                                <w:lang w:val="es-ES_tradnl"/>
                              </w:rPr>
                              <w:t xml:space="preserve">ecisiones anexadas </w:t>
                            </w:r>
                            <w:r>
                              <w:rPr>
                                <w:rFonts w:cs="Arial"/>
                                <w:sz w:val="22"/>
                                <w:szCs w:val="22"/>
                                <w:lang w:val="es-ES_tradnl"/>
                              </w:rPr>
                              <w:t xml:space="preserve">a este documento </w:t>
                            </w:r>
                            <w:r w:rsidRPr="00182099">
                              <w:rPr>
                                <w:rFonts w:cs="Arial"/>
                                <w:sz w:val="22"/>
                                <w:szCs w:val="22"/>
                                <w:lang w:val="es-ES_tradnl"/>
                              </w:rPr>
                              <w:t>contribuirá hacia la implementación de las metas 1, 8 y 9 del Plan Estratégico para las Especies Migratorias 2015-2023.</w:t>
                            </w:r>
                          </w:p>
                          <w:p w14:paraId="5A52DA08" w14:textId="4E814409" w:rsidR="00FA5354" w:rsidRDefault="00FA5354" w:rsidP="00ED477B">
                            <w:pPr>
                              <w:rPr>
                                <w:rFonts w:cs="Arial"/>
                                <w:sz w:val="22"/>
                                <w:szCs w:val="22"/>
                                <w:lang w:val="es-ES_tradnl"/>
                              </w:rPr>
                            </w:pPr>
                          </w:p>
                          <w:p w14:paraId="501BF186" w14:textId="1140586D" w:rsidR="00FA5354" w:rsidRPr="008B2A31" w:rsidRDefault="00FA5354" w:rsidP="00ED477B">
                            <w:pPr>
                              <w:rPr>
                                <w:rFonts w:cs="Arial"/>
                                <w:sz w:val="22"/>
                                <w:szCs w:val="22"/>
                                <w:lang w:val="es-ES"/>
                              </w:rPr>
                            </w:pPr>
                            <w:r>
                              <w:rPr>
                                <w:rFonts w:cs="Arial"/>
                                <w:sz w:val="22"/>
                                <w:szCs w:val="22"/>
                                <w:lang w:val="es-ES_tradnl"/>
                              </w:rPr>
                              <w:t xml:space="preserve">Este documento ha sido renumerado. Fue previamente publicado en el sitio web como documento </w:t>
                            </w:r>
                            <w:r w:rsidRPr="008B2A31">
                              <w:rPr>
                                <w:rFonts w:cs="Arial"/>
                                <w:sz w:val="22"/>
                                <w:szCs w:val="22"/>
                                <w:lang w:val="es-ES"/>
                              </w:rPr>
                              <w:t>UNEP/CMS/COP12/Doc.24.3.1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86A66" id="_x0000_t202" coordsize="21600,21600" o:spt="202" path="m,l,21600r21600,l21600,xe">
                <v:stroke joinstyle="miter"/>
                <v:path gradientshapeok="t" o:connecttype="rect"/>
              </v:shapetype>
              <v:shape id="Text Box 4" o:spid="_x0000_s1026" type="#_x0000_t202" style="position:absolute;margin-left:62.95pt;margin-top:10.45pt;width:339pt;height:3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" strokeweight=".25pt">
                <v:textbox>
                  <w:txbxContent>
                    <w:p w14:paraId="6DA3E693" w14:textId="1EAF95A7" w:rsidR="00FA5354" w:rsidRPr="004B2604" w:rsidRDefault="00FA5354" w:rsidP="007848EE">
                      <w:pPr>
                        <w:jc w:val="both"/>
                        <w:rPr>
                          <w:rFonts w:cs="Arial"/>
                          <w:sz w:val="22"/>
                          <w:szCs w:val="22"/>
                          <w:lang w:val="es-ES_tradnl"/>
                        </w:rPr>
                      </w:pPr>
                      <w:r w:rsidRPr="004B2604">
                        <w:rPr>
                          <w:rFonts w:cs="Arial"/>
                          <w:sz w:val="22"/>
                          <w:szCs w:val="22"/>
                          <w:lang w:val="es-ES_tradnl"/>
                        </w:rPr>
                        <w:t>Resumen:</w:t>
                      </w:r>
                    </w:p>
                    <w:p w14:paraId="43D1783C" w14:textId="77777777" w:rsidR="00FA5354" w:rsidRPr="004B2604" w:rsidRDefault="00FA5354" w:rsidP="007848EE">
                      <w:pPr>
                        <w:jc w:val="both"/>
                        <w:rPr>
                          <w:rFonts w:cs="Arial"/>
                          <w:i/>
                          <w:sz w:val="22"/>
                          <w:szCs w:val="22"/>
                          <w:lang w:val="es-ES_tradnl"/>
                        </w:rPr>
                      </w:pPr>
                    </w:p>
                    <w:p w14:paraId="0DBD38EE" w14:textId="00D76101" w:rsidR="00FA5354" w:rsidRPr="004B2604" w:rsidRDefault="00FA5354" w:rsidP="007848EE">
                      <w:pPr>
                        <w:jc w:val="both"/>
                        <w:rPr>
                          <w:rFonts w:cs="Arial"/>
                          <w:sz w:val="22"/>
                          <w:szCs w:val="22"/>
                          <w:lang w:val="es-ES_tradnl"/>
                        </w:rPr>
                      </w:pPr>
                      <w:r w:rsidRPr="004B2604">
                        <w:rPr>
                          <w:rFonts w:cs="Arial"/>
                          <w:sz w:val="22"/>
                          <w:szCs w:val="22"/>
                          <w:lang w:val="es-ES_tradnl"/>
                        </w:rPr>
                        <w:t>El Programa de T</w:t>
                      </w:r>
                      <w:r>
                        <w:rPr>
                          <w:rFonts w:cs="Arial"/>
                          <w:sz w:val="22"/>
                          <w:szCs w:val="22"/>
                          <w:lang w:val="es-ES_tradnl"/>
                        </w:rPr>
                        <w:t>rabajo C</w:t>
                      </w:r>
                      <w:r w:rsidRPr="004B2604">
                        <w:rPr>
                          <w:rFonts w:cs="Arial"/>
                          <w:sz w:val="22"/>
                          <w:szCs w:val="22"/>
                          <w:lang w:val="es-ES_tradnl"/>
                        </w:rPr>
                        <w:t>onjunto</w:t>
                      </w:r>
                      <w:r>
                        <w:rPr>
                          <w:rFonts w:cs="Arial"/>
                          <w:sz w:val="22"/>
                          <w:szCs w:val="22"/>
                          <w:lang w:val="es-ES_tradnl"/>
                        </w:rPr>
                        <w:t xml:space="preserve"> de la CMS y CITES para el periodo 2015-2020, acordado por ambas Convenciones en 2014, solicita a las dos Secretarías cooperar en relación con sus especies compartidas. Las Conferencias de las Partes de la CMS y CITES han adoptado varias resoluciones y decisiones relativas  a las cuatro especies icónicas de carnívoros africanos, </w:t>
                      </w:r>
                      <w:r w:rsidRPr="00AA694E">
                        <w:rPr>
                          <w:rFonts w:cs="Arial"/>
                          <w:sz w:val="22"/>
                          <w:szCs w:val="22"/>
                          <w:lang w:val="es-ES_tradnl"/>
                        </w:rPr>
                        <w:t>concretamente el león africano (</w:t>
                      </w:r>
                      <w:r w:rsidRPr="00AA694E">
                        <w:rPr>
                          <w:rFonts w:cs="Arial"/>
                          <w:i/>
                          <w:sz w:val="22"/>
                          <w:szCs w:val="22"/>
                          <w:lang w:val="es-ES_tradnl"/>
                        </w:rPr>
                        <w:t>Panthera leo</w:t>
                      </w:r>
                      <w:r w:rsidRPr="00AA694E">
                        <w:rPr>
                          <w:rFonts w:cs="Arial"/>
                          <w:sz w:val="22"/>
                          <w:szCs w:val="22"/>
                          <w:lang w:val="es-ES_tradnl"/>
                        </w:rPr>
                        <w:t>), el guepardo (</w:t>
                      </w:r>
                      <w:r w:rsidRPr="00AA694E">
                        <w:rPr>
                          <w:rFonts w:cs="Arial"/>
                          <w:i/>
                          <w:sz w:val="22"/>
                          <w:szCs w:val="22"/>
                          <w:lang w:val="es-ES_tradnl"/>
                        </w:rPr>
                        <w:t>Acinonyx jubatus</w:t>
                      </w:r>
                      <w:r w:rsidRPr="00AA694E">
                        <w:rPr>
                          <w:rFonts w:cs="Arial"/>
                          <w:sz w:val="22"/>
                          <w:szCs w:val="22"/>
                          <w:lang w:val="es-ES_tradnl"/>
                        </w:rPr>
                        <w:t>), el leopardo (</w:t>
                      </w:r>
                      <w:r w:rsidRPr="00AA694E">
                        <w:rPr>
                          <w:rFonts w:cs="Arial"/>
                          <w:i/>
                          <w:sz w:val="22"/>
                          <w:szCs w:val="22"/>
                          <w:lang w:val="es-ES_tradnl"/>
                        </w:rPr>
                        <w:t>Panthera pardus</w:t>
                      </w:r>
                      <w:r w:rsidRPr="00AA694E">
                        <w:rPr>
                          <w:rFonts w:cs="Arial"/>
                          <w:sz w:val="22"/>
                          <w:szCs w:val="22"/>
                          <w:lang w:val="es-ES_tradnl"/>
                        </w:rPr>
                        <w:t>) y el licaón (</w:t>
                      </w:r>
                      <w:r w:rsidRPr="00AA694E">
                        <w:rPr>
                          <w:rFonts w:cs="Arial"/>
                          <w:i/>
                          <w:sz w:val="22"/>
                          <w:szCs w:val="22"/>
                          <w:lang w:val="es-ES_tradnl"/>
                        </w:rPr>
                        <w:t>Lycaon pictus</w:t>
                      </w:r>
                      <w:r w:rsidRPr="00AA694E">
                        <w:rPr>
                          <w:rFonts w:cs="Arial"/>
                          <w:sz w:val="22"/>
                          <w:szCs w:val="22"/>
                          <w:lang w:val="es-ES_tradnl"/>
                        </w:rPr>
                        <w:t>).</w:t>
                      </w:r>
                      <w:r>
                        <w:rPr>
                          <w:rFonts w:cs="Arial"/>
                          <w:sz w:val="22"/>
                          <w:szCs w:val="22"/>
                          <w:lang w:val="es-ES_tradnl"/>
                        </w:rPr>
                        <w:t xml:space="preserve"> Mediante el establecimiento de una Iniciativa Conjunta de la CMS y CITES para los Carnívoros Africanos, las Secretarías de la CMS y CITES buscan dar coherencia y aportar eficacia a la implementación de dichas resoluciones y decisiones. La iniciativa aspira además a trabajar en estrecha colaboración con la UICN.</w:t>
                      </w:r>
                    </w:p>
                    <w:p w14:paraId="1AAC2D4E" w14:textId="77777777" w:rsidR="00FA5354" w:rsidRPr="004B2604" w:rsidRDefault="00FA5354" w:rsidP="00565E18">
                      <w:pPr>
                        <w:rPr>
                          <w:rFonts w:cs="Arial"/>
                          <w:sz w:val="22"/>
                          <w:szCs w:val="22"/>
                          <w:highlight w:val="yellow"/>
                          <w:lang w:val="es-ES_tradnl"/>
                        </w:rPr>
                      </w:pPr>
                    </w:p>
                    <w:p w14:paraId="6F7468CE" w14:textId="2D2BC3BE" w:rsidR="00FA5354" w:rsidRPr="00182099" w:rsidRDefault="00FA5354" w:rsidP="00ED477B">
                      <w:pPr>
                        <w:rPr>
                          <w:rFonts w:cs="Arial"/>
                          <w:sz w:val="22"/>
                          <w:szCs w:val="22"/>
                          <w:lang w:val="es-ES_tradnl"/>
                        </w:rPr>
                      </w:pPr>
                      <w:r w:rsidRPr="00182099">
                        <w:rPr>
                          <w:rFonts w:cs="Arial"/>
                          <w:sz w:val="22"/>
                          <w:szCs w:val="22"/>
                          <w:lang w:val="es-ES_tradnl"/>
                        </w:rPr>
                        <w:t>La imple</w:t>
                      </w:r>
                      <w:r>
                        <w:rPr>
                          <w:rFonts w:cs="Arial"/>
                          <w:sz w:val="22"/>
                          <w:szCs w:val="22"/>
                          <w:lang w:val="es-ES_tradnl"/>
                        </w:rPr>
                        <w:t>mentación de las propuestas de D</w:t>
                      </w:r>
                      <w:r w:rsidRPr="00182099">
                        <w:rPr>
                          <w:rFonts w:cs="Arial"/>
                          <w:sz w:val="22"/>
                          <w:szCs w:val="22"/>
                          <w:lang w:val="es-ES_tradnl"/>
                        </w:rPr>
                        <w:t xml:space="preserve">ecisiones anexadas </w:t>
                      </w:r>
                      <w:r>
                        <w:rPr>
                          <w:rFonts w:cs="Arial"/>
                          <w:sz w:val="22"/>
                          <w:szCs w:val="22"/>
                          <w:lang w:val="es-ES_tradnl"/>
                        </w:rPr>
                        <w:t xml:space="preserve">a este documento </w:t>
                      </w:r>
                      <w:r w:rsidRPr="00182099">
                        <w:rPr>
                          <w:rFonts w:cs="Arial"/>
                          <w:sz w:val="22"/>
                          <w:szCs w:val="22"/>
                          <w:lang w:val="es-ES_tradnl"/>
                        </w:rPr>
                        <w:t>contribuirá hacia la implementación de las metas 1, 8 y 9 del Plan Estratégico para las Especies Migratorias 2015-2023.</w:t>
                      </w:r>
                    </w:p>
                    <w:p w14:paraId="5A52DA08" w14:textId="4E814409" w:rsidR="00FA5354" w:rsidRDefault="00FA5354" w:rsidP="00ED477B">
                      <w:pPr>
                        <w:rPr>
                          <w:rFonts w:cs="Arial"/>
                          <w:sz w:val="22"/>
                          <w:szCs w:val="22"/>
                          <w:lang w:val="es-ES_tradnl"/>
                        </w:rPr>
                      </w:pPr>
                    </w:p>
                    <w:p w14:paraId="501BF186" w14:textId="1140586D" w:rsidR="00FA5354" w:rsidRPr="008B2A31" w:rsidRDefault="00FA5354" w:rsidP="00ED477B">
                      <w:pPr>
                        <w:rPr>
                          <w:rFonts w:cs="Arial"/>
                          <w:sz w:val="22"/>
                          <w:szCs w:val="22"/>
                          <w:lang w:val="es-ES"/>
                        </w:rPr>
                      </w:pPr>
                      <w:r>
                        <w:rPr>
                          <w:rFonts w:cs="Arial"/>
                          <w:sz w:val="22"/>
                          <w:szCs w:val="22"/>
                          <w:lang w:val="es-ES_tradnl"/>
                        </w:rPr>
                        <w:t xml:space="preserve">Este documento ha sido renumerado. Fue previamente publicado en el sitio web como documento </w:t>
                      </w:r>
                      <w:r w:rsidRPr="008B2A31">
                        <w:rPr>
                          <w:rFonts w:cs="Arial"/>
                          <w:sz w:val="22"/>
                          <w:szCs w:val="22"/>
                          <w:lang w:val="es-ES"/>
                        </w:rPr>
                        <w:t>UNEP/CMS/COP12/Doc.24.3.1</w:t>
                      </w:r>
                    </w:p>
                  </w:txbxContent>
                </v:textbox>
              </v:shape>
            </w:pict>
          </mc:Fallback>
        </mc:AlternateContent>
      </w:r>
    </w:p>
    <w:p w14:paraId="3F182E03" w14:textId="77777777" w:rsidR="00D605A4" w:rsidRPr="00BF6EAC" w:rsidRDefault="00D605A4" w:rsidP="00D605A4">
      <w:pPr>
        <w:rPr>
          <w:rFonts w:cs="Arial"/>
          <w:sz w:val="21"/>
          <w:szCs w:val="21"/>
          <w:lang w:val="es-ES_tradnl"/>
        </w:rPr>
      </w:pPr>
    </w:p>
    <w:p w14:paraId="1DA9FB37" w14:textId="77777777" w:rsidR="00D605A4" w:rsidRPr="00BF6EAC" w:rsidRDefault="00D605A4" w:rsidP="00D605A4">
      <w:pPr>
        <w:rPr>
          <w:rFonts w:cs="Arial"/>
          <w:sz w:val="21"/>
          <w:szCs w:val="21"/>
          <w:lang w:val="es-ES_tradnl"/>
        </w:rPr>
      </w:pPr>
    </w:p>
    <w:p w14:paraId="1D172375" w14:textId="77777777" w:rsidR="00D605A4" w:rsidRPr="00BF6EAC" w:rsidRDefault="00D605A4" w:rsidP="00D605A4">
      <w:pPr>
        <w:rPr>
          <w:rFonts w:cs="Arial"/>
          <w:sz w:val="21"/>
          <w:szCs w:val="21"/>
          <w:lang w:val="es-ES_tradnl"/>
        </w:rPr>
      </w:pPr>
    </w:p>
    <w:p w14:paraId="1BB7F501" w14:textId="77777777" w:rsidR="00D605A4" w:rsidRPr="00BF6EAC" w:rsidRDefault="00D605A4" w:rsidP="00D605A4">
      <w:pPr>
        <w:rPr>
          <w:rFonts w:cs="Arial"/>
          <w:sz w:val="21"/>
          <w:szCs w:val="21"/>
          <w:lang w:val="es-ES_tradnl"/>
        </w:rPr>
      </w:pPr>
    </w:p>
    <w:p w14:paraId="7B3EF55C" w14:textId="77777777" w:rsidR="00D605A4" w:rsidRPr="00BF6EAC" w:rsidRDefault="00D605A4" w:rsidP="00D605A4">
      <w:pPr>
        <w:rPr>
          <w:rFonts w:cs="Arial"/>
          <w:sz w:val="21"/>
          <w:szCs w:val="21"/>
          <w:lang w:val="es-ES_tradnl"/>
        </w:rPr>
      </w:pPr>
    </w:p>
    <w:p w14:paraId="3957CDFF" w14:textId="77777777" w:rsidR="00D605A4" w:rsidRPr="00BF6EAC" w:rsidRDefault="00D605A4" w:rsidP="00D605A4">
      <w:pPr>
        <w:rPr>
          <w:rFonts w:cs="Arial"/>
          <w:sz w:val="21"/>
          <w:szCs w:val="21"/>
          <w:lang w:val="es-ES_tradnl"/>
        </w:rPr>
      </w:pPr>
    </w:p>
    <w:p w14:paraId="788687F9" w14:textId="77777777" w:rsidR="00D605A4" w:rsidRPr="00BF6EAC" w:rsidRDefault="00D605A4" w:rsidP="00D605A4">
      <w:pPr>
        <w:rPr>
          <w:rFonts w:cs="Arial"/>
          <w:sz w:val="21"/>
          <w:szCs w:val="21"/>
          <w:lang w:val="es-ES_tradnl"/>
        </w:rPr>
      </w:pPr>
    </w:p>
    <w:p w14:paraId="5C1B6194" w14:textId="77777777" w:rsidR="00D605A4" w:rsidRPr="00BF6EAC" w:rsidRDefault="00D605A4" w:rsidP="00D605A4">
      <w:pPr>
        <w:rPr>
          <w:rFonts w:cs="Arial"/>
          <w:sz w:val="21"/>
          <w:szCs w:val="21"/>
          <w:lang w:val="es-ES_tradnl"/>
        </w:rPr>
      </w:pPr>
    </w:p>
    <w:p w14:paraId="217B4A00" w14:textId="77777777" w:rsidR="00D605A4" w:rsidRPr="00BF6EAC" w:rsidRDefault="00D605A4" w:rsidP="00D605A4">
      <w:pPr>
        <w:rPr>
          <w:rFonts w:cs="Arial"/>
          <w:sz w:val="21"/>
          <w:szCs w:val="21"/>
          <w:lang w:val="es-ES_tradnl"/>
        </w:rPr>
      </w:pPr>
    </w:p>
    <w:p w14:paraId="11D2B6AC" w14:textId="77777777" w:rsidR="00D605A4" w:rsidRPr="00BF6EAC" w:rsidRDefault="00D605A4" w:rsidP="00D605A4">
      <w:pPr>
        <w:rPr>
          <w:rFonts w:cs="Arial"/>
          <w:sz w:val="21"/>
          <w:szCs w:val="21"/>
          <w:lang w:val="es-ES_tradnl"/>
        </w:rPr>
      </w:pPr>
    </w:p>
    <w:p w14:paraId="5BB6A1B3" w14:textId="77777777" w:rsidR="00D605A4" w:rsidRPr="00BF6EAC" w:rsidRDefault="00D605A4" w:rsidP="00D605A4">
      <w:pPr>
        <w:rPr>
          <w:rFonts w:cs="Arial"/>
          <w:sz w:val="21"/>
          <w:szCs w:val="21"/>
          <w:lang w:val="es-ES_tradnl"/>
        </w:rPr>
      </w:pPr>
    </w:p>
    <w:p w14:paraId="0866393B" w14:textId="77777777" w:rsidR="00D605A4" w:rsidRPr="00BF6EAC" w:rsidRDefault="00D605A4" w:rsidP="00D605A4">
      <w:pPr>
        <w:rPr>
          <w:rFonts w:cs="Arial"/>
          <w:sz w:val="21"/>
          <w:szCs w:val="21"/>
          <w:lang w:val="es-ES_tradnl"/>
        </w:rPr>
      </w:pPr>
    </w:p>
    <w:p w14:paraId="54AE40CF" w14:textId="77777777" w:rsidR="00D605A4" w:rsidRPr="00BF6EAC" w:rsidRDefault="00D605A4" w:rsidP="00D605A4">
      <w:pPr>
        <w:rPr>
          <w:rFonts w:cs="Arial"/>
          <w:sz w:val="21"/>
          <w:szCs w:val="21"/>
          <w:lang w:val="es-ES_tradnl"/>
        </w:rPr>
      </w:pPr>
    </w:p>
    <w:p w14:paraId="3BF91DC4" w14:textId="77777777" w:rsidR="00D605A4" w:rsidRPr="00BF6EAC" w:rsidRDefault="00D605A4" w:rsidP="00D605A4">
      <w:pPr>
        <w:rPr>
          <w:rFonts w:cs="Arial"/>
          <w:sz w:val="21"/>
          <w:szCs w:val="21"/>
          <w:lang w:val="es-ES_tradnl"/>
        </w:rPr>
      </w:pPr>
    </w:p>
    <w:p w14:paraId="5EF7B680" w14:textId="77777777" w:rsidR="00D605A4" w:rsidRPr="00BF6EAC" w:rsidRDefault="00D605A4" w:rsidP="00D605A4">
      <w:pPr>
        <w:rPr>
          <w:rFonts w:cs="Arial"/>
          <w:sz w:val="21"/>
          <w:szCs w:val="21"/>
          <w:lang w:val="es-ES_tradnl"/>
        </w:rPr>
      </w:pPr>
    </w:p>
    <w:p w14:paraId="60214595" w14:textId="77777777" w:rsidR="00D605A4" w:rsidRPr="00BF6EAC" w:rsidRDefault="00D605A4" w:rsidP="00D605A4">
      <w:pPr>
        <w:rPr>
          <w:rFonts w:cs="Arial"/>
          <w:sz w:val="21"/>
          <w:szCs w:val="21"/>
          <w:lang w:val="es-ES_tradnl"/>
        </w:rPr>
      </w:pPr>
    </w:p>
    <w:p w14:paraId="77775358" w14:textId="77777777" w:rsidR="00D605A4" w:rsidRPr="00BF6EAC" w:rsidRDefault="00D605A4" w:rsidP="00D605A4">
      <w:pPr>
        <w:rPr>
          <w:rFonts w:cs="Arial"/>
          <w:sz w:val="21"/>
          <w:szCs w:val="21"/>
          <w:lang w:val="es-ES_tradnl"/>
        </w:rPr>
      </w:pPr>
    </w:p>
    <w:p w14:paraId="37C55E97" w14:textId="77777777" w:rsidR="00D605A4" w:rsidRPr="00BF6EAC" w:rsidRDefault="00D605A4" w:rsidP="00D605A4">
      <w:pPr>
        <w:rPr>
          <w:rFonts w:cs="Arial"/>
          <w:sz w:val="22"/>
          <w:szCs w:val="22"/>
          <w:lang w:val="es-ES_tradnl"/>
        </w:rPr>
      </w:pPr>
    </w:p>
    <w:p w14:paraId="29CA9801" w14:textId="77777777" w:rsidR="00031A88" w:rsidRPr="00BF6EAC" w:rsidRDefault="00031A88" w:rsidP="00D605A4">
      <w:pPr>
        <w:rPr>
          <w:rFonts w:cs="Arial"/>
          <w:sz w:val="22"/>
          <w:szCs w:val="22"/>
          <w:lang w:val="es-ES_tradnl"/>
        </w:rPr>
      </w:pPr>
    </w:p>
    <w:p w14:paraId="5C362D56" w14:textId="77777777" w:rsidR="00031A88" w:rsidRPr="00BF6EAC" w:rsidRDefault="00031A88" w:rsidP="00D605A4">
      <w:pPr>
        <w:rPr>
          <w:rFonts w:cs="Arial"/>
          <w:sz w:val="22"/>
          <w:szCs w:val="22"/>
          <w:lang w:val="es-ES_tradnl"/>
        </w:rPr>
      </w:pPr>
    </w:p>
    <w:p w14:paraId="25762751" w14:textId="77777777" w:rsidR="00031A88" w:rsidRPr="00BF6EAC" w:rsidRDefault="00031A88" w:rsidP="00D605A4">
      <w:pPr>
        <w:rPr>
          <w:rFonts w:cs="Arial"/>
          <w:sz w:val="22"/>
          <w:szCs w:val="22"/>
          <w:lang w:val="es-ES_tradnl"/>
        </w:rPr>
      </w:pPr>
    </w:p>
    <w:p w14:paraId="40CF178E" w14:textId="77777777" w:rsidR="00031A88" w:rsidRPr="00BF6EAC" w:rsidRDefault="00031A88" w:rsidP="00D605A4">
      <w:pPr>
        <w:rPr>
          <w:rFonts w:cs="Arial"/>
          <w:sz w:val="22"/>
          <w:szCs w:val="22"/>
          <w:lang w:val="es-ES_tradnl"/>
        </w:rPr>
      </w:pPr>
    </w:p>
    <w:p w14:paraId="63C78736" w14:textId="77777777" w:rsidR="00031A88" w:rsidRPr="00BF6EAC" w:rsidRDefault="00031A88" w:rsidP="00D605A4">
      <w:pPr>
        <w:rPr>
          <w:rFonts w:cs="Arial"/>
          <w:sz w:val="22"/>
          <w:szCs w:val="22"/>
          <w:lang w:val="es-ES_tradnl"/>
        </w:rPr>
      </w:pPr>
    </w:p>
    <w:p w14:paraId="789B20A5" w14:textId="77777777" w:rsidR="00031A88" w:rsidRPr="00BF6EAC" w:rsidRDefault="00031A88" w:rsidP="00D605A4">
      <w:pPr>
        <w:rPr>
          <w:rFonts w:cs="Arial"/>
          <w:sz w:val="22"/>
          <w:szCs w:val="22"/>
          <w:lang w:val="es-ES_tradnl"/>
        </w:rPr>
      </w:pPr>
    </w:p>
    <w:p w14:paraId="724047B5" w14:textId="77777777" w:rsidR="00031A88" w:rsidRPr="00BF6EAC" w:rsidRDefault="00031A88" w:rsidP="00D605A4">
      <w:pPr>
        <w:rPr>
          <w:rFonts w:cs="Arial"/>
          <w:sz w:val="22"/>
          <w:szCs w:val="22"/>
          <w:lang w:val="es-ES_tradnl"/>
        </w:rPr>
      </w:pPr>
    </w:p>
    <w:p w14:paraId="270BEF01" w14:textId="77777777" w:rsidR="00031A88" w:rsidRPr="00BF6EAC" w:rsidRDefault="00031A88" w:rsidP="00D605A4">
      <w:pPr>
        <w:rPr>
          <w:rFonts w:cs="Arial"/>
          <w:sz w:val="22"/>
          <w:szCs w:val="22"/>
          <w:lang w:val="es-ES_tradnl"/>
        </w:rPr>
      </w:pPr>
    </w:p>
    <w:p w14:paraId="0FDCC3C5" w14:textId="77777777" w:rsidR="00031A88" w:rsidRPr="00BF6EAC" w:rsidRDefault="00031A88" w:rsidP="00D605A4">
      <w:pPr>
        <w:rPr>
          <w:rFonts w:cs="Arial"/>
          <w:sz w:val="22"/>
          <w:szCs w:val="22"/>
          <w:lang w:val="es-ES_tradnl"/>
        </w:rPr>
      </w:pPr>
    </w:p>
    <w:p w14:paraId="234F1E35" w14:textId="77777777" w:rsidR="00031A88" w:rsidRPr="00BF6EAC" w:rsidRDefault="00031A88" w:rsidP="00D605A4">
      <w:pPr>
        <w:rPr>
          <w:rFonts w:cs="Arial"/>
          <w:sz w:val="22"/>
          <w:szCs w:val="22"/>
          <w:lang w:val="es-ES_tradnl"/>
        </w:rPr>
      </w:pPr>
    </w:p>
    <w:p w14:paraId="2D468F3A" w14:textId="77777777" w:rsidR="00031A88" w:rsidRPr="00BF6EAC" w:rsidRDefault="00031A88" w:rsidP="00D605A4">
      <w:pPr>
        <w:rPr>
          <w:rFonts w:cs="Arial"/>
          <w:sz w:val="22"/>
          <w:szCs w:val="22"/>
          <w:lang w:val="es-ES_tradnl"/>
        </w:rPr>
      </w:pPr>
    </w:p>
    <w:p w14:paraId="06F171DA" w14:textId="77777777" w:rsidR="00D605A4" w:rsidRPr="00BF6EAC" w:rsidRDefault="00D605A4" w:rsidP="00D605A4">
      <w:pPr>
        <w:rPr>
          <w:rFonts w:cs="Arial"/>
          <w:sz w:val="22"/>
          <w:szCs w:val="22"/>
          <w:lang w:val="es-ES_tradnl"/>
        </w:rPr>
      </w:pPr>
    </w:p>
    <w:p w14:paraId="77A95A22" w14:textId="77777777" w:rsidR="00D605A4" w:rsidRPr="008B2A31" w:rsidRDefault="00D605A4" w:rsidP="00D605A4">
      <w:pPr>
        <w:tabs>
          <w:tab w:val="left" w:pos="1020"/>
        </w:tabs>
        <w:rPr>
          <w:rFonts w:cs="Arial"/>
          <w:sz w:val="22"/>
          <w:szCs w:val="22"/>
          <w:lang w:val="es-ES"/>
        </w:rPr>
        <w:sectPr w:rsidR="00D605A4" w:rsidRPr="008B2A31"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42F13B71" w14:textId="1E4036AE" w:rsidR="00D13BCF" w:rsidRPr="00D13BCF" w:rsidRDefault="00D13BCF" w:rsidP="00021EA5">
      <w:pPr>
        <w:jc w:val="center"/>
        <w:rPr>
          <w:rFonts w:cs="Arial"/>
          <w:b/>
          <w:bCs/>
          <w:caps/>
          <w:sz w:val="22"/>
          <w:szCs w:val="22"/>
          <w:lang w:val="es-ES_tradnl"/>
        </w:rPr>
      </w:pPr>
      <w:r w:rsidRPr="00D13BCF">
        <w:rPr>
          <w:rFonts w:cs="Arial"/>
          <w:b/>
          <w:bCs/>
          <w:caps/>
          <w:sz w:val="22"/>
          <w:szCs w:val="22"/>
          <w:lang w:val="es-ES_tradnl"/>
        </w:rPr>
        <w:lastRenderedPageBreak/>
        <w:t>INICIATIVA CONJUNTA DE LA CMS Y CITES</w:t>
      </w:r>
      <w:r w:rsidR="001E0250">
        <w:rPr>
          <w:rFonts w:cs="Arial"/>
          <w:b/>
          <w:bCs/>
          <w:caps/>
          <w:sz w:val="22"/>
          <w:szCs w:val="22"/>
          <w:lang w:val="es-ES_tradnl"/>
        </w:rPr>
        <w:t xml:space="preserve"> PARA LOS</w:t>
      </w:r>
      <w:r w:rsidR="001E0250" w:rsidRPr="00D13BCF">
        <w:rPr>
          <w:rFonts w:cs="Arial"/>
          <w:b/>
          <w:bCs/>
          <w:caps/>
          <w:sz w:val="22"/>
          <w:szCs w:val="22"/>
          <w:lang w:val="es-ES_tradnl"/>
        </w:rPr>
        <w:t xml:space="preserve"> CARNÍVOROS AFRICANOS</w:t>
      </w:r>
    </w:p>
    <w:p w14:paraId="434F4881" w14:textId="77777777" w:rsidR="007910DD" w:rsidRPr="00FC653C" w:rsidRDefault="007910DD" w:rsidP="007910DD">
      <w:pPr>
        <w:jc w:val="center"/>
        <w:rPr>
          <w:rFonts w:cs="Arial"/>
          <w:sz w:val="22"/>
          <w:szCs w:val="22"/>
          <w:highlight w:val="yellow"/>
          <w:lang w:val="es-ES_tradnl"/>
        </w:rPr>
      </w:pPr>
    </w:p>
    <w:p w14:paraId="4E2F84BF" w14:textId="10048535" w:rsidR="00DE38E8" w:rsidRPr="00DE38E8" w:rsidRDefault="00DE38E8" w:rsidP="007910DD">
      <w:pPr>
        <w:jc w:val="both"/>
        <w:rPr>
          <w:rFonts w:cs="Arial"/>
          <w:sz w:val="22"/>
          <w:szCs w:val="22"/>
          <w:u w:val="single"/>
          <w:lang w:val="es-ES_tradnl"/>
        </w:rPr>
      </w:pPr>
      <w:r w:rsidRPr="00DE38E8">
        <w:rPr>
          <w:rFonts w:cs="Arial"/>
          <w:sz w:val="22"/>
          <w:szCs w:val="22"/>
          <w:u w:val="single"/>
          <w:lang w:val="es-ES_tradnl"/>
        </w:rPr>
        <w:t>Antecedentes</w:t>
      </w:r>
    </w:p>
    <w:p w14:paraId="58728DC6" w14:textId="77777777" w:rsidR="007910DD" w:rsidRPr="00FC653C" w:rsidRDefault="007910DD" w:rsidP="007910DD">
      <w:pPr>
        <w:jc w:val="both"/>
        <w:rPr>
          <w:rFonts w:cs="Arial"/>
          <w:sz w:val="22"/>
          <w:szCs w:val="22"/>
          <w:highlight w:val="yellow"/>
          <w:lang w:val="es-ES_tradnl"/>
        </w:rPr>
      </w:pPr>
    </w:p>
    <w:p w14:paraId="04CCD9B4" w14:textId="485D8745" w:rsidR="00E321D8" w:rsidRPr="00411C7B" w:rsidRDefault="00411C7B" w:rsidP="007F31CD">
      <w:pPr>
        <w:numPr>
          <w:ilvl w:val="0"/>
          <w:numId w:val="2"/>
        </w:numPr>
        <w:contextualSpacing/>
        <w:jc w:val="both"/>
        <w:rPr>
          <w:rFonts w:cs="Arial"/>
          <w:sz w:val="22"/>
          <w:szCs w:val="22"/>
          <w:lang w:val="es-ES_tradnl"/>
        </w:rPr>
      </w:pPr>
      <w:r w:rsidRPr="00411C7B">
        <w:rPr>
          <w:rFonts w:cs="Arial"/>
          <w:sz w:val="22"/>
          <w:szCs w:val="22"/>
          <w:lang w:val="es-ES_tradnl"/>
        </w:rPr>
        <w:t>La Convención</w:t>
      </w:r>
      <w:r w:rsidR="007667C2">
        <w:rPr>
          <w:rFonts w:cs="Arial"/>
          <w:sz w:val="22"/>
          <w:szCs w:val="22"/>
          <w:lang w:val="es-ES_tradnl"/>
        </w:rPr>
        <w:t xml:space="preserve"> sobre la Conservación de las Especies Migratorias de Animales Silvestres (CMS) y la Convención sobre el Comercio Internacional de Especies Amenazadas de Fauna y Flora Silvestre (CITES)</w:t>
      </w:r>
      <w:r w:rsidR="00487420">
        <w:rPr>
          <w:rFonts w:cs="Arial"/>
          <w:sz w:val="22"/>
          <w:szCs w:val="22"/>
          <w:lang w:val="es-ES_tradnl"/>
        </w:rPr>
        <w:t xml:space="preserve"> pactaron un </w:t>
      </w:r>
      <w:hyperlink r:id="rId15" w:history="1">
        <w:r w:rsidR="00487420" w:rsidRPr="00874B86">
          <w:rPr>
            <w:rStyle w:val="Hyperlink"/>
            <w:rFonts w:cs="Arial"/>
            <w:sz w:val="22"/>
            <w:szCs w:val="22"/>
            <w:lang w:val="es-ES_tradnl"/>
          </w:rPr>
          <w:t>Programa d</w:t>
        </w:r>
        <w:r w:rsidR="005B5F07" w:rsidRPr="00874B86">
          <w:rPr>
            <w:rStyle w:val="Hyperlink"/>
            <w:rFonts w:cs="Arial"/>
            <w:sz w:val="22"/>
            <w:szCs w:val="22"/>
            <w:lang w:val="es-ES_tradnl"/>
          </w:rPr>
          <w:t>e Trabajo C</w:t>
        </w:r>
        <w:r w:rsidR="00487420" w:rsidRPr="00874B86">
          <w:rPr>
            <w:rStyle w:val="Hyperlink"/>
            <w:rFonts w:cs="Arial"/>
            <w:sz w:val="22"/>
            <w:szCs w:val="22"/>
            <w:lang w:val="es-ES_tradnl"/>
          </w:rPr>
          <w:t>onjunto para 2015-2020</w:t>
        </w:r>
      </w:hyperlink>
      <w:r w:rsidR="00487420" w:rsidRPr="005B5F07">
        <w:rPr>
          <w:rFonts w:cs="Arial"/>
          <w:sz w:val="22"/>
          <w:szCs w:val="22"/>
          <w:lang w:val="es-ES_tradnl"/>
        </w:rPr>
        <w:t xml:space="preserve"> </w:t>
      </w:r>
      <w:r w:rsidR="00487420">
        <w:rPr>
          <w:rFonts w:cs="Arial"/>
          <w:sz w:val="22"/>
          <w:szCs w:val="22"/>
          <w:lang w:val="es-ES_tradnl"/>
        </w:rPr>
        <w:t>el cual, entre otras cosas, requiere</w:t>
      </w:r>
      <w:r w:rsidR="00B26766">
        <w:rPr>
          <w:rFonts w:cs="Arial"/>
          <w:sz w:val="22"/>
          <w:szCs w:val="22"/>
          <w:lang w:val="es-ES_tradnl"/>
        </w:rPr>
        <w:t xml:space="preserve"> “actividades conjuntas dirigidas a especies en común y </w:t>
      </w:r>
      <w:r w:rsidR="009C7659">
        <w:rPr>
          <w:rFonts w:cs="Arial"/>
          <w:sz w:val="22"/>
          <w:szCs w:val="22"/>
          <w:lang w:val="es-ES_tradnl"/>
        </w:rPr>
        <w:t xml:space="preserve">cuestiones de interés común”. </w:t>
      </w:r>
      <w:r w:rsidR="00EA6EB9">
        <w:rPr>
          <w:rFonts w:cs="Arial"/>
          <w:sz w:val="22"/>
          <w:szCs w:val="22"/>
          <w:lang w:val="es-ES_tradnl"/>
        </w:rPr>
        <w:t xml:space="preserve">Las Secretarías de </w:t>
      </w:r>
      <w:r w:rsidR="009C7659">
        <w:rPr>
          <w:rFonts w:cs="Arial"/>
          <w:sz w:val="22"/>
          <w:szCs w:val="22"/>
          <w:lang w:val="es-ES_tradnl"/>
        </w:rPr>
        <w:t xml:space="preserve">la </w:t>
      </w:r>
      <w:r w:rsidR="00EA6EB9">
        <w:rPr>
          <w:rFonts w:cs="Arial"/>
          <w:sz w:val="22"/>
          <w:szCs w:val="22"/>
          <w:lang w:val="es-ES_tradnl"/>
        </w:rPr>
        <w:t>CITES y CMS</w:t>
      </w:r>
      <w:r w:rsidR="007D57A6">
        <w:rPr>
          <w:rFonts w:cs="Arial"/>
          <w:sz w:val="22"/>
          <w:szCs w:val="22"/>
          <w:lang w:val="es-ES_tradnl"/>
        </w:rPr>
        <w:t xml:space="preserve"> “tratarán conjuntamente cuestiones </w:t>
      </w:r>
      <w:r w:rsidR="000A30EC">
        <w:rPr>
          <w:rFonts w:cs="Arial"/>
          <w:sz w:val="22"/>
          <w:szCs w:val="22"/>
          <w:lang w:val="es-ES_tradnl"/>
        </w:rPr>
        <w:t xml:space="preserve">generales </w:t>
      </w:r>
      <w:r w:rsidR="007D57A6">
        <w:rPr>
          <w:rFonts w:cs="Arial"/>
          <w:sz w:val="22"/>
          <w:szCs w:val="22"/>
          <w:lang w:val="es-ES_tradnl"/>
        </w:rPr>
        <w:t xml:space="preserve">de conservación y gestión </w:t>
      </w:r>
      <w:r w:rsidR="000A30EC">
        <w:rPr>
          <w:rFonts w:cs="Arial"/>
          <w:sz w:val="22"/>
          <w:szCs w:val="22"/>
          <w:lang w:val="es-ES_tradnl"/>
        </w:rPr>
        <w:t>de las especies de interés común, como la promoción de la gestión regional</w:t>
      </w:r>
      <w:r w:rsidR="00FA7177">
        <w:rPr>
          <w:rFonts w:cs="Arial"/>
          <w:sz w:val="22"/>
          <w:szCs w:val="22"/>
          <w:lang w:val="es-ES_tradnl"/>
        </w:rPr>
        <w:t xml:space="preserve"> de especies, la gestión de recursos basada en la comunidad, el comercio no perjudicial y el uso sostenible, fomentar buenas prácticas de conservación </w:t>
      </w:r>
      <w:r w:rsidR="00274627">
        <w:rPr>
          <w:rFonts w:cs="Arial"/>
          <w:sz w:val="22"/>
          <w:szCs w:val="22"/>
          <w:lang w:val="es-ES_tradnl"/>
        </w:rPr>
        <w:t>para las especies comunes, y monitorear nuevas amenazas como el cambio climático</w:t>
      </w:r>
      <w:r w:rsidR="009D121F">
        <w:rPr>
          <w:rFonts w:cs="Arial"/>
          <w:sz w:val="22"/>
          <w:szCs w:val="22"/>
          <w:lang w:val="es-ES_tradnl"/>
        </w:rPr>
        <w:t xml:space="preserve">”. </w:t>
      </w:r>
      <w:r w:rsidR="00274627">
        <w:rPr>
          <w:rFonts w:cs="Arial"/>
          <w:sz w:val="22"/>
          <w:szCs w:val="22"/>
          <w:lang w:val="es-ES_tradnl"/>
        </w:rPr>
        <w:t>Las Secretarías deberán también “responder</w:t>
      </w:r>
      <w:r w:rsidR="00920837">
        <w:rPr>
          <w:rFonts w:cs="Arial"/>
          <w:sz w:val="22"/>
          <w:szCs w:val="22"/>
          <w:lang w:val="es-ES_tradnl"/>
        </w:rPr>
        <w:t xml:space="preserve"> a las recomendaciones, resoluciones y decisiones acordadas po</w:t>
      </w:r>
      <w:r w:rsidR="00A42B4F">
        <w:rPr>
          <w:rFonts w:cs="Arial"/>
          <w:sz w:val="22"/>
          <w:szCs w:val="22"/>
          <w:lang w:val="es-ES_tradnl"/>
        </w:rPr>
        <w:t>r las Partes y los Signatario</w:t>
      </w:r>
      <w:r w:rsidR="006B04AC">
        <w:rPr>
          <w:rFonts w:cs="Arial"/>
          <w:sz w:val="22"/>
          <w:szCs w:val="22"/>
          <w:lang w:val="es-ES_tradnl"/>
        </w:rPr>
        <w:t>s que</w:t>
      </w:r>
      <w:r w:rsidR="00920837">
        <w:rPr>
          <w:rFonts w:cs="Arial"/>
          <w:sz w:val="22"/>
          <w:szCs w:val="22"/>
          <w:lang w:val="es-ES_tradnl"/>
        </w:rPr>
        <w:t xml:space="preserve"> </w:t>
      </w:r>
      <w:r w:rsidR="006B04AC">
        <w:rPr>
          <w:rFonts w:cs="Arial"/>
          <w:sz w:val="22"/>
          <w:szCs w:val="22"/>
          <w:lang w:val="es-ES_tradnl"/>
        </w:rPr>
        <w:t>guarden relación</w:t>
      </w:r>
      <w:r w:rsidR="00920837">
        <w:rPr>
          <w:rFonts w:cs="Arial"/>
          <w:sz w:val="22"/>
          <w:szCs w:val="22"/>
          <w:lang w:val="es-ES_tradnl"/>
        </w:rPr>
        <w:t xml:space="preserve"> </w:t>
      </w:r>
      <w:r w:rsidR="006D5AF5">
        <w:rPr>
          <w:rFonts w:cs="Arial"/>
          <w:sz w:val="22"/>
          <w:szCs w:val="22"/>
          <w:lang w:val="es-ES_tradnl"/>
        </w:rPr>
        <w:t xml:space="preserve">con el trabajo conjunto de </w:t>
      </w:r>
      <w:r w:rsidR="006B04AC">
        <w:rPr>
          <w:rFonts w:cs="Arial"/>
          <w:sz w:val="22"/>
          <w:szCs w:val="22"/>
          <w:lang w:val="es-ES_tradnl"/>
        </w:rPr>
        <w:t xml:space="preserve">la </w:t>
      </w:r>
      <w:r w:rsidR="006D5AF5">
        <w:rPr>
          <w:rFonts w:cs="Arial"/>
          <w:sz w:val="22"/>
          <w:szCs w:val="22"/>
          <w:lang w:val="es-ES_tradnl"/>
        </w:rPr>
        <w:t>CITES</w:t>
      </w:r>
      <w:r w:rsidR="006B04AC">
        <w:rPr>
          <w:rFonts w:cs="Arial"/>
          <w:sz w:val="22"/>
          <w:szCs w:val="22"/>
          <w:lang w:val="es-ES_tradnl"/>
        </w:rPr>
        <w:t xml:space="preserve"> y </w:t>
      </w:r>
      <w:r w:rsidR="00F93518">
        <w:rPr>
          <w:rFonts w:cs="Arial"/>
          <w:sz w:val="22"/>
          <w:szCs w:val="22"/>
          <w:lang w:val="es-ES_tradnl"/>
        </w:rPr>
        <w:t xml:space="preserve">la </w:t>
      </w:r>
      <w:r w:rsidR="006B04AC">
        <w:rPr>
          <w:rFonts w:cs="Arial"/>
          <w:sz w:val="22"/>
          <w:szCs w:val="22"/>
          <w:lang w:val="es-ES_tradnl"/>
        </w:rPr>
        <w:t>CMS, incluyendo aquella</w:t>
      </w:r>
      <w:r w:rsidR="00920837">
        <w:rPr>
          <w:rFonts w:cs="Arial"/>
          <w:sz w:val="22"/>
          <w:szCs w:val="22"/>
          <w:lang w:val="es-ES_tradnl"/>
        </w:rPr>
        <w:t>s resultantes de la implementación de los instrumentos de la CMS (p.ej. MDE)”.</w:t>
      </w:r>
    </w:p>
    <w:p w14:paraId="023EA7E7" w14:textId="77777777" w:rsidR="00C53B42" w:rsidRPr="00CC1C26" w:rsidRDefault="00C53B42" w:rsidP="00C53B42">
      <w:pPr>
        <w:ind w:left="360"/>
        <w:contextualSpacing/>
        <w:jc w:val="both"/>
        <w:rPr>
          <w:rFonts w:cs="Arial"/>
          <w:sz w:val="22"/>
          <w:szCs w:val="22"/>
          <w:lang w:val="es-ES_tradnl"/>
        </w:rPr>
      </w:pPr>
    </w:p>
    <w:p w14:paraId="3065B0FB" w14:textId="38D52ECC" w:rsidR="00FE1EB6" w:rsidRPr="00F732D7" w:rsidRDefault="00C77E4E" w:rsidP="00F732D7">
      <w:pPr>
        <w:pStyle w:val="ListParagraph"/>
        <w:numPr>
          <w:ilvl w:val="0"/>
          <w:numId w:val="2"/>
        </w:numPr>
        <w:jc w:val="both"/>
        <w:rPr>
          <w:rFonts w:cs="Arial"/>
          <w:sz w:val="22"/>
          <w:szCs w:val="22"/>
          <w:lang w:val="es-ES_tradnl"/>
        </w:rPr>
      </w:pPr>
      <w:r>
        <w:rPr>
          <w:rFonts w:cs="Arial"/>
          <w:sz w:val="22"/>
          <w:szCs w:val="22"/>
          <w:lang w:val="es-ES_tradnl"/>
        </w:rPr>
        <w:t>El Programa de Trabajo C</w:t>
      </w:r>
      <w:r w:rsidR="00590897" w:rsidRPr="00590897">
        <w:rPr>
          <w:rFonts w:cs="Arial"/>
          <w:sz w:val="22"/>
          <w:szCs w:val="22"/>
          <w:lang w:val="es-ES_tradnl"/>
        </w:rPr>
        <w:t xml:space="preserve">onjunto </w:t>
      </w:r>
      <w:r w:rsidR="00F732D7">
        <w:rPr>
          <w:rFonts w:cs="Arial"/>
          <w:sz w:val="22"/>
          <w:szCs w:val="22"/>
          <w:lang w:val="es-ES_tradnl"/>
        </w:rPr>
        <w:t>prevé además actividades para “G</w:t>
      </w:r>
      <w:r w:rsidR="00590897" w:rsidRPr="00590897">
        <w:rPr>
          <w:rFonts w:cs="Arial"/>
          <w:sz w:val="22"/>
          <w:szCs w:val="22"/>
          <w:lang w:val="es-ES_tradnl"/>
        </w:rPr>
        <w:t>arantizar una colaboración para la conservación y gestión de los grandes felinos, incluyendo lo siguiente: intercambio regular de información técnic</w:t>
      </w:r>
      <w:r w:rsidR="004257BC">
        <w:rPr>
          <w:rFonts w:cs="Arial"/>
          <w:sz w:val="22"/>
          <w:szCs w:val="22"/>
          <w:lang w:val="es-ES_tradnl"/>
        </w:rPr>
        <w:t>a y de otros</w:t>
      </w:r>
      <w:r w:rsidR="00590897" w:rsidRPr="00590897">
        <w:rPr>
          <w:rFonts w:cs="Arial"/>
          <w:sz w:val="22"/>
          <w:szCs w:val="22"/>
          <w:lang w:val="es-ES_tradnl"/>
        </w:rPr>
        <w:t xml:space="preserve"> tipo</w:t>
      </w:r>
      <w:r w:rsidR="004257BC">
        <w:rPr>
          <w:rFonts w:cs="Arial"/>
          <w:sz w:val="22"/>
          <w:szCs w:val="22"/>
          <w:lang w:val="es-ES_tradnl"/>
        </w:rPr>
        <w:t>s</w:t>
      </w:r>
      <w:r w:rsidR="00590897" w:rsidRPr="00590897">
        <w:rPr>
          <w:rFonts w:cs="Arial"/>
          <w:sz w:val="22"/>
          <w:szCs w:val="22"/>
          <w:lang w:val="es-ES_tradnl"/>
        </w:rPr>
        <w:t>, asistencia a las reuniones mutuas, fomento de capacidad, recaudación conjunta de fondo</w:t>
      </w:r>
      <w:r w:rsidR="004257BC">
        <w:rPr>
          <w:rFonts w:cs="Arial"/>
          <w:sz w:val="22"/>
          <w:szCs w:val="22"/>
          <w:lang w:val="es-ES_tradnl"/>
        </w:rPr>
        <w:t>s y asistencia colectiva a los e</w:t>
      </w:r>
      <w:r w:rsidR="00590897" w:rsidRPr="00590897">
        <w:rPr>
          <w:rFonts w:cs="Arial"/>
          <w:sz w:val="22"/>
          <w:szCs w:val="22"/>
          <w:lang w:val="es-ES_tradnl"/>
        </w:rPr>
        <w:t>stados del área de distribución según proc</w:t>
      </w:r>
      <w:r w:rsidR="00F732D7">
        <w:rPr>
          <w:rFonts w:cs="Arial"/>
          <w:sz w:val="22"/>
          <w:szCs w:val="22"/>
          <w:lang w:val="es-ES_tradnl"/>
        </w:rPr>
        <w:t>eda” (Actividad B5), así como “I</w:t>
      </w:r>
      <w:r w:rsidR="00590897" w:rsidRPr="00590897">
        <w:rPr>
          <w:rFonts w:cs="Arial"/>
          <w:sz w:val="22"/>
          <w:szCs w:val="22"/>
          <w:lang w:val="es-ES_tradnl"/>
        </w:rPr>
        <w:t>ntercambiar información sobre las diferencias en los criterios de inclusión de las especies en los respectivos Apéndices y las razones o justificaciones por las cuales éstas están incluidas para mejorar la coherencia entre las políticas establecidas por ambos tratados” (Actividad B20).</w:t>
      </w:r>
    </w:p>
    <w:p w14:paraId="053A7D49" w14:textId="77777777" w:rsidR="00164057" w:rsidRPr="00FC653C" w:rsidRDefault="00164057" w:rsidP="00AD7D37">
      <w:pPr>
        <w:rPr>
          <w:rFonts w:cs="Arial"/>
          <w:sz w:val="22"/>
          <w:szCs w:val="22"/>
          <w:highlight w:val="yellow"/>
          <w:lang w:val="es-ES_tradnl"/>
        </w:rPr>
      </w:pPr>
    </w:p>
    <w:p w14:paraId="72AD1E64" w14:textId="56FC2F1D" w:rsidR="004C7A23" w:rsidRPr="004C7A23" w:rsidRDefault="003752C3" w:rsidP="00AD7D37">
      <w:pPr>
        <w:rPr>
          <w:rFonts w:cs="Arial"/>
          <w:sz w:val="22"/>
          <w:szCs w:val="22"/>
          <w:u w:val="single"/>
          <w:lang w:val="es-ES_tradnl"/>
        </w:rPr>
      </w:pPr>
      <w:r>
        <w:rPr>
          <w:rFonts w:cs="Arial"/>
          <w:sz w:val="22"/>
          <w:szCs w:val="22"/>
          <w:u w:val="single"/>
          <w:lang w:val="es-ES_tradnl"/>
        </w:rPr>
        <w:t>Carnívoros africanos en</w:t>
      </w:r>
      <w:r w:rsidR="004C7A23" w:rsidRPr="004C7A23">
        <w:rPr>
          <w:rFonts w:cs="Arial"/>
          <w:sz w:val="22"/>
          <w:szCs w:val="22"/>
          <w:u w:val="single"/>
          <w:lang w:val="es-ES_tradnl"/>
        </w:rPr>
        <w:t xml:space="preserve"> la CMS y CITES</w:t>
      </w:r>
    </w:p>
    <w:p w14:paraId="52F7D53E" w14:textId="77777777" w:rsidR="00AD7D37" w:rsidRPr="00FC653C" w:rsidRDefault="00AD7D37" w:rsidP="00AD7D37">
      <w:pPr>
        <w:rPr>
          <w:rFonts w:cs="Arial"/>
          <w:sz w:val="22"/>
          <w:szCs w:val="22"/>
          <w:highlight w:val="yellow"/>
          <w:lang w:val="es-ES_tradnl"/>
        </w:rPr>
      </w:pPr>
    </w:p>
    <w:p w14:paraId="3D6BDDBE" w14:textId="71082F29" w:rsidR="001845C5" w:rsidRPr="00F045D7" w:rsidRDefault="0025595D" w:rsidP="00E61F8A">
      <w:pPr>
        <w:numPr>
          <w:ilvl w:val="0"/>
          <w:numId w:val="2"/>
        </w:numPr>
        <w:contextualSpacing/>
        <w:jc w:val="both"/>
        <w:rPr>
          <w:rFonts w:cs="Arial"/>
          <w:sz w:val="22"/>
          <w:szCs w:val="22"/>
          <w:lang w:val="es-ES_tradnl"/>
        </w:rPr>
      </w:pPr>
      <w:r w:rsidRPr="00F045D7">
        <w:rPr>
          <w:rFonts w:cs="Arial"/>
          <w:sz w:val="22"/>
          <w:szCs w:val="22"/>
          <w:lang w:val="es-ES_tradnl"/>
        </w:rPr>
        <w:t xml:space="preserve">El guepardo </w:t>
      </w:r>
      <w:r w:rsidR="00F045D7">
        <w:rPr>
          <w:rFonts w:cs="Arial"/>
          <w:sz w:val="22"/>
          <w:szCs w:val="22"/>
          <w:lang w:val="es-ES_tradnl"/>
        </w:rPr>
        <w:t xml:space="preserve">y el leopardo fueron incluidos en el Apéndice I de la CITES en 1975, y las poblaciones africanas del león en el Apéndice II en 1977. El comercio internacional de </w:t>
      </w:r>
      <w:r w:rsidR="0081151B">
        <w:rPr>
          <w:rFonts w:cs="Arial"/>
          <w:sz w:val="22"/>
          <w:szCs w:val="22"/>
          <w:lang w:val="es-ES_tradnl"/>
        </w:rPr>
        <w:t>ejemplares</w:t>
      </w:r>
      <w:r w:rsidR="00752BAE">
        <w:rPr>
          <w:rFonts w:cs="Arial"/>
          <w:sz w:val="22"/>
          <w:szCs w:val="22"/>
          <w:lang w:val="es-ES_tradnl"/>
        </w:rPr>
        <w:t xml:space="preserve"> de estas especies está regulado de conformidad con las clá</w:t>
      </w:r>
      <w:r w:rsidR="00F045D7">
        <w:rPr>
          <w:rFonts w:cs="Arial"/>
          <w:sz w:val="22"/>
          <w:szCs w:val="22"/>
          <w:lang w:val="es-ES_tradnl"/>
        </w:rPr>
        <w:t>usulas de la CITES.</w:t>
      </w:r>
    </w:p>
    <w:p w14:paraId="44D64121" w14:textId="77777777" w:rsidR="006F52AF" w:rsidRPr="00FC653C" w:rsidRDefault="006F52AF" w:rsidP="006F52AF">
      <w:pPr>
        <w:pStyle w:val="ListParagraph"/>
        <w:rPr>
          <w:rFonts w:cs="Arial"/>
          <w:sz w:val="22"/>
          <w:szCs w:val="22"/>
          <w:highlight w:val="yellow"/>
          <w:lang w:val="es-ES_tradnl"/>
        </w:rPr>
      </w:pPr>
    </w:p>
    <w:p w14:paraId="1B43130A" w14:textId="04377D2B" w:rsidR="0077035C" w:rsidRPr="0077035C" w:rsidRDefault="0077035C" w:rsidP="00C12C8B">
      <w:pPr>
        <w:numPr>
          <w:ilvl w:val="0"/>
          <w:numId w:val="2"/>
        </w:numPr>
        <w:contextualSpacing/>
        <w:jc w:val="both"/>
        <w:rPr>
          <w:rFonts w:cs="Arial"/>
          <w:sz w:val="22"/>
          <w:szCs w:val="22"/>
          <w:lang w:val="es-ES_tradnl"/>
        </w:rPr>
      </w:pPr>
      <w:r w:rsidRPr="0077035C">
        <w:rPr>
          <w:rFonts w:cs="Arial"/>
          <w:sz w:val="22"/>
          <w:szCs w:val="22"/>
          <w:lang w:val="es-ES_tradnl"/>
        </w:rPr>
        <w:t>Las Partes de la CMS</w:t>
      </w:r>
      <w:r w:rsidR="006B4590">
        <w:rPr>
          <w:rFonts w:cs="Arial"/>
          <w:sz w:val="22"/>
          <w:szCs w:val="22"/>
          <w:lang w:val="es-ES_tradnl"/>
        </w:rPr>
        <w:t xml:space="preserve"> reconocieron la necesidad de conservar el guepardo y el </w:t>
      </w:r>
      <w:r w:rsidR="00C01DCB">
        <w:rPr>
          <w:rFonts w:cs="Arial"/>
          <w:sz w:val="22"/>
          <w:szCs w:val="22"/>
          <w:lang w:val="es-ES_tradnl"/>
        </w:rPr>
        <w:t>licaón</w:t>
      </w:r>
      <w:r w:rsidR="006B4590" w:rsidRPr="00E20DB4">
        <w:rPr>
          <w:rFonts w:cs="Arial"/>
          <w:sz w:val="22"/>
          <w:szCs w:val="22"/>
          <w:lang w:val="es-ES_tradnl"/>
        </w:rPr>
        <w:t xml:space="preserve"> así como</w:t>
      </w:r>
      <w:r w:rsidR="0063659C" w:rsidRPr="00E20DB4">
        <w:rPr>
          <w:rFonts w:cs="Arial"/>
          <w:sz w:val="22"/>
          <w:szCs w:val="22"/>
          <w:lang w:val="es-ES_tradnl"/>
        </w:rPr>
        <w:t xml:space="preserve"> sus hábitat</w:t>
      </w:r>
      <w:r w:rsidR="00C01DCB">
        <w:rPr>
          <w:rFonts w:cs="Arial"/>
          <w:sz w:val="22"/>
          <w:szCs w:val="22"/>
          <w:lang w:val="es-ES_tradnl"/>
        </w:rPr>
        <w:t>s</w:t>
      </w:r>
      <w:r w:rsidR="0063659C" w:rsidRPr="00E20DB4">
        <w:rPr>
          <w:rFonts w:cs="Arial"/>
          <w:sz w:val="22"/>
          <w:szCs w:val="22"/>
          <w:lang w:val="es-ES_tradnl"/>
        </w:rPr>
        <w:t xml:space="preserve"> al incluirlos en 2009 en los Apéndices I y II respectivamente. En la Resolución 11.32 sobre la </w:t>
      </w:r>
      <w:r w:rsidR="0063659C" w:rsidRPr="00177152">
        <w:rPr>
          <w:rFonts w:cs="Arial"/>
          <w:i/>
          <w:sz w:val="22"/>
          <w:szCs w:val="22"/>
          <w:lang w:val="es-ES_tradnl"/>
        </w:rPr>
        <w:t>Conservación y Gestión del León Africano Panthera leo</w:t>
      </w:r>
      <w:r w:rsidR="0063659C" w:rsidRPr="00E20DB4">
        <w:rPr>
          <w:rFonts w:cs="Arial"/>
          <w:sz w:val="22"/>
          <w:szCs w:val="22"/>
          <w:lang w:val="es-ES_tradnl"/>
        </w:rPr>
        <w:t>, la Conferenci</w:t>
      </w:r>
      <w:r w:rsidR="007366E7">
        <w:rPr>
          <w:rFonts w:cs="Arial"/>
          <w:sz w:val="22"/>
          <w:szCs w:val="22"/>
          <w:lang w:val="es-ES_tradnl"/>
        </w:rPr>
        <w:t>a de las Partes de la CMS invitaba</w:t>
      </w:r>
      <w:r w:rsidR="0063659C" w:rsidRPr="00E20DB4">
        <w:rPr>
          <w:rFonts w:cs="Arial"/>
          <w:sz w:val="22"/>
          <w:szCs w:val="22"/>
          <w:lang w:val="es-ES_tradnl"/>
        </w:rPr>
        <w:t xml:space="preserve"> a los estados Partes </w:t>
      </w:r>
      <w:r w:rsidR="007366E7">
        <w:rPr>
          <w:rFonts w:cs="Arial"/>
          <w:sz w:val="22"/>
          <w:szCs w:val="22"/>
          <w:lang w:val="es-ES_tradnl"/>
        </w:rPr>
        <w:t>d</w:t>
      </w:r>
      <w:r w:rsidR="00C35AD8">
        <w:rPr>
          <w:rFonts w:cs="Arial"/>
          <w:sz w:val="22"/>
          <w:szCs w:val="22"/>
          <w:lang w:val="es-ES_tradnl"/>
        </w:rPr>
        <w:t>el área de distribución, sujeto</w:t>
      </w:r>
      <w:r w:rsidR="0063659C" w:rsidRPr="00E20DB4">
        <w:rPr>
          <w:rFonts w:cs="Arial"/>
          <w:sz w:val="22"/>
          <w:szCs w:val="22"/>
          <w:lang w:val="es-ES_tradnl"/>
        </w:rPr>
        <w:t xml:space="preserve"> a los </w:t>
      </w:r>
      <w:r w:rsidR="00C35AD8">
        <w:rPr>
          <w:rFonts w:cs="Arial"/>
          <w:sz w:val="22"/>
          <w:szCs w:val="22"/>
          <w:lang w:val="es-ES_tradnl"/>
        </w:rPr>
        <w:t>resultados</w:t>
      </w:r>
      <w:r w:rsidR="0063659C" w:rsidRPr="00E20DB4">
        <w:rPr>
          <w:rFonts w:cs="Arial"/>
          <w:sz w:val="22"/>
          <w:szCs w:val="22"/>
          <w:lang w:val="es-ES_tradnl"/>
        </w:rPr>
        <w:t xml:space="preserve"> de las consultas entre los estados del área de distribución y otras partes interesadas pertinentes, </w:t>
      </w:r>
      <w:r w:rsidR="007366E7">
        <w:rPr>
          <w:rFonts w:cs="Arial"/>
          <w:sz w:val="22"/>
          <w:szCs w:val="22"/>
          <w:lang w:val="es-ES_tradnl"/>
        </w:rPr>
        <w:t>a</w:t>
      </w:r>
      <w:r w:rsidR="0063659C" w:rsidRPr="00E20DB4">
        <w:rPr>
          <w:rFonts w:cs="Arial"/>
          <w:sz w:val="22"/>
          <w:szCs w:val="22"/>
          <w:lang w:val="es-ES_tradnl"/>
        </w:rPr>
        <w:t xml:space="preserve"> trabajar </w:t>
      </w:r>
      <w:r w:rsidR="007366E7">
        <w:rPr>
          <w:rFonts w:cs="Arial"/>
          <w:sz w:val="22"/>
          <w:szCs w:val="22"/>
          <w:lang w:val="es-ES_tradnl"/>
        </w:rPr>
        <w:t xml:space="preserve">en </w:t>
      </w:r>
      <w:r w:rsidR="00E20DB4" w:rsidRPr="00E20DB4">
        <w:rPr>
          <w:rFonts w:cs="Arial"/>
          <w:sz w:val="22"/>
          <w:szCs w:val="22"/>
          <w:lang w:val="es-ES_tradnl"/>
        </w:rPr>
        <w:t xml:space="preserve">una propuesta </w:t>
      </w:r>
      <w:r w:rsidR="007366E7">
        <w:rPr>
          <w:rFonts w:cs="Arial"/>
          <w:sz w:val="22"/>
          <w:szCs w:val="22"/>
          <w:lang w:val="es-ES_tradnl"/>
        </w:rPr>
        <w:t>para la</w:t>
      </w:r>
      <w:r w:rsidR="00E20DB4" w:rsidRPr="00E20DB4">
        <w:rPr>
          <w:rFonts w:cs="Arial"/>
          <w:sz w:val="22"/>
          <w:szCs w:val="22"/>
          <w:lang w:val="es-ES_tradnl"/>
        </w:rPr>
        <w:t xml:space="preserve"> inclusión del león africano en el Apéndice II </w:t>
      </w:r>
      <w:r w:rsidR="00C35AD8">
        <w:rPr>
          <w:rFonts w:cs="Arial"/>
          <w:sz w:val="22"/>
          <w:szCs w:val="22"/>
          <w:lang w:val="es-ES_tradnl"/>
        </w:rPr>
        <w:t>que sería</w:t>
      </w:r>
      <w:r w:rsidR="00E20DB4" w:rsidRPr="00E20DB4">
        <w:rPr>
          <w:rFonts w:cs="Arial"/>
          <w:sz w:val="22"/>
          <w:szCs w:val="22"/>
          <w:lang w:val="es-ES_tradnl"/>
        </w:rPr>
        <w:t xml:space="preserve"> presentada a la 12ª Reunión de la Conferencia de las Partes de la CMS.</w:t>
      </w:r>
    </w:p>
    <w:p w14:paraId="4BA57996" w14:textId="77777777" w:rsidR="0032360B" w:rsidRPr="00FC653C" w:rsidRDefault="0032360B" w:rsidP="0032360B">
      <w:pPr>
        <w:pStyle w:val="ListParagraph"/>
        <w:rPr>
          <w:rFonts w:cs="Arial"/>
          <w:sz w:val="22"/>
          <w:szCs w:val="22"/>
          <w:highlight w:val="yellow"/>
          <w:lang w:val="es-ES_tradnl"/>
        </w:rPr>
      </w:pPr>
    </w:p>
    <w:p w14:paraId="078DDB8B" w14:textId="095A80D2" w:rsidR="00965EE0" w:rsidRPr="00BF6695" w:rsidRDefault="008E6091" w:rsidP="00C12C8B">
      <w:pPr>
        <w:numPr>
          <w:ilvl w:val="0"/>
          <w:numId w:val="2"/>
        </w:numPr>
        <w:contextualSpacing/>
        <w:jc w:val="both"/>
        <w:rPr>
          <w:rFonts w:cs="Arial"/>
          <w:sz w:val="22"/>
          <w:szCs w:val="22"/>
          <w:lang w:val="es-ES_tradnl"/>
        </w:rPr>
      </w:pPr>
      <w:r>
        <w:rPr>
          <w:rFonts w:cs="Arial"/>
          <w:sz w:val="22"/>
          <w:szCs w:val="22"/>
          <w:lang w:val="es-ES_tradnl"/>
        </w:rPr>
        <w:t xml:space="preserve">Según las evaluaciones </w:t>
      </w:r>
      <w:r w:rsidR="002B47CF" w:rsidRPr="00BF6695">
        <w:rPr>
          <w:rFonts w:cs="Arial"/>
          <w:sz w:val="22"/>
          <w:szCs w:val="22"/>
          <w:lang w:val="es-ES_tradnl"/>
        </w:rPr>
        <w:t>más recientes de la Lista Roja de la Unión Internacional para la Conservación de la Naturaleza</w:t>
      </w:r>
      <w:r w:rsidR="00FC6433" w:rsidRPr="00BF6695">
        <w:rPr>
          <w:rFonts w:cs="Arial"/>
          <w:sz w:val="22"/>
          <w:szCs w:val="22"/>
          <w:lang w:val="es-ES_tradnl"/>
        </w:rPr>
        <w:t xml:space="preserve"> (UICN), las poblaciones del león africano (</w:t>
      </w:r>
      <w:r w:rsidR="00FC6433" w:rsidRPr="00BF6695">
        <w:rPr>
          <w:rFonts w:cs="Arial"/>
          <w:i/>
          <w:sz w:val="22"/>
          <w:szCs w:val="22"/>
          <w:lang w:val="es-ES_tradnl"/>
        </w:rPr>
        <w:t>Panthera leo</w:t>
      </w:r>
      <w:r w:rsidR="00FC6433" w:rsidRPr="00BF6695">
        <w:rPr>
          <w:rFonts w:cs="Arial"/>
          <w:sz w:val="22"/>
          <w:szCs w:val="22"/>
          <w:lang w:val="es-ES_tradnl"/>
        </w:rPr>
        <w:t>) (</w:t>
      </w:r>
      <w:hyperlink r:id="rId16" w:history="1">
        <w:r w:rsidR="00FC6433" w:rsidRPr="00BF6695">
          <w:rPr>
            <w:rStyle w:val="Hyperlink"/>
            <w:rFonts w:cs="Arial"/>
            <w:sz w:val="22"/>
            <w:szCs w:val="22"/>
            <w:lang w:val="es-ES_tradnl"/>
          </w:rPr>
          <w:t>2016</w:t>
        </w:r>
      </w:hyperlink>
      <w:r w:rsidR="00FC6433" w:rsidRPr="00BF6695">
        <w:rPr>
          <w:rFonts w:cs="Arial"/>
          <w:sz w:val="22"/>
          <w:szCs w:val="22"/>
          <w:lang w:val="es-ES_tradnl"/>
        </w:rPr>
        <w:t>), guepardo (</w:t>
      </w:r>
      <w:r w:rsidR="00FC6433" w:rsidRPr="00BF6695">
        <w:rPr>
          <w:rFonts w:cs="Arial"/>
          <w:i/>
          <w:sz w:val="22"/>
          <w:szCs w:val="22"/>
          <w:lang w:val="es-ES_tradnl"/>
        </w:rPr>
        <w:t>Acinonyx jubatus</w:t>
      </w:r>
      <w:r w:rsidR="00FC6433" w:rsidRPr="00BF6695">
        <w:rPr>
          <w:rFonts w:cs="Arial"/>
          <w:sz w:val="22"/>
          <w:szCs w:val="22"/>
          <w:lang w:val="es-ES_tradnl"/>
        </w:rPr>
        <w:t>) (</w:t>
      </w:r>
      <w:hyperlink r:id="rId17" w:history="1">
        <w:r w:rsidR="00FC6433" w:rsidRPr="00BF6695">
          <w:rPr>
            <w:rStyle w:val="Hyperlink"/>
            <w:rFonts w:cs="Arial"/>
            <w:sz w:val="22"/>
            <w:szCs w:val="22"/>
            <w:lang w:val="es-ES_tradnl"/>
          </w:rPr>
          <w:t>2015</w:t>
        </w:r>
      </w:hyperlink>
      <w:r w:rsidR="00FC6433" w:rsidRPr="00BF6695">
        <w:rPr>
          <w:rFonts w:cs="Arial"/>
          <w:sz w:val="22"/>
          <w:szCs w:val="22"/>
          <w:lang w:val="es-ES_tradnl"/>
        </w:rPr>
        <w:t>), leopardo (</w:t>
      </w:r>
      <w:r w:rsidR="00FC6433" w:rsidRPr="00BF6695">
        <w:rPr>
          <w:rFonts w:cs="Arial"/>
          <w:i/>
          <w:sz w:val="22"/>
          <w:szCs w:val="22"/>
          <w:lang w:val="es-ES_tradnl"/>
        </w:rPr>
        <w:t>Panthera pardus</w:t>
      </w:r>
      <w:r w:rsidR="00FC6433" w:rsidRPr="00BF6695">
        <w:rPr>
          <w:rFonts w:cs="Arial"/>
          <w:sz w:val="22"/>
          <w:szCs w:val="22"/>
          <w:lang w:val="es-ES_tradnl"/>
        </w:rPr>
        <w:t>) (</w:t>
      </w:r>
      <w:hyperlink r:id="rId18" w:history="1">
        <w:r w:rsidR="00FC6433" w:rsidRPr="00BF6695">
          <w:rPr>
            <w:rStyle w:val="Hyperlink"/>
            <w:rFonts w:cs="Arial"/>
            <w:sz w:val="22"/>
            <w:szCs w:val="22"/>
            <w:lang w:val="es-ES_tradnl"/>
          </w:rPr>
          <w:t>2016</w:t>
        </w:r>
      </w:hyperlink>
      <w:r w:rsidR="00FC6433" w:rsidRPr="00BF6695">
        <w:rPr>
          <w:rFonts w:cs="Arial"/>
          <w:sz w:val="22"/>
          <w:szCs w:val="22"/>
          <w:lang w:val="es-ES_tradnl"/>
        </w:rPr>
        <w:t xml:space="preserve">) y </w:t>
      </w:r>
      <w:r w:rsidR="00453F59">
        <w:rPr>
          <w:rFonts w:cs="Arial"/>
          <w:sz w:val="22"/>
          <w:szCs w:val="22"/>
          <w:lang w:val="es-ES_tradnl"/>
        </w:rPr>
        <w:t>licaón</w:t>
      </w:r>
      <w:r w:rsidR="00FC6433" w:rsidRPr="00BF6695">
        <w:rPr>
          <w:rFonts w:cs="Arial"/>
          <w:sz w:val="22"/>
          <w:szCs w:val="22"/>
          <w:lang w:val="es-ES_tradnl"/>
        </w:rPr>
        <w:t xml:space="preserve"> (</w:t>
      </w:r>
      <w:r w:rsidR="00FC6433" w:rsidRPr="00BF6695">
        <w:rPr>
          <w:rFonts w:cs="Arial"/>
          <w:i/>
          <w:sz w:val="22"/>
          <w:szCs w:val="22"/>
          <w:lang w:val="es-ES_tradnl"/>
        </w:rPr>
        <w:t>Lycaon pictus</w:t>
      </w:r>
      <w:r w:rsidR="00FC6433" w:rsidRPr="00BF6695">
        <w:rPr>
          <w:rFonts w:cs="Arial"/>
          <w:sz w:val="22"/>
          <w:szCs w:val="22"/>
          <w:lang w:val="es-ES_tradnl"/>
        </w:rPr>
        <w:t>) (</w:t>
      </w:r>
      <w:hyperlink r:id="rId19" w:history="1">
        <w:r w:rsidR="00FC6433" w:rsidRPr="00BF6695">
          <w:rPr>
            <w:rStyle w:val="Hyperlink"/>
            <w:rFonts w:cs="Arial"/>
            <w:sz w:val="22"/>
            <w:szCs w:val="22"/>
            <w:lang w:val="es-ES_tradnl"/>
          </w:rPr>
          <w:t>2012</w:t>
        </w:r>
      </w:hyperlink>
      <w:r w:rsidR="007F0739">
        <w:rPr>
          <w:rFonts w:cs="Arial"/>
          <w:sz w:val="22"/>
          <w:szCs w:val="22"/>
          <w:lang w:val="es-ES_tradnl"/>
        </w:rPr>
        <w:t>) se encuentran</w:t>
      </w:r>
      <w:r w:rsidR="00FC6433" w:rsidRPr="00BF6695">
        <w:rPr>
          <w:rFonts w:cs="Arial"/>
          <w:sz w:val="22"/>
          <w:szCs w:val="22"/>
          <w:lang w:val="es-ES_tradnl"/>
        </w:rPr>
        <w:t xml:space="preserve"> en </w:t>
      </w:r>
      <w:r w:rsidR="007F0739">
        <w:rPr>
          <w:rFonts w:cs="Arial"/>
          <w:sz w:val="22"/>
          <w:szCs w:val="22"/>
          <w:lang w:val="es-ES_tradnl"/>
        </w:rPr>
        <w:t xml:space="preserve">un </w:t>
      </w:r>
      <w:r w:rsidR="00FC6433" w:rsidRPr="00BF6695">
        <w:rPr>
          <w:rFonts w:cs="Arial"/>
          <w:sz w:val="22"/>
          <w:szCs w:val="22"/>
          <w:lang w:val="es-ES_tradnl"/>
        </w:rPr>
        <w:t xml:space="preserve">constante –y a veces grave- </w:t>
      </w:r>
      <w:r w:rsidR="007F0739">
        <w:rPr>
          <w:rFonts w:cs="Arial"/>
          <w:sz w:val="22"/>
          <w:szCs w:val="22"/>
          <w:lang w:val="es-ES_tradnl"/>
        </w:rPr>
        <w:t>descenso</w:t>
      </w:r>
      <w:r w:rsidR="00FC6433" w:rsidRPr="00BF6695">
        <w:rPr>
          <w:rFonts w:cs="Arial"/>
          <w:sz w:val="22"/>
          <w:szCs w:val="22"/>
          <w:lang w:val="es-ES_tradnl"/>
        </w:rPr>
        <w:t xml:space="preserve"> en </w:t>
      </w:r>
      <w:r w:rsidR="007F0739">
        <w:rPr>
          <w:rFonts w:cs="Arial"/>
          <w:sz w:val="22"/>
          <w:szCs w:val="22"/>
          <w:lang w:val="es-ES_tradnl"/>
        </w:rPr>
        <w:t xml:space="preserve">todo </w:t>
      </w:r>
      <w:r w:rsidR="00FC6433" w:rsidRPr="00BF6695">
        <w:rPr>
          <w:rFonts w:cs="Arial"/>
          <w:sz w:val="22"/>
          <w:szCs w:val="22"/>
          <w:lang w:val="es-ES_tradnl"/>
        </w:rPr>
        <w:t xml:space="preserve">el continente africano, </w:t>
      </w:r>
      <w:r w:rsidR="00115B67">
        <w:rPr>
          <w:rFonts w:cs="Arial"/>
          <w:sz w:val="22"/>
          <w:szCs w:val="22"/>
          <w:lang w:val="es-ES_tradnl"/>
        </w:rPr>
        <w:t>a excepción de los leones en el sur de África</w:t>
      </w:r>
      <w:r w:rsidR="00FC6433" w:rsidRPr="00BF6695">
        <w:rPr>
          <w:rFonts w:cs="Arial"/>
          <w:sz w:val="22"/>
          <w:szCs w:val="22"/>
          <w:lang w:val="es-ES_tradnl"/>
        </w:rPr>
        <w:t xml:space="preserve">, donde </w:t>
      </w:r>
      <w:r w:rsidR="00E9464C">
        <w:rPr>
          <w:rFonts w:cs="Arial"/>
          <w:sz w:val="22"/>
          <w:szCs w:val="22"/>
          <w:lang w:val="es-ES_tradnl"/>
        </w:rPr>
        <w:t>se ha observado un</w:t>
      </w:r>
      <w:r w:rsidR="001C6848">
        <w:rPr>
          <w:rFonts w:cs="Arial"/>
          <w:sz w:val="22"/>
          <w:szCs w:val="22"/>
          <w:lang w:val="es-ES_tradnl"/>
        </w:rPr>
        <w:t xml:space="preserve"> pequeño aumento. Será necesario </w:t>
      </w:r>
      <w:r w:rsidR="00F93518">
        <w:rPr>
          <w:rFonts w:cs="Arial"/>
          <w:sz w:val="22"/>
          <w:szCs w:val="22"/>
          <w:lang w:val="es-ES_tradnl"/>
        </w:rPr>
        <w:t>incrementar</w:t>
      </w:r>
      <w:r w:rsidR="001C6848">
        <w:rPr>
          <w:rFonts w:cs="Arial"/>
          <w:sz w:val="22"/>
          <w:szCs w:val="22"/>
          <w:lang w:val="es-ES_tradnl"/>
        </w:rPr>
        <w:t xml:space="preserve"> considerablemente las medidas</w:t>
      </w:r>
      <w:r w:rsidR="00FC6433" w:rsidRPr="00BF6695">
        <w:rPr>
          <w:rFonts w:cs="Arial"/>
          <w:sz w:val="22"/>
          <w:szCs w:val="22"/>
          <w:lang w:val="es-ES_tradnl"/>
        </w:rPr>
        <w:t xml:space="preserve"> de conservación </w:t>
      </w:r>
      <w:r w:rsidR="001C6848">
        <w:rPr>
          <w:rFonts w:cs="Arial"/>
          <w:sz w:val="22"/>
          <w:szCs w:val="22"/>
          <w:lang w:val="es-ES_tradnl"/>
        </w:rPr>
        <w:t>centradas</w:t>
      </w:r>
      <w:r w:rsidR="00FB21FC" w:rsidRPr="00BF6695">
        <w:rPr>
          <w:rFonts w:cs="Arial"/>
          <w:sz w:val="22"/>
          <w:szCs w:val="22"/>
          <w:lang w:val="es-ES_tradnl"/>
        </w:rPr>
        <w:t xml:space="preserve"> en estas cuatro especies </w:t>
      </w:r>
      <w:r w:rsidR="001C6848">
        <w:rPr>
          <w:rFonts w:cs="Arial"/>
          <w:sz w:val="22"/>
          <w:szCs w:val="22"/>
          <w:lang w:val="es-ES_tradnl"/>
        </w:rPr>
        <w:t>con el fin de</w:t>
      </w:r>
      <w:r w:rsidR="00D87E94" w:rsidRPr="00BF6695">
        <w:rPr>
          <w:rFonts w:cs="Arial"/>
          <w:sz w:val="22"/>
          <w:szCs w:val="22"/>
          <w:lang w:val="es-ES_tradnl"/>
        </w:rPr>
        <w:t xml:space="preserve"> asegurar la </w:t>
      </w:r>
      <w:r w:rsidR="001C6848">
        <w:rPr>
          <w:rFonts w:cs="Arial"/>
          <w:sz w:val="22"/>
          <w:szCs w:val="22"/>
          <w:lang w:val="es-ES_tradnl"/>
        </w:rPr>
        <w:t xml:space="preserve">conservación de </w:t>
      </w:r>
      <w:r w:rsidR="00504539">
        <w:rPr>
          <w:rFonts w:cs="Arial"/>
          <w:sz w:val="22"/>
          <w:szCs w:val="22"/>
          <w:lang w:val="es-ES_tradnl"/>
        </w:rPr>
        <w:t>unas</w:t>
      </w:r>
      <w:r w:rsidR="00D87E94" w:rsidRPr="00BF6695">
        <w:rPr>
          <w:rFonts w:cs="Arial"/>
          <w:sz w:val="22"/>
          <w:szCs w:val="22"/>
          <w:lang w:val="es-ES_tradnl"/>
        </w:rPr>
        <w:t xml:space="preserve"> de las especies </w:t>
      </w:r>
      <w:r w:rsidR="00FD0A99" w:rsidRPr="00BF6695">
        <w:rPr>
          <w:rFonts w:cs="Arial"/>
          <w:sz w:val="22"/>
          <w:szCs w:val="22"/>
          <w:lang w:val="es-ES_tradnl"/>
        </w:rPr>
        <w:t xml:space="preserve">de carnívoros </w:t>
      </w:r>
      <w:r w:rsidR="001C6848" w:rsidRPr="00BF6695">
        <w:rPr>
          <w:rFonts w:cs="Arial"/>
          <w:sz w:val="22"/>
          <w:szCs w:val="22"/>
          <w:lang w:val="es-ES_tradnl"/>
        </w:rPr>
        <w:t xml:space="preserve">más icónicas </w:t>
      </w:r>
      <w:r w:rsidR="001C6848">
        <w:rPr>
          <w:rFonts w:cs="Arial"/>
          <w:sz w:val="22"/>
          <w:szCs w:val="22"/>
          <w:lang w:val="es-ES_tradnl"/>
        </w:rPr>
        <w:t>de</w:t>
      </w:r>
      <w:r w:rsidR="00FD0A99" w:rsidRPr="00BF6695">
        <w:rPr>
          <w:rFonts w:cs="Arial"/>
          <w:sz w:val="22"/>
          <w:szCs w:val="22"/>
          <w:lang w:val="es-ES_tradnl"/>
        </w:rPr>
        <w:t xml:space="preserve"> África.</w:t>
      </w:r>
    </w:p>
    <w:p w14:paraId="0D90BD92" w14:textId="77777777" w:rsidR="0032360B" w:rsidRPr="005A2301" w:rsidRDefault="0032360B" w:rsidP="0032360B">
      <w:pPr>
        <w:pStyle w:val="ListParagraph"/>
        <w:rPr>
          <w:rFonts w:cs="Arial"/>
          <w:sz w:val="22"/>
          <w:szCs w:val="22"/>
          <w:lang w:val="es-ES_tradnl"/>
        </w:rPr>
      </w:pPr>
    </w:p>
    <w:p w14:paraId="1E1A5277" w14:textId="729009E5" w:rsidR="005A2301" w:rsidRPr="005A2301" w:rsidRDefault="005A2301" w:rsidP="00C12C8B">
      <w:pPr>
        <w:numPr>
          <w:ilvl w:val="0"/>
          <w:numId w:val="2"/>
        </w:numPr>
        <w:contextualSpacing/>
        <w:jc w:val="both"/>
        <w:rPr>
          <w:rFonts w:cs="Arial"/>
          <w:sz w:val="22"/>
          <w:szCs w:val="22"/>
          <w:lang w:val="es-ES_tradnl"/>
        </w:rPr>
      </w:pPr>
      <w:r w:rsidRPr="005A2301">
        <w:rPr>
          <w:rFonts w:cs="Arial"/>
          <w:sz w:val="22"/>
          <w:szCs w:val="22"/>
          <w:lang w:val="es-ES_tradnl"/>
        </w:rPr>
        <w:t xml:space="preserve">Las principales razones </w:t>
      </w:r>
      <w:r w:rsidR="009E330B">
        <w:rPr>
          <w:rFonts w:cs="Arial"/>
          <w:sz w:val="22"/>
          <w:szCs w:val="22"/>
          <w:lang w:val="es-ES_tradnl"/>
        </w:rPr>
        <w:t>del</w:t>
      </w:r>
      <w:r w:rsidR="003A62A7">
        <w:rPr>
          <w:rFonts w:cs="Arial"/>
          <w:sz w:val="22"/>
          <w:szCs w:val="22"/>
          <w:lang w:val="es-ES_tradnl"/>
        </w:rPr>
        <w:t xml:space="preserve"> </w:t>
      </w:r>
      <w:r w:rsidR="00870FBB">
        <w:rPr>
          <w:rFonts w:cs="Arial"/>
          <w:sz w:val="22"/>
          <w:szCs w:val="22"/>
          <w:lang w:val="es-ES_tradnl"/>
        </w:rPr>
        <w:t>declive</w:t>
      </w:r>
      <w:r w:rsidR="003A62A7">
        <w:rPr>
          <w:rFonts w:cs="Arial"/>
          <w:sz w:val="22"/>
          <w:szCs w:val="22"/>
          <w:lang w:val="es-ES_tradnl"/>
        </w:rPr>
        <w:t xml:space="preserve"> y las amenazas generales son similares para las cuatro especies</w:t>
      </w:r>
      <w:r w:rsidR="0009495A">
        <w:rPr>
          <w:rFonts w:cs="Arial"/>
          <w:sz w:val="22"/>
          <w:szCs w:val="22"/>
          <w:lang w:val="es-ES_tradnl"/>
        </w:rPr>
        <w:t xml:space="preserve">, </w:t>
      </w:r>
      <w:r w:rsidR="00EF7406">
        <w:rPr>
          <w:rFonts w:cs="Arial"/>
          <w:sz w:val="22"/>
          <w:szCs w:val="22"/>
          <w:lang w:val="es-ES_tradnl"/>
        </w:rPr>
        <w:t>como se ha descrito</w:t>
      </w:r>
      <w:r w:rsidR="0009495A">
        <w:rPr>
          <w:rFonts w:cs="Arial"/>
          <w:sz w:val="22"/>
          <w:szCs w:val="22"/>
          <w:lang w:val="es-ES_tradnl"/>
        </w:rPr>
        <w:t xml:space="preserve"> en las evaluaciones de la Lista Roja de la UICN. Pueden resumirse como las siguientes: 1) pérdida y fragmentación del hábitat; 2) conflicto con </w:t>
      </w:r>
      <w:r w:rsidR="004F55ED">
        <w:rPr>
          <w:rFonts w:cs="Arial"/>
          <w:sz w:val="22"/>
          <w:szCs w:val="22"/>
          <w:lang w:val="es-ES_tradnl"/>
        </w:rPr>
        <w:t xml:space="preserve">los </w:t>
      </w:r>
      <w:r w:rsidR="0009495A">
        <w:rPr>
          <w:rFonts w:cs="Arial"/>
          <w:sz w:val="22"/>
          <w:szCs w:val="22"/>
          <w:lang w:val="es-ES_tradnl"/>
        </w:rPr>
        <w:t>humanos; 3) agotami</w:t>
      </w:r>
      <w:r w:rsidR="004F55ED">
        <w:rPr>
          <w:rFonts w:cs="Arial"/>
          <w:sz w:val="22"/>
          <w:szCs w:val="22"/>
          <w:lang w:val="es-ES_tradnl"/>
        </w:rPr>
        <w:t xml:space="preserve">ento de presas; y 4) prácticas </w:t>
      </w:r>
      <w:r w:rsidR="0009495A">
        <w:rPr>
          <w:rFonts w:cs="Arial"/>
          <w:sz w:val="22"/>
          <w:szCs w:val="22"/>
          <w:lang w:val="es-ES_tradnl"/>
        </w:rPr>
        <w:t xml:space="preserve">de comercio </w:t>
      </w:r>
      <w:r w:rsidR="004F55ED">
        <w:rPr>
          <w:rFonts w:cs="Arial"/>
          <w:sz w:val="22"/>
          <w:szCs w:val="22"/>
          <w:lang w:val="es-ES_tradnl"/>
        </w:rPr>
        <w:t xml:space="preserve">insostenibles o </w:t>
      </w:r>
      <w:r w:rsidR="0009495A">
        <w:rPr>
          <w:rFonts w:cs="Arial"/>
          <w:sz w:val="22"/>
          <w:szCs w:val="22"/>
          <w:lang w:val="es-ES_tradnl"/>
        </w:rPr>
        <w:t>ilegal</w:t>
      </w:r>
      <w:r w:rsidR="004F55ED">
        <w:rPr>
          <w:rFonts w:cs="Arial"/>
          <w:sz w:val="22"/>
          <w:szCs w:val="22"/>
          <w:lang w:val="es-ES_tradnl"/>
        </w:rPr>
        <w:t>es</w:t>
      </w:r>
      <w:r w:rsidR="0009495A">
        <w:rPr>
          <w:rFonts w:cs="Arial"/>
          <w:sz w:val="22"/>
          <w:szCs w:val="22"/>
          <w:lang w:val="es-ES_tradnl"/>
        </w:rPr>
        <w:t>.</w:t>
      </w:r>
    </w:p>
    <w:p w14:paraId="1C4354BC" w14:textId="77777777" w:rsidR="0032360B" w:rsidRPr="00AD5B76" w:rsidRDefault="0032360B" w:rsidP="0032360B">
      <w:pPr>
        <w:pStyle w:val="ListParagraph"/>
        <w:rPr>
          <w:rFonts w:cs="Arial"/>
          <w:sz w:val="22"/>
          <w:szCs w:val="22"/>
          <w:lang w:val="es-ES_tradnl"/>
        </w:rPr>
      </w:pPr>
    </w:p>
    <w:p w14:paraId="04CC8CE3" w14:textId="658BE0F5" w:rsidR="00D00D40" w:rsidRPr="00A407CB" w:rsidRDefault="00D00D40" w:rsidP="00F25236">
      <w:pPr>
        <w:numPr>
          <w:ilvl w:val="0"/>
          <w:numId w:val="2"/>
        </w:numPr>
        <w:contextualSpacing/>
        <w:jc w:val="both"/>
        <w:rPr>
          <w:rFonts w:cs="Arial"/>
          <w:sz w:val="22"/>
          <w:szCs w:val="22"/>
          <w:lang w:val="es-ES_tradnl"/>
        </w:rPr>
      </w:pPr>
      <w:r w:rsidRPr="00A407CB">
        <w:rPr>
          <w:rFonts w:cs="Arial"/>
          <w:sz w:val="22"/>
          <w:szCs w:val="22"/>
          <w:lang w:val="es-ES_tradnl"/>
        </w:rPr>
        <w:t>La</w:t>
      </w:r>
      <w:r w:rsidR="00FC5AAB">
        <w:rPr>
          <w:rFonts w:cs="Arial"/>
          <w:sz w:val="22"/>
          <w:szCs w:val="22"/>
          <w:lang w:val="es-ES_tradnl"/>
        </w:rPr>
        <w:t>s</w:t>
      </w:r>
      <w:r w:rsidRPr="00A407CB">
        <w:rPr>
          <w:rFonts w:cs="Arial"/>
          <w:sz w:val="22"/>
          <w:szCs w:val="22"/>
          <w:lang w:val="es-ES_tradnl"/>
        </w:rPr>
        <w:t xml:space="preserve"> Conferencia</w:t>
      </w:r>
      <w:r w:rsidR="00FC5AAB">
        <w:rPr>
          <w:rFonts w:cs="Arial"/>
          <w:sz w:val="22"/>
          <w:szCs w:val="22"/>
          <w:lang w:val="es-ES_tradnl"/>
        </w:rPr>
        <w:t>s</w:t>
      </w:r>
      <w:r w:rsidRPr="00A407CB">
        <w:rPr>
          <w:rFonts w:cs="Arial"/>
          <w:sz w:val="22"/>
          <w:szCs w:val="22"/>
          <w:lang w:val="es-ES_tradnl"/>
        </w:rPr>
        <w:t xml:space="preserve"> de las Partes de la CMS y CITES han adoptado varias resoluciones y </w:t>
      </w:r>
      <w:r w:rsidRPr="00A407CB">
        <w:rPr>
          <w:rFonts w:cs="Arial"/>
          <w:sz w:val="22"/>
          <w:szCs w:val="22"/>
          <w:lang w:val="es-ES_tradnl"/>
        </w:rPr>
        <w:lastRenderedPageBreak/>
        <w:t xml:space="preserve">decisiones relativas a las </w:t>
      </w:r>
      <w:r w:rsidR="004536EA" w:rsidRPr="00A407CB">
        <w:rPr>
          <w:rFonts w:cs="Arial"/>
          <w:sz w:val="22"/>
          <w:szCs w:val="22"/>
          <w:lang w:val="es-ES_tradnl"/>
        </w:rPr>
        <w:t>cuatro</w:t>
      </w:r>
      <w:r w:rsidRPr="00A407CB">
        <w:rPr>
          <w:rFonts w:cs="Arial"/>
          <w:sz w:val="22"/>
          <w:szCs w:val="22"/>
          <w:lang w:val="es-ES_tradnl"/>
        </w:rPr>
        <w:t xml:space="preserve"> especies</w:t>
      </w:r>
      <w:r w:rsidR="00E97E8D" w:rsidRPr="00A407CB">
        <w:rPr>
          <w:rFonts w:cs="Arial"/>
          <w:sz w:val="22"/>
          <w:szCs w:val="22"/>
          <w:lang w:val="es-ES_tradnl"/>
        </w:rPr>
        <w:t xml:space="preserve"> que </w:t>
      </w:r>
      <w:r w:rsidR="00A93D89">
        <w:rPr>
          <w:rFonts w:cs="Arial"/>
          <w:sz w:val="22"/>
          <w:szCs w:val="22"/>
          <w:lang w:val="es-ES_tradnl"/>
        </w:rPr>
        <w:t>tratan</w:t>
      </w:r>
      <w:r w:rsidR="00E97E8D" w:rsidRPr="00A407CB">
        <w:rPr>
          <w:rFonts w:cs="Arial"/>
          <w:sz w:val="22"/>
          <w:szCs w:val="22"/>
          <w:lang w:val="es-ES_tradnl"/>
        </w:rPr>
        <w:t xml:space="preserve"> varios aspectos de </w:t>
      </w:r>
      <w:r w:rsidR="00A93D89">
        <w:rPr>
          <w:rFonts w:cs="Arial"/>
          <w:sz w:val="22"/>
          <w:szCs w:val="22"/>
          <w:lang w:val="es-ES_tradnl"/>
        </w:rPr>
        <w:t xml:space="preserve">la </w:t>
      </w:r>
      <w:r w:rsidR="00E97E8D" w:rsidRPr="00A407CB">
        <w:rPr>
          <w:rFonts w:cs="Arial"/>
          <w:sz w:val="22"/>
          <w:szCs w:val="22"/>
          <w:lang w:val="es-ES_tradnl"/>
        </w:rPr>
        <w:t xml:space="preserve">conservación y </w:t>
      </w:r>
      <w:r w:rsidR="00A93D89">
        <w:rPr>
          <w:rFonts w:cs="Arial"/>
          <w:sz w:val="22"/>
          <w:szCs w:val="22"/>
          <w:lang w:val="es-ES_tradnl"/>
        </w:rPr>
        <w:t xml:space="preserve">el </w:t>
      </w:r>
      <w:r w:rsidR="00E97E8D" w:rsidRPr="00A407CB">
        <w:rPr>
          <w:rFonts w:cs="Arial"/>
          <w:sz w:val="22"/>
          <w:szCs w:val="22"/>
          <w:lang w:val="es-ES_tradnl"/>
        </w:rPr>
        <w:t>comercio.</w:t>
      </w:r>
      <w:r w:rsidR="006C1AFD" w:rsidRPr="00A407CB">
        <w:rPr>
          <w:rFonts w:cs="Arial"/>
          <w:sz w:val="22"/>
          <w:szCs w:val="22"/>
          <w:lang w:val="es-ES_tradnl"/>
        </w:rPr>
        <w:t xml:space="preserve"> La decisi</w:t>
      </w:r>
      <w:r w:rsidR="00A93D89">
        <w:rPr>
          <w:rFonts w:cs="Arial"/>
          <w:sz w:val="22"/>
          <w:szCs w:val="22"/>
          <w:lang w:val="es-ES_tradnl"/>
        </w:rPr>
        <w:t xml:space="preserve">ón 17.241 de la CITES sobre el </w:t>
      </w:r>
      <w:r w:rsidR="00A93D89" w:rsidRPr="00A93D89">
        <w:rPr>
          <w:rFonts w:cs="Arial"/>
          <w:i/>
          <w:sz w:val="22"/>
          <w:szCs w:val="22"/>
          <w:lang w:val="es-ES_tradnl"/>
        </w:rPr>
        <w:t>L</w:t>
      </w:r>
      <w:r w:rsidR="006C1AFD" w:rsidRPr="00A93D89">
        <w:rPr>
          <w:rFonts w:cs="Arial"/>
          <w:i/>
          <w:sz w:val="22"/>
          <w:szCs w:val="22"/>
          <w:lang w:val="es-ES_tradnl"/>
        </w:rPr>
        <w:t>eó</w:t>
      </w:r>
      <w:r w:rsidR="00A93D89" w:rsidRPr="00A93D89">
        <w:rPr>
          <w:rFonts w:cs="Arial"/>
          <w:i/>
          <w:sz w:val="22"/>
          <w:szCs w:val="22"/>
          <w:lang w:val="es-ES_tradnl"/>
        </w:rPr>
        <w:t>n A</w:t>
      </w:r>
      <w:r w:rsidR="006C1AFD" w:rsidRPr="00A93D89">
        <w:rPr>
          <w:rFonts w:cs="Arial"/>
          <w:i/>
          <w:sz w:val="22"/>
          <w:szCs w:val="22"/>
          <w:lang w:val="es-ES_tradnl"/>
        </w:rPr>
        <w:t>fricano</w:t>
      </w:r>
      <w:r w:rsidR="006C1AFD" w:rsidRPr="00A407CB">
        <w:rPr>
          <w:rFonts w:cs="Arial"/>
          <w:sz w:val="22"/>
          <w:szCs w:val="22"/>
          <w:lang w:val="es-ES_tradnl"/>
        </w:rPr>
        <w:t xml:space="preserve"> (</w:t>
      </w:r>
      <w:r w:rsidR="006C1AFD" w:rsidRPr="00A407CB">
        <w:rPr>
          <w:rFonts w:cs="Arial"/>
          <w:i/>
          <w:sz w:val="22"/>
          <w:szCs w:val="22"/>
          <w:lang w:val="es-ES_tradnl"/>
        </w:rPr>
        <w:t>Panthera leo</w:t>
      </w:r>
      <w:r w:rsidR="006C1AFD" w:rsidRPr="00A407CB">
        <w:rPr>
          <w:rFonts w:cs="Arial"/>
          <w:sz w:val="22"/>
          <w:szCs w:val="22"/>
          <w:lang w:val="es-ES_tradnl"/>
        </w:rPr>
        <w:t xml:space="preserve">) </w:t>
      </w:r>
      <w:r w:rsidR="00A93D89">
        <w:rPr>
          <w:rFonts w:cs="Arial"/>
          <w:sz w:val="22"/>
          <w:szCs w:val="22"/>
          <w:lang w:val="es-ES_tradnl"/>
        </w:rPr>
        <w:t>pide</w:t>
      </w:r>
      <w:r w:rsidR="006C1AFD" w:rsidRPr="00A407CB">
        <w:rPr>
          <w:rFonts w:cs="Arial"/>
          <w:sz w:val="22"/>
          <w:szCs w:val="22"/>
          <w:lang w:val="es-ES_tradnl"/>
        </w:rPr>
        <w:t xml:space="preserve"> explícitamente</w:t>
      </w:r>
      <w:r w:rsidR="00A93D89">
        <w:rPr>
          <w:rFonts w:cs="Arial"/>
          <w:sz w:val="22"/>
          <w:szCs w:val="22"/>
          <w:lang w:val="es-ES_tradnl"/>
        </w:rPr>
        <w:t xml:space="preserve"> </w:t>
      </w:r>
      <w:r w:rsidR="006C1AFD" w:rsidRPr="00A407CB">
        <w:rPr>
          <w:rFonts w:cs="Arial"/>
          <w:sz w:val="22"/>
          <w:szCs w:val="22"/>
          <w:lang w:val="es-ES_tradnl"/>
        </w:rPr>
        <w:t xml:space="preserve">la cooperación entre la Secretaría de la CITES, </w:t>
      </w:r>
      <w:r w:rsidR="00A93D89">
        <w:rPr>
          <w:rFonts w:cs="Arial"/>
          <w:sz w:val="22"/>
          <w:szCs w:val="22"/>
          <w:lang w:val="es-ES_tradnl"/>
        </w:rPr>
        <w:t xml:space="preserve">la </w:t>
      </w:r>
      <w:r w:rsidR="006C1AFD" w:rsidRPr="00A407CB">
        <w:rPr>
          <w:rFonts w:cs="Arial"/>
          <w:sz w:val="22"/>
          <w:szCs w:val="22"/>
          <w:lang w:val="es-ES_tradnl"/>
        </w:rPr>
        <w:t>Secretaría de la CMS y la UICN</w:t>
      </w:r>
      <w:r w:rsidR="008B0A3E" w:rsidRPr="00A407CB">
        <w:rPr>
          <w:rFonts w:cs="Arial"/>
          <w:sz w:val="22"/>
          <w:szCs w:val="22"/>
          <w:lang w:val="es-ES_tradnl"/>
        </w:rPr>
        <w:t xml:space="preserve">, mientras que la decisión 17.236 de la CITES </w:t>
      </w:r>
      <w:r w:rsidR="00BC77B4">
        <w:rPr>
          <w:rFonts w:cs="Arial"/>
          <w:sz w:val="22"/>
          <w:szCs w:val="22"/>
          <w:lang w:val="es-ES_tradnl"/>
        </w:rPr>
        <w:t>pide</w:t>
      </w:r>
      <w:r w:rsidR="008B0A3E" w:rsidRPr="00A407CB">
        <w:rPr>
          <w:rFonts w:cs="Arial"/>
          <w:sz w:val="22"/>
          <w:szCs w:val="22"/>
          <w:lang w:val="es-ES_tradnl"/>
        </w:rPr>
        <w:t xml:space="preserve"> la cooperación con la Secretaría de la CMS y la decisión de CITES 17.237 </w:t>
      </w:r>
      <w:r w:rsidR="00BC77B4">
        <w:rPr>
          <w:rFonts w:cs="Arial"/>
          <w:sz w:val="22"/>
          <w:szCs w:val="22"/>
          <w:lang w:val="es-ES_tradnl"/>
        </w:rPr>
        <w:t>pide</w:t>
      </w:r>
      <w:r w:rsidR="008B0A3E" w:rsidRPr="00A407CB">
        <w:rPr>
          <w:rFonts w:cs="Arial"/>
          <w:sz w:val="22"/>
          <w:szCs w:val="22"/>
          <w:lang w:val="es-ES_tradnl"/>
        </w:rPr>
        <w:t xml:space="preserve"> la cooperación con la Secretaría de la CMS y la UICN.</w:t>
      </w:r>
      <w:r w:rsidR="00A407CB" w:rsidRPr="00A407CB">
        <w:rPr>
          <w:rFonts w:cs="Arial"/>
          <w:sz w:val="22"/>
          <w:szCs w:val="22"/>
          <w:lang w:val="es-ES_tradnl"/>
        </w:rPr>
        <w:t xml:space="preserve"> Se puede encontrar más información sobre el proceso relativo al desarrollo de las decisiones de la CITES sobre el león, adoptadas en la 17ª reunión de la Conferencia de las Partes de la CITES en el documento UNEP/CMS/COP12/Doc.24.3.5.</w:t>
      </w:r>
    </w:p>
    <w:p w14:paraId="1C26B2CB" w14:textId="77777777" w:rsidR="00AD7D37" w:rsidRPr="00FC653C" w:rsidRDefault="00AD7D37" w:rsidP="00AD7D37">
      <w:pPr>
        <w:contextualSpacing/>
        <w:jc w:val="both"/>
        <w:rPr>
          <w:rFonts w:cs="Arial"/>
          <w:sz w:val="22"/>
          <w:szCs w:val="22"/>
          <w:highlight w:val="yellow"/>
          <w:u w:val="single"/>
          <w:lang w:val="es-ES_tradnl"/>
        </w:rPr>
      </w:pPr>
    </w:p>
    <w:p w14:paraId="2F4D9887" w14:textId="7F8A43CA" w:rsidR="00DB3F72" w:rsidRPr="00DB3F72" w:rsidRDefault="00C74EA3" w:rsidP="00AD7D37">
      <w:pPr>
        <w:contextualSpacing/>
        <w:jc w:val="both"/>
        <w:rPr>
          <w:rFonts w:cs="Arial"/>
          <w:sz w:val="22"/>
          <w:szCs w:val="22"/>
          <w:u w:val="single"/>
          <w:lang w:val="es-ES_tradnl"/>
        </w:rPr>
      </w:pPr>
      <w:r>
        <w:rPr>
          <w:rFonts w:cs="Arial"/>
          <w:sz w:val="22"/>
          <w:szCs w:val="22"/>
          <w:u w:val="single"/>
          <w:lang w:val="es-ES_tradnl"/>
        </w:rPr>
        <w:t>Establecimiento de una iniciativa c</w:t>
      </w:r>
      <w:r w:rsidR="00DB3F72" w:rsidRPr="00DB3F72">
        <w:rPr>
          <w:rFonts w:cs="Arial"/>
          <w:sz w:val="22"/>
          <w:szCs w:val="22"/>
          <w:u w:val="single"/>
          <w:lang w:val="es-ES_tradnl"/>
        </w:rPr>
        <w:t>onjunta de la CMS y la CITES</w:t>
      </w:r>
      <w:r>
        <w:rPr>
          <w:rFonts w:cs="Arial"/>
          <w:sz w:val="22"/>
          <w:szCs w:val="22"/>
          <w:u w:val="single"/>
          <w:lang w:val="es-ES_tradnl"/>
        </w:rPr>
        <w:t xml:space="preserve"> para los carnívoros africanos</w:t>
      </w:r>
    </w:p>
    <w:p w14:paraId="5CEE414E" w14:textId="77777777" w:rsidR="00AD7D37" w:rsidRPr="00FC653C" w:rsidRDefault="00AD7D37" w:rsidP="00AD7D37">
      <w:pPr>
        <w:contextualSpacing/>
        <w:jc w:val="both"/>
        <w:rPr>
          <w:rFonts w:cs="Arial"/>
          <w:sz w:val="22"/>
          <w:szCs w:val="22"/>
          <w:highlight w:val="yellow"/>
          <w:lang w:val="es-ES_tradnl"/>
        </w:rPr>
      </w:pPr>
    </w:p>
    <w:p w14:paraId="1D468CEF" w14:textId="6C1CD79F" w:rsidR="008541BC" w:rsidRPr="00063B03" w:rsidRDefault="00063B03" w:rsidP="00353BE2">
      <w:pPr>
        <w:numPr>
          <w:ilvl w:val="0"/>
          <w:numId w:val="2"/>
        </w:numPr>
        <w:contextualSpacing/>
        <w:jc w:val="both"/>
        <w:rPr>
          <w:rFonts w:cs="Arial"/>
          <w:sz w:val="22"/>
          <w:szCs w:val="22"/>
          <w:lang w:val="es-ES_tradnl"/>
        </w:rPr>
      </w:pPr>
      <w:r w:rsidRPr="00063B03">
        <w:rPr>
          <w:rFonts w:cs="Arial"/>
          <w:sz w:val="22"/>
          <w:szCs w:val="22"/>
          <w:lang w:val="es-ES_tradnl"/>
        </w:rPr>
        <w:t xml:space="preserve">Con el fin de </w:t>
      </w:r>
      <w:r w:rsidR="0035045B">
        <w:rPr>
          <w:rFonts w:cs="Arial"/>
          <w:sz w:val="22"/>
          <w:szCs w:val="22"/>
          <w:lang w:val="es-ES_tradnl"/>
        </w:rPr>
        <w:t>aportar</w:t>
      </w:r>
      <w:r w:rsidRPr="00063B03">
        <w:rPr>
          <w:rFonts w:cs="Arial"/>
          <w:sz w:val="22"/>
          <w:szCs w:val="22"/>
          <w:lang w:val="es-ES_tradnl"/>
        </w:rPr>
        <w:t xml:space="preserve"> </w:t>
      </w:r>
      <w:r w:rsidR="00174555">
        <w:rPr>
          <w:rFonts w:cs="Arial"/>
          <w:sz w:val="22"/>
          <w:szCs w:val="22"/>
          <w:lang w:val="es-ES_tradnl"/>
        </w:rPr>
        <w:t xml:space="preserve">más coherencia a la implementación de las resoluciones </w:t>
      </w:r>
      <w:r w:rsidR="00050957">
        <w:rPr>
          <w:rFonts w:cs="Arial"/>
          <w:sz w:val="22"/>
          <w:szCs w:val="22"/>
          <w:lang w:val="es-ES_tradnl"/>
        </w:rPr>
        <w:t>y decisiones relativas a los carnívoros africanos</w:t>
      </w:r>
      <w:r w:rsidR="0035045B">
        <w:rPr>
          <w:rFonts w:cs="Arial"/>
          <w:sz w:val="22"/>
          <w:szCs w:val="22"/>
          <w:lang w:val="es-ES_tradnl"/>
        </w:rPr>
        <w:t xml:space="preserve"> mencionadas previamente</w:t>
      </w:r>
      <w:r w:rsidR="00050957">
        <w:rPr>
          <w:rFonts w:cs="Arial"/>
          <w:sz w:val="22"/>
          <w:szCs w:val="22"/>
          <w:lang w:val="es-ES_tradnl"/>
        </w:rPr>
        <w:t xml:space="preserve">, las Secretarías de las dos Convenciones, </w:t>
      </w:r>
      <w:r w:rsidR="0035045B">
        <w:rPr>
          <w:rFonts w:cs="Arial"/>
          <w:sz w:val="22"/>
          <w:szCs w:val="22"/>
          <w:lang w:val="es-ES_tradnl"/>
        </w:rPr>
        <w:t>en consonancia con el Programa de Trabajo C</w:t>
      </w:r>
      <w:r w:rsidR="00050957">
        <w:rPr>
          <w:rFonts w:cs="Arial"/>
          <w:sz w:val="22"/>
          <w:szCs w:val="22"/>
          <w:lang w:val="es-ES_tradnl"/>
        </w:rPr>
        <w:t>onjunto, decidieron proponer el establecimiento de una Iniciativa Conjunta</w:t>
      </w:r>
      <w:r w:rsidR="00DB6114">
        <w:rPr>
          <w:rFonts w:cs="Arial"/>
          <w:sz w:val="22"/>
          <w:szCs w:val="22"/>
          <w:lang w:val="es-ES_tradnl"/>
        </w:rPr>
        <w:t xml:space="preserve"> </w:t>
      </w:r>
      <w:r w:rsidR="0035045B">
        <w:rPr>
          <w:rFonts w:cs="Arial"/>
          <w:sz w:val="22"/>
          <w:szCs w:val="22"/>
          <w:lang w:val="es-ES_tradnl"/>
        </w:rPr>
        <w:t>de la CMS y CITES para los Carnívoros Africanos</w:t>
      </w:r>
      <w:r w:rsidR="00DB6114">
        <w:rPr>
          <w:rFonts w:cs="Arial"/>
          <w:sz w:val="22"/>
          <w:szCs w:val="22"/>
          <w:lang w:val="es-ES_tradnl"/>
        </w:rPr>
        <w:t xml:space="preserve">. El concepto </w:t>
      </w:r>
      <w:r w:rsidR="00DA036D">
        <w:rPr>
          <w:rFonts w:cs="Arial"/>
          <w:sz w:val="22"/>
          <w:szCs w:val="22"/>
          <w:lang w:val="es-ES_tradnl"/>
        </w:rPr>
        <w:t>de</w:t>
      </w:r>
      <w:r w:rsidR="00DB6114">
        <w:rPr>
          <w:rFonts w:cs="Arial"/>
          <w:sz w:val="22"/>
          <w:szCs w:val="22"/>
          <w:lang w:val="es-ES_tradnl"/>
        </w:rPr>
        <w:t xml:space="preserve"> la iniciativa, </w:t>
      </w:r>
      <w:r w:rsidR="00DA036D">
        <w:rPr>
          <w:rFonts w:cs="Arial"/>
          <w:sz w:val="22"/>
          <w:szCs w:val="22"/>
          <w:lang w:val="es-ES_tradnl"/>
        </w:rPr>
        <w:t>que</w:t>
      </w:r>
      <w:r w:rsidR="00DB6114">
        <w:rPr>
          <w:rFonts w:cs="Arial"/>
          <w:sz w:val="22"/>
          <w:szCs w:val="22"/>
          <w:lang w:val="es-ES_tradnl"/>
        </w:rPr>
        <w:t xml:space="preserve"> </w:t>
      </w:r>
      <w:r w:rsidR="00DA036D">
        <w:rPr>
          <w:rFonts w:cs="Arial"/>
          <w:sz w:val="22"/>
          <w:szCs w:val="22"/>
          <w:lang w:val="es-ES_tradnl"/>
        </w:rPr>
        <w:t>aparece</w:t>
      </w:r>
      <w:r w:rsidR="00DB6114">
        <w:rPr>
          <w:rFonts w:cs="Arial"/>
          <w:sz w:val="22"/>
          <w:szCs w:val="22"/>
          <w:lang w:val="es-ES_tradnl"/>
        </w:rPr>
        <w:t xml:space="preserve"> en el </w:t>
      </w:r>
      <w:r w:rsidR="00DA036D">
        <w:rPr>
          <w:rFonts w:cs="Arial"/>
          <w:sz w:val="22"/>
          <w:szCs w:val="22"/>
          <w:lang w:val="es-ES_tradnl"/>
        </w:rPr>
        <w:t>Anexo 1 de</w:t>
      </w:r>
      <w:r w:rsidR="00DB6114">
        <w:rPr>
          <w:rFonts w:cs="Arial"/>
          <w:sz w:val="22"/>
          <w:szCs w:val="22"/>
          <w:lang w:val="es-ES_tradnl"/>
        </w:rPr>
        <w:t xml:space="preserve"> este documento, ha sido preparado conjuntamente entre las dos secretarías </w:t>
      </w:r>
      <w:r w:rsidR="001E035A">
        <w:rPr>
          <w:rFonts w:cs="Arial"/>
          <w:sz w:val="22"/>
          <w:szCs w:val="22"/>
          <w:lang w:val="es-ES_tradnl"/>
        </w:rPr>
        <w:t xml:space="preserve">en estrecha colaboración con el Grupo de Especialistas en Felinos de la UICN. La iniciativa </w:t>
      </w:r>
      <w:r w:rsidR="00DA036D">
        <w:rPr>
          <w:rFonts w:cs="Arial"/>
          <w:sz w:val="22"/>
          <w:szCs w:val="22"/>
          <w:lang w:val="es-ES_tradnl"/>
        </w:rPr>
        <w:t>servirá</w:t>
      </w:r>
      <w:r w:rsidR="001E035A">
        <w:rPr>
          <w:rFonts w:cs="Arial"/>
          <w:sz w:val="22"/>
          <w:szCs w:val="22"/>
          <w:lang w:val="es-ES_tradnl"/>
        </w:rPr>
        <w:t xml:space="preserve"> para:</w:t>
      </w:r>
    </w:p>
    <w:p w14:paraId="758763FF" w14:textId="77777777" w:rsidR="00F457B2" w:rsidRPr="00FC653C" w:rsidRDefault="00F457B2" w:rsidP="00353BE2">
      <w:pPr>
        <w:pStyle w:val="ListParagraph"/>
        <w:jc w:val="both"/>
        <w:rPr>
          <w:rFonts w:cs="Arial"/>
          <w:sz w:val="22"/>
          <w:szCs w:val="22"/>
          <w:highlight w:val="yellow"/>
          <w:lang w:val="es-ES_tradnl"/>
        </w:rPr>
      </w:pPr>
    </w:p>
    <w:p w14:paraId="55EC590B" w14:textId="68D53DD7" w:rsidR="0070210B" w:rsidRPr="0070210B" w:rsidRDefault="0070210B" w:rsidP="00353BE2">
      <w:pPr>
        <w:numPr>
          <w:ilvl w:val="0"/>
          <w:numId w:val="14"/>
        </w:numPr>
        <w:contextualSpacing/>
        <w:jc w:val="both"/>
        <w:rPr>
          <w:rFonts w:cs="Arial"/>
          <w:sz w:val="22"/>
          <w:szCs w:val="22"/>
          <w:lang w:val="es-ES_tradnl"/>
        </w:rPr>
      </w:pPr>
      <w:r w:rsidRPr="0070210B">
        <w:rPr>
          <w:rFonts w:cs="Arial"/>
          <w:sz w:val="22"/>
          <w:szCs w:val="22"/>
          <w:lang w:val="es-ES_tradnl"/>
        </w:rPr>
        <w:t>Desarrollar programas de conservación</w:t>
      </w:r>
      <w:r w:rsidR="003F6D74">
        <w:rPr>
          <w:rFonts w:cs="Arial"/>
          <w:sz w:val="22"/>
          <w:szCs w:val="22"/>
          <w:lang w:val="es-ES_tradnl"/>
        </w:rPr>
        <w:t xml:space="preserve"> concretos, coordinados y sinérgicos para las cuatro especies de carnívoros, con proyectos locales </w:t>
      </w:r>
      <w:r w:rsidR="003972A6">
        <w:rPr>
          <w:rFonts w:cs="Arial"/>
          <w:sz w:val="22"/>
          <w:szCs w:val="22"/>
          <w:lang w:val="es-ES_tradnl"/>
        </w:rPr>
        <w:t>y regionales implementados en su</w:t>
      </w:r>
      <w:r w:rsidR="003F6D74">
        <w:rPr>
          <w:rFonts w:cs="Arial"/>
          <w:sz w:val="22"/>
          <w:szCs w:val="22"/>
          <w:lang w:val="es-ES_tradnl"/>
        </w:rPr>
        <w:t xml:space="preserve"> área de distribución </w:t>
      </w:r>
      <w:r w:rsidR="003972A6">
        <w:rPr>
          <w:rFonts w:cs="Arial"/>
          <w:sz w:val="22"/>
          <w:szCs w:val="22"/>
          <w:lang w:val="es-ES_tradnl"/>
        </w:rPr>
        <w:t>en África</w:t>
      </w:r>
      <w:r w:rsidR="003F6D74">
        <w:rPr>
          <w:rFonts w:cs="Arial"/>
          <w:sz w:val="22"/>
          <w:szCs w:val="22"/>
          <w:lang w:val="es-ES_tradnl"/>
        </w:rPr>
        <w:t>;</w:t>
      </w:r>
    </w:p>
    <w:p w14:paraId="2E6BEBA6" w14:textId="77777777" w:rsidR="0086264D" w:rsidRPr="00FC653C" w:rsidRDefault="0086264D" w:rsidP="0086264D">
      <w:pPr>
        <w:ind w:left="720"/>
        <w:contextualSpacing/>
        <w:jc w:val="both"/>
        <w:rPr>
          <w:rFonts w:cs="Arial"/>
          <w:sz w:val="22"/>
          <w:szCs w:val="22"/>
          <w:highlight w:val="yellow"/>
          <w:lang w:val="es-ES_tradnl"/>
        </w:rPr>
      </w:pPr>
    </w:p>
    <w:p w14:paraId="045D1025" w14:textId="7318BD21" w:rsidR="003F6D74" w:rsidRPr="001E5D40" w:rsidRDefault="003F6D74" w:rsidP="00353BE2">
      <w:pPr>
        <w:numPr>
          <w:ilvl w:val="0"/>
          <w:numId w:val="14"/>
        </w:numPr>
        <w:contextualSpacing/>
        <w:jc w:val="both"/>
        <w:rPr>
          <w:rFonts w:cs="Arial"/>
          <w:sz w:val="22"/>
          <w:szCs w:val="22"/>
          <w:lang w:val="es-ES_tradnl"/>
        </w:rPr>
      </w:pPr>
      <w:r w:rsidRPr="001E5D40">
        <w:rPr>
          <w:rFonts w:cs="Arial"/>
          <w:sz w:val="22"/>
          <w:szCs w:val="22"/>
          <w:lang w:val="es-ES_tradnl"/>
        </w:rPr>
        <w:t xml:space="preserve">Desarrollar </w:t>
      </w:r>
      <w:r w:rsidR="001E5D40" w:rsidRPr="001E5D40">
        <w:rPr>
          <w:rFonts w:cs="Arial"/>
          <w:sz w:val="22"/>
          <w:szCs w:val="22"/>
          <w:lang w:val="es-ES_tradnl"/>
        </w:rPr>
        <w:t>una guía para políticas y recomendaciones para los estados del área de distribució</w:t>
      </w:r>
      <w:r w:rsidR="00C66EB2">
        <w:rPr>
          <w:rFonts w:cs="Arial"/>
          <w:sz w:val="22"/>
          <w:szCs w:val="22"/>
          <w:lang w:val="es-ES_tradnl"/>
        </w:rPr>
        <w:t xml:space="preserve">n, la CITES y la CMS </w:t>
      </w:r>
      <w:r w:rsidR="006265EB">
        <w:rPr>
          <w:rFonts w:cs="Arial"/>
          <w:sz w:val="22"/>
          <w:szCs w:val="22"/>
          <w:lang w:val="es-ES_tradnl"/>
        </w:rPr>
        <w:t>en cuanto</w:t>
      </w:r>
      <w:r w:rsidR="00C66EB2">
        <w:rPr>
          <w:rFonts w:cs="Arial"/>
          <w:sz w:val="22"/>
          <w:szCs w:val="22"/>
          <w:lang w:val="es-ES_tradnl"/>
        </w:rPr>
        <w:t xml:space="preserve"> a las cuatro especies; y</w:t>
      </w:r>
    </w:p>
    <w:p w14:paraId="029834E8" w14:textId="77777777" w:rsidR="0086264D" w:rsidRPr="00FC653C" w:rsidRDefault="0086264D" w:rsidP="0086264D">
      <w:pPr>
        <w:pStyle w:val="ListParagraph"/>
        <w:rPr>
          <w:rFonts w:cs="Arial"/>
          <w:sz w:val="22"/>
          <w:szCs w:val="22"/>
          <w:highlight w:val="yellow"/>
          <w:lang w:val="es-ES_tradnl"/>
        </w:rPr>
      </w:pPr>
    </w:p>
    <w:p w14:paraId="26FF40BF" w14:textId="77A7A93E" w:rsidR="00C66EB2" w:rsidRPr="00C66EB2" w:rsidRDefault="00C66EB2" w:rsidP="00353BE2">
      <w:pPr>
        <w:numPr>
          <w:ilvl w:val="0"/>
          <w:numId w:val="14"/>
        </w:numPr>
        <w:contextualSpacing/>
        <w:jc w:val="both"/>
        <w:rPr>
          <w:rFonts w:cs="Arial"/>
          <w:sz w:val="22"/>
          <w:szCs w:val="22"/>
          <w:lang w:val="es-ES_tradnl"/>
        </w:rPr>
      </w:pPr>
      <w:r w:rsidRPr="00C66EB2">
        <w:rPr>
          <w:rFonts w:cs="Arial"/>
          <w:sz w:val="22"/>
          <w:szCs w:val="22"/>
          <w:lang w:val="es-ES_tradnl"/>
        </w:rPr>
        <w:t xml:space="preserve">Organizar la colaboración con otras iniciativas </w:t>
      </w:r>
      <w:r w:rsidR="00336BBE">
        <w:rPr>
          <w:rFonts w:cs="Arial"/>
          <w:sz w:val="22"/>
          <w:szCs w:val="22"/>
          <w:lang w:val="es-ES_tradnl"/>
        </w:rPr>
        <w:t xml:space="preserve">y organizaciones </w:t>
      </w:r>
      <w:r w:rsidR="006265EB" w:rsidRPr="00C66EB2">
        <w:rPr>
          <w:rFonts w:cs="Arial"/>
          <w:sz w:val="22"/>
          <w:szCs w:val="22"/>
          <w:lang w:val="es-ES_tradnl"/>
        </w:rPr>
        <w:t xml:space="preserve">de conservación </w:t>
      </w:r>
      <w:r w:rsidR="00336BBE">
        <w:rPr>
          <w:rFonts w:cs="Arial"/>
          <w:sz w:val="22"/>
          <w:szCs w:val="22"/>
          <w:lang w:val="es-ES_tradnl"/>
        </w:rPr>
        <w:t>como por ejemplo la UICN.</w:t>
      </w:r>
    </w:p>
    <w:p w14:paraId="3A503AA7" w14:textId="77777777" w:rsidR="00F457B2" w:rsidRPr="00FC653C" w:rsidRDefault="00F457B2" w:rsidP="00353BE2">
      <w:pPr>
        <w:ind w:left="360"/>
        <w:contextualSpacing/>
        <w:jc w:val="both"/>
        <w:rPr>
          <w:rFonts w:cs="Arial"/>
          <w:sz w:val="22"/>
          <w:szCs w:val="22"/>
          <w:highlight w:val="yellow"/>
          <w:lang w:val="es-ES_tradnl"/>
        </w:rPr>
      </w:pPr>
    </w:p>
    <w:p w14:paraId="61687C57" w14:textId="0BBBDC9D" w:rsidR="008978CF" w:rsidRPr="008978CF" w:rsidRDefault="00F90571" w:rsidP="00353BE2">
      <w:pPr>
        <w:numPr>
          <w:ilvl w:val="0"/>
          <w:numId w:val="2"/>
        </w:numPr>
        <w:contextualSpacing/>
        <w:jc w:val="both"/>
        <w:rPr>
          <w:rFonts w:cs="Arial"/>
          <w:sz w:val="22"/>
          <w:szCs w:val="22"/>
          <w:lang w:val="es-ES_tradnl"/>
        </w:rPr>
      </w:pPr>
      <w:r>
        <w:rPr>
          <w:rFonts w:cs="Arial"/>
          <w:sz w:val="22"/>
          <w:szCs w:val="22"/>
          <w:lang w:val="es-ES_tradnl"/>
        </w:rPr>
        <w:t>Se espera que e</w:t>
      </w:r>
      <w:r w:rsidR="008978CF" w:rsidRPr="008978CF">
        <w:rPr>
          <w:rFonts w:cs="Arial"/>
          <w:sz w:val="22"/>
          <w:szCs w:val="22"/>
          <w:lang w:val="es-ES_tradnl"/>
        </w:rPr>
        <w:t xml:space="preserve">l valor añadido </w:t>
      </w:r>
      <w:r>
        <w:rPr>
          <w:rFonts w:cs="Arial"/>
          <w:sz w:val="22"/>
          <w:szCs w:val="22"/>
          <w:lang w:val="es-ES_tradnl"/>
        </w:rPr>
        <w:t>al</w:t>
      </w:r>
      <w:r w:rsidR="008978CF" w:rsidRPr="008978CF">
        <w:rPr>
          <w:rFonts w:cs="Arial"/>
          <w:sz w:val="22"/>
          <w:szCs w:val="22"/>
          <w:lang w:val="es-ES_tradnl"/>
        </w:rPr>
        <w:t xml:space="preserve"> tratar las </w:t>
      </w:r>
      <w:r>
        <w:rPr>
          <w:rFonts w:cs="Arial"/>
          <w:sz w:val="22"/>
          <w:szCs w:val="22"/>
          <w:lang w:val="es-ES_tradnl"/>
        </w:rPr>
        <w:t>cuatro especies icónicas juntas</w:t>
      </w:r>
      <w:r w:rsidR="008978CF" w:rsidRPr="008978CF">
        <w:rPr>
          <w:rFonts w:cs="Arial"/>
          <w:sz w:val="22"/>
          <w:szCs w:val="22"/>
          <w:lang w:val="es-ES_tradnl"/>
        </w:rPr>
        <w:t xml:space="preserve"> y unir fuerzas </w:t>
      </w:r>
      <w:r w:rsidR="00D27EFA">
        <w:rPr>
          <w:rFonts w:cs="Arial"/>
          <w:sz w:val="22"/>
          <w:szCs w:val="22"/>
          <w:lang w:val="es-ES_tradnl"/>
        </w:rPr>
        <w:t xml:space="preserve">por parte </w:t>
      </w:r>
      <w:r w:rsidR="008978CF" w:rsidRPr="008978CF">
        <w:rPr>
          <w:rFonts w:cs="Arial"/>
          <w:sz w:val="22"/>
          <w:szCs w:val="22"/>
          <w:lang w:val="es-ES_tradnl"/>
        </w:rPr>
        <w:t xml:space="preserve">de la CMS y CITES en </w:t>
      </w:r>
      <w:r>
        <w:rPr>
          <w:rFonts w:cs="Arial"/>
          <w:sz w:val="22"/>
          <w:szCs w:val="22"/>
          <w:lang w:val="es-ES_tradnl"/>
        </w:rPr>
        <w:t>esta iniciativa</w:t>
      </w:r>
      <w:r w:rsidR="008978CF" w:rsidRPr="008978CF">
        <w:rPr>
          <w:rFonts w:cs="Arial"/>
          <w:sz w:val="22"/>
          <w:szCs w:val="22"/>
          <w:lang w:val="es-ES_tradnl"/>
        </w:rPr>
        <w:t xml:space="preserve"> sea múltiple </w:t>
      </w:r>
      <w:r>
        <w:rPr>
          <w:rFonts w:cs="Arial"/>
          <w:sz w:val="22"/>
          <w:szCs w:val="22"/>
          <w:lang w:val="es-ES_tradnl"/>
        </w:rPr>
        <w:t xml:space="preserve">e </w:t>
      </w:r>
      <w:r w:rsidR="008978CF" w:rsidRPr="008978CF">
        <w:rPr>
          <w:rFonts w:cs="Arial"/>
          <w:sz w:val="22"/>
          <w:szCs w:val="22"/>
          <w:lang w:val="es-ES_tradnl"/>
        </w:rPr>
        <w:t>incluya:</w:t>
      </w:r>
    </w:p>
    <w:p w14:paraId="5FE6E2ED" w14:textId="77777777" w:rsidR="004B7A6F" w:rsidRPr="006252FC" w:rsidRDefault="004B7A6F" w:rsidP="00353BE2">
      <w:pPr>
        <w:pStyle w:val="ListParagraph"/>
        <w:jc w:val="both"/>
        <w:rPr>
          <w:rFonts w:cs="Arial"/>
          <w:sz w:val="22"/>
          <w:szCs w:val="22"/>
          <w:lang w:val="es-ES_tradnl"/>
        </w:rPr>
      </w:pPr>
    </w:p>
    <w:p w14:paraId="4D06F7BF" w14:textId="4075D0C5" w:rsidR="006252FC" w:rsidRPr="006252FC" w:rsidRDefault="00687DF1" w:rsidP="00353BE2">
      <w:pPr>
        <w:numPr>
          <w:ilvl w:val="0"/>
          <w:numId w:val="13"/>
        </w:numPr>
        <w:contextualSpacing/>
        <w:jc w:val="both"/>
        <w:rPr>
          <w:rFonts w:cs="Arial"/>
          <w:sz w:val="22"/>
          <w:szCs w:val="22"/>
          <w:lang w:val="es-ES_tradnl"/>
        </w:rPr>
      </w:pPr>
      <w:r>
        <w:rPr>
          <w:rFonts w:cs="Arial"/>
          <w:sz w:val="22"/>
          <w:szCs w:val="22"/>
          <w:lang w:val="es-ES_tradnl"/>
        </w:rPr>
        <w:t xml:space="preserve">Más </w:t>
      </w:r>
      <w:r w:rsidR="00EC0BF8">
        <w:rPr>
          <w:rFonts w:cs="Arial"/>
          <w:sz w:val="22"/>
          <w:szCs w:val="22"/>
          <w:lang w:val="es-ES_tradnl"/>
        </w:rPr>
        <w:t>mecanismos</w:t>
      </w:r>
      <w:r w:rsidR="006252FC" w:rsidRPr="006252FC">
        <w:rPr>
          <w:rFonts w:cs="Arial"/>
          <w:sz w:val="22"/>
          <w:szCs w:val="22"/>
          <w:lang w:val="es-ES_tradnl"/>
        </w:rPr>
        <w:t xml:space="preserve"> de conservación para las cuatro especies </w:t>
      </w:r>
      <w:r w:rsidR="006D4038">
        <w:rPr>
          <w:rFonts w:cs="Arial"/>
          <w:sz w:val="22"/>
          <w:szCs w:val="22"/>
          <w:lang w:val="es-ES_tradnl"/>
        </w:rPr>
        <w:t>al aunar fondos y conocimientos técnicos</w:t>
      </w:r>
      <w:r w:rsidR="006252FC" w:rsidRPr="006252FC">
        <w:rPr>
          <w:rFonts w:cs="Arial"/>
          <w:sz w:val="22"/>
          <w:szCs w:val="22"/>
          <w:lang w:val="es-ES_tradnl"/>
        </w:rPr>
        <w:t>;</w:t>
      </w:r>
    </w:p>
    <w:p w14:paraId="08926549" w14:textId="77777777" w:rsidR="00324D76" w:rsidRPr="00FC653C" w:rsidRDefault="00324D76" w:rsidP="00353BE2">
      <w:pPr>
        <w:ind w:left="720"/>
        <w:contextualSpacing/>
        <w:jc w:val="both"/>
        <w:rPr>
          <w:rFonts w:cs="Arial"/>
          <w:sz w:val="22"/>
          <w:szCs w:val="22"/>
          <w:highlight w:val="yellow"/>
          <w:lang w:val="es-ES_tradnl"/>
        </w:rPr>
      </w:pPr>
    </w:p>
    <w:p w14:paraId="55D5379A" w14:textId="70D64FC2" w:rsidR="00892537" w:rsidRPr="00892537" w:rsidRDefault="00892537" w:rsidP="00353BE2">
      <w:pPr>
        <w:numPr>
          <w:ilvl w:val="0"/>
          <w:numId w:val="13"/>
        </w:numPr>
        <w:contextualSpacing/>
        <w:jc w:val="both"/>
        <w:rPr>
          <w:rFonts w:cs="Arial"/>
          <w:sz w:val="22"/>
          <w:szCs w:val="22"/>
          <w:lang w:val="es-ES_tradnl"/>
        </w:rPr>
      </w:pPr>
      <w:r w:rsidRPr="00892537">
        <w:rPr>
          <w:rFonts w:cs="Arial"/>
          <w:sz w:val="22"/>
          <w:szCs w:val="22"/>
          <w:lang w:val="es-ES_tradnl"/>
        </w:rPr>
        <w:t>Un</w:t>
      </w:r>
      <w:r w:rsidR="00985B29">
        <w:rPr>
          <w:rFonts w:cs="Arial"/>
          <w:sz w:val="22"/>
          <w:szCs w:val="22"/>
          <w:lang w:val="es-ES_tradnl"/>
        </w:rPr>
        <w:t>a</w:t>
      </w:r>
      <w:r w:rsidRPr="00892537">
        <w:rPr>
          <w:rFonts w:cs="Arial"/>
          <w:sz w:val="22"/>
          <w:szCs w:val="22"/>
          <w:lang w:val="es-ES_tradnl"/>
        </w:rPr>
        <w:t xml:space="preserve"> </w:t>
      </w:r>
      <w:r w:rsidR="00985B29">
        <w:rPr>
          <w:rFonts w:cs="Arial"/>
          <w:sz w:val="22"/>
          <w:szCs w:val="22"/>
          <w:lang w:val="es-ES_tradnl"/>
        </w:rPr>
        <w:t>utilización más equitativa</w:t>
      </w:r>
      <w:r w:rsidRPr="00892537">
        <w:rPr>
          <w:rFonts w:cs="Arial"/>
          <w:sz w:val="22"/>
          <w:szCs w:val="22"/>
          <w:lang w:val="es-ES_tradnl"/>
        </w:rPr>
        <w:t xml:space="preserve"> de los recursos entre las cuatros especies;</w:t>
      </w:r>
    </w:p>
    <w:p w14:paraId="2077A10F" w14:textId="77777777" w:rsidR="00324D76" w:rsidRPr="00FC653C" w:rsidRDefault="00324D76" w:rsidP="00353BE2">
      <w:pPr>
        <w:pStyle w:val="ListParagraph"/>
        <w:jc w:val="both"/>
        <w:rPr>
          <w:rFonts w:cs="Arial"/>
          <w:sz w:val="22"/>
          <w:szCs w:val="22"/>
          <w:highlight w:val="yellow"/>
          <w:lang w:val="es-ES_tradnl"/>
        </w:rPr>
      </w:pPr>
    </w:p>
    <w:p w14:paraId="63C545C6" w14:textId="6C498EA9" w:rsidR="00CE4A70" w:rsidRPr="00CE4A70" w:rsidRDefault="00CE4A70" w:rsidP="00353BE2">
      <w:pPr>
        <w:numPr>
          <w:ilvl w:val="0"/>
          <w:numId w:val="13"/>
        </w:numPr>
        <w:contextualSpacing/>
        <w:jc w:val="both"/>
        <w:rPr>
          <w:rFonts w:cs="Arial"/>
          <w:sz w:val="22"/>
          <w:szCs w:val="22"/>
          <w:lang w:val="es-ES_tradnl"/>
        </w:rPr>
      </w:pPr>
      <w:r w:rsidRPr="00CE4A70">
        <w:rPr>
          <w:rFonts w:cs="Arial"/>
          <w:sz w:val="22"/>
          <w:szCs w:val="22"/>
          <w:lang w:val="es-ES_tradnl"/>
        </w:rPr>
        <w:t>Evitar la duplicación de actividades y sus costes asociados;</w:t>
      </w:r>
    </w:p>
    <w:p w14:paraId="1A093E18" w14:textId="77777777" w:rsidR="00324D76" w:rsidRPr="00FC653C" w:rsidRDefault="00324D76" w:rsidP="00353BE2">
      <w:pPr>
        <w:pStyle w:val="ListParagraph"/>
        <w:jc w:val="both"/>
        <w:rPr>
          <w:rFonts w:cs="Arial"/>
          <w:sz w:val="22"/>
          <w:szCs w:val="22"/>
          <w:highlight w:val="yellow"/>
          <w:lang w:val="es-ES_tradnl"/>
        </w:rPr>
      </w:pPr>
    </w:p>
    <w:p w14:paraId="50E74098" w14:textId="764E5B51" w:rsidR="007B1A83" w:rsidRPr="00E2264A" w:rsidRDefault="00E2264A" w:rsidP="00353BE2">
      <w:pPr>
        <w:numPr>
          <w:ilvl w:val="0"/>
          <w:numId w:val="13"/>
        </w:numPr>
        <w:contextualSpacing/>
        <w:jc w:val="both"/>
        <w:rPr>
          <w:rFonts w:cs="Arial"/>
          <w:sz w:val="22"/>
          <w:szCs w:val="22"/>
          <w:lang w:val="es-ES_tradnl"/>
        </w:rPr>
      </w:pPr>
      <w:r w:rsidRPr="00E2264A">
        <w:rPr>
          <w:rFonts w:cs="Arial"/>
          <w:sz w:val="22"/>
          <w:szCs w:val="22"/>
          <w:lang w:val="es-ES_tradnl"/>
        </w:rPr>
        <w:t>A</w:t>
      </w:r>
      <w:r w:rsidR="007B1A83" w:rsidRPr="00E2264A">
        <w:rPr>
          <w:rFonts w:cs="Arial"/>
          <w:sz w:val="22"/>
          <w:szCs w:val="22"/>
          <w:lang w:val="es-ES_tradnl"/>
        </w:rPr>
        <w:t>poyo</w:t>
      </w:r>
      <w:r w:rsidRPr="00E2264A">
        <w:rPr>
          <w:rFonts w:cs="Arial"/>
          <w:sz w:val="22"/>
          <w:szCs w:val="22"/>
          <w:lang w:val="es-ES_tradnl"/>
        </w:rPr>
        <w:t xml:space="preserve"> coordinado y consolidado a los estados del área de distribución en la implementación de medidas de conservación;</w:t>
      </w:r>
    </w:p>
    <w:p w14:paraId="6468F624" w14:textId="77777777" w:rsidR="00324D76" w:rsidRPr="00FC653C" w:rsidRDefault="00324D76" w:rsidP="00353BE2">
      <w:pPr>
        <w:pStyle w:val="ListParagraph"/>
        <w:jc w:val="both"/>
        <w:rPr>
          <w:rFonts w:cs="Arial"/>
          <w:sz w:val="22"/>
          <w:szCs w:val="22"/>
          <w:highlight w:val="yellow"/>
          <w:lang w:val="es-ES_tradnl"/>
        </w:rPr>
      </w:pPr>
    </w:p>
    <w:p w14:paraId="666CB0E1" w14:textId="3DE13D06" w:rsidR="00CE2A9C" w:rsidRPr="00233DA3" w:rsidRDefault="00CE2A9C" w:rsidP="00353BE2">
      <w:pPr>
        <w:numPr>
          <w:ilvl w:val="0"/>
          <w:numId w:val="13"/>
        </w:numPr>
        <w:contextualSpacing/>
        <w:jc w:val="both"/>
        <w:rPr>
          <w:rFonts w:cs="Arial"/>
          <w:sz w:val="22"/>
          <w:szCs w:val="22"/>
          <w:lang w:val="es-ES_tradnl"/>
        </w:rPr>
      </w:pPr>
      <w:r w:rsidRPr="00233DA3">
        <w:rPr>
          <w:rFonts w:cs="Arial"/>
          <w:sz w:val="22"/>
          <w:szCs w:val="22"/>
          <w:lang w:val="es-ES_tradnl"/>
        </w:rPr>
        <w:t xml:space="preserve">Acciones de conservación más efectivas e inmediatas </w:t>
      </w:r>
      <w:r w:rsidR="00233DA3" w:rsidRPr="00233DA3">
        <w:rPr>
          <w:rFonts w:cs="Arial"/>
          <w:sz w:val="22"/>
          <w:szCs w:val="22"/>
          <w:lang w:val="es-ES_tradnl"/>
        </w:rPr>
        <w:t xml:space="preserve">en </w:t>
      </w:r>
      <w:r w:rsidR="001232DB">
        <w:rPr>
          <w:rFonts w:cs="Arial"/>
          <w:sz w:val="22"/>
          <w:szCs w:val="22"/>
          <w:lang w:val="es-ES_tradnl"/>
        </w:rPr>
        <w:t xml:space="preserve">todo </w:t>
      </w:r>
      <w:r w:rsidR="00233DA3" w:rsidRPr="00233DA3">
        <w:rPr>
          <w:rFonts w:cs="Arial"/>
          <w:sz w:val="22"/>
          <w:szCs w:val="22"/>
          <w:lang w:val="es-ES_tradnl"/>
        </w:rPr>
        <w:t>el área de distribución de las cuatro especies;</w:t>
      </w:r>
    </w:p>
    <w:p w14:paraId="06059E49" w14:textId="77777777" w:rsidR="00324D76" w:rsidRPr="00FC653C" w:rsidRDefault="00324D76" w:rsidP="00353BE2">
      <w:pPr>
        <w:pStyle w:val="ListParagraph"/>
        <w:jc w:val="both"/>
        <w:rPr>
          <w:rFonts w:cs="Arial"/>
          <w:sz w:val="22"/>
          <w:szCs w:val="22"/>
          <w:highlight w:val="yellow"/>
          <w:lang w:val="es-ES_tradnl"/>
        </w:rPr>
      </w:pPr>
    </w:p>
    <w:p w14:paraId="04EEE547" w14:textId="34DF3757" w:rsidR="001232DB" w:rsidRPr="001232DB" w:rsidRDefault="001232DB" w:rsidP="00353BE2">
      <w:pPr>
        <w:numPr>
          <w:ilvl w:val="0"/>
          <w:numId w:val="13"/>
        </w:numPr>
        <w:contextualSpacing/>
        <w:jc w:val="both"/>
        <w:rPr>
          <w:rFonts w:cs="Arial"/>
          <w:sz w:val="22"/>
          <w:szCs w:val="22"/>
          <w:lang w:val="es-ES_tradnl"/>
        </w:rPr>
      </w:pPr>
      <w:r w:rsidRPr="001232DB">
        <w:rPr>
          <w:rFonts w:cs="Arial"/>
          <w:sz w:val="22"/>
          <w:szCs w:val="22"/>
          <w:lang w:val="es-ES_tradnl"/>
        </w:rPr>
        <w:t>Estrategias de conservación sinérgicas y holísticas; y</w:t>
      </w:r>
    </w:p>
    <w:p w14:paraId="378307E1" w14:textId="77777777" w:rsidR="00324D76" w:rsidRPr="00FC653C" w:rsidRDefault="00324D76" w:rsidP="00353BE2">
      <w:pPr>
        <w:pStyle w:val="ListParagraph"/>
        <w:jc w:val="both"/>
        <w:rPr>
          <w:rFonts w:cs="Arial"/>
          <w:sz w:val="22"/>
          <w:szCs w:val="22"/>
          <w:highlight w:val="yellow"/>
          <w:lang w:val="es-ES_tradnl"/>
        </w:rPr>
      </w:pPr>
    </w:p>
    <w:p w14:paraId="6216FCDD" w14:textId="6450A615" w:rsidR="002968A5" w:rsidRPr="002968A5" w:rsidRDefault="002968A5" w:rsidP="00353BE2">
      <w:pPr>
        <w:numPr>
          <w:ilvl w:val="0"/>
          <w:numId w:val="13"/>
        </w:numPr>
        <w:contextualSpacing/>
        <w:jc w:val="both"/>
        <w:rPr>
          <w:rFonts w:cs="Arial"/>
          <w:sz w:val="22"/>
          <w:szCs w:val="22"/>
          <w:lang w:val="es-ES_tradnl"/>
        </w:rPr>
      </w:pPr>
      <w:r w:rsidRPr="002968A5">
        <w:rPr>
          <w:rFonts w:cs="Arial"/>
          <w:sz w:val="22"/>
          <w:szCs w:val="22"/>
          <w:lang w:val="es-ES_tradnl"/>
        </w:rPr>
        <w:t xml:space="preserve">Más oportunidades para que los donantes </w:t>
      </w:r>
      <w:r w:rsidR="00C206EF">
        <w:rPr>
          <w:rFonts w:cs="Arial"/>
          <w:sz w:val="22"/>
          <w:szCs w:val="22"/>
          <w:lang w:val="es-ES_tradnl"/>
        </w:rPr>
        <w:t>asignen</w:t>
      </w:r>
      <w:r w:rsidRPr="002968A5">
        <w:rPr>
          <w:rFonts w:cs="Arial"/>
          <w:sz w:val="22"/>
          <w:szCs w:val="22"/>
          <w:lang w:val="es-ES_tradnl"/>
        </w:rPr>
        <w:t xml:space="preserve"> recursos a acciones de conservación bien coordinadas reconocidas internacionalmente.</w:t>
      </w:r>
    </w:p>
    <w:p w14:paraId="6C9CCE18" w14:textId="77777777" w:rsidR="008B1DEE" w:rsidRDefault="008B1DEE" w:rsidP="00353BE2">
      <w:pPr>
        <w:pStyle w:val="ListParagraph"/>
        <w:ind w:left="360"/>
        <w:jc w:val="both"/>
        <w:rPr>
          <w:rFonts w:cs="Arial"/>
          <w:sz w:val="22"/>
          <w:szCs w:val="22"/>
          <w:highlight w:val="yellow"/>
          <w:lang w:val="es-ES_tradnl"/>
        </w:rPr>
      </w:pPr>
    </w:p>
    <w:p w14:paraId="113DF13E" w14:textId="77777777" w:rsidR="00D451A3" w:rsidRPr="00FC653C" w:rsidRDefault="00D451A3" w:rsidP="00353BE2">
      <w:pPr>
        <w:pStyle w:val="ListParagraph"/>
        <w:ind w:left="360"/>
        <w:jc w:val="both"/>
        <w:rPr>
          <w:rFonts w:cs="Arial"/>
          <w:sz w:val="22"/>
          <w:szCs w:val="22"/>
          <w:highlight w:val="yellow"/>
          <w:lang w:val="es-ES_tradnl"/>
        </w:rPr>
      </w:pPr>
    </w:p>
    <w:p w14:paraId="05C94BD9" w14:textId="11BCFF66" w:rsidR="00A35BFF" w:rsidRPr="00165AC6" w:rsidRDefault="00A35BFF" w:rsidP="00353BE2">
      <w:pPr>
        <w:pStyle w:val="ListParagraph"/>
        <w:numPr>
          <w:ilvl w:val="0"/>
          <w:numId w:val="2"/>
        </w:numPr>
        <w:jc w:val="both"/>
        <w:rPr>
          <w:rFonts w:cs="Arial"/>
          <w:sz w:val="22"/>
          <w:szCs w:val="22"/>
          <w:lang w:val="es-ES_tradnl"/>
        </w:rPr>
      </w:pPr>
      <w:r w:rsidRPr="000D4C37">
        <w:rPr>
          <w:rFonts w:cs="Arial"/>
          <w:sz w:val="22"/>
          <w:szCs w:val="22"/>
          <w:lang w:val="es-ES_tradnl"/>
        </w:rPr>
        <w:t xml:space="preserve">Este documento debe considerarse de manera conjunta con el documento UNEP/CMS/COP12/Doc.24.3.5 sobre la </w:t>
      </w:r>
      <w:r w:rsidR="004F6DE6" w:rsidRPr="006066DA">
        <w:rPr>
          <w:rFonts w:cs="Arial"/>
          <w:i/>
          <w:sz w:val="22"/>
          <w:szCs w:val="22"/>
          <w:lang w:val="es-ES_tradnl"/>
        </w:rPr>
        <w:t xml:space="preserve">Conservación y Gestión del León Africano, </w:t>
      </w:r>
      <w:r w:rsidR="004F6DE6" w:rsidRPr="006066DA">
        <w:rPr>
          <w:rFonts w:cs="Arial"/>
          <w:i/>
          <w:sz w:val="22"/>
          <w:szCs w:val="22"/>
          <w:u w:val="single"/>
          <w:lang w:val="es-ES_tradnl"/>
        </w:rPr>
        <w:t>Panthera leo</w:t>
      </w:r>
      <w:r w:rsidR="006066DA">
        <w:rPr>
          <w:rFonts w:cs="Arial"/>
          <w:sz w:val="22"/>
          <w:szCs w:val="22"/>
          <w:lang w:val="es-ES_tradnl"/>
        </w:rPr>
        <w:t xml:space="preserve">, que </w:t>
      </w:r>
      <w:r w:rsidR="00165AC6">
        <w:rPr>
          <w:rFonts w:cs="Arial"/>
          <w:sz w:val="22"/>
          <w:szCs w:val="22"/>
          <w:lang w:val="es-ES_tradnl"/>
        </w:rPr>
        <w:t>contiene</w:t>
      </w:r>
      <w:r w:rsidR="006066DA">
        <w:rPr>
          <w:rFonts w:cs="Arial"/>
          <w:sz w:val="22"/>
          <w:szCs w:val="22"/>
          <w:lang w:val="es-ES_tradnl"/>
        </w:rPr>
        <w:t xml:space="preserve"> un</w:t>
      </w:r>
      <w:r w:rsidR="004F6DE6" w:rsidRPr="000D4C37">
        <w:rPr>
          <w:rFonts w:cs="Arial"/>
          <w:sz w:val="22"/>
          <w:szCs w:val="22"/>
          <w:lang w:val="es-ES_tradnl"/>
        </w:rPr>
        <w:t xml:space="preserve"> </w:t>
      </w:r>
      <w:r w:rsidR="006066DA">
        <w:rPr>
          <w:rFonts w:cs="Arial"/>
          <w:sz w:val="22"/>
          <w:szCs w:val="22"/>
          <w:lang w:val="es-ES_tradnl"/>
        </w:rPr>
        <w:t>resumen</w:t>
      </w:r>
      <w:r w:rsidR="004F6DE6" w:rsidRPr="000D4C37">
        <w:rPr>
          <w:rFonts w:cs="Arial"/>
          <w:sz w:val="22"/>
          <w:szCs w:val="22"/>
          <w:lang w:val="es-ES_tradnl"/>
        </w:rPr>
        <w:t xml:space="preserve"> </w:t>
      </w:r>
      <w:r w:rsidR="00165AC6">
        <w:rPr>
          <w:rFonts w:cs="Arial"/>
          <w:sz w:val="22"/>
          <w:szCs w:val="22"/>
          <w:lang w:val="es-ES_tradnl"/>
        </w:rPr>
        <w:t>de la implementación de</w:t>
      </w:r>
      <w:r w:rsidR="004F6DE6" w:rsidRPr="000D4C37">
        <w:rPr>
          <w:rFonts w:cs="Arial"/>
          <w:sz w:val="22"/>
          <w:szCs w:val="22"/>
          <w:lang w:val="es-ES_tradnl"/>
        </w:rPr>
        <w:t xml:space="preserve"> la Resolución 11.32 de la CMS sobre la </w:t>
      </w:r>
      <w:r w:rsidR="004F6DE6" w:rsidRPr="00165AC6">
        <w:rPr>
          <w:rFonts w:cs="Arial"/>
          <w:i/>
          <w:sz w:val="22"/>
          <w:szCs w:val="22"/>
          <w:lang w:val="es-ES_tradnl"/>
        </w:rPr>
        <w:t>Conservación y gestión del león africano,</w:t>
      </w:r>
      <w:r w:rsidR="004F6DE6" w:rsidRPr="00165AC6">
        <w:rPr>
          <w:rFonts w:cs="Arial"/>
          <w:i/>
          <w:sz w:val="22"/>
          <w:szCs w:val="22"/>
          <w:u w:val="single"/>
          <w:lang w:val="es-ES_tradnl"/>
        </w:rPr>
        <w:t xml:space="preserve"> Panthera leo</w:t>
      </w:r>
      <w:r w:rsidR="004F6DE6" w:rsidRPr="00165AC6">
        <w:rPr>
          <w:rFonts w:cs="Arial"/>
          <w:sz w:val="22"/>
          <w:szCs w:val="22"/>
          <w:lang w:val="es-ES_tradnl"/>
        </w:rPr>
        <w:t xml:space="preserve"> y recomienda a las Partes adoptar las decisiones de la CITES sobre el león, </w:t>
      </w:r>
      <w:r w:rsidR="000B152A">
        <w:rPr>
          <w:rFonts w:cs="Arial"/>
          <w:sz w:val="22"/>
          <w:szCs w:val="22"/>
          <w:lang w:val="es-ES_tradnl"/>
        </w:rPr>
        <w:t>ya que son</w:t>
      </w:r>
      <w:r w:rsidR="00165AC6">
        <w:rPr>
          <w:rFonts w:cs="Arial"/>
          <w:sz w:val="22"/>
          <w:szCs w:val="22"/>
          <w:lang w:val="es-ES_tradnl"/>
        </w:rPr>
        <w:t xml:space="preserve"> relevantes para</w:t>
      </w:r>
      <w:r w:rsidR="004F6DE6" w:rsidRPr="00165AC6">
        <w:rPr>
          <w:rFonts w:cs="Arial"/>
          <w:sz w:val="22"/>
          <w:szCs w:val="22"/>
          <w:lang w:val="es-ES_tradnl"/>
        </w:rPr>
        <w:t xml:space="preserve"> la CMS.</w:t>
      </w:r>
    </w:p>
    <w:p w14:paraId="22B3743A" w14:textId="77777777" w:rsidR="00AB57B9" w:rsidRPr="00FC653C" w:rsidRDefault="00AB57B9" w:rsidP="00AB57B9">
      <w:pPr>
        <w:pStyle w:val="ListParagraph"/>
        <w:ind w:left="360"/>
        <w:jc w:val="both"/>
        <w:rPr>
          <w:rFonts w:cs="Arial"/>
          <w:sz w:val="22"/>
          <w:szCs w:val="22"/>
          <w:highlight w:val="yellow"/>
          <w:lang w:val="es-ES_tradnl"/>
        </w:rPr>
      </w:pPr>
    </w:p>
    <w:p w14:paraId="0739A9A8" w14:textId="73616D09" w:rsidR="00F87D16" w:rsidRPr="000D4C37" w:rsidRDefault="00F87D16" w:rsidP="00A82B66">
      <w:pPr>
        <w:pStyle w:val="ListParagraph"/>
        <w:numPr>
          <w:ilvl w:val="0"/>
          <w:numId w:val="2"/>
        </w:numPr>
        <w:jc w:val="both"/>
        <w:rPr>
          <w:rFonts w:cs="Arial"/>
          <w:sz w:val="22"/>
          <w:szCs w:val="22"/>
          <w:lang w:val="es-ES_tradnl"/>
        </w:rPr>
      </w:pPr>
      <w:r w:rsidRPr="000D4C37">
        <w:rPr>
          <w:rFonts w:cs="Arial"/>
          <w:sz w:val="22"/>
          <w:szCs w:val="22"/>
          <w:lang w:val="es-ES_tradnl"/>
        </w:rPr>
        <w:t>Además, la inclusión del león africano (</w:t>
      </w:r>
      <w:r w:rsidRPr="000D4C37">
        <w:rPr>
          <w:rFonts w:cs="Arial"/>
          <w:i/>
          <w:sz w:val="22"/>
          <w:szCs w:val="22"/>
          <w:lang w:val="es-ES_tradnl"/>
        </w:rPr>
        <w:t>Panthera leo</w:t>
      </w:r>
      <w:r w:rsidRPr="000D4C37">
        <w:rPr>
          <w:rFonts w:cs="Arial"/>
          <w:sz w:val="22"/>
          <w:szCs w:val="22"/>
          <w:lang w:val="es-ES_tradnl"/>
        </w:rPr>
        <w:t>) y el leopardo (</w:t>
      </w:r>
      <w:r w:rsidRPr="000D4C37">
        <w:rPr>
          <w:rFonts w:cs="Arial"/>
          <w:i/>
          <w:sz w:val="22"/>
          <w:szCs w:val="22"/>
          <w:lang w:val="es-ES_tradnl"/>
        </w:rPr>
        <w:t>Panthera pardus</w:t>
      </w:r>
      <w:r w:rsidRPr="000D4C37">
        <w:rPr>
          <w:rFonts w:cs="Arial"/>
          <w:sz w:val="22"/>
          <w:szCs w:val="22"/>
          <w:lang w:val="es-ES_tradnl"/>
        </w:rPr>
        <w:t>) desde la perspectiva de la CMS debería</w:t>
      </w:r>
      <w:r w:rsidR="000B6103">
        <w:rPr>
          <w:rFonts w:cs="Arial"/>
          <w:sz w:val="22"/>
          <w:szCs w:val="22"/>
          <w:lang w:val="es-ES_tradnl"/>
        </w:rPr>
        <w:t>n también ser consideradas</w:t>
      </w:r>
      <w:r w:rsidRPr="000D4C37">
        <w:rPr>
          <w:rFonts w:cs="Arial"/>
          <w:sz w:val="22"/>
          <w:szCs w:val="22"/>
          <w:lang w:val="es-ES_tradnl"/>
        </w:rPr>
        <w:t xml:space="preserve"> en combinación con las propuestas de inclusión para </w:t>
      </w:r>
      <w:r w:rsidRPr="000D4C37">
        <w:rPr>
          <w:rFonts w:cs="Arial"/>
          <w:i/>
          <w:sz w:val="22"/>
          <w:szCs w:val="22"/>
          <w:lang w:val="es-ES_tradnl"/>
        </w:rPr>
        <w:t>Panthera leo</w:t>
      </w:r>
      <w:r w:rsidRPr="000D4C37">
        <w:rPr>
          <w:rFonts w:cs="Arial"/>
          <w:sz w:val="22"/>
          <w:szCs w:val="22"/>
          <w:lang w:val="es-ES_tradnl"/>
        </w:rPr>
        <w:t xml:space="preserve"> and </w:t>
      </w:r>
      <w:r w:rsidRPr="000D4C37">
        <w:rPr>
          <w:rFonts w:cs="Arial"/>
          <w:i/>
          <w:sz w:val="22"/>
          <w:szCs w:val="22"/>
          <w:lang w:val="es-ES_tradnl"/>
        </w:rPr>
        <w:t>Panthera pardus</w:t>
      </w:r>
      <w:r w:rsidRPr="000D4C37">
        <w:rPr>
          <w:rFonts w:cs="Arial"/>
          <w:sz w:val="22"/>
          <w:szCs w:val="22"/>
          <w:lang w:val="es-ES_tradnl"/>
        </w:rPr>
        <w:t xml:space="preserve"> </w:t>
      </w:r>
      <w:r w:rsidR="000D4C37" w:rsidRPr="000D4C37">
        <w:rPr>
          <w:rFonts w:cs="Arial"/>
          <w:sz w:val="22"/>
          <w:szCs w:val="22"/>
          <w:lang w:val="es-ES_tradnl"/>
        </w:rPr>
        <w:t>presentadas a la COP12 de la CMS, mientras que las medidas de cons</w:t>
      </w:r>
      <w:r w:rsidR="00355DD0">
        <w:rPr>
          <w:rFonts w:cs="Arial"/>
          <w:sz w:val="22"/>
          <w:szCs w:val="22"/>
          <w:lang w:val="es-ES_tradnl"/>
        </w:rPr>
        <w:t xml:space="preserve">ervación relativas al guepardo </w:t>
      </w:r>
      <w:r w:rsidR="000D4C37" w:rsidRPr="000D4C37">
        <w:rPr>
          <w:rFonts w:eastAsiaTheme="minorHAnsi" w:cs="Arial"/>
          <w:bCs/>
          <w:sz w:val="22"/>
          <w:szCs w:val="22"/>
          <w:lang w:val="es-ES_tradnl"/>
        </w:rPr>
        <w:t>(</w:t>
      </w:r>
      <w:r w:rsidR="000D4C37" w:rsidRPr="000D4C37">
        <w:rPr>
          <w:rFonts w:eastAsiaTheme="minorHAnsi" w:cs="Arial"/>
          <w:bCs/>
          <w:i/>
          <w:sz w:val="22"/>
          <w:szCs w:val="22"/>
          <w:lang w:val="es-ES_tradnl"/>
        </w:rPr>
        <w:t>Acinonyx jubatus</w:t>
      </w:r>
      <w:r w:rsidR="000D4C37" w:rsidRPr="000D4C37">
        <w:rPr>
          <w:rFonts w:eastAsiaTheme="minorHAnsi" w:cs="Arial"/>
          <w:bCs/>
          <w:sz w:val="22"/>
          <w:szCs w:val="22"/>
          <w:lang w:val="es-ES_tradnl"/>
        </w:rPr>
        <w:t xml:space="preserve">) y </w:t>
      </w:r>
      <w:r w:rsidR="00355DD0">
        <w:rPr>
          <w:rFonts w:eastAsiaTheme="minorHAnsi" w:cs="Arial"/>
          <w:bCs/>
          <w:sz w:val="22"/>
          <w:szCs w:val="22"/>
          <w:lang w:val="es-ES_tradnl"/>
        </w:rPr>
        <w:t>al licaón</w:t>
      </w:r>
      <w:r w:rsidR="000D4C37" w:rsidRPr="000D4C37">
        <w:rPr>
          <w:rFonts w:eastAsiaTheme="minorHAnsi" w:cs="Arial"/>
          <w:bCs/>
          <w:sz w:val="22"/>
          <w:szCs w:val="22"/>
          <w:lang w:val="es-ES_tradnl"/>
        </w:rPr>
        <w:t xml:space="preserve"> </w:t>
      </w:r>
      <w:r w:rsidR="000D4C37" w:rsidRPr="000D4C37">
        <w:rPr>
          <w:rFonts w:eastAsiaTheme="minorHAnsi" w:cs="Arial"/>
          <w:bCs/>
          <w:i/>
          <w:sz w:val="22"/>
          <w:szCs w:val="22"/>
          <w:lang w:val="es-ES_tradnl"/>
        </w:rPr>
        <w:t>(Lycaon pictus</w:t>
      </w:r>
      <w:r w:rsidR="000D4C37" w:rsidRPr="000D4C37">
        <w:rPr>
          <w:rFonts w:eastAsiaTheme="minorHAnsi" w:cs="Arial"/>
          <w:bCs/>
          <w:sz w:val="22"/>
          <w:szCs w:val="22"/>
          <w:lang w:val="es-ES_tradnl"/>
        </w:rPr>
        <w:t xml:space="preserve">) deberían integrarse en este documento si </w:t>
      </w:r>
      <w:r w:rsidR="0007075D">
        <w:rPr>
          <w:rFonts w:eastAsiaTheme="minorHAnsi" w:cs="Arial"/>
          <w:bCs/>
          <w:sz w:val="22"/>
          <w:szCs w:val="22"/>
          <w:lang w:val="es-ES_tradnl"/>
        </w:rPr>
        <w:t xml:space="preserve">así </w:t>
      </w:r>
      <w:r w:rsidR="00383458">
        <w:rPr>
          <w:rFonts w:eastAsiaTheme="minorHAnsi" w:cs="Arial"/>
          <w:bCs/>
          <w:sz w:val="22"/>
          <w:szCs w:val="22"/>
          <w:lang w:val="es-ES_tradnl"/>
        </w:rPr>
        <w:t>surgiera</w:t>
      </w:r>
      <w:r w:rsidR="000D4C37" w:rsidRPr="000D4C37">
        <w:rPr>
          <w:rFonts w:eastAsiaTheme="minorHAnsi" w:cs="Arial"/>
          <w:bCs/>
          <w:sz w:val="22"/>
          <w:szCs w:val="22"/>
          <w:lang w:val="es-ES_tradnl"/>
        </w:rPr>
        <w:t xml:space="preserve"> </w:t>
      </w:r>
      <w:r w:rsidR="00355DD0">
        <w:rPr>
          <w:rFonts w:eastAsiaTheme="minorHAnsi" w:cs="Arial"/>
          <w:bCs/>
          <w:sz w:val="22"/>
          <w:szCs w:val="22"/>
          <w:lang w:val="es-ES_tradnl"/>
        </w:rPr>
        <w:t>en el</w:t>
      </w:r>
      <w:r w:rsidR="000D4C37" w:rsidRPr="000D4C37">
        <w:rPr>
          <w:rFonts w:eastAsiaTheme="minorHAnsi" w:cs="Arial"/>
          <w:bCs/>
          <w:sz w:val="22"/>
          <w:szCs w:val="22"/>
          <w:lang w:val="es-ES_tradnl"/>
        </w:rPr>
        <w:t xml:space="preserve"> proceso de acciones concertadas.</w:t>
      </w:r>
    </w:p>
    <w:p w14:paraId="62073981" w14:textId="77777777" w:rsidR="00AA70D6" w:rsidRPr="0014305A" w:rsidRDefault="00AA70D6" w:rsidP="0014305A">
      <w:pPr>
        <w:jc w:val="both"/>
        <w:rPr>
          <w:rFonts w:cs="Arial"/>
          <w:sz w:val="22"/>
          <w:szCs w:val="22"/>
          <w:highlight w:val="yellow"/>
          <w:lang w:val="es-ES_tradnl"/>
        </w:rPr>
      </w:pPr>
    </w:p>
    <w:p w14:paraId="732A319B" w14:textId="34BE0677" w:rsidR="0044388F" w:rsidRPr="0044388F" w:rsidRDefault="0044388F" w:rsidP="007910DD">
      <w:pPr>
        <w:rPr>
          <w:rFonts w:cs="Arial"/>
          <w:sz w:val="22"/>
          <w:szCs w:val="22"/>
          <w:u w:val="single"/>
          <w:lang w:val="es-ES_tradnl"/>
        </w:rPr>
      </w:pPr>
      <w:r w:rsidRPr="0044388F">
        <w:rPr>
          <w:rFonts w:cs="Arial"/>
          <w:sz w:val="22"/>
          <w:szCs w:val="22"/>
          <w:u w:val="single"/>
          <w:lang w:val="es-ES_tradnl"/>
        </w:rPr>
        <w:t>Acciones recomendadas</w:t>
      </w:r>
    </w:p>
    <w:p w14:paraId="14E54E98" w14:textId="77777777" w:rsidR="007910DD" w:rsidRPr="00FC653C" w:rsidRDefault="007910DD" w:rsidP="007910DD">
      <w:pPr>
        <w:rPr>
          <w:rFonts w:cs="Arial"/>
          <w:sz w:val="22"/>
          <w:szCs w:val="22"/>
          <w:highlight w:val="yellow"/>
          <w:lang w:val="es-ES_tradnl"/>
        </w:rPr>
      </w:pPr>
    </w:p>
    <w:p w14:paraId="05967EF0" w14:textId="1E88BF0A" w:rsidR="00905F69" w:rsidRPr="00905F69" w:rsidRDefault="00905F69" w:rsidP="00200759">
      <w:pPr>
        <w:numPr>
          <w:ilvl w:val="0"/>
          <w:numId w:val="2"/>
        </w:numPr>
        <w:jc w:val="both"/>
        <w:rPr>
          <w:rFonts w:cs="Arial"/>
          <w:sz w:val="22"/>
          <w:szCs w:val="22"/>
          <w:lang w:val="es-ES_tradnl"/>
        </w:rPr>
      </w:pPr>
      <w:r w:rsidRPr="00905F69">
        <w:rPr>
          <w:rFonts w:cs="Arial"/>
          <w:sz w:val="22"/>
          <w:szCs w:val="22"/>
          <w:lang w:val="es-ES_tradnl"/>
        </w:rPr>
        <w:t xml:space="preserve">Se recomienda a </w:t>
      </w:r>
      <w:r>
        <w:rPr>
          <w:rFonts w:cs="Arial"/>
          <w:sz w:val="22"/>
          <w:szCs w:val="22"/>
          <w:lang w:val="es-ES_tradnl"/>
        </w:rPr>
        <w:t>l</w:t>
      </w:r>
      <w:r w:rsidRPr="00905F69">
        <w:rPr>
          <w:rFonts w:cs="Arial"/>
          <w:sz w:val="22"/>
          <w:szCs w:val="22"/>
          <w:lang w:val="es-ES_tradnl"/>
        </w:rPr>
        <w:t>a Conferencia de las Partes que:</w:t>
      </w:r>
    </w:p>
    <w:p w14:paraId="211FFED2" w14:textId="77777777" w:rsidR="007910DD" w:rsidRPr="005C0763" w:rsidRDefault="007910DD" w:rsidP="007910DD">
      <w:pPr>
        <w:jc w:val="both"/>
        <w:rPr>
          <w:rFonts w:cs="Arial"/>
          <w:sz w:val="22"/>
          <w:szCs w:val="22"/>
          <w:lang w:val="es-ES_tradnl"/>
        </w:rPr>
      </w:pPr>
    </w:p>
    <w:p w14:paraId="039EDFB2" w14:textId="20991F23" w:rsidR="005C0763" w:rsidRPr="005C0763" w:rsidRDefault="007F1C8D" w:rsidP="0055272B">
      <w:pPr>
        <w:widowControl/>
        <w:numPr>
          <w:ilvl w:val="0"/>
          <w:numId w:val="3"/>
        </w:numPr>
        <w:autoSpaceDE/>
        <w:adjustRightInd/>
        <w:contextualSpacing/>
        <w:jc w:val="both"/>
        <w:rPr>
          <w:rFonts w:cs="Arial"/>
          <w:sz w:val="22"/>
          <w:szCs w:val="22"/>
          <w:lang w:val="es-ES_tradnl"/>
        </w:rPr>
      </w:pPr>
      <w:r>
        <w:rPr>
          <w:rFonts w:cs="Arial"/>
          <w:sz w:val="22"/>
          <w:szCs w:val="22"/>
          <w:lang w:val="es-ES_tradnl"/>
        </w:rPr>
        <w:t>Tome nota del documento “Iniciativa C</w:t>
      </w:r>
      <w:r w:rsidR="005C0763" w:rsidRPr="005C0763">
        <w:rPr>
          <w:rFonts w:cs="Arial"/>
          <w:sz w:val="22"/>
          <w:szCs w:val="22"/>
          <w:lang w:val="es-ES_tradnl"/>
        </w:rPr>
        <w:t xml:space="preserve">onjunta </w:t>
      </w:r>
      <w:r>
        <w:rPr>
          <w:rFonts w:cs="Arial"/>
          <w:sz w:val="22"/>
          <w:szCs w:val="22"/>
          <w:lang w:val="es-ES_tradnl"/>
        </w:rPr>
        <w:t>de la CMS y CITES para los</w:t>
      </w:r>
      <w:r w:rsidR="003862B8">
        <w:rPr>
          <w:rFonts w:cs="Arial"/>
          <w:sz w:val="22"/>
          <w:szCs w:val="22"/>
          <w:lang w:val="es-ES_tradnl"/>
        </w:rPr>
        <w:t xml:space="preserve"> Carnívoros Africanos de la CMS y la CITES” contenido en el Anexo 1 de este documento</w:t>
      </w:r>
      <w:r w:rsidR="005C0763" w:rsidRPr="005C0763">
        <w:rPr>
          <w:rFonts w:cs="Arial"/>
          <w:sz w:val="22"/>
          <w:szCs w:val="22"/>
          <w:lang w:val="es-ES_tradnl"/>
        </w:rPr>
        <w:t>;</w:t>
      </w:r>
    </w:p>
    <w:p w14:paraId="2BCBF769" w14:textId="77777777" w:rsidR="0055272B" w:rsidRPr="00FC653C" w:rsidRDefault="0055272B" w:rsidP="0055272B">
      <w:pPr>
        <w:widowControl/>
        <w:autoSpaceDE/>
        <w:adjustRightInd/>
        <w:ind w:left="1440"/>
        <w:contextualSpacing/>
        <w:jc w:val="both"/>
        <w:rPr>
          <w:rFonts w:cs="Arial"/>
          <w:sz w:val="22"/>
          <w:szCs w:val="22"/>
          <w:highlight w:val="yellow"/>
          <w:lang w:val="es-ES_tradnl"/>
        </w:rPr>
      </w:pPr>
    </w:p>
    <w:p w14:paraId="1A9971D4" w14:textId="19CCCDD0" w:rsidR="00BE118E" w:rsidRPr="00BE118E" w:rsidRDefault="00BE118E" w:rsidP="0055272B">
      <w:pPr>
        <w:widowControl/>
        <w:numPr>
          <w:ilvl w:val="0"/>
          <w:numId w:val="3"/>
        </w:numPr>
        <w:autoSpaceDE/>
        <w:adjustRightInd/>
        <w:contextualSpacing/>
        <w:jc w:val="both"/>
        <w:rPr>
          <w:rFonts w:cs="Arial"/>
          <w:sz w:val="22"/>
          <w:szCs w:val="22"/>
          <w:lang w:val="es-ES_tradnl"/>
        </w:rPr>
      </w:pPr>
      <w:r w:rsidRPr="00BE118E">
        <w:rPr>
          <w:rFonts w:cs="Arial"/>
          <w:sz w:val="22"/>
          <w:szCs w:val="22"/>
          <w:lang w:val="es-ES_tradnl"/>
        </w:rPr>
        <w:t xml:space="preserve">Adopte las propuestas de decisiones </w:t>
      </w:r>
      <w:r>
        <w:rPr>
          <w:rFonts w:cs="Arial"/>
          <w:sz w:val="22"/>
          <w:szCs w:val="22"/>
          <w:lang w:val="es-ES_tradnl"/>
        </w:rPr>
        <w:t>incluidas</w:t>
      </w:r>
      <w:r w:rsidRPr="00BE118E">
        <w:rPr>
          <w:rFonts w:cs="Arial"/>
          <w:sz w:val="22"/>
          <w:szCs w:val="22"/>
          <w:lang w:val="es-ES_tradnl"/>
        </w:rPr>
        <w:t xml:space="preserve"> en el Anexo 2 de este documento;</w:t>
      </w:r>
    </w:p>
    <w:p w14:paraId="71FF3E90" w14:textId="77777777" w:rsidR="007910DD" w:rsidRPr="00FC653C" w:rsidRDefault="007910DD" w:rsidP="004365E0">
      <w:pPr>
        <w:widowControl/>
        <w:autoSpaceDE/>
        <w:adjustRightInd/>
        <w:contextualSpacing/>
        <w:jc w:val="both"/>
        <w:rPr>
          <w:rFonts w:cs="Arial"/>
          <w:sz w:val="22"/>
          <w:szCs w:val="22"/>
          <w:lang w:val="es-ES_tradnl"/>
        </w:rPr>
      </w:pPr>
    </w:p>
    <w:p w14:paraId="68101C29" w14:textId="3A4CFAC6" w:rsidR="00E05D05" w:rsidRPr="00FC653C" w:rsidRDefault="00E05D05" w:rsidP="007910DD">
      <w:pPr>
        <w:widowControl/>
        <w:autoSpaceDE/>
        <w:adjustRightInd/>
        <w:jc w:val="right"/>
        <w:rPr>
          <w:rFonts w:cs="Arial"/>
          <w:sz w:val="22"/>
          <w:szCs w:val="22"/>
          <w:lang w:val="es-ES_tradnl"/>
        </w:rPr>
        <w:sectPr w:rsidR="00E05D05" w:rsidRPr="00FC653C" w:rsidSect="003A0E83">
          <w:headerReference w:type="even" r:id="rId20"/>
          <w:headerReference w:type="default" r:id="rId21"/>
          <w:headerReference w:type="first" r:id="rId22"/>
          <w:footerReference w:type="first" r:id="rId23"/>
          <w:endnotePr>
            <w:numFmt w:val="decimal"/>
          </w:endnotePr>
          <w:pgSz w:w="11905" w:h="16837" w:code="9"/>
          <w:pgMar w:top="1008" w:right="1411" w:bottom="1152" w:left="1411" w:header="432" w:footer="432" w:gutter="0"/>
          <w:cols w:space="720"/>
          <w:noEndnote/>
          <w:titlePg/>
          <w:docGrid w:linePitch="272"/>
        </w:sectPr>
      </w:pPr>
    </w:p>
    <w:p w14:paraId="4D1548DB" w14:textId="232501ED" w:rsidR="00E05D05" w:rsidRPr="00FA5354" w:rsidRDefault="00E05D05" w:rsidP="000374C1">
      <w:pPr>
        <w:autoSpaceDE/>
        <w:adjustRightInd/>
        <w:jc w:val="right"/>
        <w:rPr>
          <w:rFonts w:cs="Arial"/>
          <w:b/>
          <w:caps/>
          <w:sz w:val="22"/>
          <w:szCs w:val="22"/>
          <w:lang w:val="es-ES"/>
        </w:rPr>
      </w:pPr>
      <w:r w:rsidRPr="00FA5354">
        <w:rPr>
          <w:rFonts w:cs="Arial"/>
          <w:b/>
          <w:caps/>
          <w:sz w:val="22"/>
          <w:szCs w:val="22"/>
          <w:lang w:val="es-ES"/>
        </w:rPr>
        <w:lastRenderedPageBreak/>
        <w:t>ANEX</w:t>
      </w:r>
      <w:r w:rsidR="00FA5354">
        <w:rPr>
          <w:rFonts w:cs="Arial"/>
          <w:b/>
          <w:caps/>
          <w:sz w:val="22"/>
          <w:szCs w:val="22"/>
          <w:lang w:val="es-ES"/>
        </w:rPr>
        <w:t>o</w:t>
      </w:r>
      <w:r w:rsidRPr="00FA5354">
        <w:rPr>
          <w:rFonts w:cs="Arial"/>
          <w:b/>
          <w:caps/>
          <w:sz w:val="22"/>
          <w:szCs w:val="22"/>
          <w:lang w:val="es-ES"/>
        </w:rPr>
        <w:t xml:space="preserve"> </w:t>
      </w:r>
      <w:r w:rsidR="00421918" w:rsidRPr="00FA5354">
        <w:rPr>
          <w:rFonts w:cs="Arial"/>
          <w:b/>
          <w:caps/>
          <w:sz w:val="22"/>
          <w:szCs w:val="22"/>
          <w:lang w:val="es-ES"/>
        </w:rPr>
        <w:t>1</w:t>
      </w:r>
    </w:p>
    <w:p w14:paraId="4498CBFB" w14:textId="3C93E44A" w:rsidR="00E03C4D" w:rsidRDefault="00E03C4D" w:rsidP="000374C1">
      <w:pPr>
        <w:autoSpaceDE/>
        <w:adjustRightInd/>
        <w:jc w:val="both"/>
        <w:rPr>
          <w:rFonts w:cs="Arial"/>
          <w:b/>
          <w:caps/>
          <w:sz w:val="22"/>
          <w:szCs w:val="22"/>
          <w:lang w:val="es-ES"/>
        </w:rPr>
      </w:pPr>
    </w:p>
    <w:p w14:paraId="10A9B969" w14:textId="117E6F30" w:rsidR="00FA5354" w:rsidRDefault="00FA5354" w:rsidP="000374C1">
      <w:pPr>
        <w:autoSpaceDE/>
        <w:adjustRightInd/>
        <w:jc w:val="center"/>
        <w:rPr>
          <w:rFonts w:cs="Arial"/>
          <w:b/>
          <w:caps/>
          <w:sz w:val="22"/>
          <w:szCs w:val="22"/>
          <w:lang w:val="es-ES"/>
        </w:rPr>
      </w:pPr>
      <w:r w:rsidRPr="00831F25">
        <w:rPr>
          <w:rFonts w:eastAsiaTheme="minorHAnsi" w:cs="Arial"/>
          <w:b/>
          <w:noProof/>
          <w:sz w:val="22"/>
          <w:szCs w:val="22"/>
        </w:rPr>
        <w:drawing>
          <wp:inline distT="0" distB="0" distL="0" distR="0" wp14:anchorId="3A7C4C25" wp14:editId="4D81FAC3">
            <wp:extent cx="2329180" cy="774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29180" cy="774065"/>
                    </a:xfrm>
                    <a:prstGeom prst="rect">
                      <a:avLst/>
                    </a:prstGeom>
                    <a:noFill/>
                  </pic:spPr>
                </pic:pic>
              </a:graphicData>
            </a:graphic>
          </wp:inline>
        </w:drawing>
      </w:r>
    </w:p>
    <w:p w14:paraId="019A5311" w14:textId="639A9397" w:rsidR="00FA5354" w:rsidRDefault="00FA5354" w:rsidP="000374C1">
      <w:pPr>
        <w:autoSpaceDE/>
        <w:adjustRightInd/>
        <w:jc w:val="both"/>
        <w:rPr>
          <w:rFonts w:cs="Arial"/>
          <w:b/>
          <w:caps/>
          <w:sz w:val="22"/>
          <w:szCs w:val="22"/>
          <w:lang w:val="es-ES"/>
        </w:rPr>
      </w:pPr>
    </w:p>
    <w:p w14:paraId="57FAFADA" w14:textId="77777777" w:rsidR="00FA5354" w:rsidRPr="00FA5354" w:rsidRDefault="00FA5354" w:rsidP="000374C1">
      <w:pPr>
        <w:autoSpaceDE/>
        <w:autoSpaceDN/>
        <w:adjustRightInd/>
        <w:spacing w:after="160"/>
        <w:jc w:val="center"/>
        <w:rPr>
          <w:rFonts w:eastAsiaTheme="minorHAnsi" w:cs="Arial"/>
          <w:b/>
          <w:sz w:val="22"/>
          <w:szCs w:val="22"/>
          <w:lang w:val="es-ES_tradnl"/>
        </w:rPr>
      </w:pPr>
      <w:r w:rsidRPr="00FA5354">
        <w:rPr>
          <w:rFonts w:eastAsiaTheme="minorHAnsi" w:cs="Arial"/>
          <w:b/>
          <w:sz w:val="22"/>
          <w:szCs w:val="22"/>
          <w:lang w:val="es-ES_tradnl"/>
        </w:rPr>
        <w:t>INICIATIVA CONJUNTA CMS-CITES PARA LOS CARNÍVOROS AFRICANOS</w:t>
      </w:r>
    </w:p>
    <w:p w14:paraId="527656BC" w14:textId="77777777" w:rsidR="00FA5354" w:rsidRPr="00FA5354" w:rsidRDefault="00FA5354" w:rsidP="000374C1">
      <w:pPr>
        <w:numPr>
          <w:ilvl w:val="0"/>
          <w:numId w:val="33"/>
        </w:numPr>
        <w:autoSpaceDE/>
        <w:autoSpaceDN/>
        <w:adjustRightInd/>
        <w:spacing w:after="160"/>
        <w:rPr>
          <w:rFonts w:eastAsiaTheme="minorHAnsi" w:cs="Arial"/>
          <w:b/>
          <w:sz w:val="22"/>
          <w:szCs w:val="22"/>
          <w:lang w:val="es-ES_tradnl"/>
        </w:rPr>
      </w:pPr>
      <w:r w:rsidRPr="00FA5354">
        <w:rPr>
          <w:rFonts w:eastAsiaTheme="minorHAnsi" w:cs="Arial"/>
          <w:b/>
          <w:sz w:val="22"/>
          <w:szCs w:val="22"/>
          <w:lang w:val="es-ES_tradnl"/>
        </w:rPr>
        <w:t>Antecedentes</w:t>
      </w:r>
    </w:p>
    <w:p w14:paraId="20EA4676" w14:textId="77777777" w:rsidR="00FA5354" w:rsidRPr="00FA5354" w:rsidRDefault="00FA5354" w:rsidP="000374C1">
      <w:p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La Convención sobre el Comercio Internacional de Especies Amenazadas de Fauna y Flora Silvestres (CITES) y la Convención sobre la Conservación de las Especies Migratorias de Animales Silvestres (CMS) establecieron un programa de trabajo conjunto para 2015-2020 en el que se piden, entre otras cosas, “actividades conjuntas sobre especies compartidas y cuestiones de interés común”. También se estipula que las Secretarías de la CITES y la CMS “tratarán conjuntamente las cuestiones generales de interés común en materia de conservación y gestión de especies, tales como la promoción de la gestión regional de especies, la gestión comunitaria de recursos, el comercio no perjudicial y el uso sostenible, fomentando las buenas prácticas en materia de conservación y uso sostenible para especies compartidas, y el seguimiento de amenazas emergentes tales como el cambio climático”. Se establece igualmente que las Secretarías “responderán a todas las recomendaciones, resoluciones y decisiones pertinentes acordadas por las Partes o los Signatarios que tengan relación con el trabajo conjunto de la CITES y la CMS, incluyendo aquéllas resultantes de la aplicación de instrumentos de la CMS (p. ej., MdE</w:t>
      </w:r>
      <w:r w:rsidRPr="00FA5354">
        <w:rPr>
          <w:rFonts w:eastAsiaTheme="minorHAnsi" w:cs="Arial"/>
          <w:iCs/>
          <w:sz w:val="22"/>
          <w:szCs w:val="22"/>
          <w:lang w:val="es-ES_tradnl"/>
        </w:rPr>
        <w:t>).”</w:t>
      </w:r>
    </w:p>
    <w:p w14:paraId="569DE060" w14:textId="77777777" w:rsidR="00FA5354" w:rsidRPr="00FA5354" w:rsidRDefault="00FA5354" w:rsidP="000374C1">
      <w:p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Además, el programa de trabajo conjunto prevé actividades dirigidas a “garantizar una colaboración para la conservación y gestión de los grandes felinos, incluyendo lo siguiente: intercambio regular de información técnica y de otros tipos, asistencia a las reuniones mutuas, fomento de capacidad, recaudación conjunta de fondos y asistencia colectiva a los Estados del área de distribución según proceda” (Actividad B5) y a “intercambiar información sobre las diferencias en los criterios de inclusión de las especies en los respectivos Apéndices y las razones o justificaciones por las cuales éstas están incluidas para mejorar la coherencia entre las políticas establecidas por ambos tratados” (Actividad B20).</w:t>
      </w:r>
    </w:p>
    <w:p w14:paraId="01B5B5F8" w14:textId="77777777" w:rsidR="00FA5354" w:rsidRPr="00FA5354" w:rsidRDefault="00FA5354" w:rsidP="000374C1">
      <w:pPr>
        <w:autoSpaceDE/>
        <w:autoSpaceDN/>
        <w:adjustRightInd/>
        <w:spacing w:after="160"/>
        <w:jc w:val="both"/>
        <w:rPr>
          <w:rFonts w:eastAsiaTheme="minorHAnsi" w:cs="Arial"/>
          <w:bCs/>
          <w:sz w:val="22"/>
          <w:szCs w:val="22"/>
          <w:lang w:val="es-ES_tradnl"/>
        </w:rPr>
      </w:pPr>
      <w:r w:rsidRPr="00FA5354">
        <w:rPr>
          <w:rFonts w:eastAsiaTheme="minorHAnsi" w:cs="Arial"/>
          <w:bCs/>
          <w:sz w:val="22"/>
          <w:szCs w:val="22"/>
          <w:lang w:val="es-ES_tradnl"/>
        </w:rPr>
        <w:t>En la 17ª reunión de la Conferencia de las Partes en la CITES (COP17, Johannesburgo, 2016), las Partes acordaron medidas sobre la conservación de determinadas especies de carnívoros africanos, a saber el león africano (</w:t>
      </w:r>
      <w:r w:rsidRPr="00FA5354">
        <w:rPr>
          <w:rFonts w:eastAsiaTheme="minorHAnsi" w:cs="Arial"/>
          <w:bCs/>
          <w:i/>
          <w:iCs/>
          <w:sz w:val="22"/>
          <w:szCs w:val="22"/>
          <w:lang w:val="es-ES_tradnl"/>
        </w:rPr>
        <w:t>Panthera leo</w:t>
      </w:r>
      <w:r w:rsidRPr="00FA5354">
        <w:rPr>
          <w:rFonts w:eastAsiaTheme="minorHAnsi" w:cs="Arial"/>
          <w:bCs/>
          <w:sz w:val="22"/>
          <w:szCs w:val="22"/>
          <w:lang w:val="es-ES_tradnl"/>
        </w:rPr>
        <w:t>), el leopardo (</w:t>
      </w:r>
      <w:r w:rsidRPr="00FA5354">
        <w:rPr>
          <w:rFonts w:eastAsiaTheme="minorHAnsi" w:cs="Arial"/>
          <w:bCs/>
          <w:i/>
          <w:iCs/>
          <w:sz w:val="22"/>
          <w:szCs w:val="22"/>
          <w:lang w:val="es-ES_tradnl"/>
        </w:rPr>
        <w:t>Panthera pardus</w:t>
      </w:r>
      <w:r w:rsidRPr="00FA5354">
        <w:rPr>
          <w:rFonts w:eastAsiaTheme="minorHAnsi" w:cs="Arial"/>
          <w:bCs/>
          <w:sz w:val="22"/>
          <w:szCs w:val="22"/>
          <w:lang w:val="es-ES_tradnl"/>
        </w:rPr>
        <w:t>), el guepardo (</w:t>
      </w:r>
      <w:r w:rsidRPr="00FA5354">
        <w:rPr>
          <w:rFonts w:eastAsiaTheme="minorHAnsi" w:cs="Arial"/>
          <w:bCs/>
          <w:i/>
          <w:iCs/>
          <w:sz w:val="22"/>
          <w:szCs w:val="22"/>
          <w:lang w:val="es-ES_tradnl"/>
        </w:rPr>
        <w:t>Acinonyx jubatus</w:t>
      </w:r>
      <w:r w:rsidRPr="00FA5354">
        <w:rPr>
          <w:rFonts w:eastAsiaTheme="minorHAnsi" w:cs="Arial"/>
          <w:bCs/>
          <w:sz w:val="22"/>
          <w:szCs w:val="22"/>
          <w:lang w:val="es-ES_tradnl"/>
        </w:rPr>
        <w:t>) y el licaón (</w:t>
      </w:r>
      <w:r w:rsidRPr="00FA5354">
        <w:rPr>
          <w:rFonts w:eastAsiaTheme="minorHAnsi" w:cs="Arial"/>
          <w:bCs/>
          <w:i/>
          <w:iCs/>
          <w:sz w:val="22"/>
          <w:szCs w:val="22"/>
          <w:lang w:val="es-ES_tradnl"/>
        </w:rPr>
        <w:t>Lycaon pictus</w:t>
      </w:r>
      <w:r w:rsidRPr="00FA5354">
        <w:rPr>
          <w:rFonts w:eastAsiaTheme="minorHAnsi" w:cs="Arial"/>
          <w:bCs/>
          <w:sz w:val="22"/>
          <w:szCs w:val="22"/>
          <w:lang w:val="es-ES_tradnl"/>
        </w:rPr>
        <w:t>). La necesidad de actividades de conservación adicionales sobre el león, el guepardo y el licaón se reconoció en la 11ª reunión de la Conferencia de las Partes en la CMS (COP11, Quito, 2014).</w:t>
      </w:r>
      <w:r w:rsidRPr="00FA5354">
        <w:rPr>
          <w:rFonts w:eastAsiaTheme="minorHAnsi"/>
          <w:bCs/>
          <w:sz w:val="22"/>
          <w:szCs w:val="22"/>
          <w:vertAlign w:val="superscript"/>
          <w:lang w:val="es-ES_tradnl"/>
        </w:rPr>
        <w:footnoteReference w:id="1"/>
      </w:r>
      <w:r w:rsidRPr="00FA5354">
        <w:rPr>
          <w:rFonts w:eastAsiaTheme="minorHAnsi" w:cs="Arial"/>
          <w:bCs/>
          <w:sz w:val="22"/>
          <w:szCs w:val="22"/>
          <w:lang w:val="es-ES_tradnl"/>
        </w:rPr>
        <w:t xml:space="preserve"> La 45ª reunión del Comité Permanente de la CMS (Bonn, noviembre de 2016) hizo suyas las decisiones de la COP17 de la CITES sobre el león y el licaón. En consonancia con el programa de trabajo conjunto y a fin de aprovechar las sinergias, la Iniciativa conjunta CMS-CITES para los carnívoros africanos pretende aplicar conjuntamente las resoluciones y decisiones adoptadas por las COP de la CITES y la CMS. </w:t>
      </w:r>
    </w:p>
    <w:p w14:paraId="33129E92" w14:textId="77777777" w:rsidR="00FA5354" w:rsidRPr="00FA5354" w:rsidRDefault="00FA5354" w:rsidP="000374C1">
      <w:pPr>
        <w:numPr>
          <w:ilvl w:val="0"/>
          <w:numId w:val="33"/>
        </w:numPr>
        <w:autoSpaceDE/>
        <w:autoSpaceDN/>
        <w:adjustRightInd/>
        <w:spacing w:after="160"/>
        <w:rPr>
          <w:rFonts w:eastAsiaTheme="minorHAnsi" w:cs="Arial"/>
          <w:b/>
          <w:sz w:val="22"/>
          <w:szCs w:val="22"/>
          <w:lang w:val="es-ES_tradnl"/>
        </w:rPr>
      </w:pPr>
      <w:r w:rsidRPr="00FA5354">
        <w:rPr>
          <w:rFonts w:eastAsiaTheme="minorHAnsi" w:cs="Arial"/>
          <w:b/>
          <w:sz w:val="22"/>
          <w:szCs w:val="22"/>
          <w:lang w:val="es-ES_tradnl"/>
        </w:rPr>
        <w:t>Condición de las cuatro especies en la CMS y la CITES</w:t>
      </w:r>
    </w:p>
    <w:p w14:paraId="6C5A18B6" w14:textId="77777777" w:rsidR="00FA5354" w:rsidRPr="00FA5354" w:rsidRDefault="00FA5354" w:rsidP="000374C1">
      <w:pPr>
        <w:autoSpaceDE/>
        <w:autoSpaceDN/>
        <w:adjustRightInd/>
        <w:spacing w:after="160"/>
        <w:jc w:val="lowKashida"/>
        <w:rPr>
          <w:rFonts w:eastAsiaTheme="minorHAnsi" w:cs="Arial"/>
          <w:sz w:val="22"/>
          <w:szCs w:val="22"/>
          <w:lang w:val="es-ES_tradnl"/>
        </w:rPr>
      </w:pPr>
      <w:r w:rsidRPr="00FA5354">
        <w:rPr>
          <w:rFonts w:eastAsiaTheme="minorHAnsi" w:cs="Arial"/>
          <w:sz w:val="22"/>
          <w:szCs w:val="22"/>
          <w:lang w:val="es-ES_tradnl"/>
        </w:rPr>
        <w:t>Las cuatro especies han sido examinadas por las Conferencias de las Partes de la CMS y la CITES ya sea por estar incluidas en los Apéndices de estas convenciones o porque la Conferencia de las Partes adoptó decisiones específicas reconociendo la necesidad de prestar atención a esas especies:</w:t>
      </w:r>
    </w:p>
    <w:p w14:paraId="5772EE82" w14:textId="77777777" w:rsidR="00FA5354" w:rsidRPr="00FA5354" w:rsidRDefault="00FA5354" w:rsidP="000374C1">
      <w:pPr>
        <w:numPr>
          <w:ilvl w:val="0"/>
          <w:numId w:val="18"/>
        </w:numPr>
        <w:autoSpaceDE/>
        <w:autoSpaceDN/>
        <w:adjustRightInd/>
        <w:spacing w:after="160"/>
        <w:rPr>
          <w:rFonts w:eastAsiaTheme="minorHAnsi" w:cs="Arial"/>
          <w:sz w:val="22"/>
          <w:szCs w:val="22"/>
          <w:lang w:val="es-ES_tradnl"/>
        </w:rPr>
      </w:pPr>
      <w:r w:rsidRPr="00FA5354">
        <w:rPr>
          <w:rFonts w:eastAsiaTheme="minorHAnsi" w:cs="Arial"/>
          <w:b/>
          <w:bCs/>
          <w:sz w:val="22"/>
          <w:szCs w:val="22"/>
          <w:lang w:val="es-ES_tradnl"/>
        </w:rPr>
        <w:lastRenderedPageBreak/>
        <w:t>León africano (</w:t>
      </w:r>
      <w:r w:rsidRPr="00FA5354">
        <w:rPr>
          <w:rFonts w:eastAsiaTheme="minorHAnsi" w:cs="Arial"/>
          <w:b/>
          <w:bCs/>
          <w:i/>
          <w:sz w:val="22"/>
          <w:szCs w:val="22"/>
          <w:lang w:val="es-ES_tradnl"/>
        </w:rPr>
        <w:t>Panthera leo</w:t>
      </w:r>
      <w:r w:rsidRPr="00FA5354">
        <w:rPr>
          <w:rFonts w:eastAsiaTheme="minorHAnsi" w:cs="Arial"/>
          <w:b/>
          <w:bCs/>
          <w:sz w:val="22"/>
          <w:szCs w:val="22"/>
          <w:lang w:val="es-ES_tradnl"/>
        </w:rPr>
        <w:t>)</w:t>
      </w:r>
    </w:p>
    <w:p w14:paraId="6F34DCBF" w14:textId="77777777" w:rsidR="00FA5354" w:rsidRPr="00FA5354" w:rsidRDefault="00FA5354" w:rsidP="000374C1">
      <w:pPr>
        <w:autoSpaceDE/>
        <w:autoSpaceDN/>
        <w:adjustRightInd/>
        <w:spacing w:after="160"/>
        <w:ind w:left="360"/>
        <w:jc w:val="both"/>
        <w:rPr>
          <w:rFonts w:eastAsiaTheme="minorHAnsi" w:cs="Arial"/>
          <w:sz w:val="22"/>
          <w:szCs w:val="22"/>
          <w:lang w:val="es-ES_tradnl"/>
        </w:rPr>
      </w:pPr>
      <w:r w:rsidRPr="00FA5354">
        <w:rPr>
          <w:rFonts w:eastAsiaTheme="minorHAnsi" w:cs="Arial"/>
          <w:iCs/>
          <w:sz w:val="22"/>
          <w:szCs w:val="22"/>
          <w:u w:val="single"/>
          <w:lang w:val="es-ES_tradnl"/>
        </w:rPr>
        <w:t>CITES</w:t>
      </w:r>
      <w:r w:rsidRPr="00FA5354">
        <w:rPr>
          <w:rFonts w:eastAsiaTheme="minorHAnsi" w:cs="Arial"/>
          <w:sz w:val="22"/>
          <w:szCs w:val="22"/>
          <w:lang w:val="es-ES_tradnl"/>
        </w:rPr>
        <w:t>: Incluido en el Apéndice II de la CITES desde 1977. En la COP17, se modificó la inclusión en el Apéndice II con la siguiente anotación: “</w:t>
      </w:r>
      <w:r w:rsidRPr="00FA5354">
        <w:rPr>
          <w:rFonts w:eastAsiaTheme="minorHAnsi" w:cs="Arial"/>
          <w:i/>
          <w:iCs/>
          <w:sz w:val="22"/>
          <w:szCs w:val="22"/>
          <w:lang w:val="es-ES_tradnl"/>
        </w:rPr>
        <w:t>Panthera leo</w:t>
      </w:r>
      <w:r w:rsidRPr="00FA5354">
        <w:rPr>
          <w:rFonts w:eastAsiaTheme="minorHAnsi" w:cs="Arial"/>
          <w:sz w:val="22"/>
          <w:szCs w:val="22"/>
          <w:lang w:val="es-ES_tradnl"/>
        </w:rPr>
        <w:t xml:space="preserve"> (poblaciones africanas): se establece un cupo de exportación anual nulo para especímenes de huesos, trozos de hueso, productos de hueso, garras, esqueletos, cráneos y dientes extraídos del medio silvestre y comercializados con fines comerciales. Se establecerán cupos de exportación anual para especímenes de hueso, trozos de hueso, productos de hueso, garras, esqueletos, cráneos y dientes con fines comerciales derivados de establecientes de cría en cautividad en Sudáfrica y se comunicarán anualmente a la Secretaría CITES”. </w:t>
      </w:r>
    </w:p>
    <w:p w14:paraId="5A057E53" w14:textId="77777777" w:rsidR="00FA5354" w:rsidRPr="00FA5354" w:rsidRDefault="00FA5354" w:rsidP="000374C1">
      <w:pPr>
        <w:autoSpaceDE/>
        <w:autoSpaceDN/>
        <w:adjustRightInd/>
        <w:spacing w:after="160"/>
        <w:ind w:left="360"/>
        <w:jc w:val="both"/>
        <w:rPr>
          <w:rFonts w:eastAsiaTheme="minorHAnsi" w:cs="Arial"/>
          <w:sz w:val="22"/>
          <w:szCs w:val="22"/>
          <w:lang w:val="es-ES_tradnl"/>
        </w:rPr>
      </w:pPr>
      <w:r w:rsidRPr="00FA5354">
        <w:rPr>
          <w:rFonts w:eastAsiaTheme="minorHAnsi" w:cs="Arial"/>
          <w:sz w:val="22"/>
          <w:szCs w:val="22"/>
          <w:lang w:val="es-ES_tradnl"/>
        </w:rPr>
        <w:t xml:space="preserve">La COP17 adoptó las decisiones 17.241 a 17.245 y la Decisión 17.313 sobre el león africano. </w:t>
      </w:r>
    </w:p>
    <w:p w14:paraId="1FCC2892" w14:textId="77777777" w:rsidR="00FA5354" w:rsidRPr="00FA5354" w:rsidRDefault="00FA5354" w:rsidP="000374C1">
      <w:pPr>
        <w:autoSpaceDE/>
        <w:autoSpaceDN/>
        <w:adjustRightInd/>
        <w:spacing w:after="160"/>
        <w:ind w:left="720"/>
        <w:jc w:val="both"/>
        <w:rPr>
          <w:rFonts w:eastAsiaTheme="minorHAnsi" w:cs="Arial"/>
          <w:sz w:val="22"/>
          <w:szCs w:val="22"/>
          <w:lang w:val="es-ES_tradnl"/>
        </w:rPr>
      </w:pPr>
      <w:r w:rsidRPr="00FA5354">
        <w:rPr>
          <w:rFonts w:eastAsiaTheme="minorHAnsi" w:cs="Arial"/>
          <w:sz w:val="22"/>
          <w:szCs w:val="22"/>
          <w:lang w:val="es-ES_tradnl"/>
        </w:rPr>
        <w:t xml:space="preserve">(Nota: la población asiática del león, </w:t>
      </w:r>
      <w:r w:rsidRPr="00FA5354">
        <w:rPr>
          <w:rFonts w:eastAsiaTheme="minorHAnsi" w:cs="Arial"/>
          <w:i/>
          <w:iCs/>
          <w:sz w:val="22"/>
          <w:szCs w:val="22"/>
          <w:lang w:val="es-ES_tradnl"/>
        </w:rPr>
        <w:t>Panthera leo persica</w:t>
      </w:r>
      <w:r w:rsidRPr="00FA5354">
        <w:rPr>
          <w:rFonts w:eastAsiaTheme="minorHAnsi" w:cs="Arial"/>
          <w:sz w:val="22"/>
          <w:szCs w:val="22"/>
          <w:lang w:val="es-ES_tradnl"/>
        </w:rPr>
        <w:t xml:space="preserve">, está incluida en el Apéndice I y es objeto de la Resolución Conf. 12.5 (Rev. COP17) sobre </w:t>
      </w:r>
      <w:r w:rsidRPr="00FA5354">
        <w:rPr>
          <w:rFonts w:eastAsiaTheme="minorHAnsi" w:cs="Arial"/>
          <w:i/>
          <w:iCs/>
          <w:sz w:val="22"/>
          <w:szCs w:val="22"/>
          <w:lang w:val="es-ES_tradnl"/>
        </w:rPr>
        <w:t>Conservación y comercio de tigres y otras especies de grandes felinos asiáticos incluidos en el Apéndice I</w:t>
      </w:r>
      <w:r w:rsidRPr="00FA5354">
        <w:rPr>
          <w:rFonts w:eastAsiaTheme="minorHAnsi" w:cs="Arial"/>
          <w:iCs/>
          <w:sz w:val="22"/>
          <w:szCs w:val="22"/>
          <w:lang w:val="es-ES_tradnl"/>
        </w:rPr>
        <w:t>).</w:t>
      </w:r>
    </w:p>
    <w:p w14:paraId="763D2A86" w14:textId="77777777" w:rsidR="00FA5354" w:rsidRPr="00FA5354" w:rsidRDefault="00FA5354" w:rsidP="000374C1">
      <w:pPr>
        <w:autoSpaceDE/>
        <w:autoSpaceDN/>
        <w:adjustRightInd/>
        <w:spacing w:after="160"/>
        <w:ind w:left="357"/>
        <w:jc w:val="both"/>
        <w:rPr>
          <w:rFonts w:eastAsiaTheme="minorHAnsi" w:cs="Arial"/>
          <w:sz w:val="22"/>
          <w:szCs w:val="22"/>
          <w:lang w:val="es-ES_tradnl"/>
        </w:rPr>
      </w:pPr>
      <w:r w:rsidRPr="00FA5354">
        <w:rPr>
          <w:rFonts w:eastAsiaTheme="minorHAnsi" w:cs="Arial"/>
          <w:iCs/>
          <w:sz w:val="22"/>
          <w:szCs w:val="22"/>
          <w:u w:val="single"/>
          <w:lang w:val="es-ES_tradnl"/>
        </w:rPr>
        <w:t>CMS</w:t>
      </w:r>
      <w:r w:rsidRPr="00FA5354">
        <w:rPr>
          <w:rFonts w:eastAsiaTheme="minorHAnsi" w:cs="Arial"/>
          <w:sz w:val="22"/>
          <w:szCs w:val="22"/>
          <w:lang w:val="es-ES_tradnl"/>
        </w:rPr>
        <w:t xml:space="preserve">: Aunque actualmente la especie no está incluida en la CMS, la Resolución 11.32 de esta Convención pide que se realice un examen de la efectividad de las estrategias regionales de conservación de 2006 de la UICN, recomienda a los Estados del área de distribución que estudien medidas de conservación para la especie e invita a las Partes a trabajar en favor de la inclusión de esta en el Apéndice II de la CMS en la COP12, en 2017. </w:t>
      </w:r>
    </w:p>
    <w:p w14:paraId="23954D71" w14:textId="77777777" w:rsidR="00FA5354" w:rsidRPr="00FA5354" w:rsidRDefault="00FA5354" w:rsidP="000374C1">
      <w:pPr>
        <w:autoSpaceDE/>
        <w:autoSpaceDN/>
        <w:adjustRightInd/>
        <w:spacing w:after="160"/>
        <w:ind w:left="360"/>
        <w:jc w:val="both"/>
        <w:rPr>
          <w:rFonts w:eastAsiaTheme="minorHAnsi" w:cs="Arial"/>
          <w:sz w:val="22"/>
          <w:szCs w:val="22"/>
          <w:lang w:val="es-ES_tradnl"/>
        </w:rPr>
      </w:pPr>
      <w:r w:rsidRPr="00FA5354">
        <w:rPr>
          <w:rFonts w:eastAsiaTheme="minorHAnsi" w:cs="Arial"/>
          <w:sz w:val="22"/>
          <w:szCs w:val="22"/>
          <w:lang w:val="es-ES_tradnl"/>
        </w:rPr>
        <w:t xml:space="preserve">El Comité Permanente de la CMS, en su 45ª reunión, hizo suyas las decisiones adoptadas por la COP17 de la CITES sobre la conservación del león africano. </w:t>
      </w:r>
    </w:p>
    <w:p w14:paraId="31C8BE25" w14:textId="77777777" w:rsidR="00FA5354" w:rsidRPr="00FA5354" w:rsidRDefault="00FA5354" w:rsidP="000374C1">
      <w:pPr>
        <w:numPr>
          <w:ilvl w:val="0"/>
          <w:numId w:val="18"/>
        </w:numPr>
        <w:autoSpaceDE/>
        <w:autoSpaceDN/>
        <w:adjustRightInd/>
        <w:spacing w:after="160"/>
        <w:rPr>
          <w:rFonts w:eastAsiaTheme="minorHAnsi" w:cs="Arial"/>
          <w:b/>
          <w:bCs/>
          <w:sz w:val="22"/>
          <w:szCs w:val="22"/>
          <w:lang w:val="es-ES_tradnl"/>
        </w:rPr>
      </w:pPr>
      <w:r w:rsidRPr="00FA5354">
        <w:rPr>
          <w:rFonts w:eastAsiaTheme="minorHAnsi" w:cs="Arial"/>
          <w:b/>
          <w:bCs/>
          <w:sz w:val="22"/>
          <w:szCs w:val="22"/>
          <w:lang w:val="es-ES_tradnl"/>
        </w:rPr>
        <w:t>Guepardo (</w:t>
      </w:r>
      <w:r w:rsidRPr="00FA5354">
        <w:rPr>
          <w:rFonts w:eastAsiaTheme="minorHAnsi" w:cs="Arial"/>
          <w:b/>
          <w:bCs/>
          <w:i/>
          <w:sz w:val="22"/>
          <w:szCs w:val="22"/>
          <w:lang w:val="es-ES_tradnl"/>
        </w:rPr>
        <w:t>Acinonyx jubatus</w:t>
      </w:r>
      <w:r w:rsidRPr="00FA5354">
        <w:rPr>
          <w:rFonts w:eastAsiaTheme="minorHAnsi" w:cs="Arial"/>
          <w:b/>
          <w:bCs/>
          <w:sz w:val="22"/>
          <w:szCs w:val="22"/>
          <w:lang w:val="es-ES_tradnl"/>
        </w:rPr>
        <w:t>)</w:t>
      </w:r>
    </w:p>
    <w:p w14:paraId="7D335FF6" w14:textId="77777777" w:rsidR="00FA5354" w:rsidRPr="00FA5354" w:rsidRDefault="00FA5354" w:rsidP="000374C1">
      <w:pPr>
        <w:autoSpaceDE/>
        <w:autoSpaceDN/>
        <w:adjustRightInd/>
        <w:spacing w:after="160"/>
        <w:ind w:left="360"/>
        <w:jc w:val="both"/>
        <w:rPr>
          <w:rFonts w:eastAsiaTheme="minorHAnsi" w:cs="Arial"/>
          <w:sz w:val="22"/>
          <w:szCs w:val="22"/>
          <w:lang w:val="es-ES_tradnl"/>
        </w:rPr>
      </w:pPr>
      <w:r w:rsidRPr="00FA5354">
        <w:rPr>
          <w:rFonts w:eastAsiaTheme="minorHAnsi" w:cs="Arial"/>
          <w:iCs/>
          <w:sz w:val="22"/>
          <w:szCs w:val="22"/>
          <w:u w:val="single"/>
          <w:lang w:val="es-ES_tradnl"/>
        </w:rPr>
        <w:t>CITES</w:t>
      </w:r>
      <w:r w:rsidRPr="00FA5354">
        <w:rPr>
          <w:rFonts w:eastAsiaTheme="minorHAnsi" w:cs="Arial"/>
          <w:sz w:val="22"/>
          <w:szCs w:val="22"/>
          <w:lang w:val="es-ES_tradnl"/>
        </w:rPr>
        <w:t>: Incluido en el Apéndice I desde 1975 con la siguiente anotación: “Se conceden los siguientes cupos de exportación anual para especímenes vivos y trofeos de caza: Botswana: 5; Namibia: 150; Zimbabwe: 50. El comercio de estos especímenes está sujeto a las disposiciones del Artículo III de la Convención”.</w:t>
      </w:r>
    </w:p>
    <w:p w14:paraId="36F56E5B" w14:textId="77777777" w:rsidR="00FA5354" w:rsidRPr="00FA5354" w:rsidRDefault="00FA5354" w:rsidP="000374C1">
      <w:pPr>
        <w:autoSpaceDE/>
        <w:autoSpaceDN/>
        <w:adjustRightInd/>
        <w:spacing w:after="160"/>
        <w:ind w:left="360"/>
        <w:jc w:val="both"/>
        <w:rPr>
          <w:rFonts w:eastAsiaTheme="minorHAnsi" w:cs="Arial"/>
          <w:sz w:val="22"/>
          <w:szCs w:val="22"/>
          <w:lang w:val="es-ES_tradnl"/>
        </w:rPr>
      </w:pPr>
      <w:r w:rsidRPr="00FA5354">
        <w:rPr>
          <w:rFonts w:eastAsiaTheme="minorHAnsi" w:cs="Arial"/>
          <w:sz w:val="22"/>
          <w:szCs w:val="22"/>
          <w:lang w:val="es-ES_tradnl"/>
        </w:rPr>
        <w:t xml:space="preserve">La COP17 adoptó las decisiones 17.124 to 17.130 sobre el comercio ilícito de guepardos. </w:t>
      </w:r>
    </w:p>
    <w:p w14:paraId="00977AFE" w14:textId="77777777" w:rsidR="00FA5354" w:rsidRPr="00FA5354" w:rsidRDefault="00FA5354" w:rsidP="000374C1">
      <w:pPr>
        <w:autoSpaceDE/>
        <w:autoSpaceDN/>
        <w:adjustRightInd/>
        <w:spacing w:after="160"/>
        <w:ind w:left="720"/>
        <w:jc w:val="both"/>
        <w:rPr>
          <w:rFonts w:eastAsiaTheme="minorHAnsi" w:cs="Arial"/>
          <w:sz w:val="22"/>
          <w:szCs w:val="22"/>
          <w:lang w:val="es-ES_tradnl"/>
        </w:rPr>
      </w:pPr>
      <w:r w:rsidRPr="00FA5354">
        <w:rPr>
          <w:rFonts w:eastAsiaTheme="minorHAnsi" w:cs="Arial"/>
          <w:sz w:val="22"/>
          <w:szCs w:val="22"/>
          <w:lang w:val="es-ES_tradnl"/>
        </w:rPr>
        <w:t xml:space="preserve">(Nota: las poblaciones asiáticas de </w:t>
      </w:r>
      <w:r w:rsidRPr="00FA5354">
        <w:rPr>
          <w:rFonts w:eastAsiaTheme="minorHAnsi" w:cs="Arial"/>
          <w:i/>
          <w:sz w:val="22"/>
          <w:szCs w:val="22"/>
          <w:lang w:val="es-ES_tradnl"/>
        </w:rPr>
        <w:t>Acinonyx jubatus</w:t>
      </w:r>
      <w:r w:rsidRPr="00FA5354">
        <w:rPr>
          <w:rFonts w:eastAsiaTheme="minorHAnsi" w:cs="Arial"/>
          <w:sz w:val="22"/>
          <w:szCs w:val="22"/>
          <w:lang w:val="es-ES_tradnl"/>
        </w:rPr>
        <w:t xml:space="preserve"> son objeto de la Resolución Conf. 12.5 (Rev. COP17) sobre </w:t>
      </w:r>
      <w:r w:rsidRPr="00FA5354">
        <w:rPr>
          <w:rFonts w:eastAsiaTheme="minorHAnsi" w:cs="Arial"/>
          <w:i/>
          <w:iCs/>
          <w:sz w:val="22"/>
          <w:szCs w:val="22"/>
          <w:lang w:val="es-ES_tradnl"/>
        </w:rPr>
        <w:t>Conservación y comercio de tigres y otras especies de grandes felinos asiáticos incluidos en el Apéndice I</w:t>
      </w:r>
      <w:r w:rsidRPr="00FA5354">
        <w:rPr>
          <w:rFonts w:eastAsiaTheme="minorHAnsi" w:cs="Arial"/>
          <w:sz w:val="22"/>
          <w:szCs w:val="22"/>
          <w:lang w:val="es-ES_tradnl"/>
        </w:rPr>
        <w:t>).</w:t>
      </w:r>
    </w:p>
    <w:p w14:paraId="4E562542" w14:textId="77777777" w:rsidR="00FA5354" w:rsidRPr="00FA5354" w:rsidRDefault="00FA5354" w:rsidP="000374C1">
      <w:pPr>
        <w:autoSpaceDE/>
        <w:autoSpaceDN/>
        <w:adjustRightInd/>
        <w:spacing w:after="160"/>
        <w:ind w:left="357"/>
        <w:jc w:val="both"/>
        <w:rPr>
          <w:rFonts w:eastAsiaTheme="minorHAnsi" w:cs="Arial"/>
          <w:sz w:val="22"/>
          <w:szCs w:val="22"/>
          <w:lang w:val="es-ES_tradnl"/>
        </w:rPr>
      </w:pPr>
      <w:r w:rsidRPr="00FA5354">
        <w:rPr>
          <w:rFonts w:eastAsiaTheme="minorHAnsi" w:cs="Arial"/>
          <w:iCs/>
          <w:sz w:val="22"/>
          <w:szCs w:val="22"/>
          <w:u w:val="single"/>
          <w:lang w:val="es-ES_tradnl"/>
        </w:rPr>
        <w:t>CMS</w:t>
      </w:r>
      <w:r w:rsidRPr="00FA5354">
        <w:rPr>
          <w:rFonts w:eastAsiaTheme="minorHAnsi" w:cs="Arial"/>
          <w:sz w:val="22"/>
          <w:szCs w:val="22"/>
          <w:lang w:val="es-ES_tradnl"/>
        </w:rPr>
        <w:t xml:space="preserve">: Incluido en el Apéndice I de la CMS desde 2009, excepto las poblaciones de Zimbabwe (y Botswana y Namibia, que sin embargo actualmente no son Partes en la CMS). </w:t>
      </w:r>
    </w:p>
    <w:p w14:paraId="59E03DA7" w14:textId="77777777" w:rsidR="00FA5354" w:rsidRPr="00FA5354" w:rsidRDefault="00FA5354" w:rsidP="000374C1">
      <w:pPr>
        <w:autoSpaceDE/>
        <w:autoSpaceDN/>
        <w:adjustRightInd/>
        <w:spacing w:after="160"/>
        <w:ind w:left="360"/>
        <w:jc w:val="both"/>
        <w:rPr>
          <w:rFonts w:eastAsiaTheme="minorHAnsi" w:cs="Arial"/>
          <w:sz w:val="22"/>
          <w:szCs w:val="22"/>
          <w:lang w:val="es-ES_tradnl"/>
        </w:rPr>
      </w:pPr>
      <w:r w:rsidRPr="00FA5354">
        <w:rPr>
          <w:rFonts w:eastAsiaTheme="minorHAnsi" w:cs="Arial"/>
          <w:sz w:val="22"/>
          <w:szCs w:val="22"/>
          <w:lang w:val="es-ES_tradnl"/>
        </w:rPr>
        <w:t>En 2014, la COP11 de la CMS designó a la especie para ser objeto de “acciones concertadas”</w:t>
      </w:r>
      <w:r w:rsidRPr="00FA5354">
        <w:rPr>
          <w:rFonts w:eastAsiaTheme="minorHAnsi" w:cs="Arial"/>
          <w:sz w:val="22"/>
          <w:szCs w:val="22"/>
          <w:vertAlign w:val="superscript"/>
          <w:lang w:val="es-ES_tradnl"/>
        </w:rPr>
        <w:footnoteReference w:id="2"/>
      </w:r>
      <w:r w:rsidRPr="00FA5354">
        <w:rPr>
          <w:rFonts w:eastAsiaTheme="minorHAnsi" w:cs="Arial"/>
          <w:sz w:val="22"/>
          <w:szCs w:val="22"/>
          <w:lang w:val="es-ES_tradnl"/>
        </w:rPr>
        <w:t xml:space="preserve"> mediante la Resolución 11.13.</w:t>
      </w:r>
    </w:p>
    <w:p w14:paraId="0AAA0B75" w14:textId="77777777" w:rsidR="00FA5354" w:rsidRPr="00FA5354" w:rsidRDefault="00FA5354" w:rsidP="000374C1">
      <w:pPr>
        <w:numPr>
          <w:ilvl w:val="0"/>
          <w:numId w:val="18"/>
        </w:numPr>
        <w:autoSpaceDE/>
        <w:autoSpaceDN/>
        <w:adjustRightInd/>
        <w:spacing w:after="160"/>
        <w:rPr>
          <w:rFonts w:eastAsiaTheme="minorHAnsi" w:cs="Arial"/>
          <w:sz w:val="22"/>
          <w:szCs w:val="22"/>
          <w:lang w:val="es-ES_tradnl"/>
        </w:rPr>
      </w:pPr>
      <w:r w:rsidRPr="00FA5354">
        <w:rPr>
          <w:rFonts w:eastAsiaTheme="minorHAnsi" w:cs="Arial"/>
          <w:b/>
          <w:bCs/>
          <w:sz w:val="22"/>
          <w:szCs w:val="22"/>
          <w:lang w:val="es-ES_tradnl"/>
        </w:rPr>
        <w:t>Leopardo (</w:t>
      </w:r>
      <w:r w:rsidRPr="00FA5354">
        <w:rPr>
          <w:rFonts w:eastAsiaTheme="minorHAnsi" w:cs="Arial"/>
          <w:b/>
          <w:bCs/>
          <w:i/>
          <w:sz w:val="22"/>
          <w:szCs w:val="22"/>
          <w:lang w:val="es-ES_tradnl"/>
        </w:rPr>
        <w:t>Panthera pardus</w:t>
      </w:r>
      <w:r w:rsidRPr="00FA5354">
        <w:rPr>
          <w:rFonts w:eastAsiaTheme="minorHAnsi" w:cs="Arial"/>
          <w:b/>
          <w:bCs/>
          <w:sz w:val="22"/>
          <w:szCs w:val="22"/>
          <w:lang w:val="es-ES_tradnl"/>
        </w:rPr>
        <w:t>)</w:t>
      </w:r>
    </w:p>
    <w:p w14:paraId="38864E89" w14:textId="77777777" w:rsidR="00FA5354" w:rsidRPr="00FA5354" w:rsidRDefault="00FA5354" w:rsidP="000374C1">
      <w:pPr>
        <w:autoSpaceDE/>
        <w:autoSpaceDN/>
        <w:adjustRightInd/>
        <w:spacing w:after="160"/>
        <w:ind w:left="360"/>
        <w:jc w:val="both"/>
        <w:rPr>
          <w:rFonts w:eastAsiaTheme="minorHAnsi" w:cs="Arial"/>
          <w:sz w:val="22"/>
          <w:szCs w:val="22"/>
          <w:lang w:val="es-ES_tradnl"/>
        </w:rPr>
      </w:pPr>
      <w:r w:rsidRPr="00FA5354">
        <w:rPr>
          <w:rFonts w:eastAsiaTheme="minorHAnsi" w:cs="Arial"/>
          <w:iCs/>
          <w:sz w:val="22"/>
          <w:szCs w:val="22"/>
          <w:u w:val="single"/>
          <w:lang w:val="es-ES_tradnl"/>
        </w:rPr>
        <w:t>CITES</w:t>
      </w:r>
      <w:r w:rsidRPr="00FA5354">
        <w:rPr>
          <w:rFonts w:eastAsiaTheme="minorHAnsi" w:cs="Arial"/>
          <w:sz w:val="22"/>
          <w:szCs w:val="22"/>
          <w:lang w:val="es-ES_tradnl"/>
        </w:rPr>
        <w:t xml:space="preserve">: Incluido en el Apéndice I desde 1975. Las poblaciones africanas de la especie son objeto de la Resolución Conf. 10.14 (Rev. COP16) sobre </w:t>
      </w:r>
      <w:hyperlink r:id="rId25" w:history="1">
        <w:r w:rsidRPr="00FA5354">
          <w:rPr>
            <w:rFonts w:eastAsiaTheme="minorHAnsi" w:cs="Arial"/>
            <w:i/>
            <w:iCs/>
            <w:sz w:val="22"/>
            <w:szCs w:val="22"/>
            <w:lang w:val="es-ES_tradnl"/>
          </w:rPr>
          <w:t>Cupos de trofeos de caza y pieles de leopardo para uso personal</w:t>
        </w:r>
      </w:hyperlink>
      <w:r w:rsidRPr="00FA5354">
        <w:rPr>
          <w:rFonts w:eastAsiaTheme="minorHAnsi" w:cs="Arial"/>
          <w:sz w:val="22"/>
          <w:szCs w:val="22"/>
          <w:lang w:val="es-ES_tradnl"/>
        </w:rPr>
        <w:t>. La COP17 adoptó las decisiones 17.114 a 17.117 sobre los trofeos de caza de leopardo.</w:t>
      </w:r>
    </w:p>
    <w:p w14:paraId="137FBF1B" w14:textId="77777777" w:rsidR="00FA5354" w:rsidRPr="00FA5354" w:rsidRDefault="00FA5354" w:rsidP="000374C1">
      <w:pPr>
        <w:autoSpaceDE/>
        <w:autoSpaceDN/>
        <w:adjustRightInd/>
        <w:spacing w:after="160"/>
        <w:ind w:left="720"/>
        <w:jc w:val="both"/>
        <w:rPr>
          <w:rFonts w:eastAsiaTheme="minorHAnsi" w:cs="Arial"/>
          <w:sz w:val="22"/>
          <w:szCs w:val="22"/>
          <w:lang w:val="es-ES_tradnl"/>
        </w:rPr>
      </w:pPr>
      <w:r w:rsidRPr="00FA5354">
        <w:rPr>
          <w:rFonts w:eastAsiaTheme="minorHAnsi" w:cs="Arial"/>
          <w:sz w:val="22"/>
          <w:szCs w:val="22"/>
          <w:lang w:val="es-ES_tradnl"/>
        </w:rPr>
        <w:lastRenderedPageBreak/>
        <w:t xml:space="preserve">(Nota: las poblaciones asiáticas de </w:t>
      </w:r>
      <w:r w:rsidRPr="00FA5354">
        <w:rPr>
          <w:rFonts w:eastAsiaTheme="minorHAnsi" w:cs="Arial"/>
          <w:i/>
          <w:sz w:val="22"/>
          <w:szCs w:val="22"/>
          <w:lang w:val="es-ES_tradnl"/>
        </w:rPr>
        <w:t>Panthera pardus</w:t>
      </w:r>
      <w:r w:rsidRPr="00FA5354">
        <w:rPr>
          <w:rFonts w:eastAsiaTheme="minorHAnsi" w:cs="Arial"/>
          <w:sz w:val="22"/>
          <w:szCs w:val="22"/>
          <w:lang w:val="es-ES_tradnl"/>
        </w:rPr>
        <w:t xml:space="preserve"> son objeto de la Resolución Conf. 12.5 (Rev. COP17) sobre </w:t>
      </w:r>
      <w:r w:rsidRPr="00FA5354">
        <w:rPr>
          <w:rFonts w:eastAsiaTheme="minorHAnsi" w:cs="Arial"/>
          <w:i/>
          <w:iCs/>
          <w:sz w:val="22"/>
          <w:szCs w:val="22"/>
          <w:lang w:val="es-ES_tradnl"/>
        </w:rPr>
        <w:t>Conservación y comercio de tigres y otras especies de grandes felinos asiáticos incluidos en el Apéndice I</w:t>
      </w:r>
      <w:r w:rsidRPr="00FA5354">
        <w:rPr>
          <w:rFonts w:eastAsiaTheme="minorHAnsi" w:cs="Arial"/>
          <w:sz w:val="22"/>
          <w:szCs w:val="22"/>
          <w:lang w:val="es-ES_tradnl"/>
        </w:rPr>
        <w:t>).</w:t>
      </w:r>
    </w:p>
    <w:p w14:paraId="26D3206A" w14:textId="77777777" w:rsidR="00FA5354" w:rsidRPr="00FA5354" w:rsidRDefault="00FA5354" w:rsidP="000374C1">
      <w:pPr>
        <w:autoSpaceDE/>
        <w:autoSpaceDN/>
        <w:adjustRightInd/>
        <w:spacing w:after="160"/>
        <w:ind w:left="360"/>
        <w:jc w:val="both"/>
        <w:rPr>
          <w:rFonts w:eastAsiaTheme="minorHAnsi" w:cs="Arial"/>
          <w:sz w:val="22"/>
          <w:szCs w:val="22"/>
          <w:lang w:val="es-ES_tradnl"/>
        </w:rPr>
      </w:pPr>
      <w:r w:rsidRPr="00FA5354">
        <w:rPr>
          <w:rFonts w:eastAsiaTheme="minorHAnsi" w:cs="Arial"/>
          <w:iCs/>
          <w:sz w:val="22"/>
          <w:szCs w:val="22"/>
          <w:u w:val="single"/>
          <w:lang w:val="es-ES_tradnl"/>
        </w:rPr>
        <w:t>CMS</w:t>
      </w:r>
      <w:r w:rsidRPr="00FA5354">
        <w:rPr>
          <w:rFonts w:eastAsiaTheme="minorHAnsi" w:cs="Arial"/>
          <w:i/>
          <w:iCs/>
          <w:sz w:val="22"/>
          <w:szCs w:val="22"/>
          <w:u w:val="single"/>
          <w:lang w:val="es-ES_tradnl"/>
        </w:rPr>
        <w:t>:</w:t>
      </w:r>
      <w:r w:rsidRPr="00FA5354">
        <w:rPr>
          <w:rFonts w:eastAsiaTheme="minorHAnsi" w:cs="Arial"/>
          <w:sz w:val="22"/>
          <w:szCs w:val="22"/>
          <w:lang w:val="es-ES_tradnl"/>
        </w:rPr>
        <w:t xml:space="preserve"> Hay muchas poblaciones transfronterizas de leopardo en toda su área de distribución en África y Asia y se espera que haya una propuesta de las Partes en la CMS para la inclusión de la especie en los Apéndices en la COP12, en 2017.</w:t>
      </w:r>
    </w:p>
    <w:p w14:paraId="0C8F3F6E" w14:textId="77777777" w:rsidR="00FA5354" w:rsidRPr="00FA5354" w:rsidRDefault="00FA5354" w:rsidP="000374C1">
      <w:pPr>
        <w:numPr>
          <w:ilvl w:val="0"/>
          <w:numId w:val="18"/>
        </w:numPr>
        <w:autoSpaceDE/>
        <w:autoSpaceDN/>
        <w:adjustRightInd/>
        <w:spacing w:after="160"/>
        <w:rPr>
          <w:rFonts w:eastAsiaTheme="minorHAnsi" w:cs="Arial"/>
          <w:b/>
          <w:bCs/>
          <w:sz w:val="22"/>
          <w:szCs w:val="22"/>
          <w:lang w:val="es-ES_tradnl"/>
        </w:rPr>
      </w:pPr>
      <w:r w:rsidRPr="00FA5354">
        <w:rPr>
          <w:rFonts w:eastAsiaTheme="minorHAnsi" w:cs="Arial"/>
          <w:b/>
          <w:bCs/>
          <w:sz w:val="22"/>
          <w:szCs w:val="22"/>
          <w:lang w:val="es-ES_tradnl"/>
        </w:rPr>
        <w:t>Licaón (</w:t>
      </w:r>
      <w:r w:rsidRPr="00FA5354">
        <w:rPr>
          <w:rFonts w:eastAsiaTheme="minorHAnsi" w:cs="Arial"/>
          <w:b/>
          <w:bCs/>
          <w:i/>
          <w:sz w:val="22"/>
          <w:szCs w:val="22"/>
          <w:lang w:val="es-ES_tradnl"/>
        </w:rPr>
        <w:t>Lycaon pictus</w:t>
      </w:r>
      <w:r w:rsidRPr="00FA5354">
        <w:rPr>
          <w:rFonts w:eastAsiaTheme="minorHAnsi" w:cs="Arial"/>
          <w:b/>
          <w:bCs/>
          <w:sz w:val="22"/>
          <w:szCs w:val="22"/>
          <w:lang w:val="es-ES_tradnl"/>
        </w:rPr>
        <w:t xml:space="preserve">) </w:t>
      </w:r>
    </w:p>
    <w:p w14:paraId="6E8105EC" w14:textId="77777777" w:rsidR="00FA5354" w:rsidRPr="00FA5354" w:rsidRDefault="00FA5354" w:rsidP="000374C1">
      <w:pPr>
        <w:autoSpaceDE/>
        <w:autoSpaceDN/>
        <w:adjustRightInd/>
        <w:spacing w:after="160"/>
        <w:ind w:left="360"/>
        <w:jc w:val="both"/>
        <w:rPr>
          <w:rFonts w:eastAsiaTheme="minorHAnsi" w:cs="Arial"/>
          <w:sz w:val="22"/>
          <w:szCs w:val="22"/>
          <w:lang w:val="es-ES_tradnl"/>
        </w:rPr>
      </w:pPr>
      <w:r w:rsidRPr="00FA5354">
        <w:rPr>
          <w:rFonts w:eastAsiaTheme="minorHAnsi" w:cs="Arial"/>
          <w:iCs/>
          <w:sz w:val="22"/>
          <w:szCs w:val="22"/>
          <w:u w:val="single"/>
          <w:lang w:val="es-ES_tradnl"/>
        </w:rPr>
        <w:t>CITES</w:t>
      </w:r>
      <w:r w:rsidRPr="00FA5354">
        <w:rPr>
          <w:rFonts w:eastAsiaTheme="minorHAnsi" w:cs="Arial"/>
          <w:sz w:val="22"/>
          <w:szCs w:val="22"/>
          <w:lang w:val="es-ES_tradnl"/>
        </w:rPr>
        <w:t xml:space="preserve">: No incluido en los Apéndices de la CITES. </w:t>
      </w:r>
    </w:p>
    <w:p w14:paraId="66CD19F4" w14:textId="77777777" w:rsidR="00FA5354" w:rsidRPr="00FA5354" w:rsidRDefault="00FA5354" w:rsidP="000374C1">
      <w:pPr>
        <w:autoSpaceDE/>
        <w:autoSpaceDN/>
        <w:adjustRightInd/>
        <w:spacing w:after="160"/>
        <w:ind w:left="360"/>
        <w:jc w:val="both"/>
        <w:rPr>
          <w:rFonts w:eastAsiaTheme="minorHAnsi" w:cs="Arial"/>
          <w:sz w:val="22"/>
          <w:szCs w:val="22"/>
          <w:lang w:val="es-ES_tradnl"/>
        </w:rPr>
      </w:pPr>
      <w:r w:rsidRPr="00FA5354">
        <w:rPr>
          <w:rFonts w:eastAsiaTheme="minorHAnsi" w:cs="Arial"/>
          <w:sz w:val="22"/>
          <w:szCs w:val="22"/>
          <w:lang w:val="es-ES_tradnl"/>
        </w:rPr>
        <w:t>La COP17 adoptó las decisiones 17.235 a 17.238 sobre el licaón (</w:t>
      </w:r>
      <w:r w:rsidRPr="00FA5354">
        <w:rPr>
          <w:rFonts w:eastAsiaTheme="minorHAnsi" w:cs="Arial"/>
          <w:i/>
          <w:iCs/>
          <w:sz w:val="22"/>
          <w:szCs w:val="22"/>
          <w:lang w:val="es-ES_tradnl"/>
        </w:rPr>
        <w:t>Lycaon pictus</w:t>
      </w:r>
      <w:r w:rsidRPr="00FA5354">
        <w:rPr>
          <w:rFonts w:eastAsiaTheme="minorHAnsi" w:cs="Arial"/>
          <w:sz w:val="22"/>
          <w:szCs w:val="22"/>
          <w:lang w:val="es-ES_tradnl"/>
        </w:rPr>
        <w:t>).</w:t>
      </w:r>
    </w:p>
    <w:p w14:paraId="6569A325" w14:textId="77777777" w:rsidR="00FA5354" w:rsidRPr="00FA5354" w:rsidRDefault="00FA5354" w:rsidP="000374C1">
      <w:pPr>
        <w:autoSpaceDE/>
        <w:autoSpaceDN/>
        <w:adjustRightInd/>
        <w:spacing w:after="160"/>
        <w:ind w:left="357"/>
        <w:jc w:val="both"/>
        <w:rPr>
          <w:rFonts w:eastAsiaTheme="minorHAnsi" w:cs="Arial"/>
          <w:sz w:val="22"/>
          <w:szCs w:val="22"/>
          <w:lang w:val="es-ES_tradnl"/>
        </w:rPr>
      </w:pPr>
      <w:r w:rsidRPr="00FA5354">
        <w:rPr>
          <w:rFonts w:eastAsiaTheme="minorHAnsi" w:cs="Arial"/>
          <w:iCs/>
          <w:sz w:val="22"/>
          <w:szCs w:val="22"/>
          <w:u w:val="single"/>
          <w:lang w:val="es-ES_tradnl"/>
        </w:rPr>
        <w:t>CMS</w:t>
      </w:r>
      <w:r w:rsidRPr="00FA5354">
        <w:rPr>
          <w:rFonts w:eastAsiaTheme="minorHAnsi" w:cs="Arial"/>
          <w:sz w:val="22"/>
          <w:szCs w:val="22"/>
          <w:lang w:val="es-ES_tradnl"/>
        </w:rPr>
        <w:t>: Incluido en el Apéndice II de la CMS desde 2009.</w:t>
      </w:r>
    </w:p>
    <w:p w14:paraId="20A4A5CC" w14:textId="77777777" w:rsidR="00FA5354" w:rsidRPr="00FA5354" w:rsidRDefault="00FA5354" w:rsidP="000374C1">
      <w:pPr>
        <w:autoSpaceDE/>
        <w:autoSpaceDN/>
        <w:adjustRightInd/>
        <w:spacing w:after="160"/>
        <w:ind w:left="360"/>
        <w:jc w:val="both"/>
        <w:rPr>
          <w:rFonts w:eastAsiaTheme="minorHAnsi" w:cs="Arial"/>
          <w:sz w:val="22"/>
          <w:szCs w:val="22"/>
          <w:lang w:val="es-ES_tradnl"/>
        </w:rPr>
      </w:pPr>
      <w:r w:rsidRPr="00FA5354">
        <w:rPr>
          <w:rFonts w:eastAsiaTheme="minorHAnsi" w:cs="Arial"/>
          <w:sz w:val="22"/>
          <w:szCs w:val="22"/>
          <w:lang w:val="es-ES_tradnl"/>
        </w:rPr>
        <w:t>En 2014, la COP11 de la CMS designó al licaón para ser objeto de “acciones concertadas” mediante la Resolución 11.13.</w:t>
      </w:r>
      <w:r w:rsidRPr="00FA5354">
        <w:rPr>
          <w:rFonts w:eastAsiaTheme="minorHAnsi" w:cs="Arial"/>
          <w:color w:val="FF0000"/>
          <w:sz w:val="22"/>
          <w:szCs w:val="22"/>
          <w:lang w:val="es-ES_tradnl"/>
        </w:rPr>
        <w:t xml:space="preserve"> </w:t>
      </w:r>
    </w:p>
    <w:p w14:paraId="67795767" w14:textId="77777777" w:rsidR="00FA5354" w:rsidRPr="00FA5354" w:rsidRDefault="00FA5354" w:rsidP="000374C1">
      <w:pPr>
        <w:autoSpaceDE/>
        <w:autoSpaceDN/>
        <w:adjustRightInd/>
        <w:spacing w:after="160"/>
        <w:jc w:val="both"/>
        <w:rPr>
          <w:rFonts w:eastAsiaTheme="minorHAnsi" w:cs="Arial"/>
          <w:sz w:val="22"/>
          <w:szCs w:val="22"/>
          <w:lang w:val="es-ES_tradnl"/>
        </w:rPr>
      </w:pPr>
      <w:r w:rsidRPr="00FA5354">
        <w:rPr>
          <w:rFonts w:eastAsiaTheme="minorHAnsi" w:cs="Arial"/>
          <w:bCs/>
          <w:sz w:val="22"/>
          <w:szCs w:val="22"/>
          <w:lang w:val="es-ES_tradnl"/>
        </w:rPr>
        <w:t xml:space="preserve">La COP11 de la CMS también adoptó la Resolución 11.25 sobre </w:t>
      </w:r>
      <w:r w:rsidRPr="00FA5354">
        <w:rPr>
          <w:rFonts w:eastAsiaTheme="minorHAnsi" w:cs="Arial"/>
          <w:bCs/>
          <w:i/>
          <w:sz w:val="22"/>
          <w:szCs w:val="22"/>
          <w:lang w:val="es-ES_tradnl"/>
        </w:rPr>
        <w:t>Promoción de las redes ecológicas para responder a las necesidades de las especies migratorias</w:t>
      </w:r>
      <w:r w:rsidRPr="00FA5354">
        <w:rPr>
          <w:rFonts w:eastAsiaTheme="minorHAnsi" w:cs="Arial"/>
          <w:bCs/>
          <w:sz w:val="22"/>
          <w:szCs w:val="22"/>
          <w:lang w:val="es-ES_tradnl"/>
        </w:rPr>
        <w:t>, en la que se invita y alienta a las Partes a colaborar con la identificación, la designación y el mantenimiento de redes ecológicas amplias y coherentes de los sitios protegidos y de otros sitios adecuadamente gestionados de importancia internacional y nacional para los animales migratorios.</w:t>
      </w:r>
    </w:p>
    <w:p w14:paraId="351AF185" w14:textId="77777777" w:rsidR="00FA5354" w:rsidRPr="00FA5354" w:rsidRDefault="00FA5354" w:rsidP="000374C1">
      <w:pPr>
        <w:numPr>
          <w:ilvl w:val="0"/>
          <w:numId w:val="33"/>
        </w:numPr>
        <w:autoSpaceDE/>
        <w:autoSpaceDN/>
        <w:adjustRightInd/>
        <w:spacing w:after="160"/>
        <w:rPr>
          <w:rFonts w:eastAsiaTheme="minorHAnsi" w:cs="Arial"/>
          <w:b/>
          <w:sz w:val="22"/>
          <w:szCs w:val="22"/>
          <w:lang w:val="es-ES_tradnl"/>
        </w:rPr>
      </w:pPr>
      <w:r w:rsidRPr="00FA5354">
        <w:rPr>
          <w:rFonts w:eastAsiaTheme="minorHAnsi" w:cs="Arial"/>
          <w:b/>
          <w:sz w:val="22"/>
          <w:szCs w:val="22"/>
          <w:lang w:val="es-ES_tradnl"/>
        </w:rPr>
        <w:t>Estado de conservación de las cuatro especies en África</w:t>
      </w:r>
    </w:p>
    <w:p w14:paraId="65B052C1" w14:textId="77777777" w:rsidR="00FA5354" w:rsidRPr="00FA5354" w:rsidRDefault="00FA5354" w:rsidP="000374C1">
      <w:p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Según las evaluaciones de la Lista Roja de la UICN, las poblaciones de león africano (</w:t>
      </w:r>
      <w:r w:rsidRPr="00FA5354">
        <w:rPr>
          <w:rFonts w:eastAsiaTheme="minorHAnsi" w:cs="Arial"/>
          <w:i/>
          <w:sz w:val="22"/>
          <w:szCs w:val="22"/>
          <w:lang w:val="es-ES_tradnl"/>
        </w:rPr>
        <w:t>Panthera leo</w:t>
      </w:r>
      <w:r w:rsidRPr="00FA5354">
        <w:rPr>
          <w:rFonts w:eastAsiaTheme="minorHAnsi" w:cs="Arial"/>
          <w:sz w:val="22"/>
          <w:szCs w:val="22"/>
          <w:lang w:val="es-ES_tradnl"/>
        </w:rPr>
        <w:t>), guepardo (</w:t>
      </w:r>
      <w:r w:rsidRPr="00FA5354">
        <w:rPr>
          <w:rFonts w:eastAsiaTheme="minorHAnsi" w:cs="Arial"/>
          <w:i/>
          <w:sz w:val="22"/>
          <w:szCs w:val="22"/>
          <w:lang w:val="es-ES_tradnl"/>
        </w:rPr>
        <w:t>Acinonyx jubatus</w:t>
      </w:r>
      <w:r w:rsidRPr="00FA5354">
        <w:rPr>
          <w:rFonts w:eastAsiaTheme="minorHAnsi" w:cs="Arial"/>
          <w:sz w:val="22"/>
          <w:szCs w:val="22"/>
          <w:lang w:val="es-ES_tradnl"/>
        </w:rPr>
        <w:t>), leopardo (</w:t>
      </w:r>
      <w:r w:rsidRPr="00FA5354">
        <w:rPr>
          <w:rFonts w:eastAsiaTheme="minorHAnsi" w:cs="Arial"/>
          <w:i/>
          <w:sz w:val="22"/>
          <w:szCs w:val="22"/>
          <w:lang w:val="es-ES_tradnl"/>
        </w:rPr>
        <w:t>Panthera pardus</w:t>
      </w:r>
      <w:r w:rsidRPr="00FA5354">
        <w:rPr>
          <w:rFonts w:eastAsiaTheme="minorHAnsi" w:cs="Arial"/>
          <w:sz w:val="22"/>
          <w:szCs w:val="22"/>
          <w:lang w:val="es-ES_tradnl"/>
        </w:rPr>
        <w:t xml:space="preserve">) y licaón </w:t>
      </w:r>
      <w:r w:rsidRPr="00FA5354">
        <w:rPr>
          <w:rFonts w:eastAsiaTheme="minorHAnsi" w:cs="Arial"/>
          <w:i/>
          <w:sz w:val="22"/>
          <w:szCs w:val="22"/>
          <w:lang w:val="es-ES_tradnl"/>
        </w:rPr>
        <w:t>(Lycaon pictus</w:t>
      </w:r>
      <w:r w:rsidRPr="00FA5354">
        <w:rPr>
          <w:rFonts w:eastAsiaTheme="minorHAnsi" w:cs="Arial"/>
          <w:sz w:val="22"/>
          <w:szCs w:val="22"/>
          <w:lang w:val="es-ES_tradnl"/>
        </w:rPr>
        <w:t>) están sufriendo una disminución constante – y a veces grave – en todo el continente africano, excepto en el caso del león en África austral, cuyas poblaciones han aumentado ligeramente.</w:t>
      </w:r>
    </w:p>
    <w:p w14:paraId="3863B558" w14:textId="77777777" w:rsidR="00FA5354" w:rsidRPr="00FA5354" w:rsidRDefault="00FA5354" w:rsidP="000374C1">
      <w:p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 xml:space="preserve">Según se indica en el Cuadro 1 más adelante, la </w:t>
      </w:r>
      <w:r w:rsidRPr="00FA5354">
        <w:rPr>
          <w:rFonts w:eastAsiaTheme="minorHAnsi" w:cs="Arial"/>
          <w:color w:val="0563C1" w:themeColor="hyperlink"/>
          <w:sz w:val="22"/>
          <w:szCs w:val="22"/>
          <w:u w:val="single"/>
          <w:lang w:val="es-ES_tradnl"/>
        </w:rPr>
        <w:t xml:space="preserve">evaluación de la Lista Roja de la UICN de 2015 </w:t>
      </w:r>
      <w:r w:rsidRPr="00FA5354">
        <w:rPr>
          <w:rFonts w:eastAsiaTheme="minorHAnsi" w:cs="Arial"/>
          <w:sz w:val="22"/>
          <w:szCs w:val="22"/>
          <w:lang w:val="es-ES_tradnl"/>
        </w:rPr>
        <w:t xml:space="preserve">sobre el </w:t>
      </w:r>
      <w:r w:rsidRPr="00FA5354">
        <w:rPr>
          <w:rFonts w:eastAsiaTheme="minorHAnsi" w:cs="Arial"/>
          <w:b/>
          <w:bCs/>
          <w:sz w:val="22"/>
          <w:szCs w:val="22"/>
          <w:lang w:val="es-ES_tradnl"/>
        </w:rPr>
        <w:t>león africano</w:t>
      </w:r>
      <w:r w:rsidRPr="00FA5354">
        <w:rPr>
          <w:rFonts w:eastAsiaTheme="minorHAnsi" w:cs="Arial"/>
          <w:sz w:val="22"/>
          <w:szCs w:val="22"/>
          <w:lang w:val="es-ES_tradnl"/>
        </w:rPr>
        <w:t xml:space="preserve"> indica que las poblaciones de león en general disminuyeron en un 43 por ciento entre 1993 y 2014. La especie sigue estando clasificada como Vulnerable en la Lista Roja de la UICN, aunque es importante señalar que la mayoría de las poblaciones fuera de África austral (es decir, Botswana, Namibia, Sudáfrica y Zimbabwe) están clasificadas en la categoría de En Peligro (África oriental y central) o En Peligro Crítico (África occidental). </w:t>
      </w:r>
    </w:p>
    <w:p w14:paraId="6430B4C7" w14:textId="77777777" w:rsidR="00FA5354" w:rsidRPr="00FA5354" w:rsidRDefault="00FA5354" w:rsidP="000374C1">
      <w:p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 xml:space="preserve">Pese a la dificultad de realizar estimaciones precisas sobre la abundancia del </w:t>
      </w:r>
      <w:r w:rsidRPr="00FA5354">
        <w:rPr>
          <w:rFonts w:eastAsiaTheme="minorHAnsi" w:cs="Arial"/>
          <w:b/>
          <w:bCs/>
          <w:sz w:val="22"/>
          <w:szCs w:val="22"/>
          <w:lang w:val="es-ES_tradnl"/>
        </w:rPr>
        <w:t>guepardo</w:t>
      </w:r>
      <w:r w:rsidRPr="00FA5354">
        <w:rPr>
          <w:rFonts w:eastAsiaTheme="minorHAnsi" w:cs="Arial"/>
          <w:sz w:val="22"/>
          <w:szCs w:val="22"/>
          <w:lang w:val="es-ES_tradnl"/>
        </w:rPr>
        <w:t xml:space="preserve"> en toda África debido a la escasez de ejemplares y la extensa área de distribución natural de la especie, la </w:t>
      </w:r>
      <w:hyperlink r:id="rId26" w:history="1">
        <w:r w:rsidRPr="00FA5354">
          <w:rPr>
            <w:rFonts w:eastAsiaTheme="minorHAnsi" w:cs="Arial"/>
            <w:color w:val="0563C1" w:themeColor="hyperlink"/>
            <w:sz w:val="22"/>
            <w:szCs w:val="22"/>
            <w:u w:val="single"/>
            <w:lang w:val="es-ES_tradnl"/>
          </w:rPr>
          <w:t>evaluación de la Lista Roja de 2015</w:t>
        </w:r>
      </w:hyperlink>
      <w:r w:rsidRPr="00FA5354">
        <w:rPr>
          <w:rFonts w:eastAsiaTheme="minorHAnsi" w:cs="Arial"/>
          <w:sz w:val="22"/>
          <w:szCs w:val="22"/>
          <w:lang w:val="es-ES_tradnl"/>
        </w:rPr>
        <w:t xml:space="preserve"> calcula que se ha producido una disminución poblacional del 30 por ciento en los últimos 15 años a partir de la disminución paralela documentada en el hábitat del guepardo. Por consiguiente, el guepardo está clasificado como Vulnerable en la Lista Roja de la UICN y se considera En Peligro Crítico en África noroccidental. Según un estudio reciente, es posible que la categoría de Vulnerable no sea adecuada ya que el 77 por ciento de los guepardos habitan fuera de las áreas protegidas, por lo que no están incluidos en las evaluaciones poblacionales. Dado que el guepardo es objeto de múltiples amenazas fuera de las áreas protegidas, la modelización de escenarios ha indicado que la tasa de extinción podría ser considerablemente más elevada que en las áreas protegidas y justificaría la clasificación de la especie en la categoría de En Peligro en la Lista Roja de la UICN.</w:t>
      </w:r>
      <w:r w:rsidRPr="00FA5354">
        <w:rPr>
          <w:rFonts w:eastAsiaTheme="minorHAnsi"/>
          <w:sz w:val="22"/>
          <w:szCs w:val="22"/>
          <w:vertAlign w:val="superscript"/>
          <w:lang w:val="es-ES_tradnl"/>
        </w:rPr>
        <w:footnoteReference w:id="3"/>
      </w:r>
    </w:p>
    <w:p w14:paraId="3B941EE5" w14:textId="77777777" w:rsidR="00FA5354" w:rsidRPr="00FA5354" w:rsidRDefault="00FA5354" w:rsidP="000374C1">
      <w:p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 xml:space="preserve">En cuanto al </w:t>
      </w:r>
      <w:r w:rsidRPr="00FA5354">
        <w:rPr>
          <w:rFonts w:eastAsiaTheme="minorHAnsi" w:cs="Arial"/>
          <w:b/>
          <w:bCs/>
          <w:sz w:val="22"/>
          <w:szCs w:val="22"/>
          <w:lang w:val="es-ES_tradnl"/>
        </w:rPr>
        <w:t>leopardo</w:t>
      </w:r>
      <w:r w:rsidRPr="00FA5354">
        <w:rPr>
          <w:rFonts w:eastAsiaTheme="minorHAnsi" w:cs="Arial"/>
          <w:sz w:val="22"/>
          <w:szCs w:val="22"/>
          <w:lang w:val="es-ES_tradnl"/>
        </w:rPr>
        <w:t xml:space="preserve">, la </w:t>
      </w:r>
      <w:hyperlink r:id="rId27" w:history="1">
        <w:r w:rsidRPr="00FA5354">
          <w:rPr>
            <w:rFonts w:eastAsiaTheme="minorHAnsi" w:cs="Arial"/>
            <w:color w:val="0563C1" w:themeColor="hyperlink"/>
            <w:sz w:val="22"/>
            <w:szCs w:val="22"/>
            <w:u w:val="single"/>
            <w:lang w:val="es-ES_tradnl"/>
          </w:rPr>
          <w:t>evaluación de la Lista Roja de la UICN de 2016</w:t>
        </w:r>
      </w:hyperlink>
      <w:r w:rsidRPr="00FA5354">
        <w:rPr>
          <w:rFonts w:eastAsiaTheme="minorHAnsi" w:cs="Arial"/>
          <w:sz w:val="22"/>
          <w:szCs w:val="22"/>
          <w:lang w:val="es-ES_tradnl"/>
        </w:rPr>
        <w:t xml:space="preserve"> calcula que se ha </w:t>
      </w:r>
      <w:r w:rsidRPr="00FA5354">
        <w:rPr>
          <w:rFonts w:eastAsiaTheme="minorHAnsi" w:cs="Arial"/>
          <w:sz w:val="22"/>
          <w:szCs w:val="22"/>
          <w:lang w:val="es-ES_tradnl"/>
        </w:rPr>
        <w:lastRenderedPageBreak/>
        <w:t>producido una disminución de más del 30 por ciento en las poblaciones de África subsahariana en los últimos 21 años, en consonancia con las graves disminuciones de las especies de presas y la expansión de las tierras agrícolas. Se calcula que la disminución de la especie ha superado el 50 por ciento en África occidental y oriental. En consecuencia, el leopardo está clasificado en la categoría de Vulnerable en la Lista Roja de la UICN, habiendo pasado a una categoría de amenaza superior después de ser clasificado como Casi Amenazado en 2015.</w:t>
      </w:r>
    </w:p>
    <w:p w14:paraId="3C72008C" w14:textId="77777777" w:rsidR="00FA5354" w:rsidRPr="00FA5354" w:rsidRDefault="00FA5354" w:rsidP="000374C1">
      <w:pPr>
        <w:autoSpaceDE/>
        <w:autoSpaceDN/>
        <w:adjustRightInd/>
        <w:spacing w:after="160"/>
        <w:jc w:val="both"/>
        <w:rPr>
          <w:rFonts w:eastAsiaTheme="minorHAnsi" w:cs="Arial"/>
          <w:sz w:val="22"/>
          <w:szCs w:val="22"/>
          <w:lang w:val="es-ES_tradnl"/>
        </w:rPr>
      </w:pPr>
      <w:r w:rsidRPr="00FA5354">
        <w:rPr>
          <w:rFonts w:eastAsiaTheme="minorHAnsi" w:cs="Arial"/>
          <w:bCs/>
          <w:sz w:val="22"/>
          <w:szCs w:val="22"/>
          <w:lang w:val="es-ES_tradnl"/>
        </w:rPr>
        <w:t>El</w:t>
      </w:r>
      <w:r w:rsidRPr="00FA5354">
        <w:rPr>
          <w:rFonts w:eastAsiaTheme="minorHAnsi" w:cs="Arial"/>
          <w:b/>
          <w:bCs/>
          <w:sz w:val="22"/>
          <w:szCs w:val="22"/>
          <w:lang w:val="es-ES_tradnl"/>
        </w:rPr>
        <w:t xml:space="preserve"> licaón</w:t>
      </w:r>
      <w:r w:rsidRPr="00FA5354">
        <w:rPr>
          <w:rFonts w:eastAsiaTheme="minorHAnsi" w:cs="Arial"/>
          <w:sz w:val="22"/>
          <w:szCs w:val="22"/>
          <w:lang w:val="es-ES_tradnl"/>
        </w:rPr>
        <w:t xml:space="preserve"> está clasificado en la categoría de En Peligro en la </w:t>
      </w:r>
      <w:hyperlink r:id="rId28" w:history="1">
        <w:r w:rsidRPr="00FA5354">
          <w:rPr>
            <w:rFonts w:eastAsiaTheme="minorHAnsi" w:cs="Arial"/>
            <w:color w:val="0563C1" w:themeColor="hyperlink"/>
            <w:sz w:val="22"/>
            <w:szCs w:val="22"/>
            <w:u w:val="single"/>
            <w:lang w:val="es-ES_tradnl"/>
          </w:rPr>
          <w:t>evaluación de la Lista Roja de la UICN de 2012</w:t>
        </w:r>
      </w:hyperlink>
      <w:r w:rsidRPr="00FA5354">
        <w:rPr>
          <w:rFonts w:eastAsiaTheme="minorHAnsi" w:cs="Arial"/>
          <w:sz w:val="22"/>
          <w:szCs w:val="22"/>
          <w:lang w:val="es-ES_tradnl"/>
        </w:rPr>
        <w:t>. Aunque la deficiencia de datos complica las estimaciones poblacionales, según la evaluación de la UICN se produjo una disminución global del 17 por ciento de la población entre 1997 y 2012. La disminución fue más pronunciada en África central y austral, donde las poblaciones disminuyeron en torno al 26 por ciento durante el mismo período.</w:t>
      </w:r>
    </w:p>
    <w:tbl>
      <w:tblPr>
        <w:tblStyle w:val="TableGrid2"/>
        <w:tblW w:w="9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708"/>
        <w:gridCol w:w="1418"/>
        <w:gridCol w:w="1984"/>
        <w:gridCol w:w="828"/>
        <w:gridCol w:w="1591"/>
      </w:tblGrid>
      <w:tr w:rsidR="00FA5354" w:rsidRPr="00FA5354" w14:paraId="1A6BD436" w14:textId="77777777" w:rsidTr="00FA5354">
        <w:trPr>
          <w:trHeight w:val="208"/>
        </w:trPr>
        <w:tc>
          <w:tcPr>
            <w:tcW w:w="9331" w:type="dxa"/>
            <w:gridSpan w:val="6"/>
            <w:tcBorders>
              <w:top w:val="single" w:sz="4" w:space="0" w:color="auto"/>
              <w:left w:val="single" w:sz="4" w:space="0" w:color="auto"/>
              <w:bottom w:val="single" w:sz="4" w:space="0" w:color="auto"/>
              <w:right w:val="single" w:sz="4" w:space="0" w:color="auto"/>
            </w:tcBorders>
          </w:tcPr>
          <w:p w14:paraId="7C8BCE07" w14:textId="77777777" w:rsidR="00FA5354" w:rsidRPr="00FA5354" w:rsidRDefault="00FA5354" w:rsidP="000374C1">
            <w:pPr>
              <w:tabs>
                <w:tab w:val="left" w:pos="1134"/>
              </w:tabs>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Cuadro 1. Evolución de las poblaciones de guepardo, leopardo, león y licaón en África según las últimas evaluaciones de la Lista Roja de la UICN. Los cambios relativos en la abundancia se refieren a un período de tres generaciones.</w:t>
            </w:r>
          </w:p>
        </w:tc>
      </w:tr>
      <w:tr w:rsidR="00FA5354" w:rsidRPr="00FA5354" w14:paraId="6C7F01D6" w14:textId="77777777" w:rsidTr="00FA5354">
        <w:trPr>
          <w:trHeight w:val="208"/>
        </w:trPr>
        <w:tc>
          <w:tcPr>
            <w:tcW w:w="2802" w:type="dxa"/>
            <w:vMerge w:val="restart"/>
            <w:tcBorders>
              <w:top w:val="single" w:sz="4" w:space="0" w:color="auto"/>
              <w:left w:val="single" w:sz="4" w:space="0" w:color="auto"/>
            </w:tcBorders>
          </w:tcPr>
          <w:p w14:paraId="35B8E439" w14:textId="77777777" w:rsidR="00FA5354" w:rsidRPr="00FA5354" w:rsidRDefault="00FA5354" w:rsidP="000374C1">
            <w:pPr>
              <w:autoSpaceDE/>
              <w:autoSpaceDN/>
              <w:adjustRightInd/>
              <w:spacing w:before="40" w:after="40"/>
              <w:rPr>
                <w:rFonts w:ascii="Arial" w:hAnsi="Arial" w:cs="Arial"/>
                <w:b/>
                <w:sz w:val="20"/>
                <w:szCs w:val="20"/>
                <w:lang w:val="es-ES_tradnl"/>
              </w:rPr>
            </w:pPr>
            <w:r w:rsidRPr="00FA5354">
              <w:rPr>
                <w:rFonts w:ascii="Arial" w:hAnsi="Arial" w:cs="Arial"/>
                <w:b/>
                <w:sz w:val="20"/>
                <w:szCs w:val="20"/>
                <w:lang w:val="es-ES_tradnl"/>
              </w:rPr>
              <w:t>Especie</w:t>
            </w:r>
          </w:p>
        </w:tc>
        <w:tc>
          <w:tcPr>
            <w:tcW w:w="2126" w:type="dxa"/>
            <w:gridSpan w:val="2"/>
            <w:tcBorders>
              <w:top w:val="single" w:sz="4" w:space="0" w:color="auto"/>
            </w:tcBorders>
          </w:tcPr>
          <w:p w14:paraId="111838ED" w14:textId="77777777" w:rsidR="00FA5354" w:rsidRPr="00FA5354" w:rsidRDefault="00FA5354" w:rsidP="000374C1">
            <w:pPr>
              <w:autoSpaceDE/>
              <w:autoSpaceDN/>
              <w:adjustRightInd/>
              <w:spacing w:before="40" w:after="40"/>
              <w:rPr>
                <w:rFonts w:ascii="Arial" w:hAnsi="Arial" w:cs="Arial"/>
                <w:b/>
                <w:sz w:val="20"/>
                <w:szCs w:val="20"/>
                <w:lang w:val="es-ES_tradnl"/>
              </w:rPr>
            </w:pPr>
            <w:r w:rsidRPr="00FA5354">
              <w:rPr>
                <w:rFonts w:ascii="Arial" w:hAnsi="Arial" w:cs="Arial"/>
                <w:b/>
                <w:sz w:val="20"/>
                <w:szCs w:val="20"/>
                <w:lang w:val="es-ES_tradnl"/>
              </w:rPr>
              <w:t>Lista Roja UICN</w:t>
            </w:r>
          </w:p>
        </w:tc>
        <w:tc>
          <w:tcPr>
            <w:tcW w:w="1984" w:type="dxa"/>
            <w:vMerge w:val="restart"/>
            <w:tcBorders>
              <w:top w:val="single" w:sz="4" w:space="0" w:color="auto"/>
            </w:tcBorders>
          </w:tcPr>
          <w:p w14:paraId="694C83E2" w14:textId="77777777" w:rsidR="00FA5354" w:rsidRPr="00FA5354" w:rsidRDefault="00FA5354" w:rsidP="000374C1">
            <w:pPr>
              <w:autoSpaceDE/>
              <w:autoSpaceDN/>
              <w:adjustRightInd/>
              <w:spacing w:before="40" w:after="40"/>
              <w:rPr>
                <w:rFonts w:ascii="Arial" w:hAnsi="Arial" w:cs="Arial"/>
                <w:b/>
                <w:sz w:val="20"/>
                <w:szCs w:val="20"/>
                <w:lang w:val="es-ES_tradnl"/>
              </w:rPr>
            </w:pPr>
            <w:r w:rsidRPr="00FA5354">
              <w:rPr>
                <w:rFonts w:ascii="Arial" w:hAnsi="Arial" w:cs="Arial"/>
                <w:b/>
                <w:sz w:val="20"/>
                <w:szCs w:val="20"/>
                <w:lang w:val="es-ES_tradnl"/>
              </w:rPr>
              <w:t>Estimación poblacional (individuos maduros)</w:t>
            </w:r>
          </w:p>
        </w:tc>
        <w:tc>
          <w:tcPr>
            <w:tcW w:w="828" w:type="dxa"/>
            <w:vMerge w:val="restart"/>
            <w:tcBorders>
              <w:top w:val="single" w:sz="4" w:space="0" w:color="auto"/>
            </w:tcBorders>
          </w:tcPr>
          <w:p w14:paraId="376C6040" w14:textId="77777777" w:rsidR="00FA5354" w:rsidRPr="00FA5354" w:rsidRDefault="00FA5354" w:rsidP="000374C1">
            <w:pPr>
              <w:autoSpaceDE/>
              <w:autoSpaceDN/>
              <w:adjustRightInd/>
              <w:spacing w:before="40" w:after="40"/>
              <w:rPr>
                <w:rFonts w:ascii="Arial" w:hAnsi="Arial" w:cs="Arial"/>
                <w:b/>
                <w:sz w:val="20"/>
                <w:szCs w:val="20"/>
                <w:lang w:val="es-ES_tradnl"/>
              </w:rPr>
            </w:pPr>
            <w:r w:rsidRPr="00FA5354">
              <w:rPr>
                <w:rFonts w:ascii="Arial" w:hAnsi="Arial" w:cs="Arial"/>
                <w:b/>
                <w:sz w:val="20"/>
                <w:szCs w:val="20"/>
                <w:lang w:val="es-ES_tradnl"/>
              </w:rPr>
              <w:t>Tendencia</w:t>
            </w:r>
          </w:p>
        </w:tc>
        <w:tc>
          <w:tcPr>
            <w:tcW w:w="1591" w:type="dxa"/>
            <w:vMerge w:val="restart"/>
            <w:tcBorders>
              <w:top w:val="single" w:sz="4" w:space="0" w:color="auto"/>
              <w:right w:val="single" w:sz="4" w:space="0" w:color="auto"/>
            </w:tcBorders>
          </w:tcPr>
          <w:p w14:paraId="53B54759" w14:textId="77777777" w:rsidR="00FA5354" w:rsidRPr="00FA5354" w:rsidRDefault="00FA5354" w:rsidP="000374C1">
            <w:pPr>
              <w:autoSpaceDE/>
              <w:autoSpaceDN/>
              <w:adjustRightInd/>
              <w:spacing w:before="40" w:after="40"/>
              <w:rPr>
                <w:rFonts w:ascii="Arial" w:hAnsi="Arial" w:cs="Arial"/>
                <w:b/>
                <w:sz w:val="20"/>
                <w:szCs w:val="20"/>
                <w:lang w:val="es-ES_tradnl"/>
              </w:rPr>
            </w:pPr>
            <w:r w:rsidRPr="00FA5354">
              <w:rPr>
                <w:rFonts w:ascii="Arial" w:hAnsi="Arial" w:cs="Arial"/>
                <w:b/>
                <w:sz w:val="20"/>
                <w:szCs w:val="20"/>
                <w:lang w:val="es-ES_tradnl"/>
              </w:rPr>
              <w:t>Cambio relativo en la abundancia</w:t>
            </w:r>
          </w:p>
        </w:tc>
      </w:tr>
      <w:tr w:rsidR="00FA5354" w:rsidRPr="00FA5354" w14:paraId="72B6BD13" w14:textId="77777777" w:rsidTr="00FA5354">
        <w:trPr>
          <w:trHeight w:val="207"/>
        </w:trPr>
        <w:tc>
          <w:tcPr>
            <w:tcW w:w="2802" w:type="dxa"/>
            <w:vMerge/>
            <w:tcBorders>
              <w:left w:val="single" w:sz="4" w:space="0" w:color="auto"/>
              <w:bottom w:val="single" w:sz="4" w:space="0" w:color="auto"/>
            </w:tcBorders>
          </w:tcPr>
          <w:p w14:paraId="5F766D25" w14:textId="77777777" w:rsidR="00FA5354" w:rsidRPr="00FA5354" w:rsidRDefault="00FA5354" w:rsidP="000374C1">
            <w:pPr>
              <w:autoSpaceDE/>
              <w:autoSpaceDN/>
              <w:adjustRightInd/>
              <w:spacing w:before="40" w:after="40"/>
              <w:rPr>
                <w:rFonts w:ascii="Arial" w:hAnsi="Arial" w:cs="Arial"/>
                <w:sz w:val="20"/>
                <w:szCs w:val="20"/>
                <w:lang w:val="es-ES_tradnl"/>
              </w:rPr>
            </w:pPr>
          </w:p>
        </w:tc>
        <w:tc>
          <w:tcPr>
            <w:tcW w:w="708" w:type="dxa"/>
            <w:tcBorders>
              <w:bottom w:val="single" w:sz="4" w:space="0" w:color="auto"/>
            </w:tcBorders>
          </w:tcPr>
          <w:p w14:paraId="5D460EC3"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Año</w:t>
            </w:r>
          </w:p>
        </w:tc>
        <w:tc>
          <w:tcPr>
            <w:tcW w:w="1418" w:type="dxa"/>
            <w:tcBorders>
              <w:bottom w:val="single" w:sz="4" w:space="0" w:color="auto"/>
            </w:tcBorders>
          </w:tcPr>
          <w:p w14:paraId="63B14560"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Categoría</w:t>
            </w:r>
          </w:p>
        </w:tc>
        <w:tc>
          <w:tcPr>
            <w:tcW w:w="1984" w:type="dxa"/>
            <w:vMerge/>
            <w:tcBorders>
              <w:bottom w:val="single" w:sz="4" w:space="0" w:color="auto"/>
            </w:tcBorders>
          </w:tcPr>
          <w:p w14:paraId="22BF5B5A" w14:textId="77777777" w:rsidR="00FA5354" w:rsidRPr="00FA5354" w:rsidRDefault="00FA5354" w:rsidP="000374C1">
            <w:pPr>
              <w:autoSpaceDE/>
              <w:autoSpaceDN/>
              <w:adjustRightInd/>
              <w:spacing w:before="40" w:after="40"/>
              <w:rPr>
                <w:rFonts w:ascii="Arial" w:hAnsi="Arial" w:cs="Arial"/>
                <w:sz w:val="20"/>
                <w:szCs w:val="20"/>
                <w:lang w:val="es-ES_tradnl"/>
              </w:rPr>
            </w:pPr>
          </w:p>
        </w:tc>
        <w:tc>
          <w:tcPr>
            <w:tcW w:w="828" w:type="dxa"/>
            <w:vMerge/>
            <w:tcBorders>
              <w:bottom w:val="single" w:sz="4" w:space="0" w:color="auto"/>
            </w:tcBorders>
          </w:tcPr>
          <w:p w14:paraId="22205F9E" w14:textId="77777777" w:rsidR="00FA5354" w:rsidRPr="00FA5354" w:rsidRDefault="00FA5354" w:rsidP="000374C1">
            <w:pPr>
              <w:autoSpaceDE/>
              <w:autoSpaceDN/>
              <w:adjustRightInd/>
              <w:spacing w:before="40" w:after="40"/>
              <w:rPr>
                <w:rFonts w:ascii="Arial" w:hAnsi="Arial" w:cs="Arial"/>
                <w:sz w:val="20"/>
                <w:szCs w:val="20"/>
                <w:lang w:val="es-ES_tradnl"/>
              </w:rPr>
            </w:pPr>
          </w:p>
        </w:tc>
        <w:tc>
          <w:tcPr>
            <w:tcW w:w="1591" w:type="dxa"/>
            <w:vMerge/>
            <w:tcBorders>
              <w:bottom w:val="single" w:sz="4" w:space="0" w:color="auto"/>
              <w:right w:val="single" w:sz="4" w:space="0" w:color="auto"/>
            </w:tcBorders>
          </w:tcPr>
          <w:p w14:paraId="4F00F4A8" w14:textId="77777777" w:rsidR="00FA5354" w:rsidRPr="00FA5354" w:rsidRDefault="00FA5354" w:rsidP="000374C1">
            <w:pPr>
              <w:autoSpaceDE/>
              <w:autoSpaceDN/>
              <w:adjustRightInd/>
              <w:spacing w:before="40" w:after="40"/>
              <w:rPr>
                <w:rFonts w:ascii="Arial" w:hAnsi="Arial" w:cs="Arial"/>
                <w:sz w:val="20"/>
                <w:szCs w:val="20"/>
                <w:lang w:val="es-ES_tradnl"/>
              </w:rPr>
            </w:pPr>
          </w:p>
        </w:tc>
      </w:tr>
      <w:tr w:rsidR="00FA5354" w:rsidRPr="00FA5354" w14:paraId="4E150588" w14:textId="77777777" w:rsidTr="00FA5354">
        <w:tc>
          <w:tcPr>
            <w:tcW w:w="2802" w:type="dxa"/>
            <w:tcBorders>
              <w:top w:val="single" w:sz="4" w:space="0" w:color="auto"/>
              <w:left w:val="single" w:sz="4" w:space="0" w:color="auto"/>
              <w:bottom w:val="single" w:sz="4" w:space="0" w:color="auto"/>
            </w:tcBorders>
          </w:tcPr>
          <w:p w14:paraId="67807F41"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b/>
                <w:sz w:val="20"/>
                <w:szCs w:val="20"/>
                <w:lang w:val="es-ES_tradnl"/>
              </w:rPr>
              <w:t>Guepardo</w:t>
            </w:r>
            <w:r w:rsidRPr="00FA5354">
              <w:rPr>
                <w:rFonts w:ascii="Arial" w:hAnsi="Arial" w:cs="Arial"/>
                <w:i/>
                <w:sz w:val="20"/>
                <w:szCs w:val="20"/>
                <w:lang w:val="es-ES_tradnl"/>
              </w:rPr>
              <w:t xml:space="preserve"> Acinonyx jubatus</w:t>
            </w:r>
          </w:p>
          <w:p w14:paraId="479EDC78" w14:textId="77777777" w:rsidR="00FA5354" w:rsidRPr="00FA5354" w:rsidRDefault="00FA5354" w:rsidP="000374C1">
            <w:pPr>
              <w:autoSpaceDE/>
              <w:autoSpaceDN/>
              <w:adjustRightInd/>
              <w:spacing w:before="40" w:after="40"/>
              <w:ind w:firstLine="142"/>
              <w:rPr>
                <w:rFonts w:ascii="Arial" w:hAnsi="Arial" w:cs="Arial"/>
                <w:sz w:val="20"/>
                <w:szCs w:val="20"/>
                <w:lang w:val="es-ES_tradnl"/>
              </w:rPr>
            </w:pPr>
            <w:r w:rsidRPr="00FA5354">
              <w:rPr>
                <w:rFonts w:ascii="Arial" w:hAnsi="Arial" w:cs="Arial"/>
                <w:sz w:val="20"/>
                <w:szCs w:val="20"/>
                <w:lang w:val="es-ES_tradnl"/>
              </w:rPr>
              <w:t>África austral</w:t>
            </w:r>
          </w:p>
          <w:p w14:paraId="347CCB19" w14:textId="77777777" w:rsidR="00FA5354" w:rsidRPr="00FA5354" w:rsidRDefault="00FA5354" w:rsidP="000374C1">
            <w:pPr>
              <w:autoSpaceDE/>
              <w:autoSpaceDN/>
              <w:adjustRightInd/>
              <w:spacing w:before="40" w:after="40"/>
              <w:ind w:firstLine="142"/>
              <w:rPr>
                <w:rFonts w:ascii="Arial" w:hAnsi="Arial" w:cs="Arial"/>
                <w:sz w:val="20"/>
                <w:szCs w:val="20"/>
                <w:lang w:val="es-ES_tradnl"/>
              </w:rPr>
            </w:pPr>
            <w:r w:rsidRPr="00FA5354">
              <w:rPr>
                <w:rFonts w:ascii="Arial" w:hAnsi="Arial" w:cs="Arial"/>
                <w:sz w:val="20"/>
                <w:szCs w:val="20"/>
                <w:lang w:val="es-ES_tradnl"/>
              </w:rPr>
              <w:t>África oriental</w:t>
            </w:r>
          </w:p>
          <w:p w14:paraId="32886050" w14:textId="77777777" w:rsidR="00FA5354" w:rsidRPr="00FA5354" w:rsidRDefault="00FA5354" w:rsidP="000374C1">
            <w:pPr>
              <w:autoSpaceDE/>
              <w:autoSpaceDN/>
              <w:adjustRightInd/>
              <w:spacing w:before="40" w:after="40"/>
              <w:ind w:firstLine="142"/>
              <w:rPr>
                <w:rFonts w:ascii="Arial" w:hAnsi="Arial" w:cs="Arial"/>
                <w:sz w:val="20"/>
                <w:szCs w:val="20"/>
                <w:lang w:val="es-ES_tradnl"/>
              </w:rPr>
            </w:pPr>
            <w:r w:rsidRPr="00FA5354">
              <w:rPr>
                <w:rFonts w:ascii="Arial" w:hAnsi="Arial" w:cs="Arial"/>
                <w:sz w:val="20"/>
                <w:szCs w:val="20"/>
                <w:lang w:val="es-ES_tradnl"/>
              </w:rPr>
              <w:t>África occidental, central y septentrional</w:t>
            </w:r>
            <w:r w:rsidRPr="00FA5354">
              <w:rPr>
                <w:rFonts w:ascii="Arial" w:hAnsi="Arial" w:cs="Arial"/>
                <w:sz w:val="20"/>
                <w:szCs w:val="20"/>
                <w:vertAlign w:val="superscript"/>
                <w:lang w:val="es-ES_tradnl"/>
              </w:rPr>
              <w:t>6</w:t>
            </w:r>
          </w:p>
        </w:tc>
        <w:tc>
          <w:tcPr>
            <w:tcW w:w="708" w:type="dxa"/>
            <w:tcBorders>
              <w:top w:val="single" w:sz="4" w:space="0" w:color="auto"/>
              <w:bottom w:val="single" w:sz="4" w:space="0" w:color="auto"/>
            </w:tcBorders>
          </w:tcPr>
          <w:p w14:paraId="34E3BBEC" w14:textId="77777777" w:rsidR="00FA5354" w:rsidRPr="00FA5354" w:rsidRDefault="00FA5354" w:rsidP="000374C1">
            <w:pPr>
              <w:autoSpaceDE/>
              <w:autoSpaceDN/>
              <w:adjustRightInd/>
              <w:spacing w:before="40" w:after="40"/>
              <w:rPr>
                <w:rFonts w:ascii="Arial" w:hAnsi="Arial" w:cs="Arial"/>
                <w:sz w:val="20"/>
                <w:szCs w:val="20"/>
                <w:vertAlign w:val="superscript"/>
                <w:lang w:val="es-ES_tradnl"/>
              </w:rPr>
            </w:pPr>
            <w:r w:rsidRPr="00FA5354">
              <w:rPr>
                <w:rFonts w:ascii="Arial" w:hAnsi="Arial" w:cs="Arial"/>
                <w:sz w:val="20"/>
                <w:szCs w:val="20"/>
                <w:lang w:val="es-ES_tradnl"/>
              </w:rPr>
              <w:t>2015</w:t>
            </w:r>
            <w:r w:rsidRPr="00FA5354">
              <w:rPr>
                <w:rFonts w:ascii="Arial" w:hAnsi="Arial" w:cs="Arial"/>
                <w:sz w:val="20"/>
                <w:szCs w:val="20"/>
                <w:vertAlign w:val="superscript"/>
                <w:lang w:val="es-ES_tradnl"/>
              </w:rPr>
              <w:t>1</w:t>
            </w:r>
          </w:p>
          <w:p w14:paraId="1FAD24ED" w14:textId="77777777" w:rsidR="00FA5354" w:rsidRPr="00FA5354" w:rsidRDefault="00FA5354" w:rsidP="000374C1">
            <w:pPr>
              <w:autoSpaceDE/>
              <w:autoSpaceDN/>
              <w:adjustRightInd/>
              <w:spacing w:before="40" w:after="40"/>
              <w:rPr>
                <w:rFonts w:ascii="Arial" w:hAnsi="Arial" w:cs="Arial"/>
                <w:sz w:val="20"/>
                <w:szCs w:val="20"/>
                <w:lang w:val="es-ES_tradnl"/>
              </w:rPr>
            </w:pPr>
          </w:p>
          <w:p w14:paraId="506E69EB" w14:textId="77777777" w:rsidR="00FA5354" w:rsidRPr="00FA5354" w:rsidRDefault="00FA5354" w:rsidP="000374C1">
            <w:pPr>
              <w:autoSpaceDE/>
              <w:autoSpaceDN/>
              <w:adjustRightInd/>
              <w:spacing w:before="40" w:after="40"/>
              <w:rPr>
                <w:rFonts w:ascii="Arial" w:hAnsi="Arial" w:cs="Arial"/>
                <w:sz w:val="20"/>
                <w:szCs w:val="20"/>
                <w:lang w:val="es-ES_tradnl"/>
              </w:rPr>
            </w:pPr>
          </w:p>
          <w:p w14:paraId="36E243B3" w14:textId="77777777" w:rsidR="00FA5354" w:rsidRPr="00FA5354" w:rsidRDefault="00FA5354" w:rsidP="000374C1">
            <w:pPr>
              <w:autoSpaceDE/>
              <w:autoSpaceDN/>
              <w:adjustRightInd/>
              <w:spacing w:before="40" w:after="40"/>
              <w:rPr>
                <w:rFonts w:ascii="Arial" w:hAnsi="Arial" w:cs="Arial"/>
                <w:sz w:val="20"/>
                <w:szCs w:val="20"/>
                <w:vertAlign w:val="superscript"/>
                <w:lang w:val="es-ES_tradnl"/>
              </w:rPr>
            </w:pPr>
          </w:p>
        </w:tc>
        <w:tc>
          <w:tcPr>
            <w:tcW w:w="1418" w:type="dxa"/>
            <w:tcBorders>
              <w:top w:val="single" w:sz="4" w:space="0" w:color="auto"/>
              <w:bottom w:val="single" w:sz="4" w:space="0" w:color="auto"/>
            </w:tcBorders>
          </w:tcPr>
          <w:p w14:paraId="214BF003"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VU A2acd; C1</w:t>
            </w:r>
          </w:p>
          <w:p w14:paraId="79436F97" w14:textId="77777777" w:rsidR="00FA5354" w:rsidRPr="00FA5354" w:rsidRDefault="00FA5354" w:rsidP="000374C1">
            <w:pPr>
              <w:autoSpaceDE/>
              <w:autoSpaceDN/>
              <w:adjustRightInd/>
              <w:spacing w:before="40" w:after="40"/>
              <w:rPr>
                <w:rFonts w:ascii="Arial" w:hAnsi="Arial" w:cs="Arial"/>
                <w:sz w:val="20"/>
                <w:szCs w:val="20"/>
                <w:lang w:val="es-ES_tradnl"/>
              </w:rPr>
            </w:pPr>
          </w:p>
          <w:p w14:paraId="2B1CDF28" w14:textId="77777777" w:rsidR="00FA5354" w:rsidRPr="00FA5354" w:rsidRDefault="00FA5354" w:rsidP="000374C1">
            <w:pPr>
              <w:autoSpaceDE/>
              <w:autoSpaceDN/>
              <w:adjustRightInd/>
              <w:spacing w:before="40" w:after="40"/>
              <w:rPr>
                <w:rFonts w:ascii="Arial" w:hAnsi="Arial" w:cs="Arial"/>
                <w:sz w:val="20"/>
                <w:szCs w:val="20"/>
                <w:lang w:val="es-ES_tradnl"/>
              </w:rPr>
            </w:pPr>
          </w:p>
          <w:p w14:paraId="0DA9B935" w14:textId="77777777" w:rsidR="00FA5354" w:rsidRPr="00FA5354" w:rsidRDefault="00FA5354" w:rsidP="000374C1">
            <w:pPr>
              <w:autoSpaceDE/>
              <w:autoSpaceDN/>
              <w:adjustRightInd/>
              <w:spacing w:before="40" w:after="40"/>
              <w:rPr>
                <w:rFonts w:ascii="Arial" w:hAnsi="Arial" w:cs="Arial"/>
                <w:sz w:val="20"/>
                <w:szCs w:val="20"/>
                <w:lang w:val="es-ES_tradnl"/>
              </w:rPr>
            </w:pPr>
          </w:p>
        </w:tc>
        <w:tc>
          <w:tcPr>
            <w:tcW w:w="1984" w:type="dxa"/>
            <w:tcBorders>
              <w:top w:val="single" w:sz="4" w:space="0" w:color="auto"/>
              <w:bottom w:val="single" w:sz="4" w:space="0" w:color="auto"/>
            </w:tcBorders>
          </w:tcPr>
          <w:p w14:paraId="4332D828"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6.674</w:t>
            </w:r>
          </w:p>
          <w:p w14:paraId="109B4F53"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4.190</w:t>
            </w:r>
          </w:p>
          <w:p w14:paraId="313EDFFF"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2.572</w:t>
            </w:r>
          </w:p>
          <w:p w14:paraId="5423FFFE"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446</w:t>
            </w:r>
          </w:p>
        </w:tc>
        <w:tc>
          <w:tcPr>
            <w:tcW w:w="828" w:type="dxa"/>
            <w:tcBorders>
              <w:top w:val="single" w:sz="4" w:space="0" w:color="auto"/>
              <w:bottom w:val="single" w:sz="4" w:space="0" w:color="auto"/>
            </w:tcBorders>
          </w:tcPr>
          <w:p w14:paraId="0420A29F"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Dism.</w:t>
            </w:r>
          </w:p>
          <w:p w14:paraId="730B5E16"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w:t>
            </w:r>
          </w:p>
          <w:p w14:paraId="16257844"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w:t>
            </w:r>
          </w:p>
          <w:p w14:paraId="36838F5D"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w:t>
            </w:r>
          </w:p>
        </w:tc>
        <w:tc>
          <w:tcPr>
            <w:tcW w:w="1591" w:type="dxa"/>
            <w:tcBorders>
              <w:top w:val="single" w:sz="4" w:space="0" w:color="auto"/>
              <w:bottom w:val="single" w:sz="4" w:space="0" w:color="auto"/>
              <w:right w:val="single" w:sz="4" w:space="0" w:color="auto"/>
            </w:tcBorders>
          </w:tcPr>
          <w:p w14:paraId="701FA146"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-30% o más</w:t>
            </w:r>
          </w:p>
          <w:p w14:paraId="087AE701"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w:t>
            </w:r>
          </w:p>
          <w:p w14:paraId="6DFCCC7B"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w:t>
            </w:r>
          </w:p>
          <w:p w14:paraId="163D7097"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w:t>
            </w:r>
          </w:p>
        </w:tc>
      </w:tr>
      <w:tr w:rsidR="00FA5354" w:rsidRPr="00FA5354" w14:paraId="622C8DDC" w14:textId="77777777" w:rsidTr="00FA5354">
        <w:tc>
          <w:tcPr>
            <w:tcW w:w="2802" w:type="dxa"/>
            <w:tcBorders>
              <w:top w:val="single" w:sz="4" w:space="0" w:color="auto"/>
              <w:left w:val="single" w:sz="4" w:space="0" w:color="auto"/>
              <w:bottom w:val="single" w:sz="4" w:space="0" w:color="auto"/>
            </w:tcBorders>
          </w:tcPr>
          <w:p w14:paraId="1782007C" w14:textId="77777777" w:rsidR="00FA5354" w:rsidRPr="00FA5354" w:rsidRDefault="00FA5354" w:rsidP="000374C1">
            <w:pPr>
              <w:autoSpaceDE/>
              <w:autoSpaceDN/>
              <w:adjustRightInd/>
              <w:spacing w:before="40" w:after="40"/>
              <w:rPr>
                <w:rFonts w:ascii="Arial" w:hAnsi="Arial" w:cs="Arial"/>
                <w:i/>
                <w:sz w:val="20"/>
                <w:szCs w:val="20"/>
                <w:lang w:val="es-ES_tradnl"/>
              </w:rPr>
            </w:pPr>
            <w:r w:rsidRPr="00FA5354">
              <w:rPr>
                <w:rFonts w:ascii="Arial" w:hAnsi="Arial" w:cs="Arial"/>
                <w:b/>
                <w:sz w:val="20"/>
                <w:szCs w:val="20"/>
                <w:lang w:val="es-ES_tradnl"/>
              </w:rPr>
              <w:t>Leopardo</w:t>
            </w:r>
            <w:r w:rsidRPr="00FA5354">
              <w:rPr>
                <w:rFonts w:ascii="Arial" w:hAnsi="Arial" w:cs="Arial"/>
                <w:i/>
                <w:sz w:val="20"/>
                <w:szCs w:val="20"/>
                <w:lang w:val="es-ES_tradnl"/>
              </w:rPr>
              <w:t xml:space="preserve"> Panthera pardus</w:t>
            </w:r>
          </w:p>
          <w:p w14:paraId="715952DC" w14:textId="77777777" w:rsidR="00FA5354" w:rsidRPr="00FA5354" w:rsidRDefault="00FA5354" w:rsidP="000374C1">
            <w:pPr>
              <w:autoSpaceDE/>
              <w:autoSpaceDN/>
              <w:adjustRightInd/>
              <w:spacing w:before="40" w:after="40"/>
              <w:ind w:left="142"/>
              <w:rPr>
                <w:rFonts w:ascii="Arial" w:hAnsi="Arial" w:cs="Arial"/>
                <w:sz w:val="20"/>
                <w:szCs w:val="20"/>
                <w:lang w:val="es-ES_tradnl"/>
              </w:rPr>
            </w:pPr>
            <w:r w:rsidRPr="00FA5354">
              <w:rPr>
                <w:rFonts w:ascii="Arial" w:hAnsi="Arial" w:cs="Arial"/>
                <w:sz w:val="20"/>
                <w:szCs w:val="20"/>
                <w:lang w:val="es-ES_tradnl"/>
              </w:rPr>
              <w:t>África septentrional</w:t>
            </w:r>
          </w:p>
          <w:p w14:paraId="0ACCBC82" w14:textId="77777777" w:rsidR="00FA5354" w:rsidRPr="00FA5354" w:rsidRDefault="00FA5354" w:rsidP="000374C1">
            <w:pPr>
              <w:autoSpaceDE/>
              <w:autoSpaceDN/>
              <w:adjustRightInd/>
              <w:spacing w:before="40" w:after="40"/>
              <w:ind w:left="142"/>
              <w:rPr>
                <w:rFonts w:ascii="Arial" w:hAnsi="Arial" w:cs="Arial"/>
                <w:sz w:val="20"/>
                <w:szCs w:val="20"/>
                <w:lang w:val="es-ES_tradnl"/>
              </w:rPr>
            </w:pPr>
            <w:r w:rsidRPr="00FA5354">
              <w:rPr>
                <w:rFonts w:ascii="Arial" w:hAnsi="Arial" w:cs="Arial"/>
                <w:sz w:val="20"/>
                <w:szCs w:val="20"/>
                <w:lang w:val="es-ES_tradnl"/>
              </w:rPr>
              <w:t>África subsahariana</w:t>
            </w:r>
          </w:p>
        </w:tc>
        <w:tc>
          <w:tcPr>
            <w:tcW w:w="708" w:type="dxa"/>
            <w:tcBorders>
              <w:top w:val="single" w:sz="4" w:space="0" w:color="auto"/>
              <w:bottom w:val="single" w:sz="4" w:space="0" w:color="auto"/>
            </w:tcBorders>
          </w:tcPr>
          <w:p w14:paraId="6B6880FE" w14:textId="77777777" w:rsidR="00FA5354" w:rsidRPr="00FA5354" w:rsidRDefault="00FA5354" w:rsidP="000374C1">
            <w:pPr>
              <w:autoSpaceDE/>
              <w:autoSpaceDN/>
              <w:adjustRightInd/>
              <w:spacing w:before="40" w:after="40"/>
              <w:rPr>
                <w:rFonts w:ascii="Arial" w:hAnsi="Arial" w:cs="Arial"/>
                <w:sz w:val="20"/>
                <w:szCs w:val="20"/>
                <w:vertAlign w:val="superscript"/>
                <w:lang w:val="es-ES_tradnl"/>
              </w:rPr>
            </w:pPr>
            <w:r w:rsidRPr="00FA5354">
              <w:rPr>
                <w:rFonts w:ascii="Arial" w:hAnsi="Arial" w:cs="Arial"/>
                <w:sz w:val="20"/>
                <w:szCs w:val="20"/>
                <w:lang w:val="es-ES_tradnl"/>
              </w:rPr>
              <w:t>2016</w:t>
            </w:r>
            <w:r w:rsidRPr="00FA5354">
              <w:rPr>
                <w:rFonts w:ascii="Arial" w:hAnsi="Arial" w:cs="Arial"/>
                <w:sz w:val="20"/>
                <w:szCs w:val="20"/>
                <w:vertAlign w:val="superscript"/>
                <w:lang w:val="es-ES_tradnl"/>
              </w:rPr>
              <w:t>2</w:t>
            </w:r>
          </w:p>
        </w:tc>
        <w:tc>
          <w:tcPr>
            <w:tcW w:w="1418" w:type="dxa"/>
            <w:tcBorders>
              <w:top w:val="single" w:sz="4" w:space="0" w:color="auto"/>
              <w:bottom w:val="single" w:sz="4" w:space="0" w:color="auto"/>
            </w:tcBorders>
          </w:tcPr>
          <w:p w14:paraId="23299234" w14:textId="77777777" w:rsidR="00FA5354" w:rsidRPr="00FA5354" w:rsidRDefault="00FA5354" w:rsidP="000374C1">
            <w:pPr>
              <w:autoSpaceDE/>
              <w:autoSpaceDN/>
              <w:adjustRightInd/>
              <w:spacing w:before="40" w:after="40"/>
              <w:rPr>
                <w:rFonts w:ascii="Arial" w:hAnsi="Arial" w:cs="Arial"/>
                <w:sz w:val="20"/>
                <w:szCs w:val="20"/>
                <w:lang w:val="fr-CH"/>
              </w:rPr>
            </w:pPr>
            <w:r w:rsidRPr="00FA5354">
              <w:rPr>
                <w:rFonts w:ascii="Arial" w:hAnsi="Arial" w:cs="Arial"/>
                <w:sz w:val="20"/>
                <w:szCs w:val="20"/>
                <w:lang w:val="fr-CH"/>
              </w:rPr>
              <w:t>VU A2cd</w:t>
            </w:r>
          </w:p>
          <w:p w14:paraId="0CDA872C" w14:textId="77777777" w:rsidR="00FA5354" w:rsidRPr="00FA5354" w:rsidRDefault="00FA5354" w:rsidP="000374C1">
            <w:pPr>
              <w:autoSpaceDE/>
              <w:autoSpaceDN/>
              <w:adjustRightInd/>
              <w:spacing w:before="40" w:after="40"/>
              <w:rPr>
                <w:rFonts w:ascii="Arial" w:hAnsi="Arial" w:cs="Arial"/>
                <w:sz w:val="20"/>
                <w:szCs w:val="20"/>
                <w:lang w:val="fr-CH"/>
              </w:rPr>
            </w:pPr>
            <w:r w:rsidRPr="00FA5354">
              <w:rPr>
                <w:rFonts w:ascii="Arial" w:hAnsi="Arial" w:cs="Arial"/>
                <w:sz w:val="20"/>
                <w:szCs w:val="20"/>
                <w:lang w:val="fr-CH"/>
              </w:rPr>
              <w:t>(CR)</w:t>
            </w:r>
          </w:p>
          <w:p w14:paraId="368051E4" w14:textId="77777777" w:rsidR="00FA5354" w:rsidRPr="00FA5354" w:rsidRDefault="00FA5354" w:rsidP="000374C1">
            <w:pPr>
              <w:autoSpaceDE/>
              <w:autoSpaceDN/>
              <w:adjustRightInd/>
              <w:spacing w:before="40" w:after="40"/>
              <w:rPr>
                <w:rFonts w:ascii="Arial" w:hAnsi="Arial" w:cs="Arial"/>
                <w:sz w:val="20"/>
                <w:szCs w:val="20"/>
                <w:lang w:val="fr-CH"/>
              </w:rPr>
            </w:pPr>
            <w:r w:rsidRPr="00FA5354">
              <w:rPr>
                <w:rFonts w:ascii="Arial" w:hAnsi="Arial" w:cs="Arial"/>
                <w:sz w:val="20"/>
                <w:szCs w:val="20"/>
                <w:lang w:val="fr-CH"/>
              </w:rPr>
              <w:t>VU A2cd</w:t>
            </w:r>
          </w:p>
        </w:tc>
        <w:tc>
          <w:tcPr>
            <w:tcW w:w="1984" w:type="dxa"/>
            <w:tcBorders>
              <w:top w:val="single" w:sz="4" w:space="0" w:color="auto"/>
              <w:bottom w:val="single" w:sz="4" w:space="0" w:color="auto"/>
            </w:tcBorders>
          </w:tcPr>
          <w:p w14:paraId="73D2666D"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w:t>
            </w:r>
          </w:p>
          <w:p w14:paraId="69B05231"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Muy pocos</w:t>
            </w:r>
          </w:p>
          <w:p w14:paraId="2C4DFF8A"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w:t>
            </w:r>
          </w:p>
        </w:tc>
        <w:tc>
          <w:tcPr>
            <w:tcW w:w="828" w:type="dxa"/>
            <w:tcBorders>
              <w:top w:val="single" w:sz="4" w:space="0" w:color="auto"/>
              <w:bottom w:val="single" w:sz="4" w:space="0" w:color="auto"/>
            </w:tcBorders>
          </w:tcPr>
          <w:p w14:paraId="47510D86"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Dism.</w:t>
            </w:r>
          </w:p>
          <w:p w14:paraId="0B80B6F5"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Dism.</w:t>
            </w:r>
          </w:p>
          <w:p w14:paraId="63F79058"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Dism.</w:t>
            </w:r>
          </w:p>
        </w:tc>
        <w:tc>
          <w:tcPr>
            <w:tcW w:w="1591" w:type="dxa"/>
            <w:tcBorders>
              <w:top w:val="single" w:sz="4" w:space="0" w:color="auto"/>
              <w:bottom w:val="single" w:sz="4" w:space="0" w:color="auto"/>
              <w:right w:val="single" w:sz="4" w:space="0" w:color="auto"/>
            </w:tcBorders>
          </w:tcPr>
          <w:p w14:paraId="2B697AC7"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-30% o más</w:t>
            </w:r>
          </w:p>
          <w:p w14:paraId="0897F2F9"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w:t>
            </w:r>
          </w:p>
          <w:p w14:paraId="4850E34B"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-30% o más</w:t>
            </w:r>
          </w:p>
        </w:tc>
      </w:tr>
      <w:tr w:rsidR="00FA5354" w:rsidRPr="00FA5354" w14:paraId="5F9893ED" w14:textId="77777777" w:rsidTr="00FA5354">
        <w:tc>
          <w:tcPr>
            <w:tcW w:w="2802" w:type="dxa"/>
            <w:tcBorders>
              <w:top w:val="single" w:sz="4" w:space="0" w:color="auto"/>
              <w:left w:val="single" w:sz="4" w:space="0" w:color="auto"/>
              <w:bottom w:val="single" w:sz="4" w:space="0" w:color="auto"/>
            </w:tcBorders>
          </w:tcPr>
          <w:p w14:paraId="624B140D" w14:textId="77777777" w:rsidR="00FA5354" w:rsidRPr="00FA5354" w:rsidRDefault="00FA5354" w:rsidP="000374C1">
            <w:pPr>
              <w:autoSpaceDE/>
              <w:autoSpaceDN/>
              <w:adjustRightInd/>
              <w:spacing w:before="40" w:after="40"/>
              <w:rPr>
                <w:rFonts w:ascii="Arial" w:hAnsi="Arial" w:cs="Arial"/>
                <w:i/>
                <w:sz w:val="20"/>
                <w:szCs w:val="20"/>
                <w:lang w:val="es-ES_tradnl"/>
              </w:rPr>
            </w:pPr>
            <w:r w:rsidRPr="00FA5354">
              <w:rPr>
                <w:rFonts w:ascii="Arial" w:hAnsi="Arial" w:cs="Arial"/>
                <w:b/>
                <w:sz w:val="20"/>
                <w:szCs w:val="20"/>
                <w:lang w:val="es-ES_tradnl"/>
              </w:rPr>
              <w:t>León</w:t>
            </w:r>
            <w:r w:rsidRPr="00FA5354">
              <w:rPr>
                <w:rFonts w:ascii="Arial" w:hAnsi="Arial" w:cs="Arial"/>
                <w:i/>
                <w:sz w:val="20"/>
                <w:szCs w:val="20"/>
                <w:lang w:val="es-ES_tradnl"/>
              </w:rPr>
              <w:t xml:space="preserve"> Panthera leo</w:t>
            </w:r>
          </w:p>
          <w:p w14:paraId="754D1C79" w14:textId="77777777" w:rsidR="00FA5354" w:rsidRPr="00FA5354" w:rsidRDefault="00FA5354" w:rsidP="000374C1">
            <w:pPr>
              <w:autoSpaceDE/>
              <w:autoSpaceDN/>
              <w:adjustRightInd/>
              <w:spacing w:before="40" w:after="40"/>
              <w:ind w:firstLine="142"/>
              <w:rPr>
                <w:rFonts w:ascii="Arial" w:hAnsi="Arial" w:cs="Arial"/>
                <w:sz w:val="20"/>
                <w:szCs w:val="20"/>
                <w:lang w:val="es-ES_tradnl"/>
              </w:rPr>
            </w:pPr>
            <w:r w:rsidRPr="00FA5354">
              <w:rPr>
                <w:rFonts w:ascii="Arial" w:hAnsi="Arial" w:cs="Arial"/>
                <w:sz w:val="20"/>
                <w:szCs w:val="20"/>
                <w:lang w:val="es-ES_tradnl"/>
              </w:rPr>
              <w:t>África austral</w:t>
            </w:r>
          </w:p>
          <w:p w14:paraId="2A4A416C" w14:textId="77777777" w:rsidR="00FA5354" w:rsidRPr="00FA5354" w:rsidRDefault="00FA5354" w:rsidP="000374C1">
            <w:pPr>
              <w:autoSpaceDE/>
              <w:autoSpaceDN/>
              <w:adjustRightInd/>
              <w:spacing w:before="40" w:after="40"/>
              <w:ind w:firstLine="142"/>
              <w:rPr>
                <w:rFonts w:ascii="Arial" w:hAnsi="Arial" w:cs="Arial"/>
                <w:sz w:val="20"/>
                <w:szCs w:val="20"/>
                <w:lang w:val="es-ES_tradnl"/>
              </w:rPr>
            </w:pPr>
            <w:r w:rsidRPr="00FA5354">
              <w:rPr>
                <w:rFonts w:ascii="Arial" w:hAnsi="Arial" w:cs="Arial"/>
                <w:sz w:val="20"/>
                <w:szCs w:val="20"/>
                <w:lang w:val="es-ES_tradnl"/>
              </w:rPr>
              <w:t>África oriental</w:t>
            </w:r>
          </w:p>
          <w:p w14:paraId="7DBCA2A0" w14:textId="77777777" w:rsidR="00FA5354" w:rsidRPr="00FA5354" w:rsidRDefault="00FA5354" w:rsidP="000374C1">
            <w:pPr>
              <w:autoSpaceDE/>
              <w:autoSpaceDN/>
              <w:adjustRightInd/>
              <w:spacing w:before="40" w:after="40"/>
              <w:ind w:firstLine="142"/>
              <w:rPr>
                <w:rFonts w:ascii="Arial" w:hAnsi="Arial" w:cs="Arial"/>
                <w:sz w:val="20"/>
                <w:szCs w:val="20"/>
                <w:lang w:val="es-ES_tradnl"/>
              </w:rPr>
            </w:pPr>
            <w:r w:rsidRPr="00FA5354">
              <w:rPr>
                <w:rFonts w:ascii="Arial" w:hAnsi="Arial" w:cs="Arial"/>
                <w:sz w:val="20"/>
                <w:szCs w:val="20"/>
                <w:lang w:val="es-ES_tradnl"/>
              </w:rPr>
              <w:t>África central</w:t>
            </w:r>
          </w:p>
          <w:p w14:paraId="48B7BE86" w14:textId="77777777" w:rsidR="00FA5354" w:rsidRPr="00FA5354" w:rsidRDefault="00FA5354" w:rsidP="000374C1">
            <w:pPr>
              <w:autoSpaceDE/>
              <w:autoSpaceDN/>
              <w:adjustRightInd/>
              <w:spacing w:before="40" w:after="40"/>
              <w:ind w:firstLine="142"/>
              <w:rPr>
                <w:rFonts w:ascii="Arial" w:hAnsi="Arial" w:cs="Arial"/>
                <w:sz w:val="20"/>
                <w:szCs w:val="20"/>
                <w:lang w:val="es-ES_tradnl"/>
              </w:rPr>
            </w:pPr>
            <w:r w:rsidRPr="00FA5354">
              <w:rPr>
                <w:rFonts w:ascii="Arial" w:hAnsi="Arial" w:cs="Arial"/>
                <w:sz w:val="20"/>
                <w:szCs w:val="20"/>
                <w:lang w:val="es-ES_tradnl"/>
              </w:rPr>
              <w:t>África occidental</w:t>
            </w:r>
          </w:p>
        </w:tc>
        <w:tc>
          <w:tcPr>
            <w:tcW w:w="708" w:type="dxa"/>
            <w:tcBorders>
              <w:top w:val="single" w:sz="4" w:space="0" w:color="auto"/>
              <w:bottom w:val="single" w:sz="4" w:space="0" w:color="auto"/>
            </w:tcBorders>
          </w:tcPr>
          <w:p w14:paraId="4C14F1D2" w14:textId="77777777" w:rsidR="00FA5354" w:rsidRPr="00FA5354" w:rsidRDefault="00FA5354" w:rsidP="000374C1">
            <w:pPr>
              <w:autoSpaceDE/>
              <w:autoSpaceDN/>
              <w:adjustRightInd/>
              <w:spacing w:before="40" w:after="40"/>
              <w:rPr>
                <w:rFonts w:ascii="Arial" w:hAnsi="Arial" w:cs="Arial"/>
                <w:sz w:val="20"/>
                <w:szCs w:val="20"/>
                <w:vertAlign w:val="superscript"/>
                <w:lang w:val="es-ES_tradnl"/>
              </w:rPr>
            </w:pPr>
            <w:r w:rsidRPr="00FA5354">
              <w:rPr>
                <w:rFonts w:ascii="Arial" w:hAnsi="Arial" w:cs="Arial"/>
                <w:sz w:val="20"/>
                <w:szCs w:val="20"/>
                <w:lang w:val="es-ES_tradnl"/>
              </w:rPr>
              <w:t>2016</w:t>
            </w:r>
            <w:r w:rsidRPr="00FA5354">
              <w:rPr>
                <w:rFonts w:ascii="Arial" w:hAnsi="Arial" w:cs="Arial"/>
                <w:sz w:val="20"/>
                <w:szCs w:val="20"/>
                <w:vertAlign w:val="superscript"/>
                <w:lang w:val="es-ES_tradnl"/>
              </w:rPr>
              <w:t>3</w:t>
            </w:r>
          </w:p>
          <w:p w14:paraId="5A8DE8A5" w14:textId="77777777" w:rsidR="00FA5354" w:rsidRPr="00FA5354" w:rsidRDefault="00FA5354" w:rsidP="000374C1">
            <w:pPr>
              <w:autoSpaceDE/>
              <w:autoSpaceDN/>
              <w:adjustRightInd/>
              <w:spacing w:before="40" w:after="40"/>
              <w:rPr>
                <w:rFonts w:ascii="Arial" w:hAnsi="Arial" w:cs="Arial"/>
                <w:sz w:val="20"/>
                <w:szCs w:val="20"/>
                <w:lang w:val="es-ES_tradnl"/>
              </w:rPr>
            </w:pPr>
          </w:p>
          <w:p w14:paraId="1122D63D" w14:textId="77777777" w:rsidR="00FA5354" w:rsidRPr="00FA5354" w:rsidRDefault="00FA5354" w:rsidP="000374C1">
            <w:pPr>
              <w:autoSpaceDE/>
              <w:autoSpaceDN/>
              <w:adjustRightInd/>
              <w:spacing w:before="40" w:after="40"/>
              <w:rPr>
                <w:rFonts w:ascii="Arial" w:hAnsi="Arial" w:cs="Arial"/>
                <w:sz w:val="20"/>
                <w:szCs w:val="20"/>
                <w:lang w:val="es-ES_tradnl"/>
              </w:rPr>
            </w:pPr>
          </w:p>
          <w:p w14:paraId="0081A2E7" w14:textId="77777777" w:rsidR="00FA5354" w:rsidRPr="00FA5354" w:rsidRDefault="00FA5354" w:rsidP="000374C1">
            <w:pPr>
              <w:autoSpaceDE/>
              <w:autoSpaceDN/>
              <w:adjustRightInd/>
              <w:spacing w:before="40" w:after="40"/>
              <w:rPr>
                <w:rFonts w:ascii="Arial" w:hAnsi="Arial" w:cs="Arial"/>
                <w:sz w:val="20"/>
                <w:szCs w:val="20"/>
                <w:lang w:val="es-ES_tradnl"/>
              </w:rPr>
            </w:pPr>
          </w:p>
          <w:p w14:paraId="08532900" w14:textId="77777777" w:rsidR="00FA5354" w:rsidRPr="00FA5354" w:rsidRDefault="00FA5354" w:rsidP="000374C1">
            <w:pPr>
              <w:autoSpaceDE/>
              <w:autoSpaceDN/>
              <w:adjustRightInd/>
              <w:spacing w:before="40" w:after="40"/>
              <w:rPr>
                <w:rFonts w:ascii="Arial" w:hAnsi="Arial" w:cs="Arial"/>
                <w:sz w:val="20"/>
                <w:szCs w:val="20"/>
                <w:vertAlign w:val="superscript"/>
                <w:lang w:val="es-ES_tradnl"/>
              </w:rPr>
            </w:pPr>
            <w:r w:rsidRPr="00FA5354">
              <w:rPr>
                <w:rFonts w:ascii="Arial" w:hAnsi="Arial" w:cs="Arial"/>
                <w:sz w:val="20"/>
                <w:szCs w:val="20"/>
                <w:lang w:val="es-ES_tradnl"/>
              </w:rPr>
              <w:t>2015</w:t>
            </w:r>
            <w:r w:rsidRPr="00FA5354">
              <w:rPr>
                <w:rFonts w:ascii="Arial" w:hAnsi="Arial" w:cs="Arial"/>
                <w:sz w:val="20"/>
                <w:szCs w:val="20"/>
                <w:vertAlign w:val="superscript"/>
                <w:lang w:val="es-ES_tradnl"/>
              </w:rPr>
              <w:t>4</w:t>
            </w:r>
          </w:p>
        </w:tc>
        <w:tc>
          <w:tcPr>
            <w:tcW w:w="1418" w:type="dxa"/>
            <w:tcBorders>
              <w:top w:val="single" w:sz="4" w:space="0" w:color="auto"/>
              <w:bottom w:val="single" w:sz="4" w:space="0" w:color="auto"/>
            </w:tcBorders>
          </w:tcPr>
          <w:p w14:paraId="79589780"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VU A2abcd</w:t>
            </w:r>
          </w:p>
          <w:p w14:paraId="56B8FF2D" w14:textId="77777777" w:rsidR="00FA5354" w:rsidRPr="00FA5354" w:rsidRDefault="00FA5354" w:rsidP="000374C1">
            <w:pPr>
              <w:autoSpaceDE/>
              <w:autoSpaceDN/>
              <w:adjustRightInd/>
              <w:spacing w:before="40" w:after="40"/>
              <w:rPr>
                <w:rFonts w:ascii="Arial" w:hAnsi="Arial" w:cs="Arial"/>
                <w:sz w:val="20"/>
                <w:szCs w:val="20"/>
                <w:lang w:val="es-ES_tradnl"/>
              </w:rPr>
            </w:pPr>
          </w:p>
          <w:p w14:paraId="12223259" w14:textId="77777777" w:rsidR="00FA5354" w:rsidRPr="00FA5354" w:rsidRDefault="00FA5354" w:rsidP="000374C1">
            <w:pPr>
              <w:autoSpaceDE/>
              <w:autoSpaceDN/>
              <w:adjustRightInd/>
              <w:spacing w:before="40" w:after="40"/>
              <w:rPr>
                <w:rFonts w:ascii="Arial" w:hAnsi="Arial" w:cs="Arial"/>
                <w:sz w:val="20"/>
                <w:szCs w:val="20"/>
                <w:lang w:val="es-ES_tradnl"/>
              </w:rPr>
            </w:pPr>
          </w:p>
          <w:p w14:paraId="44F2415F" w14:textId="77777777" w:rsidR="00FA5354" w:rsidRPr="00FA5354" w:rsidRDefault="00FA5354" w:rsidP="000374C1">
            <w:pPr>
              <w:autoSpaceDE/>
              <w:autoSpaceDN/>
              <w:adjustRightInd/>
              <w:spacing w:before="40" w:after="40"/>
              <w:rPr>
                <w:rFonts w:ascii="Arial" w:hAnsi="Arial" w:cs="Arial"/>
                <w:sz w:val="20"/>
                <w:szCs w:val="20"/>
                <w:lang w:val="es-ES_tradnl"/>
              </w:rPr>
            </w:pPr>
          </w:p>
          <w:p w14:paraId="1CC2A677"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CR C2a(ii)</w:t>
            </w:r>
          </w:p>
        </w:tc>
        <w:tc>
          <w:tcPr>
            <w:tcW w:w="1984" w:type="dxa"/>
            <w:tcBorders>
              <w:top w:val="single" w:sz="4" w:space="0" w:color="auto"/>
              <w:bottom w:val="single" w:sz="4" w:space="0" w:color="auto"/>
            </w:tcBorders>
          </w:tcPr>
          <w:p w14:paraId="7278EB9C"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23.000–39.000</w:t>
            </w:r>
          </w:p>
          <w:p w14:paraId="23F3AB59"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10.400–15.900</w:t>
            </w:r>
          </w:p>
          <w:p w14:paraId="5601298E"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7.300–13.300</w:t>
            </w:r>
          </w:p>
          <w:p w14:paraId="05A41D95"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600–1700</w:t>
            </w:r>
          </w:p>
          <w:p w14:paraId="040F8D50"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&lt;250</w:t>
            </w:r>
          </w:p>
        </w:tc>
        <w:tc>
          <w:tcPr>
            <w:tcW w:w="828" w:type="dxa"/>
            <w:tcBorders>
              <w:top w:val="single" w:sz="4" w:space="0" w:color="auto"/>
              <w:bottom w:val="single" w:sz="4" w:space="0" w:color="auto"/>
            </w:tcBorders>
          </w:tcPr>
          <w:p w14:paraId="63ACE1AB" w14:textId="77777777" w:rsidR="00FA5354" w:rsidRPr="00FA5354" w:rsidRDefault="00FA5354" w:rsidP="000374C1">
            <w:pPr>
              <w:autoSpaceDE/>
              <w:autoSpaceDN/>
              <w:adjustRightInd/>
              <w:spacing w:before="40" w:after="40"/>
              <w:rPr>
                <w:rFonts w:ascii="Arial" w:hAnsi="Arial" w:cs="Arial"/>
                <w:sz w:val="20"/>
                <w:szCs w:val="20"/>
                <w:lang w:val="en-GB"/>
              </w:rPr>
            </w:pPr>
            <w:r w:rsidRPr="00FA5354">
              <w:rPr>
                <w:rFonts w:ascii="Arial" w:hAnsi="Arial" w:cs="Arial"/>
                <w:sz w:val="20"/>
                <w:szCs w:val="20"/>
                <w:lang w:val="en-GB"/>
              </w:rPr>
              <w:t>Dism.</w:t>
            </w:r>
          </w:p>
          <w:p w14:paraId="7A5A5261" w14:textId="77777777" w:rsidR="00FA5354" w:rsidRPr="00FA5354" w:rsidRDefault="00FA5354" w:rsidP="000374C1">
            <w:pPr>
              <w:autoSpaceDE/>
              <w:autoSpaceDN/>
              <w:adjustRightInd/>
              <w:spacing w:before="40" w:after="40"/>
              <w:rPr>
                <w:rFonts w:ascii="Arial" w:hAnsi="Arial" w:cs="Arial"/>
                <w:sz w:val="20"/>
                <w:szCs w:val="20"/>
                <w:lang w:val="en-GB"/>
              </w:rPr>
            </w:pPr>
            <w:r w:rsidRPr="00FA5354">
              <w:rPr>
                <w:rFonts w:ascii="Arial" w:hAnsi="Arial" w:cs="Arial"/>
                <w:sz w:val="20"/>
                <w:szCs w:val="20"/>
                <w:lang w:val="en-GB"/>
              </w:rPr>
              <w:t>Incr.</w:t>
            </w:r>
          </w:p>
          <w:p w14:paraId="76175DB4" w14:textId="77777777" w:rsidR="00FA5354" w:rsidRPr="00FA5354" w:rsidRDefault="00FA5354" w:rsidP="000374C1">
            <w:pPr>
              <w:autoSpaceDE/>
              <w:autoSpaceDN/>
              <w:adjustRightInd/>
              <w:spacing w:before="40" w:after="40"/>
              <w:rPr>
                <w:rFonts w:ascii="Arial" w:hAnsi="Arial" w:cs="Arial"/>
                <w:sz w:val="20"/>
                <w:szCs w:val="20"/>
                <w:lang w:val="en-GB"/>
              </w:rPr>
            </w:pPr>
            <w:r w:rsidRPr="00FA5354">
              <w:rPr>
                <w:rFonts w:ascii="Arial" w:hAnsi="Arial" w:cs="Arial"/>
                <w:sz w:val="20"/>
                <w:szCs w:val="20"/>
                <w:lang w:val="en-GB"/>
              </w:rPr>
              <w:t>Dism.</w:t>
            </w:r>
          </w:p>
          <w:p w14:paraId="7972B600" w14:textId="77777777" w:rsidR="00FA5354" w:rsidRPr="00FA5354" w:rsidRDefault="00FA5354" w:rsidP="000374C1">
            <w:pPr>
              <w:autoSpaceDE/>
              <w:autoSpaceDN/>
              <w:adjustRightInd/>
              <w:spacing w:before="40" w:after="40"/>
              <w:rPr>
                <w:rFonts w:ascii="Arial" w:hAnsi="Arial" w:cs="Arial"/>
                <w:sz w:val="20"/>
                <w:szCs w:val="20"/>
                <w:lang w:val="en-GB"/>
              </w:rPr>
            </w:pPr>
            <w:r w:rsidRPr="00FA5354">
              <w:rPr>
                <w:rFonts w:ascii="Arial" w:hAnsi="Arial" w:cs="Arial"/>
                <w:sz w:val="20"/>
                <w:szCs w:val="20"/>
                <w:lang w:val="en-GB"/>
              </w:rPr>
              <w:t>Dism.</w:t>
            </w:r>
          </w:p>
          <w:p w14:paraId="40BD28B1" w14:textId="77777777" w:rsidR="00FA5354" w:rsidRPr="00FA5354" w:rsidRDefault="00FA5354" w:rsidP="000374C1">
            <w:pPr>
              <w:autoSpaceDE/>
              <w:autoSpaceDN/>
              <w:adjustRightInd/>
              <w:spacing w:before="40" w:after="40"/>
              <w:rPr>
                <w:rFonts w:ascii="Arial" w:hAnsi="Arial" w:cs="Arial"/>
                <w:sz w:val="20"/>
                <w:szCs w:val="20"/>
                <w:lang w:val="en-GB"/>
              </w:rPr>
            </w:pPr>
            <w:r w:rsidRPr="00FA5354">
              <w:rPr>
                <w:rFonts w:ascii="Arial" w:hAnsi="Arial" w:cs="Arial"/>
                <w:sz w:val="20"/>
                <w:szCs w:val="20"/>
                <w:lang w:val="en-GB"/>
              </w:rPr>
              <w:t>Dism.</w:t>
            </w:r>
          </w:p>
        </w:tc>
        <w:tc>
          <w:tcPr>
            <w:tcW w:w="1591" w:type="dxa"/>
            <w:tcBorders>
              <w:top w:val="single" w:sz="4" w:space="0" w:color="auto"/>
              <w:bottom w:val="single" w:sz="4" w:space="0" w:color="auto"/>
              <w:right w:val="single" w:sz="4" w:space="0" w:color="auto"/>
            </w:tcBorders>
          </w:tcPr>
          <w:p w14:paraId="33CEF088"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-43%</w:t>
            </w:r>
          </w:p>
          <w:p w14:paraId="24EE7044"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+8%</w:t>
            </w:r>
          </w:p>
          <w:p w14:paraId="6A55B8E4"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-59%</w:t>
            </w:r>
          </w:p>
          <w:p w14:paraId="75A2FB03"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-66%</w:t>
            </w:r>
          </w:p>
          <w:p w14:paraId="0884896B"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w:t>
            </w:r>
          </w:p>
        </w:tc>
      </w:tr>
      <w:tr w:rsidR="00FA5354" w:rsidRPr="00FA5354" w14:paraId="2FAFAD0E" w14:textId="77777777" w:rsidTr="00FA5354">
        <w:tc>
          <w:tcPr>
            <w:tcW w:w="2802" w:type="dxa"/>
            <w:tcBorders>
              <w:top w:val="single" w:sz="4" w:space="0" w:color="auto"/>
              <w:left w:val="single" w:sz="4" w:space="0" w:color="auto"/>
              <w:bottom w:val="single" w:sz="4" w:space="0" w:color="auto"/>
            </w:tcBorders>
          </w:tcPr>
          <w:p w14:paraId="7B6FE4EE" w14:textId="77777777" w:rsidR="00FA5354" w:rsidRPr="00FA5354" w:rsidRDefault="00FA5354" w:rsidP="000374C1">
            <w:pPr>
              <w:autoSpaceDE/>
              <w:autoSpaceDN/>
              <w:adjustRightInd/>
              <w:spacing w:before="40" w:after="40"/>
              <w:rPr>
                <w:rFonts w:ascii="Arial" w:hAnsi="Arial" w:cs="Arial"/>
                <w:i/>
                <w:sz w:val="20"/>
                <w:szCs w:val="20"/>
                <w:lang w:val="es-ES_tradnl"/>
              </w:rPr>
            </w:pPr>
            <w:r w:rsidRPr="00FA5354">
              <w:rPr>
                <w:rFonts w:ascii="Arial" w:hAnsi="Arial" w:cs="Arial"/>
                <w:b/>
                <w:sz w:val="20"/>
                <w:szCs w:val="20"/>
                <w:lang w:val="es-ES_tradnl"/>
              </w:rPr>
              <w:t>Licaón</w:t>
            </w:r>
            <w:r w:rsidRPr="00FA5354">
              <w:rPr>
                <w:rFonts w:ascii="Arial" w:hAnsi="Arial" w:cs="Arial"/>
                <w:i/>
                <w:sz w:val="20"/>
                <w:szCs w:val="20"/>
                <w:lang w:val="es-ES_tradnl"/>
              </w:rPr>
              <w:t xml:space="preserve"> Lycaon pictus</w:t>
            </w:r>
          </w:p>
          <w:p w14:paraId="0EAE65A4" w14:textId="77777777" w:rsidR="00FA5354" w:rsidRPr="00FA5354" w:rsidRDefault="00FA5354" w:rsidP="000374C1">
            <w:pPr>
              <w:autoSpaceDE/>
              <w:autoSpaceDN/>
              <w:adjustRightInd/>
              <w:spacing w:before="40" w:after="40"/>
              <w:ind w:firstLine="142"/>
              <w:rPr>
                <w:rFonts w:ascii="Arial" w:hAnsi="Arial" w:cs="Arial"/>
                <w:sz w:val="20"/>
                <w:szCs w:val="20"/>
                <w:lang w:val="es-ES_tradnl"/>
              </w:rPr>
            </w:pPr>
            <w:r w:rsidRPr="00FA5354">
              <w:rPr>
                <w:rFonts w:ascii="Arial" w:hAnsi="Arial" w:cs="Arial"/>
                <w:sz w:val="20"/>
                <w:szCs w:val="20"/>
                <w:lang w:val="es-ES_tradnl"/>
              </w:rPr>
              <w:t>África austral</w:t>
            </w:r>
          </w:p>
          <w:p w14:paraId="537DFCB3" w14:textId="77777777" w:rsidR="00FA5354" w:rsidRPr="00FA5354" w:rsidRDefault="00FA5354" w:rsidP="000374C1">
            <w:pPr>
              <w:autoSpaceDE/>
              <w:autoSpaceDN/>
              <w:adjustRightInd/>
              <w:spacing w:before="40" w:after="40"/>
              <w:ind w:firstLine="142"/>
              <w:rPr>
                <w:rFonts w:ascii="Arial" w:hAnsi="Arial" w:cs="Arial"/>
                <w:sz w:val="20"/>
                <w:szCs w:val="20"/>
                <w:lang w:val="es-ES_tradnl"/>
              </w:rPr>
            </w:pPr>
            <w:r w:rsidRPr="00FA5354">
              <w:rPr>
                <w:rFonts w:ascii="Arial" w:hAnsi="Arial" w:cs="Arial"/>
                <w:sz w:val="20"/>
                <w:szCs w:val="20"/>
                <w:lang w:val="es-ES_tradnl"/>
              </w:rPr>
              <w:t>África oriental</w:t>
            </w:r>
          </w:p>
          <w:p w14:paraId="23543ABE" w14:textId="77777777" w:rsidR="00FA5354" w:rsidRPr="00FA5354" w:rsidRDefault="00FA5354" w:rsidP="000374C1">
            <w:pPr>
              <w:autoSpaceDE/>
              <w:autoSpaceDN/>
              <w:adjustRightInd/>
              <w:spacing w:before="40" w:after="40"/>
              <w:ind w:firstLine="142"/>
              <w:rPr>
                <w:rFonts w:ascii="Arial" w:hAnsi="Arial" w:cs="Arial"/>
                <w:sz w:val="20"/>
                <w:szCs w:val="20"/>
                <w:lang w:val="es-ES_tradnl"/>
              </w:rPr>
            </w:pPr>
            <w:r w:rsidRPr="00FA5354">
              <w:rPr>
                <w:rFonts w:ascii="Arial" w:hAnsi="Arial" w:cs="Arial"/>
                <w:sz w:val="20"/>
                <w:szCs w:val="20"/>
                <w:lang w:val="es-ES_tradnl"/>
              </w:rPr>
              <w:t>África central</w:t>
            </w:r>
          </w:p>
          <w:p w14:paraId="715E4B16" w14:textId="77777777" w:rsidR="00FA5354" w:rsidRPr="00FA5354" w:rsidRDefault="00FA5354" w:rsidP="000374C1">
            <w:pPr>
              <w:autoSpaceDE/>
              <w:autoSpaceDN/>
              <w:adjustRightInd/>
              <w:spacing w:before="40" w:after="40"/>
              <w:ind w:firstLine="142"/>
              <w:rPr>
                <w:rFonts w:ascii="Arial" w:hAnsi="Arial" w:cs="Arial"/>
                <w:sz w:val="20"/>
                <w:szCs w:val="20"/>
                <w:lang w:val="es-ES_tradnl"/>
              </w:rPr>
            </w:pPr>
            <w:r w:rsidRPr="00FA5354">
              <w:rPr>
                <w:rFonts w:ascii="Arial" w:hAnsi="Arial" w:cs="Arial"/>
                <w:sz w:val="20"/>
                <w:szCs w:val="20"/>
                <w:lang w:val="es-ES_tradnl"/>
              </w:rPr>
              <w:t>África occidental</w:t>
            </w:r>
          </w:p>
        </w:tc>
        <w:tc>
          <w:tcPr>
            <w:tcW w:w="708" w:type="dxa"/>
            <w:tcBorders>
              <w:top w:val="single" w:sz="4" w:space="0" w:color="auto"/>
              <w:bottom w:val="single" w:sz="4" w:space="0" w:color="auto"/>
            </w:tcBorders>
          </w:tcPr>
          <w:p w14:paraId="49737072" w14:textId="77777777" w:rsidR="00FA5354" w:rsidRPr="00FA5354" w:rsidRDefault="00FA5354" w:rsidP="000374C1">
            <w:pPr>
              <w:autoSpaceDE/>
              <w:autoSpaceDN/>
              <w:adjustRightInd/>
              <w:spacing w:before="40" w:after="40"/>
              <w:rPr>
                <w:rFonts w:ascii="Arial" w:hAnsi="Arial" w:cs="Arial"/>
                <w:sz w:val="20"/>
                <w:szCs w:val="20"/>
                <w:vertAlign w:val="superscript"/>
                <w:lang w:val="es-ES_tradnl"/>
              </w:rPr>
            </w:pPr>
            <w:r w:rsidRPr="00FA5354">
              <w:rPr>
                <w:rFonts w:ascii="Arial" w:hAnsi="Arial" w:cs="Arial"/>
                <w:sz w:val="20"/>
                <w:szCs w:val="20"/>
                <w:lang w:val="es-ES_tradnl"/>
              </w:rPr>
              <w:t>2012</w:t>
            </w:r>
            <w:r w:rsidRPr="00FA5354">
              <w:rPr>
                <w:rFonts w:ascii="Arial" w:hAnsi="Arial" w:cs="Arial"/>
                <w:sz w:val="20"/>
                <w:szCs w:val="20"/>
                <w:vertAlign w:val="superscript"/>
                <w:lang w:val="es-ES_tradnl"/>
              </w:rPr>
              <w:t>5</w:t>
            </w:r>
          </w:p>
        </w:tc>
        <w:tc>
          <w:tcPr>
            <w:tcW w:w="1418" w:type="dxa"/>
            <w:tcBorders>
              <w:top w:val="single" w:sz="4" w:space="0" w:color="auto"/>
              <w:bottom w:val="single" w:sz="4" w:space="0" w:color="auto"/>
            </w:tcBorders>
          </w:tcPr>
          <w:p w14:paraId="6CAD9D27"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EN C2a(i)</w:t>
            </w:r>
          </w:p>
        </w:tc>
        <w:tc>
          <w:tcPr>
            <w:tcW w:w="1984" w:type="dxa"/>
            <w:tcBorders>
              <w:top w:val="single" w:sz="4" w:space="0" w:color="auto"/>
              <w:bottom w:val="single" w:sz="4" w:space="0" w:color="auto"/>
            </w:tcBorders>
          </w:tcPr>
          <w:p w14:paraId="5B72D5E8"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1.409</w:t>
            </w:r>
          </w:p>
          <w:p w14:paraId="5F84FF1E"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550</w:t>
            </w:r>
          </w:p>
          <w:p w14:paraId="0C3C19F0"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743</w:t>
            </w:r>
          </w:p>
          <w:p w14:paraId="78BBBF36"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61</w:t>
            </w:r>
          </w:p>
          <w:p w14:paraId="55A36F34"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15</w:t>
            </w:r>
          </w:p>
        </w:tc>
        <w:tc>
          <w:tcPr>
            <w:tcW w:w="828" w:type="dxa"/>
            <w:tcBorders>
              <w:top w:val="single" w:sz="4" w:space="0" w:color="auto"/>
              <w:bottom w:val="single" w:sz="4" w:space="0" w:color="auto"/>
            </w:tcBorders>
          </w:tcPr>
          <w:p w14:paraId="79EE1001" w14:textId="77777777" w:rsidR="00FA5354" w:rsidRPr="00FA5354" w:rsidRDefault="00FA5354" w:rsidP="000374C1">
            <w:pPr>
              <w:autoSpaceDE/>
              <w:autoSpaceDN/>
              <w:adjustRightInd/>
              <w:spacing w:before="40" w:after="40"/>
              <w:rPr>
                <w:rFonts w:ascii="Arial" w:hAnsi="Arial" w:cs="Arial"/>
                <w:sz w:val="20"/>
                <w:szCs w:val="20"/>
                <w:lang w:val="en-GB"/>
              </w:rPr>
            </w:pPr>
            <w:r w:rsidRPr="00FA5354">
              <w:rPr>
                <w:rFonts w:ascii="Arial" w:hAnsi="Arial" w:cs="Arial"/>
                <w:sz w:val="20"/>
                <w:szCs w:val="20"/>
                <w:lang w:val="en-GB"/>
              </w:rPr>
              <w:t>Dism.</w:t>
            </w:r>
          </w:p>
          <w:p w14:paraId="3CE8E8B4" w14:textId="77777777" w:rsidR="00FA5354" w:rsidRPr="00FA5354" w:rsidRDefault="00FA5354" w:rsidP="000374C1">
            <w:pPr>
              <w:autoSpaceDE/>
              <w:autoSpaceDN/>
              <w:adjustRightInd/>
              <w:spacing w:before="40" w:after="40"/>
              <w:rPr>
                <w:rFonts w:ascii="Arial" w:hAnsi="Arial" w:cs="Arial"/>
                <w:sz w:val="20"/>
                <w:szCs w:val="20"/>
                <w:lang w:val="en-GB"/>
              </w:rPr>
            </w:pPr>
            <w:r w:rsidRPr="00FA5354">
              <w:rPr>
                <w:rFonts w:ascii="Arial" w:hAnsi="Arial" w:cs="Arial"/>
                <w:sz w:val="20"/>
                <w:szCs w:val="20"/>
                <w:lang w:val="en-GB"/>
              </w:rPr>
              <w:t>Dism.</w:t>
            </w:r>
          </w:p>
          <w:p w14:paraId="4E34226C" w14:textId="77777777" w:rsidR="00FA5354" w:rsidRPr="00FA5354" w:rsidRDefault="00FA5354" w:rsidP="000374C1">
            <w:pPr>
              <w:autoSpaceDE/>
              <w:autoSpaceDN/>
              <w:adjustRightInd/>
              <w:spacing w:before="40" w:after="40"/>
              <w:rPr>
                <w:rFonts w:ascii="Arial" w:hAnsi="Arial" w:cs="Arial"/>
                <w:sz w:val="20"/>
                <w:szCs w:val="20"/>
                <w:lang w:val="en-GB"/>
              </w:rPr>
            </w:pPr>
            <w:r w:rsidRPr="00FA5354">
              <w:rPr>
                <w:rFonts w:ascii="Arial" w:hAnsi="Arial" w:cs="Arial"/>
                <w:sz w:val="20"/>
                <w:szCs w:val="20"/>
                <w:lang w:val="en-GB"/>
              </w:rPr>
              <w:t>Dism.</w:t>
            </w:r>
          </w:p>
          <w:p w14:paraId="41196BB1" w14:textId="77777777" w:rsidR="00FA5354" w:rsidRPr="00FA5354" w:rsidRDefault="00FA5354" w:rsidP="000374C1">
            <w:pPr>
              <w:autoSpaceDE/>
              <w:autoSpaceDN/>
              <w:adjustRightInd/>
              <w:spacing w:before="40" w:after="40"/>
              <w:rPr>
                <w:rFonts w:ascii="Arial" w:hAnsi="Arial" w:cs="Arial"/>
                <w:sz w:val="20"/>
                <w:szCs w:val="20"/>
                <w:lang w:val="en-GB"/>
              </w:rPr>
            </w:pPr>
            <w:r w:rsidRPr="00FA5354">
              <w:rPr>
                <w:rFonts w:ascii="Arial" w:hAnsi="Arial" w:cs="Arial"/>
                <w:sz w:val="20"/>
                <w:szCs w:val="20"/>
                <w:lang w:val="en-GB"/>
              </w:rPr>
              <w:t>Dism.</w:t>
            </w:r>
          </w:p>
          <w:p w14:paraId="074532B5" w14:textId="77777777" w:rsidR="00FA5354" w:rsidRPr="00FA5354" w:rsidRDefault="00FA5354" w:rsidP="000374C1">
            <w:pPr>
              <w:autoSpaceDE/>
              <w:autoSpaceDN/>
              <w:adjustRightInd/>
              <w:spacing w:before="40" w:after="40"/>
              <w:rPr>
                <w:rFonts w:ascii="Arial" w:hAnsi="Arial" w:cs="Arial"/>
                <w:sz w:val="20"/>
                <w:szCs w:val="20"/>
                <w:lang w:val="en-GB"/>
              </w:rPr>
            </w:pPr>
            <w:r w:rsidRPr="00FA5354">
              <w:rPr>
                <w:rFonts w:ascii="Arial" w:hAnsi="Arial" w:cs="Arial"/>
                <w:sz w:val="20"/>
                <w:szCs w:val="20"/>
                <w:lang w:val="en-GB"/>
              </w:rPr>
              <w:t>Dism.</w:t>
            </w:r>
          </w:p>
        </w:tc>
        <w:tc>
          <w:tcPr>
            <w:tcW w:w="1591" w:type="dxa"/>
            <w:tcBorders>
              <w:top w:val="single" w:sz="4" w:space="0" w:color="auto"/>
              <w:bottom w:val="single" w:sz="4" w:space="0" w:color="auto"/>
              <w:right w:val="single" w:sz="4" w:space="0" w:color="auto"/>
            </w:tcBorders>
          </w:tcPr>
          <w:p w14:paraId="04B6EF39"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-17%</w:t>
            </w:r>
          </w:p>
          <w:p w14:paraId="79040A49"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-50%</w:t>
            </w:r>
          </w:p>
          <w:p w14:paraId="2B0B95A5"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-26%</w:t>
            </w:r>
          </w:p>
          <w:p w14:paraId="7678AFFB"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-3%</w:t>
            </w:r>
          </w:p>
          <w:p w14:paraId="0F04369C"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-27%</w:t>
            </w:r>
          </w:p>
        </w:tc>
      </w:tr>
      <w:tr w:rsidR="00FA5354" w:rsidRPr="00FA5354" w14:paraId="2CC584C7" w14:textId="77777777" w:rsidTr="00FA5354">
        <w:tc>
          <w:tcPr>
            <w:tcW w:w="9331" w:type="dxa"/>
            <w:gridSpan w:val="6"/>
            <w:tcBorders>
              <w:top w:val="single" w:sz="4" w:space="0" w:color="auto"/>
              <w:left w:val="single" w:sz="4" w:space="0" w:color="auto"/>
              <w:bottom w:val="single" w:sz="4" w:space="0" w:color="auto"/>
              <w:right w:val="single" w:sz="4" w:space="0" w:color="auto"/>
            </w:tcBorders>
          </w:tcPr>
          <w:p w14:paraId="018EB646" w14:textId="77777777" w:rsidR="00FA5354" w:rsidRPr="00FA5354" w:rsidRDefault="00FA5354" w:rsidP="000374C1">
            <w:pPr>
              <w:autoSpaceDE/>
              <w:autoSpaceDN/>
              <w:adjustRightInd/>
              <w:spacing w:before="40" w:after="40"/>
              <w:rPr>
                <w:rFonts w:ascii="Arial" w:hAnsi="Arial" w:cs="Arial"/>
                <w:sz w:val="16"/>
                <w:szCs w:val="16"/>
                <w:lang w:val="es-ES_tradnl"/>
              </w:rPr>
            </w:pPr>
            <w:r w:rsidRPr="00FA5354">
              <w:rPr>
                <w:rFonts w:ascii="Arial" w:hAnsi="Arial" w:cs="Arial"/>
                <w:sz w:val="16"/>
                <w:szCs w:val="16"/>
                <w:vertAlign w:val="superscript"/>
                <w:lang w:val="en-GB"/>
              </w:rPr>
              <w:t>1</w:t>
            </w:r>
            <w:r w:rsidRPr="00FA5354">
              <w:rPr>
                <w:rFonts w:ascii="Arial" w:hAnsi="Arial" w:cs="Arial"/>
                <w:sz w:val="16"/>
                <w:szCs w:val="16"/>
                <w:lang w:val="en-GB"/>
              </w:rPr>
              <w:t xml:space="preserve"> Durant, S., Mitchell, N., Ipavec, A. &amp; Groom, R. 2015. </w:t>
            </w:r>
            <w:r w:rsidRPr="00FA5354">
              <w:rPr>
                <w:rFonts w:ascii="Arial" w:hAnsi="Arial" w:cs="Arial"/>
                <w:i/>
                <w:iCs/>
                <w:sz w:val="16"/>
                <w:szCs w:val="16"/>
                <w:lang w:val="en-GB"/>
              </w:rPr>
              <w:t>Acinonyx jubatus</w:t>
            </w:r>
            <w:r w:rsidRPr="00FA5354">
              <w:rPr>
                <w:rFonts w:ascii="Arial" w:hAnsi="Arial" w:cs="Arial"/>
                <w:sz w:val="16"/>
                <w:szCs w:val="16"/>
                <w:lang w:val="en-GB"/>
              </w:rPr>
              <w:t>. The IUCN Red List of Threatened Species 2015: e.T219A50649567. </w:t>
            </w:r>
            <w:hyperlink r:id="rId29" w:history="1">
              <w:r w:rsidRPr="00FA5354">
                <w:rPr>
                  <w:rFonts w:ascii="Arial" w:hAnsi="Arial" w:cs="Arial"/>
                  <w:color w:val="0000FF"/>
                  <w:sz w:val="16"/>
                  <w:szCs w:val="16"/>
                  <w:u w:val="single"/>
                  <w:lang w:val="es-ES_tradnl"/>
                </w:rPr>
                <w:t>http://dx.doi.org/10.2305/IUCN.UK.2015-4.RLTS.T219A50649567.en</w:t>
              </w:r>
            </w:hyperlink>
            <w:r w:rsidRPr="00FA5354">
              <w:rPr>
                <w:rFonts w:ascii="Arial" w:hAnsi="Arial" w:cs="Arial"/>
                <w:sz w:val="16"/>
                <w:szCs w:val="16"/>
                <w:lang w:val="es-ES_tradnl"/>
              </w:rPr>
              <w:t xml:space="preserve">. Consultada el </w:t>
            </w:r>
            <w:r w:rsidRPr="00FA5354">
              <w:rPr>
                <w:rFonts w:ascii="Arial" w:hAnsi="Arial" w:cs="Arial"/>
                <w:b/>
                <w:bCs/>
                <w:sz w:val="16"/>
                <w:szCs w:val="16"/>
                <w:lang w:val="es-ES_tradnl"/>
              </w:rPr>
              <w:t>2 de diciembre de 2016</w:t>
            </w:r>
            <w:r w:rsidRPr="00FA5354">
              <w:rPr>
                <w:rFonts w:ascii="Arial" w:hAnsi="Arial" w:cs="Arial"/>
                <w:sz w:val="16"/>
                <w:szCs w:val="16"/>
                <w:lang w:val="es-ES_tradnl"/>
              </w:rPr>
              <w:t>.</w:t>
            </w:r>
          </w:p>
          <w:p w14:paraId="5AF35A25" w14:textId="77777777" w:rsidR="00FA5354" w:rsidRPr="00FA5354" w:rsidRDefault="00FA5354" w:rsidP="000374C1">
            <w:pPr>
              <w:autoSpaceDE/>
              <w:autoSpaceDN/>
              <w:adjustRightInd/>
              <w:spacing w:before="40" w:after="40"/>
              <w:rPr>
                <w:rFonts w:ascii="Arial" w:hAnsi="Arial" w:cs="Arial"/>
                <w:sz w:val="16"/>
                <w:szCs w:val="16"/>
                <w:lang w:val="es-ES_tradnl"/>
              </w:rPr>
            </w:pPr>
            <w:r w:rsidRPr="00FA5354">
              <w:rPr>
                <w:rFonts w:ascii="Arial" w:hAnsi="Arial" w:cs="Arial"/>
                <w:sz w:val="16"/>
                <w:szCs w:val="16"/>
                <w:vertAlign w:val="superscript"/>
                <w:lang w:val="en-US"/>
              </w:rPr>
              <w:t>2</w:t>
            </w:r>
            <w:r w:rsidRPr="00FA5354">
              <w:rPr>
                <w:rFonts w:ascii="Arial" w:hAnsi="Arial" w:cs="Arial"/>
                <w:sz w:val="16"/>
                <w:szCs w:val="16"/>
                <w:lang w:val="en-US"/>
              </w:rPr>
              <w:t xml:space="preserve"> Stein, A.B., Athreya, V., Gerngross, P., Balme, G., Henschel, P., Karanth, U., Miquelle, D., Rostro, S., Kamler, J.F. y Laguardia, A. 2016. </w:t>
            </w:r>
            <w:r w:rsidRPr="00FA5354">
              <w:rPr>
                <w:rFonts w:ascii="Arial" w:hAnsi="Arial" w:cs="Arial"/>
                <w:i/>
                <w:iCs/>
                <w:sz w:val="16"/>
                <w:szCs w:val="16"/>
                <w:lang w:val="en-GB"/>
              </w:rPr>
              <w:t>Panthera pardus</w:t>
            </w:r>
            <w:r w:rsidRPr="00FA5354">
              <w:rPr>
                <w:rFonts w:ascii="Arial" w:hAnsi="Arial" w:cs="Arial"/>
                <w:sz w:val="16"/>
                <w:szCs w:val="16"/>
                <w:lang w:val="en-GB"/>
              </w:rPr>
              <w:t>. The IUCN Red List of Threatened Species 2016: e.T15954A50659089. </w:t>
            </w:r>
            <w:hyperlink r:id="rId30" w:history="1">
              <w:r w:rsidRPr="00FA5354">
                <w:rPr>
                  <w:rFonts w:ascii="Arial" w:hAnsi="Arial" w:cs="Arial"/>
                  <w:color w:val="0000FF"/>
                  <w:sz w:val="16"/>
                  <w:szCs w:val="16"/>
                  <w:u w:val="single"/>
                  <w:lang w:val="es-ES_tradnl"/>
                </w:rPr>
                <w:t>http://dx.doi.org/10.2305/IUCN.UK.2016-1.RLTS.T15954A50659089.en</w:t>
              </w:r>
            </w:hyperlink>
            <w:r w:rsidRPr="00FA5354">
              <w:rPr>
                <w:rFonts w:ascii="Arial" w:hAnsi="Arial" w:cs="Arial"/>
                <w:sz w:val="16"/>
                <w:szCs w:val="16"/>
                <w:lang w:val="es-ES_tradnl"/>
              </w:rPr>
              <w:t xml:space="preserve">. Consultada el </w:t>
            </w:r>
            <w:r w:rsidRPr="00FA5354">
              <w:rPr>
                <w:rFonts w:ascii="Arial" w:hAnsi="Arial" w:cs="Arial"/>
                <w:b/>
                <w:bCs/>
                <w:sz w:val="16"/>
                <w:szCs w:val="16"/>
                <w:lang w:val="es-ES_tradnl"/>
              </w:rPr>
              <w:t>2 de diciembre de 2016</w:t>
            </w:r>
            <w:r w:rsidRPr="00FA5354">
              <w:rPr>
                <w:rFonts w:ascii="Arial" w:hAnsi="Arial" w:cs="Arial"/>
                <w:sz w:val="16"/>
                <w:szCs w:val="16"/>
                <w:lang w:val="es-ES_tradnl"/>
              </w:rPr>
              <w:t>.</w:t>
            </w:r>
          </w:p>
          <w:p w14:paraId="44D6188E" w14:textId="77777777" w:rsidR="00FA5354" w:rsidRPr="00FA5354" w:rsidRDefault="00FA5354" w:rsidP="000374C1">
            <w:pPr>
              <w:autoSpaceDE/>
              <w:autoSpaceDN/>
              <w:adjustRightInd/>
              <w:spacing w:before="40" w:after="40"/>
              <w:rPr>
                <w:rFonts w:ascii="Arial" w:hAnsi="Arial" w:cs="Arial"/>
                <w:sz w:val="16"/>
                <w:szCs w:val="16"/>
                <w:lang w:val="es-ES_tradnl"/>
              </w:rPr>
            </w:pPr>
            <w:r w:rsidRPr="00FA5354">
              <w:rPr>
                <w:rFonts w:ascii="Arial" w:hAnsi="Arial" w:cs="Arial"/>
                <w:sz w:val="16"/>
                <w:szCs w:val="16"/>
                <w:vertAlign w:val="superscript"/>
              </w:rPr>
              <w:t>3</w:t>
            </w:r>
            <w:r w:rsidRPr="00FA5354">
              <w:rPr>
                <w:rFonts w:ascii="Arial" w:hAnsi="Arial" w:cs="Arial"/>
                <w:sz w:val="16"/>
                <w:szCs w:val="16"/>
              </w:rPr>
              <w:t xml:space="preserve"> Bauer, H., Packer, C., Funston, P.F., Henschel, P. y Nowell, K. 2016. </w:t>
            </w:r>
            <w:r w:rsidRPr="00FA5354">
              <w:rPr>
                <w:rFonts w:ascii="Arial" w:hAnsi="Arial" w:cs="Arial"/>
                <w:i/>
                <w:iCs/>
                <w:sz w:val="16"/>
                <w:szCs w:val="16"/>
                <w:lang w:val="en-GB"/>
              </w:rPr>
              <w:t>Panthera leo</w:t>
            </w:r>
            <w:r w:rsidRPr="00FA5354">
              <w:rPr>
                <w:rFonts w:ascii="Arial" w:hAnsi="Arial" w:cs="Arial"/>
                <w:sz w:val="16"/>
                <w:szCs w:val="16"/>
                <w:lang w:val="en-GB"/>
              </w:rPr>
              <w:t>. The IUCN Red List of Threatened Species 2016: e.T15951A97162455. </w:t>
            </w:r>
            <w:hyperlink r:id="rId31" w:history="1">
              <w:r w:rsidRPr="00FA5354">
                <w:rPr>
                  <w:rFonts w:ascii="Arial" w:hAnsi="Arial" w:cs="Arial"/>
                  <w:color w:val="0000FF"/>
                  <w:sz w:val="16"/>
                  <w:szCs w:val="16"/>
                  <w:u w:val="single"/>
                  <w:lang w:val="es-ES_tradnl"/>
                </w:rPr>
                <w:t>http://dx.doi.org/10.2305/IUCN.UK.2016-1.RLTS.T15951A97162455.en</w:t>
              </w:r>
            </w:hyperlink>
            <w:r w:rsidRPr="00FA5354">
              <w:rPr>
                <w:rFonts w:ascii="Arial" w:hAnsi="Arial" w:cs="Arial"/>
                <w:sz w:val="16"/>
                <w:szCs w:val="16"/>
                <w:lang w:val="es-ES_tradnl"/>
              </w:rPr>
              <w:t xml:space="preserve">. Consultada el </w:t>
            </w:r>
            <w:r w:rsidRPr="00FA5354">
              <w:rPr>
                <w:rFonts w:ascii="Arial" w:hAnsi="Arial" w:cs="Arial"/>
                <w:b/>
                <w:bCs/>
                <w:sz w:val="16"/>
                <w:szCs w:val="16"/>
                <w:lang w:val="es-ES_tradnl"/>
              </w:rPr>
              <w:t>2 de diciembre de 2016</w:t>
            </w:r>
            <w:r w:rsidRPr="00FA5354">
              <w:rPr>
                <w:rFonts w:ascii="Arial" w:hAnsi="Arial" w:cs="Arial"/>
                <w:sz w:val="16"/>
                <w:szCs w:val="16"/>
                <w:lang w:val="es-ES_tradnl"/>
              </w:rPr>
              <w:t>.</w:t>
            </w:r>
          </w:p>
          <w:p w14:paraId="6478E017" w14:textId="77777777" w:rsidR="00FA5354" w:rsidRPr="00FA5354" w:rsidRDefault="00FA5354" w:rsidP="000374C1">
            <w:pPr>
              <w:autoSpaceDE/>
              <w:autoSpaceDN/>
              <w:adjustRightInd/>
              <w:spacing w:before="40" w:after="40"/>
              <w:rPr>
                <w:rFonts w:ascii="Arial" w:hAnsi="Arial" w:cs="Arial"/>
                <w:sz w:val="16"/>
                <w:szCs w:val="16"/>
                <w:lang w:val="es-ES_tradnl"/>
              </w:rPr>
            </w:pPr>
            <w:r w:rsidRPr="00FA5354">
              <w:rPr>
                <w:rFonts w:ascii="Arial" w:hAnsi="Arial" w:cs="Arial"/>
                <w:sz w:val="16"/>
                <w:szCs w:val="16"/>
                <w:vertAlign w:val="superscript"/>
              </w:rPr>
              <w:t>4</w:t>
            </w:r>
            <w:r w:rsidRPr="00FA5354">
              <w:rPr>
                <w:rFonts w:ascii="Arial" w:hAnsi="Arial" w:cs="Arial"/>
                <w:sz w:val="16"/>
                <w:szCs w:val="16"/>
              </w:rPr>
              <w:t xml:space="preserve"> Henschel, P., Bauer, H., Sogbohoussou, E. y Nowell, K. 2015. </w:t>
            </w:r>
            <w:r w:rsidRPr="00FA5354">
              <w:rPr>
                <w:rFonts w:ascii="Arial" w:hAnsi="Arial" w:cs="Arial"/>
                <w:i/>
                <w:iCs/>
                <w:sz w:val="16"/>
                <w:szCs w:val="16"/>
                <w:lang w:val="en-GB"/>
              </w:rPr>
              <w:t>Panthera leo (West Africa subpopulation)</w:t>
            </w:r>
            <w:r w:rsidRPr="00FA5354">
              <w:rPr>
                <w:rFonts w:ascii="Arial" w:hAnsi="Arial" w:cs="Arial"/>
                <w:sz w:val="16"/>
                <w:szCs w:val="16"/>
                <w:lang w:val="en-GB"/>
              </w:rPr>
              <w:t>. The IUCN Red List of Threatened Species 2015: e.T68933833A54067639. </w:t>
            </w:r>
            <w:hyperlink r:id="rId32" w:history="1">
              <w:r w:rsidRPr="00FA5354">
                <w:rPr>
                  <w:rFonts w:ascii="Arial" w:hAnsi="Arial" w:cs="Arial"/>
                  <w:color w:val="0000FF"/>
                  <w:sz w:val="16"/>
                  <w:szCs w:val="16"/>
                  <w:u w:val="single"/>
                  <w:lang w:val="en-US"/>
                </w:rPr>
                <w:t>http://dx.doi.org/10.2305/IUCN.UK.2015-2.RLTS.T68933833A54067639.en</w:t>
              </w:r>
            </w:hyperlink>
            <w:r w:rsidRPr="00FA5354">
              <w:rPr>
                <w:rFonts w:ascii="Arial" w:hAnsi="Arial" w:cs="Arial"/>
                <w:sz w:val="16"/>
                <w:szCs w:val="16"/>
                <w:lang w:val="en-US"/>
              </w:rPr>
              <w:t>. </w:t>
            </w:r>
            <w:r w:rsidRPr="00FA5354">
              <w:rPr>
                <w:rFonts w:ascii="Arial" w:hAnsi="Arial" w:cs="Arial"/>
                <w:sz w:val="16"/>
                <w:szCs w:val="16"/>
                <w:lang w:val="es-ES_tradnl"/>
              </w:rPr>
              <w:t xml:space="preserve">Consultada el </w:t>
            </w:r>
            <w:r w:rsidRPr="00FA5354">
              <w:rPr>
                <w:rFonts w:ascii="Arial" w:hAnsi="Arial" w:cs="Arial"/>
                <w:b/>
                <w:bCs/>
                <w:sz w:val="16"/>
                <w:szCs w:val="16"/>
                <w:lang w:val="es-ES_tradnl"/>
              </w:rPr>
              <w:t>2 de diciembre de 2016</w:t>
            </w:r>
            <w:r w:rsidRPr="00FA5354">
              <w:rPr>
                <w:rFonts w:ascii="Arial" w:hAnsi="Arial" w:cs="Arial"/>
                <w:sz w:val="16"/>
                <w:szCs w:val="16"/>
                <w:lang w:val="es-ES_tradnl"/>
              </w:rPr>
              <w:t>.</w:t>
            </w:r>
          </w:p>
          <w:p w14:paraId="0C39D0C3" w14:textId="77777777" w:rsidR="00FA5354" w:rsidRPr="00FA5354" w:rsidRDefault="00FA5354" w:rsidP="000374C1">
            <w:pPr>
              <w:autoSpaceDE/>
              <w:autoSpaceDN/>
              <w:adjustRightInd/>
              <w:spacing w:before="40" w:after="40"/>
              <w:rPr>
                <w:rFonts w:ascii="Arial" w:hAnsi="Arial" w:cs="Arial"/>
                <w:sz w:val="16"/>
                <w:szCs w:val="16"/>
                <w:lang w:val="es-ES_tradnl"/>
              </w:rPr>
            </w:pPr>
            <w:r w:rsidRPr="00FA5354">
              <w:rPr>
                <w:rFonts w:ascii="Arial" w:hAnsi="Arial" w:cs="Arial"/>
                <w:sz w:val="16"/>
                <w:szCs w:val="16"/>
                <w:vertAlign w:val="superscript"/>
                <w:lang w:val="es-ES_tradnl"/>
              </w:rPr>
              <w:t>5</w:t>
            </w:r>
            <w:r w:rsidRPr="00FA5354">
              <w:rPr>
                <w:rFonts w:ascii="Arial" w:hAnsi="Arial" w:cs="Arial"/>
                <w:sz w:val="16"/>
                <w:szCs w:val="16"/>
                <w:lang w:val="es-ES_tradnl"/>
              </w:rPr>
              <w:t xml:space="preserve"> Woodroffe, R. y Sillero-Zubiri, C. 2012. </w:t>
            </w:r>
            <w:r w:rsidRPr="00FA5354">
              <w:rPr>
                <w:rFonts w:ascii="Arial" w:hAnsi="Arial" w:cs="Arial"/>
                <w:i/>
                <w:iCs/>
                <w:sz w:val="16"/>
                <w:szCs w:val="16"/>
                <w:lang w:val="en-GB"/>
              </w:rPr>
              <w:t>Lycaon pictus</w:t>
            </w:r>
            <w:r w:rsidRPr="00FA5354">
              <w:rPr>
                <w:rFonts w:ascii="Arial" w:hAnsi="Arial" w:cs="Arial"/>
                <w:sz w:val="16"/>
                <w:szCs w:val="16"/>
                <w:lang w:val="en-GB"/>
              </w:rPr>
              <w:t>. The IUCN Red List of Threatened Species 2012: e.T12436A16711116. </w:t>
            </w:r>
            <w:hyperlink r:id="rId33" w:history="1">
              <w:r w:rsidRPr="00FA5354">
                <w:rPr>
                  <w:rFonts w:ascii="Arial" w:hAnsi="Arial" w:cs="Arial"/>
                  <w:color w:val="0000FF"/>
                  <w:sz w:val="16"/>
                  <w:szCs w:val="16"/>
                  <w:u w:val="single"/>
                  <w:lang w:val="es-ES_tradnl"/>
                </w:rPr>
                <w:t>http://dx.doi.org/10.2305/IUCN.UK.2012.RLTS.T12436A16711116.en</w:t>
              </w:r>
            </w:hyperlink>
            <w:r w:rsidRPr="00FA5354">
              <w:rPr>
                <w:rFonts w:ascii="Arial" w:hAnsi="Arial" w:cs="Arial"/>
                <w:sz w:val="16"/>
                <w:szCs w:val="16"/>
                <w:lang w:val="es-ES_tradnl"/>
              </w:rPr>
              <w:t xml:space="preserve">. Consultada el </w:t>
            </w:r>
            <w:r w:rsidRPr="00FA5354">
              <w:rPr>
                <w:rFonts w:ascii="Arial" w:hAnsi="Arial" w:cs="Arial"/>
                <w:b/>
                <w:bCs/>
                <w:sz w:val="16"/>
                <w:szCs w:val="16"/>
                <w:lang w:val="es-ES_tradnl"/>
              </w:rPr>
              <w:t>2 de diciembre de 2016</w:t>
            </w:r>
            <w:r w:rsidRPr="00FA5354">
              <w:rPr>
                <w:rFonts w:ascii="Arial" w:hAnsi="Arial" w:cs="Arial"/>
                <w:sz w:val="16"/>
                <w:szCs w:val="16"/>
                <w:lang w:val="es-ES_tradnl"/>
              </w:rPr>
              <w:t>.</w:t>
            </w:r>
          </w:p>
          <w:p w14:paraId="210A8CBA"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16"/>
                <w:szCs w:val="16"/>
                <w:vertAlign w:val="superscript"/>
                <w:lang w:val="es-ES_tradnl"/>
              </w:rPr>
              <w:lastRenderedPageBreak/>
              <w:t>6</w:t>
            </w:r>
            <w:r w:rsidRPr="00FA5354">
              <w:rPr>
                <w:rFonts w:ascii="Arial" w:hAnsi="Arial" w:cs="Arial"/>
                <w:sz w:val="16"/>
                <w:szCs w:val="16"/>
                <w:lang w:val="es-ES_tradnl"/>
              </w:rPr>
              <w:t xml:space="preserve"> La subespecie de África noroccidental </w:t>
            </w:r>
            <w:r w:rsidRPr="00FA5354">
              <w:rPr>
                <w:rFonts w:ascii="Arial" w:hAnsi="Arial" w:cs="Arial"/>
                <w:i/>
                <w:sz w:val="16"/>
                <w:szCs w:val="16"/>
                <w:lang w:val="es-ES_tradnl"/>
              </w:rPr>
              <w:t>A. j. hecki</w:t>
            </w:r>
            <w:r w:rsidRPr="00FA5354">
              <w:rPr>
                <w:rFonts w:ascii="Arial" w:hAnsi="Arial" w:cs="Arial"/>
                <w:sz w:val="16"/>
                <w:szCs w:val="16"/>
                <w:lang w:val="es-ES_tradnl"/>
              </w:rPr>
              <w:t xml:space="preserve"> está clasificada como CR C2a(i) en la Lista Roja de la UICN. Belbachir, F. 2008. </w:t>
            </w:r>
            <w:r w:rsidRPr="00FA5354">
              <w:rPr>
                <w:rFonts w:ascii="Arial" w:hAnsi="Arial" w:cs="Arial"/>
                <w:i/>
                <w:sz w:val="16"/>
                <w:szCs w:val="16"/>
                <w:lang w:val="es-ES_tradnl"/>
              </w:rPr>
              <w:t>Acinonyx jubatus</w:t>
            </w:r>
            <w:r w:rsidRPr="00FA5354">
              <w:rPr>
                <w:rFonts w:ascii="Arial" w:hAnsi="Arial" w:cs="Arial"/>
                <w:sz w:val="16"/>
                <w:szCs w:val="16"/>
                <w:lang w:val="es-ES_tradnl"/>
              </w:rPr>
              <w:t xml:space="preserve"> ssp. </w:t>
            </w:r>
            <w:r w:rsidRPr="00FA5354">
              <w:rPr>
                <w:rFonts w:ascii="Arial" w:hAnsi="Arial" w:cs="Arial"/>
                <w:i/>
                <w:sz w:val="16"/>
                <w:szCs w:val="16"/>
                <w:lang w:val="es-ES_tradnl"/>
              </w:rPr>
              <w:t>hecki</w:t>
            </w:r>
            <w:r w:rsidRPr="00FA5354">
              <w:rPr>
                <w:rFonts w:ascii="Arial" w:hAnsi="Arial" w:cs="Arial"/>
                <w:sz w:val="16"/>
                <w:szCs w:val="16"/>
                <w:lang w:val="es-ES_tradnl"/>
              </w:rPr>
              <w:t xml:space="preserve">. The IUCN Red List of Threatened Species 2008: e.T221A13035738. http://dx.doi.org/10.2305/IUCN.UK.2008.RLTS.T221A13035738.en. Consultada el </w:t>
            </w:r>
            <w:r w:rsidRPr="00FA5354">
              <w:rPr>
                <w:rFonts w:ascii="Arial" w:hAnsi="Arial" w:cs="Arial"/>
                <w:b/>
                <w:sz w:val="16"/>
                <w:szCs w:val="16"/>
                <w:lang w:val="es-ES_tradnl"/>
              </w:rPr>
              <w:t>2 de diciembre de 2016</w:t>
            </w:r>
            <w:r w:rsidRPr="00FA5354">
              <w:rPr>
                <w:rFonts w:ascii="Arial" w:hAnsi="Arial" w:cs="Arial"/>
                <w:sz w:val="16"/>
                <w:szCs w:val="16"/>
                <w:lang w:val="es-ES_tradnl"/>
              </w:rPr>
              <w:t>.</w:t>
            </w:r>
          </w:p>
        </w:tc>
      </w:tr>
    </w:tbl>
    <w:p w14:paraId="30838B87" w14:textId="77777777" w:rsidR="00FA5354" w:rsidRPr="00FA5354" w:rsidRDefault="00FA5354" w:rsidP="000374C1">
      <w:pPr>
        <w:autoSpaceDE/>
        <w:autoSpaceDN/>
        <w:adjustRightInd/>
        <w:spacing w:after="160" w:line="259" w:lineRule="auto"/>
        <w:jc w:val="both"/>
        <w:rPr>
          <w:rFonts w:eastAsiaTheme="minorHAnsi" w:cs="Arial"/>
          <w:sz w:val="20"/>
          <w:szCs w:val="20"/>
          <w:lang w:val="es-ES_tradnl"/>
        </w:rPr>
      </w:pPr>
    </w:p>
    <w:p w14:paraId="418C8D97" w14:textId="77777777" w:rsidR="00FA5354" w:rsidRPr="00FA5354" w:rsidRDefault="00FA5354" w:rsidP="000374C1">
      <w:pPr>
        <w:numPr>
          <w:ilvl w:val="0"/>
          <w:numId w:val="33"/>
        </w:numPr>
        <w:autoSpaceDE/>
        <w:autoSpaceDN/>
        <w:snapToGrid w:val="0"/>
        <w:spacing w:after="160"/>
        <w:jc w:val="both"/>
        <w:rPr>
          <w:rFonts w:eastAsiaTheme="minorHAnsi" w:cs="Arial"/>
          <w:b/>
          <w:sz w:val="22"/>
          <w:szCs w:val="22"/>
          <w:lang w:val="es-ES_tradnl"/>
        </w:rPr>
      </w:pPr>
      <w:r w:rsidRPr="00FA5354">
        <w:rPr>
          <w:rFonts w:eastAsiaTheme="minorHAnsi" w:cs="Arial"/>
          <w:b/>
          <w:sz w:val="22"/>
          <w:szCs w:val="22"/>
          <w:lang w:val="es-ES_tradnl"/>
        </w:rPr>
        <w:t>Amenazas y necesidades de conservación similares para las cuatro especies</w:t>
      </w:r>
    </w:p>
    <w:p w14:paraId="4820A1A3" w14:textId="77777777" w:rsidR="00FA5354" w:rsidRPr="00FA5354" w:rsidRDefault="00FA5354" w:rsidP="000374C1">
      <w:pPr>
        <w:autoSpaceDE/>
        <w:autoSpaceDN/>
        <w:snapToGrid w:val="0"/>
        <w:spacing w:after="160"/>
        <w:jc w:val="both"/>
        <w:rPr>
          <w:rFonts w:eastAsiaTheme="minorHAnsi" w:cs="Arial"/>
          <w:sz w:val="22"/>
          <w:szCs w:val="22"/>
          <w:lang w:val="es-ES_tradnl"/>
        </w:rPr>
      </w:pPr>
      <w:r w:rsidRPr="00FA5354">
        <w:rPr>
          <w:rFonts w:eastAsiaTheme="minorHAnsi" w:cs="Arial"/>
          <w:sz w:val="22"/>
          <w:szCs w:val="22"/>
          <w:lang w:val="es-ES_tradnl"/>
        </w:rPr>
        <w:t>Las razones principales de las disminuciones y amenazas generales son similares para las cuatro especies, según se indica en las evaluaciones de la Lista Roja de la UICN mencionadas anteriormente:</w:t>
      </w:r>
    </w:p>
    <w:p w14:paraId="26E5C481" w14:textId="77777777" w:rsidR="00FA5354" w:rsidRPr="00FA5354" w:rsidRDefault="00FA5354" w:rsidP="000374C1">
      <w:pPr>
        <w:numPr>
          <w:ilvl w:val="0"/>
          <w:numId w:val="19"/>
        </w:numPr>
        <w:autoSpaceDE/>
        <w:autoSpaceDN/>
        <w:adjustRightInd/>
        <w:snapToGrid w:val="0"/>
        <w:spacing w:after="160"/>
        <w:jc w:val="both"/>
        <w:rPr>
          <w:rFonts w:eastAsiaTheme="minorHAnsi" w:cs="Arial"/>
          <w:b/>
          <w:sz w:val="22"/>
          <w:szCs w:val="22"/>
          <w:lang w:val="es-ES_tradnl"/>
        </w:rPr>
      </w:pPr>
      <w:r w:rsidRPr="00FA5354">
        <w:rPr>
          <w:rFonts w:eastAsiaTheme="minorHAnsi" w:cs="Arial"/>
          <w:b/>
          <w:sz w:val="22"/>
          <w:szCs w:val="22"/>
          <w:lang w:val="es-ES_tradnl"/>
        </w:rPr>
        <w:t>Pérdida y fragmentación del hábitat</w:t>
      </w:r>
    </w:p>
    <w:p w14:paraId="57B05DFB" w14:textId="77777777" w:rsidR="00FA5354" w:rsidRPr="00FA5354" w:rsidRDefault="00FA5354" w:rsidP="000374C1">
      <w:pPr>
        <w:autoSpaceDE/>
        <w:autoSpaceDN/>
        <w:snapToGrid w:val="0"/>
        <w:spacing w:after="160"/>
        <w:ind w:left="360"/>
        <w:jc w:val="both"/>
        <w:rPr>
          <w:rFonts w:eastAsiaTheme="minorHAnsi" w:cs="Arial"/>
          <w:sz w:val="22"/>
          <w:szCs w:val="22"/>
          <w:lang w:val="es-ES_tradnl"/>
        </w:rPr>
      </w:pPr>
      <w:r w:rsidRPr="00FA5354">
        <w:rPr>
          <w:rFonts w:eastAsiaTheme="minorHAnsi" w:cs="Arial"/>
          <w:sz w:val="22"/>
          <w:szCs w:val="22"/>
          <w:lang w:val="es-ES_tradnl"/>
        </w:rPr>
        <w:t>Conforme las poblaciones humanas en África crecen rápidamente y amplían sus asentamientos y actividades agrícolas, ocupan cada vez más los hábitats de las especies silvestres. En consecuencia, el león solo se encuentra en el 17 por ciento de su área de distribución histórica en toda África, el guepardo en el 9 por ciento</w:t>
      </w:r>
      <w:r w:rsidRPr="00FA5354">
        <w:rPr>
          <w:rFonts w:eastAsiaTheme="minorHAnsi"/>
          <w:sz w:val="22"/>
          <w:szCs w:val="22"/>
          <w:vertAlign w:val="superscript"/>
          <w:lang w:val="es-ES_tradnl"/>
        </w:rPr>
        <w:footnoteReference w:id="4"/>
      </w:r>
      <w:r w:rsidRPr="00FA5354">
        <w:rPr>
          <w:rFonts w:eastAsiaTheme="minorHAnsi" w:cs="Arial"/>
          <w:sz w:val="22"/>
          <w:szCs w:val="22"/>
          <w:lang w:val="es-ES_tradnl"/>
        </w:rPr>
        <w:t>, el leopardo en el 51 por ciento</w:t>
      </w:r>
      <w:r w:rsidRPr="00FA5354">
        <w:rPr>
          <w:rFonts w:eastAsiaTheme="minorHAnsi" w:cs="Arial"/>
          <w:sz w:val="22"/>
          <w:szCs w:val="22"/>
          <w:vertAlign w:val="superscript"/>
          <w:lang w:val="es-ES_tradnl"/>
        </w:rPr>
        <w:footnoteReference w:id="5"/>
      </w:r>
      <w:r w:rsidRPr="00FA5354">
        <w:rPr>
          <w:rFonts w:eastAsiaTheme="minorHAnsi" w:cs="Arial"/>
          <w:sz w:val="22"/>
          <w:szCs w:val="22"/>
          <w:lang w:val="es-ES_tradnl"/>
        </w:rPr>
        <w:t xml:space="preserve"> y el licaón en el 6 por ciento. Aparte de la pérdida de hábitat, su fragmentación representa grandes dificultades para la conservación de los grandes carnívoros en África. De hecho, la fragmentación de su área de distribución es la principal amenaza para el guepardo y el licaón. Debido a la baja densidad de las poblaciones de guepardo y licaón en toda su área de distribución, las especies necesitan grandes extensiones de hábitats conectados para mantener poblaciones que sean demográficamente funcionales y genéticamente viables y poder sobrevivir. Dado que ambas especies se encuentran principalmente fuera de las áreas protegidas, la fragmentación de sus poblaciones es motivo de gran preocupación. Como su hábitat está fragmentado por el desarrollo de infraestructuras como carreteras, líneas ferroviarias y canalizaciones, aumenta su contacto con las personas y los animales domésticos, dando lugar a amenazas adicionales, como la caza furtiva, los conflictos entre los seres humanos y la fauna silvestre y la transmisión de enfermedades infecciosas. Ante esta situación, es necesaria una planificación de la gestión del territorio a gran escala, por ejemplo mediante la creación de corredores ecológicos amplios fuera de las áreas protegidas.</w:t>
      </w:r>
    </w:p>
    <w:p w14:paraId="24124D36" w14:textId="77777777" w:rsidR="00FA5354" w:rsidRPr="00FA5354" w:rsidRDefault="00FA5354" w:rsidP="000374C1">
      <w:pPr>
        <w:numPr>
          <w:ilvl w:val="0"/>
          <w:numId w:val="19"/>
        </w:numPr>
        <w:autoSpaceDE/>
        <w:autoSpaceDN/>
        <w:adjustRightInd/>
        <w:snapToGrid w:val="0"/>
        <w:spacing w:after="160"/>
        <w:jc w:val="both"/>
        <w:rPr>
          <w:rFonts w:eastAsiaTheme="minorHAnsi" w:cs="Arial"/>
          <w:b/>
          <w:sz w:val="22"/>
          <w:szCs w:val="22"/>
          <w:lang w:val="es-ES_tradnl"/>
        </w:rPr>
      </w:pPr>
      <w:r w:rsidRPr="00FA5354">
        <w:rPr>
          <w:rFonts w:eastAsiaTheme="minorHAnsi" w:cs="Arial"/>
          <w:b/>
          <w:sz w:val="22"/>
          <w:szCs w:val="22"/>
          <w:lang w:val="es-ES_tradnl"/>
        </w:rPr>
        <w:t>Conflictos con los seres humanos</w:t>
      </w:r>
    </w:p>
    <w:p w14:paraId="6D28E116" w14:textId="77777777" w:rsidR="00FA5354" w:rsidRPr="00FA5354" w:rsidRDefault="00FA5354" w:rsidP="000374C1">
      <w:pPr>
        <w:autoSpaceDE/>
        <w:autoSpaceDN/>
        <w:snapToGrid w:val="0"/>
        <w:spacing w:after="160"/>
        <w:ind w:left="360"/>
        <w:jc w:val="both"/>
        <w:rPr>
          <w:rFonts w:eastAsiaTheme="minorHAnsi" w:cs="Arial"/>
          <w:sz w:val="22"/>
          <w:szCs w:val="22"/>
          <w:lang w:val="es-ES_tradnl"/>
        </w:rPr>
      </w:pPr>
      <w:r w:rsidRPr="00FA5354">
        <w:rPr>
          <w:rFonts w:eastAsiaTheme="minorHAnsi" w:cs="Arial"/>
          <w:sz w:val="22"/>
          <w:szCs w:val="22"/>
          <w:lang w:val="es-ES_tradnl"/>
        </w:rPr>
        <w:t>A consecuencia de la reducción de los hábitats y la invasión de las poblaciones humanas, están aumentando los conflictos entre los grandes carnívoros y los seres humanos. El resultado es que los seres humanos matan a los carnívoros que habitan a proximidad de ellos para defenderse y proteger su ganado. Los distintos métodos utilizados por las personas para matar a los carnívoros hacen que las distintas especies estén afectadas de distintas formas. En el caso del león y el leopardo, la matanza deliberada es la principal amenaza para su supervivencia fuera de las áreas protegidas. Las cuatro especies están afectadas por el envenenamiento no dirigido a ellas, por ejemplo de las charcas de agua, pero los leopardos y sobre todo los leones mueren al volver al ganado que han cazado, donde a menudo se coloca veneno. Se necesitan estrategias de mitigación tales como el vallado del ganado, programas de compensación y seguros, cambios en la asignación de los permisos para la caza de trofeos y sensibilización pública para ayudar a las comunidades locales a evitar los daños y pérdidas y a aumentar su tolerancia para convivir con guepardos, leones y leopardos.</w:t>
      </w:r>
    </w:p>
    <w:p w14:paraId="54500C57" w14:textId="77777777" w:rsidR="00FA5354" w:rsidRPr="00FA5354" w:rsidRDefault="00FA5354" w:rsidP="000374C1">
      <w:pPr>
        <w:numPr>
          <w:ilvl w:val="0"/>
          <w:numId w:val="19"/>
        </w:numPr>
        <w:autoSpaceDE/>
        <w:autoSpaceDN/>
        <w:adjustRightInd/>
        <w:snapToGrid w:val="0"/>
        <w:spacing w:after="160"/>
        <w:jc w:val="both"/>
        <w:rPr>
          <w:rFonts w:eastAsiaTheme="minorHAnsi" w:cs="Arial"/>
          <w:b/>
          <w:sz w:val="22"/>
          <w:szCs w:val="22"/>
          <w:lang w:val="es-ES_tradnl"/>
        </w:rPr>
      </w:pPr>
      <w:r w:rsidRPr="00FA5354">
        <w:rPr>
          <w:rFonts w:eastAsiaTheme="minorHAnsi" w:cs="Arial"/>
          <w:b/>
          <w:sz w:val="22"/>
          <w:szCs w:val="22"/>
          <w:lang w:val="es-ES_tradnl"/>
        </w:rPr>
        <w:t>Agotamiento de la base de presas</w:t>
      </w:r>
    </w:p>
    <w:p w14:paraId="1DF64F7B" w14:textId="77777777" w:rsidR="00FA5354" w:rsidRPr="00FA5354" w:rsidRDefault="00FA5354" w:rsidP="000374C1">
      <w:pPr>
        <w:autoSpaceDE/>
        <w:autoSpaceDN/>
        <w:snapToGrid w:val="0"/>
        <w:spacing w:after="160"/>
        <w:ind w:left="360"/>
        <w:jc w:val="both"/>
        <w:rPr>
          <w:rFonts w:eastAsiaTheme="minorHAnsi" w:cs="Arial"/>
          <w:sz w:val="22"/>
          <w:szCs w:val="22"/>
          <w:lang w:val="es-ES_tradnl"/>
        </w:rPr>
      </w:pPr>
      <w:r w:rsidRPr="00FA5354">
        <w:rPr>
          <w:rFonts w:eastAsiaTheme="minorHAnsi" w:cs="Arial"/>
          <w:sz w:val="22"/>
          <w:szCs w:val="22"/>
          <w:lang w:val="es-ES_tradnl"/>
        </w:rPr>
        <w:t xml:space="preserve">La disminución de las poblaciones de grandes carnívoros refleja directamente la disminución de su base de presas, tanto dentro como fuera de las áreas protegidas. Hay dos factores que impulsan el agotamiento de la base de presas de los grandes carnívoros: </w:t>
      </w:r>
      <w:r w:rsidRPr="00FA5354">
        <w:rPr>
          <w:rFonts w:eastAsiaTheme="minorHAnsi" w:cs="Arial"/>
          <w:sz w:val="22"/>
          <w:szCs w:val="22"/>
          <w:lang w:val="es-ES_tradnl"/>
        </w:rPr>
        <w:lastRenderedPageBreak/>
        <w:t>En primer lugar, el aumento de la cantidad de ganado, que desplaza a los herbívoros silvestres y acaba dando lugar al sobrepastoreo en zonas habitadas por carnívoros silvestres y su consiguiente disminución debido a la escasez de alimento. En segundo lugar, los ungulados silvestres son cazados por las comunidades locales para satisfacer sus propias necesidades de proteínas y también para comercializarlos. Estas amenazas indirectas afectan a las cuatro especies de carnívoros pero son más graves en el caso de los guepardos, que suelen sucumbir a los leones y leopardos en su competencia por las presas. Para atajar estas amenazas, es necesario proteger el hábitat y también apoyar a las comunidades a fin de que cambien sus hábitos alimentarios y dejen de consumir carne de especies silvestres, orientándose hacia el consumo de ganado doméstico a pequeña escala.</w:t>
      </w:r>
    </w:p>
    <w:p w14:paraId="0D53EE6A" w14:textId="77777777" w:rsidR="00FA5354" w:rsidRPr="00FA5354" w:rsidRDefault="00FA5354" w:rsidP="000374C1">
      <w:pPr>
        <w:numPr>
          <w:ilvl w:val="0"/>
          <w:numId w:val="19"/>
        </w:numPr>
        <w:autoSpaceDE/>
        <w:autoSpaceDN/>
        <w:adjustRightInd/>
        <w:snapToGrid w:val="0"/>
        <w:spacing w:after="160"/>
        <w:jc w:val="both"/>
        <w:rPr>
          <w:rFonts w:eastAsiaTheme="minorHAnsi" w:cs="Arial"/>
          <w:b/>
          <w:sz w:val="22"/>
          <w:szCs w:val="22"/>
          <w:lang w:val="es-ES_tradnl"/>
        </w:rPr>
      </w:pPr>
      <w:r w:rsidRPr="00FA5354">
        <w:rPr>
          <w:rFonts w:eastAsiaTheme="minorHAnsi" w:cs="Arial"/>
          <w:b/>
          <w:sz w:val="22"/>
          <w:szCs w:val="22"/>
          <w:lang w:val="es-ES_tradnl"/>
        </w:rPr>
        <w:t>Prácticas comerciales insostenibles o ilegales</w:t>
      </w:r>
    </w:p>
    <w:p w14:paraId="67EE0BFB" w14:textId="77777777" w:rsidR="00FA5354" w:rsidRPr="00FA5354" w:rsidRDefault="00FA5354" w:rsidP="000374C1">
      <w:pPr>
        <w:autoSpaceDE/>
        <w:autoSpaceDN/>
        <w:snapToGrid w:val="0"/>
        <w:spacing w:after="160"/>
        <w:ind w:left="360"/>
        <w:jc w:val="both"/>
        <w:rPr>
          <w:rFonts w:eastAsiaTheme="minorHAnsi" w:cs="Arial"/>
          <w:sz w:val="22"/>
          <w:szCs w:val="22"/>
          <w:lang w:val="es-ES_tradnl"/>
        </w:rPr>
      </w:pPr>
      <w:r w:rsidRPr="00FA5354">
        <w:rPr>
          <w:rFonts w:eastAsiaTheme="minorHAnsi" w:cs="Arial"/>
          <w:sz w:val="22"/>
          <w:szCs w:val="22"/>
          <w:lang w:val="es-ES_tradnl"/>
        </w:rPr>
        <w:t>El comercio no sostenible e ilícito de especímenes de grandes carnívoros se produce principalmente dentro de África y de África a los Estados del Golfo y Asia. Se trata del comercio de guepardos vivos, principalmente desde África oriental, pero también desde Botswana, Namibia y Sudáfrica a los Estados del Golfo, y también de pieles de leopardo desde África septentrional, occidental y central a otros países de África y a Asia. En sustitución del hueso de tigre, han aumentado los niveles de comercio de huesos y otras partes del cuerpo de león y leopardo para la medicina tradicional en África y desde África a China, la República Democrática Popular Lao y Viet Nam. Aunque las autoridades chinas permiten la utilización de huesos de leones cautivos para elaborar vinos medicinales, el origen de esos huesos no siempre está claro, suscitando la preocupación de que se puedan estar comercializando especímenes de animales silvestres. Es necesario garantizar que se suprima sistemáticamente toda matanza ilegal de las especies en cuestión y que toda extracción legal de animales sea sostenible, prestando especial atención a la extracción de ejemplares en las subpoblaciones pequeñas, que están particularmente amenazadas.</w:t>
      </w:r>
    </w:p>
    <w:p w14:paraId="324E9438" w14:textId="77777777" w:rsidR="00FA5354" w:rsidRPr="00FA5354" w:rsidRDefault="00FA5354" w:rsidP="000374C1">
      <w:pPr>
        <w:autoSpaceDE/>
        <w:autoSpaceDN/>
        <w:snapToGrid w:val="0"/>
        <w:spacing w:after="160"/>
        <w:jc w:val="both"/>
        <w:rPr>
          <w:rFonts w:eastAsiaTheme="minorHAnsi" w:cs="Arial"/>
          <w:sz w:val="22"/>
          <w:szCs w:val="22"/>
          <w:lang w:val="es-ES_tradnl"/>
        </w:rPr>
      </w:pPr>
      <w:r w:rsidRPr="00FA5354">
        <w:rPr>
          <w:rFonts w:eastAsiaTheme="minorHAnsi" w:cs="Arial"/>
          <w:sz w:val="22"/>
          <w:szCs w:val="22"/>
          <w:lang w:val="es-ES_tradnl"/>
        </w:rPr>
        <w:t>Dada la similitud de las amenazas a las que se enfrentan las cuatro especies, se necesitan medidas de conservación similares. Por consiguiente, el hecho de adoptar medidas para una especies también ayudará a las otras especies. Aunque la atención prestada a los carnívoros africanos emblemáticos dará visibilidad a las medidas adoptadas, su conservación también tendrá efectos positivos para otras especies y para los ecosistemas en general, tales como las poblaciones de ungulados silvestres.</w:t>
      </w:r>
    </w:p>
    <w:p w14:paraId="0B9901BD" w14:textId="77777777" w:rsidR="00FA5354" w:rsidRPr="00FA5354" w:rsidRDefault="00FA5354" w:rsidP="000374C1">
      <w:pPr>
        <w:numPr>
          <w:ilvl w:val="0"/>
          <w:numId w:val="33"/>
        </w:numPr>
        <w:autoSpaceDE/>
        <w:autoSpaceDN/>
        <w:adjustRightInd/>
        <w:spacing w:after="160"/>
        <w:rPr>
          <w:rFonts w:eastAsiaTheme="minorHAnsi" w:cs="Arial"/>
          <w:b/>
          <w:sz w:val="22"/>
          <w:szCs w:val="22"/>
          <w:lang w:val="es-ES_tradnl"/>
        </w:rPr>
      </w:pPr>
      <w:r w:rsidRPr="00FA5354">
        <w:rPr>
          <w:rFonts w:eastAsiaTheme="minorHAnsi" w:cs="Arial"/>
          <w:b/>
          <w:sz w:val="22"/>
          <w:szCs w:val="22"/>
          <w:lang w:val="es-ES_tradnl"/>
        </w:rPr>
        <w:t>Objetivos de la Iniciativa</w:t>
      </w:r>
    </w:p>
    <w:p w14:paraId="07E45787" w14:textId="77777777" w:rsidR="00FA5354" w:rsidRPr="00FA5354" w:rsidRDefault="00FA5354" w:rsidP="000374C1">
      <w:pPr>
        <w:autoSpaceDE/>
        <w:autoSpaceDN/>
        <w:adjustRightInd/>
        <w:spacing w:after="160"/>
        <w:jc w:val="both"/>
        <w:rPr>
          <w:rFonts w:eastAsiaTheme="minorHAnsi" w:cs="Arial"/>
          <w:iCs/>
          <w:sz w:val="22"/>
          <w:szCs w:val="22"/>
          <w:lang w:val="es-ES_tradnl"/>
        </w:rPr>
      </w:pPr>
      <w:r w:rsidRPr="00FA5354">
        <w:rPr>
          <w:rFonts w:eastAsiaTheme="minorHAnsi" w:cs="Arial"/>
          <w:iCs/>
          <w:sz w:val="22"/>
          <w:szCs w:val="22"/>
          <w:lang w:val="es-ES_tradnl"/>
        </w:rPr>
        <w:t xml:space="preserve">La Iniciativa para los carnívoros africanos pretende contribuir a una mayor conservación de las cuatro especies en toda su área de distribución en África mediante la aplicación de las resoluciones y decisiones adoptadas por la CMS y la COP de la siguiente forma: </w:t>
      </w:r>
    </w:p>
    <w:p w14:paraId="5DFE7B6E" w14:textId="77777777" w:rsidR="00FA5354" w:rsidRPr="00FA5354" w:rsidRDefault="00FA5354" w:rsidP="000374C1">
      <w:pPr>
        <w:numPr>
          <w:ilvl w:val="0"/>
          <w:numId w:val="31"/>
        </w:numPr>
        <w:autoSpaceDE/>
        <w:autoSpaceDN/>
        <w:adjustRightInd/>
        <w:spacing w:after="160"/>
        <w:jc w:val="both"/>
        <w:rPr>
          <w:rFonts w:eastAsiaTheme="minorHAnsi" w:cs="Arial"/>
          <w:iCs/>
          <w:sz w:val="22"/>
          <w:szCs w:val="22"/>
          <w:lang w:val="es-ES_tradnl"/>
        </w:rPr>
      </w:pPr>
      <w:r w:rsidRPr="00FA5354">
        <w:rPr>
          <w:rFonts w:eastAsiaTheme="minorHAnsi" w:cs="Arial"/>
          <w:iCs/>
          <w:sz w:val="22"/>
          <w:szCs w:val="22"/>
          <w:lang w:val="es-ES_tradnl"/>
        </w:rPr>
        <w:t>elaborando programas de conservación concretos, coordinados y sinérgicos para las cuatro especies de carnívoros, aplicando proyectos locales y regionales en toda su área de distribución africana;</w:t>
      </w:r>
    </w:p>
    <w:p w14:paraId="06D21D4E" w14:textId="77777777" w:rsidR="00FA5354" w:rsidRPr="00FA5354" w:rsidRDefault="00FA5354" w:rsidP="000374C1">
      <w:pPr>
        <w:numPr>
          <w:ilvl w:val="0"/>
          <w:numId w:val="31"/>
        </w:numPr>
        <w:autoSpaceDE/>
        <w:autoSpaceDN/>
        <w:adjustRightInd/>
        <w:spacing w:after="160"/>
        <w:jc w:val="both"/>
        <w:rPr>
          <w:rFonts w:eastAsiaTheme="minorHAnsi" w:cs="Arial"/>
          <w:iCs/>
          <w:sz w:val="22"/>
          <w:szCs w:val="22"/>
          <w:lang w:val="es-ES_tradnl"/>
        </w:rPr>
      </w:pPr>
      <w:r w:rsidRPr="00FA5354">
        <w:rPr>
          <w:rFonts w:eastAsiaTheme="minorHAnsi" w:cs="Arial"/>
          <w:iCs/>
          <w:sz w:val="22"/>
          <w:szCs w:val="22"/>
          <w:lang w:val="es-ES_tradnl"/>
        </w:rPr>
        <w:t>elaborando orientaciones normativas y recomendaciones para los Estados del área de distribución y las Partes en la CITES y la CMS sobre las cuatro especies; y</w:t>
      </w:r>
    </w:p>
    <w:p w14:paraId="5F28D05A" w14:textId="77777777" w:rsidR="00F740CC" w:rsidRPr="00F740CC" w:rsidRDefault="00FA5354" w:rsidP="000374C1">
      <w:pPr>
        <w:numPr>
          <w:ilvl w:val="0"/>
          <w:numId w:val="31"/>
        </w:numPr>
        <w:autoSpaceDE/>
        <w:autoSpaceDN/>
        <w:adjustRightInd/>
        <w:jc w:val="both"/>
        <w:rPr>
          <w:rFonts w:eastAsiaTheme="minorHAnsi" w:cs="Arial"/>
          <w:b/>
          <w:sz w:val="22"/>
          <w:szCs w:val="22"/>
          <w:lang w:val="es-ES_tradnl"/>
        </w:rPr>
      </w:pPr>
      <w:r w:rsidRPr="00FA5354">
        <w:rPr>
          <w:rFonts w:eastAsiaTheme="minorHAnsi" w:cs="Arial"/>
          <w:iCs/>
          <w:sz w:val="22"/>
          <w:szCs w:val="22"/>
          <w:lang w:val="es-ES_tradnl"/>
        </w:rPr>
        <w:t>organizando la colaboración con otras iniciativas de conservación y organizaciones dedicadas a esta, tales como la UICN.</w:t>
      </w:r>
    </w:p>
    <w:p w14:paraId="1FF581EC" w14:textId="77777777" w:rsidR="00F740CC" w:rsidRDefault="00F740CC" w:rsidP="000374C1">
      <w:pPr>
        <w:autoSpaceDE/>
        <w:autoSpaceDN/>
        <w:adjustRightInd/>
        <w:jc w:val="both"/>
        <w:rPr>
          <w:rFonts w:eastAsiaTheme="minorHAnsi" w:cs="Arial"/>
          <w:iCs/>
          <w:sz w:val="22"/>
          <w:szCs w:val="22"/>
          <w:lang w:val="es-ES_tradnl"/>
        </w:rPr>
      </w:pPr>
    </w:p>
    <w:p w14:paraId="3029ED14" w14:textId="596F81B9" w:rsidR="00FA5354" w:rsidRPr="00ED4217" w:rsidRDefault="00F740CC" w:rsidP="000374C1">
      <w:pPr>
        <w:pStyle w:val="ListParagraph"/>
        <w:numPr>
          <w:ilvl w:val="0"/>
          <w:numId w:val="33"/>
        </w:numPr>
        <w:autoSpaceDE/>
        <w:autoSpaceDN/>
        <w:adjustRightInd/>
        <w:jc w:val="both"/>
        <w:rPr>
          <w:rFonts w:eastAsiaTheme="minorHAnsi" w:cs="Arial"/>
          <w:b/>
          <w:sz w:val="22"/>
          <w:szCs w:val="22"/>
          <w:lang w:val="es-ES_tradnl"/>
        </w:rPr>
      </w:pPr>
      <w:r w:rsidRPr="00ED4217">
        <w:rPr>
          <w:rFonts w:eastAsiaTheme="minorHAnsi" w:cs="Arial"/>
          <w:b/>
          <w:sz w:val="22"/>
          <w:szCs w:val="22"/>
          <w:lang w:val="es-ES_tradnl"/>
        </w:rPr>
        <w:t xml:space="preserve"> </w:t>
      </w:r>
      <w:r w:rsidR="00FA5354" w:rsidRPr="00ED4217">
        <w:rPr>
          <w:rFonts w:eastAsiaTheme="minorHAnsi" w:cs="Arial"/>
          <w:b/>
          <w:sz w:val="22"/>
          <w:szCs w:val="22"/>
          <w:lang w:val="es-ES_tradnl"/>
        </w:rPr>
        <w:t>Cuadro de actividades</w:t>
      </w:r>
    </w:p>
    <w:p w14:paraId="5378EDE8" w14:textId="77777777" w:rsidR="00FA5354" w:rsidRPr="00FA5354" w:rsidRDefault="00FA5354" w:rsidP="000374C1">
      <w:p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La Iniciativa para los carnívoros africanos ayuda conjuntamente a las Partes en la CMS y en la CITES a aplicar las medidas de conservación acordadas por las Conferencias de las Partes de cada Convención en sus respectivas resoluciones y decisiones:</w:t>
      </w:r>
    </w:p>
    <w:p w14:paraId="614BCEB9" w14:textId="77777777" w:rsidR="00FA5354" w:rsidRPr="00FA5354" w:rsidRDefault="00FA5354" w:rsidP="000374C1">
      <w:pPr>
        <w:autoSpaceDE/>
        <w:autoSpaceDN/>
        <w:adjustRightInd/>
        <w:spacing w:after="160" w:line="259" w:lineRule="auto"/>
        <w:jc w:val="both"/>
        <w:rPr>
          <w:rFonts w:eastAsiaTheme="minorHAnsi" w:cs="Arial"/>
          <w:sz w:val="22"/>
          <w:szCs w:val="22"/>
          <w:lang w:val="es-ES_tradnl"/>
        </w:rPr>
      </w:pPr>
    </w:p>
    <w:tbl>
      <w:tblPr>
        <w:tblStyle w:val="TableGrid2"/>
        <w:tblW w:w="0" w:type="auto"/>
        <w:tblLook w:val="04A0" w:firstRow="1" w:lastRow="0" w:firstColumn="1" w:lastColumn="0" w:noHBand="0" w:noVBand="1"/>
      </w:tblPr>
      <w:tblGrid>
        <w:gridCol w:w="3231"/>
        <w:gridCol w:w="1190"/>
        <w:gridCol w:w="1161"/>
        <w:gridCol w:w="1131"/>
        <w:gridCol w:w="1030"/>
        <w:gridCol w:w="1272"/>
      </w:tblGrid>
      <w:tr w:rsidR="00FA5354" w:rsidRPr="00FA5354" w14:paraId="15728ABB" w14:textId="77777777" w:rsidTr="00FA5354">
        <w:tc>
          <w:tcPr>
            <w:tcW w:w="3502" w:type="dxa"/>
            <w:vAlign w:val="center"/>
          </w:tcPr>
          <w:p w14:paraId="34466932" w14:textId="77777777" w:rsidR="00FA5354" w:rsidRPr="00FA5354" w:rsidRDefault="00FA5354" w:rsidP="000374C1">
            <w:pPr>
              <w:autoSpaceDE/>
              <w:autoSpaceDN/>
              <w:adjustRightInd/>
              <w:spacing w:before="40" w:after="40"/>
              <w:jc w:val="center"/>
              <w:rPr>
                <w:rFonts w:ascii="Arial" w:hAnsi="Arial" w:cs="Arial"/>
                <w:b/>
                <w:sz w:val="20"/>
                <w:szCs w:val="20"/>
                <w:lang w:val="es-ES_tradnl"/>
              </w:rPr>
            </w:pPr>
            <w:r w:rsidRPr="00FA5354">
              <w:rPr>
                <w:rFonts w:ascii="Arial" w:hAnsi="Arial" w:cs="Arial"/>
                <w:b/>
                <w:sz w:val="20"/>
                <w:szCs w:val="20"/>
                <w:lang w:val="es-ES_tradnl"/>
              </w:rPr>
              <w:t>Actividad de conservación</w:t>
            </w:r>
          </w:p>
        </w:tc>
        <w:tc>
          <w:tcPr>
            <w:tcW w:w="1221" w:type="dxa"/>
            <w:vAlign w:val="center"/>
          </w:tcPr>
          <w:p w14:paraId="0C3E82C7" w14:textId="77777777" w:rsidR="00FA5354" w:rsidRPr="00FA5354" w:rsidRDefault="00FA5354" w:rsidP="000374C1">
            <w:pPr>
              <w:autoSpaceDE/>
              <w:autoSpaceDN/>
              <w:adjustRightInd/>
              <w:spacing w:before="40" w:after="40"/>
              <w:jc w:val="center"/>
              <w:rPr>
                <w:rFonts w:ascii="Arial" w:hAnsi="Arial" w:cs="Arial"/>
                <w:b/>
                <w:sz w:val="20"/>
                <w:szCs w:val="20"/>
                <w:lang w:val="es-ES_tradnl"/>
              </w:rPr>
            </w:pPr>
            <w:r w:rsidRPr="00FA5354">
              <w:rPr>
                <w:rFonts w:ascii="Arial" w:hAnsi="Arial" w:cs="Arial"/>
                <w:b/>
                <w:sz w:val="20"/>
                <w:szCs w:val="20"/>
                <w:lang w:val="es-ES_tradnl"/>
              </w:rPr>
              <w:t>León africano</w:t>
            </w:r>
          </w:p>
        </w:tc>
        <w:tc>
          <w:tcPr>
            <w:tcW w:w="1132" w:type="dxa"/>
            <w:vAlign w:val="center"/>
          </w:tcPr>
          <w:p w14:paraId="552BB713" w14:textId="77777777" w:rsidR="00FA5354" w:rsidRPr="00FA5354" w:rsidRDefault="00FA5354" w:rsidP="000374C1">
            <w:pPr>
              <w:autoSpaceDE/>
              <w:autoSpaceDN/>
              <w:adjustRightInd/>
              <w:spacing w:before="40" w:after="40"/>
              <w:jc w:val="center"/>
              <w:rPr>
                <w:rFonts w:ascii="Arial" w:hAnsi="Arial" w:cs="Arial"/>
                <w:b/>
                <w:sz w:val="20"/>
                <w:szCs w:val="20"/>
                <w:lang w:val="es-ES_tradnl"/>
              </w:rPr>
            </w:pPr>
            <w:r w:rsidRPr="00FA5354">
              <w:rPr>
                <w:rFonts w:ascii="Arial" w:hAnsi="Arial" w:cs="Arial"/>
                <w:b/>
                <w:sz w:val="20"/>
                <w:szCs w:val="20"/>
                <w:lang w:val="es-ES_tradnl"/>
              </w:rPr>
              <w:t>Guepardo</w:t>
            </w:r>
          </w:p>
        </w:tc>
        <w:tc>
          <w:tcPr>
            <w:tcW w:w="1132" w:type="dxa"/>
            <w:vAlign w:val="center"/>
          </w:tcPr>
          <w:p w14:paraId="091B493E" w14:textId="77777777" w:rsidR="00FA5354" w:rsidRPr="00FA5354" w:rsidRDefault="00FA5354" w:rsidP="000374C1">
            <w:pPr>
              <w:autoSpaceDE/>
              <w:autoSpaceDN/>
              <w:adjustRightInd/>
              <w:spacing w:before="40" w:after="40"/>
              <w:jc w:val="center"/>
              <w:rPr>
                <w:rFonts w:ascii="Arial" w:hAnsi="Arial" w:cs="Arial"/>
                <w:b/>
                <w:sz w:val="20"/>
                <w:szCs w:val="20"/>
                <w:lang w:val="es-ES_tradnl"/>
              </w:rPr>
            </w:pPr>
            <w:r w:rsidRPr="00FA5354">
              <w:rPr>
                <w:rFonts w:ascii="Arial" w:hAnsi="Arial" w:cs="Arial"/>
                <w:b/>
                <w:sz w:val="20"/>
                <w:szCs w:val="20"/>
                <w:lang w:val="es-ES_tradnl"/>
              </w:rPr>
              <w:t>Leopardo</w:t>
            </w:r>
          </w:p>
        </w:tc>
        <w:tc>
          <w:tcPr>
            <w:tcW w:w="1057" w:type="dxa"/>
            <w:vAlign w:val="center"/>
          </w:tcPr>
          <w:p w14:paraId="76D5943B" w14:textId="77777777" w:rsidR="00FA5354" w:rsidRPr="00FA5354" w:rsidRDefault="00FA5354" w:rsidP="000374C1">
            <w:pPr>
              <w:autoSpaceDE/>
              <w:autoSpaceDN/>
              <w:adjustRightInd/>
              <w:spacing w:before="40" w:after="40"/>
              <w:jc w:val="center"/>
              <w:rPr>
                <w:rFonts w:ascii="Arial" w:hAnsi="Arial" w:cs="Arial"/>
                <w:b/>
                <w:sz w:val="20"/>
                <w:szCs w:val="20"/>
                <w:lang w:val="es-ES_tradnl"/>
              </w:rPr>
            </w:pPr>
            <w:r w:rsidRPr="00FA5354">
              <w:rPr>
                <w:rFonts w:ascii="Arial" w:hAnsi="Arial" w:cs="Arial"/>
                <w:b/>
                <w:sz w:val="20"/>
                <w:szCs w:val="20"/>
                <w:lang w:val="es-ES_tradnl"/>
              </w:rPr>
              <w:t>Licaón</w:t>
            </w:r>
          </w:p>
        </w:tc>
        <w:tc>
          <w:tcPr>
            <w:tcW w:w="972" w:type="dxa"/>
          </w:tcPr>
          <w:p w14:paraId="7AA48AEC" w14:textId="77777777" w:rsidR="00FA5354" w:rsidRPr="00FA5354" w:rsidRDefault="00FA5354" w:rsidP="000374C1">
            <w:pPr>
              <w:autoSpaceDE/>
              <w:autoSpaceDN/>
              <w:adjustRightInd/>
              <w:spacing w:before="40" w:after="40"/>
              <w:jc w:val="center"/>
              <w:rPr>
                <w:rFonts w:ascii="Arial" w:hAnsi="Arial" w:cs="Arial"/>
                <w:b/>
                <w:sz w:val="20"/>
                <w:szCs w:val="20"/>
                <w:lang w:val="es-ES_tradnl"/>
              </w:rPr>
            </w:pPr>
            <w:r w:rsidRPr="00FA5354">
              <w:rPr>
                <w:rFonts w:ascii="Arial" w:hAnsi="Arial" w:cs="Arial"/>
                <w:b/>
                <w:sz w:val="20"/>
                <w:szCs w:val="20"/>
                <w:lang w:val="es-ES_tradnl"/>
              </w:rPr>
              <w:t>Organismo</w:t>
            </w:r>
          </w:p>
        </w:tc>
      </w:tr>
      <w:tr w:rsidR="00FA5354" w:rsidRPr="00FA5354" w14:paraId="10C669EB" w14:textId="77777777" w:rsidTr="00FA5354">
        <w:tc>
          <w:tcPr>
            <w:tcW w:w="3502" w:type="dxa"/>
          </w:tcPr>
          <w:p w14:paraId="6640D94F"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Recopilar, analizar y compartir información y datos sólidos mediante inventarios y bases de datos conjuntos</w:t>
            </w:r>
            <w:r w:rsidRPr="00FA5354">
              <w:rPr>
                <w:rFonts w:ascii="Arial" w:hAnsi="Arial" w:cs="Arial"/>
                <w:sz w:val="20"/>
                <w:szCs w:val="20"/>
                <w:vertAlign w:val="superscript"/>
                <w:lang w:val="es-ES_tradnl"/>
              </w:rPr>
              <w:footnoteReference w:id="6"/>
            </w:r>
          </w:p>
        </w:tc>
        <w:tc>
          <w:tcPr>
            <w:tcW w:w="1221" w:type="dxa"/>
            <w:vAlign w:val="center"/>
          </w:tcPr>
          <w:p w14:paraId="60DDA070" w14:textId="77777777" w:rsidR="00FA5354" w:rsidRPr="00FA5354" w:rsidRDefault="00FA5354" w:rsidP="000374C1">
            <w:pPr>
              <w:autoSpaceDE/>
              <w:autoSpaceDN/>
              <w:adjustRightInd/>
              <w:spacing w:before="40" w:after="40"/>
              <w:jc w:val="center"/>
              <w:rPr>
                <w:rFonts w:ascii="Arial" w:hAnsi="Arial" w:cs="Arial"/>
                <w:b/>
                <w:sz w:val="20"/>
                <w:szCs w:val="20"/>
                <w:lang w:val="es-ES_tradnl"/>
              </w:rPr>
            </w:pPr>
            <w:r w:rsidRPr="00FA5354">
              <w:rPr>
                <w:rFonts w:ascii="Arial" w:hAnsi="Arial" w:cs="Arial"/>
                <w:b/>
                <w:sz w:val="20"/>
                <w:szCs w:val="20"/>
                <w:lang w:val="es-ES_tradnl"/>
              </w:rPr>
              <w:t>˅</w:t>
            </w:r>
          </w:p>
        </w:tc>
        <w:tc>
          <w:tcPr>
            <w:tcW w:w="1132" w:type="dxa"/>
            <w:vAlign w:val="center"/>
          </w:tcPr>
          <w:p w14:paraId="3160C261"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p>
        </w:tc>
        <w:tc>
          <w:tcPr>
            <w:tcW w:w="1132" w:type="dxa"/>
            <w:vAlign w:val="center"/>
          </w:tcPr>
          <w:p w14:paraId="680DC6F9"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p>
        </w:tc>
        <w:tc>
          <w:tcPr>
            <w:tcW w:w="1057" w:type="dxa"/>
            <w:vAlign w:val="center"/>
          </w:tcPr>
          <w:p w14:paraId="73972016"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p>
        </w:tc>
        <w:tc>
          <w:tcPr>
            <w:tcW w:w="972" w:type="dxa"/>
          </w:tcPr>
          <w:p w14:paraId="07B6DFD6"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CMS</w:t>
            </w:r>
          </w:p>
          <w:p w14:paraId="0DB5C154"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CITES</w:t>
            </w:r>
          </w:p>
        </w:tc>
      </w:tr>
      <w:tr w:rsidR="00FA5354" w:rsidRPr="00FA5354" w14:paraId="6CEF2E06" w14:textId="77777777" w:rsidTr="00FA5354">
        <w:tc>
          <w:tcPr>
            <w:tcW w:w="3502" w:type="dxa"/>
          </w:tcPr>
          <w:p w14:paraId="26DA0AE7"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Conservar el hábitat y crear corredores ecológicos</w:t>
            </w:r>
          </w:p>
        </w:tc>
        <w:tc>
          <w:tcPr>
            <w:tcW w:w="1221" w:type="dxa"/>
            <w:vAlign w:val="center"/>
          </w:tcPr>
          <w:p w14:paraId="15E1120B" w14:textId="77777777" w:rsidR="00FA5354" w:rsidRPr="00FA5354" w:rsidRDefault="00FA5354" w:rsidP="000374C1">
            <w:pPr>
              <w:autoSpaceDE/>
              <w:autoSpaceDN/>
              <w:adjustRightInd/>
              <w:spacing w:before="40" w:after="40"/>
              <w:jc w:val="center"/>
              <w:rPr>
                <w:rFonts w:ascii="Arial" w:hAnsi="Arial" w:cs="Arial"/>
                <w:b/>
                <w:sz w:val="20"/>
                <w:szCs w:val="20"/>
                <w:lang w:val="es-ES_tradnl"/>
              </w:rPr>
            </w:pPr>
          </w:p>
        </w:tc>
        <w:tc>
          <w:tcPr>
            <w:tcW w:w="1132" w:type="dxa"/>
            <w:vAlign w:val="center"/>
          </w:tcPr>
          <w:p w14:paraId="767DE677"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1132" w:type="dxa"/>
            <w:vAlign w:val="center"/>
          </w:tcPr>
          <w:p w14:paraId="56FF6574"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p>
        </w:tc>
        <w:tc>
          <w:tcPr>
            <w:tcW w:w="1057" w:type="dxa"/>
            <w:vAlign w:val="center"/>
          </w:tcPr>
          <w:p w14:paraId="1EE407A8"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972" w:type="dxa"/>
          </w:tcPr>
          <w:p w14:paraId="2D067CD1"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CMS</w:t>
            </w:r>
          </w:p>
        </w:tc>
      </w:tr>
      <w:tr w:rsidR="00FA5354" w:rsidRPr="00FA5354" w14:paraId="078184FA" w14:textId="77777777" w:rsidTr="00FA5354">
        <w:tc>
          <w:tcPr>
            <w:tcW w:w="3502" w:type="dxa"/>
          </w:tcPr>
          <w:p w14:paraId="2EC57CB0"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Realizar estudios sobre tendencias poblacionales y conservación y prácticas de gestión</w:t>
            </w:r>
          </w:p>
        </w:tc>
        <w:tc>
          <w:tcPr>
            <w:tcW w:w="1221" w:type="dxa"/>
            <w:vAlign w:val="center"/>
          </w:tcPr>
          <w:p w14:paraId="694D43FA"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1132" w:type="dxa"/>
            <w:vAlign w:val="center"/>
          </w:tcPr>
          <w:p w14:paraId="5435B811"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1132" w:type="dxa"/>
            <w:vAlign w:val="center"/>
          </w:tcPr>
          <w:p w14:paraId="2BE353BF"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1057" w:type="dxa"/>
            <w:vAlign w:val="center"/>
          </w:tcPr>
          <w:p w14:paraId="4B108B9F"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972" w:type="dxa"/>
          </w:tcPr>
          <w:p w14:paraId="54C9264E"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CMS</w:t>
            </w:r>
          </w:p>
          <w:p w14:paraId="43CF6C7B"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CITES</w:t>
            </w:r>
          </w:p>
        </w:tc>
      </w:tr>
      <w:tr w:rsidR="00FA5354" w:rsidRPr="00FA5354" w14:paraId="5A553E39" w14:textId="77777777" w:rsidTr="00FA5354">
        <w:tc>
          <w:tcPr>
            <w:tcW w:w="3502" w:type="dxa"/>
          </w:tcPr>
          <w:p w14:paraId="0ED71994"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Identificar y acordar estrategias y planes de acción comunes para la conservación</w:t>
            </w:r>
            <w:r w:rsidRPr="00FA5354">
              <w:rPr>
                <w:rFonts w:ascii="Arial" w:hAnsi="Arial" w:cs="Arial"/>
                <w:sz w:val="20"/>
                <w:szCs w:val="20"/>
                <w:vertAlign w:val="superscript"/>
                <w:lang w:val="es-ES_tradnl"/>
              </w:rPr>
              <w:footnoteReference w:id="7"/>
            </w:r>
            <w:r w:rsidRPr="00FA5354">
              <w:rPr>
                <w:rFonts w:ascii="Arial" w:hAnsi="Arial" w:cs="Arial"/>
                <w:sz w:val="20"/>
                <w:szCs w:val="20"/>
                <w:lang w:val="es-ES_tradnl"/>
              </w:rPr>
              <w:t xml:space="preserve"> </w:t>
            </w:r>
          </w:p>
        </w:tc>
        <w:tc>
          <w:tcPr>
            <w:tcW w:w="1221" w:type="dxa"/>
            <w:vAlign w:val="center"/>
          </w:tcPr>
          <w:p w14:paraId="6CFD036D"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1132" w:type="dxa"/>
            <w:vAlign w:val="center"/>
          </w:tcPr>
          <w:p w14:paraId="4179636F"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1132" w:type="dxa"/>
            <w:vAlign w:val="center"/>
          </w:tcPr>
          <w:p w14:paraId="68E87675"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p>
        </w:tc>
        <w:tc>
          <w:tcPr>
            <w:tcW w:w="1057" w:type="dxa"/>
            <w:vAlign w:val="center"/>
          </w:tcPr>
          <w:p w14:paraId="39155E3D"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972" w:type="dxa"/>
          </w:tcPr>
          <w:p w14:paraId="03CD2E0B"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 xml:space="preserve">CMS </w:t>
            </w:r>
          </w:p>
          <w:p w14:paraId="716C1457"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CITES</w:t>
            </w:r>
          </w:p>
        </w:tc>
      </w:tr>
      <w:tr w:rsidR="00FA5354" w:rsidRPr="00FA5354" w14:paraId="54E352A8" w14:textId="77777777" w:rsidTr="00FA5354">
        <w:tc>
          <w:tcPr>
            <w:tcW w:w="3502" w:type="dxa"/>
          </w:tcPr>
          <w:p w14:paraId="1340EAD9"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Realizar estudios sobre el comercio lícito e ilícito, elaborar un conjunto de recursos, revisar los cupos</w:t>
            </w:r>
          </w:p>
        </w:tc>
        <w:tc>
          <w:tcPr>
            <w:tcW w:w="1221" w:type="dxa"/>
            <w:vAlign w:val="center"/>
          </w:tcPr>
          <w:p w14:paraId="3C7E4E04" w14:textId="77777777" w:rsidR="00FA5354" w:rsidRPr="00FA5354" w:rsidRDefault="00FA5354" w:rsidP="000374C1">
            <w:pPr>
              <w:autoSpaceDE/>
              <w:autoSpaceDN/>
              <w:adjustRightInd/>
              <w:spacing w:before="40" w:after="40"/>
              <w:jc w:val="center"/>
              <w:rPr>
                <w:rFonts w:ascii="Arial" w:hAnsi="Arial" w:cs="Arial"/>
                <w:b/>
                <w:sz w:val="20"/>
                <w:szCs w:val="20"/>
                <w:lang w:val="es-ES_tradnl"/>
              </w:rPr>
            </w:pPr>
            <w:r w:rsidRPr="00FA5354">
              <w:rPr>
                <w:rFonts w:ascii="Arial" w:hAnsi="Arial" w:cs="Arial"/>
                <w:b/>
                <w:sz w:val="20"/>
                <w:szCs w:val="20"/>
                <w:lang w:val="es-ES_tradnl"/>
              </w:rPr>
              <w:t>˅</w:t>
            </w:r>
          </w:p>
        </w:tc>
        <w:tc>
          <w:tcPr>
            <w:tcW w:w="1132" w:type="dxa"/>
            <w:vAlign w:val="center"/>
          </w:tcPr>
          <w:p w14:paraId="5483B85C"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1132" w:type="dxa"/>
            <w:vAlign w:val="center"/>
          </w:tcPr>
          <w:p w14:paraId="5C447125"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1057" w:type="dxa"/>
            <w:vAlign w:val="center"/>
          </w:tcPr>
          <w:p w14:paraId="48B57C78"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972" w:type="dxa"/>
          </w:tcPr>
          <w:p w14:paraId="7574F43D"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CITES</w:t>
            </w:r>
          </w:p>
          <w:p w14:paraId="22CAB08A"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CMS</w:t>
            </w:r>
          </w:p>
        </w:tc>
      </w:tr>
      <w:tr w:rsidR="00FA5354" w:rsidRPr="00FA5354" w14:paraId="5BA07833" w14:textId="77777777" w:rsidTr="00FA5354">
        <w:tc>
          <w:tcPr>
            <w:tcW w:w="3502" w:type="dxa"/>
          </w:tcPr>
          <w:p w14:paraId="2FE6DD89"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Realizar un seguimiento y una evaluación de la aplicación de las medidas y los planes de acción</w:t>
            </w:r>
          </w:p>
        </w:tc>
        <w:tc>
          <w:tcPr>
            <w:tcW w:w="1221" w:type="dxa"/>
            <w:vAlign w:val="center"/>
          </w:tcPr>
          <w:p w14:paraId="46CD96D4"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1132" w:type="dxa"/>
            <w:vAlign w:val="center"/>
          </w:tcPr>
          <w:p w14:paraId="5820167C"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1132" w:type="dxa"/>
            <w:vAlign w:val="center"/>
          </w:tcPr>
          <w:p w14:paraId="620B7A39"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1057" w:type="dxa"/>
            <w:vAlign w:val="center"/>
          </w:tcPr>
          <w:p w14:paraId="6D5CBB1D"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972" w:type="dxa"/>
          </w:tcPr>
          <w:p w14:paraId="198342A5"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CMS</w:t>
            </w:r>
          </w:p>
        </w:tc>
      </w:tr>
      <w:tr w:rsidR="00FA5354" w:rsidRPr="00FA5354" w14:paraId="7C36FD35" w14:textId="77777777" w:rsidTr="00FA5354">
        <w:tc>
          <w:tcPr>
            <w:tcW w:w="3502" w:type="dxa"/>
          </w:tcPr>
          <w:p w14:paraId="36302893"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Presentar informes sobre la aplicación para su examen por los órganos pertinentes de la CMS y la CITES</w:t>
            </w:r>
          </w:p>
        </w:tc>
        <w:tc>
          <w:tcPr>
            <w:tcW w:w="1221" w:type="dxa"/>
            <w:vAlign w:val="center"/>
          </w:tcPr>
          <w:p w14:paraId="70916664"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1132" w:type="dxa"/>
            <w:vAlign w:val="center"/>
          </w:tcPr>
          <w:p w14:paraId="1512061D"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1132" w:type="dxa"/>
            <w:vAlign w:val="center"/>
          </w:tcPr>
          <w:p w14:paraId="6F813CB5"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1057" w:type="dxa"/>
            <w:vAlign w:val="center"/>
          </w:tcPr>
          <w:p w14:paraId="4C02D21B"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972" w:type="dxa"/>
          </w:tcPr>
          <w:p w14:paraId="23433472"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 xml:space="preserve">CMS </w:t>
            </w:r>
          </w:p>
          <w:p w14:paraId="643FBCB3"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CITES</w:t>
            </w:r>
          </w:p>
        </w:tc>
      </w:tr>
      <w:tr w:rsidR="00FA5354" w:rsidRPr="00FA5354" w14:paraId="6ED31F8D" w14:textId="77777777" w:rsidTr="00FA5354">
        <w:tc>
          <w:tcPr>
            <w:tcW w:w="3502" w:type="dxa"/>
          </w:tcPr>
          <w:p w14:paraId="649CE6D1"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Crear capacidad en la conservación y gestión, incluida la realización de dictámenes de extracción no perjudicial</w:t>
            </w:r>
          </w:p>
        </w:tc>
        <w:tc>
          <w:tcPr>
            <w:tcW w:w="1221" w:type="dxa"/>
            <w:vAlign w:val="center"/>
          </w:tcPr>
          <w:p w14:paraId="724FD6D6"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1132" w:type="dxa"/>
            <w:vAlign w:val="center"/>
          </w:tcPr>
          <w:p w14:paraId="7BF1B3B1"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p>
        </w:tc>
        <w:tc>
          <w:tcPr>
            <w:tcW w:w="1132" w:type="dxa"/>
            <w:vAlign w:val="center"/>
          </w:tcPr>
          <w:p w14:paraId="0287997F"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1057" w:type="dxa"/>
            <w:vAlign w:val="center"/>
          </w:tcPr>
          <w:p w14:paraId="27184AEB"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p>
        </w:tc>
        <w:tc>
          <w:tcPr>
            <w:tcW w:w="972" w:type="dxa"/>
          </w:tcPr>
          <w:p w14:paraId="69FEF289"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 xml:space="preserve">CMS </w:t>
            </w:r>
          </w:p>
          <w:p w14:paraId="74AB6874"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CITES</w:t>
            </w:r>
          </w:p>
        </w:tc>
      </w:tr>
      <w:tr w:rsidR="00FA5354" w:rsidRPr="00FA5354" w14:paraId="3F10AFD4" w14:textId="77777777" w:rsidTr="00FA5354">
        <w:tc>
          <w:tcPr>
            <w:tcW w:w="3502" w:type="dxa"/>
          </w:tcPr>
          <w:p w14:paraId="346E5657"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Recaudar fondos y trabajar en pro de la cooperación internacional</w:t>
            </w:r>
          </w:p>
        </w:tc>
        <w:tc>
          <w:tcPr>
            <w:tcW w:w="1221" w:type="dxa"/>
            <w:vAlign w:val="center"/>
          </w:tcPr>
          <w:p w14:paraId="07F313A9"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1132" w:type="dxa"/>
            <w:vAlign w:val="center"/>
          </w:tcPr>
          <w:p w14:paraId="1345FBE3"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p>
        </w:tc>
        <w:tc>
          <w:tcPr>
            <w:tcW w:w="1132" w:type="dxa"/>
            <w:vAlign w:val="center"/>
          </w:tcPr>
          <w:p w14:paraId="7EDCDD7F"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p>
        </w:tc>
        <w:tc>
          <w:tcPr>
            <w:tcW w:w="1057" w:type="dxa"/>
            <w:vAlign w:val="center"/>
          </w:tcPr>
          <w:p w14:paraId="7A2A4D84"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p>
        </w:tc>
        <w:tc>
          <w:tcPr>
            <w:tcW w:w="972" w:type="dxa"/>
          </w:tcPr>
          <w:p w14:paraId="43ECAEDF"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CMS</w:t>
            </w:r>
          </w:p>
          <w:p w14:paraId="69FD8CD5"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CITES</w:t>
            </w:r>
          </w:p>
        </w:tc>
      </w:tr>
      <w:tr w:rsidR="00FA5354" w:rsidRPr="00FA5354" w14:paraId="7427BF5D" w14:textId="77777777" w:rsidTr="00FA5354">
        <w:tc>
          <w:tcPr>
            <w:tcW w:w="3502" w:type="dxa"/>
          </w:tcPr>
          <w:p w14:paraId="7E3639CB"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Aumentar la sensibilización pública y llevar a cabo programas educativos</w:t>
            </w:r>
          </w:p>
        </w:tc>
        <w:tc>
          <w:tcPr>
            <w:tcW w:w="1221" w:type="dxa"/>
            <w:vAlign w:val="center"/>
          </w:tcPr>
          <w:p w14:paraId="01542287"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1132" w:type="dxa"/>
            <w:vAlign w:val="center"/>
          </w:tcPr>
          <w:p w14:paraId="13BD393D"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1132" w:type="dxa"/>
            <w:vAlign w:val="center"/>
          </w:tcPr>
          <w:p w14:paraId="5D49825F"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p>
        </w:tc>
        <w:tc>
          <w:tcPr>
            <w:tcW w:w="1057" w:type="dxa"/>
            <w:vAlign w:val="center"/>
          </w:tcPr>
          <w:p w14:paraId="681B581B"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p>
        </w:tc>
        <w:tc>
          <w:tcPr>
            <w:tcW w:w="972" w:type="dxa"/>
          </w:tcPr>
          <w:p w14:paraId="7C0FE104"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 xml:space="preserve">CMS </w:t>
            </w:r>
          </w:p>
          <w:p w14:paraId="08385529"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CITES</w:t>
            </w:r>
          </w:p>
        </w:tc>
      </w:tr>
      <w:tr w:rsidR="00FA5354" w:rsidRPr="00FA5354" w14:paraId="12E8800C" w14:textId="77777777" w:rsidTr="00FA5354">
        <w:tc>
          <w:tcPr>
            <w:tcW w:w="3502" w:type="dxa"/>
          </w:tcPr>
          <w:p w14:paraId="33E538D7"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 xml:space="preserve">Crear un portal web </w:t>
            </w:r>
          </w:p>
        </w:tc>
        <w:tc>
          <w:tcPr>
            <w:tcW w:w="1221" w:type="dxa"/>
            <w:vAlign w:val="center"/>
          </w:tcPr>
          <w:p w14:paraId="7BC252DD" w14:textId="77777777" w:rsidR="00FA5354" w:rsidRPr="00FA5354" w:rsidRDefault="00FA5354" w:rsidP="000374C1">
            <w:pPr>
              <w:autoSpaceDE/>
              <w:autoSpaceDN/>
              <w:adjustRightInd/>
              <w:spacing w:before="40" w:after="40"/>
              <w:jc w:val="center"/>
              <w:rPr>
                <w:rFonts w:ascii="Arial" w:hAnsi="Arial" w:cs="Arial"/>
                <w:b/>
                <w:sz w:val="20"/>
                <w:szCs w:val="20"/>
                <w:lang w:val="es-ES_tradnl"/>
              </w:rPr>
            </w:pPr>
            <w:r w:rsidRPr="00FA5354">
              <w:rPr>
                <w:rFonts w:ascii="Arial" w:hAnsi="Arial" w:cs="Arial"/>
                <w:b/>
                <w:sz w:val="20"/>
                <w:szCs w:val="20"/>
                <w:lang w:val="es-ES_tradnl"/>
              </w:rPr>
              <w:t>˅</w:t>
            </w:r>
          </w:p>
        </w:tc>
        <w:tc>
          <w:tcPr>
            <w:tcW w:w="1132" w:type="dxa"/>
            <w:vAlign w:val="center"/>
          </w:tcPr>
          <w:p w14:paraId="68F1E26B"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r w:rsidRPr="00FA5354">
              <w:rPr>
                <w:rFonts w:ascii="Arial" w:hAnsi="Arial" w:cs="Arial"/>
                <w:b/>
                <w:sz w:val="20"/>
                <w:szCs w:val="20"/>
                <w:lang w:val="es-ES_tradnl"/>
              </w:rPr>
              <w:t>˅</w:t>
            </w:r>
          </w:p>
        </w:tc>
        <w:tc>
          <w:tcPr>
            <w:tcW w:w="1132" w:type="dxa"/>
            <w:vAlign w:val="center"/>
          </w:tcPr>
          <w:p w14:paraId="2287FFB6"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p>
        </w:tc>
        <w:tc>
          <w:tcPr>
            <w:tcW w:w="1057" w:type="dxa"/>
            <w:vAlign w:val="center"/>
          </w:tcPr>
          <w:p w14:paraId="56699E9D" w14:textId="77777777" w:rsidR="00FA5354" w:rsidRPr="00FA5354" w:rsidRDefault="00FA5354" w:rsidP="000374C1">
            <w:pPr>
              <w:autoSpaceDE/>
              <w:autoSpaceDN/>
              <w:adjustRightInd/>
              <w:spacing w:before="40" w:after="40"/>
              <w:jc w:val="center"/>
              <w:rPr>
                <w:rFonts w:ascii="Arial" w:hAnsi="Arial" w:cs="Arial"/>
                <w:sz w:val="20"/>
                <w:szCs w:val="20"/>
                <w:lang w:val="es-ES_tradnl"/>
              </w:rPr>
            </w:pPr>
          </w:p>
        </w:tc>
        <w:tc>
          <w:tcPr>
            <w:tcW w:w="972" w:type="dxa"/>
          </w:tcPr>
          <w:p w14:paraId="2CF6E166"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 xml:space="preserve">CMS </w:t>
            </w:r>
          </w:p>
          <w:p w14:paraId="1631E345" w14:textId="77777777" w:rsidR="00FA5354" w:rsidRPr="00FA5354" w:rsidRDefault="00FA5354" w:rsidP="000374C1">
            <w:pPr>
              <w:autoSpaceDE/>
              <w:autoSpaceDN/>
              <w:adjustRightInd/>
              <w:spacing w:before="40" w:after="40"/>
              <w:rPr>
                <w:rFonts w:ascii="Arial" w:hAnsi="Arial" w:cs="Arial"/>
                <w:sz w:val="20"/>
                <w:szCs w:val="20"/>
                <w:lang w:val="es-ES_tradnl"/>
              </w:rPr>
            </w:pPr>
            <w:r w:rsidRPr="00FA5354">
              <w:rPr>
                <w:rFonts w:ascii="Arial" w:hAnsi="Arial" w:cs="Arial"/>
                <w:sz w:val="20"/>
                <w:szCs w:val="20"/>
                <w:lang w:val="es-ES_tradnl"/>
              </w:rPr>
              <w:t>CITES</w:t>
            </w:r>
          </w:p>
        </w:tc>
      </w:tr>
    </w:tbl>
    <w:p w14:paraId="7C8505C0" w14:textId="77777777" w:rsidR="00FA5354" w:rsidRPr="00FA5354" w:rsidRDefault="00FA5354" w:rsidP="000374C1">
      <w:pPr>
        <w:autoSpaceDE/>
        <w:autoSpaceDN/>
        <w:adjustRightInd/>
        <w:spacing w:after="160" w:line="259" w:lineRule="auto"/>
        <w:rPr>
          <w:rFonts w:eastAsiaTheme="minorHAnsi" w:cs="Arial"/>
          <w:b/>
          <w:sz w:val="20"/>
          <w:szCs w:val="20"/>
          <w:lang w:val="es-ES_tradnl"/>
        </w:rPr>
      </w:pPr>
    </w:p>
    <w:p w14:paraId="163A9C33" w14:textId="77777777" w:rsidR="00FA5354" w:rsidRPr="00FA5354" w:rsidRDefault="00FA5354" w:rsidP="000374C1">
      <w:pPr>
        <w:numPr>
          <w:ilvl w:val="0"/>
          <w:numId w:val="33"/>
        </w:numPr>
        <w:autoSpaceDE/>
        <w:autoSpaceDN/>
        <w:adjustRightInd/>
        <w:spacing w:after="160"/>
        <w:rPr>
          <w:rFonts w:eastAsiaTheme="minorHAnsi" w:cs="Arial"/>
          <w:b/>
          <w:sz w:val="22"/>
          <w:szCs w:val="22"/>
          <w:lang w:val="es-ES_tradnl"/>
        </w:rPr>
      </w:pPr>
      <w:r w:rsidRPr="00FA5354">
        <w:rPr>
          <w:rFonts w:eastAsiaTheme="minorHAnsi" w:cs="Arial"/>
          <w:b/>
          <w:sz w:val="22"/>
          <w:szCs w:val="22"/>
          <w:lang w:val="es-ES_tradnl"/>
        </w:rPr>
        <w:t>Valor añadido</w:t>
      </w:r>
    </w:p>
    <w:p w14:paraId="61871755" w14:textId="77777777" w:rsidR="00FA5354" w:rsidRPr="00FA5354" w:rsidRDefault="00FA5354" w:rsidP="000374C1">
      <w:p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 xml:space="preserve">En el contexto de las disminuciones poblacionales y las amenazas y necesidades de conservación similares, la Iniciativa para los carnívoros africanos pretende ejecutar de manera coherente las distintas instrucciones de las Conferencias de las Partes de la CMS y la CITES sobre el león africano, el guepardo, el leopardo y el licaón. </w:t>
      </w:r>
    </w:p>
    <w:p w14:paraId="16970AAC" w14:textId="77777777" w:rsidR="00FA5354" w:rsidRPr="00FA5354" w:rsidRDefault="00FA5354" w:rsidP="000374C1">
      <w:p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 xml:space="preserve">La CMS se centra en la protección y conservación de las especies migratorias y de sus hábitats y en permitir la libre movimiento circulación de las especies estableciendo una conectividad entre sus hábitats. La captura está estrictamente prohibida en el caso de las </w:t>
      </w:r>
      <w:r w:rsidRPr="00FA5354">
        <w:rPr>
          <w:rFonts w:eastAsiaTheme="minorHAnsi" w:cs="Arial"/>
          <w:sz w:val="22"/>
          <w:szCs w:val="22"/>
          <w:lang w:val="es-ES_tradnl"/>
        </w:rPr>
        <w:lastRenderedPageBreak/>
        <w:t>especies incluidas en el Apéndice I de la CMS, excepto cuando se efectúa con fines científicos, para uso tradicional con fines de subsistencia, para mejorar el estado de conservación de la especie en cuestión o para finalidades extraordinarias. Las Partes en la CMS reconocen la necesidad de tomar medidas para evitar que ninguna especie migratoria llegue a estar en peligro.</w:t>
      </w:r>
    </w:p>
    <w:p w14:paraId="3B812673" w14:textId="77777777" w:rsidR="00FA5354" w:rsidRPr="00FA5354" w:rsidRDefault="00FA5354" w:rsidP="000374C1">
      <w:p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La CITES, por su parte, regula el comercio internacional de las especies silvestres para garantizar que su extracción sea sostenible y no sea perjudicial para las poblaciones silvestres, además de legal y trazable.</w:t>
      </w:r>
    </w:p>
    <w:p w14:paraId="64ACEBEE" w14:textId="77777777" w:rsidR="00FA5354" w:rsidRPr="00FA5354" w:rsidRDefault="00FA5354" w:rsidP="000374C1">
      <w:p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Al cooperar y colaborar entre sí, ambas convenciones se pueden complementar aportando responsabilidades y conocimientos. Dado que ambas son tratados de las Naciones Unidas, tienen la capacidad de reunir gobiernos que pueden realizar compromisos vinculantes para adoptar determinadas medidas de conservación, consagradas en las resoluciones y decisiones adoptadas por las Partes. Además, su base jurídica permite que haya un seguimiento periódico de la aplicación mediante los procedimientos de la Convención, que son mecanismos que no existen en foros no gubernamentales.</w:t>
      </w:r>
    </w:p>
    <w:p w14:paraId="58E407B7" w14:textId="77777777" w:rsidR="00FA5354" w:rsidRPr="00FA5354" w:rsidRDefault="00FA5354" w:rsidP="000374C1">
      <w:p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El objetivo de la Iniciativa no es duplicar el trabajo ya existente sino poner en común y utilizar mejor los recursos existentes, tales como la planificación estratégica de la UICN para la conservación de las especies. Además, la Iniciativa pretende optimizar los esfuerzos, incluidos los de muchas ONG conservacionistas. La finalidad es aumentar la coherencia de la labor que la CMS y la CITES están dedicando a cuatro especies que comparten amenazas y presiones comunes. Se prevé que el valor añadido de tratar conjuntamente las cuatro especies emblemáticas y unir las fuerzas de la CMS y la CITES en este esfuerzo sea múltiple e incluya lo siguiente:</w:t>
      </w:r>
    </w:p>
    <w:p w14:paraId="3F08D3CB" w14:textId="77777777" w:rsidR="00FA5354" w:rsidRPr="00FA5354" w:rsidRDefault="00FA5354" w:rsidP="000374C1">
      <w:pPr>
        <w:numPr>
          <w:ilvl w:val="0"/>
          <w:numId w:val="32"/>
        </w:num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Mayores medios de conservación para las cuatro especies al poner en común fondos y conocimientos;</w:t>
      </w:r>
    </w:p>
    <w:p w14:paraId="50B1E431" w14:textId="77777777" w:rsidR="00FA5354" w:rsidRPr="00FA5354" w:rsidRDefault="00FA5354" w:rsidP="000374C1">
      <w:pPr>
        <w:numPr>
          <w:ilvl w:val="0"/>
          <w:numId w:val="32"/>
        </w:num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Un despliegue más equitativo de los recursos entre las cuatro especies;</w:t>
      </w:r>
    </w:p>
    <w:p w14:paraId="538C16A6" w14:textId="77777777" w:rsidR="00FA5354" w:rsidRPr="00FA5354" w:rsidRDefault="00FA5354" w:rsidP="000374C1">
      <w:pPr>
        <w:numPr>
          <w:ilvl w:val="0"/>
          <w:numId w:val="32"/>
        </w:num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Evitar la duplicación de actividades y los costos asociados;</w:t>
      </w:r>
    </w:p>
    <w:p w14:paraId="404DB8E5" w14:textId="77777777" w:rsidR="00FA5354" w:rsidRPr="00FA5354" w:rsidRDefault="00FA5354" w:rsidP="000374C1">
      <w:pPr>
        <w:numPr>
          <w:ilvl w:val="0"/>
          <w:numId w:val="32"/>
        </w:num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 xml:space="preserve">Un apoyo coordinado y consolidado a los Estados del área de distribución en la aplicación de las medidas de conservación; </w:t>
      </w:r>
    </w:p>
    <w:p w14:paraId="00BAF3D3" w14:textId="77777777" w:rsidR="00FA5354" w:rsidRPr="00FA5354" w:rsidRDefault="00FA5354" w:rsidP="000374C1">
      <w:pPr>
        <w:numPr>
          <w:ilvl w:val="0"/>
          <w:numId w:val="32"/>
        </w:num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Medidas de conservación más efectivas e inmediatas en toda el área de distribución de las cuatro especies;</w:t>
      </w:r>
    </w:p>
    <w:p w14:paraId="1F2895D5" w14:textId="77777777" w:rsidR="00FA5354" w:rsidRPr="00FA5354" w:rsidRDefault="00FA5354" w:rsidP="000374C1">
      <w:pPr>
        <w:numPr>
          <w:ilvl w:val="0"/>
          <w:numId w:val="32"/>
        </w:num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Enfoques de conservación sinérgicos e integrales; y</w:t>
      </w:r>
    </w:p>
    <w:p w14:paraId="7308DE59" w14:textId="77777777" w:rsidR="00FA5354" w:rsidRPr="00FA5354" w:rsidRDefault="00FA5354" w:rsidP="000374C1">
      <w:pPr>
        <w:numPr>
          <w:ilvl w:val="0"/>
          <w:numId w:val="32"/>
        </w:num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Mayores oportunidades para que los donantes asignen recursos a medidas de conservación bien coordinadas y reconocidas internacionalmente.</w:t>
      </w:r>
    </w:p>
    <w:p w14:paraId="3646FD19" w14:textId="77777777" w:rsidR="00FA5354" w:rsidRPr="00FA5354" w:rsidRDefault="00FA5354" w:rsidP="000374C1">
      <w:pPr>
        <w:numPr>
          <w:ilvl w:val="0"/>
          <w:numId w:val="33"/>
        </w:numPr>
        <w:autoSpaceDE/>
        <w:autoSpaceDN/>
        <w:adjustRightInd/>
        <w:spacing w:after="160"/>
        <w:jc w:val="both"/>
        <w:rPr>
          <w:rFonts w:eastAsiaTheme="minorHAnsi" w:cs="Arial"/>
          <w:b/>
          <w:sz w:val="22"/>
          <w:szCs w:val="22"/>
          <w:lang w:val="es-ES_tradnl"/>
        </w:rPr>
      </w:pPr>
      <w:r w:rsidRPr="00FA5354">
        <w:rPr>
          <w:rFonts w:eastAsiaTheme="minorHAnsi" w:cs="Arial"/>
          <w:b/>
          <w:sz w:val="22"/>
          <w:szCs w:val="22"/>
          <w:lang w:val="es-ES_tradnl"/>
        </w:rPr>
        <w:t>Asociados</w:t>
      </w:r>
    </w:p>
    <w:p w14:paraId="5C687495" w14:textId="52A58252" w:rsidR="00FA5354" w:rsidRDefault="00FA5354" w:rsidP="000374C1">
      <w:pPr>
        <w:autoSpaceDE/>
        <w:autoSpaceDN/>
        <w:adjustRightInd/>
        <w:jc w:val="both"/>
        <w:rPr>
          <w:rFonts w:eastAsiaTheme="minorHAnsi" w:cs="Arial"/>
          <w:sz w:val="22"/>
          <w:szCs w:val="22"/>
          <w:lang w:val="es-ES_tradnl"/>
        </w:rPr>
      </w:pPr>
      <w:r w:rsidRPr="00FA5354">
        <w:rPr>
          <w:rFonts w:eastAsiaTheme="minorHAnsi" w:cs="Arial"/>
          <w:sz w:val="22"/>
          <w:szCs w:val="22"/>
          <w:lang w:val="es-ES_tradnl"/>
        </w:rPr>
        <w:t>Aunque la CMS y la CITES pueden proporcionar los marcos de gobernanza de la Iniciativa para los carnívoros africanos, para que esta sea funcional es fundamental la colaboración y cooperación con asociados de los Estados del área de distribución, las OIG y las ONG, la comunidad científica y conservacionista, los donantes y otros interesados. Según se indica en las resoluciones mencionadas y las decisiones adoptadas por las Partes en la CMS y en la CITES sobre las cuatro especies, la UICN y sus grupos de especialistas en las distintas especies son los principales asociados reconocidos de la Iniciativa. Se invitará a otros interesados a cooperar en asuntos específicos sobre los que tengan una experiencia reconocida.</w:t>
      </w:r>
    </w:p>
    <w:p w14:paraId="328574EF" w14:textId="77777777" w:rsidR="000374C1" w:rsidRPr="00FA5354" w:rsidRDefault="000374C1" w:rsidP="000374C1">
      <w:pPr>
        <w:autoSpaceDE/>
        <w:autoSpaceDN/>
        <w:adjustRightInd/>
        <w:jc w:val="both"/>
        <w:rPr>
          <w:rFonts w:eastAsiaTheme="minorHAnsi" w:cs="Arial"/>
          <w:sz w:val="22"/>
          <w:szCs w:val="22"/>
          <w:lang w:val="es-ES_tradnl"/>
        </w:rPr>
      </w:pPr>
    </w:p>
    <w:p w14:paraId="2E4D636D" w14:textId="77777777" w:rsidR="00FA5354" w:rsidRPr="00FA5354" w:rsidRDefault="00FA5354" w:rsidP="000374C1">
      <w:pPr>
        <w:numPr>
          <w:ilvl w:val="0"/>
          <w:numId w:val="33"/>
        </w:numPr>
        <w:autoSpaceDE/>
        <w:autoSpaceDN/>
        <w:adjustRightInd/>
        <w:jc w:val="both"/>
        <w:rPr>
          <w:rFonts w:eastAsiaTheme="minorHAnsi" w:cs="Arial"/>
          <w:b/>
          <w:sz w:val="22"/>
          <w:szCs w:val="22"/>
          <w:lang w:val="es-ES_tradnl"/>
        </w:rPr>
      </w:pPr>
      <w:r w:rsidRPr="00FA5354">
        <w:rPr>
          <w:rFonts w:eastAsiaTheme="minorHAnsi" w:cs="Arial"/>
          <w:b/>
          <w:sz w:val="22"/>
          <w:szCs w:val="22"/>
          <w:lang w:val="es-ES_tradnl"/>
        </w:rPr>
        <w:t>Resoluciones y decisiones que abarca la Iniciativa</w:t>
      </w:r>
    </w:p>
    <w:p w14:paraId="69EC2AA1" w14:textId="393D5C56" w:rsidR="00FA5354" w:rsidRDefault="00FA5354" w:rsidP="000374C1">
      <w:pPr>
        <w:autoSpaceDE/>
        <w:autoSpaceDN/>
        <w:adjustRightInd/>
        <w:jc w:val="both"/>
        <w:rPr>
          <w:rFonts w:eastAsiaTheme="minorHAnsi" w:cs="Arial"/>
          <w:sz w:val="22"/>
          <w:szCs w:val="22"/>
          <w:lang w:val="es-ES_tradnl"/>
        </w:rPr>
      </w:pPr>
      <w:r w:rsidRPr="00FA5354">
        <w:rPr>
          <w:rFonts w:eastAsiaTheme="minorHAnsi" w:cs="Arial"/>
          <w:sz w:val="22"/>
          <w:szCs w:val="22"/>
          <w:lang w:val="es-ES_tradnl"/>
        </w:rPr>
        <w:t xml:space="preserve">Según se ha indicado anteriormente, la Iniciativa pretende apoyar la aplicación de las </w:t>
      </w:r>
      <w:r w:rsidRPr="00FA5354">
        <w:rPr>
          <w:rFonts w:eastAsiaTheme="minorHAnsi" w:cs="Arial"/>
          <w:sz w:val="22"/>
          <w:szCs w:val="22"/>
          <w:lang w:val="es-ES_tradnl"/>
        </w:rPr>
        <w:lastRenderedPageBreak/>
        <w:t>resoluciones y decisiones de las Conferencias de las Partes en la CITES y la CMS. Esto significa que tras las reuniones de las COP será necesario modificar la lista de las resoluciones y decisiones incluidas en la Iniciativa. Las resoluciones y decisiones cubiertas actualmente son las siguientes:</w:t>
      </w:r>
    </w:p>
    <w:p w14:paraId="020C31C7" w14:textId="77777777" w:rsidR="000374C1" w:rsidRPr="00FA5354" w:rsidRDefault="000374C1" w:rsidP="000374C1">
      <w:pPr>
        <w:autoSpaceDE/>
        <w:autoSpaceDN/>
        <w:adjustRightInd/>
        <w:jc w:val="both"/>
        <w:rPr>
          <w:rFonts w:eastAsiaTheme="minorHAnsi" w:cs="Arial"/>
          <w:sz w:val="22"/>
          <w:szCs w:val="22"/>
          <w:lang w:val="es-ES_tradnl"/>
        </w:rPr>
      </w:pPr>
    </w:p>
    <w:p w14:paraId="242C611E" w14:textId="444FE3AD" w:rsidR="00FA5354" w:rsidRPr="00FA5354" w:rsidRDefault="00FA5354" w:rsidP="000374C1">
      <w:pPr>
        <w:numPr>
          <w:ilvl w:val="0"/>
          <w:numId w:val="34"/>
        </w:numPr>
        <w:autoSpaceDE/>
        <w:autoSpaceDN/>
        <w:adjustRightInd/>
        <w:jc w:val="both"/>
        <w:rPr>
          <w:rFonts w:eastAsiaTheme="minorHAnsi" w:cs="Arial"/>
          <w:b/>
          <w:sz w:val="22"/>
          <w:szCs w:val="22"/>
          <w:lang w:val="es-ES_tradnl"/>
        </w:rPr>
      </w:pPr>
      <w:hyperlink r:id="rId34" w:history="1">
        <w:r w:rsidRPr="000374C1">
          <w:rPr>
            <w:rFonts w:eastAsiaTheme="minorHAnsi" w:cs="Arial"/>
            <w:color w:val="0070C0"/>
            <w:sz w:val="22"/>
            <w:szCs w:val="22"/>
            <w:u w:val="single"/>
            <w:lang w:val="es-ES_tradnl"/>
          </w:rPr>
          <w:t>Decisiones 17.241 a 17.245</w:t>
        </w:r>
      </w:hyperlink>
      <w:r w:rsidRPr="000374C1">
        <w:rPr>
          <w:rFonts w:eastAsiaTheme="minorHAnsi" w:cs="Arial"/>
          <w:color w:val="0070C0"/>
          <w:sz w:val="22"/>
          <w:szCs w:val="22"/>
          <w:lang w:val="es-ES_tradnl"/>
        </w:rPr>
        <w:t xml:space="preserve"> </w:t>
      </w:r>
      <w:r w:rsidRPr="00FA5354">
        <w:rPr>
          <w:rFonts w:eastAsiaTheme="minorHAnsi" w:cs="Arial"/>
          <w:sz w:val="22"/>
          <w:szCs w:val="22"/>
          <w:lang w:val="es-ES_tradnl"/>
        </w:rPr>
        <w:t>de la CITES sobre el León africano (</w:t>
      </w:r>
      <w:r w:rsidRPr="00FA5354">
        <w:rPr>
          <w:rFonts w:eastAsiaTheme="minorHAnsi" w:cs="Arial"/>
          <w:i/>
          <w:sz w:val="22"/>
          <w:szCs w:val="22"/>
          <w:lang w:val="es-ES_tradnl"/>
        </w:rPr>
        <w:t>Panthera leo</w:t>
      </w:r>
      <w:r w:rsidRPr="00FA5354">
        <w:rPr>
          <w:rFonts w:eastAsiaTheme="minorHAnsi" w:cs="Arial"/>
          <w:sz w:val="22"/>
          <w:szCs w:val="22"/>
          <w:lang w:val="es-ES_tradnl"/>
        </w:rPr>
        <w:t>)</w:t>
      </w:r>
    </w:p>
    <w:p w14:paraId="559694B0" w14:textId="37FD1CD0" w:rsidR="00FA5354" w:rsidRPr="00FA5354" w:rsidRDefault="00FA5354" w:rsidP="000374C1">
      <w:pPr>
        <w:numPr>
          <w:ilvl w:val="0"/>
          <w:numId w:val="34"/>
        </w:numPr>
        <w:autoSpaceDE/>
        <w:autoSpaceDN/>
        <w:adjustRightInd/>
        <w:jc w:val="both"/>
        <w:rPr>
          <w:rFonts w:eastAsiaTheme="minorHAnsi" w:cs="Arial"/>
          <w:b/>
          <w:sz w:val="22"/>
          <w:szCs w:val="22"/>
          <w:lang w:val="es-ES_tradnl"/>
        </w:rPr>
      </w:pPr>
      <w:hyperlink r:id="rId35" w:history="1">
        <w:r w:rsidRPr="000374C1">
          <w:rPr>
            <w:rFonts w:eastAsiaTheme="minorHAnsi" w:cs="Arial"/>
            <w:color w:val="0070C0"/>
            <w:sz w:val="22"/>
            <w:szCs w:val="22"/>
            <w:u w:val="single"/>
            <w:lang w:val="es-ES_tradnl"/>
          </w:rPr>
          <w:t>Decisiones 17.114 a 17.117</w:t>
        </w:r>
      </w:hyperlink>
      <w:r w:rsidRPr="000374C1">
        <w:rPr>
          <w:rFonts w:eastAsiaTheme="minorHAnsi" w:cs="Arial"/>
          <w:color w:val="0070C0"/>
          <w:sz w:val="22"/>
          <w:szCs w:val="22"/>
          <w:lang w:val="es-ES_tradnl"/>
        </w:rPr>
        <w:t xml:space="preserve"> </w:t>
      </w:r>
      <w:r w:rsidRPr="00FA5354">
        <w:rPr>
          <w:rFonts w:eastAsiaTheme="minorHAnsi" w:cs="Arial"/>
          <w:sz w:val="22"/>
          <w:szCs w:val="22"/>
          <w:lang w:val="es-ES_tradnl"/>
        </w:rPr>
        <w:t>de la CITES sobre Cupos de trofeos de caza de leopardo</w:t>
      </w:r>
    </w:p>
    <w:p w14:paraId="0CD30725" w14:textId="6B7731F0" w:rsidR="00FA5354" w:rsidRPr="00FA5354" w:rsidRDefault="00FA5354" w:rsidP="000374C1">
      <w:pPr>
        <w:numPr>
          <w:ilvl w:val="0"/>
          <w:numId w:val="34"/>
        </w:numPr>
        <w:autoSpaceDE/>
        <w:autoSpaceDN/>
        <w:adjustRightInd/>
        <w:jc w:val="both"/>
        <w:rPr>
          <w:rFonts w:eastAsiaTheme="minorHAnsi" w:cs="Arial"/>
          <w:b/>
          <w:sz w:val="22"/>
          <w:szCs w:val="22"/>
          <w:lang w:val="es-ES_tradnl"/>
        </w:rPr>
      </w:pPr>
      <w:hyperlink r:id="rId36" w:history="1">
        <w:r w:rsidRPr="000374C1">
          <w:rPr>
            <w:rFonts w:eastAsiaTheme="minorHAnsi" w:cs="Arial"/>
            <w:color w:val="0070C0"/>
            <w:sz w:val="22"/>
            <w:szCs w:val="22"/>
            <w:u w:val="single"/>
            <w:lang w:val="es-ES_tradnl"/>
          </w:rPr>
          <w:t>Decisiones 17.124-17.130</w:t>
        </w:r>
      </w:hyperlink>
      <w:r w:rsidRPr="00FA5354">
        <w:rPr>
          <w:rFonts w:eastAsiaTheme="minorHAnsi" w:cs="Arial"/>
          <w:sz w:val="22"/>
          <w:szCs w:val="22"/>
          <w:lang w:val="es-ES_tradnl"/>
        </w:rPr>
        <w:t xml:space="preserve"> de la CITES sobre Comercio ilegal de guepardos (</w:t>
      </w:r>
      <w:r w:rsidRPr="00FA5354">
        <w:rPr>
          <w:rFonts w:eastAsiaTheme="minorHAnsi" w:cs="Arial"/>
          <w:i/>
          <w:sz w:val="22"/>
          <w:szCs w:val="22"/>
          <w:lang w:val="es-ES_tradnl"/>
        </w:rPr>
        <w:t>Acinonyx jubatus</w:t>
      </w:r>
      <w:r w:rsidRPr="00FA5354">
        <w:rPr>
          <w:rFonts w:eastAsiaTheme="minorHAnsi" w:cs="Arial"/>
          <w:sz w:val="22"/>
          <w:szCs w:val="22"/>
          <w:lang w:val="es-ES_tradnl"/>
        </w:rPr>
        <w:t>)</w:t>
      </w:r>
    </w:p>
    <w:p w14:paraId="16C5DCCD" w14:textId="3B8F2EA8" w:rsidR="00FA5354" w:rsidRPr="00FA5354" w:rsidRDefault="00FA5354" w:rsidP="000374C1">
      <w:pPr>
        <w:numPr>
          <w:ilvl w:val="0"/>
          <w:numId w:val="34"/>
        </w:numPr>
        <w:autoSpaceDE/>
        <w:autoSpaceDN/>
        <w:adjustRightInd/>
        <w:jc w:val="both"/>
        <w:rPr>
          <w:rFonts w:eastAsiaTheme="minorHAnsi" w:cs="Arial"/>
          <w:b/>
          <w:sz w:val="22"/>
          <w:szCs w:val="22"/>
          <w:lang w:val="es-ES_tradnl"/>
        </w:rPr>
      </w:pPr>
      <w:hyperlink r:id="rId37" w:history="1">
        <w:r w:rsidRPr="000374C1">
          <w:rPr>
            <w:rFonts w:eastAsiaTheme="minorHAnsi" w:cs="Arial"/>
            <w:color w:val="0070C0"/>
            <w:sz w:val="22"/>
            <w:szCs w:val="22"/>
            <w:u w:val="single"/>
            <w:lang w:val="es-ES_tradnl"/>
          </w:rPr>
          <w:t>Decisiones 17.235 – 17.238</w:t>
        </w:r>
      </w:hyperlink>
      <w:r w:rsidRPr="00FA5354">
        <w:rPr>
          <w:rFonts w:eastAsiaTheme="minorHAnsi" w:cs="Arial"/>
          <w:sz w:val="22"/>
          <w:szCs w:val="22"/>
          <w:lang w:val="es-ES_tradnl"/>
        </w:rPr>
        <w:t xml:space="preserve"> de la CITES sobre Licaones (</w:t>
      </w:r>
      <w:r w:rsidRPr="00FA5354">
        <w:rPr>
          <w:rFonts w:eastAsiaTheme="minorHAnsi" w:cs="Arial"/>
          <w:i/>
          <w:sz w:val="22"/>
          <w:szCs w:val="22"/>
          <w:lang w:val="es-ES_tradnl"/>
        </w:rPr>
        <w:t>Lycaon pictus</w:t>
      </w:r>
      <w:r w:rsidRPr="00FA5354">
        <w:rPr>
          <w:rFonts w:eastAsiaTheme="minorHAnsi" w:cs="Arial"/>
          <w:sz w:val="22"/>
          <w:szCs w:val="22"/>
          <w:lang w:val="es-ES_tradnl"/>
        </w:rPr>
        <w:t>)</w:t>
      </w:r>
    </w:p>
    <w:p w14:paraId="0C07279A" w14:textId="4A6345CC" w:rsidR="00ED4217" w:rsidRPr="00ED4217" w:rsidRDefault="00FA5354" w:rsidP="000374C1">
      <w:pPr>
        <w:numPr>
          <w:ilvl w:val="0"/>
          <w:numId w:val="34"/>
        </w:numPr>
        <w:autoSpaceDE/>
        <w:autoSpaceDN/>
        <w:adjustRightInd/>
        <w:jc w:val="both"/>
        <w:rPr>
          <w:rFonts w:eastAsiaTheme="minorHAnsi" w:cs="Arial"/>
          <w:b/>
          <w:sz w:val="22"/>
          <w:szCs w:val="22"/>
          <w:lang w:val="es-ES_tradnl"/>
        </w:rPr>
      </w:pPr>
      <w:hyperlink r:id="rId38" w:history="1">
        <w:r w:rsidRPr="005E1867">
          <w:rPr>
            <w:rFonts w:eastAsiaTheme="minorHAnsi" w:cs="Arial"/>
            <w:color w:val="0070C0"/>
            <w:sz w:val="22"/>
            <w:szCs w:val="22"/>
            <w:u w:val="single"/>
            <w:lang w:val="es-ES_tradnl"/>
          </w:rPr>
          <w:t>Resolución 11.13</w:t>
        </w:r>
      </w:hyperlink>
      <w:r w:rsidRPr="00ED4217">
        <w:rPr>
          <w:rFonts w:eastAsiaTheme="minorHAnsi" w:cs="Arial"/>
          <w:sz w:val="22"/>
          <w:szCs w:val="22"/>
          <w:lang w:val="es-ES_tradnl"/>
        </w:rPr>
        <w:t xml:space="preserve"> de la CMS sobre Acciones concertadas</w:t>
      </w:r>
    </w:p>
    <w:p w14:paraId="2562164E" w14:textId="2F9D230B" w:rsidR="00ED4217" w:rsidRPr="00ED4217" w:rsidRDefault="00FA5354" w:rsidP="000374C1">
      <w:pPr>
        <w:numPr>
          <w:ilvl w:val="0"/>
          <w:numId w:val="34"/>
        </w:numPr>
        <w:autoSpaceDE/>
        <w:autoSpaceDN/>
        <w:adjustRightInd/>
        <w:jc w:val="both"/>
        <w:rPr>
          <w:rFonts w:eastAsiaTheme="minorHAnsi" w:cs="Arial"/>
          <w:b/>
          <w:sz w:val="22"/>
          <w:szCs w:val="22"/>
          <w:lang w:val="es-ES_tradnl"/>
        </w:rPr>
      </w:pPr>
      <w:hyperlink r:id="rId39" w:history="1">
        <w:r w:rsidRPr="005E1867">
          <w:rPr>
            <w:rFonts w:eastAsiaTheme="minorHAnsi" w:cs="Arial"/>
            <w:color w:val="0070C0"/>
            <w:sz w:val="22"/>
            <w:szCs w:val="22"/>
            <w:u w:val="single"/>
            <w:lang w:val="es-ES_tradnl"/>
          </w:rPr>
          <w:t>Resolución 11.32</w:t>
        </w:r>
      </w:hyperlink>
      <w:r w:rsidRPr="00ED4217">
        <w:rPr>
          <w:rFonts w:eastAsiaTheme="minorHAnsi" w:cs="Arial"/>
          <w:sz w:val="22"/>
          <w:szCs w:val="22"/>
          <w:lang w:val="es-ES_tradnl"/>
        </w:rPr>
        <w:t xml:space="preserve"> de la CMS sobre Conservación y gestión del león africano (</w:t>
      </w:r>
      <w:r w:rsidRPr="00ED4217">
        <w:rPr>
          <w:rFonts w:eastAsiaTheme="minorHAnsi" w:cs="Arial"/>
          <w:i/>
          <w:sz w:val="22"/>
          <w:szCs w:val="22"/>
          <w:lang w:val="es-ES_tradnl"/>
        </w:rPr>
        <w:t>Panthera leo</w:t>
      </w:r>
      <w:r w:rsidRPr="00ED4217">
        <w:rPr>
          <w:rFonts w:eastAsiaTheme="minorHAnsi" w:cs="Arial"/>
          <w:sz w:val="22"/>
          <w:szCs w:val="22"/>
          <w:lang w:val="es-ES_tradnl"/>
        </w:rPr>
        <w:t>)</w:t>
      </w:r>
    </w:p>
    <w:p w14:paraId="1E648B89" w14:textId="77777777" w:rsidR="00ED4217" w:rsidRPr="00ED4217" w:rsidRDefault="00ED4217" w:rsidP="000374C1">
      <w:pPr>
        <w:autoSpaceDE/>
        <w:autoSpaceDN/>
        <w:adjustRightInd/>
        <w:jc w:val="both"/>
        <w:rPr>
          <w:rFonts w:eastAsiaTheme="minorHAnsi" w:cs="Arial"/>
          <w:b/>
          <w:sz w:val="22"/>
          <w:szCs w:val="22"/>
          <w:lang w:val="es-ES_tradnl"/>
        </w:rPr>
      </w:pPr>
    </w:p>
    <w:p w14:paraId="2994F209" w14:textId="77777777" w:rsidR="00ED4217" w:rsidRPr="00ED4217" w:rsidRDefault="00ED4217" w:rsidP="000374C1">
      <w:pPr>
        <w:pStyle w:val="ListParagraph"/>
        <w:numPr>
          <w:ilvl w:val="0"/>
          <w:numId w:val="37"/>
        </w:numPr>
        <w:autoSpaceDE/>
        <w:autoSpaceDN/>
        <w:adjustRightInd/>
        <w:spacing w:after="160"/>
        <w:ind w:left="630" w:hanging="630"/>
        <w:jc w:val="both"/>
        <w:rPr>
          <w:rFonts w:eastAsiaTheme="minorHAnsi" w:cs="Arial"/>
          <w:sz w:val="22"/>
          <w:szCs w:val="22"/>
          <w:lang w:val="es-ES_tradnl"/>
        </w:rPr>
      </w:pPr>
      <w:r w:rsidRPr="00ED4217">
        <w:rPr>
          <w:rFonts w:eastAsiaTheme="minorHAnsi" w:cs="Arial"/>
          <w:b/>
          <w:sz w:val="22"/>
          <w:szCs w:val="22"/>
          <w:lang w:val="es-ES_tradnl"/>
        </w:rPr>
        <w:t>Recursos necesarios</w:t>
      </w:r>
      <w:r w:rsidRPr="00ED4217">
        <w:rPr>
          <w:rFonts w:eastAsiaTheme="minorHAnsi" w:cs="Arial"/>
          <w:sz w:val="22"/>
          <w:szCs w:val="22"/>
          <w:lang w:val="es-ES_tradnl"/>
        </w:rPr>
        <w:t xml:space="preserve"> </w:t>
      </w:r>
    </w:p>
    <w:p w14:paraId="0D3FB58B" w14:textId="72F7DAE2" w:rsidR="00FA5354" w:rsidRPr="00FA5354" w:rsidRDefault="00FA5354" w:rsidP="000374C1">
      <w:p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Las medidas de conservación adoptadas o propuestas por las Conferencias de las Partes en la CMS y la CITES son muy amplias. Esto significa que se necesitarán considerables para su aplicación. Se calcula que los recursos necesarios para los próximos tres años son los siguientes:</w:t>
      </w:r>
    </w:p>
    <w:p w14:paraId="6024540F" w14:textId="77777777" w:rsidR="00FA5354" w:rsidRPr="00FA5354" w:rsidRDefault="00FA5354" w:rsidP="000374C1">
      <w:pPr>
        <w:numPr>
          <w:ilvl w:val="0"/>
          <w:numId w:val="35"/>
        </w:num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León: 1.500.000 dólares de los EE.UU.</w:t>
      </w:r>
    </w:p>
    <w:p w14:paraId="6CB9B6FC" w14:textId="77777777" w:rsidR="00FA5354" w:rsidRPr="00FA5354" w:rsidRDefault="00FA5354" w:rsidP="000374C1">
      <w:pPr>
        <w:numPr>
          <w:ilvl w:val="0"/>
          <w:numId w:val="35"/>
        </w:num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Guepardo y licaón: 1.210.000 dólares de los EE.UU. (a espera de las decisiones que adopte la COP12 de la CMS)</w:t>
      </w:r>
    </w:p>
    <w:p w14:paraId="2BADE533" w14:textId="77777777" w:rsidR="00FA5354" w:rsidRPr="00FA5354" w:rsidRDefault="00FA5354" w:rsidP="000374C1">
      <w:pPr>
        <w:numPr>
          <w:ilvl w:val="0"/>
          <w:numId w:val="35"/>
        </w:num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Leopardo: 500.000 dólares de los EE.UU. (a espera de las decisiones que adopte la COP12 de la CMS)</w:t>
      </w:r>
    </w:p>
    <w:p w14:paraId="493E8E8C" w14:textId="77777777" w:rsidR="00FA5354" w:rsidRPr="00FA5354" w:rsidRDefault="00FA5354" w:rsidP="000374C1">
      <w:pPr>
        <w:numPr>
          <w:ilvl w:val="0"/>
          <w:numId w:val="35"/>
        </w:numPr>
        <w:autoSpaceDE/>
        <w:autoSpaceDN/>
        <w:adjustRightInd/>
        <w:spacing w:after="160"/>
        <w:jc w:val="both"/>
        <w:rPr>
          <w:rFonts w:eastAsiaTheme="minorHAnsi" w:cs="Arial"/>
          <w:sz w:val="22"/>
          <w:szCs w:val="22"/>
          <w:lang w:val="es-ES_tradnl"/>
        </w:rPr>
      </w:pPr>
      <w:r w:rsidRPr="00FA5354">
        <w:rPr>
          <w:rFonts w:eastAsiaTheme="minorHAnsi" w:cs="Arial"/>
          <w:sz w:val="22"/>
          <w:szCs w:val="22"/>
          <w:lang w:val="es-ES_tradnl"/>
        </w:rPr>
        <w:t>Promover la convivencia y la gestión sostenible de la tierra y mantener la conectividad para todos los carnívoros: 53.100.000 dólares de los EE.UU.</w:t>
      </w:r>
    </w:p>
    <w:p w14:paraId="7FEF7376" w14:textId="77777777" w:rsidR="00FA5354" w:rsidRPr="00FA5354" w:rsidRDefault="00FA5354" w:rsidP="000374C1">
      <w:pPr>
        <w:tabs>
          <w:tab w:val="left" w:pos="7513"/>
        </w:tabs>
        <w:autoSpaceDE/>
        <w:autoSpaceDN/>
        <w:adjustRightInd/>
        <w:spacing w:after="160"/>
        <w:jc w:val="both"/>
        <w:rPr>
          <w:rFonts w:eastAsiaTheme="minorHAnsi" w:cs="Arial"/>
          <w:iCs/>
          <w:sz w:val="22"/>
          <w:szCs w:val="22"/>
          <w:lang w:val="es-ES_tradnl"/>
        </w:rPr>
      </w:pPr>
      <w:r w:rsidRPr="00FA5354">
        <w:rPr>
          <w:rFonts w:eastAsiaTheme="minorHAnsi" w:cs="Arial"/>
          <w:iCs/>
          <w:sz w:val="22"/>
          <w:szCs w:val="22"/>
          <w:lang w:val="es-ES_tradnl"/>
        </w:rPr>
        <w:t xml:space="preserve">Además, la ejecución y coordinación de la Iniciativa necesitarán recursos humanos considerables en la Secretaría. En consecuencia, se propone que las Partes aporten recursos en especies (a través de un oficial subalterno o la adscripción de un funcionario gubernamental) o recursos financieros para que las Secretarías puedan contratar conjuntamente a un oficial asociado de programas, basado en la Secretaría de la CMS en Bonn, que pueda apoyar la aplicación de la Iniciativa. </w:t>
      </w:r>
    </w:p>
    <w:p w14:paraId="202D7792" w14:textId="77777777" w:rsidR="00FA5354" w:rsidRPr="00FA5354" w:rsidRDefault="00FA5354" w:rsidP="000374C1">
      <w:pPr>
        <w:autoSpaceDE/>
        <w:adjustRightInd/>
        <w:rPr>
          <w:rFonts w:cs="Arial"/>
          <w:b/>
          <w:caps/>
          <w:sz w:val="22"/>
          <w:szCs w:val="22"/>
          <w:lang w:val="es-ES_tradnl"/>
        </w:rPr>
      </w:pPr>
    </w:p>
    <w:p w14:paraId="15C56E0A" w14:textId="77777777" w:rsidR="00FA5354" w:rsidRDefault="00FA5354" w:rsidP="00FA5354">
      <w:pPr>
        <w:widowControl/>
        <w:autoSpaceDE/>
        <w:adjustRightInd/>
        <w:jc w:val="both"/>
        <w:rPr>
          <w:rFonts w:cs="Arial"/>
          <w:b/>
          <w:caps/>
          <w:sz w:val="22"/>
          <w:szCs w:val="22"/>
          <w:lang w:val="es-ES"/>
        </w:rPr>
      </w:pPr>
    </w:p>
    <w:p w14:paraId="0EE52CF5" w14:textId="77777777" w:rsidR="00FA5354" w:rsidRPr="00FA5354" w:rsidRDefault="00FA5354" w:rsidP="00FA5354">
      <w:pPr>
        <w:widowControl/>
        <w:autoSpaceDE/>
        <w:adjustRightInd/>
        <w:jc w:val="both"/>
        <w:rPr>
          <w:rFonts w:cs="Arial"/>
          <w:b/>
          <w:caps/>
          <w:sz w:val="22"/>
          <w:szCs w:val="22"/>
          <w:lang w:val="es-ES"/>
        </w:rPr>
      </w:pPr>
    </w:p>
    <w:p w14:paraId="66B1729F" w14:textId="5E930274" w:rsidR="00D70335" w:rsidRPr="00FA5354" w:rsidRDefault="00D70335" w:rsidP="00FA5354">
      <w:pPr>
        <w:widowControl/>
        <w:autoSpaceDE/>
        <w:adjustRightInd/>
        <w:rPr>
          <w:rFonts w:cs="Arial"/>
          <w:b/>
          <w:caps/>
          <w:sz w:val="22"/>
          <w:szCs w:val="22"/>
          <w:lang w:val="es-ES"/>
        </w:rPr>
        <w:sectPr w:rsidR="00D70335" w:rsidRPr="00FA5354" w:rsidSect="00ED4217">
          <w:headerReference w:type="even" r:id="rId40"/>
          <w:headerReference w:type="default" r:id="rId41"/>
          <w:headerReference w:type="first" r:id="rId42"/>
          <w:endnotePr>
            <w:numFmt w:val="decimal"/>
          </w:endnotePr>
          <w:pgSz w:w="11905" w:h="16837" w:code="9"/>
          <w:pgMar w:top="1440" w:right="1440" w:bottom="1440" w:left="1440" w:header="432" w:footer="432" w:gutter="0"/>
          <w:cols w:space="720"/>
          <w:noEndnote/>
          <w:titlePg/>
          <w:docGrid w:linePitch="272"/>
        </w:sectPr>
      </w:pPr>
    </w:p>
    <w:p w14:paraId="6F10D1A0" w14:textId="7346D57E" w:rsidR="00557212" w:rsidRPr="00557212" w:rsidRDefault="00557212" w:rsidP="007910DD">
      <w:pPr>
        <w:widowControl/>
        <w:autoSpaceDE/>
        <w:adjustRightInd/>
        <w:jc w:val="right"/>
        <w:rPr>
          <w:rFonts w:cs="Arial"/>
          <w:b/>
          <w:caps/>
          <w:sz w:val="22"/>
          <w:szCs w:val="22"/>
          <w:lang w:val="es-ES_tradnl"/>
        </w:rPr>
      </w:pPr>
      <w:r w:rsidRPr="00557212">
        <w:rPr>
          <w:rFonts w:cs="Arial"/>
          <w:b/>
          <w:caps/>
          <w:sz w:val="22"/>
          <w:szCs w:val="22"/>
          <w:lang w:val="es-ES_tradnl"/>
        </w:rPr>
        <w:lastRenderedPageBreak/>
        <w:t>ANEXO 2</w:t>
      </w:r>
    </w:p>
    <w:p w14:paraId="1F5B3EAA" w14:textId="77777777" w:rsidR="007910DD" w:rsidRPr="00557212" w:rsidRDefault="007910DD" w:rsidP="007910DD">
      <w:pPr>
        <w:rPr>
          <w:rFonts w:cs="Arial"/>
          <w:sz w:val="22"/>
          <w:szCs w:val="22"/>
          <w:highlight w:val="yellow"/>
          <w:lang w:val="es-ES_tradnl"/>
        </w:rPr>
      </w:pPr>
    </w:p>
    <w:p w14:paraId="72DC19D1" w14:textId="00D7566C" w:rsidR="00786780" w:rsidRPr="00786780" w:rsidRDefault="00786780" w:rsidP="007910DD">
      <w:pPr>
        <w:jc w:val="center"/>
        <w:rPr>
          <w:rFonts w:cs="Arial"/>
          <w:sz w:val="22"/>
          <w:szCs w:val="22"/>
          <w:lang w:val="es-ES_tradnl"/>
        </w:rPr>
      </w:pPr>
      <w:r w:rsidRPr="00786780">
        <w:rPr>
          <w:rFonts w:cs="Arial"/>
          <w:sz w:val="22"/>
          <w:szCs w:val="22"/>
          <w:lang w:val="es-ES_tradnl"/>
        </w:rPr>
        <w:t>PROPUESTAS DE DECISIONES</w:t>
      </w:r>
    </w:p>
    <w:p w14:paraId="6136C904" w14:textId="77777777" w:rsidR="007910DD" w:rsidRPr="00671A31" w:rsidRDefault="007910DD" w:rsidP="007910DD">
      <w:pPr>
        <w:jc w:val="center"/>
        <w:rPr>
          <w:rFonts w:cs="Arial"/>
          <w:sz w:val="22"/>
          <w:szCs w:val="22"/>
          <w:lang w:val="es-ES_tradnl"/>
        </w:rPr>
      </w:pPr>
    </w:p>
    <w:p w14:paraId="6FA20167" w14:textId="338553BF" w:rsidR="00671A31" w:rsidRPr="00671A31" w:rsidRDefault="00671A31" w:rsidP="00494E43">
      <w:pPr>
        <w:jc w:val="center"/>
        <w:rPr>
          <w:rFonts w:cs="Arial"/>
          <w:b/>
          <w:bCs/>
          <w:caps/>
          <w:sz w:val="22"/>
          <w:szCs w:val="22"/>
          <w:lang w:val="es-ES_tradnl"/>
        </w:rPr>
      </w:pPr>
      <w:r w:rsidRPr="00671A31">
        <w:rPr>
          <w:rFonts w:cs="Arial"/>
          <w:b/>
          <w:bCs/>
          <w:caps/>
          <w:sz w:val="22"/>
          <w:szCs w:val="22"/>
          <w:lang w:val="es-ES_tradnl"/>
        </w:rPr>
        <w:t>iniciativa conjunta de la CMS y CITES</w:t>
      </w:r>
      <w:r w:rsidR="00CA0E35">
        <w:rPr>
          <w:rFonts w:cs="Arial"/>
          <w:b/>
          <w:bCs/>
          <w:caps/>
          <w:sz w:val="22"/>
          <w:szCs w:val="22"/>
          <w:lang w:val="es-ES_tradnl"/>
        </w:rPr>
        <w:t xml:space="preserve"> PARA LOS CARNÍVOROS AFRICANOS</w:t>
      </w:r>
    </w:p>
    <w:p w14:paraId="302730DC" w14:textId="77777777" w:rsidR="007910DD" w:rsidRPr="00557212" w:rsidRDefault="007910DD" w:rsidP="007910DD">
      <w:pPr>
        <w:jc w:val="both"/>
        <w:rPr>
          <w:rFonts w:cs="Arial"/>
          <w:sz w:val="22"/>
          <w:szCs w:val="22"/>
          <w:highlight w:val="yellow"/>
          <w:lang w:val="es-ES_tradnl"/>
        </w:rPr>
      </w:pPr>
    </w:p>
    <w:p w14:paraId="53D21171" w14:textId="3CF40840" w:rsidR="00671A31" w:rsidRPr="00671A31" w:rsidRDefault="00671A31" w:rsidP="007910DD">
      <w:pPr>
        <w:jc w:val="both"/>
        <w:rPr>
          <w:rFonts w:cs="Arial"/>
          <w:b/>
          <w:i/>
          <w:sz w:val="22"/>
          <w:szCs w:val="22"/>
          <w:lang w:val="es-ES_tradnl"/>
        </w:rPr>
      </w:pPr>
      <w:r w:rsidRPr="00671A31">
        <w:rPr>
          <w:rFonts w:cs="Arial"/>
          <w:b/>
          <w:i/>
          <w:sz w:val="22"/>
          <w:szCs w:val="22"/>
          <w:lang w:val="es-ES_tradnl"/>
        </w:rPr>
        <w:t>Dirigidas a las Partes</w:t>
      </w:r>
    </w:p>
    <w:p w14:paraId="558821D2" w14:textId="77777777" w:rsidR="007910DD" w:rsidRPr="00557212" w:rsidRDefault="007910DD" w:rsidP="007910DD">
      <w:pPr>
        <w:jc w:val="both"/>
        <w:rPr>
          <w:rFonts w:cs="Arial"/>
          <w:sz w:val="22"/>
          <w:szCs w:val="22"/>
          <w:highlight w:val="yellow"/>
          <w:lang w:val="es-ES_tradnl"/>
        </w:rPr>
      </w:pPr>
    </w:p>
    <w:p w14:paraId="0EDFC992" w14:textId="4DE139D9" w:rsidR="0058504E" w:rsidRPr="0058504E" w:rsidRDefault="007910DD" w:rsidP="007910DD">
      <w:pPr>
        <w:ind w:left="720" w:hanging="720"/>
        <w:jc w:val="both"/>
        <w:rPr>
          <w:rFonts w:cs="Arial"/>
          <w:sz w:val="22"/>
          <w:szCs w:val="22"/>
          <w:lang w:val="es-ES_tradnl"/>
        </w:rPr>
      </w:pPr>
      <w:r w:rsidRPr="0058504E">
        <w:rPr>
          <w:rFonts w:cs="Arial"/>
          <w:sz w:val="22"/>
          <w:szCs w:val="22"/>
          <w:lang w:val="es-ES_tradnl"/>
        </w:rPr>
        <w:t>12.AA</w:t>
      </w:r>
      <w:r w:rsidRPr="0058504E">
        <w:rPr>
          <w:rFonts w:cs="Arial"/>
          <w:sz w:val="22"/>
          <w:szCs w:val="22"/>
          <w:lang w:val="es-ES_tradnl"/>
        </w:rPr>
        <w:tab/>
      </w:r>
      <w:r w:rsidR="0058504E" w:rsidRPr="0058504E">
        <w:rPr>
          <w:rFonts w:cs="Arial"/>
          <w:sz w:val="22"/>
          <w:szCs w:val="22"/>
          <w:lang w:val="es-ES_tradnl"/>
        </w:rPr>
        <w:t>Se insta a las Partes a:</w:t>
      </w:r>
    </w:p>
    <w:p w14:paraId="5717A554" w14:textId="77777777" w:rsidR="007910DD" w:rsidRPr="00557212" w:rsidRDefault="007910DD" w:rsidP="007910DD">
      <w:pPr>
        <w:ind w:left="720" w:hanging="720"/>
        <w:jc w:val="both"/>
        <w:rPr>
          <w:rFonts w:cs="Arial"/>
          <w:iCs/>
          <w:sz w:val="22"/>
          <w:szCs w:val="22"/>
          <w:highlight w:val="yellow"/>
          <w:lang w:val="es-ES_tradnl"/>
        </w:rPr>
      </w:pPr>
    </w:p>
    <w:p w14:paraId="46C3F9E9" w14:textId="57D97BD7" w:rsidR="00C7496F" w:rsidRPr="00C7496F" w:rsidRDefault="00C7496F" w:rsidP="00C7496F">
      <w:pPr>
        <w:jc w:val="both"/>
        <w:rPr>
          <w:rFonts w:cs="Arial"/>
          <w:iCs/>
          <w:sz w:val="22"/>
          <w:szCs w:val="22"/>
          <w:lang w:val="es-ES_tradnl"/>
        </w:rPr>
      </w:pPr>
      <w:r w:rsidRPr="00C7496F">
        <w:rPr>
          <w:rFonts w:cs="Arial"/>
          <w:iCs/>
          <w:sz w:val="22"/>
          <w:szCs w:val="22"/>
          <w:lang w:val="es-ES_tradnl"/>
        </w:rPr>
        <w:t xml:space="preserve">Reconocer la importancia de la </w:t>
      </w:r>
      <w:r w:rsidR="00C65B73">
        <w:rPr>
          <w:rFonts w:cs="Arial"/>
          <w:iCs/>
          <w:sz w:val="22"/>
          <w:szCs w:val="22"/>
          <w:lang w:val="es-ES_tradnl"/>
        </w:rPr>
        <w:t>Iniciativa para los Carnívoros A</w:t>
      </w:r>
      <w:r w:rsidRPr="00C7496F">
        <w:rPr>
          <w:rFonts w:cs="Arial"/>
          <w:iCs/>
          <w:sz w:val="22"/>
          <w:szCs w:val="22"/>
          <w:lang w:val="es-ES_tradnl"/>
        </w:rPr>
        <w:t xml:space="preserve">fricanos para </w:t>
      </w:r>
      <w:r w:rsidR="0006661A">
        <w:rPr>
          <w:rFonts w:cs="Arial"/>
          <w:iCs/>
          <w:sz w:val="22"/>
          <w:szCs w:val="22"/>
          <w:lang w:val="es-ES_tradnl"/>
        </w:rPr>
        <w:t>la implementación de</w:t>
      </w:r>
      <w:r w:rsidRPr="00C7496F">
        <w:rPr>
          <w:rFonts w:cs="Arial"/>
          <w:iCs/>
          <w:sz w:val="22"/>
          <w:szCs w:val="22"/>
          <w:lang w:val="es-ES_tradnl"/>
        </w:rPr>
        <w:t xml:space="preserve"> las resoluciones y decisiones de la CMS y la CITES relativas al [león africano</w:t>
      </w:r>
      <w:r w:rsidRPr="00C7496F">
        <w:rPr>
          <w:rFonts w:cs="Arial"/>
          <w:sz w:val="22"/>
          <w:szCs w:val="22"/>
          <w:lang w:val="es-ES_tradnl"/>
        </w:rPr>
        <w:t xml:space="preserve"> (</w:t>
      </w:r>
      <w:r w:rsidRPr="00C7496F">
        <w:rPr>
          <w:rFonts w:cs="Arial"/>
          <w:i/>
          <w:sz w:val="22"/>
          <w:szCs w:val="22"/>
          <w:lang w:val="es-ES_tradnl"/>
        </w:rPr>
        <w:t>Panthera leo</w:t>
      </w:r>
      <w:r w:rsidRPr="00C7496F">
        <w:rPr>
          <w:rFonts w:cs="Arial"/>
          <w:sz w:val="22"/>
          <w:szCs w:val="22"/>
          <w:lang w:val="es-ES_tradnl"/>
        </w:rPr>
        <w:t>),] el guepardo (</w:t>
      </w:r>
      <w:r w:rsidRPr="00C7496F">
        <w:rPr>
          <w:rFonts w:cs="Arial"/>
          <w:i/>
          <w:sz w:val="22"/>
          <w:szCs w:val="22"/>
          <w:lang w:val="es-ES_tradnl"/>
        </w:rPr>
        <w:t>Acinonyx jubatus</w:t>
      </w:r>
      <w:r w:rsidRPr="00C7496F">
        <w:rPr>
          <w:rFonts w:cs="Arial"/>
          <w:sz w:val="22"/>
          <w:szCs w:val="22"/>
          <w:lang w:val="es-ES_tradnl"/>
        </w:rPr>
        <w:t>), [el leopardo (</w:t>
      </w:r>
      <w:r w:rsidRPr="00C7496F">
        <w:rPr>
          <w:rFonts w:cs="Arial"/>
          <w:i/>
          <w:sz w:val="22"/>
          <w:szCs w:val="22"/>
          <w:lang w:val="es-ES_tradnl"/>
        </w:rPr>
        <w:t>Panthera pardus</w:t>
      </w:r>
      <w:r w:rsidRPr="00C7496F">
        <w:rPr>
          <w:rFonts w:cs="Arial"/>
          <w:sz w:val="22"/>
          <w:szCs w:val="22"/>
          <w:lang w:val="es-ES_tradnl"/>
        </w:rPr>
        <w:t>)] y el licaón (</w:t>
      </w:r>
      <w:r w:rsidRPr="00C7496F">
        <w:rPr>
          <w:rFonts w:cs="Arial"/>
          <w:i/>
          <w:sz w:val="22"/>
          <w:szCs w:val="22"/>
          <w:lang w:val="es-ES_tradnl"/>
        </w:rPr>
        <w:t>Lycaon pictus</w:t>
      </w:r>
      <w:r w:rsidRPr="00C7496F">
        <w:rPr>
          <w:rFonts w:cs="Arial"/>
          <w:sz w:val="22"/>
          <w:szCs w:val="22"/>
          <w:lang w:val="es-ES_tradnl"/>
        </w:rPr>
        <w:t>)</w:t>
      </w:r>
      <w:r w:rsidRPr="00C7496F">
        <w:rPr>
          <w:rFonts w:cs="Arial"/>
          <w:iCs/>
          <w:sz w:val="22"/>
          <w:szCs w:val="22"/>
          <w:lang w:val="es-ES_tradnl"/>
        </w:rPr>
        <w:t>.</w:t>
      </w:r>
    </w:p>
    <w:p w14:paraId="2EC38A6B" w14:textId="77777777" w:rsidR="003478DE" w:rsidRPr="00557212" w:rsidRDefault="003478DE" w:rsidP="003478DE">
      <w:pPr>
        <w:jc w:val="both"/>
        <w:rPr>
          <w:rFonts w:cs="Arial"/>
          <w:iCs/>
          <w:sz w:val="22"/>
          <w:szCs w:val="22"/>
          <w:highlight w:val="yellow"/>
          <w:lang w:val="es-ES_tradnl"/>
        </w:rPr>
      </w:pPr>
    </w:p>
    <w:p w14:paraId="56DC7910" w14:textId="381957AC" w:rsidR="00B953E6" w:rsidRPr="0046318D" w:rsidRDefault="00B953E6" w:rsidP="00993250">
      <w:pPr>
        <w:jc w:val="both"/>
        <w:rPr>
          <w:rFonts w:cs="Arial"/>
          <w:b/>
          <w:i/>
          <w:iCs/>
          <w:sz w:val="22"/>
          <w:szCs w:val="22"/>
          <w:lang w:val="es-ES_tradnl"/>
        </w:rPr>
      </w:pPr>
      <w:r w:rsidRPr="0046318D">
        <w:rPr>
          <w:rFonts w:cs="Arial"/>
          <w:b/>
          <w:i/>
          <w:iCs/>
          <w:sz w:val="22"/>
          <w:szCs w:val="22"/>
          <w:lang w:val="es-ES_tradnl"/>
        </w:rPr>
        <w:t>Dirigidas a los estados del área de distribución</w:t>
      </w:r>
    </w:p>
    <w:p w14:paraId="44C47805" w14:textId="77777777" w:rsidR="00993250" w:rsidRPr="00557212" w:rsidRDefault="00993250" w:rsidP="003478DE">
      <w:pPr>
        <w:jc w:val="both"/>
        <w:rPr>
          <w:rFonts w:cs="Arial"/>
          <w:iCs/>
          <w:sz w:val="22"/>
          <w:szCs w:val="22"/>
          <w:highlight w:val="yellow"/>
          <w:lang w:val="es-ES_tradnl"/>
        </w:rPr>
      </w:pPr>
    </w:p>
    <w:p w14:paraId="3F45419E" w14:textId="72B75053" w:rsidR="00B953E6" w:rsidRPr="00B953E6" w:rsidRDefault="003478DE" w:rsidP="003478DE">
      <w:pPr>
        <w:jc w:val="both"/>
        <w:rPr>
          <w:rFonts w:cs="Arial"/>
          <w:iCs/>
          <w:sz w:val="22"/>
          <w:szCs w:val="22"/>
          <w:lang w:val="es-ES_tradnl"/>
        </w:rPr>
      </w:pPr>
      <w:r w:rsidRPr="00B953E6">
        <w:rPr>
          <w:rFonts w:cs="Arial"/>
          <w:iCs/>
          <w:sz w:val="22"/>
          <w:szCs w:val="22"/>
          <w:lang w:val="es-ES_tradnl"/>
        </w:rPr>
        <w:t>12.BB</w:t>
      </w:r>
      <w:r w:rsidR="00A84046" w:rsidRPr="00B953E6">
        <w:rPr>
          <w:rFonts w:cs="Arial"/>
          <w:iCs/>
          <w:sz w:val="22"/>
          <w:szCs w:val="22"/>
          <w:lang w:val="es-ES_tradnl"/>
        </w:rPr>
        <w:t xml:space="preserve"> </w:t>
      </w:r>
      <w:r w:rsidR="00B953E6" w:rsidRPr="00B953E6">
        <w:rPr>
          <w:rFonts w:cs="Arial"/>
          <w:iCs/>
          <w:sz w:val="22"/>
          <w:szCs w:val="22"/>
          <w:lang w:val="es-ES_tradnl"/>
        </w:rPr>
        <w:t>Se urge a los estados del área de distribución a:</w:t>
      </w:r>
    </w:p>
    <w:p w14:paraId="05145DD0" w14:textId="77777777" w:rsidR="00A84046" w:rsidRPr="00557212" w:rsidRDefault="00A84046" w:rsidP="003478DE">
      <w:pPr>
        <w:jc w:val="both"/>
        <w:rPr>
          <w:rFonts w:cs="Arial"/>
          <w:sz w:val="22"/>
          <w:szCs w:val="22"/>
          <w:highlight w:val="yellow"/>
          <w:lang w:val="es-ES_tradnl"/>
        </w:rPr>
      </w:pPr>
    </w:p>
    <w:p w14:paraId="652AEE4D" w14:textId="7BABEE4A" w:rsidR="00ED45C9" w:rsidRDefault="003031B7" w:rsidP="003478DE">
      <w:pPr>
        <w:jc w:val="both"/>
        <w:rPr>
          <w:rFonts w:cs="Arial"/>
          <w:sz w:val="22"/>
          <w:szCs w:val="22"/>
          <w:highlight w:val="yellow"/>
          <w:lang w:val="es-ES_tradnl"/>
        </w:rPr>
      </w:pPr>
      <w:r>
        <w:rPr>
          <w:rFonts w:cs="Arial"/>
          <w:sz w:val="22"/>
          <w:szCs w:val="22"/>
          <w:lang w:val="es-ES_tradnl"/>
        </w:rPr>
        <w:t>Trabajar con</w:t>
      </w:r>
      <w:r w:rsidR="00ED45C9" w:rsidRPr="00ED45C9">
        <w:rPr>
          <w:rFonts w:cs="Arial"/>
          <w:sz w:val="22"/>
          <w:szCs w:val="22"/>
          <w:lang w:val="es-ES_tradnl"/>
        </w:rPr>
        <w:t xml:space="preserve"> la Ini</w:t>
      </w:r>
      <w:r>
        <w:rPr>
          <w:rFonts w:cs="Arial"/>
          <w:sz w:val="22"/>
          <w:szCs w:val="22"/>
          <w:lang w:val="es-ES_tradnl"/>
        </w:rPr>
        <w:t>ciativa para los Carnívoros A</w:t>
      </w:r>
      <w:r w:rsidR="00ED45C9" w:rsidRPr="00ED45C9">
        <w:rPr>
          <w:rFonts w:cs="Arial"/>
          <w:sz w:val="22"/>
          <w:szCs w:val="22"/>
          <w:lang w:val="es-ES_tradnl"/>
        </w:rPr>
        <w:t xml:space="preserve">fricanos </w:t>
      </w:r>
      <w:r>
        <w:rPr>
          <w:rFonts w:cs="Arial"/>
          <w:sz w:val="22"/>
          <w:szCs w:val="22"/>
          <w:lang w:val="es-ES_tradnl"/>
        </w:rPr>
        <w:t>a la hora</w:t>
      </w:r>
      <w:r w:rsidR="00ED45C9" w:rsidRPr="00ED45C9">
        <w:rPr>
          <w:rFonts w:cs="Arial"/>
          <w:sz w:val="22"/>
          <w:szCs w:val="22"/>
          <w:lang w:val="es-ES_tradnl"/>
        </w:rPr>
        <w:t xml:space="preserve"> de implementar las resoluciones y decisiones relativas al </w:t>
      </w:r>
      <w:r w:rsidR="00ED45C9" w:rsidRPr="00ED45C9">
        <w:rPr>
          <w:rFonts w:cs="Arial"/>
          <w:iCs/>
          <w:sz w:val="22"/>
          <w:szCs w:val="22"/>
          <w:lang w:val="es-ES_tradnl"/>
        </w:rPr>
        <w:t>[león</w:t>
      </w:r>
      <w:r w:rsidR="00ED45C9" w:rsidRPr="00C7496F">
        <w:rPr>
          <w:rFonts w:cs="Arial"/>
          <w:iCs/>
          <w:sz w:val="22"/>
          <w:szCs w:val="22"/>
          <w:lang w:val="es-ES_tradnl"/>
        </w:rPr>
        <w:t xml:space="preserve"> africano</w:t>
      </w:r>
      <w:r w:rsidR="00ED45C9" w:rsidRPr="00C7496F">
        <w:rPr>
          <w:rFonts w:cs="Arial"/>
          <w:sz w:val="22"/>
          <w:szCs w:val="22"/>
          <w:lang w:val="es-ES_tradnl"/>
        </w:rPr>
        <w:t xml:space="preserve"> (</w:t>
      </w:r>
      <w:r w:rsidR="00ED45C9" w:rsidRPr="00C7496F">
        <w:rPr>
          <w:rFonts w:cs="Arial"/>
          <w:i/>
          <w:sz w:val="22"/>
          <w:szCs w:val="22"/>
          <w:lang w:val="es-ES_tradnl"/>
        </w:rPr>
        <w:t>Panthera leo</w:t>
      </w:r>
      <w:r w:rsidR="00ED45C9" w:rsidRPr="00C7496F">
        <w:rPr>
          <w:rFonts w:cs="Arial"/>
          <w:sz w:val="22"/>
          <w:szCs w:val="22"/>
          <w:lang w:val="es-ES_tradnl"/>
        </w:rPr>
        <w:t>),] el guepardo (</w:t>
      </w:r>
      <w:r w:rsidR="00ED45C9" w:rsidRPr="00C7496F">
        <w:rPr>
          <w:rFonts w:cs="Arial"/>
          <w:i/>
          <w:sz w:val="22"/>
          <w:szCs w:val="22"/>
          <w:lang w:val="es-ES_tradnl"/>
        </w:rPr>
        <w:t>Acinonyx jubatus</w:t>
      </w:r>
      <w:r w:rsidR="00ED45C9" w:rsidRPr="00C7496F">
        <w:rPr>
          <w:rFonts w:cs="Arial"/>
          <w:sz w:val="22"/>
          <w:szCs w:val="22"/>
          <w:lang w:val="es-ES_tradnl"/>
        </w:rPr>
        <w:t>), [el leopardo (</w:t>
      </w:r>
      <w:r w:rsidR="00ED45C9" w:rsidRPr="00C7496F">
        <w:rPr>
          <w:rFonts w:cs="Arial"/>
          <w:i/>
          <w:sz w:val="22"/>
          <w:szCs w:val="22"/>
          <w:lang w:val="es-ES_tradnl"/>
        </w:rPr>
        <w:t>Panthera pardus</w:t>
      </w:r>
      <w:r w:rsidR="00ED45C9" w:rsidRPr="00C7496F">
        <w:rPr>
          <w:rFonts w:cs="Arial"/>
          <w:sz w:val="22"/>
          <w:szCs w:val="22"/>
          <w:lang w:val="es-ES_tradnl"/>
        </w:rPr>
        <w:t>)] y el licaón (</w:t>
      </w:r>
      <w:r w:rsidR="00ED45C9" w:rsidRPr="00C7496F">
        <w:rPr>
          <w:rFonts w:cs="Arial"/>
          <w:i/>
          <w:sz w:val="22"/>
          <w:szCs w:val="22"/>
          <w:lang w:val="es-ES_tradnl"/>
        </w:rPr>
        <w:t>Lycaon pictus</w:t>
      </w:r>
      <w:r w:rsidR="00ED45C9" w:rsidRPr="00C7496F">
        <w:rPr>
          <w:rFonts w:cs="Arial"/>
          <w:sz w:val="22"/>
          <w:szCs w:val="22"/>
          <w:lang w:val="es-ES_tradnl"/>
        </w:rPr>
        <w:t>)</w:t>
      </w:r>
      <w:r>
        <w:rPr>
          <w:rFonts w:cs="Arial"/>
          <w:sz w:val="22"/>
          <w:szCs w:val="22"/>
          <w:lang w:val="es-ES_tradnl"/>
        </w:rPr>
        <w:t>,</w:t>
      </w:r>
      <w:r w:rsidR="00ED45C9">
        <w:rPr>
          <w:rFonts w:cs="Arial"/>
          <w:iCs/>
          <w:sz w:val="22"/>
          <w:szCs w:val="22"/>
          <w:lang w:val="es-ES_tradnl"/>
        </w:rPr>
        <w:t xml:space="preserve"> como </w:t>
      </w:r>
      <w:r>
        <w:rPr>
          <w:rFonts w:cs="Arial"/>
          <w:iCs/>
          <w:sz w:val="22"/>
          <w:szCs w:val="22"/>
          <w:lang w:val="es-ES_tradnl"/>
        </w:rPr>
        <w:t>una forma de</w:t>
      </w:r>
      <w:r w:rsidR="00ED45C9">
        <w:rPr>
          <w:rFonts w:cs="Arial"/>
          <w:iCs/>
          <w:sz w:val="22"/>
          <w:szCs w:val="22"/>
          <w:lang w:val="es-ES_tradnl"/>
        </w:rPr>
        <w:t xml:space="preserve"> aumentar la eficiencia y la efectividad de sus acciones.</w:t>
      </w:r>
    </w:p>
    <w:p w14:paraId="65E6977E" w14:textId="77777777" w:rsidR="00832363" w:rsidRPr="007C7DA9" w:rsidRDefault="00832363" w:rsidP="007910DD">
      <w:pPr>
        <w:jc w:val="both"/>
        <w:rPr>
          <w:rFonts w:cs="Arial"/>
          <w:b/>
          <w:i/>
          <w:sz w:val="22"/>
          <w:szCs w:val="22"/>
          <w:lang w:val="es-ES_tradnl"/>
        </w:rPr>
      </w:pPr>
    </w:p>
    <w:p w14:paraId="068E620D" w14:textId="1F5432DD" w:rsidR="007C7DA9" w:rsidRPr="007C7DA9" w:rsidRDefault="007C7DA9" w:rsidP="007910DD">
      <w:pPr>
        <w:jc w:val="both"/>
        <w:rPr>
          <w:rFonts w:cs="Arial"/>
          <w:b/>
          <w:i/>
          <w:sz w:val="22"/>
          <w:szCs w:val="22"/>
          <w:lang w:val="es-ES_tradnl"/>
        </w:rPr>
      </w:pPr>
      <w:r w:rsidRPr="007C7DA9">
        <w:rPr>
          <w:rFonts w:cs="Arial"/>
          <w:b/>
          <w:i/>
          <w:sz w:val="22"/>
          <w:szCs w:val="22"/>
          <w:lang w:val="es-ES_tradnl"/>
        </w:rPr>
        <w:t>Dirigidas a las Partes, organizaciones intergubernamentales y no gubernamentales</w:t>
      </w:r>
    </w:p>
    <w:p w14:paraId="16BDB6A3" w14:textId="77777777" w:rsidR="007910DD" w:rsidRPr="00557212" w:rsidRDefault="007910DD" w:rsidP="007910DD">
      <w:pPr>
        <w:jc w:val="both"/>
        <w:rPr>
          <w:rFonts w:cs="Arial"/>
          <w:sz w:val="22"/>
          <w:szCs w:val="22"/>
          <w:highlight w:val="yellow"/>
          <w:lang w:val="es-ES_tradnl"/>
        </w:rPr>
      </w:pPr>
    </w:p>
    <w:p w14:paraId="7F2C8F0B" w14:textId="5418AF14" w:rsidR="00104BC5" w:rsidRPr="000368F9" w:rsidRDefault="007910DD" w:rsidP="007910DD">
      <w:pPr>
        <w:jc w:val="both"/>
        <w:rPr>
          <w:rFonts w:cs="Arial"/>
          <w:sz w:val="22"/>
          <w:szCs w:val="22"/>
          <w:lang w:val="es-ES_tradnl"/>
        </w:rPr>
      </w:pPr>
      <w:r w:rsidRPr="000368F9">
        <w:rPr>
          <w:rFonts w:cs="Arial"/>
          <w:sz w:val="22"/>
          <w:szCs w:val="22"/>
          <w:lang w:val="es-ES_tradnl"/>
        </w:rPr>
        <w:t>12.</w:t>
      </w:r>
      <w:r w:rsidR="003478DE" w:rsidRPr="000368F9">
        <w:rPr>
          <w:rFonts w:cs="Arial"/>
          <w:sz w:val="22"/>
          <w:szCs w:val="22"/>
          <w:lang w:val="es-ES_tradnl"/>
        </w:rPr>
        <w:t>CC</w:t>
      </w:r>
      <w:r w:rsidRPr="000368F9">
        <w:rPr>
          <w:rFonts w:cs="Arial"/>
          <w:sz w:val="22"/>
          <w:szCs w:val="22"/>
          <w:lang w:val="es-ES_tradnl"/>
        </w:rPr>
        <w:tab/>
      </w:r>
      <w:r w:rsidR="00104BC5" w:rsidRPr="000368F9">
        <w:rPr>
          <w:rFonts w:cs="Arial"/>
          <w:sz w:val="22"/>
          <w:szCs w:val="22"/>
          <w:lang w:val="es-ES_tradnl"/>
        </w:rPr>
        <w:t>Se alienta a las Partes</w:t>
      </w:r>
      <w:r w:rsidR="000368F9" w:rsidRPr="000368F9">
        <w:rPr>
          <w:rFonts w:cs="Arial"/>
          <w:sz w:val="22"/>
          <w:szCs w:val="22"/>
          <w:lang w:val="es-ES_tradnl"/>
        </w:rPr>
        <w:t>, organizaciones intergubernamentales y no gubernamentales a:</w:t>
      </w:r>
    </w:p>
    <w:p w14:paraId="30B586F4" w14:textId="77777777" w:rsidR="00454C77" w:rsidRPr="006366B2" w:rsidRDefault="00454C77" w:rsidP="007910DD">
      <w:pPr>
        <w:jc w:val="both"/>
        <w:rPr>
          <w:rFonts w:cs="Arial"/>
          <w:sz w:val="22"/>
          <w:szCs w:val="22"/>
          <w:lang w:val="es-ES_tradnl"/>
        </w:rPr>
      </w:pPr>
    </w:p>
    <w:p w14:paraId="52016DFA" w14:textId="154BB3B1" w:rsidR="000368F9" w:rsidRPr="006366B2" w:rsidRDefault="000368F9" w:rsidP="003478DE">
      <w:pPr>
        <w:jc w:val="both"/>
        <w:rPr>
          <w:rFonts w:cs="Arial"/>
          <w:sz w:val="22"/>
          <w:szCs w:val="22"/>
          <w:lang w:val="es-ES_tradnl"/>
        </w:rPr>
      </w:pPr>
      <w:r w:rsidRPr="006366B2">
        <w:rPr>
          <w:rFonts w:cs="Arial"/>
          <w:sz w:val="22"/>
          <w:szCs w:val="22"/>
          <w:lang w:val="es-ES_tradnl"/>
        </w:rPr>
        <w:t xml:space="preserve">Proporcionar </w:t>
      </w:r>
      <w:r w:rsidR="005C1B20">
        <w:rPr>
          <w:rFonts w:cs="Arial"/>
          <w:sz w:val="22"/>
          <w:szCs w:val="22"/>
          <w:lang w:val="es-ES_tradnl"/>
        </w:rPr>
        <w:t>apoyo financiero y técnico a los estados</w:t>
      </w:r>
      <w:r w:rsidRPr="006366B2">
        <w:rPr>
          <w:rFonts w:cs="Arial"/>
          <w:sz w:val="22"/>
          <w:szCs w:val="22"/>
          <w:lang w:val="es-ES_tradnl"/>
        </w:rPr>
        <w:t xml:space="preserve"> Partes del área de distribución del </w:t>
      </w:r>
      <w:r w:rsidRPr="006366B2">
        <w:rPr>
          <w:rFonts w:cs="Arial"/>
          <w:iCs/>
          <w:sz w:val="22"/>
          <w:szCs w:val="22"/>
          <w:lang w:val="es-ES_tradnl"/>
        </w:rPr>
        <w:t>[león africano</w:t>
      </w:r>
      <w:r w:rsidRPr="006366B2">
        <w:rPr>
          <w:rFonts w:cs="Arial"/>
          <w:sz w:val="22"/>
          <w:szCs w:val="22"/>
          <w:lang w:val="es-ES_tradnl"/>
        </w:rPr>
        <w:t xml:space="preserve"> (</w:t>
      </w:r>
      <w:r w:rsidRPr="006366B2">
        <w:rPr>
          <w:rFonts w:cs="Arial"/>
          <w:i/>
          <w:sz w:val="22"/>
          <w:szCs w:val="22"/>
          <w:lang w:val="es-ES_tradnl"/>
        </w:rPr>
        <w:t>Panthera leo</w:t>
      </w:r>
      <w:r w:rsidRPr="006366B2">
        <w:rPr>
          <w:rFonts w:cs="Arial"/>
          <w:sz w:val="22"/>
          <w:szCs w:val="22"/>
          <w:lang w:val="es-ES_tradnl"/>
        </w:rPr>
        <w:t>),] el guepardo (</w:t>
      </w:r>
      <w:r w:rsidRPr="006366B2">
        <w:rPr>
          <w:rFonts w:cs="Arial"/>
          <w:i/>
          <w:sz w:val="22"/>
          <w:szCs w:val="22"/>
          <w:lang w:val="es-ES_tradnl"/>
        </w:rPr>
        <w:t>Acinonyx jubatus</w:t>
      </w:r>
      <w:r w:rsidRPr="006366B2">
        <w:rPr>
          <w:rFonts w:cs="Arial"/>
          <w:sz w:val="22"/>
          <w:szCs w:val="22"/>
          <w:lang w:val="es-ES_tradnl"/>
        </w:rPr>
        <w:t>), [el leopardo (</w:t>
      </w:r>
      <w:r w:rsidRPr="006366B2">
        <w:rPr>
          <w:rFonts w:cs="Arial"/>
          <w:i/>
          <w:sz w:val="22"/>
          <w:szCs w:val="22"/>
          <w:lang w:val="es-ES_tradnl"/>
        </w:rPr>
        <w:t>Panthera pardus</w:t>
      </w:r>
      <w:r w:rsidRPr="006366B2">
        <w:rPr>
          <w:rFonts w:cs="Arial"/>
          <w:sz w:val="22"/>
          <w:szCs w:val="22"/>
          <w:lang w:val="es-ES_tradnl"/>
        </w:rPr>
        <w:t>)] y el licaón (</w:t>
      </w:r>
      <w:r w:rsidRPr="006366B2">
        <w:rPr>
          <w:rFonts w:cs="Arial"/>
          <w:i/>
          <w:sz w:val="22"/>
          <w:szCs w:val="22"/>
          <w:lang w:val="es-ES_tradnl"/>
        </w:rPr>
        <w:t>Lycaon pictus</w:t>
      </w:r>
      <w:r w:rsidRPr="006366B2">
        <w:rPr>
          <w:rFonts w:cs="Arial"/>
          <w:sz w:val="22"/>
          <w:szCs w:val="22"/>
          <w:lang w:val="es-ES_tradnl"/>
        </w:rPr>
        <w:t xml:space="preserve">) y a la Secretaría </w:t>
      </w:r>
      <w:r w:rsidR="005C1B20">
        <w:rPr>
          <w:rFonts w:cs="Arial"/>
          <w:sz w:val="22"/>
          <w:szCs w:val="22"/>
          <w:lang w:val="es-ES_tradnl"/>
        </w:rPr>
        <w:t>para poder</w:t>
      </w:r>
      <w:r w:rsidR="00427729">
        <w:rPr>
          <w:rFonts w:cs="Arial"/>
          <w:sz w:val="22"/>
          <w:szCs w:val="22"/>
          <w:lang w:val="es-ES_tradnl"/>
        </w:rPr>
        <w:t xml:space="preserve"> </w:t>
      </w:r>
      <w:r w:rsidRPr="006366B2">
        <w:rPr>
          <w:rFonts w:cs="Arial"/>
          <w:sz w:val="22"/>
          <w:szCs w:val="22"/>
          <w:lang w:val="es-ES_tradnl"/>
        </w:rPr>
        <w:t>implementar las acciones descritas en la Iniciativa para los Carnívoros Africanos.</w:t>
      </w:r>
    </w:p>
    <w:p w14:paraId="0D7F8127" w14:textId="77777777" w:rsidR="007910DD" w:rsidRPr="00557212" w:rsidRDefault="007910DD" w:rsidP="007910DD">
      <w:pPr>
        <w:jc w:val="both"/>
        <w:rPr>
          <w:rFonts w:cs="Arial"/>
          <w:b/>
          <w:i/>
          <w:sz w:val="22"/>
          <w:szCs w:val="22"/>
          <w:highlight w:val="yellow"/>
          <w:lang w:val="es-ES_tradnl"/>
        </w:rPr>
      </w:pPr>
    </w:p>
    <w:p w14:paraId="3AC6C5B9" w14:textId="48EB1B16" w:rsidR="00FB0A13" w:rsidRPr="00FB0A13" w:rsidRDefault="00FB0A13" w:rsidP="007910DD">
      <w:pPr>
        <w:jc w:val="both"/>
        <w:rPr>
          <w:rFonts w:cs="Arial"/>
          <w:b/>
          <w:i/>
          <w:sz w:val="22"/>
          <w:szCs w:val="22"/>
          <w:lang w:val="es-ES_tradnl"/>
        </w:rPr>
      </w:pPr>
      <w:r w:rsidRPr="00FB0A13">
        <w:rPr>
          <w:rFonts w:cs="Arial"/>
          <w:b/>
          <w:i/>
          <w:sz w:val="22"/>
          <w:szCs w:val="22"/>
          <w:lang w:val="es-ES_tradnl"/>
        </w:rPr>
        <w:t>Dirigidas al Comité Permanente</w:t>
      </w:r>
    </w:p>
    <w:p w14:paraId="2D8C8037" w14:textId="77777777" w:rsidR="007910DD" w:rsidRPr="00557212" w:rsidRDefault="007910DD" w:rsidP="007910DD">
      <w:pPr>
        <w:jc w:val="both"/>
        <w:rPr>
          <w:rFonts w:cs="Arial"/>
          <w:sz w:val="22"/>
          <w:szCs w:val="22"/>
          <w:highlight w:val="yellow"/>
          <w:lang w:val="es-ES_tradnl"/>
        </w:rPr>
      </w:pPr>
    </w:p>
    <w:p w14:paraId="13633B93" w14:textId="36C1E134" w:rsidR="0032732B" w:rsidRPr="0032732B" w:rsidRDefault="007910DD" w:rsidP="007910DD">
      <w:pPr>
        <w:jc w:val="both"/>
        <w:rPr>
          <w:rFonts w:cs="Arial"/>
          <w:sz w:val="22"/>
          <w:szCs w:val="22"/>
          <w:lang w:val="es-ES_tradnl"/>
        </w:rPr>
      </w:pPr>
      <w:r w:rsidRPr="0032732B">
        <w:rPr>
          <w:rFonts w:cs="Arial"/>
          <w:sz w:val="22"/>
          <w:szCs w:val="22"/>
          <w:lang w:val="es-ES_tradnl"/>
        </w:rPr>
        <w:t>12.</w:t>
      </w:r>
      <w:r w:rsidR="003478DE" w:rsidRPr="0032732B">
        <w:rPr>
          <w:rFonts w:cs="Arial"/>
          <w:sz w:val="22"/>
          <w:szCs w:val="22"/>
          <w:lang w:val="es-ES_tradnl"/>
        </w:rPr>
        <w:t>DD</w:t>
      </w:r>
      <w:r w:rsidRPr="0032732B">
        <w:rPr>
          <w:rFonts w:cs="Arial"/>
          <w:sz w:val="22"/>
          <w:szCs w:val="22"/>
          <w:lang w:val="es-ES_tradnl"/>
        </w:rPr>
        <w:tab/>
      </w:r>
      <w:r w:rsidR="0032732B" w:rsidRPr="0032732B">
        <w:rPr>
          <w:rFonts w:cs="Arial"/>
          <w:sz w:val="22"/>
          <w:szCs w:val="22"/>
          <w:lang w:val="es-ES_tradnl"/>
        </w:rPr>
        <w:t>El Comité Permanente deberá:</w:t>
      </w:r>
    </w:p>
    <w:p w14:paraId="10582D3E" w14:textId="77777777" w:rsidR="007910DD" w:rsidRPr="00FE6E6F" w:rsidRDefault="007910DD" w:rsidP="007910DD">
      <w:pPr>
        <w:jc w:val="both"/>
        <w:rPr>
          <w:rFonts w:cs="Arial"/>
          <w:sz w:val="22"/>
          <w:szCs w:val="22"/>
          <w:lang w:val="es-ES_tradnl"/>
        </w:rPr>
      </w:pPr>
    </w:p>
    <w:p w14:paraId="0EF6212C" w14:textId="513B7D7D" w:rsidR="0032732B" w:rsidRPr="00FE6E6F" w:rsidRDefault="00E8013A" w:rsidP="003478DE">
      <w:pPr>
        <w:jc w:val="both"/>
        <w:rPr>
          <w:rFonts w:cs="Arial"/>
          <w:sz w:val="22"/>
          <w:szCs w:val="22"/>
          <w:lang w:val="es-ES_tradnl"/>
        </w:rPr>
      </w:pPr>
      <w:r w:rsidRPr="00FE6E6F">
        <w:rPr>
          <w:rFonts w:cs="Arial"/>
          <w:sz w:val="22"/>
          <w:szCs w:val="22"/>
          <w:lang w:val="es-ES_tradnl"/>
        </w:rPr>
        <w:t>Considerar el informe de la Secretaría y formular las recomendaciones que considere apropiadas a la Conferencia de las Partes en su 13ª reunión.</w:t>
      </w:r>
    </w:p>
    <w:p w14:paraId="36694CBB" w14:textId="77777777" w:rsidR="007910DD" w:rsidRPr="00557212" w:rsidRDefault="007910DD" w:rsidP="007910DD">
      <w:pPr>
        <w:jc w:val="both"/>
        <w:rPr>
          <w:rFonts w:cs="Arial"/>
          <w:sz w:val="22"/>
          <w:szCs w:val="22"/>
          <w:highlight w:val="yellow"/>
          <w:lang w:val="es-ES_tradnl"/>
        </w:rPr>
      </w:pPr>
    </w:p>
    <w:p w14:paraId="0DAF1922" w14:textId="34BF07B1" w:rsidR="00141663" w:rsidRPr="00AA673C" w:rsidRDefault="00141663" w:rsidP="007910DD">
      <w:pPr>
        <w:jc w:val="both"/>
        <w:rPr>
          <w:rFonts w:cs="Arial"/>
          <w:b/>
          <w:i/>
          <w:sz w:val="22"/>
          <w:szCs w:val="22"/>
          <w:lang w:val="es-ES_tradnl"/>
        </w:rPr>
      </w:pPr>
      <w:r w:rsidRPr="00AA673C">
        <w:rPr>
          <w:rFonts w:cs="Arial"/>
          <w:b/>
          <w:i/>
          <w:sz w:val="22"/>
          <w:szCs w:val="22"/>
          <w:lang w:val="es-ES_tradnl"/>
        </w:rPr>
        <w:t>Dirigidas al Consejo Científico (Comité del periodo de sesiones)</w:t>
      </w:r>
    </w:p>
    <w:p w14:paraId="2FB5FCD7" w14:textId="77777777" w:rsidR="007910DD" w:rsidRPr="00CD1FD1" w:rsidRDefault="007910DD" w:rsidP="007910DD">
      <w:pPr>
        <w:jc w:val="both"/>
        <w:rPr>
          <w:rFonts w:cs="Arial"/>
          <w:sz w:val="22"/>
          <w:szCs w:val="22"/>
          <w:lang w:val="es-ES_tradnl"/>
        </w:rPr>
      </w:pPr>
    </w:p>
    <w:p w14:paraId="30884077" w14:textId="1DDFD028" w:rsidR="00AA673C" w:rsidRPr="00CD1FD1" w:rsidRDefault="007910DD" w:rsidP="007910DD">
      <w:pPr>
        <w:ind w:left="720" w:hanging="720"/>
        <w:jc w:val="both"/>
        <w:rPr>
          <w:rFonts w:cs="Arial"/>
          <w:sz w:val="22"/>
          <w:szCs w:val="22"/>
          <w:lang w:val="es-ES_tradnl"/>
        </w:rPr>
      </w:pPr>
      <w:r w:rsidRPr="00CD1FD1">
        <w:rPr>
          <w:rFonts w:cs="Arial"/>
          <w:sz w:val="22"/>
          <w:szCs w:val="22"/>
          <w:lang w:val="es-ES_tradnl"/>
        </w:rPr>
        <w:t>12.</w:t>
      </w:r>
      <w:r w:rsidR="003478DE" w:rsidRPr="00CD1FD1">
        <w:rPr>
          <w:rFonts w:cs="Arial"/>
          <w:sz w:val="22"/>
          <w:szCs w:val="22"/>
          <w:lang w:val="es-ES_tradnl"/>
        </w:rPr>
        <w:t>EE</w:t>
      </w:r>
      <w:r w:rsidRPr="00CD1FD1">
        <w:rPr>
          <w:rFonts w:cs="Arial"/>
          <w:sz w:val="22"/>
          <w:szCs w:val="22"/>
          <w:lang w:val="es-ES_tradnl"/>
        </w:rPr>
        <w:tab/>
      </w:r>
      <w:r w:rsidR="00AA673C" w:rsidRPr="00CD1FD1">
        <w:rPr>
          <w:rFonts w:cs="Arial"/>
          <w:sz w:val="22"/>
          <w:szCs w:val="22"/>
          <w:lang w:val="es-ES_tradnl"/>
        </w:rPr>
        <w:t>El Comité del periodo de sesiones</w:t>
      </w:r>
      <w:r w:rsidR="00CD1FD1" w:rsidRPr="00CD1FD1">
        <w:rPr>
          <w:rFonts w:cs="Arial"/>
          <w:sz w:val="22"/>
          <w:szCs w:val="22"/>
          <w:lang w:val="es-ES_tradnl"/>
        </w:rPr>
        <w:t xml:space="preserve"> deberá:</w:t>
      </w:r>
    </w:p>
    <w:p w14:paraId="00588657" w14:textId="77777777" w:rsidR="007910DD" w:rsidRPr="00C61AB9" w:rsidRDefault="007910DD" w:rsidP="007910DD">
      <w:pPr>
        <w:ind w:left="720" w:hanging="720"/>
        <w:jc w:val="both"/>
        <w:rPr>
          <w:rFonts w:cs="Arial"/>
          <w:sz w:val="22"/>
          <w:szCs w:val="22"/>
          <w:lang w:val="es-ES_tradnl"/>
        </w:rPr>
      </w:pPr>
    </w:p>
    <w:p w14:paraId="5885C61E" w14:textId="711B2854" w:rsidR="00C61AB9" w:rsidRPr="00C61AB9" w:rsidRDefault="00C61AB9" w:rsidP="003478DE">
      <w:pPr>
        <w:jc w:val="both"/>
        <w:rPr>
          <w:rFonts w:cs="Arial"/>
          <w:sz w:val="22"/>
          <w:szCs w:val="22"/>
          <w:lang w:val="es-ES_tradnl"/>
        </w:rPr>
      </w:pPr>
      <w:r w:rsidRPr="00C61AB9">
        <w:rPr>
          <w:rFonts w:cs="Arial"/>
          <w:sz w:val="22"/>
          <w:szCs w:val="22"/>
          <w:lang w:val="es-ES_tradnl"/>
        </w:rPr>
        <w:t xml:space="preserve">Considerar el informe de la Secretaría y determinar en su 3ª y 4ª sesión si se necesitan más acciones específicas </w:t>
      </w:r>
      <w:r w:rsidR="002D0611">
        <w:rPr>
          <w:rFonts w:cs="Arial"/>
          <w:sz w:val="22"/>
          <w:szCs w:val="22"/>
          <w:lang w:val="es-ES_tradnl"/>
        </w:rPr>
        <w:t>respecto</w:t>
      </w:r>
      <w:r w:rsidRPr="00C61AB9">
        <w:rPr>
          <w:rFonts w:cs="Arial"/>
          <w:sz w:val="22"/>
          <w:szCs w:val="22"/>
          <w:lang w:val="es-ES_tradnl"/>
        </w:rPr>
        <w:t xml:space="preserve"> a la conservación del </w:t>
      </w:r>
      <w:r w:rsidR="00752DDF">
        <w:rPr>
          <w:rFonts w:cs="Arial"/>
          <w:sz w:val="22"/>
          <w:szCs w:val="22"/>
          <w:lang w:val="es-ES_tradnl"/>
        </w:rPr>
        <w:t>[</w:t>
      </w:r>
      <w:r w:rsidRPr="00C61AB9">
        <w:rPr>
          <w:rFonts w:cs="Arial"/>
          <w:iCs/>
          <w:sz w:val="22"/>
          <w:szCs w:val="22"/>
          <w:lang w:val="es-ES_tradnl"/>
        </w:rPr>
        <w:t>león africano</w:t>
      </w:r>
      <w:r w:rsidRPr="00C61AB9">
        <w:rPr>
          <w:rFonts w:cs="Arial"/>
          <w:sz w:val="22"/>
          <w:szCs w:val="22"/>
          <w:lang w:val="es-ES_tradnl"/>
        </w:rPr>
        <w:t xml:space="preserve"> (</w:t>
      </w:r>
      <w:r w:rsidRPr="00C61AB9">
        <w:rPr>
          <w:rFonts w:cs="Arial"/>
          <w:i/>
          <w:sz w:val="22"/>
          <w:szCs w:val="22"/>
          <w:lang w:val="es-ES_tradnl"/>
        </w:rPr>
        <w:t>Panthera leo</w:t>
      </w:r>
      <w:r w:rsidRPr="00C61AB9">
        <w:rPr>
          <w:rFonts w:cs="Arial"/>
          <w:sz w:val="22"/>
          <w:szCs w:val="22"/>
          <w:lang w:val="es-ES_tradnl"/>
        </w:rPr>
        <w:t>),] el guepardo (</w:t>
      </w:r>
      <w:r w:rsidRPr="00C61AB9">
        <w:rPr>
          <w:rFonts w:cs="Arial"/>
          <w:i/>
          <w:sz w:val="22"/>
          <w:szCs w:val="22"/>
          <w:lang w:val="es-ES_tradnl"/>
        </w:rPr>
        <w:t>Acinonyx jubatus</w:t>
      </w:r>
      <w:r w:rsidRPr="00C61AB9">
        <w:rPr>
          <w:rFonts w:cs="Arial"/>
          <w:sz w:val="22"/>
          <w:szCs w:val="22"/>
          <w:lang w:val="es-ES_tradnl"/>
        </w:rPr>
        <w:t>), [el leopardo (</w:t>
      </w:r>
      <w:r w:rsidRPr="00C61AB9">
        <w:rPr>
          <w:rFonts w:cs="Arial"/>
          <w:i/>
          <w:sz w:val="22"/>
          <w:szCs w:val="22"/>
          <w:lang w:val="es-ES_tradnl"/>
        </w:rPr>
        <w:t>Panthera pardus</w:t>
      </w:r>
      <w:r w:rsidRPr="00C61AB9">
        <w:rPr>
          <w:rFonts w:cs="Arial"/>
          <w:sz w:val="22"/>
          <w:szCs w:val="22"/>
          <w:lang w:val="es-ES_tradnl"/>
        </w:rPr>
        <w:t>)] y el licaón (</w:t>
      </w:r>
      <w:r w:rsidRPr="00C61AB9">
        <w:rPr>
          <w:rFonts w:cs="Arial"/>
          <w:i/>
          <w:sz w:val="22"/>
          <w:szCs w:val="22"/>
          <w:lang w:val="es-ES_tradnl"/>
        </w:rPr>
        <w:t>Lycaon pictus</w:t>
      </w:r>
      <w:r w:rsidRPr="00C61AB9">
        <w:rPr>
          <w:rFonts w:cs="Arial"/>
          <w:sz w:val="22"/>
          <w:szCs w:val="22"/>
          <w:lang w:val="es-ES_tradnl"/>
        </w:rPr>
        <w:t>)</w:t>
      </w:r>
      <w:r>
        <w:rPr>
          <w:rFonts w:cs="Arial"/>
          <w:sz w:val="22"/>
          <w:szCs w:val="22"/>
          <w:lang w:val="es-ES_tradnl"/>
        </w:rPr>
        <w:t xml:space="preserve"> a tr</w:t>
      </w:r>
      <w:r w:rsidR="00752DDF">
        <w:rPr>
          <w:rFonts w:cs="Arial"/>
          <w:sz w:val="22"/>
          <w:szCs w:val="22"/>
          <w:lang w:val="es-ES_tradnl"/>
        </w:rPr>
        <w:t>avés de la Iniciativa para los C</w:t>
      </w:r>
      <w:r>
        <w:rPr>
          <w:rFonts w:cs="Arial"/>
          <w:sz w:val="22"/>
          <w:szCs w:val="22"/>
          <w:lang w:val="es-ES_tradnl"/>
        </w:rPr>
        <w:t>arnívoros Africanos y formular recomendaciones al Comité Permanente en sus 48ª y 49ª reuniones, si procediera.</w:t>
      </w:r>
    </w:p>
    <w:p w14:paraId="6162453B" w14:textId="77777777" w:rsidR="007910DD" w:rsidRPr="00557212" w:rsidRDefault="007910DD" w:rsidP="007910DD">
      <w:pPr>
        <w:jc w:val="both"/>
        <w:rPr>
          <w:rFonts w:cs="Arial"/>
          <w:i/>
          <w:sz w:val="22"/>
          <w:szCs w:val="22"/>
          <w:highlight w:val="yellow"/>
          <w:lang w:val="es-ES_tradnl"/>
        </w:rPr>
      </w:pPr>
    </w:p>
    <w:p w14:paraId="2DF171DF" w14:textId="50E2A021" w:rsidR="008C3833" w:rsidRPr="008C3833" w:rsidRDefault="008C3833" w:rsidP="007910DD">
      <w:pPr>
        <w:jc w:val="both"/>
        <w:rPr>
          <w:rFonts w:cs="Arial"/>
          <w:b/>
          <w:i/>
          <w:sz w:val="22"/>
          <w:szCs w:val="22"/>
          <w:lang w:val="es-ES_tradnl"/>
        </w:rPr>
      </w:pPr>
      <w:r w:rsidRPr="008C3833">
        <w:rPr>
          <w:rFonts w:cs="Arial"/>
          <w:b/>
          <w:i/>
          <w:sz w:val="22"/>
          <w:szCs w:val="22"/>
          <w:lang w:val="es-ES_tradnl"/>
        </w:rPr>
        <w:t>Dirigidas a la Secretaría</w:t>
      </w:r>
    </w:p>
    <w:p w14:paraId="2965FCF2" w14:textId="77777777" w:rsidR="007910DD" w:rsidRPr="00557212" w:rsidRDefault="007910DD" w:rsidP="007910DD">
      <w:pPr>
        <w:jc w:val="both"/>
        <w:rPr>
          <w:rFonts w:cs="Arial"/>
          <w:sz w:val="22"/>
          <w:szCs w:val="22"/>
          <w:highlight w:val="yellow"/>
          <w:lang w:val="es-ES_tradnl"/>
        </w:rPr>
      </w:pPr>
    </w:p>
    <w:p w14:paraId="3E576E7C" w14:textId="5DED6BE1" w:rsidR="003D72AE" w:rsidRPr="00A87BC5" w:rsidRDefault="005C34A4" w:rsidP="007910DD">
      <w:pPr>
        <w:ind w:left="720" w:hanging="720"/>
        <w:jc w:val="both"/>
        <w:rPr>
          <w:rFonts w:cs="Arial"/>
          <w:sz w:val="22"/>
          <w:szCs w:val="22"/>
          <w:lang w:val="es-ES_tradnl"/>
        </w:rPr>
      </w:pPr>
      <w:r w:rsidRPr="00A87BC5">
        <w:rPr>
          <w:rFonts w:cs="Arial"/>
          <w:sz w:val="22"/>
          <w:szCs w:val="22"/>
          <w:lang w:val="es-ES_tradnl"/>
        </w:rPr>
        <w:t>12.FF</w:t>
      </w:r>
      <w:r w:rsidRPr="00A87BC5">
        <w:rPr>
          <w:rFonts w:cs="Arial"/>
          <w:sz w:val="22"/>
          <w:szCs w:val="22"/>
          <w:lang w:val="es-ES_tradnl"/>
        </w:rPr>
        <w:tab/>
      </w:r>
      <w:r w:rsidR="00A87BC5" w:rsidRPr="00A87BC5">
        <w:rPr>
          <w:rFonts w:cs="Arial"/>
          <w:sz w:val="22"/>
          <w:szCs w:val="22"/>
          <w:lang w:val="es-ES_tradnl"/>
        </w:rPr>
        <w:t>La</w:t>
      </w:r>
      <w:r w:rsidR="003D72AE" w:rsidRPr="00A87BC5">
        <w:rPr>
          <w:rFonts w:cs="Arial"/>
          <w:sz w:val="22"/>
          <w:szCs w:val="22"/>
          <w:lang w:val="es-ES_tradnl"/>
        </w:rPr>
        <w:t xml:space="preserve"> Secretaría deberá:</w:t>
      </w:r>
    </w:p>
    <w:p w14:paraId="15CD2A08" w14:textId="77777777" w:rsidR="007910DD" w:rsidRPr="00557212" w:rsidRDefault="007910DD" w:rsidP="007910DD">
      <w:pPr>
        <w:ind w:left="720" w:hanging="720"/>
        <w:jc w:val="both"/>
        <w:rPr>
          <w:rFonts w:cs="Arial"/>
          <w:iCs/>
          <w:sz w:val="22"/>
          <w:szCs w:val="22"/>
          <w:highlight w:val="yellow"/>
          <w:lang w:val="es-ES_tradnl"/>
        </w:rPr>
      </w:pPr>
    </w:p>
    <w:p w14:paraId="05DBAAD4" w14:textId="7A4F4472" w:rsidR="003465FE" w:rsidRDefault="003465FE" w:rsidP="007B7E25">
      <w:pPr>
        <w:numPr>
          <w:ilvl w:val="0"/>
          <w:numId w:val="9"/>
        </w:numPr>
        <w:jc w:val="both"/>
        <w:rPr>
          <w:rFonts w:cs="Arial"/>
          <w:sz w:val="22"/>
          <w:szCs w:val="22"/>
          <w:lang w:val="es-ES_tradnl"/>
        </w:rPr>
      </w:pPr>
      <w:r w:rsidRPr="003465FE">
        <w:rPr>
          <w:rFonts w:cs="Arial"/>
          <w:sz w:val="22"/>
          <w:szCs w:val="22"/>
          <w:lang w:val="es-ES_tradnl"/>
        </w:rPr>
        <w:t>Establecer la Iniciativa para los Carnívoros Africanos;</w:t>
      </w:r>
    </w:p>
    <w:p w14:paraId="5B76E3C5" w14:textId="77777777" w:rsidR="00321DA1" w:rsidRDefault="00321DA1" w:rsidP="00321DA1">
      <w:pPr>
        <w:jc w:val="both"/>
        <w:rPr>
          <w:rFonts w:cs="Arial"/>
          <w:sz w:val="22"/>
          <w:szCs w:val="22"/>
          <w:lang w:val="es-ES_tradnl"/>
        </w:rPr>
      </w:pPr>
    </w:p>
    <w:p w14:paraId="6B69C903" w14:textId="77777777" w:rsidR="005C34A4" w:rsidRPr="00557212" w:rsidRDefault="005C34A4" w:rsidP="004F0646">
      <w:pPr>
        <w:jc w:val="both"/>
        <w:rPr>
          <w:rFonts w:cs="Arial"/>
          <w:sz w:val="22"/>
          <w:szCs w:val="22"/>
          <w:highlight w:val="yellow"/>
          <w:lang w:val="es-ES_tradnl"/>
        </w:rPr>
      </w:pPr>
    </w:p>
    <w:p w14:paraId="4E01B3BD" w14:textId="6B1D14FB" w:rsidR="003465FE" w:rsidRDefault="00581A80" w:rsidP="007B7E25">
      <w:pPr>
        <w:numPr>
          <w:ilvl w:val="0"/>
          <w:numId w:val="9"/>
        </w:numPr>
        <w:jc w:val="both"/>
        <w:rPr>
          <w:rFonts w:cs="Arial"/>
          <w:sz w:val="22"/>
          <w:szCs w:val="22"/>
          <w:lang w:val="es-ES_tradnl"/>
        </w:rPr>
      </w:pPr>
      <w:r>
        <w:rPr>
          <w:rFonts w:cs="Arial"/>
          <w:sz w:val="22"/>
          <w:szCs w:val="22"/>
          <w:lang w:val="es-ES_tradnl"/>
        </w:rPr>
        <w:lastRenderedPageBreak/>
        <w:t>Apoyar, sujeta</w:t>
      </w:r>
      <w:r w:rsidR="003465FE" w:rsidRPr="003465FE">
        <w:rPr>
          <w:rFonts w:cs="Arial"/>
          <w:sz w:val="22"/>
          <w:szCs w:val="22"/>
          <w:lang w:val="es-ES_tradnl"/>
        </w:rPr>
        <w:t xml:space="preserve"> a la disponibilidad de recursos externos, a los países Partes del área de distribución del </w:t>
      </w:r>
      <w:r>
        <w:rPr>
          <w:rFonts w:cs="Arial"/>
          <w:sz w:val="22"/>
          <w:szCs w:val="22"/>
          <w:lang w:val="es-ES_tradnl"/>
        </w:rPr>
        <w:t>[</w:t>
      </w:r>
      <w:r w:rsidR="003465FE" w:rsidRPr="003465FE">
        <w:rPr>
          <w:rFonts w:cs="Arial"/>
          <w:iCs/>
          <w:sz w:val="22"/>
          <w:szCs w:val="22"/>
          <w:lang w:val="es-ES_tradnl"/>
        </w:rPr>
        <w:t>león africano</w:t>
      </w:r>
      <w:r w:rsidR="003465FE" w:rsidRPr="003465FE">
        <w:rPr>
          <w:rFonts w:cs="Arial"/>
          <w:sz w:val="22"/>
          <w:szCs w:val="22"/>
          <w:lang w:val="es-ES_tradnl"/>
        </w:rPr>
        <w:t xml:space="preserve"> (</w:t>
      </w:r>
      <w:r w:rsidR="003465FE" w:rsidRPr="003465FE">
        <w:rPr>
          <w:rFonts w:cs="Arial"/>
          <w:i/>
          <w:sz w:val="22"/>
          <w:szCs w:val="22"/>
          <w:lang w:val="es-ES_tradnl"/>
        </w:rPr>
        <w:t>Panthera leo</w:t>
      </w:r>
      <w:r w:rsidR="003465FE" w:rsidRPr="003465FE">
        <w:rPr>
          <w:rFonts w:cs="Arial"/>
          <w:sz w:val="22"/>
          <w:szCs w:val="22"/>
          <w:lang w:val="es-ES_tradnl"/>
        </w:rPr>
        <w:t>),] el guepardo (</w:t>
      </w:r>
      <w:r w:rsidR="003465FE" w:rsidRPr="003465FE">
        <w:rPr>
          <w:rFonts w:cs="Arial"/>
          <w:i/>
          <w:sz w:val="22"/>
          <w:szCs w:val="22"/>
          <w:lang w:val="es-ES_tradnl"/>
        </w:rPr>
        <w:t>Acinonyx jubatus</w:t>
      </w:r>
      <w:r w:rsidR="003465FE" w:rsidRPr="003465FE">
        <w:rPr>
          <w:rFonts w:cs="Arial"/>
          <w:sz w:val="22"/>
          <w:szCs w:val="22"/>
          <w:lang w:val="es-ES_tradnl"/>
        </w:rPr>
        <w:t>), [el leopardo (</w:t>
      </w:r>
      <w:r w:rsidR="003465FE" w:rsidRPr="003465FE">
        <w:rPr>
          <w:rFonts w:cs="Arial"/>
          <w:i/>
          <w:sz w:val="22"/>
          <w:szCs w:val="22"/>
          <w:lang w:val="es-ES_tradnl"/>
        </w:rPr>
        <w:t>Panthera pardus</w:t>
      </w:r>
      <w:r w:rsidR="003465FE" w:rsidRPr="003465FE">
        <w:rPr>
          <w:rFonts w:cs="Arial"/>
          <w:sz w:val="22"/>
          <w:szCs w:val="22"/>
          <w:lang w:val="es-ES_tradnl"/>
        </w:rPr>
        <w:t>)] y el licaón (</w:t>
      </w:r>
      <w:r w:rsidR="003465FE" w:rsidRPr="003465FE">
        <w:rPr>
          <w:rFonts w:cs="Arial"/>
          <w:i/>
          <w:sz w:val="22"/>
          <w:szCs w:val="22"/>
          <w:lang w:val="es-ES_tradnl"/>
        </w:rPr>
        <w:t>Lycaon pictus</w:t>
      </w:r>
      <w:r w:rsidR="003465FE" w:rsidRPr="003465FE">
        <w:rPr>
          <w:rFonts w:cs="Arial"/>
          <w:sz w:val="22"/>
          <w:szCs w:val="22"/>
          <w:lang w:val="es-ES_tradnl"/>
        </w:rPr>
        <w:t>)</w:t>
      </w:r>
      <w:r w:rsidR="003465FE">
        <w:rPr>
          <w:rFonts w:cs="Arial"/>
          <w:sz w:val="22"/>
          <w:szCs w:val="22"/>
          <w:lang w:val="es-ES_tradnl"/>
        </w:rPr>
        <w:t xml:space="preserve"> </w:t>
      </w:r>
      <w:r>
        <w:rPr>
          <w:rFonts w:cs="Arial"/>
          <w:sz w:val="22"/>
          <w:szCs w:val="22"/>
          <w:lang w:val="es-ES_tradnl"/>
        </w:rPr>
        <w:t>en la implementación de la iniciativa</w:t>
      </w:r>
      <w:r w:rsidR="003465FE">
        <w:rPr>
          <w:rFonts w:cs="Arial"/>
          <w:sz w:val="22"/>
          <w:szCs w:val="22"/>
          <w:lang w:val="es-ES_tradnl"/>
        </w:rPr>
        <w:t>; y</w:t>
      </w:r>
    </w:p>
    <w:p w14:paraId="352331F6" w14:textId="77777777" w:rsidR="003465FE" w:rsidRPr="00557212" w:rsidRDefault="003465FE" w:rsidP="003465FE">
      <w:pPr>
        <w:jc w:val="both"/>
        <w:rPr>
          <w:rFonts w:cs="Arial"/>
          <w:sz w:val="22"/>
          <w:szCs w:val="22"/>
          <w:highlight w:val="yellow"/>
          <w:lang w:val="es-ES_tradnl"/>
        </w:rPr>
      </w:pPr>
    </w:p>
    <w:p w14:paraId="22408362" w14:textId="0F1E94B5" w:rsidR="003465FE" w:rsidRPr="003465FE" w:rsidRDefault="003465FE" w:rsidP="007B7E25">
      <w:pPr>
        <w:numPr>
          <w:ilvl w:val="0"/>
          <w:numId w:val="9"/>
        </w:numPr>
        <w:jc w:val="both"/>
        <w:rPr>
          <w:rFonts w:cs="Arial"/>
          <w:sz w:val="22"/>
          <w:szCs w:val="22"/>
          <w:lang w:val="es-ES_tradnl"/>
        </w:rPr>
      </w:pPr>
      <w:r w:rsidRPr="003465FE">
        <w:rPr>
          <w:rFonts w:cs="Arial"/>
          <w:sz w:val="22"/>
          <w:szCs w:val="22"/>
          <w:lang w:val="es-ES_tradnl"/>
        </w:rPr>
        <w:t>Informar al Comité de</w:t>
      </w:r>
      <w:r w:rsidR="008E718E">
        <w:rPr>
          <w:rFonts w:cs="Arial"/>
          <w:sz w:val="22"/>
          <w:szCs w:val="22"/>
          <w:lang w:val="es-ES_tradnl"/>
        </w:rPr>
        <w:t>l</w:t>
      </w:r>
      <w:r w:rsidRPr="003465FE">
        <w:rPr>
          <w:rFonts w:cs="Arial"/>
          <w:sz w:val="22"/>
          <w:szCs w:val="22"/>
          <w:lang w:val="es-ES_tradnl"/>
        </w:rPr>
        <w:t xml:space="preserve"> periodo de sesiones del Consejo Científico en su 3ª y</w:t>
      </w:r>
      <w:r w:rsidR="00E04C0B">
        <w:rPr>
          <w:rFonts w:cs="Arial"/>
          <w:sz w:val="22"/>
          <w:szCs w:val="22"/>
          <w:lang w:val="es-ES_tradnl"/>
        </w:rPr>
        <w:t>4ª sesión</w:t>
      </w:r>
      <w:bookmarkStart w:id="0" w:name="_GoBack"/>
      <w:bookmarkEnd w:id="0"/>
      <w:r w:rsidR="00E04C0B">
        <w:rPr>
          <w:rFonts w:cs="Arial"/>
          <w:sz w:val="22"/>
          <w:szCs w:val="22"/>
          <w:lang w:val="es-ES_tradnl"/>
        </w:rPr>
        <w:t xml:space="preserve"> y a</w:t>
      </w:r>
      <w:r w:rsidRPr="003465FE">
        <w:rPr>
          <w:rFonts w:cs="Arial"/>
          <w:sz w:val="22"/>
          <w:szCs w:val="22"/>
          <w:lang w:val="es-ES_tradnl"/>
        </w:rPr>
        <w:t>l Comité P</w:t>
      </w:r>
      <w:r w:rsidR="00E04C0B">
        <w:rPr>
          <w:rFonts w:cs="Arial"/>
          <w:sz w:val="22"/>
          <w:szCs w:val="22"/>
          <w:lang w:val="es-ES_tradnl"/>
        </w:rPr>
        <w:t>ermanente en</w:t>
      </w:r>
      <w:r w:rsidRPr="003465FE">
        <w:rPr>
          <w:rFonts w:cs="Arial"/>
          <w:sz w:val="22"/>
          <w:szCs w:val="22"/>
          <w:lang w:val="es-ES_tradnl"/>
        </w:rPr>
        <w:t xml:space="preserve"> su 48ª y 49ª reunión sobre el progreso en la implementación de estas decisiones.</w:t>
      </w:r>
    </w:p>
    <w:p w14:paraId="533335FE" w14:textId="403DB26A" w:rsidR="0079075D" w:rsidRPr="00557212" w:rsidRDefault="0079075D" w:rsidP="003465FE">
      <w:pPr>
        <w:ind w:left="720"/>
        <w:jc w:val="both"/>
        <w:rPr>
          <w:rFonts w:cs="Arial"/>
          <w:sz w:val="22"/>
          <w:szCs w:val="22"/>
          <w:highlight w:val="yellow"/>
          <w:lang w:val="es-ES_tradnl"/>
        </w:rPr>
      </w:pPr>
    </w:p>
    <w:sectPr w:rsidR="0079075D" w:rsidRPr="00557212" w:rsidSect="00AC7FB5">
      <w:headerReference w:type="even" r:id="rId43"/>
      <w:headerReference w:type="default" r:id="rId44"/>
      <w:headerReference w:type="first" r:id="rId45"/>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59363" w14:textId="77777777" w:rsidR="00FA5354" w:rsidRDefault="00FA5354">
      <w:r>
        <w:separator/>
      </w:r>
    </w:p>
  </w:endnote>
  <w:endnote w:type="continuationSeparator" w:id="0">
    <w:p w14:paraId="5839A830" w14:textId="77777777" w:rsidR="00FA5354" w:rsidRDefault="00FA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Univers LT Std 39 Thin UltraCn">
    <w:altName w:val="Univers LT Std 39 Thin UltraCn"/>
    <w:panose1 w:val="00000000000000000000"/>
    <w:charset w:val="00"/>
    <w:family w:val="swiss"/>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09227" w14:textId="1EB8B574" w:rsidR="00FA5354" w:rsidRPr="00922791" w:rsidRDefault="00FA5354"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5E1867">
      <w:rPr>
        <w:rFonts w:cs="Arial"/>
        <w:noProof/>
        <w:szCs w:val="18"/>
      </w:rPr>
      <w:t>10</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11E96" w14:textId="7663BFB6" w:rsidR="00FA5354" w:rsidRPr="003A0E83" w:rsidRDefault="00FA5354" w:rsidP="00056DC1">
    <w:pPr>
      <w:pStyle w:val="Footer"/>
      <w:ind w:right="-367"/>
      <w:jc w:val="center"/>
      <w:rPr>
        <w:rFonts w:cs="Arial"/>
        <w:szCs w:val="18"/>
      </w:rPr>
    </w:pPr>
    <w:r w:rsidRPr="003A0E83">
      <w:rPr>
        <w:rFonts w:cs="Arial"/>
        <w:szCs w:val="18"/>
      </w:rPr>
      <w:fldChar w:fldCharType="begin"/>
    </w:r>
    <w:r w:rsidRPr="003A0E83">
      <w:rPr>
        <w:rFonts w:cs="Arial"/>
        <w:szCs w:val="18"/>
      </w:rPr>
      <w:instrText xml:space="preserve"> PAGE   \* MERGEFORMAT </w:instrText>
    </w:r>
    <w:r w:rsidRPr="003A0E83">
      <w:rPr>
        <w:rFonts w:cs="Arial"/>
        <w:szCs w:val="18"/>
      </w:rPr>
      <w:fldChar w:fldCharType="separate"/>
    </w:r>
    <w:r w:rsidR="005E1867">
      <w:rPr>
        <w:rFonts w:cs="Arial"/>
        <w:noProof/>
        <w:szCs w:val="18"/>
      </w:rPr>
      <w:t>11</w:t>
    </w:r>
    <w:r w:rsidRPr="003A0E83">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66A2F" w14:textId="77777777" w:rsidR="00FA5354" w:rsidRPr="00CD7355" w:rsidRDefault="00FA5354"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D841" w14:textId="0ADCF534" w:rsidR="00FA5354" w:rsidRPr="003A0E83" w:rsidRDefault="00FA5354" w:rsidP="003A0E83">
    <w:pPr>
      <w:pStyle w:val="Footer"/>
      <w:tabs>
        <w:tab w:val="clear" w:pos="8640"/>
        <w:tab w:val="right" w:pos="9083"/>
      </w:tabs>
      <w:rPr>
        <w:rFonts w:cs="Arial"/>
        <w:szCs w:val="18"/>
      </w:rPr>
    </w:pPr>
    <w:r w:rsidRPr="003A0E83">
      <w:rPr>
        <w:rFonts w:cs="Arial"/>
        <w:noProof/>
        <w:szCs w:val="18"/>
      </w:rPr>
      <w:tab/>
    </w:r>
    <w:r w:rsidRPr="003A0E83">
      <w:rPr>
        <w:rFonts w:cs="Arial"/>
        <w:szCs w:val="18"/>
      </w:rPr>
      <w:fldChar w:fldCharType="begin"/>
    </w:r>
    <w:r w:rsidRPr="003A0E83">
      <w:rPr>
        <w:rFonts w:cs="Arial"/>
        <w:szCs w:val="18"/>
      </w:rPr>
      <w:instrText xml:space="preserve"> PAGE   \* MERGEFORMAT </w:instrText>
    </w:r>
    <w:r w:rsidRPr="003A0E83">
      <w:rPr>
        <w:rFonts w:cs="Arial"/>
        <w:szCs w:val="18"/>
      </w:rPr>
      <w:fldChar w:fldCharType="separate"/>
    </w:r>
    <w:r w:rsidR="005E1867">
      <w:rPr>
        <w:rFonts w:cs="Arial"/>
        <w:noProof/>
        <w:szCs w:val="18"/>
      </w:rPr>
      <w:t>14</w:t>
    </w:r>
    <w:r w:rsidRPr="003A0E83">
      <w:rPr>
        <w:rFonts w:cs="Arial"/>
        <w:noProof/>
        <w:szCs w:val="18"/>
      </w:rPr>
      <w:fldChar w:fldCharType="end"/>
    </w:r>
    <w:r w:rsidRPr="003A0E83">
      <w:rPr>
        <w:rFonts w:cs="Arial"/>
        <w:noProof/>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21756" w14:textId="77777777" w:rsidR="00FA5354" w:rsidRDefault="00FA5354">
      <w:r>
        <w:separator/>
      </w:r>
    </w:p>
  </w:footnote>
  <w:footnote w:type="continuationSeparator" w:id="0">
    <w:p w14:paraId="2C710A84" w14:textId="77777777" w:rsidR="00FA5354" w:rsidRDefault="00FA5354">
      <w:r>
        <w:continuationSeparator/>
      </w:r>
    </w:p>
  </w:footnote>
  <w:footnote w:id="1">
    <w:p w14:paraId="0B50DFB4" w14:textId="77777777" w:rsidR="00FA5354" w:rsidRPr="00BC7FA9" w:rsidRDefault="00FA5354" w:rsidP="00FA5354">
      <w:pPr>
        <w:pStyle w:val="FootnoteText"/>
        <w:rPr>
          <w:sz w:val="16"/>
          <w:szCs w:val="16"/>
          <w:lang w:val="es-ES"/>
        </w:rPr>
      </w:pPr>
      <w:r w:rsidRPr="00897DA9">
        <w:rPr>
          <w:rStyle w:val="FootnoteReference"/>
          <w:sz w:val="20"/>
          <w:vertAlign w:val="superscript"/>
        </w:rPr>
        <w:footnoteRef/>
      </w:r>
      <w:r w:rsidRPr="00BC7FA9">
        <w:rPr>
          <w:sz w:val="20"/>
          <w:vertAlign w:val="superscript"/>
          <w:lang w:val="es-ES"/>
        </w:rPr>
        <w:t xml:space="preserve"> </w:t>
      </w:r>
      <w:r w:rsidRPr="00BC7FA9">
        <w:rPr>
          <w:bCs/>
          <w:sz w:val="16"/>
          <w:szCs w:val="16"/>
          <w:lang w:val="es-ES"/>
        </w:rPr>
        <w:t>Véase la lista de resoluciones y decisiones en el apartado 9 de este documento.</w:t>
      </w:r>
    </w:p>
  </w:footnote>
  <w:footnote w:id="2">
    <w:p w14:paraId="38A2B0B1" w14:textId="77777777" w:rsidR="00FA5354" w:rsidRPr="00BC7FA9" w:rsidRDefault="00FA5354" w:rsidP="00FA5354">
      <w:pPr>
        <w:pStyle w:val="FootnoteText"/>
        <w:rPr>
          <w:rFonts w:cs="Arial"/>
          <w:sz w:val="16"/>
          <w:szCs w:val="16"/>
          <w:lang w:val="es-ES"/>
        </w:rPr>
      </w:pPr>
      <w:r w:rsidRPr="004E64EB">
        <w:rPr>
          <w:rStyle w:val="FootnoteReference"/>
          <w:rFonts w:cs="Arial"/>
          <w:sz w:val="20"/>
          <w:vertAlign w:val="superscript"/>
        </w:rPr>
        <w:footnoteRef/>
      </w:r>
      <w:r w:rsidRPr="00BC7FA9">
        <w:rPr>
          <w:rFonts w:cs="Arial"/>
          <w:sz w:val="16"/>
          <w:szCs w:val="16"/>
          <w:lang w:val="es-ES"/>
        </w:rPr>
        <w:t xml:space="preserve"> Se alienta a las Partes y a otras partes interesadas a identificar y emprender actividades dirigidas la implementación de acciones concertadas y cooperativas para mejorar el estado de conservación de especies incluidas en las listas, en particular la preparación de planes de acción durante el trienio 2015-2017.</w:t>
      </w:r>
    </w:p>
  </w:footnote>
  <w:footnote w:id="3">
    <w:p w14:paraId="546147E6" w14:textId="77777777" w:rsidR="00FA5354" w:rsidRPr="007F0418" w:rsidRDefault="00FA5354" w:rsidP="00FA5354">
      <w:pPr>
        <w:pStyle w:val="FootnoteText"/>
        <w:rPr>
          <w:sz w:val="16"/>
          <w:szCs w:val="16"/>
        </w:rPr>
      </w:pPr>
      <w:r w:rsidRPr="00AF2E59">
        <w:rPr>
          <w:rStyle w:val="FootnoteReference"/>
          <w:sz w:val="20"/>
          <w:vertAlign w:val="superscript"/>
        </w:rPr>
        <w:footnoteRef/>
      </w:r>
      <w:r w:rsidRPr="007F0418">
        <w:rPr>
          <w:sz w:val="16"/>
          <w:szCs w:val="16"/>
        </w:rPr>
        <w:t xml:space="preserve"> </w:t>
      </w:r>
      <w:r w:rsidRPr="00BE01F9">
        <w:rPr>
          <w:sz w:val="16"/>
          <w:szCs w:val="16"/>
        </w:rPr>
        <w:t>Sarah</w:t>
      </w:r>
      <w:r w:rsidRPr="007F0418">
        <w:rPr>
          <w:sz w:val="16"/>
          <w:szCs w:val="16"/>
        </w:rPr>
        <w:t xml:space="preserve"> Durant </w:t>
      </w:r>
      <w:r w:rsidRPr="00BE01F9">
        <w:rPr>
          <w:i/>
          <w:sz w:val="16"/>
          <w:szCs w:val="16"/>
        </w:rPr>
        <w:t>et al</w:t>
      </w:r>
      <w:r w:rsidRPr="007F0418">
        <w:rPr>
          <w:sz w:val="16"/>
          <w:szCs w:val="16"/>
        </w:rPr>
        <w:t xml:space="preserve">., ‘The global decline of cheetah </w:t>
      </w:r>
      <w:r w:rsidRPr="00BE01F9">
        <w:rPr>
          <w:i/>
          <w:sz w:val="16"/>
          <w:szCs w:val="16"/>
        </w:rPr>
        <w:t>Acinonyx jubatus</w:t>
      </w:r>
      <w:r w:rsidRPr="007F0418">
        <w:rPr>
          <w:sz w:val="16"/>
          <w:szCs w:val="16"/>
        </w:rPr>
        <w:t xml:space="preserve"> and what it means for conservation’ </w:t>
      </w:r>
      <w:r>
        <w:rPr>
          <w:sz w:val="16"/>
          <w:szCs w:val="16"/>
        </w:rPr>
        <w:t>en</w:t>
      </w:r>
      <w:r w:rsidRPr="007F0418">
        <w:rPr>
          <w:sz w:val="16"/>
          <w:szCs w:val="16"/>
        </w:rPr>
        <w:t xml:space="preserve"> PNAS, </w:t>
      </w:r>
      <w:r>
        <w:rPr>
          <w:sz w:val="16"/>
          <w:szCs w:val="16"/>
        </w:rPr>
        <w:t>noviembre de</w:t>
      </w:r>
      <w:r w:rsidRPr="007F0418">
        <w:rPr>
          <w:sz w:val="16"/>
          <w:szCs w:val="16"/>
        </w:rPr>
        <w:t xml:space="preserve"> 2016</w:t>
      </w:r>
      <w:r>
        <w:rPr>
          <w:sz w:val="16"/>
          <w:szCs w:val="16"/>
        </w:rPr>
        <w:t>.</w:t>
      </w:r>
    </w:p>
  </w:footnote>
  <w:footnote w:id="4">
    <w:p w14:paraId="331014FA" w14:textId="77777777" w:rsidR="00FA5354" w:rsidRPr="00A32672" w:rsidRDefault="00FA5354" w:rsidP="00FA5354">
      <w:pPr>
        <w:pStyle w:val="FootnoteText"/>
        <w:rPr>
          <w:sz w:val="16"/>
          <w:szCs w:val="16"/>
        </w:rPr>
      </w:pPr>
      <w:r w:rsidRPr="00A32672">
        <w:rPr>
          <w:rStyle w:val="FootnoteReference"/>
          <w:sz w:val="20"/>
          <w:vertAlign w:val="superscript"/>
        </w:rPr>
        <w:footnoteRef/>
      </w:r>
      <w:r w:rsidRPr="00A32672">
        <w:rPr>
          <w:sz w:val="16"/>
          <w:szCs w:val="16"/>
        </w:rPr>
        <w:t xml:space="preserve"> </w:t>
      </w:r>
      <w:r w:rsidRPr="00BE01F9">
        <w:rPr>
          <w:sz w:val="16"/>
          <w:szCs w:val="16"/>
        </w:rPr>
        <w:t>Sarah</w:t>
      </w:r>
      <w:r w:rsidRPr="007F0418">
        <w:rPr>
          <w:sz w:val="16"/>
          <w:szCs w:val="16"/>
        </w:rPr>
        <w:t xml:space="preserve"> Durant </w:t>
      </w:r>
      <w:r w:rsidRPr="00BE01F9">
        <w:rPr>
          <w:i/>
          <w:sz w:val="16"/>
          <w:szCs w:val="16"/>
        </w:rPr>
        <w:t>et al</w:t>
      </w:r>
      <w:r w:rsidRPr="007F0418">
        <w:rPr>
          <w:sz w:val="16"/>
          <w:szCs w:val="16"/>
        </w:rPr>
        <w:t xml:space="preserve">., ‘The global decline of cheetah </w:t>
      </w:r>
      <w:r w:rsidRPr="00BE01F9">
        <w:rPr>
          <w:i/>
          <w:sz w:val="16"/>
          <w:szCs w:val="16"/>
        </w:rPr>
        <w:t>Acinonyx jubatus</w:t>
      </w:r>
      <w:r w:rsidRPr="007F0418">
        <w:rPr>
          <w:sz w:val="16"/>
          <w:szCs w:val="16"/>
        </w:rPr>
        <w:t xml:space="preserve"> and what it means for conservation’ </w:t>
      </w:r>
      <w:r>
        <w:rPr>
          <w:sz w:val="16"/>
          <w:szCs w:val="16"/>
        </w:rPr>
        <w:t>en</w:t>
      </w:r>
      <w:r w:rsidRPr="007F0418">
        <w:rPr>
          <w:sz w:val="16"/>
          <w:szCs w:val="16"/>
        </w:rPr>
        <w:t xml:space="preserve"> PNAS, </w:t>
      </w:r>
      <w:r>
        <w:rPr>
          <w:sz w:val="16"/>
          <w:szCs w:val="16"/>
        </w:rPr>
        <w:t>noviembre de</w:t>
      </w:r>
      <w:r w:rsidRPr="007F0418">
        <w:rPr>
          <w:sz w:val="16"/>
          <w:szCs w:val="16"/>
        </w:rPr>
        <w:t xml:space="preserve"> 2016</w:t>
      </w:r>
      <w:r>
        <w:rPr>
          <w:sz w:val="16"/>
          <w:szCs w:val="16"/>
        </w:rPr>
        <w:t>.</w:t>
      </w:r>
    </w:p>
  </w:footnote>
  <w:footnote w:id="5">
    <w:p w14:paraId="0B018D2C" w14:textId="77777777" w:rsidR="00FA5354" w:rsidRPr="00BC7FA9" w:rsidRDefault="00FA5354" w:rsidP="00FA5354">
      <w:pPr>
        <w:pStyle w:val="FootnoteText"/>
        <w:rPr>
          <w:rFonts w:cs="Arial"/>
          <w:sz w:val="16"/>
          <w:szCs w:val="16"/>
          <w:lang w:val="es-ES"/>
        </w:rPr>
      </w:pPr>
      <w:r w:rsidRPr="00A32672">
        <w:rPr>
          <w:rStyle w:val="FootnoteReference"/>
          <w:rFonts w:cs="Arial"/>
          <w:sz w:val="16"/>
          <w:szCs w:val="16"/>
          <w:vertAlign w:val="superscript"/>
        </w:rPr>
        <w:footnoteRef/>
      </w:r>
      <w:r w:rsidRPr="00BC7FA9">
        <w:rPr>
          <w:rFonts w:cs="Arial"/>
          <w:sz w:val="16"/>
          <w:szCs w:val="16"/>
          <w:vertAlign w:val="superscript"/>
          <w:lang w:val="es-ES"/>
        </w:rPr>
        <w:t xml:space="preserve"> </w:t>
      </w:r>
      <w:r w:rsidRPr="00BC7FA9">
        <w:rPr>
          <w:rFonts w:cs="Arial"/>
          <w:sz w:val="16"/>
          <w:szCs w:val="16"/>
          <w:lang w:val="es-ES"/>
        </w:rPr>
        <w:t xml:space="preserve">Véase </w:t>
      </w:r>
      <w:hyperlink r:id="rId1" w:history="1">
        <w:r w:rsidRPr="00BC7FA9">
          <w:rPr>
            <w:rStyle w:val="Hyperlink"/>
            <w:rFonts w:cs="Arial"/>
            <w:sz w:val="16"/>
            <w:szCs w:val="16"/>
            <w:lang w:val="es-ES"/>
          </w:rPr>
          <w:t>https://www.panthera.org/cat/leopard</w:t>
        </w:r>
      </w:hyperlink>
      <w:r w:rsidRPr="00BC7FA9">
        <w:rPr>
          <w:rFonts w:cs="Arial"/>
          <w:sz w:val="16"/>
          <w:szCs w:val="16"/>
          <w:lang w:val="es-ES"/>
        </w:rPr>
        <w:t xml:space="preserve"> el 19 de enero de 2017.</w:t>
      </w:r>
    </w:p>
  </w:footnote>
  <w:footnote w:id="6">
    <w:p w14:paraId="559175FF" w14:textId="77777777" w:rsidR="00FA5354" w:rsidRPr="00BC7FA9" w:rsidRDefault="00FA5354" w:rsidP="00FA5354">
      <w:pPr>
        <w:pStyle w:val="FootnoteText"/>
        <w:rPr>
          <w:rFonts w:cs="Arial"/>
          <w:sz w:val="16"/>
          <w:szCs w:val="16"/>
          <w:lang w:val="es-ES"/>
        </w:rPr>
      </w:pPr>
      <w:r w:rsidRPr="00BE01F9">
        <w:rPr>
          <w:rStyle w:val="FootnoteReference"/>
          <w:rFonts w:cs="Arial"/>
          <w:sz w:val="20"/>
          <w:vertAlign w:val="superscript"/>
        </w:rPr>
        <w:footnoteRef/>
      </w:r>
      <w:r w:rsidRPr="00BC7FA9">
        <w:rPr>
          <w:rFonts w:cs="Arial"/>
          <w:sz w:val="16"/>
          <w:szCs w:val="16"/>
          <w:lang w:val="es-ES"/>
        </w:rPr>
        <w:t xml:space="preserve"> Utilizando los estándares de la Lista Roja de la UICN.</w:t>
      </w:r>
    </w:p>
  </w:footnote>
  <w:footnote w:id="7">
    <w:p w14:paraId="4868AD80" w14:textId="77777777" w:rsidR="00FA5354" w:rsidRPr="00BC7FA9" w:rsidRDefault="00FA5354" w:rsidP="00FA5354">
      <w:pPr>
        <w:pStyle w:val="FootnoteText"/>
        <w:rPr>
          <w:lang w:val="es-ES"/>
        </w:rPr>
      </w:pPr>
      <w:r w:rsidRPr="00BE01F9">
        <w:rPr>
          <w:rStyle w:val="FootnoteReference"/>
          <w:rFonts w:cs="Arial"/>
          <w:sz w:val="20"/>
          <w:vertAlign w:val="superscript"/>
        </w:rPr>
        <w:footnoteRef/>
      </w:r>
      <w:r w:rsidRPr="00BC7FA9">
        <w:rPr>
          <w:rFonts w:cs="Arial"/>
          <w:sz w:val="20"/>
          <w:vertAlign w:val="superscript"/>
          <w:lang w:val="es-ES"/>
        </w:rPr>
        <w:t xml:space="preserve"> </w:t>
      </w:r>
      <w:r w:rsidRPr="00BC7FA9">
        <w:rPr>
          <w:rFonts w:cs="Arial"/>
          <w:sz w:val="16"/>
          <w:szCs w:val="16"/>
          <w:lang w:val="es-ES"/>
        </w:rPr>
        <w:t>Utilizando los estándares de planificación estratégica de la UICN.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E331" w14:textId="77777777" w:rsidR="00FA5354" w:rsidRPr="00922791" w:rsidRDefault="00FA5354"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6E843" w14:textId="2A54F073" w:rsidR="00FA5354" w:rsidRPr="003A0E83" w:rsidRDefault="00FA5354" w:rsidP="003A0E83">
    <w:pPr>
      <w:pStyle w:val="Header"/>
      <w:pBdr>
        <w:bottom w:val="single" w:sz="4" w:space="1" w:color="auto"/>
      </w:pBdr>
      <w:rPr>
        <w:rFonts w:cs="Arial"/>
        <w:i/>
        <w:szCs w:val="18"/>
        <w:lang w:val="en-AU"/>
      </w:rPr>
    </w:pPr>
    <w:r w:rsidRPr="003A0E83">
      <w:rPr>
        <w:rFonts w:cs="Arial"/>
        <w:i/>
        <w:szCs w:val="18"/>
        <w:lang w:val="en-AU"/>
      </w:rPr>
      <w:t>UNEP/CMS/COP12/Doc.24.3.1</w:t>
    </w:r>
    <w:r>
      <w:rPr>
        <w:rFonts w:cs="Arial"/>
        <w:i/>
        <w:szCs w:val="18"/>
        <w:lang w:val="en-AU"/>
      </w:rPr>
      <w:t>.1/Anexo 2</w:t>
    </w:r>
  </w:p>
  <w:p w14:paraId="10D924FD" w14:textId="77777777" w:rsidR="00FA5354" w:rsidRPr="003A0E83" w:rsidRDefault="00FA5354" w:rsidP="007F31CD">
    <w:pPr>
      <w:rPr>
        <w:i/>
        <w:sz w:val="20"/>
        <w:szCs w:val="20"/>
        <w:lang w:val="en-A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E587A" w14:textId="3AB9A952" w:rsidR="005E1867" w:rsidRPr="003A0E83" w:rsidRDefault="005E1867" w:rsidP="00D70335">
    <w:pPr>
      <w:pStyle w:val="Header"/>
      <w:pBdr>
        <w:bottom w:val="single" w:sz="4" w:space="1" w:color="auto"/>
      </w:pBdr>
      <w:jc w:val="right"/>
      <w:rPr>
        <w:rFonts w:cs="Arial"/>
        <w:i/>
        <w:szCs w:val="18"/>
        <w:lang w:val="en-AU"/>
      </w:rPr>
    </w:pPr>
    <w:r w:rsidRPr="003A0E83">
      <w:rPr>
        <w:rFonts w:cs="Arial"/>
        <w:i/>
        <w:szCs w:val="18"/>
        <w:lang w:val="en-AU"/>
      </w:rPr>
      <w:t>U</w:t>
    </w:r>
    <w:r>
      <w:rPr>
        <w:rFonts w:cs="Arial"/>
        <w:i/>
        <w:szCs w:val="18"/>
        <w:lang w:val="en-AU"/>
      </w:rPr>
      <w:t>NEP/CMS/COP12/Doc.24.3.1.1/Ane</w:t>
    </w:r>
    <w:r w:rsidRPr="003A0E83">
      <w:rPr>
        <w:rFonts w:cs="Arial"/>
        <w:i/>
        <w:szCs w:val="18"/>
        <w:lang w:val="en-AU"/>
      </w:rPr>
      <w:t>x</w:t>
    </w:r>
    <w:r>
      <w:rPr>
        <w:rFonts w:cs="Arial"/>
        <w:i/>
        <w:szCs w:val="18"/>
        <w:lang w:val="en-AU"/>
      </w:rPr>
      <w:t>o</w:t>
    </w:r>
    <w:r w:rsidRPr="003A0E83">
      <w:rPr>
        <w:rFonts w:cs="Arial"/>
        <w:i/>
        <w:szCs w:val="18"/>
        <w:lang w:val="en-AU"/>
      </w:rPr>
      <w:t xml:space="preserve"> </w:t>
    </w:r>
    <w:r>
      <w:rPr>
        <w:rFonts w:cs="Arial"/>
        <w:i/>
        <w:szCs w:val="18"/>
        <w:lang w:val="en-AU"/>
      </w:rPr>
      <w:t>2</w:t>
    </w:r>
  </w:p>
  <w:p w14:paraId="2204FE83" w14:textId="77777777" w:rsidR="005E1867" w:rsidRPr="003A0E83" w:rsidRDefault="005E1867" w:rsidP="00A27BE3">
    <w:pPr>
      <w:jc w:val="right"/>
      <w:rPr>
        <w:i/>
        <w:szCs w:val="20"/>
        <w:lang w:val="en-AU"/>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07D7C" w14:textId="5AC523FE" w:rsidR="00FA5354" w:rsidRPr="003A0E83" w:rsidRDefault="00FA5354" w:rsidP="005E1867">
    <w:pPr>
      <w:pStyle w:val="Header"/>
      <w:pBdr>
        <w:bottom w:val="single" w:sz="4" w:space="1" w:color="auto"/>
      </w:pBdr>
      <w:rPr>
        <w:rFonts w:cs="Arial"/>
        <w:i/>
        <w:szCs w:val="18"/>
        <w:lang w:val="en-AU"/>
      </w:rPr>
    </w:pPr>
    <w:r w:rsidRPr="003A0E83">
      <w:rPr>
        <w:rFonts w:cs="Arial"/>
        <w:i/>
        <w:szCs w:val="18"/>
        <w:lang w:val="en-AU"/>
      </w:rPr>
      <w:t>UNEP/CMS/COP12/Doc.24.3.1</w:t>
    </w:r>
    <w:r>
      <w:rPr>
        <w:rFonts w:cs="Arial"/>
        <w:i/>
        <w:szCs w:val="18"/>
        <w:lang w:val="en-AU"/>
      </w:rPr>
      <w:t>.1/Anexo 2</w:t>
    </w:r>
  </w:p>
  <w:p w14:paraId="2A3AF51C" w14:textId="77777777" w:rsidR="00FA5354" w:rsidRPr="00D70335" w:rsidRDefault="00FA5354" w:rsidP="00D70335">
    <w:pPr>
      <w:pStyle w:val="Header"/>
      <w:rPr>
        <w:szCs w:val="18"/>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C972" w14:textId="77777777" w:rsidR="00FA5354" w:rsidRPr="00497E66" w:rsidRDefault="00FA5354"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UNEP/CMS/COP12/Doc.x/x</w:t>
    </w:r>
  </w:p>
  <w:p w14:paraId="5CAFDD79" w14:textId="77777777" w:rsidR="00FA5354" w:rsidRPr="00497E66" w:rsidRDefault="00FA5354"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83CA" w14:textId="07D95A99" w:rsidR="00FA5354" w:rsidRDefault="00FA5354" w:rsidP="00894D19">
    <w:pPr>
      <w:pStyle w:val="Header"/>
    </w:pPr>
    <w:r>
      <w:rPr>
        <w:noProof/>
        <w:lang w:val="en-US"/>
      </w:rPr>
      <w:drawing>
        <wp:anchor distT="0" distB="0" distL="114300" distR="114300" simplePos="0" relativeHeight="251659264" behindDoc="1" locked="0" layoutInCell="1" allowOverlap="1" wp14:anchorId="38754F9D" wp14:editId="077BFE13">
          <wp:simplePos x="0" y="0"/>
          <wp:positionH relativeFrom="column">
            <wp:posOffset>-175260</wp:posOffset>
          </wp:positionH>
          <wp:positionV relativeFrom="paragraph">
            <wp:posOffset>-64770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3C57FA1D" wp14:editId="1622FE15">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anchor>
      </w:drawing>
    </w:r>
  </w:p>
  <w:p w14:paraId="27A7ACEF" w14:textId="77777777" w:rsidR="00FA5354" w:rsidRDefault="00FA53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B07B" w14:textId="7514E276" w:rsidR="00FA5354" w:rsidRPr="00D605A4" w:rsidRDefault="00FA5354" w:rsidP="003A0E83">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24.3.1.1</w:t>
    </w:r>
  </w:p>
  <w:p w14:paraId="7FA71B5F" w14:textId="77777777" w:rsidR="00FA5354" w:rsidRPr="003A0E83" w:rsidRDefault="00FA5354" w:rsidP="003A0E83">
    <w:pPr>
      <w:pStyle w:val="Header"/>
      <w:rPr>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60314" w14:textId="333C8F66" w:rsidR="00FA5354" w:rsidRPr="00497E66" w:rsidRDefault="00FA5354" w:rsidP="003A0E83">
    <w:pPr>
      <w:pStyle w:val="Heading1"/>
      <w:keepNext w:val="0"/>
      <w:pBdr>
        <w:bottom w:val="single" w:sz="4" w:space="1" w:color="auto"/>
      </w:pBdr>
      <w:tabs>
        <w:tab w:val="clear" w:pos="-720"/>
      </w:tabs>
      <w:ind w:left="261" w:right="11" w:hanging="261"/>
      <w:jc w:val="right"/>
      <w:rPr>
        <w:rFonts w:cs="Arial"/>
        <w:b w:val="0"/>
        <w:i/>
        <w:sz w:val="18"/>
        <w:szCs w:val="18"/>
        <w:lang w:val="fr-FR"/>
      </w:rPr>
    </w:pPr>
    <w:r w:rsidRPr="00497E66">
      <w:rPr>
        <w:rFonts w:cs="Arial"/>
        <w:b w:val="0"/>
        <w:i/>
        <w:sz w:val="18"/>
        <w:szCs w:val="18"/>
        <w:lang w:val="fr-FR"/>
      </w:rPr>
      <w:t>UNEP/CMS/COP12/Doc.</w:t>
    </w:r>
    <w:r w:rsidRPr="00AC7FB5">
      <w:rPr>
        <w:rFonts w:cs="Arial"/>
        <w:b w:val="0"/>
        <w:i/>
        <w:sz w:val="18"/>
        <w:szCs w:val="18"/>
        <w:lang w:val="de-DE"/>
      </w:rPr>
      <w:t>24.3.1</w:t>
    </w:r>
    <w:r>
      <w:rPr>
        <w:rFonts w:cs="Arial"/>
        <w:b w:val="0"/>
        <w:i/>
        <w:sz w:val="18"/>
        <w:szCs w:val="18"/>
        <w:lang w:val="de-DE"/>
      </w:rPr>
      <w:t>.1</w:t>
    </w:r>
  </w:p>
  <w:p w14:paraId="5640EE61" w14:textId="77777777" w:rsidR="00FA5354" w:rsidRPr="00497E66" w:rsidRDefault="00FA5354" w:rsidP="00A27BE3">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67D97" w14:textId="273BFC3D" w:rsidR="00FA5354" w:rsidRPr="00D605A4" w:rsidRDefault="00FA5354" w:rsidP="00D605A4">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24.3.1.1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A2755" w14:textId="275456B8" w:rsidR="00FA5354" w:rsidRPr="003A0E83" w:rsidRDefault="00FA5354" w:rsidP="00D70335">
    <w:pPr>
      <w:pStyle w:val="Header"/>
      <w:pBdr>
        <w:bottom w:val="single" w:sz="4" w:space="1" w:color="auto"/>
      </w:pBdr>
      <w:rPr>
        <w:rFonts w:cs="Arial"/>
        <w:i/>
        <w:szCs w:val="18"/>
        <w:lang w:val="en-AU"/>
      </w:rPr>
    </w:pPr>
    <w:r w:rsidRPr="003A0E83">
      <w:rPr>
        <w:rFonts w:cs="Arial"/>
        <w:i/>
        <w:szCs w:val="18"/>
        <w:lang w:val="en-AU"/>
      </w:rPr>
      <w:t>U</w:t>
    </w:r>
    <w:r>
      <w:rPr>
        <w:rFonts w:cs="Arial"/>
        <w:i/>
        <w:szCs w:val="18"/>
        <w:lang w:val="en-AU"/>
      </w:rPr>
      <w:t>NEP/CMS/COP12/Doc.24.3.1.1/Anexo</w:t>
    </w:r>
    <w:r w:rsidRPr="003A0E83">
      <w:rPr>
        <w:rFonts w:cs="Arial"/>
        <w:i/>
        <w:szCs w:val="18"/>
        <w:lang w:val="en-AU"/>
      </w:rPr>
      <w:t xml:space="preserve"> 1</w:t>
    </w:r>
  </w:p>
  <w:p w14:paraId="1973AB8B" w14:textId="77777777" w:rsidR="00FA5354" w:rsidRPr="003A0E83" w:rsidRDefault="00FA5354" w:rsidP="007F31CD">
    <w:pPr>
      <w:rPr>
        <w:i/>
        <w:sz w:val="20"/>
        <w:szCs w:val="20"/>
        <w:lang w:val="en-A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A0EB4" w14:textId="129B94BC" w:rsidR="00FA5354" w:rsidRPr="003A0E83" w:rsidRDefault="00FA5354" w:rsidP="00D70335">
    <w:pPr>
      <w:pStyle w:val="Header"/>
      <w:pBdr>
        <w:bottom w:val="single" w:sz="4" w:space="1" w:color="auto"/>
      </w:pBdr>
      <w:jc w:val="right"/>
      <w:rPr>
        <w:rFonts w:cs="Arial"/>
        <w:i/>
        <w:szCs w:val="18"/>
        <w:lang w:val="en-AU"/>
      </w:rPr>
    </w:pPr>
    <w:r w:rsidRPr="003A0E83">
      <w:rPr>
        <w:rFonts w:cs="Arial"/>
        <w:i/>
        <w:szCs w:val="18"/>
        <w:lang w:val="en-AU"/>
      </w:rPr>
      <w:t>U</w:t>
    </w:r>
    <w:r>
      <w:rPr>
        <w:rFonts w:cs="Arial"/>
        <w:i/>
        <w:szCs w:val="18"/>
        <w:lang w:val="en-AU"/>
      </w:rPr>
      <w:t>NEP/CMS/COP12/Doc.24.3.1.1/Ane</w:t>
    </w:r>
    <w:r w:rsidRPr="003A0E83">
      <w:rPr>
        <w:rFonts w:cs="Arial"/>
        <w:i/>
        <w:szCs w:val="18"/>
        <w:lang w:val="en-AU"/>
      </w:rPr>
      <w:t>x</w:t>
    </w:r>
    <w:r>
      <w:rPr>
        <w:rFonts w:cs="Arial"/>
        <w:i/>
        <w:szCs w:val="18"/>
        <w:lang w:val="en-AU"/>
      </w:rPr>
      <w:t>o</w:t>
    </w:r>
    <w:r w:rsidRPr="003A0E83">
      <w:rPr>
        <w:rFonts w:cs="Arial"/>
        <w:i/>
        <w:szCs w:val="18"/>
        <w:lang w:val="en-AU"/>
      </w:rPr>
      <w:t xml:space="preserve"> 1</w:t>
    </w:r>
  </w:p>
  <w:p w14:paraId="3F33082D" w14:textId="77777777" w:rsidR="00FA5354" w:rsidRPr="003A0E83" w:rsidRDefault="00FA5354" w:rsidP="00A27BE3">
    <w:pPr>
      <w:jc w:val="right"/>
      <w:rPr>
        <w:i/>
        <w:szCs w:val="20"/>
        <w:lang w:val="en-A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C100B" w14:textId="294B3236" w:rsidR="00FA5354" w:rsidRPr="003A0E83" w:rsidRDefault="00FA5354" w:rsidP="003A0E83">
    <w:pPr>
      <w:pStyle w:val="Header"/>
      <w:pBdr>
        <w:bottom w:val="single" w:sz="4" w:space="1" w:color="auto"/>
      </w:pBdr>
      <w:jc w:val="right"/>
      <w:rPr>
        <w:rFonts w:cs="Arial"/>
        <w:i/>
        <w:szCs w:val="18"/>
        <w:lang w:val="en-AU"/>
      </w:rPr>
    </w:pPr>
    <w:r w:rsidRPr="003A0E83">
      <w:rPr>
        <w:rFonts w:cs="Arial"/>
        <w:i/>
        <w:szCs w:val="18"/>
        <w:lang w:val="en-AU"/>
      </w:rPr>
      <w:t>U</w:t>
    </w:r>
    <w:r>
      <w:rPr>
        <w:rFonts w:cs="Arial"/>
        <w:i/>
        <w:szCs w:val="18"/>
        <w:lang w:val="en-AU"/>
      </w:rPr>
      <w:t>NEP/CMS/COP12/Doc.24.3.1.1/Anexo</w:t>
    </w:r>
    <w:r w:rsidRPr="003A0E83">
      <w:rPr>
        <w:rFonts w:cs="Arial"/>
        <w:i/>
        <w:szCs w:val="18"/>
        <w:lang w:val="en-AU"/>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837EC0"/>
    <w:multiLevelType w:val="hybridMultilevel"/>
    <w:tmpl w:val="AFC6AC7C"/>
    <w:lvl w:ilvl="0" w:tplc="6DCEDE4E">
      <w:numFmt w:val="bullet"/>
      <w:lvlText w:val="-"/>
      <w:lvlJc w:val="left"/>
      <w:pPr>
        <w:ind w:left="720" w:hanging="360"/>
      </w:pPr>
      <w:rPr>
        <w:rFonts w:ascii="Calibri" w:eastAsiaTheme="minorHAnsi" w:hAnsi="Calibri" w:cstheme="minorBid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76EB9"/>
    <w:multiLevelType w:val="hybridMultilevel"/>
    <w:tmpl w:val="F42A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03208"/>
    <w:multiLevelType w:val="hybridMultilevel"/>
    <w:tmpl w:val="47A6FC12"/>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C58A6"/>
    <w:multiLevelType w:val="hybridMultilevel"/>
    <w:tmpl w:val="54E67F50"/>
    <w:lvl w:ilvl="0" w:tplc="04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BB6E56"/>
    <w:multiLevelType w:val="hybridMultilevel"/>
    <w:tmpl w:val="318AF376"/>
    <w:lvl w:ilvl="0" w:tplc="E9CA71FA">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D50349"/>
    <w:multiLevelType w:val="hybridMultilevel"/>
    <w:tmpl w:val="B69650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D5075"/>
    <w:multiLevelType w:val="hybridMultilevel"/>
    <w:tmpl w:val="EA28C5E6"/>
    <w:lvl w:ilvl="0" w:tplc="6DCEDE4E">
      <w:numFmt w:val="bullet"/>
      <w:lvlText w:val="-"/>
      <w:lvlJc w:val="left"/>
      <w:pPr>
        <w:ind w:left="4612"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E147FC"/>
    <w:multiLevelType w:val="hybridMultilevel"/>
    <w:tmpl w:val="221618D4"/>
    <w:lvl w:ilvl="0" w:tplc="0BD2CF2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B3602"/>
    <w:multiLevelType w:val="hybridMultilevel"/>
    <w:tmpl w:val="34D08F24"/>
    <w:lvl w:ilvl="0" w:tplc="1E9A3B2C">
      <w:start w:val="1"/>
      <w:numFmt w:val="bullet"/>
      <w:lvlText w:val=""/>
      <w:lvlJc w:val="left"/>
      <w:pPr>
        <w:tabs>
          <w:tab w:val="num" w:pos="1021"/>
        </w:tabs>
        <w:ind w:left="1021"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39A65D7C"/>
    <w:multiLevelType w:val="hybridMultilevel"/>
    <w:tmpl w:val="012C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97E9B"/>
    <w:multiLevelType w:val="hybridMultilevel"/>
    <w:tmpl w:val="B06A86AE"/>
    <w:lvl w:ilvl="0" w:tplc="6DCEDE4E">
      <w:numFmt w:val="bullet"/>
      <w:lvlText w:val="-"/>
      <w:lvlJc w:val="left"/>
      <w:pPr>
        <w:ind w:left="720" w:hanging="360"/>
      </w:pPr>
      <w:rPr>
        <w:rFonts w:ascii="Calibri" w:eastAsiaTheme="minorHAnsi" w:hAnsi="Calibri" w:cstheme="minorBid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A372141"/>
    <w:multiLevelType w:val="hybridMultilevel"/>
    <w:tmpl w:val="2196C788"/>
    <w:lvl w:ilvl="0" w:tplc="1518A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FE457AA"/>
    <w:multiLevelType w:val="hybridMultilevel"/>
    <w:tmpl w:val="A4723B1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33452D1"/>
    <w:multiLevelType w:val="hybridMultilevel"/>
    <w:tmpl w:val="E4262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1156A6"/>
    <w:multiLevelType w:val="multilevel"/>
    <w:tmpl w:val="E48C807E"/>
    <w:lvl w:ilvl="0">
      <w:start w:val="7"/>
      <w:numFmt w:val="decimal"/>
      <w:lvlText w:val="%1"/>
      <w:lvlJc w:val="left"/>
      <w:pPr>
        <w:tabs>
          <w:tab w:val="num" w:pos="927"/>
        </w:tabs>
        <w:ind w:left="927" w:hanging="360"/>
      </w:pPr>
      <w:rPr>
        <w:rFonts w:hint="default"/>
      </w:rPr>
    </w:lvl>
    <w:lvl w:ilvl="1">
      <w:start w:val="2"/>
      <w:numFmt w:val="decimal"/>
      <w:lvlText w:val="%1.%2"/>
      <w:lvlJc w:val="left"/>
      <w:pPr>
        <w:tabs>
          <w:tab w:val="num" w:pos="1504"/>
        </w:tabs>
        <w:ind w:left="1504" w:hanging="360"/>
      </w:pPr>
      <w:rPr>
        <w:rFonts w:hint="default"/>
      </w:rPr>
    </w:lvl>
    <w:lvl w:ilvl="2">
      <w:start w:val="1"/>
      <w:numFmt w:val="decimal"/>
      <w:lvlText w:val="%1.%2.%3"/>
      <w:lvlJc w:val="left"/>
      <w:pPr>
        <w:tabs>
          <w:tab w:val="num" w:pos="2441"/>
        </w:tabs>
        <w:ind w:left="2441" w:hanging="720"/>
      </w:pPr>
      <w:rPr>
        <w:rFonts w:hint="default"/>
      </w:rPr>
    </w:lvl>
    <w:lvl w:ilvl="3">
      <w:start w:val="1"/>
      <w:numFmt w:val="decimal"/>
      <w:lvlText w:val="%1.%2.%3.%4"/>
      <w:lvlJc w:val="left"/>
      <w:pPr>
        <w:tabs>
          <w:tab w:val="num" w:pos="3378"/>
        </w:tabs>
        <w:ind w:left="3378" w:hanging="1080"/>
      </w:pPr>
      <w:rPr>
        <w:rFonts w:hint="default"/>
      </w:rPr>
    </w:lvl>
    <w:lvl w:ilvl="4">
      <w:start w:val="1"/>
      <w:numFmt w:val="decimal"/>
      <w:lvlText w:val="%1.%2.%3.%4.%5"/>
      <w:lvlJc w:val="left"/>
      <w:pPr>
        <w:tabs>
          <w:tab w:val="num" w:pos="3955"/>
        </w:tabs>
        <w:ind w:left="3955" w:hanging="1080"/>
      </w:pPr>
      <w:rPr>
        <w:rFonts w:hint="default"/>
      </w:rPr>
    </w:lvl>
    <w:lvl w:ilvl="5">
      <w:start w:val="1"/>
      <w:numFmt w:val="decimal"/>
      <w:lvlText w:val="%1.%2.%3.%4.%5.%6"/>
      <w:lvlJc w:val="left"/>
      <w:pPr>
        <w:tabs>
          <w:tab w:val="num" w:pos="4892"/>
        </w:tabs>
        <w:ind w:left="4892" w:hanging="1440"/>
      </w:pPr>
      <w:rPr>
        <w:rFonts w:hint="default"/>
      </w:rPr>
    </w:lvl>
    <w:lvl w:ilvl="6">
      <w:start w:val="1"/>
      <w:numFmt w:val="decimal"/>
      <w:lvlText w:val="%1.%2.%3.%4.%5.%6.%7"/>
      <w:lvlJc w:val="left"/>
      <w:pPr>
        <w:tabs>
          <w:tab w:val="num" w:pos="5469"/>
        </w:tabs>
        <w:ind w:left="5469" w:hanging="1440"/>
      </w:pPr>
      <w:rPr>
        <w:rFonts w:hint="default"/>
      </w:rPr>
    </w:lvl>
    <w:lvl w:ilvl="7">
      <w:start w:val="1"/>
      <w:numFmt w:val="decimal"/>
      <w:lvlText w:val="%1.%2.%3.%4.%5.%6.%7.%8"/>
      <w:lvlJc w:val="left"/>
      <w:pPr>
        <w:tabs>
          <w:tab w:val="num" w:pos="6406"/>
        </w:tabs>
        <w:ind w:left="6406" w:hanging="1800"/>
      </w:pPr>
      <w:rPr>
        <w:rFonts w:hint="default"/>
      </w:rPr>
    </w:lvl>
    <w:lvl w:ilvl="8">
      <w:start w:val="1"/>
      <w:numFmt w:val="decimal"/>
      <w:lvlText w:val="%1.%2.%3.%4.%5.%6.%7.%8.%9"/>
      <w:lvlJc w:val="left"/>
      <w:pPr>
        <w:tabs>
          <w:tab w:val="num" w:pos="7343"/>
        </w:tabs>
        <w:ind w:left="7343" w:hanging="2160"/>
      </w:pPr>
      <w:rPr>
        <w:rFonts w:hint="default"/>
      </w:rPr>
    </w:lvl>
  </w:abstractNum>
  <w:abstractNum w:abstractNumId="2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BodyTextIndent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E5020DD"/>
    <w:multiLevelType w:val="hybridMultilevel"/>
    <w:tmpl w:val="0DE8C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53B09"/>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1D51167"/>
    <w:multiLevelType w:val="hybridMultilevel"/>
    <w:tmpl w:val="F8045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B727440"/>
    <w:multiLevelType w:val="hybridMultilevel"/>
    <w:tmpl w:val="106C4496"/>
    <w:lvl w:ilvl="0" w:tplc="7CFE9908">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367C5"/>
    <w:multiLevelType w:val="hybridMultilevel"/>
    <w:tmpl w:val="5C8AB65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29" w15:restartNumberingAfterBreak="0">
    <w:nsid w:val="63FE5C74"/>
    <w:multiLevelType w:val="hybridMultilevel"/>
    <w:tmpl w:val="4DE856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57744C5"/>
    <w:multiLevelType w:val="hybridMultilevel"/>
    <w:tmpl w:val="49709E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26BB1"/>
    <w:multiLevelType w:val="hybridMultilevel"/>
    <w:tmpl w:val="63A66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A23F83"/>
    <w:multiLevelType w:val="hybridMultilevel"/>
    <w:tmpl w:val="586C93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15:restartNumberingAfterBreak="0">
    <w:nsid w:val="7D92116E"/>
    <w:multiLevelType w:val="hybridMultilevel"/>
    <w:tmpl w:val="78FA7242"/>
    <w:lvl w:ilvl="0" w:tplc="11985D5E">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2"/>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4"/>
  </w:num>
  <w:num w:numId="13">
    <w:abstractNumId w:val="2"/>
  </w:num>
  <w:num w:numId="14">
    <w:abstractNumId w:val="15"/>
  </w:num>
  <w:num w:numId="15">
    <w:abstractNumId w:val="8"/>
  </w:num>
  <w:num w:numId="16">
    <w:abstractNumId w:val="28"/>
  </w:num>
  <w:num w:numId="17">
    <w:abstractNumId w:val="11"/>
  </w:num>
  <w:num w:numId="18">
    <w:abstractNumId w:val="19"/>
  </w:num>
  <w:num w:numId="19">
    <w:abstractNumId w:val="14"/>
  </w:num>
  <w:num w:numId="20">
    <w:abstractNumId w:val="21"/>
  </w:num>
  <w:num w:numId="21">
    <w:abstractNumId w:val="12"/>
  </w:num>
  <w:num w:numId="22">
    <w:abstractNumId w:val="25"/>
  </w:num>
  <w:num w:numId="23">
    <w:abstractNumId w:val="5"/>
  </w:num>
  <w:num w:numId="24">
    <w:abstractNumId w:val="23"/>
  </w:num>
  <w:num w:numId="25">
    <w:abstractNumId w:val="7"/>
  </w:num>
  <w:num w:numId="26">
    <w:abstractNumId w:val="6"/>
  </w:num>
  <w:num w:numId="27">
    <w:abstractNumId w:val="16"/>
  </w:num>
  <w:num w:numId="28">
    <w:abstractNumId w:val="22"/>
  </w:num>
  <w:num w:numId="29">
    <w:abstractNumId w:val="35"/>
  </w:num>
  <w:num w:numId="30">
    <w:abstractNumId w:val="31"/>
  </w:num>
  <w:num w:numId="31">
    <w:abstractNumId w:val="29"/>
  </w:num>
  <w:num w:numId="32">
    <w:abstractNumId w:val="18"/>
  </w:num>
  <w:num w:numId="33">
    <w:abstractNumId w:val="24"/>
  </w:num>
  <w:num w:numId="34">
    <w:abstractNumId w:val="30"/>
  </w:num>
  <w:num w:numId="35">
    <w:abstractNumId w:val="3"/>
  </w:num>
  <w:num w:numId="36">
    <w:abstractNumId w:val="20"/>
  </w:num>
  <w:num w:numId="37">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9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15C0"/>
    <w:rsid w:val="00007296"/>
    <w:rsid w:val="00015E07"/>
    <w:rsid w:val="00017076"/>
    <w:rsid w:val="00020D25"/>
    <w:rsid w:val="00021EA5"/>
    <w:rsid w:val="000223D6"/>
    <w:rsid w:val="000254DF"/>
    <w:rsid w:val="00031A88"/>
    <w:rsid w:val="00032DBB"/>
    <w:rsid w:val="00033B90"/>
    <w:rsid w:val="0003449E"/>
    <w:rsid w:val="00036365"/>
    <w:rsid w:val="000368F9"/>
    <w:rsid w:val="00036C53"/>
    <w:rsid w:val="00036D49"/>
    <w:rsid w:val="000374C1"/>
    <w:rsid w:val="00037A6D"/>
    <w:rsid w:val="000407A6"/>
    <w:rsid w:val="0004398D"/>
    <w:rsid w:val="00043E08"/>
    <w:rsid w:val="00050957"/>
    <w:rsid w:val="000518C2"/>
    <w:rsid w:val="0005299A"/>
    <w:rsid w:val="00056DC1"/>
    <w:rsid w:val="00060156"/>
    <w:rsid w:val="00063B03"/>
    <w:rsid w:val="00065F14"/>
    <w:rsid w:val="0006661A"/>
    <w:rsid w:val="0007075D"/>
    <w:rsid w:val="00070BBC"/>
    <w:rsid w:val="000712D3"/>
    <w:rsid w:val="00073C92"/>
    <w:rsid w:val="000763D9"/>
    <w:rsid w:val="00080F03"/>
    <w:rsid w:val="00081CB6"/>
    <w:rsid w:val="000852EB"/>
    <w:rsid w:val="000900E1"/>
    <w:rsid w:val="0009076A"/>
    <w:rsid w:val="00094361"/>
    <w:rsid w:val="0009495A"/>
    <w:rsid w:val="000A2957"/>
    <w:rsid w:val="000A30EC"/>
    <w:rsid w:val="000B152A"/>
    <w:rsid w:val="000B6103"/>
    <w:rsid w:val="000B6220"/>
    <w:rsid w:val="000B6EC5"/>
    <w:rsid w:val="000C21B1"/>
    <w:rsid w:val="000C3C87"/>
    <w:rsid w:val="000C7460"/>
    <w:rsid w:val="000D4C37"/>
    <w:rsid w:val="000E01C1"/>
    <w:rsid w:val="000E16A3"/>
    <w:rsid w:val="000E57FF"/>
    <w:rsid w:val="000F0B93"/>
    <w:rsid w:val="000F1156"/>
    <w:rsid w:val="000F3DDC"/>
    <w:rsid w:val="000F52BA"/>
    <w:rsid w:val="001044D6"/>
    <w:rsid w:val="00104BC5"/>
    <w:rsid w:val="00107462"/>
    <w:rsid w:val="001111A9"/>
    <w:rsid w:val="0011414B"/>
    <w:rsid w:val="001151A3"/>
    <w:rsid w:val="00115B67"/>
    <w:rsid w:val="001178E9"/>
    <w:rsid w:val="001232DB"/>
    <w:rsid w:val="001245DF"/>
    <w:rsid w:val="00130BFD"/>
    <w:rsid w:val="00141663"/>
    <w:rsid w:val="001419C7"/>
    <w:rsid w:val="00141E69"/>
    <w:rsid w:val="0014305A"/>
    <w:rsid w:val="00150AC4"/>
    <w:rsid w:val="00151BC4"/>
    <w:rsid w:val="00156A9E"/>
    <w:rsid w:val="00161F73"/>
    <w:rsid w:val="00162D88"/>
    <w:rsid w:val="00164057"/>
    <w:rsid w:val="00165AC6"/>
    <w:rsid w:val="00166ABA"/>
    <w:rsid w:val="001743FD"/>
    <w:rsid w:val="00174555"/>
    <w:rsid w:val="001764E6"/>
    <w:rsid w:val="00177152"/>
    <w:rsid w:val="00180892"/>
    <w:rsid w:val="001808F1"/>
    <w:rsid w:val="00182099"/>
    <w:rsid w:val="00183FD7"/>
    <w:rsid w:val="001845C5"/>
    <w:rsid w:val="0018486E"/>
    <w:rsid w:val="00193D0A"/>
    <w:rsid w:val="001A33B6"/>
    <w:rsid w:val="001C069F"/>
    <w:rsid w:val="001C6038"/>
    <w:rsid w:val="001C6848"/>
    <w:rsid w:val="001D5FD1"/>
    <w:rsid w:val="001E0250"/>
    <w:rsid w:val="001E035A"/>
    <w:rsid w:val="001E5D40"/>
    <w:rsid w:val="001F04E2"/>
    <w:rsid w:val="001F409A"/>
    <w:rsid w:val="001F60A1"/>
    <w:rsid w:val="00200759"/>
    <w:rsid w:val="00200A67"/>
    <w:rsid w:val="00201F88"/>
    <w:rsid w:val="00202332"/>
    <w:rsid w:val="0020264F"/>
    <w:rsid w:val="002026FC"/>
    <w:rsid w:val="002210F4"/>
    <w:rsid w:val="002218C4"/>
    <w:rsid w:val="002268FE"/>
    <w:rsid w:val="0023040A"/>
    <w:rsid w:val="00233DA3"/>
    <w:rsid w:val="0024783D"/>
    <w:rsid w:val="00250258"/>
    <w:rsid w:val="00250E4A"/>
    <w:rsid w:val="00254721"/>
    <w:rsid w:val="0025595D"/>
    <w:rsid w:val="00256C2F"/>
    <w:rsid w:val="00257709"/>
    <w:rsid w:val="00261837"/>
    <w:rsid w:val="00263159"/>
    <w:rsid w:val="00265AB8"/>
    <w:rsid w:val="002728AD"/>
    <w:rsid w:val="002730A4"/>
    <w:rsid w:val="00274627"/>
    <w:rsid w:val="002779F7"/>
    <w:rsid w:val="00287939"/>
    <w:rsid w:val="00290C6B"/>
    <w:rsid w:val="00292F22"/>
    <w:rsid w:val="002968A5"/>
    <w:rsid w:val="002A380C"/>
    <w:rsid w:val="002B06E6"/>
    <w:rsid w:val="002B0A50"/>
    <w:rsid w:val="002B47CF"/>
    <w:rsid w:val="002B7EBB"/>
    <w:rsid w:val="002C187A"/>
    <w:rsid w:val="002C20F1"/>
    <w:rsid w:val="002D0611"/>
    <w:rsid w:val="002D2863"/>
    <w:rsid w:val="002D4220"/>
    <w:rsid w:val="002D5EC0"/>
    <w:rsid w:val="002E16CE"/>
    <w:rsid w:val="002E2AA2"/>
    <w:rsid w:val="002E3DEA"/>
    <w:rsid w:val="002E7CC2"/>
    <w:rsid w:val="002F15F6"/>
    <w:rsid w:val="002F50FF"/>
    <w:rsid w:val="002F6F9B"/>
    <w:rsid w:val="003031B7"/>
    <w:rsid w:val="00321DA1"/>
    <w:rsid w:val="00322266"/>
    <w:rsid w:val="0032360B"/>
    <w:rsid w:val="00324D76"/>
    <w:rsid w:val="0032732B"/>
    <w:rsid w:val="003331C6"/>
    <w:rsid w:val="00336BBE"/>
    <w:rsid w:val="00345044"/>
    <w:rsid w:val="003465FE"/>
    <w:rsid w:val="0034672E"/>
    <w:rsid w:val="00347875"/>
    <w:rsid w:val="003478DE"/>
    <w:rsid w:val="0035045B"/>
    <w:rsid w:val="00351095"/>
    <w:rsid w:val="00353BE2"/>
    <w:rsid w:val="00354A9C"/>
    <w:rsid w:val="00355DD0"/>
    <w:rsid w:val="00361909"/>
    <w:rsid w:val="00364181"/>
    <w:rsid w:val="00364973"/>
    <w:rsid w:val="00364C8C"/>
    <w:rsid w:val="003722B1"/>
    <w:rsid w:val="00372347"/>
    <w:rsid w:val="003732A5"/>
    <w:rsid w:val="00374BB4"/>
    <w:rsid w:val="003752C3"/>
    <w:rsid w:val="003779D4"/>
    <w:rsid w:val="00381D5F"/>
    <w:rsid w:val="00382398"/>
    <w:rsid w:val="00383458"/>
    <w:rsid w:val="003862B8"/>
    <w:rsid w:val="003909E4"/>
    <w:rsid w:val="00391BE9"/>
    <w:rsid w:val="00392691"/>
    <w:rsid w:val="003972A6"/>
    <w:rsid w:val="003A0E83"/>
    <w:rsid w:val="003A3E30"/>
    <w:rsid w:val="003A4C3C"/>
    <w:rsid w:val="003A62A7"/>
    <w:rsid w:val="003A70FE"/>
    <w:rsid w:val="003B0C35"/>
    <w:rsid w:val="003B219E"/>
    <w:rsid w:val="003C457E"/>
    <w:rsid w:val="003D72AE"/>
    <w:rsid w:val="003E1BAD"/>
    <w:rsid w:val="003E21B3"/>
    <w:rsid w:val="003E322C"/>
    <w:rsid w:val="003F0EEE"/>
    <w:rsid w:val="003F27FE"/>
    <w:rsid w:val="003F6D74"/>
    <w:rsid w:val="0040335C"/>
    <w:rsid w:val="00403CE8"/>
    <w:rsid w:val="00411C7B"/>
    <w:rsid w:val="00411E65"/>
    <w:rsid w:val="00412DE9"/>
    <w:rsid w:val="00415AD0"/>
    <w:rsid w:val="00420040"/>
    <w:rsid w:val="00421918"/>
    <w:rsid w:val="00423388"/>
    <w:rsid w:val="004257BC"/>
    <w:rsid w:val="00426D73"/>
    <w:rsid w:val="00427729"/>
    <w:rsid w:val="00432A64"/>
    <w:rsid w:val="004365E0"/>
    <w:rsid w:val="0044388F"/>
    <w:rsid w:val="004536EA"/>
    <w:rsid w:val="00453C46"/>
    <w:rsid w:val="00453F59"/>
    <w:rsid w:val="00454913"/>
    <w:rsid w:val="00454C77"/>
    <w:rsid w:val="00457441"/>
    <w:rsid w:val="004579F6"/>
    <w:rsid w:val="004619FC"/>
    <w:rsid w:val="0046318D"/>
    <w:rsid w:val="0046367B"/>
    <w:rsid w:val="00464505"/>
    <w:rsid w:val="004656D0"/>
    <w:rsid w:val="00465B53"/>
    <w:rsid w:val="004738F8"/>
    <w:rsid w:val="00473ABD"/>
    <w:rsid w:val="00480B2E"/>
    <w:rsid w:val="00480E57"/>
    <w:rsid w:val="00482754"/>
    <w:rsid w:val="00482DCA"/>
    <w:rsid w:val="00483105"/>
    <w:rsid w:val="00486F0D"/>
    <w:rsid w:val="00487420"/>
    <w:rsid w:val="00494E43"/>
    <w:rsid w:val="00496942"/>
    <w:rsid w:val="00497E66"/>
    <w:rsid w:val="004A45C0"/>
    <w:rsid w:val="004B2604"/>
    <w:rsid w:val="004B5951"/>
    <w:rsid w:val="004B6CFD"/>
    <w:rsid w:val="004B7A6F"/>
    <w:rsid w:val="004C204D"/>
    <w:rsid w:val="004C7A20"/>
    <w:rsid w:val="004C7A23"/>
    <w:rsid w:val="004D0436"/>
    <w:rsid w:val="004D0936"/>
    <w:rsid w:val="004D2B90"/>
    <w:rsid w:val="004E7ED7"/>
    <w:rsid w:val="004F0646"/>
    <w:rsid w:val="004F243D"/>
    <w:rsid w:val="004F3D8D"/>
    <w:rsid w:val="004F55ED"/>
    <w:rsid w:val="004F6DE6"/>
    <w:rsid w:val="00504539"/>
    <w:rsid w:val="005076F1"/>
    <w:rsid w:val="00512B91"/>
    <w:rsid w:val="005158EB"/>
    <w:rsid w:val="0052082F"/>
    <w:rsid w:val="00526CC5"/>
    <w:rsid w:val="005404CD"/>
    <w:rsid w:val="00542FCC"/>
    <w:rsid w:val="005466A5"/>
    <w:rsid w:val="00546EDF"/>
    <w:rsid w:val="005505E2"/>
    <w:rsid w:val="0055259E"/>
    <w:rsid w:val="0055272B"/>
    <w:rsid w:val="00557212"/>
    <w:rsid w:val="0055762E"/>
    <w:rsid w:val="00565445"/>
    <w:rsid w:val="00565E18"/>
    <w:rsid w:val="00575334"/>
    <w:rsid w:val="00581A80"/>
    <w:rsid w:val="00581FB2"/>
    <w:rsid w:val="0058504E"/>
    <w:rsid w:val="00590897"/>
    <w:rsid w:val="00593736"/>
    <w:rsid w:val="005A2301"/>
    <w:rsid w:val="005A3181"/>
    <w:rsid w:val="005B0F06"/>
    <w:rsid w:val="005B136B"/>
    <w:rsid w:val="005B5F07"/>
    <w:rsid w:val="005B6141"/>
    <w:rsid w:val="005B6844"/>
    <w:rsid w:val="005C0763"/>
    <w:rsid w:val="005C1B20"/>
    <w:rsid w:val="005C2F44"/>
    <w:rsid w:val="005C34A4"/>
    <w:rsid w:val="005C3F15"/>
    <w:rsid w:val="005C4483"/>
    <w:rsid w:val="005D1C6E"/>
    <w:rsid w:val="005E1867"/>
    <w:rsid w:val="005E7C78"/>
    <w:rsid w:val="005F3989"/>
    <w:rsid w:val="005F4303"/>
    <w:rsid w:val="005F7B20"/>
    <w:rsid w:val="005F7B63"/>
    <w:rsid w:val="00601B52"/>
    <w:rsid w:val="0060280B"/>
    <w:rsid w:val="00604307"/>
    <w:rsid w:val="00604422"/>
    <w:rsid w:val="006066DA"/>
    <w:rsid w:val="006116C6"/>
    <w:rsid w:val="00623F5D"/>
    <w:rsid w:val="006252FC"/>
    <w:rsid w:val="006265EB"/>
    <w:rsid w:val="00631229"/>
    <w:rsid w:val="0063659C"/>
    <w:rsid w:val="006366B2"/>
    <w:rsid w:val="00645C5C"/>
    <w:rsid w:val="00651341"/>
    <w:rsid w:val="006574A3"/>
    <w:rsid w:val="00661A6A"/>
    <w:rsid w:val="00663FC0"/>
    <w:rsid w:val="006662A3"/>
    <w:rsid w:val="00666EE1"/>
    <w:rsid w:val="00666F8B"/>
    <w:rsid w:val="00671A31"/>
    <w:rsid w:val="0067596C"/>
    <w:rsid w:val="006815B2"/>
    <w:rsid w:val="006826E0"/>
    <w:rsid w:val="00682B31"/>
    <w:rsid w:val="006864E1"/>
    <w:rsid w:val="00687DF1"/>
    <w:rsid w:val="00691001"/>
    <w:rsid w:val="006A2AC6"/>
    <w:rsid w:val="006B04AC"/>
    <w:rsid w:val="006B07EA"/>
    <w:rsid w:val="006B1037"/>
    <w:rsid w:val="006B4590"/>
    <w:rsid w:val="006C1AFD"/>
    <w:rsid w:val="006C20FE"/>
    <w:rsid w:val="006C29A9"/>
    <w:rsid w:val="006C59E2"/>
    <w:rsid w:val="006D2B24"/>
    <w:rsid w:val="006D4038"/>
    <w:rsid w:val="006D5AD9"/>
    <w:rsid w:val="006D5AF5"/>
    <w:rsid w:val="006D7F43"/>
    <w:rsid w:val="006E56AD"/>
    <w:rsid w:val="006E5763"/>
    <w:rsid w:val="006E696B"/>
    <w:rsid w:val="006F52AF"/>
    <w:rsid w:val="0070210B"/>
    <w:rsid w:val="00702A3C"/>
    <w:rsid w:val="007101BB"/>
    <w:rsid w:val="00713308"/>
    <w:rsid w:val="00723749"/>
    <w:rsid w:val="00725A91"/>
    <w:rsid w:val="00727E01"/>
    <w:rsid w:val="007366E7"/>
    <w:rsid w:val="00740A8C"/>
    <w:rsid w:val="00745222"/>
    <w:rsid w:val="00746996"/>
    <w:rsid w:val="00752BAE"/>
    <w:rsid w:val="00752DDF"/>
    <w:rsid w:val="00752E19"/>
    <w:rsid w:val="00757614"/>
    <w:rsid w:val="007667C2"/>
    <w:rsid w:val="0077035C"/>
    <w:rsid w:val="007728B4"/>
    <w:rsid w:val="0077622E"/>
    <w:rsid w:val="00777FE4"/>
    <w:rsid w:val="007811CE"/>
    <w:rsid w:val="0078226A"/>
    <w:rsid w:val="007824E6"/>
    <w:rsid w:val="007848EE"/>
    <w:rsid w:val="00784CCC"/>
    <w:rsid w:val="00785CAD"/>
    <w:rsid w:val="00786780"/>
    <w:rsid w:val="00786A21"/>
    <w:rsid w:val="0079075D"/>
    <w:rsid w:val="007910DD"/>
    <w:rsid w:val="007911DB"/>
    <w:rsid w:val="007A5E90"/>
    <w:rsid w:val="007B1A83"/>
    <w:rsid w:val="007B7E25"/>
    <w:rsid w:val="007C1468"/>
    <w:rsid w:val="007C41AE"/>
    <w:rsid w:val="007C41D7"/>
    <w:rsid w:val="007C7DA9"/>
    <w:rsid w:val="007D57A6"/>
    <w:rsid w:val="007F0418"/>
    <w:rsid w:val="007F0739"/>
    <w:rsid w:val="007F16FB"/>
    <w:rsid w:val="007F1BBA"/>
    <w:rsid w:val="007F1C8D"/>
    <w:rsid w:val="007F2BFC"/>
    <w:rsid w:val="007F31CD"/>
    <w:rsid w:val="007F5E20"/>
    <w:rsid w:val="00803565"/>
    <w:rsid w:val="00804E0C"/>
    <w:rsid w:val="0081151B"/>
    <w:rsid w:val="0081600F"/>
    <w:rsid w:val="0082722D"/>
    <w:rsid w:val="008274F7"/>
    <w:rsid w:val="00832363"/>
    <w:rsid w:val="00833451"/>
    <w:rsid w:val="008374DF"/>
    <w:rsid w:val="008441F9"/>
    <w:rsid w:val="00845A01"/>
    <w:rsid w:val="00846A99"/>
    <w:rsid w:val="0085326D"/>
    <w:rsid w:val="008541BC"/>
    <w:rsid w:val="0086264D"/>
    <w:rsid w:val="008641D1"/>
    <w:rsid w:val="008675B6"/>
    <w:rsid w:val="008701BE"/>
    <w:rsid w:val="00870FB9"/>
    <w:rsid w:val="00870FBB"/>
    <w:rsid w:val="00871746"/>
    <w:rsid w:val="00872F67"/>
    <w:rsid w:val="00874B86"/>
    <w:rsid w:val="00875BD1"/>
    <w:rsid w:val="008871D7"/>
    <w:rsid w:val="008879E9"/>
    <w:rsid w:val="00890571"/>
    <w:rsid w:val="00892537"/>
    <w:rsid w:val="00893346"/>
    <w:rsid w:val="00894D19"/>
    <w:rsid w:val="008978CF"/>
    <w:rsid w:val="00897DA9"/>
    <w:rsid w:val="008A0D8D"/>
    <w:rsid w:val="008B0A3E"/>
    <w:rsid w:val="008B1A69"/>
    <w:rsid w:val="008B1DEE"/>
    <w:rsid w:val="008B2A31"/>
    <w:rsid w:val="008B5CA8"/>
    <w:rsid w:val="008C1A39"/>
    <w:rsid w:val="008C3833"/>
    <w:rsid w:val="008C3898"/>
    <w:rsid w:val="008C6247"/>
    <w:rsid w:val="008D16E2"/>
    <w:rsid w:val="008D1B43"/>
    <w:rsid w:val="008D3818"/>
    <w:rsid w:val="008D4A01"/>
    <w:rsid w:val="008E6091"/>
    <w:rsid w:val="008E718E"/>
    <w:rsid w:val="008E7A49"/>
    <w:rsid w:val="008E7DFB"/>
    <w:rsid w:val="008F1100"/>
    <w:rsid w:val="008F7327"/>
    <w:rsid w:val="0090059C"/>
    <w:rsid w:val="00905F69"/>
    <w:rsid w:val="009076C8"/>
    <w:rsid w:val="009144A4"/>
    <w:rsid w:val="00915BBE"/>
    <w:rsid w:val="00920837"/>
    <w:rsid w:val="00921D62"/>
    <w:rsid w:val="00922791"/>
    <w:rsid w:val="00927CD6"/>
    <w:rsid w:val="00931E41"/>
    <w:rsid w:val="00933572"/>
    <w:rsid w:val="009363C7"/>
    <w:rsid w:val="00937E51"/>
    <w:rsid w:val="00946F1C"/>
    <w:rsid w:val="00965EE0"/>
    <w:rsid w:val="00972D36"/>
    <w:rsid w:val="00973BFB"/>
    <w:rsid w:val="009748C2"/>
    <w:rsid w:val="00980406"/>
    <w:rsid w:val="0098345D"/>
    <w:rsid w:val="00985B29"/>
    <w:rsid w:val="00993250"/>
    <w:rsid w:val="00994621"/>
    <w:rsid w:val="009973F3"/>
    <w:rsid w:val="009A1EC6"/>
    <w:rsid w:val="009A2C8F"/>
    <w:rsid w:val="009A3ECC"/>
    <w:rsid w:val="009A52E0"/>
    <w:rsid w:val="009A7B65"/>
    <w:rsid w:val="009B28C0"/>
    <w:rsid w:val="009B6087"/>
    <w:rsid w:val="009B6B09"/>
    <w:rsid w:val="009B713E"/>
    <w:rsid w:val="009C7659"/>
    <w:rsid w:val="009D121F"/>
    <w:rsid w:val="009D14A2"/>
    <w:rsid w:val="009D2AD6"/>
    <w:rsid w:val="009D3A07"/>
    <w:rsid w:val="009D4711"/>
    <w:rsid w:val="009D5DA6"/>
    <w:rsid w:val="009E330B"/>
    <w:rsid w:val="009E3427"/>
    <w:rsid w:val="009E3A84"/>
    <w:rsid w:val="009E4DDE"/>
    <w:rsid w:val="009E612B"/>
    <w:rsid w:val="009E72D7"/>
    <w:rsid w:val="009E7ACC"/>
    <w:rsid w:val="009F0E2E"/>
    <w:rsid w:val="009F450E"/>
    <w:rsid w:val="009F54DA"/>
    <w:rsid w:val="00A06984"/>
    <w:rsid w:val="00A07B7B"/>
    <w:rsid w:val="00A1324E"/>
    <w:rsid w:val="00A17775"/>
    <w:rsid w:val="00A27BE3"/>
    <w:rsid w:val="00A32672"/>
    <w:rsid w:val="00A339B9"/>
    <w:rsid w:val="00A35BFF"/>
    <w:rsid w:val="00A407CB"/>
    <w:rsid w:val="00A40EDF"/>
    <w:rsid w:val="00A419FB"/>
    <w:rsid w:val="00A42B4F"/>
    <w:rsid w:val="00A42FFC"/>
    <w:rsid w:val="00A457B3"/>
    <w:rsid w:val="00A568DF"/>
    <w:rsid w:val="00A57BA0"/>
    <w:rsid w:val="00A63CDE"/>
    <w:rsid w:val="00A73A79"/>
    <w:rsid w:val="00A74D39"/>
    <w:rsid w:val="00A82B30"/>
    <w:rsid w:val="00A82B66"/>
    <w:rsid w:val="00A84046"/>
    <w:rsid w:val="00A86E62"/>
    <w:rsid w:val="00A87BC5"/>
    <w:rsid w:val="00A926A9"/>
    <w:rsid w:val="00A93C52"/>
    <w:rsid w:val="00A93D89"/>
    <w:rsid w:val="00A97E23"/>
    <w:rsid w:val="00AA3850"/>
    <w:rsid w:val="00AA673C"/>
    <w:rsid w:val="00AA694E"/>
    <w:rsid w:val="00AA70D6"/>
    <w:rsid w:val="00AA7368"/>
    <w:rsid w:val="00AB4FF9"/>
    <w:rsid w:val="00AB57B9"/>
    <w:rsid w:val="00AC7FB5"/>
    <w:rsid w:val="00AD5B76"/>
    <w:rsid w:val="00AD7D37"/>
    <w:rsid w:val="00AE68CE"/>
    <w:rsid w:val="00AE7B21"/>
    <w:rsid w:val="00AF1980"/>
    <w:rsid w:val="00AF2021"/>
    <w:rsid w:val="00AF2E59"/>
    <w:rsid w:val="00B016F8"/>
    <w:rsid w:val="00B025B7"/>
    <w:rsid w:val="00B028B0"/>
    <w:rsid w:val="00B04A86"/>
    <w:rsid w:val="00B11D40"/>
    <w:rsid w:val="00B127DD"/>
    <w:rsid w:val="00B16F2E"/>
    <w:rsid w:val="00B26766"/>
    <w:rsid w:val="00B471BD"/>
    <w:rsid w:val="00B50C2D"/>
    <w:rsid w:val="00B531B4"/>
    <w:rsid w:val="00B542EC"/>
    <w:rsid w:val="00B64904"/>
    <w:rsid w:val="00B83657"/>
    <w:rsid w:val="00B953E6"/>
    <w:rsid w:val="00BA3C54"/>
    <w:rsid w:val="00BA60CE"/>
    <w:rsid w:val="00BB7AB8"/>
    <w:rsid w:val="00BB7DA0"/>
    <w:rsid w:val="00BC5607"/>
    <w:rsid w:val="00BC77B4"/>
    <w:rsid w:val="00BE0D1D"/>
    <w:rsid w:val="00BE118E"/>
    <w:rsid w:val="00BE222F"/>
    <w:rsid w:val="00BE2448"/>
    <w:rsid w:val="00BE24D4"/>
    <w:rsid w:val="00BE4950"/>
    <w:rsid w:val="00BF2BE7"/>
    <w:rsid w:val="00BF3A04"/>
    <w:rsid w:val="00BF4512"/>
    <w:rsid w:val="00BF64B7"/>
    <w:rsid w:val="00BF6695"/>
    <w:rsid w:val="00BF6EAC"/>
    <w:rsid w:val="00BF7730"/>
    <w:rsid w:val="00C01DCB"/>
    <w:rsid w:val="00C01F18"/>
    <w:rsid w:val="00C05102"/>
    <w:rsid w:val="00C102A4"/>
    <w:rsid w:val="00C12C8B"/>
    <w:rsid w:val="00C1352A"/>
    <w:rsid w:val="00C13FA6"/>
    <w:rsid w:val="00C169ED"/>
    <w:rsid w:val="00C17737"/>
    <w:rsid w:val="00C17F2F"/>
    <w:rsid w:val="00C206EF"/>
    <w:rsid w:val="00C306F7"/>
    <w:rsid w:val="00C30DC3"/>
    <w:rsid w:val="00C33B40"/>
    <w:rsid w:val="00C33CA5"/>
    <w:rsid w:val="00C358C7"/>
    <w:rsid w:val="00C35AD8"/>
    <w:rsid w:val="00C3733D"/>
    <w:rsid w:val="00C44645"/>
    <w:rsid w:val="00C46B13"/>
    <w:rsid w:val="00C518A7"/>
    <w:rsid w:val="00C52640"/>
    <w:rsid w:val="00C53B42"/>
    <w:rsid w:val="00C5484D"/>
    <w:rsid w:val="00C5544B"/>
    <w:rsid w:val="00C56EE2"/>
    <w:rsid w:val="00C618F2"/>
    <w:rsid w:val="00C61AB9"/>
    <w:rsid w:val="00C65B73"/>
    <w:rsid w:val="00C66EB2"/>
    <w:rsid w:val="00C73207"/>
    <w:rsid w:val="00C7496F"/>
    <w:rsid w:val="00C74EA3"/>
    <w:rsid w:val="00C7602A"/>
    <w:rsid w:val="00C77E4E"/>
    <w:rsid w:val="00C82160"/>
    <w:rsid w:val="00C82ED9"/>
    <w:rsid w:val="00C87D68"/>
    <w:rsid w:val="00C9281B"/>
    <w:rsid w:val="00C945EB"/>
    <w:rsid w:val="00CA0E35"/>
    <w:rsid w:val="00CA367A"/>
    <w:rsid w:val="00CA39F3"/>
    <w:rsid w:val="00CA5AEB"/>
    <w:rsid w:val="00CB1007"/>
    <w:rsid w:val="00CB1D26"/>
    <w:rsid w:val="00CB4104"/>
    <w:rsid w:val="00CC1C26"/>
    <w:rsid w:val="00CC34A6"/>
    <w:rsid w:val="00CC4AEA"/>
    <w:rsid w:val="00CC4C21"/>
    <w:rsid w:val="00CC5475"/>
    <w:rsid w:val="00CC57AD"/>
    <w:rsid w:val="00CD0FE9"/>
    <w:rsid w:val="00CD116B"/>
    <w:rsid w:val="00CD1FD1"/>
    <w:rsid w:val="00CD4378"/>
    <w:rsid w:val="00CD7355"/>
    <w:rsid w:val="00CE2A9C"/>
    <w:rsid w:val="00CE4A70"/>
    <w:rsid w:val="00CE4C10"/>
    <w:rsid w:val="00CE5B83"/>
    <w:rsid w:val="00CE75F6"/>
    <w:rsid w:val="00CF5670"/>
    <w:rsid w:val="00CF6EDD"/>
    <w:rsid w:val="00CF7E50"/>
    <w:rsid w:val="00D00D40"/>
    <w:rsid w:val="00D0225F"/>
    <w:rsid w:val="00D03D59"/>
    <w:rsid w:val="00D05922"/>
    <w:rsid w:val="00D06947"/>
    <w:rsid w:val="00D107A3"/>
    <w:rsid w:val="00D13BCF"/>
    <w:rsid w:val="00D147EA"/>
    <w:rsid w:val="00D21383"/>
    <w:rsid w:val="00D27EFA"/>
    <w:rsid w:val="00D3199F"/>
    <w:rsid w:val="00D31DCC"/>
    <w:rsid w:val="00D40BED"/>
    <w:rsid w:val="00D42AE1"/>
    <w:rsid w:val="00D451A3"/>
    <w:rsid w:val="00D52714"/>
    <w:rsid w:val="00D54465"/>
    <w:rsid w:val="00D605A4"/>
    <w:rsid w:val="00D61B13"/>
    <w:rsid w:val="00D70335"/>
    <w:rsid w:val="00D7746A"/>
    <w:rsid w:val="00D838FE"/>
    <w:rsid w:val="00D8406F"/>
    <w:rsid w:val="00D859C7"/>
    <w:rsid w:val="00D87E94"/>
    <w:rsid w:val="00D9021F"/>
    <w:rsid w:val="00D90847"/>
    <w:rsid w:val="00DA036D"/>
    <w:rsid w:val="00DA1080"/>
    <w:rsid w:val="00DA12C2"/>
    <w:rsid w:val="00DA4B06"/>
    <w:rsid w:val="00DB2912"/>
    <w:rsid w:val="00DB30A6"/>
    <w:rsid w:val="00DB3F72"/>
    <w:rsid w:val="00DB6114"/>
    <w:rsid w:val="00DB7886"/>
    <w:rsid w:val="00DB7D09"/>
    <w:rsid w:val="00DC442A"/>
    <w:rsid w:val="00DC5169"/>
    <w:rsid w:val="00DC5861"/>
    <w:rsid w:val="00DC6330"/>
    <w:rsid w:val="00DD177B"/>
    <w:rsid w:val="00DD207B"/>
    <w:rsid w:val="00DD6A9E"/>
    <w:rsid w:val="00DE2653"/>
    <w:rsid w:val="00DE38E8"/>
    <w:rsid w:val="00DF23F4"/>
    <w:rsid w:val="00DF7774"/>
    <w:rsid w:val="00E01679"/>
    <w:rsid w:val="00E03C4D"/>
    <w:rsid w:val="00E04C0B"/>
    <w:rsid w:val="00E05D05"/>
    <w:rsid w:val="00E06BCC"/>
    <w:rsid w:val="00E20DB4"/>
    <w:rsid w:val="00E2264A"/>
    <w:rsid w:val="00E23367"/>
    <w:rsid w:val="00E30EBB"/>
    <w:rsid w:val="00E31B92"/>
    <w:rsid w:val="00E321D8"/>
    <w:rsid w:val="00E400F1"/>
    <w:rsid w:val="00E4727D"/>
    <w:rsid w:val="00E475D4"/>
    <w:rsid w:val="00E53FF5"/>
    <w:rsid w:val="00E61F8A"/>
    <w:rsid w:val="00E74D1C"/>
    <w:rsid w:val="00E8013A"/>
    <w:rsid w:val="00E8776E"/>
    <w:rsid w:val="00E91875"/>
    <w:rsid w:val="00E9237A"/>
    <w:rsid w:val="00E9464C"/>
    <w:rsid w:val="00E977B9"/>
    <w:rsid w:val="00E97E8D"/>
    <w:rsid w:val="00EA0B88"/>
    <w:rsid w:val="00EA1562"/>
    <w:rsid w:val="00EA6EB9"/>
    <w:rsid w:val="00EB2285"/>
    <w:rsid w:val="00EB2B96"/>
    <w:rsid w:val="00EC0BF8"/>
    <w:rsid w:val="00EC3FDF"/>
    <w:rsid w:val="00EC4294"/>
    <w:rsid w:val="00EC5566"/>
    <w:rsid w:val="00EC681E"/>
    <w:rsid w:val="00EC71D9"/>
    <w:rsid w:val="00ED02D3"/>
    <w:rsid w:val="00ED4217"/>
    <w:rsid w:val="00ED45C9"/>
    <w:rsid w:val="00ED477B"/>
    <w:rsid w:val="00ED5E31"/>
    <w:rsid w:val="00EE272F"/>
    <w:rsid w:val="00EE2CAD"/>
    <w:rsid w:val="00EE4815"/>
    <w:rsid w:val="00EE64C1"/>
    <w:rsid w:val="00EF043E"/>
    <w:rsid w:val="00EF7406"/>
    <w:rsid w:val="00F045D7"/>
    <w:rsid w:val="00F050B1"/>
    <w:rsid w:val="00F05AA0"/>
    <w:rsid w:val="00F060B0"/>
    <w:rsid w:val="00F061CB"/>
    <w:rsid w:val="00F11793"/>
    <w:rsid w:val="00F209BB"/>
    <w:rsid w:val="00F24050"/>
    <w:rsid w:val="00F248AA"/>
    <w:rsid w:val="00F25236"/>
    <w:rsid w:val="00F31539"/>
    <w:rsid w:val="00F424A3"/>
    <w:rsid w:val="00F444EC"/>
    <w:rsid w:val="00F457B2"/>
    <w:rsid w:val="00F45FE3"/>
    <w:rsid w:val="00F508E1"/>
    <w:rsid w:val="00F52DB4"/>
    <w:rsid w:val="00F54D03"/>
    <w:rsid w:val="00F6347A"/>
    <w:rsid w:val="00F732D7"/>
    <w:rsid w:val="00F73C0D"/>
    <w:rsid w:val="00F740CC"/>
    <w:rsid w:val="00F7503A"/>
    <w:rsid w:val="00F756C7"/>
    <w:rsid w:val="00F81CF5"/>
    <w:rsid w:val="00F81FEF"/>
    <w:rsid w:val="00F87D16"/>
    <w:rsid w:val="00F90571"/>
    <w:rsid w:val="00F93518"/>
    <w:rsid w:val="00F978B9"/>
    <w:rsid w:val="00FA5354"/>
    <w:rsid w:val="00FA61AF"/>
    <w:rsid w:val="00FA64D1"/>
    <w:rsid w:val="00FA7177"/>
    <w:rsid w:val="00FB0A13"/>
    <w:rsid w:val="00FB21FC"/>
    <w:rsid w:val="00FB2C17"/>
    <w:rsid w:val="00FB42A3"/>
    <w:rsid w:val="00FC5AAB"/>
    <w:rsid w:val="00FC6433"/>
    <w:rsid w:val="00FC653C"/>
    <w:rsid w:val="00FD0A99"/>
    <w:rsid w:val="00FD3A06"/>
    <w:rsid w:val="00FD6566"/>
    <w:rsid w:val="00FD7D14"/>
    <w:rsid w:val="00FE1EB6"/>
    <w:rsid w:val="00FE39C7"/>
    <w:rsid w:val="00FE47AD"/>
    <w:rsid w:val="00FE6E6F"/>
    <w:rsid w:val="00FE79B8"/>
    <w:rsid w:val="00FF12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2E03E6B"/>
  <w15:docId w15:val="{6377C4CB-E5D0-4677-BCA8-B8E304E5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locked="1"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9"/>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9"/>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9"/>
    <w:rsid w:val="00EB4403"/>
    <w:rPr>
      <w:rFonts w:ascii="Calibri" w:eastAsia="Times New Roman" w:hAnsi="Calibri" w:cs="Times New Roman"/>
      <w:b/>
      <w:bCs/>
      <w:lang w:val="en-US" w:eastAsia="en-US"/>
    </w:rPr>
  </w:style>
  <w:style w:type="character" w:customStyle="1" w:styleId="Heading7Char">
    <w:name w:val="Heading 7 Char"/>
    <w:link w:val="Heading7"/>
    <w:uiPriority w:val="99"/>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9"/>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9"/>
    <w:rsid w:val="00EB4403"/>
    <w:rPr>
      <w:rFonts w:ascii="Cambria" w:eastAsia="Times New Roman" w:hAnsi="Cambria" w:cs="Times New Roman"/>
      <w:lang w:val="en-US" w:eastAsia="en-US"/>
    </w:rPr>
  </w:style>
  <w:style w:type="character" w:styleId="FootnoteReference">
    <w:name w:val="footnote reference"/>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rsid w:val="002779F7"/>
    <w:pPr>
      <w:tabs>
        <w:tab w:val="center" w:pos="4320"/>
        <w:tab w:val="right" w:pos="8640"/>
      </w:tabs>
    </w:pPr>
  </w:style>
  <w:style w:type="character" w:customStyle="1" w:styleId="FooterChar">
    <w:name w:val="Footer Char"/>
    <w:link w:val="Footer"/>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rsid w:val="002779F7"/>
    <w:rPr>
      <w:rFonts w:cs="Times New Roman"/>
      <w:color w:val="0000FF"/>
      <w:u w:val="single"/>
    </w:rPr>
  </w:style>
  <w:style w:type="paragraph" w:styleId="FootnoteText">
    <w:name w:val="footnote text"/>
    <w:basedOn w:val="Normal"/>
    <w:link w:val="FootnoteTextChar"/>
    <w:semiHidden/>
    <w:rsid w:val="002779F7"/>
    <w:rPr>
      <w:szCs w:val="20"/>
    </w:rPr>
  </w:style>
  <w:style w:type="character" w:customStyle="1" w:styleId="FootnoteTextChar">
    <w:name w:val="Footnote Text Char"/>
    <w:link w:val="FootnoteText"/>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rsid w:val="00EB4403"/>
    <w:rPr>
      <w:sz w:val="20"/>
      <w:szCs w:val="24"/>
      <w:lang w:val="en-US" w:eastAsia="en-US"/>
    </w:rPr>
  </w:style>
  <w:style w:type="paragraph" w:styleId="BalloonText">
    <w:name w:val="Balloon Text"/>
    <w:basedOn w:val="Normal"/>
    <w:link w:val="BalloonTextChar"/>
    <w:semiHidden/>
    <w:rsid w:val="002779F7"/>
    <w:rPr>
      <w:rFonts w:ascii="Tahoma" w:hAnsi="Tahoma" w:cs="Tahoma"/>
      <w:sz w:val="16"/>
      <w:szCs w:val="16"/>
    </w:rPr>
  </w:style>
  <w:style w:type="character" w:customStyle="1" w:styleId="BalloonTextChar">
    <w:name w:val="Balloon Text Char"/>
    <w:link w:val="BalloonText"/>
    <w:semiHidden/>
    <w:rsid w:val="00EB4403"/>
    <w:rPr>
      <w:sz w:val="0"/>
      <w:szCs w:val="0"/>
      <w:lang w:val="en-US" w:eastAsia="en-US"/>
    </w:rPr>
  </w:style>
  <w:style w:type="paragraph" w:styleId="BodyText3">
    <w:name w:val="Body Text 3"/>
    <w:basedOn w:val="Normal"/>
    <w:link w:val="BodyText3Char"/>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rsid w:val="00DA1080"/>
    <w:rPr>
      <w:rFonts w:cs="Times New Roman"/>
      <w:sz w:val="18"/>
    </w:rPr>
  </w:style>
  <w:style w:type="paragraph" w:styleId="CommentText">
    <w:name w:val="annotation text"/>
    <w:basedOn w:val="Normal"/>
    <w:link w:val="CommentTextChar"/>
    <w:rsid w:val="00DA1080"/>
    <w:rPr>
      <w:sz w:val="24"/>
    </w:rPr>
  </w:style>
  <w:style w:type="character" w:customStyle="1" w:styleId="CommentTextChar">
    <w:name w:val="Comment Text Char"/>
    <w:link w:val="CommentText"/>
    <w:locked/>
    <w:rsid w:val="00DA1080"/>
    <w:rPr>
      <w:sz w:val="24"/>
      <w:lang w:val="en-US" w:eastAsia="en-US"/>
    </w:rPr>
  </w:style>
  <w:style w:type="paragraph" w:styleId="CommentSubject">
    <w:name w:val="annotation subject"/>
    <w:basedOn w:val="CommentText"/>
    <w:next w:val="CommentText"/>
    <w:link w:val="CommentSubjectChar"/>
    <w:rsid w:val="00DA1080"/>
    <w:rPr>
      <w:b/>
      <w:bCs/>
    </w:rPr>
  </w:style>
  <w:style w:type="character" w:customStyle="1" w:styleId="CommentSubjectChar">
    <w:name w:val="Comment Subject Char"/>
    <w:link w:val="CommentSubject"/>
    <w:locked/>
    <w:rsid w:val="00DA1080"/>
    <w:rPr>
      <w:b/>
      <w:sz w:val="24"/>
      <w:lang w:val="en-US" w:eastAsia="en-US"/>
    </w:rPr>
  </w:style>
  <w:style w:type="paragraph" w:styleId="ListParagraph">
    <w:name w:val="List Paragraph"/>
    <w:basedOn w:val="Normal"/>
    <w:qFormat/>
    <w:rsid w:val="00F81FEF"/>
    <w:pPr>
      <w:ind w:left="720"/>
      <w:contextualSpacing/>
    </w:pPr>
  </w:style>
  <w:style w:type="character" w:styleId="Emphasis">
    <w:name w:val="Emphasis"/>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paragraph" w:styleId="Revision">
    <w:name w:val="Revision"/>
    <w:hidden/>
    <w:uiPriority w:val="99"/>
    <w:semiHidden/>
    <w:rsid w:val="00C12C8B"/>
  </w:style>
  <w:style w:type="numbering" w:customStyle="1" w:styleId="NoList1">
    <w:name w:val="No List1"/>
    <w:next w:val="NoList"/>
    <w:uiPriority w:val="99"/>
    <w:semiHidden/>
    <w:unhideWhenUsed/>
    <w:rsid w:val="007F31CD"/>
  </w:style>
  <w:style w:type="table" w:styleId="TableGrid">
    <w:name w:val="Table Grid"/>
    <w:basedOn w:val="TableNormal"/>
    <w:uiPriority w:val="59"/>
    <w:locked/>
    <w:rsid w:val="007F31CD"/>
    <w:rPr>
      <w:rFonts w:asciiTheme="minorHAnsi" w:eastAsiaTheme="minorHAnsi" w:hAnsiTheme="minorHAnsi" w:cstheme="minorBid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7F31CD"/>
  </w:style>
  <w:style w:type="character" w:styleId="Strong">
    <w:name w:val="Strong"/>
    <w:basedOn w:val="DefaultParagraphFont"/>
    <w:qFormat/>
    <w:locked/>
    <w:rsid w:val="007F31CD"/>
    <w:rPr>
      <w:b/>
      <w:bCs/>
    </w:rPr>
  </w:style>
  <w:style w:type="numbering" w:customStyle="1" w:styleId="NoList11">
    <w:name w:val="No List11"/>
    <w:next w:val="NoList"/>
    <w:semiHidden/>
    <w:rsid w:val="007F31CD"/>
  </w:style>
  <w:style w:type="paragraph" w:styleId="NormalWeb">
    <w:name w:val="Normal (Web)"/>
    <w:basedOn w:val="Normal"/>
    <w:rsid w:val="007F31CD"/>
    <w:pPr>
      <w:widowControl/>
      <w:autoSpaceDE/>
      <w:autoSpaceDN/>
      <w:adjustRightInd/>
      <w:spacing w:before="100" w:beforeAutospacing="1" w:after="100" w:afterAutospacing="1"/>
      <w:jc w:val="both"/>
    </w:pPr>
    <w:rPr>
      <w:rFonts w:ascii="Times New Roman" w:hAnsi="Times New Roman"/>
      <w:sz w:val="24"/>
      <w:lang w:eastAsia="en-GB"/>
    </w:rPr>
  </w:style>
  <w:style w:type="character" w:customStyle="1" w:styleId="style371">
    <w:name w:val="style371"/>
    <w:rsid w:val="007F31CD"/>
    <w:rPr>
      <w:b/>
      <w:bCs/>
      <w:sz w:val="24"/>
      <w:szCs w:val="24"/>
    </w:rPr>
  </w:style>
  <w:style w:type="character" w:customStyle="1" w:styleId="style411">
    <w:name w:val="style411"/>
    <w:rsid w:val="007F31CD"/>
    <w:rPr>
      <w:rFonts w:ascii="Arial" w:hAnsi="Arial" w:cs="Arial" w:hint="default"/>
      <w:b/>
      <w:bCs/>
      <w:color w:val="999999"/>
      <w:sz w:val="24"/>
      <w:szCs w:val="24"/>
    </w:rPr>
  </w:style>
  <w:style w:type="character" w:customStyle="1" w:styleId="style391">
    <w:name w:val="style391"/>
    <w:rsid w:val="007F31CD"/>
    <w:rPr>
      <w:rFonts w:ascii="Arial" w:hAnsi="Arial" w:cs="Arial" w:hint="default"/>
      <w:b/>
      <w:bCs/>
      <w:sz w:val="24"/>
      <w:szCs w:val="24"/>
    </w:rPr>
  </w:style>
  <w:style w:type="paragraph" w:styleId="PlainText">
    <w:name w:val="Plain Text"/>
    <w:basedOn w:val="Normal"/>
    <w:link w:val="PlainTextChar"/>
    <w:unhideWhenUsed/>
    <w:rsid w:val="007F31CD"/>
    <w:pPr>
      <w:widowControl/>
      <w:autoSpaceDE/>
      <w:autoSpaceDN/>
      <w:adjustRightInd/>
      <w:jc w:val="both"/>
    </w:pPr>
    <w:rPr>
      <w:rFonts w:ascii="Consolas" w:eastAsia="Calibri" w:hAnsi="Consolas"/>
      <w:sz w:val="21"/>
      <w:szCs w:val="21"/>
    </w:rPr>
  </w:style>
  <w:style w:type="character" w:customStyle="1" w:styleId="PlainTextChar">
    <w:name w:val="Plain Text Char"/>
    <w:basedOn w:val="DefaultParagraphFont"/>
    <w:link w:val="PlainText"/>
    <w:rsid w:val="007F31CD"/>
    <w:rPr>
      <w:rFonts w:ascii="Consolas" w:eastAsia="Calibri" w:hAnsi="Consolas"/>
      <w:sz w:val="21"/>
      <w:szCs w:val="21"/>
    </w:rPr>
  </w:style>
  <w:style w:type="character" w:customStyle="1" w:styleId="DavePritchard">
    <w:name w:val="Dave Pritchard"/>
    <w:semiHidden/>
    <w:rsid w:val="007F31CD"/>
    <w:rPr>
      <w:rFonts w:ascii="Arial" w:hAnsi="Arial" w:cs="Arial"/>
      <w:color w:val="000080"/>
      <w:sz w:val="20"/>
      <w:szCs w:val="20"/>
    </w:rPr>
  </w:style>
  <w:style w:type="paragraph" w:customStyle="1" w:styleId="Pa0">
    <w:name w:val="Pa0"/>
    <w:basedOn w:val="Default"/>
    <w:next w:val="Default"/>
    <w:rsid w:val="007F31CD"/>
    <w:pPr>
      <w:adjustRightInd w:val="0"/>
      <w:spacing w:line="241" w:lineRule="atLeast"/>
    </w:pPr>
    <w:rPr>
      <w:rFonts w:ascii="Univers LT Std 55" w:hAnsi="Univers LT Std 55"/>
      <w:color w:val="auto"/>
      <w:lang w:val="en-US" w:eastAsia="en-US"/>
    </w:rPr>
  </w:style>
  <w:style w:type="character" w:customStyle="1" w:styleId="A0">
    <w:name w:val="A0"/>
    <w:rsid w:val="007F31CD"/>
    <w:rPr>
      <w:rFonts w:cs="Univers LT Std 55"/>
      <w:color w:val="000000"/>
      <w:sz w:val="80"/>
      <w:szCs w:val="80"/>
    </w:rPr>
  </w:style>
  <w:style w:type="character" w:customStyle="1" w:styleId="A4">
    <w:name w:val="A4"/>
    <w:rsid w:val="007F31CD"/>
    <w:rPr>
      <w:rFonts w:cs="Univers LT Std 55"/>
      <w:color w:val="000000"/>
      <w:sz w:val="40"/>
      <w:szCs w:val="40"/>
    </w:rPr>
  </w:style>
  <w:style w:type="character" w:customStyle="1" w:styleId="A5">
    <w:name w:val="A5"/>
    <w:rsid w:val="007F31CD"/>
    <w:rPr>
      <w:rFonts w:ascii="Univers LT Std 39 Thin UltraCn" w:hAnsi="Univers LT Std 39 Thin UltraCn" w:cs="Univers LT Std 39 Thin UltraCn"/>
      <w:color w:val="000000"/>
      <w:sz w:val="161"/>
      <w:szCs w:val="161"/>
    </w:rPr>
  </w:style>
  <w:style w:type="character" w:customStyle="1" w:styleId="A6">
    <w:name w:val="A6"/>
    <w:rsid w:val="007F31CD"/>
    <w:rPr>
      <w:rFonts w:ascii="Univers LT Std 45 Light" w:hAnsi="Univers LT Std 45 Light" w:cs="Univers LT Std 45 Light"/>
      <w:color w:val="000000"/>
      <w:sz w:val="25"/>
      <w:szCs w:val="25"/>
    </w:rPr>
  </w:style>
  <w:style w:type="character" w:customStyle="1" w:styleId="A7">
    <w:name w:val="A7"/>
    <w:rsid w:val="007F31CD"/>
    <w:rPr>
      <w:rFonts w:ascii="Univers LT Std 45 Light" w:hAnsi="Univers LT Std 45 Light" w:cs="Univers LT Std 45 Light"/>
      <w:color w:val="000000"/>
      <w:sz w:val="23"/>
      <w:szCs w:val="23"/>
    </w:rPr>
  </w:style>
  <w:style w:type="character" w:customStyle="1" w:styleId="A10">
    <w:name w:val="A10"/>
    <w:rsid w:val="007F31CD"/>
    <w:rPr>
      <w:rFonts w:ascii="Edwardian Script ITC" w:hAnsi="Edwardian Script ITC" w:cs="Edwardian Script ITC"/>
      <w:color w:val="000000"/>
      <w:sz w:val="94"/>
      <w:szCs w:val="94"/>
    </w:rPr>
  </w:style>
  <w:style w:type="character" w:customStyle="1" w:styleId="A9">
    <w:name w:val="A9"/>
    <w:rsid w:val="007F31CD"/>
    <w:rPr>
      <w:rFonts w:ascii="Univers LT Std 47 Cn Lt" w:hAnsi="Univers LT Std 47 Cn Lt" w:cs="Univers LT Std 47 Cn Lt"/>
      <w:color w:val="000000"/>
      <w:sz w:val="20"/>
      <w:szCs w:val="20"/>
    </w:rPr>
  </w:style>
  <w:style w:type="character" w:customStyle="1" w:styleId="A15">
    <w:name w:val="A15"/>
    <w:rsid w:val="007F31CD"/>
    <w:rPr>
      <w:rFonts w:ascii="Edwardian Script ITC" w:hAnsi="Edwardian Script ITC" w:cs="Edwardian Script ITC"/>
      <w:color w:val="000000"/>
      <w:sz w:val="64"/>
      <w:szCs w:val="64"/>
    </w:rPr>
  </w:style>
  <w:style w:type="paragraph" w:customStyle="1" w:styleId="Pa1">
    <w:name w:val="Pa1"/>
    <w:basedOn w:val="Default"/>
    <w:next w:val="Default"/>
    <w:rsid w:val="007F31CD"/>
    <w:pPr>
      <w:adjustRightInd w:val="0"/>
      <w:spacing w:line="241" w:lineRule="atLeast"/>
    </w:pPr>
    <w:rPr>
      <w:rFonts w:ascii="Univers LT Std 55" w:hAnsi="Univers LT Std 55"/>
      <w:color w:val="auto"/>
      <w:lang w:val="en-US" w:eastAsia="en-US"/>
    </w:rPr>
  </w:style>
  <w:style w:type="character" w:customStyle="1" w:styleId="A16">
    <w:name w:val="A16"/>
    <w:rsid w:val="007F31CD"/>
    <w:rPr>
      <w:rFonts w:ascii="Edwardian Script ITC" w:hAnsi="Edwardian Script ITC" w:cs="Edwardian Script ITC"/>
      <w:color w:val="000000"/>
      <w:sz w:val="72"/>
      <w:szCs w:val="72"/>
    </w:rPr>
  </w:style>
  <w:style w:type="character" w:customStyle="1" w:styleId="A17">
    <w:name w:val="A17"/>
    <w:rsid w:val="007F31CD"/>
    <w:rPr>
      <w:rFonts w:ascii="Edwardian Script ITC" w:hAnsi="Edwardian Script ITC" w:cs="Edwardian Script ITC"/>
      <w:color w:val="000000"/>
      <w:sz w:val="56"/>
      <w:szCs w:val="56"/>
    </w:rPr>
  </w:style>
  <w:style w:type="paragraph" w:customStyle="1" w:styleId="Para1">
    <w:name w:val="Para1"/>
    <w:basedOn w:val="Normal"/>
    <w:rsid w:val="007F31CD"/>
    <w:pPr>
      <w:widowControl/>
      <w:numPr>
        <w:numId w:val="20"/>
      </w:numPr>
      <w:autoSpaceDE/>
      <w:autoSpaceDN/>
      <w:adjustRightInd/>
      <w:spacing w:before="120" w:after="120"/>
      <w:jc w:val="both"/>
    </w:pPr>
    <w:rPr>
      <w:rFonts w:ascii="Times New Roman" w:hAnsi="Times New Roman"/>
      <w:snapToGrid w:val="0"/>
      <w:sz w:val="22"/>
      <w:szCs w:val="18"/>
      <w:lang w:val="en-GB"/>
    </w:rPr>
  </w:style>
  <w:style w:type="paragraph" w:styleId="BodyTextIndent3">
    <w:name w:val="Body Text Indent 3"/>
    <w:basedOn w:val="Normal"/>
    <w:link w:val="BodyTextIndent3Char"/>
    <w:rsid w:val="007F31CD"/>
    <w:pPr>
      <w:widowControl/>
      <w:numPr>
        <w:ilvl w:val="2"/>
        <w:numId w:val="20"/>
      </w:numPr>
      <w:tabs>
        <w:tab w:val="clear" w:pos="1440"/>
      </w:tabs>
      <w:autoSpaceDE/>
      <w:autoSpaceDN/>
      <w:adjustRightInd/>
      <w:spacing w:before="120" w:after="120"/>
      <w:ind w:left="720" w:right="720" w:firstLine="0"/>
      <w:jc w:val="both"/>
    </w:pPr>
    <w:rPr>
      <w:rFonts w:ascii="Times New Roman" w:hAnsi="Times New Roman"/>
      <w:bCs/>
      <w:sz w:val="22"/>
      <w:lang w:val="en-GB"/>
    </w:rPr>
  </w:style>
  <w:style w:type="character" w:customStyle="1" w:styleId="BodyTextIndent3Char">
    <w:name w:val="Body Text Indent 3 Char"/>
    <w:basedOn w:val="DefaultParagraphFont"/>
    <w:link w:val="BodyTextIndent3"/>
    <w:rsid w:val="007F31CD"/>
    <w:rPr>
      <w:rFonts w:ascii="Times New Roman" w:hAnsi="Times New Roman"/>
      <w:bCs/>
      <w:sz w:val="22"/>
      <w:lang w:val="en-GB"/>
    </w:rPr>
  </w:style>
  <w:style w:type="paragraph" w:customStyle="1" w:styleId="note">
    <w:name w:val="note"/>
    <w:basedOn w:val="Normal"/>
    <w:rsid w:val="007F31CD"/>
    <w:pPr>
      <w:widowControl/>
      <w:autoSpaceDE/>
      <w:autoSpaceDN/>
      <w:adjustRightInd/>
      <w:spacing w:before="100" w:beforeAutospacing="1" w:after="100" w:afterAutospacing="1"/>
    </w:pPr>
    <w:rPr>
      <w:rFonts w:ascii="Times New Roman" w:eastAsia="MS Mincho" w:hAnsi="Times New Roman"/>
      <w:sz w:val="24"/>
      <w:lang w:eastAsia="ja-JP"/>
    </w:rPr>
  </w:style>
  <w:style w:type="character" w:customStyle="1" w:styleId="hlbl">
    <w:name w:val="hlbl"/>
    <w:basedOn w:val="DefaultParagraphFont"/>
    <w:rsid w:val="007F31CD"/>
  </w:style>
  <w:style w:type="table" w:customStyle="1" w:styleId="TableGrid1">
    <w:name w:val="Table Grid1"/>
    <w:basedOn w:val="TableNormal"/>
    <w:next w:val="TableGrid"/>
    <w:rsid w:val="007F31CD"/>
    <w:pPr>
      <w:jc w:val="both"/>
    </w:pPr>
    <w:rPr>
      <w:rFonts w:ascii="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7F31CD"/>
    <w:pPr>
      <w:widowControl/>
      <w:adjustRightInd/>
    </w:pPr>
    <w:rPr>
      <w:rFonts w:ascii="Times New Roman" w:eastAsia="MS Mincho" w:hAnsi="Times New Roman"/>
      <w:color w:val="000000"/>
      <w:sz w:val="24"/>
      <w:lang w:eastAsia="ja-JP"/>
    </w:rPr>
  </w:style>
  <w:style w:type="paragraph" w:customStyle="1" w:styleId="Prrafodelista">
    <w:name w:val="Párrafo de lista"/>
    <w:basedOn w:val="Normal"/>
    <w:uiPriority w:val="99"/>
    <w:rsid w:val="007F31CD"/>
    <w:pPr>
      <w:widowControl/>
      <w:autoSpaceDE/>
      <w:autoSpaceDN/>
      <w:adjustRightInd/>
      <w:spacing w:after="200"/>
      <w:ind w:left="720"/>
      <w:jc w:val="both"/>
    </w:pPr>
    <w:rPr>
      <w:rFonts w:ascii="Calibri" w:hAnsi="Calibri" w:cs="Calibri"/>
      <w:sz w:val="22"/>
      <w:szCs w:val="22"/>
      <w:lang w:val="en-GB"/>
    </w:rPr>
  </w:style>
  <w:style w:type="character" w:customStyle="1" w:styleId="sharethispagetop1">
    <w:name w:val="sharethispagetop1"/>
    <w:rsid w:val="007F31CD"/>
    <w:rPr>
      <w:rFonts w:ascii="Helvetica" w:hAnsi="Helvetica" w:hint="default"/>
      <w:i w:val="0"/>
      <w:iCs w:val="0"/>
      <w:strike w:val="0"/>
      <w:dstrike w:val="0"/>
      <w:color w:val="000000"/>
      <w:sz w:val="10"/>
      <w:szCs w:val="10"/>
      <w:u w:val="none"/>
      <w:effect w:val="none"/>
    </w:rPr>
  </w:style>
  <w:style w:type="paragraph" w:styleId="NoSpacing">
    <w:name w:val="No Spacing"/>
    <w:uiPriority w:val="1"/>
    <w:qFormat/>
    <w:rsid w:val="007F31CD"/>
    <w:rPr>
      <w:rFonts w:ascii="Times New Roman" w:eastAsia="Calibri" w:hAnsi="Times New Roman"/>
      <w:sz w:val="24"/>
      <w:szCs w:val="22"/>
      <w:lang w:val="en-GB"/>
    </w:rPr>
  </w:style>
  <w:style w:type="numbering" w:customStyle="1" w:styleId="NoList2">
    <w:name w:val="No List2"/>
    <w:next w:val="NoList"/>
    <w:uiPriority w:val="99"/>
    <w:semiHidden/>
    <w:unhideWhenUsed/>
    <w:rsid w:val="00FA5354"/>
  </w:style>
  <w:style w:type="numbering" w:customStyle="1" w:styleId="NoList12">
    <w:name w:val="No List12"/>
    <w:next w:val="NoList"/>
    <w:uiPriority w:val="99"/>
    <w:semiHidden/>
    <w:unhideWhenUsed/>
    <w:rsid w:val="00FA5354"/>
  </w:style>
  <w:style w:type="table" w:customStyle="1" w:styleId="TableGrid2">
    <w:name w:val="Table Grid2"/>
    <w:basedOn w:val="TableNormal"/>
    <w:next w:val="TableGrid"/>
    <w:uiPriority w:val="59"/>
    <w:rsid w:val="00FA5354"/>
    <w:rPr>
      <w:rFonts w:asciiTheme="minorHAnsi" w:eastAsiaTheme="minorHAnsi" w:hAnsiTheme="minorHAnsi" w:cstheme="minorBid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FA5354"/>
  </w:style>
  <w:style w:type="table" w:customStyle="1" w:styleId="TableGrid11">
    <w:name w:val="Table Grid11"/>
    <w:basedOn w:val="TableNormal"/>
    <w:next w:val="TableGrid"/>
    <w:rsid w:val="00FA5354"/>
    <w:pPr>
      <w:jc w:val="both"/>
    </w:pPr>
    <w:rPr>
      <w:rFonts w:ascii="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FA5354"/>
    <w:pPr>
      <w:widowControl/>
      <w:autoSpaceDE/>
      <w:autoSpaceDN/>
      <w:adjustRightInd/>
      <w:spacing w:after="200"/>
      <w:ind w:left="720"/>
      <w:jc w:val="both"/>
    </w:pPr>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799109837">
      <w:bodyDiv w:val="1"/>
      <w:marLeft w:val="0"/>
      <w:marRight w:val="0"/>
      <w:marTop w:val="0"/>
      <w:marBottom w:val="0"/>
      <w:divBdr>
        <w:top w:val="none" w:sz="0" w:space="0" w:color="auto"/>
        <w:left w:val="none" w:sz="0" w:space="0" w:color="auto"/>
        <w:bottom w:val="none" w:sz="0" w:space="0" w:color="auto"/>
        <w:right w:val="none" w:sz="0" w:space="0" w:color="auto"/>
      </w:divBdr>
    </w:div>
    <w:div w:id="20347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dx.doi.org/10.2305/IUCN.UK.2016-1.RLTS.T15954A50659089.en" TargetMode="External"/><Relationship Id="rId26" Type="http://schemas.openxmlformats.org/officeDocument/2006/relationships/hyperlink" Target="http://www.iucnredlist.org/details/219/0" TargetMode="External"/><Relationship Id="rId39" Type="http://schemas.openxmlformats.org/officeDocument/2006/relationships/hyperlink" Target="http://www.cms.int/sites/default/files/document/Res_11_32_Le%C3%B3n_Africano_Panthera_leo_S.pdff" TargetMode="External"/><Relationship Id="rId21" Type="http://schemas.openxmlformats.org/officeDocument/2006/relationships/header" Target="header5.xml"/><Relationship Id="rId34" Type="http://schemas.openxmlformats.org/officeDocument/2006/relationships/hyperlink" Target="https://cites.org/esp/dec/valid17/81883" TargetMode="External"/><Relationship Id="rId42" Type="http://schemas.openxmlformats.org/officeDocument/2006/relationships/header" Target="header9.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x.doi.org/10.2305/IUCN.UK.2016-1.RLTS.T15951A97162455.en" TargetMode="External"/><Relationship Id="rId29" Type="http://schemas.openxmlformats.org/officeDocument/2006/relationships/hyperlink" Target="http://dx.doi.org/10.2305/IUCN.UK.2015-4.RLTS.T219A50649567.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yperlink" Target="http://dx.doi.org/10.2305/IUCN.UK.2015-2.RLTS.T68933833A54067639.en" TargetMode="External"/><Relationship Id="rId37" Type="http://schemas.openxmlformats.org/officeDocument/2006/relationships/hyperlink" Target="https://cites.org/esp/dec/valid17/81880" TargetMode="External"/><Relationship Id="rId40" Type="http://schemas.openxmlformats.org/officeDocument/2006/relationships/header" Target="header7.xm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s://cites.org/sites/default/files/common/disc/sec/CITES-CMS-wp-en.pdf" TargetMode="External"/><Relationship Id="rId23" Type="http://schemas.openxmlformats.org/officeDocument/2006/relationships/footer" Target="footer4.xml"/><Relationship Id="rId28" Type="http://schemas.openxmlformats.org/officeDocument/2006/relationships/hyperlink" Target="http://www.iucnredlist.org/details/12436/0" TargetMode="External"/><Relationship Id="rId36" Type="http://schemas.openxmlformats.org/officeDocument/2006/relationships/hyperlink" Target="https://cites.org/esp/dec/valid17/81848" TargetMode="External"/><Relationship Id="rId10" Type="http://schemas.openxmlformats.org/officeDocument/2006/relationships/header" Target="header2.xml"/><Relationship Id="rId19" Type="http://schemas.openxmlformats.org/officeDocument/2006/relationships/hyperlink" Target="http://dx.doi.org/10.2305/IUCN.UK.2012.RLTS.T12436A16711116.en" TargetMode="External"/><Relationship Id="rId31" Type="http://schemas.openxmlformats.org/officeDocument/2006/relationships/hyperlink" Target="http://dx.doi.org/10.2305/IUCN.UK.2016-1.RLTS.T15951A97162455.en" TargetMode="External"/><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yperlink" Target="http://www.iucnredlist.org/details/15954/0" TargetMode="External"/><Relationship Id="rId30" Type="http://schemas.openxmlformats.org/officeDocument/2006/relationships/hyperlink" Target="http://dx.doi.org/10.2305/IUCN.UK.2016-1.RLTS.T15954A50659089.en" TargetMode="External"/><Relationship Id="rId35" Type="http://schemas.openxmlformats.org/officeDocument/2006/relationships/hyperlink" Target="https://cites.org/esp/dec/valid17/81845" TargetMode="External"/><Relationship Id="rId43" Type="http://schemas.openxmlformats.org/officeDocument/2006/relationships/header" Target="header10.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dx.doi.org/10.2305/IUCN.UK.2015-4.RLTS.T219A50649567.en" TargetMode="External"/><Relationship Id="rId25" Type="http://schemas.openxmlformats.org/officeDocument/2006/relationships/hyperlink" Target="https://cites.org/eng/res/10/10-14R16.php" TargetMode="External"/><Relationship Id="rId33" Type="http://schemas.openxmlformats.org/officeDocument/2006/relationships/hyperlink" Target="http://dx.doi.org/10.2305/IUCN.UK.2012.RLTS.T12436A16711116.en" TargetMode="External"/><Relationship Id="rId38" Type="http://schemas.openxmlformats.org/officeDocument/2006/relationships/hyperlink" Target="http://www.cms.int/sites/default/files/document/Res_11_13_Acciones_Concertadas_y_cooperativas_S.pdf" TargetMode="External"/><Relationship Id="rId46"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s://www.panthera.org/cat/leop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A972-31BC-4E2F-B717-83F0675D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4</TotalTime>
  <Pages>15</Pages>
  <Words>6036</Words>
  <Characters>33887</Characters>
  <Application>Microsoft Office Word</Application>
  <DocSecurity>0</DocSecurity>
  <Lines>282</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39844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barbara.schoenberg@cms.int</dc:creator>
  <cp:lastModifiedBy>Ximena Cancino</cp:lastModifiedBy>
  <cp:revision>2</cp:revision>
  <cp:lastPrinted>2017-05-22T08:05:00Z</cp:lastPrinted>
  <dcterms:created xsi:type="dcterms:W3CDTF">2017-06-22T10:10:00Z</dcterms:created>
  <dcterms:modified xsi:type="dcterms:W3CDTF">2017-06-22T10:10:00Z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