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BB4C5A"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AA4773">
              <w:rPr>
                <w:rFonts w:ascii="Arial" w:hAnsi="Arial" w:cs="Arial"/>
                <w:sz w:val="22"/>
                <w:szCs w:val="22"/>
                <w:lang w:val="es-ES"/>
              </w:rPr>
              <w:t>109</w:t>
            </w:r>
          </w:p>
          <w:p w:rsidR="00992727" w:rsidRPr="00BA7075" w:rsidRDefault="00AA4773"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AA4773">
      <w:pPr>
        <w:tabs>
          <w:tab w:val="left" w:pos="7020"/>
        </w:tabs>
        <w:rPr>
          <w:rFonts w:ascii="Arial" w:hAnsi="Arial" w:cs="Arial"/>
          <w:sz w:val="22"/>
          <w:szCs w:val="22"/>
          <w:lang w:val="es-ES"/>
        </w:rPr>
      </w:pPr>
    </w:p>
    <w:p w:rsidR="00AA4773" w:rsidRPr="00D51D5A" w:rsidRDefault="00AA4773" w:rsidP="00AA4773">
      <w:pPr>
        <w:widowControl/>
        <w:autoSpaceDE/>
        <w:autoSpaceDN/>
        <w:adjustRightInd/>
        <w:jc w:val="center"/>
        <w:rPr>
          <w:rFonts w:ascii="Arial" w:hAnsi="Arial" w:cs="Arial"/>
          <w:caps/>
          <w:sz w:val="22"/>
          <w:szCs w:val="22"/>
          <w:lang w:val="fr-FR"/>
        </w:rPr>
      </w:pPr>
      <w:r w:rsidRPr="00D51D5A">
        <w:rPr>
          <w:rFonts w:ascii="Arial" w:hAnsi="Arial" w:cs="Arial"/>
          <w:b/>
          <w:bCs/>
          <w:caps/>
          <w:sz w:val="22"/>
          <w:szCs w:val="22"/>
          <w:lang w:val="fr-FR"/>
        </w:rPr>
        <w:t>Resoluciones que han de Revocarse en parte</w:t>
      </w:r>
    </w:p>
    <w:p w:rsidR="00AA4773" w:rsidRPr="00D51D5A" w:rsidRDefault="00AA4773" w:rsidP="00AA4773">
      <w:pPr>
        <w:pStyle w:val="Heading2"/>
        <w:keepNext w:val="0"/>
        <w:ind w:left="-90" w:right="-367"/>
        <w:jc w:val="center"/>
        <w:rPr>
          <w:rFonts w:ascii="Arial" w:hAnsi="Arial" w:cs="Arial"/>
          <w:caps/>
          <w:sz w:val="22"/>
          <w:szCs w:val="22"/>
          <w:lang w:val="fr-FR"/>
        </w:rPr>
      </w:pPr>
    </w:p>
    <w:p w:rsidR="00AA4773" w:rsidRPr="00AA4773" w:rsidRDefault="00AA4773" w:rsidP="00AA4773">
      <w:pPr>
        <w:widowControl/>
        <w:autoSpaceDE/>
        <w:autoSpaceDN/>
        <w:adjustRightInd/>
        <w:jc w:val="center"/>
        <w:rPr>
          <w:rFonts w:ascii="Arial" w:hAnsi="Arial" w:cs="Arial"/>
          <w:b/>
          <w:bCs/>
          <w:caps/>
          <w:sz w:val="22"/>
          <w:szCs w:val="22"/>
          <w:lang w:val="es-ES"/>
        </w:rPr>
      </w:pPr>
      <w:r w:rsidRPr="00CC67E4">
        <w:rPr>
          <w:rFonts w:ascii="Arial" w:hAnsi="Arial" w:cs="Arial"/>
          <w:b/>
          <w:bCs/>
          <w:caps/>
          <w:sz w:val="22"/>
          <w:szCs w:val="22"/>
          <w:lang w:val="es-ES"/>
        </w:rPr>
        <w:t>Resolución 10.15, PROGRAMA MUNDIAL DE TRABAJO PARA CETÁCEOS </w:t>
      </w:r>
    </w:p>
    <w:p w:rsidR="006A709B" w:rsidRPr="006A709B"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6A709B" w:rsidRPr="00293257"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sidR="00040591">
        <w:rPr>
          <w:rFonts w:ascii="Arial" w:hAnsi="Arial" w:cs="Arial"/>
          <w:sz w:val="22"/>
          <w:szCs w:val="22"/>
          <w:lang w:val="fr-FR"/>
        </w:rPr>
        <w:t>Doc</w:t>
      </w:r>
      <w:r w:rsidRPr="00293257">
        <w:rPr>
          <w:rFonts w:ascii="Arial" w:hAnsi="Arial" w:cs="Arial"/>
          <w:caps/>
          <w:sz w:val="22"/>
          <w:szCs w:val="22"/>
          <w:lang w:val="fr-FR"/>
        </w:rPr>
        <w:t>.</w:t>
      </w:r>
      <w:r w:rsidR="00AA4773">
        <w:rPr>
          <w:rFonts w:ascii="Arial" w:hAnsi="Arial" w:cs="Arial"/>
          <w:caps/>
          <w:sz w:val="22"/>
          <w:szCs w:val="22"/>
          <w:lang w:val="fr-FR"/>
        </w:rPr>
        <w:t>21.1.28</w:t>
      </w:r>
      <w:r w:rsidRPr="00293257">
        <w:rPr>
          <w:rFonts w:ascii="Arial" w:hAnsi="Arial" w:cs="Arial"/>
          <w:caps/>
          <w:sz w:val="22"/>
          <w:szCs w:val="22"/>
          <w:lang w:val="fr-FR"/>
        </w:rPr>
        <w:t>)</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B64904" w:rsidRPr="006A709B" w:rsidRDefault="00B64904"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702C22">
        <w:rPr>
          <w:rFonts w:ascii="Arial" w:hAnsi="Arial" w:cs="Arial"/>
          <w:i/>
          <w:sz w:val="22"/>
          <w:szCs w:val="22"/>
          <w:lang w:val="es-ES"/>
        </w:rPr>
        <w:t>(</w:t>
      </w:r>
      <w:r w:rsidR="00B12998" w:rsidRPr="00702C22">
        <w:rPr>
          <w:rFonts w:ascii="Arial" w:hAnsi="Arial" w:cs="Arial"/>
          <w:i/>
          <w:sz w:val="22"/>
          <w:szCs w:val="22"/>
          <w:lang w:val="es-ES"/>
        </w:rPr>
        <w:t>P</w:t>
      </w:r>
      <w:r w:rsidR="00227850" w:rsidRPr="00702C22">
        <w:rPr>
          <w:rFonts w:ascii="Arial" w:hAnsi="Arial" w:cs="Arial"/>
          <w:i/>
          <w:sz w:val="22"/>
          <w:szCs w:val="22"/>
          <w:lang w:val="es-ES"/>
        </w:rPr>
        <w:t>reparado</w:t>
      </w:r>
      <w:r w:rsidR="00F21FE2" w:rsidRPr="00702C22">
        <w:rPr>
          <w:rFonts w:ascii="Arial" w:hAnsi="Arial" w:cs="Arial"/>
          <w:i/>
          <w:sz w:val="22"/>
          <w:szCs w:val="22"/>
          <w:lang w:val="es-ES"/>
        </w:rPr>
        <w:t xml:space="preserve"> por</w:t>
      </w:r>
      <w:r w:rsidR="0079075D" w:rsidRPr="00702C22">
        <w:rPr>
          <w:rFonts w:ascii="Arial" w:hAnsi="Arial" w:cs="Arial"/>
          <w:i/>
          <w:sz w:val="22"/>
          <w:szCs w:val="22"/>
          <w:lang w:val="es-ES"/>
        </w:rPr>
        <w:t xml:space="preserve"> </w:t>
      </w:r>
      <w:r w:rsidR="00BB4C5A" w:rsidRPr="00702C22">
        <w:rPr>
          <w:rFonts w:ascii="Arial" w:hAnsi="Arial" w:cs="Arial"/>
          <w:i/>
          <w:sz w:val="22"/>
          <w:szCs w:val="22"/>
          <w:lang w:val="es-ES"/>
        </w:rPr>
        <w:t>el Grupo de Trabajo de revisión de decisiones)</w:t>
      </w:r>
    </w:p>
    <w:p w:rsidR="006A709B" w:rsidRDefault="006A709B" w:rsidP="001764E6">
      <w:pPr>
        <w:jc w:val="both"/>
        <w:rPr>
          <w:rFonts w:ascii="Arial" w:hAnsi="Arial" w:cs="Arial"/>
          <w:sz w:val="22"/>
          <w:szCs w:val="22"/>
          <w:lang w:val="es-ES"/>
        </w:rPr>
      </w:pPr>
    </w:p>
    <w:p w:rsidR="00AA4773" w:rsidRPr="006A709B" w:rsidRDefault="00AA4773" w:rsidP="001764E6">
      <w:pPr>
        <w:jc w:val="both"/>
        <w:rPr>
          <w:rFonts w:ascii="Arial" w:hAnsi="Arial" w:cs="Arial"/>
          <w:sz w:val="22"/>
          <w:szCs w:val="22"/>
          <w:lang w:val="es-ES"/>
        </w:rPr>
      </w:pPr>
    </w:p>
    <w:p w:rsidR="00AA4773" w:rsidRPr="00BB4C5A" w:rsidRDefault="00AA4773" w:rsidP="00AA4773">
      <w:pPr>
        <w:jc w:val="center"/>
        <w:rPr>
          <w:rFonts w:ascii="Arial" w:hAnsi="Arial" w:cs="Arial"/>
          <w:b/>
          <w:sz w:val="22"/>
          <w:szCs w:val="22"/>
          <w:u w:val="single"/>
          <w:lang w:val="es-ES"/>
        </w:rPr>
      </w:pPr>
      <w:r w:rsidRPr="008624ED">
        <w:rPr>
          <w:rFonts w:ascii="Arial" w:hAnsi="Arial" w:cs="Arial"/>
          <w:b/>
          <w:sz w:val="22"/>
          <w:szCs w:val="22"/>
          <w:lang w:val="es-ES"/>
        </w:rPr>
        <w:t>RESOLUCIÓN</w:t>
      </w:r>
      <w:r w:rsidRPr="00BB4C5A">
        <w:rPr>
          <w:rFonts w:ascii="Arial" w:hAnsi="Arial" w:cs="Arial"/>
          <w:b/>
          <w:sz w:val="22"/>
          <w:szCs w:val="22"/>
          <w:lang w:val="es-ES"/>
        </w:rPr>
        <w:t xml:space="preserve"> 10.15 (REV. COP12)</w:t>
      </w:r>
    </w:p>
    <w:p w:rsidR="00AA4773" w:rsidRPr="00CC67E4" w:rsidRDefault="00AA4773" w:rsidP="00AA4773">
      <w:pPr>
        <w:tabs>
          <w:tab w:val="left" w:pos="1066"/>
        </w:tabs>
        <w:jc w:val="both"/>
        <w:rPr>
          <w:rFonts w:ascii="Arial" w:hAnsi="Arial" w:cs="Arial"/>
          <w:sz w:val="22"/>
          <w:szCs w:val="22"/>
          <w:lang w:val="es-ES"/>
        </w:rPr>
      </w:pPr>
    </w:p>
    <w:p w:rsidR="00AA4773" w:rsidRPr="00CC67E4" w:rsidRDefault="00AA4773" w:rsidP="00AA4773">
      <w:pPr>
        <w:widowControl/>
        <w:autoSpaceDE/>
        <w:autoSpaceDN/>
        <w:adjustRightInd/>
        <w:jc w:val="both"/>
        <w:rPr>
          <w:rStyle w:val="QuickFormat1"/>
          <w:rFonts w:ascii="Arial" w:hAnsi="Arial" w:cs="Arial"/>
          <w:sz w:val="22"/>
          <w:szCs w:val="17"/>
          <w:lang w:val="es-ES"/>
        </w:rPr>
      </w:pPr>
      <w:r w:rsidRPr="00CC67E4">
        <w:rPr>
          <w:rFonts w:ascii="Arial" w:hAnsi="Arial" w:cs="Arial"/>
          <w:i/>
          <w:iCs/>
          <w:sz w:val="22"/>
          <w:szCs w:val="17"/>
          <w:lang w:val="es-ES"/>
        </w:rPr>
        <w:t xml:space="preserve">Recordando </w:t>
      </w:r>
      <w:r w:rsidRPr="00CC67E4">
        <w:rPr>
          <w:rFonts w:ascii="Arial" w:hAnsi="Arial" w:cs="Arial"/>
          <w:sz w:val="22"/>
          <w:szCs w:val="17"/>
          <w:lang w:val="es-ES"/>
        </w:rPr>
        <w:t xml:space="preserve">el Artículo 2, párrafo 1 de la Convención, en el que “las Partes reconocen la importancia de la conservación de las especies migratorias” y </w:t>
      </w:r>
      <w:r w:rsidRPr="00CC67E4">
        <w:rPr>
          <w:rFonts w:ascii="Arial" w:hAnsi="Arial" w:cs="Arial"/>
          <w:i/>
          <w:iCs/>
          <w:sz w:val="22"/>
          <w:szCs w:val="17"/>
          <w:lang w:val="es-ES"/>
        </w:rPr>
        <w:t xml:space="preserve">reconociendo </w:t>
      </w:r>
      <w:r w:rsidRPr="00CC67E4">
        <w:rPr>
          <w:rFonts w:ascii="Arial" w:hAnsi="Arial" w:cs="Arial"/>
          <w:sz w:val="22"/>
          <w:szCs w:val="17"/>
          <w:lang w:val="es-ES"/>
        </w:rPr>
        <w:t>que las especies migratorias de cetáceos pueden enfrentarse a amenazas múltiples y acumulativas con posibles efectos sobre amplias áreas; </w:t>
      </w:r>
    </w:p>
    <w:p w:rsidR="00AA4773" w:rsidRPr="00CC67E4" w:rsidRDefault="00AA4773" w:rsidP="00AA4773">
      <w:pPr>
        <w:widowControl/>
        <w:autoSpaceDE/>
        <w:autoSpaceDN/>
        <w:adjustRightInd/>
        <w:jc w:val="both"/>
        <w:rPr>
          <w:rFonts w:ascii="Arial" w:hAnsi="Arial" w:cs="Arial"/>
          <w:i/>
          <w:iCs/>
          <w:sz w:val="22"/>
          <w:szCs w:val="17"/>
          <w:lang w:val="es-ES"/>
        </w:rPr>
      </w:pPr>
    </w:p>
    <w:p w:rsidR="00AA4773" w:rsidRPr="00CC67E4" w:rsidRDefault="00AA4773" w:rsidP="00AA4773">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Recordando </w:t>
      </w:r>
      <w:r w:rsidRPr="00CC67E4">
        <w:rPr>
          <w:rFonts w:ascii="Arial" w:hAnsi="Arial" w:cs="Arial"/>
          <w:sz w:val="22"/>
          <w:szCs w:val="17"/>
          <w:lang w:val="es-ES"/>
        </w:rPr>
        <w:t>decisiones previas relacionadas de las partes de la CMS incluyendo la Resolución 8.22 (sobre los impactos de origen humano en los cetáceos), la Resolución 9.2 (sobre las prioridades para los Acuerdos de la CMS), la Resolución 9.7 (sobre los impactos del cambio climático en especies migratorias), la Resolución 9.9 (sobre las especies marinas migratorias), la Resolución 9.18 (sobre capturas accesorias), la Resolución 9.19 (sobre los impactos antropogénicos adversos por ruido en el medio marino y oceánico en los cetáceos y otras biotas) y otras; </w:t>
      </w:r>
    </w:p>
    <w:p w:rsidR="00AA4773" w:rsidRPr="00CC67E4" w:rsidRDefault="00AA4773" w:rsidP="00AA4773">
      <w:pPr>
        <w:widowControl/>
        <w:autoSpaceDE/>
        <w:autoSpaceDN/>
        <w:adjustRightInd/>
        <w:jc w:val="both"/>
        <w:rPr>
          <w:rFonts w:ascii="Arial" w:hAnsi="Arial" w:cs="Arial"/>
          <w:i/>
          <w:iCs/>
          <w:sz w:val="22"/>
          <w:szCs w:val="17"/>
          <w:lang w:val="es-ES"/>
        </w:rPr>
      </w:pPr>
    </w:p>
    <w:p w:rsidR="00AA4773" w:rsidRPr="00CC67E4" w:rsidRDefault="00AA4773" w:rsidP="00AA4773">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Recordando </w:t>
      </w:r>
      <w:r w:rsidRPr="00CC67E4">
        <w:rPr>
          <w:rFonts w:ascii="Arial" w:hAnsi="Arial" w:cs="Arial"/>
          <w:sz w:val="22"/>
          <w:szCs w:val="17"/>
          <w:lang w:val="es-ES"/>
        </w:rPr>
        <w:t xml:space="preserve">también que 14 especies de cetáceos o poblaciones están </w:t>
      </w:r>
      <w:r w:rsidR="00637E86">
        <w:rPr>
          <w:rFonts w:ascii="Arial" w:hAnsi="Arial" w:cs="Arial"/>
          <w:sz w:val="22"/>
          <w:szCs w:val="17"/>
          <w:lang w:val="es-ES"/>
        </w:rPr>
        <w:t>incluidas</w:t>
      </w:r>
      <w:r w:rsidRPr="00CC67E4">
        <w:rPr>
          <w:rFonts w:ascii="Arial" w:hAnsi="Arial" w:cs="Arial"/>
          <w:sz w:val="22"/>
          <w:szCs w:val="17"/>
          <w:lang w:val="es-ES"/>
        </w:rPr>
        <w:t xml:space="preserve"> en el Apéndice I de la CMS (algunas de ellas </w:t>
      </w:r>
      <w:r w:rsidR="00637E86">
        <w:rPr>
          <w:rFonts w:ascii="Arial" w:hAnsi="Arial" w:cs="Arial"/>
          <w:sz w:val="22"/>
          <w:szCs w:val="17"/>
          <w:lang w:val="es-ES"/>
        </w:rPr>
        <w:t>figuran</w:t>
      </w:r>
      <w:r w:rsidRPr="00CC67E4">
        <w:rPr>
          <w:rFonts w:ascii="Arial" w:hAnsi="Arial" w:cs="Arial"/>
          <w:sz w:val="22"/>
          <w:szCs w:val="17"/>
          <w:lang w:val="es-ES"/>
        </w:rPr>
        <w:t xml:space="preserve"> en los Apéndices I y II), que 10 de ellas están identificadas para acción concertada, que 22 especies y poblaciones de cetáceos están listadas en el Apéndice II de la CMS y que 12 de ellas están identificadas para acción cooperativa; </w:t>
      </w:r>
    </w:p>
    <w:p w:rsidR="00AA4773" w:rsidRPr="00CC67E4" w:rsidRDefault="00AA4773" w:rsidP="00AA4773">
      <w:pPr>
        <w:widowControl/>
        <w:autoSpaceDE/>
        <w:autoSpaceDN/>
        <w:adjustRightInd/>
        <w:jc w:val="both"/>
        <w:rPr>
          <w:rFonts w:ascii="Arial" w:hAnsi="Arial" w:cs="Arial"/>
          <w:i/>
          <w:iCs/>
          <w:sz w:val="22"/>
          <w:szCs w:val="17"/>
          <w:lang w:val="es-ES"/>
        </w:rPr>
      </w:pPr>
    </w:p>
    <w:p w:rsidR="00AA4773" w:rsidRPr="00CC67E4" w:rsidRDefault="00AA4773" w:rsidP="00AA4773">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Reconociendo </w:t>
      </w:r>
      <w:r w:rsidRPr="00CC67E4">
        <w:rPr>
          <w:rFonts w:ascii="Arial" w:hAnsi="Arial" w:cs="Arial"/>
          <w:sz w:val="22"/>
          <w:szCs w:val="17"/>
          <w:lang w:val="es-ES"/>
        </w:rPr>
        <w:t>otras decisiones relacionadas de la COP10 de la CMS incluyendo la Resolución 10.4 (sobre Desechos marinos), la Resolución 10.14</w:t>
      </w:r>
      <w:r w:rsidR="00AF7AA1">
        <w:rPr>
          <w:rFonts w:ascii="Arial" w:hAnsi="Arial" w:cs="Arial"/>
          <w:sz w:val="22"/>
          <w:szCs w:val="17"/>
          <w:lang w:val="es-ES"/>
        </w:rPr>
        <w:t xml:space="preserve"> (sobre Captura incidental</w:t>
      </w:r>
      <w:r w:rsidR="00637E86">
        <w:rPr>
          <w:rFonts w:ascii="Arial" w:hAnsi="Arial" w:cs="Arial"/>
          <w:sz w:val="22"/>
          <w:szCs w:val="17"/>
          <w:lang w:val="es-ES"/>
        </w:rPr>
        <w:t xml:space="preserve"> </w:t>
      </w:r>
      <w:r w:rsidR="00AF7AA1">
        <w:rPr>
          <w:rFonts w:ascii="Arial" w:hAnsi="Arial" w:cs="Arial"/>
          <w:sz w:val="22"/>
          <w:szCs w:val="17"/>
          <w:lang w:val="es-ES"/>
        </w:rPr>
        <w:t>por</w:t>
      </w:r>
      <w:r w:rsidR="00637E86">
        <w:rPr>
          <w:rFonts w:ascii="Arial" w:hAnsi="Arial" w:cs="Arial"/>
          <w:sz w:val="22"/>
          <w:szCs w:val="17"/>
          <w:lang w:val="es-ES"/>
        </w:rPr>
        <w:t xml:space="preserve"> redes de enmalle) </w:t>
      </w:r>
      <w:r w:rsidRPr="00CC67E4">
        <w:rPr>
          <w:rFonts w:ascii="Arial" w:hAnsi="Arial" w:cs="Arial"/>
          <w:sz w:val="22"/>
          <w:szCs w:val="17"/>
          <w:lang w:val="es-ES"/>
        </w:rPr>
        <w:t>la Resolución 10.16 (sobre prioridades para los Acuerdos), la Resolución 10.19 (sobre el cambio climático), la Resolución 10.23 (sobre acciones concertadas y cooperativas) y la resolución 10.24 (sobre ruido submarino); </w:t>
      </w:r>
    </w:p>
    <w:p w:rsidR="00AA4773" w:rsidRPr="00CC67E4" w:rsidRDefault="00AA4773" w:rsidP="00AA4773">
      <w:pPr>
        <w:widowControl/>
        <w:autoSpaceDE/>
        <w:autoSpaceDN/>
        <w:adjustRightInd/>
        <w:jc w:val="both"/>
        <w:rPr>
          <w:rFonts w:ascii="Arial" w:hAnsi="Arial" w:cs="Arial"/>
          <w:i/>
          <w:iCs/>
          <w:sz w:val="22"/>
          <w:szCs w:val="17"/>
          <w:lang w:val="es-ES"/>
        </w:rPr>
      </w:pPr>
    </w:p>
    <w:p w:rsidR="00AA4773" w:rsidRPr="00CC67E4" w:rsidRDefault="00AA4773" w:rsidP="00AA4773">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Consciente </w:t>
      </w:r>
      <w:r w:rsidRPr="00CC67E4">
        <w:rPr>
          <w:rFonts w:ascii="Arial" w:hAnsi="Arial" w:cs="Arial"/>
          <w:sz w:val="22"/>
          <w:szCs w:val="17"/>
          <w:lang w:val="es-ES"/>
        </w:rPr>
        <w:t>de que muchos Acuerdos Ambientales Multilaterales tratan directa o indirectamente asuntos que afectan a la conservación de los cetáceos y que la estrecha colaboración con éstos es crucial para conseguir el estado de conservación deseado para los cetáceos; </w:t>
      </w:r>
    </w:p>
    <w:p w:rsidR="00AA4773" w:rsidRPr="00CC67E4" w:rsidRDefault="00AA4773" w:rsidP="00AA4773">
      <w:pPr>
        <w:widowControl/>
        <w:autoSpaceDE/>
        <w:autoSpaceDN/>
        <w:adjustRightInd/>
        <w:jc w:val="both"/>
        <w:rPr>
          <w:rFonts w:ascii="Arial" w:hAnsi="Arial" w:cs="Arial"/>
          <w:i/>
          <w:iCs/>
          <w:sz w:val="22"/>
          <w:szCs w:val="17"/>
          <w:lang w:val="es-ES"/>
        </w:rPr>
      </w:pPr>
    </w:p>
    <w:p w:rsidR="00AA4773" w:rsidRPr="00CC67E4" w:rsidRDefault="00AA4773" w:rsidP="00AA4773">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Tomando nota con satisfacción </w:t>
      </w:r>
      <w:r w:rsidRPr="00CC67E4">
        <w:rPr>
          <w:rFonts w:ascii="Arial" w:hAnsi="Arial" w:cs="Arial"/>
          <w:sz w:val="22"/>
          <w:szCs w:val="17"/>
          <w:lang w:val="es-ES"/>
        </w:rPr>
        <w:t>de que las revisiones exhaustivas contempladas en la Resolución 8.22 y reconfirmadas en la Resolución 9.9 se han llevado a cabo y publicado en el documento PNUMA /CMS/Inf.10.31, analizando las amenazas más importantes para los cetáceos en diferentes regiones, cómo se abordan por los foros intergubernamentales y cómo se basan en análisis de carencias que proponen un programa de trabajo para la CMS; </w:t>
      </w:r>
    </w:p>
    <w:p w:rsidR="00AA4773" w:rsidRPr="00CC67E4" w:rsidRDefault="00AA4773" w:rsidP="00AA4773">
      <w:pPr>
        <w:widowControl/>
        <w:autoSpaceDE/>
        <w:autoSpaceDN/>
        <w:adjustRightInd/>
        <w:jc w:val="both"/>
        <w:rPr>
          <w:rFonts w:ascii="Arial" w:hAnsi="Arial" w:cs="Arial"/>
          <w:i/>
          <w:iCs/>
          <w:sz w:val="22"/>
          <w:szCs w:val="17"/>
          <w:lang w:val="es-ES"/>
        </w:rPr>
      </w:pPr>
    </w:p>
    <w:p w:rsidR="00AA4773" w:rsidRPr="00CC67E4" w:rsidRDefault="00AA4773" w:rsidP="00AA4773">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lastRenderedPageBreak/>
        <w:t xml:space="preserve">Agradeciendo </w:t>
      </w:r>
      <w:r w:rsidRPr="00CC67E4">
        <w:rPr>
          <w:rFonts w:ascii="Arial" w:hAnsi="Arial" w:cs="Arial"/>
          <w:sz w:val="22"/>
          <w:szCs w:val="17"/>
          <w:lang w:val="es-ES"/>
        </w:rPr>
        <w:t xml:space="preserve">a la Sociedad para la Conservación de Ballenas y Delfines y a la Red de Vida Silvestre Migratoria, quienes en colaboración con el </w:t>
      </w:r>
      <w:r w:rsidR="00702C22" w:rsidRPr="00CC67E4">
        <w:rPr>
          <w:rFonts w:ascii="Arial" w:hAnsi="Arial" w:cs="Arial"/>
          <w:sz w:val="22"/>
          <w:szCs w:val="17"/>
          <w:lang w:val="es-ES"/>
        </w:rPr>
        <w:t>consejero</w:t>
      </w:r>
      <w:r w:rsidRPr="00CC67E4">
        <w:rPr>
          <w:rFonts w:ascii="Arial" w:hAnsi="Arial" w:cs="Arial"/>
          <w:sz w:val="22"/>
          <w:szCs w:val="17"/>
          <w:lang w:val="es-ES"/>
        </w:rPr>
        <w:t xml:space="preserve"> designado para Mamíferos Acuáticos y la Secretaría de la CMS llevaron a cabo estas extensas revisiones y desarrollaron, </w:t>
      </w:r>
      <w:r w:rsidR="00BB4C5A">
        <w:rPr>
          <w:rFonts w:ascii="Arial" w:hAnsi="Arial" w:cs="Arial"/>
          <w:sz w:val="22"/>
          <w:szCs w:val="17"/>
          <w:lang w:val="es-ES"/>
        </w:rPr>
        <w:t>basándose</w:t>
      </w:r>
      <w:r w:rsidRPr="00CC67E4">
        <w:rPr>
          <w:rFonts w:ascii="Arial" w:hAnsi="Arial" w:cs="Arial"/>
          <w:sz w:val="22"/>
          <w:szCs w:val="17"/>
          <w:lang w:val="es-ES"/>
        </w:rPr>
        <w:t xml:space="preserve"> en ellas, el programa de trabajo detallado en el Anexo de esta resolución; </w:t>
      </w:r>
    </w:p>
    <w:p w:rsidR="00AA4773" w:rsidRPr="00CC67E4" w:rsidRDefault="00AA4773" w:rsidP="00AA4773">
      <w:pPr>
        <w:widowControl/>
        <w:autoSpaceDE/>
        <w:autoSpaceDN/>
        <w:adjustRightInd/>
        <w:jc w:val="both"/>
        <w:rPr>
          <w:rFonts w:ascii="Arial" w:hAnsi="Arial" w:cs="Arial"/>
          <w:i/>
          <w:iCs/>
          <w:sz w:val="22"/>
          <w:szCs w:val="17"/>
          <w:lang w:val="es-ES"/>
        </w:rPr>
      </w:pPr>
    </w:p>
    <w:p w:rsidR="00AA4773" w:rsidRPr="00CC67E4" w:rsidRDefault="00AA4773" w:rsidP="00AA4773">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Tomando nota </w:t>
      </w:r>
      <w:r w:rsidRPr="00CC67E4">
        <w:rPr>
          <w:rFonts w:ascii="Arial" w:hAnsi="Arial" w:cs="Arial"/>
          <w:sz w:val="22"/>
          <w:szCs w:val="17"/>
          <w:lang w:val="es-ES"/>
        </w:rPr>
        <w:t>de la falta de datos sobre la distribución y migración de algunas poblaciones de cetáceos y de los impactos adversos y crecientes de origen humano a los que están expuestos los cetáceos; y </w:t>
      </w:r>
    </w:p>
    <w:p w:rsidR="00AA4773" w:rsidRPr="00CC67E4" w:rsidRDefault="00AA4773" w:rsidP="00AA4773">
      <w:pPr>
        <w:widowControl/>
        <w:autoSpaceDE/>
        <w:autoSpaceDN/>
        <w:adjustRightInd/>
        <w:jc w:val="both"/>
        <w:rPr>
          <w:rFonts w:ascii="Arial" w:hAnsi="Arial" w:cs="Arial"/>
          <w:i/>
          <w:iCs/>
          <w:sz w:val="22"/>
          <w:szCs w:val="17"/>
          <w:lang w:val="es-ES"/>
        </w:rPr>
      </w:pPr>
    </w:p>
    <w:p w:rsidR="00AA4773" w:rsidRPr="00CC67E4" w:rsidRDefault="00AA4773" w:rsidP="00AA4773">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Reconociendo </w:t>
      </w:r>
      <w:r w:rsidRPr="00CC67E4">
        <w:rPr>
          <w:rFonts w:ascii="Arial" w:hAnsi="Arial" w:cs="Arial"/>
          <w:sz w:val="22"/>
          <w:szCs w:val="17"/>
          <w:lang w:val="es-ES"/>
        </w:rPr>
        <w:t>el importante papel que la Familia CMS, IMO, CITES, FAO/COFI y la CBI tienen en la determinación de las estrategias globales para minimizar las amenazas revisadas; </w:t>
      </w:r>
    </w:p>
    <w:p w:rsidR="00AA4773" w:rsidRDefault="00AA4773" w:rsidP="00AA4773">
      <w:pPr>
        <w:widowControl/>
        <w:autoSpaceDE/>
        <w:autoSpaceDN/>
        <w:adjustRightInd/>
        <w:jc w:val="both"/>
        <w:rPr>
          <w:rFonts w:ascii="Arial" w:hAnsi="Arial" w:cs="Arial"/>
          <w:i/>
          <w:iCs/>
          <w:sz w:val="22"/>
          <w:szCs w:val="17"/>
          <w:lang w:val="es-ES"/>
        </w:rPr>
      </w:pPr>
    </w:p>
    <w:p w:rsidR="00AA4773" w:rsidRPr="00CC67E4" w:rsidRDefault="00AA4773" w:rsidP="00AA4773">
      <w:pPr>
        <w:widowControl/>
        <w:autoSpaceDE/>
        <w:autoSpaceDN/>
        <w:adjustRightInd/>
        <w:jc w:val="both"/>
        <w:rPr>
          <w:rFonts w:ascii="Arial" w:hAnsi="Arial" w:cs="Arial"/>
          <w:i/>
          <w:iCs/>
          <w:sz w:val="22"/>
          <w:szCs w:val="17"/>
          <w:lang w:val="es-ES"/>
        </w:rPr>
      </w:pPr>
    </w:p>
    <w:p w:rsidR="00AA4773" w:rsidRPr="00CC67E4" w:rsidRDefault="00AA4773" w:rsidP="00AA4773">
      <w:pPr>
        <w:widowControl/>
        <w:autoSpaceDE/>
        <w:autoSpaceDN/>
        <w:adjustRightInd/>
        <w:jc w:val="center"/>
        <w:rPr>
          <w:rFonts w:ascii="Arial" w:hAnsi="Arial" w:cs="Arial"/>
          <w:i/>
          <w:iCs/>
          <w:sz w:val="22"/>
          <w:szCs w:val="17"/>
          <w:lang w:val="es-ES"/>
        </w:rPr>
      </w:pPr>
      <w:r w:rsidRPr="00CC67E4">
        <w:rPr>
          <w:rFonts w:ascii="Arial" w:hAnsi="Arial" w:cs="Arial"/>
          <w:i/>
          <w:iCs/>
          <w:sz w:val="22"/>
          <w:szCs w:val="17"/>
          <w:lang w:val="es-ES"/>
        </w:rPr>
        <w:t>La Conferencia de las Partes de la Convención sobre la Conservación de Especies Migratorias de Animales Silvestres</w:t>
      </w:r>
    </w:p>
    <w:p w:rsidR="00AA4773" w:rsidRPr="00CC67E4" w:rsidRDefault="00AA4773" w:rsidP="00AA4773">
      <w:pPr>
        <w:widowControl/>
        <w:autoSpaceDE/>
        <w:autoSpaceDN/>
        <w:adjustRightInd/>
        <w:jc w:val="both"/>
        <w:rPr>
          <w:rFonts w:ascii="Arial" w:hAnsi="Arial" w:cs="Arial"/>
          <w:sz w:val="22"/>
          <w:szCs w:val="22"/>
          <w:lang w:val="es-ES"/>
        </w:rPr>
      </w:pPr>
    </w:p>
    <w:p w:rsidR="00AA4773" w:rsidRPr="00CC67E4" w:rsidRDefault="00AA4773" w:rsidP="00AA4773">
      <w:pPr>
        <w:pStyle w:val="ListParagraph"/>
        <w:widowControl/>
        <w:numPr>
          <w:ilvl w:val="0"/>
          <w:numId w:val="46"/>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Adopta </w:t>
      </w:r>
      <w:r w:rsidRPr="00CC67E4">
        <w:rPr>
          <w:rFonts w:ascii="Arial" w:hAnsi="Arial" w:cs="Arial"/>
          <w:sz w:val="22"/>
          <w:szCs w:val="17"/>
          <w:lang w:val="es-ES"/>
        </w:rPr>
        <w:t>el Programa Mundial de Trabajo para Cetáceos detallado en el Anexo de esta resolución;</w:t>
      </w:r>
    </w:p>
    <w:p w:rsidR="00AA4773" w:rsidRPr="00CC67E4" w:rsidRDefault="00AA4773" w:rsidP="00AA4773">
      <w:pPr>
        <w:pStyle w:val="ListParagraph"/>
        <w:widowControl/>
        <w:autoSpaceDE/>
        <w:autoSpaceDN/>
        <w:adjustRightInd/>
        <w:ind w:left="360"/>
        <w:jc w:val="both"/>
        <w:rPr>
          <w:rFonts w:ascii="Arial" w:hAnsi="Arial" w:cs="Arial"/>
          <w:sz w:val="22"/>
          <w:szCs w:val="17"/>
          <w:lang w:val="es-ES"/>
        </w:rPr>
      </w:pPr>
    </w:p>
    <w:p w:rsidR="00AA4773" w:rsidRPr="00CC67E4" w:rsidRDefault="00AA4773" w:rsidP="00AA4773">
      <w:pPr>
        <w:pStyle w:val="ListParagraph"/>
        <w:widowControl/>
        <w:numPr>
          <w:ilvl w:val="0"/>
          <w:numId w:val="46"/>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Reitera </w:t>
      </w:r>
      <w:r w:rsidRPr="00CC67E4">
        <w:rPr>
          <w:rFonts w:ascii="Arial" w:hAnsi="Arial" w:cs="Arial"/>
          <w:sz w:val="22"/>
          <w:szCs w:val="17"/>
          <w:lang w:val="es-ES"/>
        </w:rPr>
        <w:t>el llamamiento urgente a las Partes y a las no Partes para que ejerzan su jurisdicción sobre cualquier parte del área de distribución de las especies de cetáceos listadas en los apéndices de la CMS o sobre buques que operen fuera de los límites jurisdiccionales nacionales para cooperar de la forma apropiada con las organizaciones internacionales relevantes; </w:t>
      </w:r>
    </w:p>
    <w:p w:rsidR="00AA4773" w:rsidRPr="00CC67E4" w:rsidRDefault="00AA4773" w:rsidP="00AA4773">
      <w:pPr>
        <w:widowControl/>
        <w:autoSpaceDE/>
        <w:autoSpaceDN/>
        <w:adjustRightInd/>
        <w:jc w:val="both"/>
        <w:rPr>
          <w:rFonts w:ascii="Arial" w:hAnsi="Arial" w:cs="Arial"/>
          <w:sz w:val="22"/>
          <w:szCs w:val="17"/>
          <w:lang w:val="es-ES"/>
        </w:rPr>
      </w:pPr>
    </w:p>
    <w:p w:rsidR="00AA4773" w:rsidRPr="00CC67E4" w:rsidRDefault="00AA4773" w:rsidP="00AA4773">
      <w:pPr>
        <w:pStyle w:val="ListParagraph"/>
        <w:widowControl/>
        <w:numPr>
          <w:ilvl w:val="0"/>
          <w:numId w:val="46"/>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Insta de nuevo </w:t>
      </w:r>
      <w:r w:rsidRPr="00CC67E4">
        <w:rPr>
          <w:rFonts w:ascii="Arial" w:hAnsi="Arial" w:cs="Arial"/>
          <w:sz w:val="22"/>
          <w:szCs w:val="17"/>
          <w:lang w:val="es-ES"/>
        </w:rPr>
        <w:t>a las Partes y a las no Partes a promover la integración de la conservación de cetáceos en todos los sectores importantes coordinando sus posiciones nacionales entre las distintas convenciones, acuerdos y otros foros internacionales; </w:t>
      </w:r>
    </w:p>
    <w:p w:rsidR="00AA4773" w:rsidRPr="00CC67E4" w:rsidRDefault="00AA4773" w:rsidP="00AA4773">
      <w:pPr>
        <w:widowControl/>
        <w:autoSpaceDE/>
        <w:autoSpaceDN/>
        <w:adjustRightInd/>
        <w:jc w:val="both"/>
        <w:rPr>
          <w:rFonts w:ascii="Arial" w:hAnsi="Arial" w:cs="Arial"/>
          <w:sz w:val="22"/>
          <w:szCs w:val="17"/>
          <w:lang w:val="es-ES"/>
        </w:rPr>
      </w:pPr>
    </w:p>
    <w:p w:rsidR="00AA4773" w:rsidRPr="00CC67E4" w:rsidRDefault="00AA4773" w:rsidP="00AA4773">
      <w:pPr>
        <w:pStyle w:val="ListParagraph"/>
        <w:widowControl/>
        <w:numPr>
          <w:ilvl w:val="0"/>
          <w:numId w:val="46"/>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Alienta </w:t>
      </w:r>
      <w:r w:rsidRPr="00CC67E4">
        <w:rPr>
          <w:rFonts w:ascii="Arial" w:hAnsi="Arial" w:cs="Arial"/>
          <w:sz w:val="22"/>
          <w:szCs w:val="17"/>
          <w:lang w:val="es-ES"/>
        </w:rPr>
        <w:t>a todas las partes interesadas a la aplicación de los acuerdos de la CMS relacionados con los cetáceos; </w:t>
      </w:r>
    </w:p>
    <w:p w:rsidR="00AA4773" w:rsidRPr="00CC67E4" w:rsidRDefault="00AA4773" w:rsidP="00AA4773">
      <w:pPr>
        <w:widowControl/>
        <w:autoSpaceDE/>
        <w:autoSpaceDN/>
        <w:adjustRightInd/>
        <w:jc w:val="both"/>
        <w:rPr>
          <w:rFonts w:ascii="Arial" w:hAnsi="Arial" w:cs="Arial"/>
          <w:sz w:val="22"/>
          <w:szCs w:val="17"/>
          <w:lang w:val="es-ES"/>
        </w:rPr>
      </w:pPr>
    </w:p>
    <w:p w:rsidR="00AA4773" w:rsidRPr="00CC67E4" w:rsidRDefault="00AA4773" w:rsidP="00AA4773">
      <w:pPr>
        <w:pStyle w:val="ListParagraph"/>
        <w:widowControl/>
        <w:numPr>
          <w:ilvl w:val="0"/>
          <w:numId w:val="46"/>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Insta </w:t>
      </w:r>
      <w:r w:rsidRPr="00CC67E4">
        <w:rPr>
          <w:rFonts w:ascii="Arial" w:hAnsi="Arial" w:cs="Arial"/>
          <w:sz w:val="22"/>
          <w:szCs w:val="17"/>
          <w:lang w:val="es-ES"/>
        </w:rPr>
        <w:t xml:space="preserve">a las Partes e </w:t>
      </w:r>
      <w:r w:rsidRPr="00CC67E4">
        <w:rPr>
          <w:rFonts w:ascii="Arial" w:hAnsi="Arial" w:cs="Arial"/>
          <w:i/>
          <w:iCs/>
          <w:sz w:val="22"/>
          <w:szCs w:val="17"/>
          <w:lang w:val="es-ES"/>
        </w:rPr>
        <w:t xml:space="preserve">invita </w:t>
      </w:r>
      <w:r w:rsidRPr="00CC67E4">
        <w:rPr>
          <w:rFonts w:ascii="Arial" w:hAnsi="Arial" w:cs="Arial"/>
          <w:sz w:val="22"/>
          <w:szCs w:val="17"/>
          <w:lang w:val="es-ES"/>
        </w:rPr>
        <w:t xml:space="preserve">a las Partes del Acuerdo, a los firmantes del </w:t>
      </w:r>
      <w:proofErr w:type="spellStart"/>
      <w:r w:rsidRPr="00CC67E4">
        <w:rPr>
          <w:rFonts w:ascii="Arial" w:hAnsi="Arial" w:cs="Arial"/>
          <w:sz w:val="22"/>
          <w:szCs w:val="17"/>
          <w:lang w:val="es-ES"/>
        </w:rPr>
        <w:t>MdE</w:t>
      </w:r>
      <w:proofErr w:type="spellEnd"/>
      <w:r w:rsidRPr="00CC67E4">
        <w:rPr>
          <w:rFonts w:ascii="Arial" w:hAnsi="Arial" w:cs="Arial"/>
          <w:sz w:val="22"/>
          <w:szCs w:val="17"/>
          <w:lang w:val="es-ES"/>
        </w:rPr>
        <w:t>, a las organizaciones asociadas y al sector privado a facilitar la implementación del Programa Mundial de Trabajo para Cetáceos con contribuciones voluntarias y apoyo en especie; </w:t>
      </w:r>
    </w:p>
    <w:p w:rsidR="00AA4773" w:rsidRPr="00CC67E4" w:rsidRDefault="00AA4773" w:rsidP="00AA4773">
      <w:pPr>
        <w:widowControl/>
        <w:autoSpaceDE/>
        <w:autoSpaceDN/>
        <w:adjustRightInd/>
        <w:jc w:val="both"/>
        <w:rPr>
          <w:rFonts w:ascii="Arial" w:hAnsi="Arial" w:cs="Arial"/>
          <w:sz w:val="22"/>
          <w:szCs w:val="17"/>
          <w:lang w:val="es-ES"/>
        </w:rPr>
      </w:pPr>
    </w:p>
    <w:p w:rsidR="00AA4773" w:rsidRPr="00CC67E4" w:rsidRDefault="00AA4773" w:rsidP="00AA4773">
      <w:pPr>
        <w:pStyle w:val="ListParagraph"/>
        <w:widowControl/>
        <w:numPr>
          <w:ilvl w:val="0"/>
          <w:numId w:val="46"/>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Reafirma </w:t>
      </w:r>
      <w:r w:rsidRPr="00CC67E4">
        <w:rPr>
          <w:rFonts w:ascii="Arial" w:hAnsi="Arial" w:cs="Arial"/>
          <w:sz w:val="22"/>
          <w:szCs w:val="17"/>
          <w:lang w:val="es-ES"/>
        </w:rPr>
        <w:t xml:space="preserve">la Resolución 9.9 sobre especies marinas migratorias y </w:t>
      </w:r>
      <w:r w:rsidRPr="00CC67E4">
        <w:rPr>
          <w:rFonts w:ascii="Arial" w:hAnsi="Arial" w:cs="Arial"/>
          <w:i/>
          <w:iCs/>
          <w:sz w:val="22"/>
          <w:szCs w:val="17"/>
          <w:lang w:val="es-ES"/>
        </w:rPr>
        <w:t xml:space="preserve">urge </w:t>
      </w:r>
      <w:r w:rsidRPr="00CC67E4">
        <w:rPr>
          <w:rFonts w:ascii="Arial" w:hAnsi="Arial" w:cs="Arial"/>
          <w:sz w:val="22"/>
          <w:szCs w:val="17"/>
          <w:lang w:val="es-ES"/>
        </w:rPr>
        <w:t>al Consejo Científico a abordar las acciones pendientes; </w:t>
      </w:r>
    </w:p>
    <w:p w:rsidR="00AA4773" w:rsidRPr="00CC67E4" w:rsidRDefault="00AA4773" w:rsidP="00AA4773">
      <w:pPr>
        <w:widowControl/>
        <w:autoSpaceDE/>
        <w:autoSpaceDN/>
        <w:adjustRightInd/>
        <w:jc w:val="both"/>
        <w:rPr>
          <w:rFonts w:ascii="Arial" w:hAnsi="Arial" w:cs="Arial"/>
          <w:sz w:val="22"/>
          <w:szCs w:val="17"/>
          <w:lang w:val="es-ES"/>
        </w:rPr>
      </w:pPr>
    </w:p>
    <w:p w:rsidR="00AA4773" w:rsidRPr="00CC67E4" w:rsidRDefault="00AA4773" w:rsidP="00AA4773">
      <w:pPr>
        <w:pStyle w:val="ListParagraph"/>
        <w:widowControl/>
        <w:numPr>
          <w:ilvl w:val="0"/>
          <w:numId w:val="46"/>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Encarga </w:t>
      </w:r>
      <w:r w:rsidRPr="00CC67E4">
        <w:rPr>
          <w:rFonts w:ascii="Arial" w:hAnsi="Arial" w:cs="Arial"/>
          <w:sz w:val="22"/>
          <w:szCs w:val="17"/>
          <w:lang w:val="es-ES"/>
        </w:rPr>
        <w:t>al Consejo Científico y a la Secretaría que lleve a cabo las acciones previstas en el Programa Mundial de Trabajo para Cetáceos;</w:t>
      </w:r>
    </w:p>
    <w:p w:rsidR="00AA4773" w:rsidRPr="00CC67E4" w:rsidRDefault="00AA4773" w:rsidP="00AA4773">
      <w:pPr>
        <w:widowControl/>
        <w:autoSpaceDE/>
        <w:autoSpaceDN/>
        <w:adjustRightInd/>
        <w:jc w:val="both"/>
        <w:rPr>
          <w:rFonts w:ascii="Arial" w:hAnsi="Arial" w:cs="Arial"/>
          <w:sz w:val="22"/>
          <w:szCs w:val="17"/>
          <w:lang w:val="es-ES"/>
        </w:rPr>
      </w:pPr>
    </w:p>
    <w:p w:rsidR="00AA4773" w:rsidRPr="00CC67E4" w:rsidRDefault="00AA4773" w:rsidP="00AA4773">
      <w:pPr>
        <w:pStyle w:val="ListParagraph"/>
        <w:widowControl/>
        <w:numPr>
          <w:ilvl w:val="0"/>
          <w:numId w:val="46"/>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Reitera </w:t>
      </w:r>
      <w:r w:rsidRPr="00CC67E4">
        <w:rPr>
          <w:rFonts w:ascii="Arial" w:hAnsi="Arial" w:cs="Arial"/>
          <w:sz w:val="22"/>
          <w:szCs w:val="17"/>
          <w:lang w:val="es-ES"/>
        </w:rPr>
        <w:t>la solicitud a la Secretaría de considerar opciones para incrementar los vínculos y las sinergias dentro de la Familia CMS promoviendo prioridades conjuntas, compartiendo conocimientos técnicos y recursos, y celebrando reuniones conjuntas si fuera necesario; </w:t>
      </w:r>
    </w:p>
    <w:p w:rsidR="00AA4773" w:rsidRPr="00CC67E4" w:rsidRDefault="00AA4773" w:rsidP="00AA4773">
      <w:pPr>
        <w:widowControl/>
        <w:autoSpaceDE/>
        <w:autoSpaceDN/>
        <w:adjustRightInd/>
        <w:jc w:val="both"/>
        <w:rPr>
          <w:rFonts w:ascii="Arial" w:hAnsi="Arial" w:cs="Arial"/>
          <w:sz w:val="22"/>
          <w:szCs w:val="17"/>
          <w:lang w:val="es-ES"/>
        </w:rPr>
      </w:pPr>
    </w:p>
    <w:p w:rsidR="00AA4773" w:rsidRPr="00CC67E4" w:rsidRDefault="00AA4773" w:rsidP="00AA4773">
      <w:pPr>
        <w:pStyle w:val="ListParagraph"/>
        <w:widowControl/>
        <w:numPr>
          <w:ilvl w:val="0"/>
          <w:numId w:val="46"/>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Solicita </w:t>
      </w:r>
      <w:r w:rsidRPr="00CC67E4">
        <w:rPr>
          <w:rFonts w:ascii="Arial" w:hAnsi="Arial" w:cs="Arial"/>
          <w:sz w:val="22"/>
          <w:szCs w:val="17"/>
          <w:lang w:val="es-ES"/>
        </w:rPr>
        <w:t>a la Secretaría de la CMS y al Consejo Científico continuar e intensificar los esfuerzos para colaborar con otros foros internacionales relevantes con miras a evitar la duplicación, incrementando las sinergias y otorgando un mayor relieve a la CMS y a los acuerdos de la CMS relacionados con los cetáceos en estos foros; </w:t>
      </w:r>
    </w:p>
    <w:p w:rsidR="00AA4773" w:rsidRPr="00CC67E4" w:rsidRDefault="00AA4773" w:rsidP="00AA4773">
      <w:pPr>
        <w:widowControl/>
        <w:autoSpaceDE/>
        <w:autoSpaceDN/>
        <w:adjustRightInd/>
        <w:jc w:val="both"/>
        <w:rPr>
          <w:rFonts w:ascii="Arial" w:hAnsi="Arial" w:cs="Arial"/>
          <w:sz w:val="22"/>
          <w:szCs w:val="17"/>
          <w:lang w:val="es-ES"/>
        </w:rPr>
      </w:pPr>
    </w:p>
    <w:p w:rsidR="00AA4773" w:rsidRPr="00CC67E4" w:rsidRDefault="00AA4773" w:rsidP="00AA4773">
      <w:pPr>
        <w:pStyle w:val="ListParagraph"/>
        <w:widowControl/>
        <w:numPr>
          <w:ilvl w:val="0"/>
          <w:numId w:val="46"/>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Solicita </w:t>
      </w:r>
      <w:r w:rsidRPr="00CC67E4">
        <w:rPr>
          <w:rFonts w:ascii="Arial" w:hAnsi="Arial" w:cs="Arial"/>
          <w:sz w:val="22"/>
          <w:szCs w:val="17"/>
          <w:lang w:val="es-ES"/>
        </w:rPr>
        <w:t>a la Secretaría y al Consejo Científico que mantengan y, cuando proceda, busquen mejorar la cooperación y colaboración con la Comisión Ballenera Internacional y sus Comités Científicos y de Conservación;</w:t>
      </w:r>
    </w:p>
    <w:p w:rsidR="00AA4773" w:rsidRPr="00CC67E4" w:rsidRDefault="00AA4773" w:rsidP="00AA4773">
      <w:pPr>
        <w:widowControl/>
        <w:autoSpaceDE/>
        <w:autoSpaceDN/>
        <w:adjustRightInd/>
        <w:jc w:val="both"/>
        <w:rPr>
          <w:rFonts w:ascii="Arial" w:hAnsi="Arial" w:cs="Arial"/>
          <w:sz w:val="22"/>
          <w:szCs w:val="17"/>
          <w:lang w:val="es-ES"/>
        </w:rPr>
      </w:pPr>
    </w:p>
    <w:p w:rsidR="00AA4773" w:rsidRPr="00CC67E4" w:rsidRDefault="00AA4773" w:rsidP="00AA4773">
      <w:pPr>
        <w:pStyle w:val="ListParagraph"/>
        <w:widowControl/>
        <w:numPr>
          <w:ilvl w:val="0"/>
          <w:numId w:val="46"/>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Encarga </w:t>
      </w:r>
      <w:r w:rsidRPr="00CC67E4">
        <w:rPr>
          <w:rFonts w:ascii="Arial" w:hAnsi="Arial" w:cs="Arial"/>
          <w:sz w:val="22"/>
          <w:szCs w:val="17"/>
          <w:lang w:val="es-ES"/>
        </w:rPr>
        <w:t xml:space="preserve">al Grupo de Trabajo de Mamíferos Acuáticos del Consejo Científico (GTMA), presidido por el </w:t>
      </w:r>
      <w:r w:rsidR="00702C22" w:rsidRPr="00CC67E4">
        <w:rPr>
          <w:rFonts w:ascii="Arial" w:hAnsi="Arial" w:cs="Arial"/>
          <w:sz w:val="22"/>
          <w:szCs w:val="17"/>
          <w:lang w:val="es-ES"/>
        </w:rPr>
        <w:t>consejero</w:t>
      </w:r>
      <w:r w:rsidRPr="00CC67E4">
        <w:rPr>
          <w:rFonts w:ascii="Arial" w:hAnsi="Arial" w:cs="Arial"/>
          <w:sz w:val="22"/>
          <w:szCs w:val="17"/>
          <w:lang w:val="es-ES"/>
        </w:rPr>
        <w:t xml:space="preserve"> designado para mamíferos marinos de la CMS trabajar de manera </w:t>
      </w:r>
      <w:proofErr w:type="spellStart"/>
      <w:r w:rsidRPr="00CC67E4">
        <w:rPr>
          <w:rFonts w:ascii="Arial" w:hAnsi="Arial" w:cs="Arial"/>
          <w:sz w:val="22"/>
          <w:szCs w:val="17"/>
          <w:lang w:val="es-ES"/>
        </w:rPr>
        <w:t>intersesional</w:t>
      </w:r>
      <w:proofErr w:type="spellEnd"/>
      <w:r w:rsidRPr="00CC67E4">
        <w:rPr>
          <w:rFonts w:ascii="Arial" w:hAnsi="Arial" w:cs="Arial"/>
          <w:sz w:val="22"/>
          <w:szCs w:val="17"/>
          <w:lang w:val="es-ES"/>
        </w:rPr>
        <w:t>, utilizando medios electrónicos cuando proceda; y </w:t>
      </w:r>
    </w:p>
    <w:p w:rsidR="00AA4773" w:rsidRPr="00CC67E4" w:rsidRDefault="00AA4773" w:rsidP="00AA4773">
      <w:pPr>
        <w:widowControl/>
        <w:autoSpaceDE/>
        <w:autoSpaceDN/>
        <w:adjustRightInd/>
        <w:jc w:val="both"/>
        <w:rPr>
          <w:rFonts w:ascii="Arial" w:hAnsi="Arial" w:cs="Arial"/>
          <w:sz w:val="22"/>
          <w:szCs w:val="17"/>
          <w:lang w:val="es-ES"/>
        </w:rPr>
      </w:pPr>
    </w:p>
    <w:p w:rsidR="00AA4773" w:rsidRPr="00CC67E4" w:rsidRDefault="00AA4773" w:rsidP="00AA4773">
      <w:pPr>
        <w:pStyle w:val="ListParagraph"/>
        <w:widowControl/>
        <w:numPr>
          <w:ilvl w:val="0"/>
          <w:numId w:val="46"/>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Alienta </w:t>
      </w:r>
      <w:r w:rsidRPr="00CC67E4">
        <w:rPr>
          <w:rFonts w:ascii="Arial" w:hAnsi="Arial" w:cs="Arial"/>
          <w:sz w:val="22"/>
          <w:szCs w:val="17"/>
          <w:lang w:val="es-ES"/>
        </w:rPr>
        <w:t xml:space="preserve">la participación de otros </w:t>
      </w:r>
      <w:r w:rsidR="00702C22" w:rsidRPr="00CC67E4">
        <w:rPr>
          <w:rFonts w:ascii="Arial" w:hAnsi="Arial" w:cs="Arial"/>
          <w:sz w:val="22"/>
          <w:szCs w:val="17"/>
          <w:lang w:val="es-ES"/>
        </w:rPr>
        <w:t>consejeros</w:t>
      </w:r>
      <w:bookmarkStart w:id="0" w:name="_GoBack"/>
      <w:bookmarkEnd w:id="0"/>
      <w:r w:rsidRPr="00CC67E4">
        <w:rPr>
          <w:rFonts w:ascii="Arial" w:hAnsi="Arial" w:cs="Arial"/>
          <w:sz w:val="22"/>
          <w:szCs w:val="17"/>
          <w:lang w:val="es-ES"/>
        </w:rPr>
        <w:t xml:space="preserve"> designados y puntos focales de especies relevantes, los organismos científicos o asesores de todos los acuerdos sobre mamíferos acuáticos de la CMS, Grupos Especialistas de la UICN relevantes, expertos de la FAO/COFI, CITES y la CBI; y expertos de las Organizaciones socias de la CMS.</w:t>
      </w:r>
    </w:p>
    <w:p w:rsidR="00AA4773" w:rsidRDefault="00AA4773" w:rsidP="00AA4773">
      <w:pPr>
        <w:widowControl/>
        <w:autoSpaceDE/>
        <w:autoSpaceDN/>
        <w:adjustRightInd/>
        <w:jc w:val="both"/>
        <w:rPr>
          <w:rFonts w:ascii="Arial" w:hAnsi="Arial" w:cs="Arial"/>
          <w:sz w:val="22"/>
          <w:szCs w:val="17"/>
          <w:lang w:val="es-ES"/>
        </w:rPr>
      </w:pPr>
    </w:p>
    <w:p w:rsidR="00AA4773" w:rsidRPr="00CC67E4" w:rsidRDefault="00AA4773" w:rsidP="00AA4773">
      <w:pPr>
        <w:widowControl/>
        <w:autoSpaceDE/>
        <w:autoSpaceDN/>
        <w:adjustRightInd/>
        <w:jc w:val="both"/>
        <w:rPr>
          <w:rFonts w:ascii="Arial" w:hAnsi="Arial" w:cs="Arial"/>
          <w:sz w:val="22"/>
          <w:szCs w:val="17"/>
          <w:lang w:val="es-ES"/>
        </w:rPr>
      </w:pPr>
    </w:p>
    <w:p w:rsidR="00AA4773" w:rsidRDefault="00AA4773" w:rsidP="00AA4773">
      <w:pPr>
        <w:widowControl/>
        <w:autoSpaceDE/>
        <w:autoSpaceDN/>
        <w:adjustRightInd/>
        <w:jc w:val="center"/>
        <w:rPr>
          <w:rFonts w:ascii="Arial" w:hAnsi="Arial" w:cs="Arial"/>
          <w:b/>
          <w:bCs/>
          <w:sz w:val="22"/>
          <w:szCs w:val="17"/>
          <w:lang w:val="es-ES"/>
        </w:rPr>
      </w:pPr>
      <w:r>
        <w:rPr>
          <w:rFonts w:ascii="Arial" w:hAnsi="Arial" w:cs="Arial"/>
          <w:b/>
          <w:bCs/>
          <w:sz w:val="22"/>
          <w:szCs w:val="17"/>
          <w:lang w:val="es-ES"/>
        </w:rPr>
        <w:t>ANEXO</w:t>
      </w:r>
    </w:p>
    <w:p w:rsidR="00AA4773" w:rsidRPr="00CC67E4" w:rsidRDefault="00AA4773" w:rsidP="00AA4773">
      <w:pPr>
        <w:widowControl/>
        <w:autoSpaceDE/>
        <w:autoSpaceDN/>
        <w:adjustRightInd/>
        <w:jc w:val="center"/>
        <w:rPr>
          <w:rFonts w:ascii="Arial" w:hAnsi="Arial" w:cs="Arial"/>
          <w:sz w:val="22"/>
          <w:szCs w:val="17"/>
          <w:lang w:val="es-ES"/>
        </w:rPr>
      </w:pPr>
      <w:r w:rsidRPr="00CC67E4">
        <w:rPr>
          <w:rFonts w:ascii="Arial" w:hAnsi="Arial" w:cs="Arial"/>
          <w:b/>
          <w:bCs/>
          <w:sz w:val="22"/>
          <w:szCs w:val="21"/>
          <w:lang w:val="es-ES"/>
        </w:rPr>
        <w:t>P</w:t>
      </w:r>
      <w:r w:rsidRPr="00CC67E4">
        <w:rPr>
          <w:rFonts w:ascii="Arial" w:hAnsi="Arial" w:cs="Arial"/>
          <w:b/>
          <w:bCs/>
          <w:sz w:val="22"/>
          <w:szCs w:val="17"/>
          <w:lang w:val="es-ES"/>
        </w:rPr>
        <w:t xml:space="preserve">ROGRAMA </w:t>
      </w:r>
      <w:r w:rsidRPr="00CC67E4">
        <w:rPr>
          <w:rFonts w:ascii="Arial" w:hAnsi="Arial" w:cs="Arial"/>
          <w:b/>
          <w:bCs/>
          <w:sz w:val="22"/>
          <w:szCs w:val="21"/>
          <w:lang w:val="es-ES"/>
        </w:rPr>
        <w:t>M</w:t>
      </w:r>
      <w:r w:rsidRPr="00CC67E4">
        <w:rPr>
          <w:rFonts w:ascii="Arial" w:hAnsi="Arial" w:cs="Arial"/>
          <w:b/>
          <w:bCs/>
          <w:sz w:val="22"/>
          <w:szCs w:val="17"/>
          <w:lang w:val="es-ES"/>
        </w:rPr>
        <w:t xml:space="preserve">UNDIAL DE </w:t>
      </w:r>
      <w:r w:rsidRPr="00CC67E4">
        <w:rPr>
          <w:rFonts w:ascii="Arial" w:hAnsi="Arial" w:cs="Arial"/>
          <w:b/>
          <w:bCs/>
          <w:sz w:val="22"/>
          <w:szCs w:val="21"/>
          <w:lang w:val="es-ES"/>
        </w:rPr>
        <w:t>T</w:t>
      </w:r>
      <w:r w:rsidRPr="00CC67E4">
        <w:rPr>
          <w:rFonts w:ascii="Arial" w:hAnsi="Arial" w:cs="Arial"/>
          <w:b/>
          <w:bCs/>
          <w:sz w:val="22"/>
          <w:szCs w:val="17"/>
          <w:lang w:val="es-ES"/>
        </w:rPr>
        <w:t xml:space="preserve">RABAJO PARA </w:t>
      </w:r>
      <w:r w:rsidRPr="00CC67E4">
        <w:rPr>
          <w:rFonts w:ascii="Arial" w:hAnsi="Arial" w:cs="Arial"/>
          <w:b/>
          <w:bCs/>
          <w:sz w:val="22"/>
          <w:szCs w:val="21"/>
          <w:lang w:val="es-ES"/>
        </w:rPr>
        <w:t>C</w:t>
      </w:r>
      <w:r w:rsidRPr="00CC67E4">
        <w:rPr>
          <w:rFonts w:ascii="Arial" w:hAnsi="Arial" w:cs="Arial"/>
          <w:b/>
          <w:bCs/>
          <w:sz w:val="22"/>
          <w:szCs w:val="17"/>
          <w:lang w:val="es-ES"/>
        </w:rPr>
        <w:t xml:space="preserve">ETÁCEOS DE LA </w:t>
      </w:r>
      <w:r w:rsidRPr="00CC67E4">
        <w:rPr>
          <w:rFonts w:ascii="Arial" w:hAnsi="Arial" w:cs="Arial"/>
          <w:b/>
          <w:bCs/>
          <w:sz w:val="22"/>
          <w:szCs w:val="21"/>
          <w:lang w:val="es-ES"/>
        </w:rPr>
        <w:t xml:space="preserve">CMS </w:t>
      </w:r>
      <w:r w:rsidRPr="00CC67E4">
        <w:rPr>
          <w:rFonts w:ascii="Arial" w:hAnsi="Arial" w:cs="Arial"/>
          <w:sz w:val="22"/>
          <w:szCs w:val="21"/>
          <w:lang w:val="es-ES"/>
        </w:rPr>
        <w:t>(2012-2024)</w:t>
      </w:r>
    </w:p>
    <w:p w:rsidR="00AA4773" w:rsidRPr="00CC67E4" w:rsidRDefault="00AA4773" w:rsidP="00AA4773">
      <w:pPr>
        <w:widowControl/>
        <w:autoSpaceDE/>
        <w:autoSpaceDN/>
        <w:adjustRightInd/>
        <w:jc w:val="center"/>
        <w:rPr>
          <w:rFonts w:ascii="Arial" w:hAnsi="Arial" w:cs="Arial"/>
          <w:sz w:val="22"/>
          <w:szCs w:val="18"/>
          <w:lang w:val="es-ES"/>
        </w:rPr>
      </w:pPr>
    </w:p>
    <w:p w:rsidR="00AA4773" w:rsidRPr="003E5DFF" w:rsidRDefault="00AA4773" w:rsidP="00AA4773">
      <w:pPr>
        <w:widowControl/>
        <w:autoSpaceDE/>
        <w:autoSpaceDN/>
        <w:adjustRightInd/>
        <w:jc w:val="center"/>
        <w:rPr>
          <w:rFonts w:ascii="Arial" w:hAnsi="Arial" w:cs="Arial"/>
          <w:sz w:val="22"/>
          <w:szCs w:val="18"/>
          <w:lang w:val="es-ES"/>
        </w:rPr>
      </w:pPr>
      <w:r w:rsidRPr="003E5DFF">
        <w:rPr>
          <w:rFonts w:ascii="Arial" w:hAnsi="Arial" w:cs="Arial"/>
          <w:sz w:val="22"/>
          <w:szCs w:val="18"/>
          <w:lang w:val="es-ES"/>
        </w:rPr>
        <w:t>[omitido debido a su longitud]</w:t>
      </w:r>
    </w:p>
    <w:p w:rsidR="00BA3A74" w:rsidRDefault="00BA3A74" w:rsidP="006A709B">
      <w:pPr>
        <w:jc w:val="both"/>
        <w:rPr>
          <w:rFonts w:ascii="Arial" w:hAnsi="Arial" w:cs="Arial"/>
          <w:sz w:val="22"/>
          <w:szCs w:val="22"/>
          <w:lang w:val="es-ES"/>
        </w:rPr>
      </w:pPr>
    </w:p>
    <w:p w:rsidR="00BA3A74" w:rsidRDefault="00BA3A74" w:rsidP="00BA3A74">
      <w:pPr>
        <w:jc w:val="center"/>
        <w:rPr>
          <w:rFonts w:ascii="Arial" w:hAnsi="Arial" w:cs="Arial"/>
          <w:sz w:val="22"/>
          <w:szCs w:val="22"/>
          <w:lang w:val="es-ES"/>
        </w:rPr>
      </w:pPr>
      <w:r w:rsidRPr="00BA3A74">
        <w:rPr>
          <w:rFonts w:ascii="Arial" w:hAnsi="Arial" w:cs="Arial"/>
          <w:sz w:val="22"/>
          <w:szCs w:val="22"/>
          <w:lang w:val="es-ES"/>
        </w:rPr>
        <w:t>PROPUESTAS DE DECISIONES</w:t>
      </w:r>
    </w:p>
    <w:p w:rsidR="00BA3A74" w:rsidRDefault="00BA3A74" w:rsidP="00BA3A74">
      <w:pPr>
        <w:jc w:val="center"/>
        <w:rPr>
          <w:rFonts w:ascii="Arial" w:hAnsi="Arial" w:cs="Arial"/>
          <w:sz w:val="22"/>
          <w:szCs w:val="22"/>
          <w:lang w:val="es-ES"/>
        </w:rPr>
      </w:pPr>
    </w:p>
    <w:p w:rsidR="00AA4773" w:rsidRPr="00CC67E4" w:rsidRDefault="00AA4773" w:rsidP="00AA4773">
      <w:pPr>
        <w:tabs>
          <w:tab w:val="left" w:pos="1066"/>
        </w:tabs>
        <w:jc w:val="both"/>
        <w:rPr>
          <w:rFonts w:ascii="Arial" w:hAnsi="Arial" w:cs="Arial"/>
          <w:b/>
          <w:i/>
          <w:sz w:val="22"/>
          <w:szCs w:val="22"/>
          <w:lang w:val="es-ES"/>
        </w:rPr>
      </w:pPr>
      <w:r w:rsidRPr="00CC67E4">
        <w:rPr>
          <w:rFonts w:ascii="Arial" w:hAnsi="Arial" w:cs="Arial"/>
          <w:b/>
          <w:bCs/>
          <w:i/>
          <w:iCs/>
          <w:sz w:val="22"/>
          <w:szCs w:val="22"/>
          <w:lang w:val="es-ES"/>
        </w:rPr>
        <w:t>Dirigida al </w:t>
      </w:r>
      <w:r w:rsidRPr="00CC67E4">
        <w:rPr>
          <w:rFonts w:ascii="Arial" w:hAnsi="Arial" w:cs="Arial"/>
          <w:b/>
          <w:i/>
          <w:sz w:val="22"/>
          <w:szCs w:val="22"/>
          <w:lang w:val="es-ES"/>
        </w:rPr>
        <w:t>Consejo Científico</w:t>
      </w:r>
    </w:p>
    <w:p w:rsidR="00AA4773" w:rsidRPr="00CC67E4" w:rsidRDefault="00AA4773" w:rsidP="00AA4773">
      <w:pPr>
        <w:tabs>
          <w:tab w:val="left" w:pos="1066"/>
        </w:tabs>
        <w:jc w:val="both"/>
        <w:rPr>
          <w:rFonts w:ascii="Arial" w:hAnsi="Arial" w:cs="Arial"/>
          <w:sz w:val="22"/>
          <w:szCs w:val="22"/>
          <w:lang w:val="es-ES"/>
        </w:rPr>
      </w:pPr>
    </w:p>
    <w:p w:rsidR="00AA4773" w:rsidRPr="00CC67E4" w:rsidRDefault="00AA4773" w:rsidP="00AA4773">
      <w:pPr>
        <w:tabs>
          <w:tab w:val="left" w:pos="1066"/>
        </w:tabs>
        <w:ind w:left="720" w:hanging="720"/>
        <w:jc w:val="both"/>
        <w:rPr>
          <w:rFonts w:ascii="Arial" w:hAnsi="Arial" w:cs="Arial"/>
          <w:sz w:val="22"/>
          <w:szCs w:val="22"/>
          <w:lang w:val="es-ES"/>
        </w:rPr>
      </w:pPr>
      <w:r w:rsidRPr="00CC67E4">
        <w:rPr>
          <w:rFonts w:ascii="Arial" w:hAnsi="Arial" w:cs="Arial"/>
          <w:sz w:val="22"/>
          <w:szCs w:val="17"/>
          <w:lang w:val="es-ES"/>
        </w:rPr>
        <w:t>12.AA</w:t>
      </w:r>
      <w:r w:rsidRPr="00CC67E4">
        <w:rPr>
          <w:rFonts w:ascii="Arial" w:hAnsi="Arial" w:cs="Arial"/>
          <w:sz w:val="22"/>
          <w:szCs w:val="17"/>
          <w:lang w:val="es-ES"/>
        </w:rPr>
        <w:tab/>
      </w:r>
      <w:r>
        <w:rPr>
          <w:rFonts w:ascii="Arial" w:hAnsi="Arial" w:cs="Arial"/>
          <w:sz w:val="22"/>
          <w:szCs w:val="17"/>
          <w:lang w:val="es-ES"/>
        </w:rPr>
        <w:t xml:space="preserve">El </w:t>
      </w:r>
      <w:r w:rsidRPr="00CC67E4">
        <w:rPr>
          <w:rFonts w:ascii="Arial" w:hAnsi="Arial" w:cs="Arial"/>
          <w:sz w:val="22"/>
          <w:szCs w:val="17"/>
          <w:lang w:val="es-ES"/>
        </w:rPr>
        <w:t xml:space="preserve">Consejo Científico </w:t>
      </w:r>
      <w:r w:rsidR="00BB4C5A">
        <w:rPr>
          <w:rFonts w:ascii="Arial" w:hAnsi="Arial" w:cs="Arial"/>
          <w:sz w:val="22"/>
          <w:szCs w:val="17"/>
          <w:lang w:val="es-ES"/>
        </w:rPr>
        <w:t xml:space="preserve">debería </w:t>
      </w:r>
      <w:r>
        <w:rPr>
          <w:rFonts w:ascii="Arial" w:hAnsi="Arial" w:cs="Arial"/>
          <w:sz w:val="22"/>
          <w:szCs w:val="17"/>
          <w:lang w:val="es-ES"/>
        </w:rPr>
        <w:t>revisa</w:t>
      </w:r>
      <w:r w:rsidR="00BB4C5A">
        <w:rPr>
          <w:rFonts w:ascii="Arial" w:hAnsi="Arial" w:cs="Arial"/>
          <w:sz w:val="22"/>
          <w:szCs w:val="17"/>
          <w:lang w:val="es-ES"/>
        </w:rPr>
        <w:t>r, con sujeción a la disponibilidad de recursos,</w:t>
      </w:r>
      <w:r w:rsidRPr="00CC67E4">
        <w:rPr>
          <w:rFonts w:ascii="Arial" w:hAnsi="Arial" w:cs="Arial"/>
          <w:sz w:val="22"/>
          <w:szCs w:val="17"/>
          <w:lang w:val="es-ES"/>
        </w:rPr>
        <w:t xml:space="preserve"> las amenazas regionales que afectan a los mamíferos marinos </w:t>
      </w:r>
      <w:r w:rsidR="00BB4C5A">
        <w:rPr>
          <w:rFonts w:ascii="Arial" w:hAnsi="Arial" w:cs="Arial"/>
          <w:sz w:val="22"/>
          <w:szCs w:val="17"/>
          <w:lang w:val="es-ES"/>
        </w:rPr>
        <w:t xml:space="preserve">incluidos </w:t>
      </w:r>
      <w:r w:rsidR="00637E86">
        <w:rPr>
          <w:rFonts w:ascii="Arial" w:hAnsi="Arial" w:cs="Arial"/>
          <w:sz w:val="22"/>
          <w:szCs w:val="17"/>
          <w:lang w:val="es-ES"/>
        </w:rPr>
        <w:t>en los apéndices</w:t>
      </w:r>
      <w:r w:rsidR="00BB4C5A">
        <w:rPr>
          <w:rFonts w:ascii="Arial" w:hAnsi="Arial" w:cs="Arial"/>
          <w:sz w:val="22"/>
          <w:szCs w:val="17"/>
          <w:lang w:val="es-ES"/>
        </w:rPr>
        <w:t xml:space="preserve"> de </w:t>
      </w:r>
      <w:r w:rsidRPr="00CC67E4">
        <w:rPr>
          <w:rFonts w:ascii="Arial" w:hAnsi="Arial" w:cs="Arial"/>
          <w:sz w:val="22"/>
          <w:szCs w:val="17"/>
          <w:lang w:val="es-ES"/>
        </w:rPr>
        <w:t xml:space="preserve">la CMS </w:t>
      </w:r>
      <w:r w:rsidR="00637E86">
        <w:rPr>
          <w:rFonts w:ascii="Arial" w:hAnsi="Arial" w:cs="Arial"/>
          <w:sz w:val="22"/>
          <w:szCs w:val="17"/>
          <w:lang w:val="es-ES"/>
        </w:rPr>
        <w:t xml:space="preserve">que no figuran en el Programa Mundial de Trabajo sobre Cetáceos </w:t>
      </w:r>
      <w:r w:rsidRPr="00CC67E4">
        <w:rPr>
          <w:rFonts w:ascii="Arial" w:hAnsi="Arial" w:cs="Arial"/>
          <w:sz w:val="22"/>
          <w:szCs w:val="17"/>
          <w:lang w:val="es-ES"/>
        </w:rPr>
        <w:t xml:space="preserve">y </w:t>
      </w:r>
      <w:r w:rsidR="00637E86">
        <w:rPr>
          <w:rFonts w:ascii="Arial" w:hAnsi="Arial" w:cs="Arial"/>
          <w:sz w:val="22"/>
          <w:szCs w:val="17"/>
          <w:lang w:val="es-ES"/>
        </w:rPr>
        <w:t>preparar</w:t>
      </w:r>
      <w:r w:rsidRPr="00CC67E4">
        <w:rPr>
          <w:rFonts w:ascii="Arial" w:hAnsi="Arial" w:cs="Arial"/>
          <w:sz w:val="22"/>
          <w:szCs w:val="17"/>
          <w:lang w:val="es-ES"/>
        </w:rPr>
        <w:t xml:space="preserve"> para la</w:t>
      </w:r>
      <w:r w:rsidR="00637E86">
        <w:rPr>
          <w:rFonts w:ascii="Arial" w:hAnsi="Arial" w:cs="Arial"/>
          <w:sz w:val="22"/>
          <w:szCs w:val="17"/>
          <w:lang w:val="es-ES"/>
        </w:rPr>
        <w:t xml:space="preserve"> </w:t>
      </w:r>
      <w:r w:rsidRPr="00637E86">
        <w:rPr>
          <w:rFonts w:ascii="Arial" w:hAnsi="Arial" w:cs="Arial"/>
          <w:sz w:val="22"/>
          <w:szCs w:val="17"/>
          <w:lang w:val="es-ES"/>
        </w:rPr>
        <w:t>COP13</w:t>
      </w:r>
      <w:r w:rsidRPr="00CC67E4">
        <w:rPr>
          <w:rFonts w:ascii="Arial" w:hAnsi="Arial" w:cs="Arial"/>
          <w:sz w:val="22"/>
          <w:szCs w:val="17"/>
          <w:u w:val="single"/>
          <w:lang w:val="es-ES"/>
        </w:rPr>
        <w:t xml:space="preserve"> </w:t>
      </w:r>
      <w:r w:rsidRPr="00CC67E4">
        <w:rPr>
          <w:rFonts w:ascii="Arial" w:hAnsi="Arial" w:cs="Arial"/>
          <w:sz w:val="22"/>
          <w:szCs w:val="17"/>
          <w:lang w:val="es-ES"/>
        </w:rPr>
        <w:t>de la CMS una evaluación rigurosa de las amenazas y de las prioridades regionales, así como programas de trabajo similares para éstas y otras especies de mamíferos marinos</w:t>
      </w:r>
      <w:r w:rsidR="00637E86">
        <w:rPr>
          <w:rFonts w:ascii="Arial" w:hAnsi="Arial" w:cs="Arial"/>
          <w:sz w:val="22"/>
          <w:szCs w:val="17"/>
          <w:lang w:val="es-ES"/>
        </w:rPr>
        <w:t>.</w:t>
      </w:r>
      <w:r w:rsidRPr="00CC67E4">
        <w:rPr>
          <w:rFonts w:ascii="Arial" w:hAnsi="Arial" w:cs="Arial"/>
          <w:sz w:val="22"/>
          <w:szCs w:val="17"/>
          <w:lang w:val="es-ES"/>
        </w:rPr>
        <w:t> </w:t>
      </w: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00AA4773">
      <w:rPr>
        <w:rFonts w:ascii="Arial" w:hAnsi="Arial" w:cs="Arial"/>
        <w:noProof/>
        <w:sz w:val="18"/>
        <w:szCs w:val="18"/>
      </w:rPr>
      <w:t xml:space="preserve">     UNEP/CMS/COP12/CRP109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B346BB"/>
    <w:multiLevelType w:val="hybridMultilevel"/>
    <w:tmpl w:val="068C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7"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6"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3"/>
  </w:num>
  <w:num w:numId="3">
    <w:abstractNumId w:val="14"/>
  </w:num>
  <w:num w:numId="4">
    <w:abstractNumId w:val="26"/>
  </w:num>
  <w:num w:numId="5">
    <w:abstractNumId w:val="15"/>
  </w:num>
  <w:num w:numId="6">
    <w:abstractNumId w:val="35"/>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4"/>
  </w:num>
  <w:num w:numId="9">
    <w:abstractNumId w:val="10"/>
  </w:num>
  <w:num w:numId="10">
    <w:abstractNumId w:val="25"/>
  </w:num>
  <w:num w:numId="11">
    <w:abstractNumId w:val="39"/>
  </w:num>
  <w:num w:numId="12">
    <w:abstractNumId w:val="5"/>
  </w:num>
  <w:num w:numId="13">
    <w:abstractNumId w:val="22"/>
  </w:num>
  <w:num w:numId="14">
    <w:abstractNumId w:val="37"/>
  </w:num>
  <w:num w:numId="15">
    <w:abstractNumId w:val="2"/>
  </w:num>
  <w:num w:numId="16">
    <w:abstractNumId w:val="13"/>
  </w:num>
  <w:num w:numId="17">
    <w:abstractNumId w:val="40"/>
  </w:num>
  <w:num w:numId="18">
    <w:abstractNumId w:val="24"/>
  </w:num>
  <w:num w:numId="19">
    <w:abstractNumId w:val="38"/>
  </w:num>
  <w:num w:numId="20">
    <w:abstractNumId w:val="44"/>
  </w:num>
  <w:num w:numId="21">
    <w:abstractNumId w:val="6"/>
  </w:num>
  <w:num w:numId="22">
    <w:abstractNumId w:val="20"/>
  </w:num>
  <w:num w:numId="23">
    <w:abstractNumId w:val="28"/>
  </w:num>
  <w:num w:numId="24">
    <w:abstractNumId w:val="18"/>
  </w:num>
  <w:num w:numId="25">
    <w:abstractNumId w:val="32"/>
  </w:num>
  <w:num w:numId="26">
    <w:abstractNumId w:val="0"/>
  </w:num>
  <w:num w:numId="27">
    <w:abstractNumId w:val="41"/>
  </w:num>
  <w:num w:numId="28">
    <w:abstractNumId w:val="9"/>
  </w:num>
  <w:num w:numId="29">
    <w:abstractNumId w:val="23"/>
  </w:num>
  <w:num w:numId="30">
    <w:abstractNumId w:val="16"/>
  </w:num>
  <w:num w:numId="31">
    <w:abstractNumId w:val="30"/>
  </w:num>
  <w:num w:numId="32">
    <w:abstractNumId w:val="29"/>
  </w:num>
  <w:num w:numId="33">
    <w:abstractNumId w:val="8"/>
  </w:num>
  <w:num w:numId="34">
    <w:abstractNumId w:val="21"/>
  </w:num>
  <w:num w:numId="35">
    <w:abstractNumId w:val="17"/>
  </w:num>
  <w:num w:numId="36">
    <w:abstractNumId w:val="33"/>
  </w:num>
  <w:num w:numId="37">
    <w:abstractNumId w:val="36"/>
  </w:num>
  <w:num w:numId="38">
    <w:abstractNumId w:val="12"/>
  </w:num>
  <w:num w:numId="39">
    <w:abstractNumId w:val="31"/>
  </w:num>
  <w:num w:numId="40">
    <w:abstractNumId w:val="42"/>
  </w:num>
  <w:num w:numId="41">
    <w:abstractNumId w:val="27"/>
  </w:num>
  <w:num w:numId="42">
    <w:abstractNumId w:val="19"/>
  </w:num>
  <w:num w:numId="43">
    <w:abstractNumId w:val="11"/>
  </w:num>
  <w:num w:numId="44">
    <w:abstractNumId w:val="3"/>
  </w:num>
  <w:num w:numId="45">
    <w:abstractNumId w:val="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37E86"/>
    <w:rsid w:val="00651341"/>
    <w:rsid w:val="006815B2"/>
    <w:rsid w:val="00682B31"/>
    <w:rsid w:val="006864E1"/>
    <w:rsid w:val="006937DF"/>
    <w:rsid w:val="00695A68"/>
    <w:rsid w:val="006A709B"/>
    <w:rsid w:val="006A7A08"/>
    <w:rsid w:val="006B1037"/>
    <w:rsid w:val="006E56AD"/>
    <w:rsid w:val="006E5763"/>
    <w:rsid w:val="00702C22"/>
    <w:rsid w:val="007101BB"/>
    <w:rsid w:val="00713004"/>
    <w:rsid w:val="00713308"/>
    <w:rsid w:val="00727E01"/>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0F95"/>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773"/>
    <w:rsid w:val="00AA4F58"/>
    <w:rsid w:val="00AA7368"/>
    <w:rsid w:val="00AB4FF9"/>
    <w:rsid w:val="00AE7B21"/>
    <w:rsid w:val="00AF1980"/>
    <w:rsid w:val="00AF2021"/>
    <w:rsid w:val="00AF7AA1"/>
    <w:rsid w:val="00B12998"/>
    <w:rsid w:val="00B471BD"/>
    <w:rsid w:val="00B50C2D"/>
    <w:rsid w:val="00B64904"/>
    <w:rsid w:val="00BA3A74"/>
    <w:rsid w:val="00BA60CE"/>
    <w:rsid w:val="00BA7075"/>
    <w:rsid w:val="00BB4C5A"/>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QuickFormat1">
    <w:name w:val="QuickFormat1"/>
    <w:rsid w:val="00AA4773"/>
    <w:rPr>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3</Pages>
  <Words>1059</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2017-10-26T06:49:00Z</dcterms:created>
  <dcterms:modified xsi:type="dcterms:W3CDTF">2017-10-26T06:49:00Z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