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384"/>
        <w:gridCol w:w="4484"/>
        <w:gridCol w:w="3780"/>
      </w:tblGrid>
      <w:tr w:rsidR="00190D70" w:rsidRPr="00735ED8" w:rsidTr="00BA3904">
        <w:trPr>
          <w:trHeight w:val="725"/>
        </w:trPr>
        <w:tc>
          <w:tcPr>
            <w:tcW w:w="9648"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273F6A"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14:anchorId="1955AED3" wp14:editId="0720A4AE">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14:anchorId="0A5A5A64" wp14:editId="474A6420">
                  <wp:extent cx="368300" cy="381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C7264F" w:rsidTr="00BA3904">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273F6A" w:rsidP="009B0BC0">
            <w:pPr>
              <w:ind w:left="-142"/>
              <w:rPr>
                <w:lang w:val="es-ES"/>
              </w:rPr>
            </w:pPr>
            <w:r>
              <w:rPr>
                <w:noProof/>
              </w:rPr>
              <w:drawing>
                <wp:inline distT="0" distB="0" distL="0" distR="0" wp14:anchorId="02F71926" wp14:editId="5C8C7123">
                  <wp:extent cx="774700" cy="7747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484"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780"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BA3904" w:rsidRDefault="00190D70" w:rsidP="000D3074">
            <w:pPr>
              <w:widowControl w:val="0"/>
              <w:rPr>
                <w:rFonts w:ascii="Arial" w:hAnsi="Arial" w:cs="Arial"/>
                <w:spacing w:val="-6"/>
                <w:sz w:val="22"/>
                <w:lang w:val="es-ES"/>
              </w:rPr>
            </w:pPr>
            <w:r w:rsidRPr="00BA3904">
              <w:rPr>
                <w:rFonts w:ascii="Arial" w:hAnsi="Arial" w:cs="Arial"/>
                <w:spacing w:val="-6"/>
                <w:sz w:val="22"/>
                <w:lang w:val="es-ES"/>
              </w:rPr>
              <w:t>PNUMA/CMS/</w:t>
            </w:r>
            <w:r w:rsidR="00877009" w:rsidRPr="00BA3904">
              <w:rPr>
                <w:rFonts w:ascii="Arial" w:hAnsi="Arial" w:cs="Arial"/>
                <w:spacing w:val="-6"/>
                <w:sz w:val="22"/>
                <w:lang w:val="es-ES"/>
              </w:rPr>
              <w:t>COP11/</w:t>
            </w:r>
            <w:r w:rsidR="00BF1CB1" w:rsidRPr="00BA3904">
              <w:rPr>
                <w:rFonts w:ascii="Arial" w:hAnsi="Arial" w:cs="Arial"/>
                <w:spacing w:val="-6"/>
                <w:sz w:val="22"/>
                <w:lang w:val="es-ES"/>
              </w:rPr>
              <w:t>Doc.21.3</w:t>
            </w:r>
            <w:r w:rsidR="00C7264F" w:rsidRPr="00BA3904">
              <w:rPr>
                <w:rFonts w:ascii="Arial" w:hAnsi="Arial" w:cs="Arial"/>
                <w:spacing w:val="-6"/>
                <w:sz w:val="22"/>
                <w:lang w:val="es-ES"/>
              </w:rPr>
              <w:t>/Rev.1</w:t>
            </w:r>
          </w:p>
          <w:p w:rsidR="00190D70" w:rsidRPr="00735ED8" w:rsidRDefault="00C7264F" w:rsidP="000D3074">
            <w:pPr>
              <w:widowControl w:val="0"/>
              <w:rPr>
                <w:rFonts w:ascii="Arial" w:hAnsi="Arial" w:cs="Arial"/>
                <w:sz w:val="22"/>
                <w:lang w:val="es-ES"/>
              </w:rPr>
            </w:pPr>
            <w:r>
              <w:rPr>
                <w:rFonts w:ascii="Arial" w:hAnsi="Arial" w:cs="Arial"/>
                <w:sz w:val="22"/>
                <w:lang w:val="es-ES"/>
              </w:rPr>
              <w:t>23</w:t>
            </w:r>
            <w:r w:rsidR="00BF1CB1">
              <w:rPr>
                <w:rFonts w:ascii="Arial" w:hAnsi="Arial" w:cs="Arial"/>
                <w:sz w:val="22"/>
                <w:lang w:val="es-ES"/>
              </w:rPr>
              <w:t xml:space="preserve"> de septiembre de</w:t>
            </w:r>
            <w:r w:rsidR="00190D70" w:rsidRPr="00735ED8">
              <w:rPr>
                <w:rFonts w:ascii="Arial" w:hAnsi="Arial" w:cs="Arial"/>
                <w:sz w:val="22"/>
                <w:lang w:val="es-ES"/>
              </w:rPr>
              <w:t xml:space="preserve"> 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BF1CB1">
        <w:rPr>
          <w:sz w:val="22"/>
          <w:szCs w:val="23"/>
          <w:lang w:val="es-ES_tradnl"/>
        </w:rPr>
        <w:t>21.3</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BF1CB1" w:rsidRPr="00BF1CB1" w:rsidRDefault="00BF1CB1" w:rsidP="00BF1CB1">
      <w:pPr>
        <w:widowControl w:val="0"/>
        <w:autoSpaceDE w:val="0"/>
        <w:autoSpaceDN w:val="0"/>
        <w:adjustRightInd w:val="0"/>
        <w:jc w:val="center"/>
        <w:rPr>
          <w:rFonts w:eastAsia="Times New Roman"/>
          <w:b/>
          <w:szCs w:val="24"/>
          <w:lang w:val="es-ES" w:eastAsia="es-ES"/>
        </w:rPr>
      </w:pPr>
      <w:r w:rsidRPr="00BF1CB1">
        <w:rPr>
          <w:rFonts w:eastAsia="Times New Roman"/>
          <w:b/>
          <w:szCs w:val="24"/>
          <w:lang w:val="es-ES" w:eastAsia="es-ES"/>
        </w:rPr>
        <w:t>MEJORA DE LAS RELACIONES ENTRE</w:t>
      </w:r>
    </w:p>
    <w:p w:rsidR="00BF1CB1" w:rsidRPr="00BF1CB1" w:rsidRDefault="00BF1CB1" w:rsidP="00BF1CB1">
      <w:pPr>
        <w:widowControl w:val="0"/>
        <w:autoSpaceDE w:val="0"/>
        <w:autoSpaceDN w:val="0"/>
        <w:adjustRightInd w:val="0"/>
        <w:jc w:val="center"/>
        <w:rPr>
          <w:rFonts w:eastAsia="Times New Roman"/>
          <w:b/>
          <w:szCs w:val="24"/>
          <w:lang w:val="es-ES" w:eastAsia="es-ES"/>
        </w:rPr>
      </w:pPr>
      <w:r w:rsidRPr="00BF1CB1">
        <w:rPr>
          <w:rFonts w:eastAsia="Times New Roman"/>
          <w:b/>
          <w:szCs w:val="24"/>
          <w:lang w:val="es-ES" w:eastAsia="es-ES"/>
        </w:rPr>
        <w:t>LA FAMILIA CMS Y LA SOCIEDAD CIVIL</w:t>
      </w:r>
      <w:bookmarkStart w:id="0" w:name="_GoBack"/>
      <w:bookmarkEnd w:id="0"/>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273F6A"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661670</wp:posOffset>
                </wp:positionH>
                <wp:positionV relativeFrom="paragraph">
                  <wp:posOffset>96520</wp:posOffset>
                </wp:positionV>
                <wp:extent cx="4813300" cy="4277995"/>
                <wp:effectExtent l="0" t="0" r="2540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4277995"/>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BF1CB1" w:rsidRPr="00BF1CB1" w:rsidRDefault="00BF1CB1" w:rsidP="00BF1CB1">
                            <w:pPr>
                              <w:widowControl w:val="0"/>
                              <w:autoSpaceDE w:val="0"/>
                              <w:autoSpaceDN w:val="0"/>
                              <w:adjustRightInd w:val="0"/>
                              <w:jc w:val="both"/>
                              <w:rPr>
                                <w:rFonts w:eastAsia="Times New Roman"/>
                                <w:color w:val="000000"/>
                                <w:szCs w:val="24"/>
                                <w:lang w:val="es-ES" w:eastAsia="es-ES"/>
                              </w:rPr>
                            </w:pPr>
                            <w:r w:rsidRPr="00BF1CB1">
                              <w:rPr>
                                <w:rFonts w:eastAsia="Times New Roman"/>
                                <w:color w:val="000000"/>
                                <w:szCs w:val="24"/>
                                <w:lang w:val="es-ES" w:eastAsia="es-ES"/>
                              </w:rPr>
                              <w:t>En el actual Plan Estratégico 2006-2014 de la CMS y el Plan Estratégico para las Especies Migratorias 2015-2023 propuesto se reconoce que el fortalecimiento de una red de asociados y el establecimiento de un diálogo con otros grupos sectoriales fundamentales cuyas actividades tienen repercusiones en las especies migratorias son de importancia decisiva para promover la CMS y su mandato.</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jc w:val="both"/>
                              <w:rPr>
                                <w:rFonts w:eastAsia="Times New Roman"/>
                                <w:szCs w:val="24"/>
                                <w:lang w:val="es-ES" w:eastAsia="es-ES"/>
                              </w:rPr>
                            </w:pPr>
                            <w:r w:rsidRPr="00BF1CB1">
                              <w:rPr>
                                <w:rFonts w:eastAsia="Times New Roman"/>
                                <w:szCs w:val="24"/>
                                <w:lang w:val="es-ES" w:eastAsia="es-ES"/>
                              </w:rPr>
                              <w:t>El Gobierno de Ghana ha presentado un proyecto de resolución para su examen por la Conferencia de las Partes en su 11ª reunión (COP11).</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autoSpaceDE w:val="0"/>
                              <w:autoSpaceDN w:val="0"/>
                              <w:adjustRightInd w:val="0"/>
                              <w:jc w:val="both"/>
                              <w:rPr>
                                <w:rFonts w:eastAsia="Times New Roman"/>
                                <w:color w:val="000000"/>
                                <w:szCs w:val="24"/>
                                <w:lang w:val="es-ES" w:eastAsia="es-ES"/>
                              </w:rPr>
                            </w:pPr>
                            <w:r w:rsidRPr="00BF1CB1">
                              <w:rPr>
                                <w:rFonts w:eastAsia="Times New Roman"/>
                                <w:color w:val="000000"/>
                                <w:szCs w:val="24"/>
                                <w:lang w:val="es-ES" w:eastAsia="es-ES"/>
                              </w:rPr>
                              <w:t>Tiene por objeto estudiar posibles mecanismos para presentar informes sobre los trabajos facilitados por las ONG, modelos para una mayor participación de las ONG en los procesos y modalidades de la CMS para que las ONG proporcionen conocimientos especializados en materia de implementación y creación de capacidad en regiones fundamentales. Se espera que este estudio pueda aportar una contribución al Grupo de Trabajo sobre el Plan Estratégico para que examine el Plan Estratégico para las Especies Migratorias 2015-2023 y preste apoyo a la familia más amplia de la CMS en su implementación.</w:t>
                            </w:r>
                          </w:p>
                          <w:p w:rsidR="009B0BC0" w:rsidRDefault="009B0BC0" w:rsidP="009B0BC0">
                            <w:pPr>
                              <w:rPr>
                                <w:lang w:val="es-ES"/>
                              </w:rPr>
                            </w:pPr>
                          </w:p>
                          <w:p w:rsidR="00BF1CB1" w:rsidRDefault="00BF1CB1" w:rsidP="009B0BC0">
                            <w:pPr>
                              <w:rPr>
                                <w:lang w:val="es-ES"/>
                              </w:rPr>
                            </w:pPr>
                            <w:r>
                              <w:rPr>
                                <w:lang w:val="es-ES"/>
                              </w:rPr>
                              <w:t>Se espera que la Conferencia de las Partes examine este proyecto de resolución en miras de su adopción.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1pt;margin-top:7.6pt;width:379pt;height:3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XKKgIAAFIEAAAOAAAAZHJzL2Uyb0RvYy54bWysVNuO2yAQfa/Uf0C8N3ayuVpxVttsU1Xa&#10;XqTdfgDG2EbFDAUSO/36Dtibphf1oaofEMMMZw5nZry97VtFTsI6CTqn00lKidAcSqnrnH5+Orxa&#10;U+I80yVToEVOz8LR293LF9vOZGIGDahSWIIg2mWdyWnjvcmSxPFGtMxNwAiNzgpsyzyatk5KyzpE&#10;b1UyS9Nl0oEtjQUunMPT+8FJdxG/qgT3H6vKCU9UTpGbj6uNaxHWZLdlWW2ZaSQfabB/YNEyqTHp&#10;BeqeeUaOVv4G1UpuwUHlJxzaBKpKchHfgK+Zpr+85rFhRsS3oDjOXGRy/w+Wfzh9skSWOV1SolmL&#10;JXoSvSevoSfLoE5nXIZBjwbDfI/HWOX4UmcegH9xRMO+YboWd9ZC1whWIrtpuJlcXR1wXAApuvdQ&#10;Yhp29BCB+sq2QToUgyA6Vul8qUygwvFwvp7e3KTo4uibz1arzWYRc7Ds+bqxzr8V0JKwyanF0kd4&#10;dnpwPtBh2XNIyOZAyfIglYqGrYu9suTEsE0O8RvRfwpTmnQ5nS3myOTvGGn8/oTRSo8Nr2Sb0/Ul&#10;iGVBuDe6jO3omVTDHjkrPSoZxBtk9H3Rj5UpoDyjphaGxsZBxE0D9hslHTZ1Tt3XI7OCEvVOY102&#10;0/k8TEE05ovVDA177SmuPUxzhMqpp2TY7v0wOUdjZd1gpqETNNxhLSsZVQ5FH1iNvLFxo/jjkIXJ&#10;uLZj1I9fwe47AAAA//8DAFBLAwQUAAYACAAAACEAOiov4d0AAAAKAQAADwAAAGRycy9kb3ducmV2&#10;LnhtbEyPQUvEQAyF74L/YYjgzZ3a1Vprp4sIHlZEdF08ZzuxLXYypTPd1n9vPOkp75HHy5dys7he&#10;HWkMnWcDl6sEFHHtbceNgf3740UOKkRki71nMvBNATbV6UmJhfUzv9FxFxslJRwKNNDGOBRah7ol&#10;h2HlB2LZffrRYRQ7NtqOOEu563WaJJl22LFcaHGgh5bqr93kDOjt/LLWz6/Zzcf2adq7YNcLW2PO&#10;z5b7O1CRlvgXhl98QYdKmA5+YhtULz65SiUq4lqmBPIsFXEwkOX5Leiq1P9fqH4AAAD//wMAUEsB&#10;Ai0AFAAGAAgAAAAhALaDOJL+AAAA4QEAABMAAAAAAAAAAAAAAAAAAAAAAFtDb250ZW50X1R5cGVz&#10;XS54bWxQSwECLQAUAAYACAAAACEAOP0h/9YAAACUAQAACwAAAAAAAAAAAAAAAAAvAQAAX3JlbHMv&#10;LnJlbHNQSwECLQAUAAYACAAAACEAYfB1yioCAABSBAAADgAAAAAAAAAAAAAAAAAuAgAAZHJzL2Uy&#10;b0RvYy54bWxQSwECLQAUAAYACAAAACEAOiov4d0AAAAKAQAADwAAAAAAAAAAAAAAAACEBAAAZHJz&#10;L2Rvd25yZXYueG1sUEsFBgAAAAAEAAQA8wAAAI4FAAAAAA==&#10;" strokeweight="2pt">
                <v:textbox>
                  <w:txbxContent>
                    <w:p w:rsidR="009B0BC0" w:rsidRPr="00BB441C" w:rsidRDefault="009B0BC0" w:rsidP="009B0BC0">
                      <w:pPr>
                        <w:rPr>
                          <w:lang w:val="es-ES"/>
                        </w:rPr>
                      </w:pPr>
                      <w:r w:rsidRPr="00BB441C">
                        <w:rPr>
                          <w:lang w:val="es-ES"/>
                        </w:rPr>
                        <w:t>Sumario</w:t>
                      </w:r>
                    </w:p>
                    <w:p w:rsidR="00BF1CB1" w:rsidRPr="00BF1CB1" w:rsidRDefault="00BF1CB1" w:rsidP="00BF1CB1">
                      <w:pPr>
                        <w:widowControl w:val="0"/>
                        <w:autoSpaceDE w:val="0"/>
                        <w:autoSpaceDN w:val="0"/>
                        <w:adjustRightInd w:val="0"/>
                        <w:jc w:val="both"/>
                        <w:rPr>
                          <w:rFonts w:eastAsia="Times New Roman"/>
                          <w:color w:val="000000"/>
                          <w:szCs w:val="24"/>
                          <w:lang w:val="es-ES" w:eastAsia="es-ES"/>
                        </w:rPr>
                      </w:pPr>
                      <w:r w:rsidRPr="00BF1CB1">
                        <w:rPr>
                          <w:rFonts w:eastAsia="Times New Roman"/>
                          <w:color w:val="000000"/>
                          <w:szCs w:val="24"/>
                          <w:lang w:val="es-ES" w:eastAsia="es-ES"/>
                        </w:rPr>
                        <w:t>En el actual Plan Estratégico 2006-2014 de la CMS y el Plan Estratégico para las Especies Migratorias 2015-2023 propuesto se reconoce que el fortalecimiento de una red de asociados y el establecimiento de un diálogo con otros grupos sectoriales fundamentales cuyas actividades tienen repercusiones en las especies migratorias son de importancia decisiva para promover la CMS y su mandato.</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jc w:val="both"/>
                        <w:rPr>
                          <w:rFonts w:eastAsia="Times New Roman"/>
                          <w:szCs w:val="24"/>
                          <w:lang w:val="es-ES" w:eastAsia="es-ES"/>
                        </w:rPr>
                      </w:pPr>
                      <w:r w:rsidRPr="00BF1CB1">
                        <w:rPr>
                          <w:rFonts w:eastAsia="Times New Roman"/>
                          <w:szCs w:val="24"/>
                          <w:lang w:val="es-ES" w:eastAsia="es-ES"/>
                        </w:rPr>
                        <w:t>El Gobierno de Ghana ha presentado un proyecto de resolución para su examen por la Conferencia de las Partes en su 11ª reunión (COP11).</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autoSpaceDE w:val="0"/>
                        <w:autoSpaceDN w:val="0"/>
                        <w:adjustRightInd w:val="0"/>
                        <w:jc w:val="both"/>
                        <w:rPr>
                          <w:rFonts w:eastAsia="Times New Roman"/>
                          <w:color w:val="000000"/>
                          <w:szCs w:val="24"/>
                          <w:lang w:val="es-ES" w:eastAsia="es-ES"/>
                        </w:rPr>
                      </w:pPr>
                      <w:r w:rsidRPr="00BF1CB1">
                        <w:rPr>
                          <w:rFonts w:eastAsia="Times New Roman"/>
                          <w:color w:val="000000"/>
                          <w:szCs w:val="24"/>
                          <w:lang w:val="es-ES" w:eastAsia="es-ES"/>
                        </w:rPr>
                        <w:t>Tiene por objeto estudiar posibles mecanismos para presentar informes sobre los trabajos facilitados por las ONG, modelos para una mayor participación de las ONG en los procesos y modalidades de la CMS para que las ONG proporcionen conocimientos especializados en materia de implementación y creación de capacidad en regiones fundamentales. Se espera que este estudio pueda aportar una contribución al Grupo de Trabajo sobre el Plan Estratégico para que examine el Plan Estratégico para las Especies Migratorias 2015-2023 y preste apoyo a la familia más amplia de la CMS en su implementación.</w:t>
                      </w:r>
                    </w:p>
                    <w:p w:rsidR="009B0BC0" w:rsidRDefault="009B0BC0" w:rsidP="009B0BC0">
                      <w:pPr>
                        <w:rPr>
                          <w:lang w:val="es-ES"/>
                        </w:rPr>
                      </w:pPr>
                    </w:p>
                    <w:p w:rsidR="00BF1CB1" w:rsidRDefault="00BF1CB1" w:rsidP="009B0BC0">
                      <w:pPr>
                        <w:rPr>
                          <w:lang w:val="es-ES"/>
                        </w:rPr>
                      </w:pPr>
                      <w:r>
                        <w:rPr>
                          <w:lang w:val="es-ES"/>
                        </w:rPr>
                        <w:t>Se espera que la Conferencia de las Partes examine este proyecto de resolución en miras de su adopción.</w:t>
                      </w: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BF1CB1" w:rsidRPr="00BF1CB1" w:rsidRDefault="00BF1CB1" w:rsidP="00BF1CB1">
      <w:pPr>
        <w:widowControl w:val="0"/>
        <w:autoSpaceDE w:val="0"/>
        <w:autoSpaceDN w:val="0"/>
        <w:adjustRightInd w:val="0"/>
        <w:jc w:val="center"/>
        <w:rPr>
          <w:rFonts w:eastAsia="Times New Roman"/>
          <w:b/>
          <w:szCs w:val="24"/>
          <w:lang w:val="es-ES" w:eastAsia="es-ES"/>
        </w:rPr>
      </w:pPr>
      <w:r w:rsidRPr="00BF1CB1">
        <w:rPr>
          <w:rFonts w:eastAsia="Times New Roman"/>
          <w:b/>
          <w:szCs w:val="24"/>
          <w:lang w:val="es-ES" w:eastAsia="es-ES"/>
        </w:rPr>
        <w:lastRenderedPageBreak/>
        <w:t>MEJORA DE LAS RELACIONES ENTRE</w:t>
      </w:r>
    </w:p>
    <w:p w:rsidR="00BF1CB1" w:rsidRPr="00BF1CB1" w:rsidRDefault="00BF1CB1" w:rsidP="00BF1CB1">
      <w:pPr>
        <w:widowControl w:val="0"/>
        <w:autoSpaceDE w:val="0"/>
        <w:autoSpaceDN w:val="0"/>
        <w:adjustRightInd w:val="0"/>
        <w:jc w:val="center"/>
        <w:rPr>
          <w:rFonts w:eastAsia="Times New Roman"/>
          <w:b/>
          <w:szCs w:val="24"/>
          <w:lang w:val="es-ES" w:eastAsia="es-ES"/>
        </w:rPr>
      </w:pPr>
      <w:r w:rsidRPr="00BF1CB1">
        <w:rPr>
          <w:rFonts w:eastAsia="Times New Roman"/>
          <w:b/>
          <w:szCs w:val="24"/>
          <w:lang w:val="es-ES" w:eastAsia="es-ES"/>
        </w:rPr>
        <w:t>LA FAMILIA CMS Y LA SOCIEDAD CIVIL</w:t>
      </w:r>
    </w:p>
    <w:p w:rsidR="00BF1CB1" w:rsidRPr="00BF1CB1" w:rsidRDefault="00BF1CB1" w:rsidP="00BF1CB1">
      <w:pPr>
        <w:widowControl w:val="0"/>
        <w:autoSpaceDE w:val="0"/>
        <w:autoSpaceDN w:val="0"/>
        <w:adjustRightInd w:val="0"/>
        <w:jc w:val="center"/>
        <w:rPr>
          <w:rFonts w:eastAsia="Times New Roman"/>
          <w:szCs w:val="24"/>
          <w:lang w:val="es-ES" w:eastAsia="es-ES"/>
        </w:rPr>
      </w:pPr>
    </w:p>
    <w:p w:rsidR="00BF1CB1" w:rsidRPr="00BF1CB1" w:rsidRDefault="00BF1CB1" w:rsidP="00BF1CB1">
      <w:pPr>
        <w:widowControl w:val="0"/>
        <w:autoSpaceDE w:val="0"/>
        <w:autoSpaceDN w:val="0"/>
        <w:adjustRightInd w:val="0"/>
        <w:jc w:val="center"/>
        <w:rPr>
          <w:rFonts w:eastAsia="Times New Roman"/>
          <w:i/>
          <w:szCs w:val="24"/>
          <w:lang w:val="es-ES" w:eastAsia="es-ES"/>
        </w:rPr>
      </w:pPr>
      <w:r w:rsidRPr="00BF1CB1">
        <w:rPr>
          <w:rFonts w:eastAsia="Times New Roman"/>
          <w:i/>
          <w:szCs w:val="24"/>
          <w:lang w:val="es-ES" w:eastAsia="es-ES"/>
        </w:rPr>
        <w:t>(Preparado por la Secretaría del PNUMA/CMS)</w:t>
      </w:r>
    </w:p>
    <w:p w:rsidR="00BF1CB1" w:rsidRPr="00BF1CB1" w:rsidRDefault="00BF1CB1" w:rsidP="00BF1CB1">
      <w:pPr>
        <w:widowControl w:val="0"/>
        <w:autoSpaceDE w:val="0"/>
        <w:autoSpaceDN w:val="0"/>
        <w:adjustRightInd w:val="0"/>
        <w:rPr>
          <w:rFonts w:eastAsia="Times New Roman"/>
          <w:szCs w:val="24"/>
          <w:lang w:val="es-ES" w:eastAsia="es-ES"/>
        </w:rPr>
      </w:pP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numPr>
          <w:ilvl w:val="0"/>
          <w:numId w:val="11"/>
        </w:numPr>
        <w:autoSpaceDE w:val="0"/>
        <w:autoSpaceDN w:val="0"/>
        <w:adjustRightInd w:val="0"/>
        <w:ind w:left="0" w:firstLine="0"/>
        <w:jc w:val="both"/>
        <w:rPr>
          <w:rFonts w:eastAsia="Times New Roman"/>
          <w:color w:val="000000"/>
          <w:szCs w:val="24"/>
          <w:lang w:val="es-ES" w:eastAsia="es-ES"/>
        </w:rPr>
      </w:pPr>
      <w:r w:rsidRPr="00BF1CB1">
        <w:rPr>
          <w:rFonts w:eastAsia="Times New Roman"/>
          <w:color w:val="000000"/>
          <w:szCs w:val="24"/>
          <w:lang w:val="es-ES" w:eastAsia="es-ES"/>
        </w:rPr>
        <w:t>En el actual Plan Estratégico 2006-2014 de la CMS y el Plan Estratégico para las Especies Migratorias 2015-2023 propuesto se reconoce que el fortalecimiento de una red de asociados y el establecimiento de un diálogo con otros grupos sectoriales fundamentales cuyas actividades tienen repercusiones en las especies migratorias son de importancia decisiva para promover la CMS y su mandato.</w:t>
      </w:r>
    </w:p>
    <w:p w:rsidR="00BF1CB1" w:rsidRPr="00BF1CB1" w:rsidRDefault="00BF1CB1" w:rsidP="00BF1CB1">
      <w:pPr>
        <w:autoSpaceDE w:val="0"/>
        <w:autoSpaceDN w:val="0"/>
        <w:adjustRightInd w:val="0"/>
        <w:jc w:val="both"/>
        <w:rPr>
          <w:rFonts w:eastAsia="Times New Roman"/>
          <w:color w:val="000000"/>
          <w:szCs w:val="24"/>
          <w:lang w:val="es-ES" w:eastAsia="es-ES"/>
        </w:rPr>
      </w:pPr>
    </w:p>
    <w:p w:rsidR="00BF1CB1" w:rsidRPr="00BF1CB1" w:rsidRDefault="00BF1CB1" w:rsidP="00BF1CB1">
      <w:pPr>
        <w:widowControl w:val="0"/>
        <w:numPr>
          <w:ilvl w:val="0"/>
          <w:numId w:val="11"/>
        </w:numPr>
        <w:autoSpaceDE w:val="0"/>
        <w:autoSpaceDN w:val="0"/>
        <w:adjustRightInd w:val="0"/>
        <w:ind w:left="0" w:firstLine="0"/>
        <w:jc w:val="both"/>
        <w:rPr>
          <w:rFonts w:eastAsia="Times New Roman"/>
          <w:color w:val="000000"/>
          <w:szCs w:val="24"/>
          <w:lang w:val="es-ES" w:eastAsia="es-ES"/>
        </w:rPr>
      </w:pPr>
      <w:r w:rsidRPr="00BF1CB1">
        <w:rPr>
          <w:rFonts w:eastAsia="Times New Roman"/>
          <w:color w:val="000000"/>
          <w:szCs w:val="24"/>
          <w:lang w:val="es-ES" w:eastAsia="es-ES"/>
        </w:rPr>
        <w:t>En la segunda reunión del Grupo de Trabajo sobre el Plan Estratégico celebrada los días 25-26 de noviembre de 2013, se tomó nota de la presentación del informe “</w:t>
      </w:r>
      <w:r w:rsidRPr="00BF1CB1">
        <w:rPr>
          <w:rFonts w:eastAsia="Times New Roman"/>
          <w:i/>
          <w:color w:val="000000"/>
          <w:szCs w:val="24"/>
          <w:lang w:val="es-ES" w:eastAsia="es-ES"/>
        </w:rPr>
        <w:t xml:space="preserve">A Natural </w:t>
      </w:r>
      <w:proofErr w:type="spellStart"/>
      <w:r w:rsidRPr="00BF1CB1">
        <w:rPr>
          <w:rFonts w:eastAsia="Times New Roman"/>
          <w:i/>
          <w:color w:val="000000"/>
          <w:szCs w:val="24"/>
          <w:lang w:val="es-ES" w:eastAsia="es-ES"/>
        </w:rPr>
        <w:t>Affiliation</w:t>
      </w:r>
      <w:proofErr w:type="spellEnd"/>
      <w:r w:rsidRPr="00BF1CB1">
        <w:rPr>
          <w:rFonts w:eastAsia="Times New Roman"/>
          <w:i/>
          <w:color w:val="000000"/>
          <w:szCs w:val="24"/>
          <w:lang w:val="es-ES" w:eastAsia="es-ES"/>
        </w:rPr>
        <w:t xml:space="preserve">: </w:t>
      </w:r>
      <w:proofErr w:type="spellStart"/>
      <w:r w:rsidRPr="00BF1CB1">
        <w:rPr>
          <w:rFonts w:eastAsia="Times New Roman"/>
          <w:i/>
          <w:color w:val="000000"/>
          <w:szCs w:val="24"/>
          <w:lang w:val="es-ES" w:eastAsia="es-ES"/>
        </w:rPr>
        <w:t>Developing</w:t>
      </w:r>
      <w:proofErr w:type="spellEnd"/>
      <w:r w:rsidRPr="00BF1CB1">
        <w:rPr>
          <w:rFonts w:eastAsia="Times New Roman"/>
          <w:i/>
          <w:color w:val="000000"/>
          <w:szCs w:val="24"/>
          <w:lang w:val="es-ES" w:eastAsia="es-ES"/>
        </w:rPr>
        <w:t xml:space="preserve"> </w:t>
      </w:r>
      <w:proofErr w:type="spellStart"/>
      <w:r w:rsidRPr="00BF1CB1">
        <w:rPr>
          <w:rFonts w:eastAsia="Times New Roman"/>
          <w:i/>
          <w:color w:val="000000"/>
          <w:szCs w:val="24"/>
          <w:lang w:val="es-ES" w:eastAsia="es-ES"/>
        </w:rPr>
        <w:t>the</w:t>
      </w:r>
      <w:proofErr w:type="spellEnd"/>
      <w:r w:rsidRPr="00BF1CB1">
        <w:rPr>
          <w:rFonts w:eastAsia="Times New Roman"/>
          <w:i/>
          <w:color w:val="000000"/>
          <w:szCs w:val="24"/>
          <w:lang w:val="es-ES" w:eastAsia="es-ES"/>
        </w:rPr>
        <w:t xml:space="preserve"> Role of </w:t>
      </w:r>
      <w:proofErr w:type="spellStart"/>
      <w:r w:rsidRPr="00BF1CB1">
        <w:rPr>
          <w:rFonts w:eastAsia="Times New Roman"/>
          <w:i/>
          <w:color w:val="000000"/>
          <w:szCs w:val="24"/>
          <w:lang w:val="es-ES" w:eastAsia="es-ES"/>
        </w:rPr>
        <w:t>NGOs</w:t>
      </w:r>
      <w:proofErr w:type="spellEnd"/>
      <w:r w:rsidRPr="00BF1CB1">
        <w:rPr>
          <w:rFonts w:eastAsia="Times New Roman"/>
          <w:i/>
          <w:color w:val="000000"/>
          <w:szCs w:val="24"/>
          <w:lang w:val="es-ES" w:eastAsia="es-ES"/>
        </w:rPr>
        <w:t xml:space="preserve"> in </w:t>
      </w:r>
      <w:proofErr w:type="spellStart"/>
      <w:r w:rsidRPr="00BF1CB1">
        <w:rPr>
          <w:rFonts w:eastAsia="Times New Roman"/>
          <w:i/>
          <w:color w:val="000000"/>
          <w:szCs w:val="24"/>
          <w:lang w:val="es-ES" w:eastAsia="es-ES"/>
        </w:rPr>
        <w:t>the</w:t>
      </w:r>
      <w:proofErr w:type="spellEnd"/>
      <w:r w:rsidRPr="00BF1CB1">
        <w:rPr>
          <w:rFonts w:eastAsia="Times New Roman"/>
          <w:i/>
          <w:color w:val="000000"/>
          <w:szCs w:val="24"/>
          <w:lang w:val="es-ES" w:eastAsia="es-ES"/>
        </w:rPr>
        <w:t xml:space="preserve"> </w:t>
      </w:r>
      <w:proofErr w:type="spellStart"/>
      <w:r w:rsidRPr="00BF1CB1">
        <w:rPr>
          <w:rFonts w:eastAsia="Times New Roman"/>
          <w:i/>
          <w:color w:val="000000"/>
          <w:szCs w:val="24"/>
          <w:lang w:val="es-ES" w:eastAsia="es-ES"/>
        </w:rPr>
        <w:t>Convention</w:t>
      </w:r>
      <w:proofErr w:type="spellEnd"/>
      <w:r w:rsidRPr="00BF1CB1">
        <w:rPr>
          <w:rFonts w:eastAsia="Times New Roman"/>
          <w:i/>
          <w:color w:val="000000"/>
          <w:szCs w:val="24"/>
          <w:lang w:val="es-ES" w:eastAsia="es-ES"/>
        </w:rPr>
        <w:t xml:space="preserve"> </w:t>
      </w:r>
      <w:proofErr w:type="spellStart"/>
      <w:r w:rsidRPr="00BF1CB1">
        <w:rPr>
          <w:rFonts w:eastAsia="Times New Roman"/>
          <w:i/>
          <w:color w:val="000000"/>
          <w:szCs w:val="24"/>
          <w:lang w:val="es-ES" w:eastAsia="es-ES"/>
        </w:rPr>
        <w:t>on</w:t>
      </w:r>
      <w:proofErr w:type="spellEnd"/>
      <w:r w:rsidRPr="00BF1CB1">
        <w:rPr>
          <w:rFonts w:eastAsia="Times New Roman"/>
          <w:i/>
          <w:color w:val="000000"/>
          <w:szCs w:val="24"/>
          <w:lang w:val="es-ES" w:eastAsia="es-ES"/>
        </w:rPr>
        <w:t xml:space="preserve"> </w:t>
      </w:r>
      <w:proofErr w:type="spellStart"/>
      <w:r w:rsidRPr="00BF1CB1">
        <w:rPr>
          <w:rFonts w:eastAsia="Times New Roman"/>
          <w:i/>
          <w:color w:val="000000"/>
          <w:szCs w:val="24"/>
          <w:lang w:val="es-ES" w:eastAsia="es-ES"/>
        </w:rPr>
        <w:t>Migratory</w:t>
      </w:r>
      <w:proofErr w:type="spellEnd"/>
      <w:r w:rsidRPr="00BF1CB1">
        <w:rPr>
          <w:rFonts w:eastAsia="Times New Roman"/>
          <w:i/>
          <w:color w:val="000000"/>
          <w:szCs w:val="24"/>
          <w:lang w:val="es-ES" w:eastAsia="es-ES"/>
        </w:rPr>
        <w:t xml:space="preserve"> </w:t>
      </w:r>
      <w:proofErr w:type="spellStart"/>
      <w:r w:rsidRPr="00BF1CB1">
        <w:rPr>
          <w:rFonts w:eastAsia="Times New Roman"/>
          <w:i/>
          <w:color w:val="000000"/>
          <w:szCs w:val="24"/>
          <w:lang w:val="es-ES" w:eastAsia="es-ES"/>
        </w:rPr>
        <w:t>Species</w:t>
      </w:r>
      <w:proofErr w:type="spellEnd"/>
      <w:r w:rsidRPr="00BF1CB1">
        <w:rPr>
          <w:rFonts w:eastAsia="Times New Roman"/>
          <w:i/>
          <w:color w:val="000000"/>
          <w:szCs w:val="24"/>
          <w:lang w:val="es-ES" w:eastAsia="es-ES"/>
        </w:rPr>
        <w:t xml:space="preserve"> </w:t>
      </w:r>
      <w:proofErr w:type="spellStart"/>
      <w:r w:rsidRPr="00BF1CB1">
        <w:rPr>
          <w:rFonts w:eastAsia="Times New Roman"/>
          <w:i/>
          <w:color w:val="000000"/>
          <w:szCs w:val="24"/>
          <w:lang w:val="es-ES" w:eastAsia="es-ES"/>
        </w:rPr>
        <w:t>Family</w:t>
      </w:r>
      <w:proofErr w:type="spellEnd"/>
      <w:r w:rsidRPr="00BF1CB1">
        <w:rPr>
          <w:rFonts w:eastAsia="Times New Roman"/>
          <w:color w:val="000000"/>
          <w:szCs w:val="24"/>
          <w:lang w:val="es-ES" w:eastAsia="es-ES"/>
        </w:rPr>
        <w:t>”</w:t>
      </w:r>
      <w:r w:rsidRPr="00BF1CB1">
        <w:rPr>
          <w:rFonts w:eastAsia="Times New Roman"/>
          <w:color w:val="000000"/>
          <w:szCs w:val="24"/>
          <w:vertAlign w:val="superscript"/>
          <w:lang w:val="es-ES" w:eastAsia="es-ES"/>
        </w:rPr>
        <w:footnoteReference w:id="1"/>
      </w:r>
      <w:r w:rsidRPr="00BF1CB1">
        <w:rPr>
          <w:rFonts w:eastAsia="Times New Roman"/>
          <w:color w:val="000000"/>
          <w:szCs w:val="24"/>
          <w:lang w:val="es-ES" w:eastAsia="es-ES"/>
        </w:rPr>
        <w:t xml:space="preserve"> (Una afiliación natural: determinar la función que desempeñan las ONG en la familia de la Convención sobre las especies migratorias), que se basaba en las contribuciones de la familia de la CMS y de más de 100 organizaciones de la sociedad civil. El Grupo de Trabajo convino en que en el Plan (o en el volumen complementario) debería especificarse claramente la función de los diferentes actores que participan en su implementación, entre ellas las organizaciones no gubernamentales (ONG).</w:t>
      </w:r>
    </w:p>
    <w:p w:rsidR="00BF1CB1" w:rsidRPr="00BF1CB1" w:rsidRDefault="00BF1CB1" w:rsidP="00BF1CB1">
      <w:pPr>
        <w:widowControl w:val="0"/>
        <w:autoSpaceDE w:val="0"/>
        <w:autoSpaceDN w:val="0"/>
        <w:adjustRightInd w:val="0"/>
        <w:contextualSpacing/>
        <w:jc w:val="both"/>
        <w:rPr>
          <w:rFonts w:eastAsia="Times New Roman"/>
          <w:color w:val="000000"/>
          <w:szCs w:val="24"/>
          <w:lang w:val="es-ES" w:eastAsia="es-ES"/>
        </w:rPr>
      </w:pPr>
    </w:p>
    <w:p w:rsidR="00BF1CB1" w:rsidRPr="00BF1CB1" w:rsidRDefault="00BF1CB1" w:rsidP="00BF1CB1">
      <w:pPr>
        <w:widowControl w:val="0"/>
        <w:numPr>
          <w:ilvl w:val="0"/>
          <w:numId w:val="11"/>
        </w:numPr>
        <w:autoSpaceDE w:val="0"/>
        <w:autoSpaceDN w:val="0"/>
        <w:adjustRightInd w:val="0"/>
        <w:ind w:left="0" w:firstLine="0"/>
        <w:jc w:val="both"/>
        <w:rPr>
          <w:rFonts w:eastAsia="Times New Roman"/>
          <w:color w:val="000000"/>
          <w:szCs w:val="24"/>
          <w:lang w:val="es-ES" w:eastAsia="es-ES"/>
        </w:rPr>
      </w:pPr>
      <w:r w:rsidRPr="00BF1CB1">
        <w:rPr>
          <w:rFonts w:eastAsia="Times New Roman"/>
          <w:color w:val="000000"/>
          <w:szCs w:val="24"/>
          <w:lang w:val="es-ES" w:eastAsia="es-ES"/>
        </w:rPr>
        <w:t>El Consejo de Administración/Foro Ambiental Mundial a Nivel Ministerial en su primera reunión universal, adoptó la Decisión 27/</w:t>
      </w:r>
      <w:r w:rsidRPr="00BF1CB1">
        <w:rPr>
          <w:rFonts w:eastAsia="Times New Roman"/>
          <w:color w:val="000000"/>
          <w:szCs w:val="24"/>
          <w:lang w:val="es-ES" w:eastAsia="es-ES"/>
        </w:rPr>
        <w:footnoteReference w:id="2"/>
      </w:r>
      <w:r w:rsidRPr="00BF1CB1">
        <w:rPr>
          <w:rFonts w:eastAsia="Times New Roman"/>
          <w:color w:val="000000"/>
          <w:szCs w:val="24"/>
          <w:lang w:val="es-ES" w:eastAsia="es-ES"/>
        </w:rPr>
        <w:t>: Aplicación del párrafo 88 del documento final de la Conferencia de las Naciones Unidas sobre el Desarrollo Sostenible, por la que decidió:</w:t>
      </w:r>
    </w:p>
    <w:p w:rsidR="00BF1CB1" w:rsidRPr="00BF1CB1" w:rsidRDefault="00BF1CB1" w:rsidP="00BF1CB1">
      <w:pPr>
        <w:autoSpaceDE w:val="0"/>
        <w:autoSpaceDN w:val="0"/>
        <w:adjustRightInd w:val="0"/>
        <w:jc w:val="both"/>
        <w:rPr>
          <w:rFonts w:eastAsia="Times New Roman"/>
          <w:color w:val="000000"/>
          <w:sz w:val="12"/>
          <w:szCs w:val="12"/>
          <w:lang w:val="es-ES" w:eastAsia="es-ES"/>
        </w:rPr>
      </w:pPr>
    </w:p>
    <w:p w:rsidR="00BF1CB1" w:rsidRPr="00AF2837" w:rsidRDefault="00BF1CB1" w:rsidP="00BF1CB1">
      <w:pPr>
        <w:tabs>
          <w:tab w:val="left" w:pos="630"/>
        </w:tabs>
        <w:autoSpaceDE w:val="0"/>
        <w:autoSpaceDN w:val="0"/>
        <w:adjustRightInd w:val="0"/>
        <w:ind w:left="720" w:right="564"/>
        <w:jc w:val="both"/>
        <w:rPr>
          <w:rFonts w:eastAsia="Times New Roman"/>
          <w:i/>
          <w:color w:val="000000"/>
          <w:szCs w:val="24"/>
          <w:lang w:val="es-ES" w:eastAsia="es-ES"/>
        </w:rPr>
      </w:pPr>
      <w:r w:rsidRPr="00AF2837">
        <w:rPr>
          <w:rFonts w:eastAsia="Times New Roman"/>
          <w:i/>
          <w:color w:val="000000"/>
          <w:szCs w:val="24"/>
          <w:lang w:val="es-ES" w:eastAsia="es-ES"/>
        </w:rPr>
        <w:t>...el órgano de gobierno asegurará la participación activa de todas las partes interesadas pertinentes, en particular las de los países en desarrollo, sobre la base de las mejores prácticas y los modelos de las instituciones multilaterales pertinentes y estudiará nuevos mecanismos para promover la transparencia y la participación efectiva de la sociedad civil en su labor y la de sus órganos auxiliares, entre otros medios, a través de:</w:t>
      </w:r>
    </w:p>
    <w:p w:rsidR="00BF1CB1" w:rsidRPr="00AF2837" w:rsidRDefault="00BF1CB1" w:rsidP="00BF1CB1">
      <w:pPr>
        <w:widowControl w:val="0"/>
        <w:numPr>
          <w:ilvl w:val="1"/>
          <w:numId w:val="13"/>
        </w:numPr>
        <w:autoSpaceDE w:val="0"/>
        <w:autoSpaceDN w:val="0"/>
        <w:adjustRightInd w:val="0"/>
        <w:ind w:right="564"/>
        <w:jc w:val="both"/>
        <w:rPr>
          <w:rFonts w:eastAsia="Times New Roman"/>
          <w:i/>
          <w:color w:val="000000"/>
          <w:szCs w:val="24"/>
          <w:lang w:val="es-ES" w:eastAsia="es-ES"/>
        </w:rPr>
      </w:pPr>
      <w:r w:rsidRPr="00AF2837">
        <w:rPr>
          <w:rFonts w:eastAsia="Times New Roman"/>
          <w:i/>
          <w:color w:val="000000"/>
          <w:szCs w:val="24"/>
          <w:lang w:val="es-ES" w:eastAsia="es-ES"/>
        </w:rPr>
        <w:t>la elaboración, para el año 2014, de un proceso para la acreditación de las partes interesadas y la participación que se rige por el reglamento vigente y tiene en cuenta las modalidades inclusivas de la Comisión de Desarrollo Sostenible y otros órganos pertinentes de las Naciones Unidas;</w:t>
      </w:r>
    </w:p>
    <w:p w:rsidR="00BF1CB1" w:rsidRPr="00AF2837" w:rsidRDefault="00BF1CB1" w:rsidP="00BF1CB1">
      <w:pPr>
        <w:widowControl w:val="0"/>
        <w:numPr>
          <w:ilvl w:val="1"/>
          <w:numId w:val="13"/>
        </w:numPr>
        <w:autoSpaceDE w:val="0"/>
        <w:autoSpaceDN w:val="0"/>
        <w:adjustRightInd w:val="0"/>
        <w:ind w:right="564"/>
        <w:jc w:val="both"/>
        <w:rPr>
          <w:rFonts w:eastAsia="Times New Roman"/>
          <w:i/>
          <w:color w:val="000000"/>
          <w:szCs w:val="24"/>
          <w:lang w:val="es-ES" w:eastAsia="es-ES"/>
        </w:rPr>
      </w:pPr>
      <w:r w:rsidRPr="00AF2837">
        <w:rPr>
          <w:rFonts w:eastAsia="Times New Roman"/>
          <w:i/>
          <w:color w:val="000000"/>
          <w:szCs w:val="24"/>
          <w:lang w:val="es-ES" w:eastAsia="es-ES"/>
        </w:rPr>
        <w:t>el establecimiento, para 2014, de mecanismos y normas para las aportaciones  de conocimientos especializados y asesoramiento de expertos de las partes interesadas;</w:t>
      </w:r>
    </w:p>
    <w:p w:rsidR="00BF1CB1" w:rsidRPr="00AF2837" w:rsidRDefault="00BF1CB1" w:rsidP="00BF1CB1">
      <w:pPr>
        <w:widowControl w:val="0"/>
        <w:numPr>
          <w:ilvl w:val="1"/>
          <w:numId w:val="13"/>
        </w:numPr>
        <w:autoSpaceDE w:val="0"/>
        <w:autoSpaceDN w:val="0"/>
        <w:adjustRightInd w:val="0"/>
        <w:ind w:right="564"/>
        <w:jc w:val="both"/>
        <w:rPr>
          <w:rFonts w:eastAsia="Times New Roman"/>
          <w:i/>
          <w:color w:val="000000"/>
          <w:szCs w:val="24"/>
          <w:lang w:val="es-ES" w:eastAsia="es-ES"/>
        </w:rPr>
      </w:pPr>
      <w:r w:rsidRPr="00AF2837">
        <w:rPr>
          <w:rFonts w:eastAsia="Times New Roman"/>
          <w:i/>
          <w:color w:val="000000"/>
          <w:szCs w:val="24"/>
          <w:lang w:val="es-ES" w:eastAsia="es-ES"/>
        </w:rPr>
        <w:t>la mejora, para 2014, de los  métodos y procedimientos para facilitar debates y aportaciones fundamentados de todas las partes interesadas en el proceso de adopción de decisiones intergubernamentales;</w:t>
      </w:r>
    </w:p>
    <w:p w:rsidR="00BF1CB1" w:rsidRPr="00AF2837" w:rsidRDefault="00BF1CB1" w:rsidP="00BF1CB1">
      <w:pPr>
        <w:autoSpaceDE w:val="0"/>
        <w:autoSpaceDN w:val="0"/>
        <w:adjustRightInd w:val="0"/>
        <w:jc w:val="both"/>
        <w:rPr>
          <w:rFonts w:eastAsia="Times New Roman"/>
          <w:i/>
          <w:color w:val="000000"/>
          <w:szCs w:val="24"/>
          <w:lang w:val="es-ES" w:eastAsia="es-ES"/>
        </w:rPr>
      </w:pPr>
    </w:p>
    <w:p w:rsidR="00BF1CB1" w:rsidRPr="00BF1CB1" w:rsidRDefault="00BF1CB1" w:rsidP="00BF1CB1">
      <w:pPr>
        <w:widowControl w:val="0"/>
        <w:numPr>
          <w:ilvl w:val="0"/>
          <w:numId w:val="11"/>
        </w:numPr>
        <w:tabs>
          <w:tab w:val="left" w:pos="0"/>
        </w:tabs>
        <w:autoSpaceDE w:val="0"/>
        <w:autoSpaceDN w:val="0"/>
        <w:adjustRightInd w:val="0"/>
        <w:ind w:left="0" w:firstLine="0"/>
        <w:jc w:val="both"/>
        <w:rPr>
          <w:rFonts w:eastAsia="Times New Roman"/>
          <w:color w:val="000000"/>
          <w:szCs w:val="24"/>
          <w:lang w:val="es-ES" w:eastAsia="es-ES"/>
        </w:rPr>
      </w:pPr>
      <w:r w:rsidRPr="00BF1CB1">
        <w:rPr>
          <w:rFonts w:eastAsia="Times New Roman"/>
          <w:color w:val="000000"/>
          <w:szCs w:val="24"/>
          <w:lang w:val="es-ES" w:eastAsia="es-ES"/>
        </w:rPr>
        <w:t xml:space="preserve">En el documento PNUMA/CMS/COP11/Doc.15.2: </w:t>
      </w:r>
      <w:r w:rsidRPr="00BF1CB1">
        <w:rPr>
          <w:rFonts w:eastAsia="Times New Roman"/>
          <w:i/>
          <w:color w:val="000000"/>
          <w:szCs w:val="24"/>
          <w:lang w:val="es-ES" w:eastAsia="es-ES"/>
        </w:rPr>
        <w:t>Proyecto final del Plan Estratégico para las especies migratorias 2015-2023</w:t>
      </w:r>
      <w:r w:rsidRPr="00BF1CB1">
        <w:rPr>
          <w:rFonts w:eastAsia="Times New Roman"/>
          <w:color w:val="000000"/>
          <w:szCs w:val="24"/>
          <w:lang w:val="es-ES" w:eastAsia="es-ES"/>
        </w:rPr>
        <w:t xml:space="preserve"> se propone que se prorrogue el mandato </w:t>
      </w:r>
      <w:r w:rsidRPr="00BF1CB1">
        <w:rPr>
          <w:rFonts w:eastAsia="Times New Roman"/>
          <w:color w:val="000000"/>
          <w:szCs w:val="24"/>
          <w:lang w:val="es-ES" w:eastAsia="es-ES"/>
        </w:rPr>
        <w:lastRenderedPageBreak/>
        <w:t>del Grupo de Trabajo para incluir las tareas de elaborar los indicadores y el volumen complementario durante el trienio 2015-2017.</w:t>
      </w:r>
    </w:p>
    <w:p w:rsidR="00BF1CB1" w:rsidRPr="00BF1CB1" w:rsidRDefault="00BF1CB1" w:rsidP="00BF1CB1">
      <w:pPr>
        <w:tabs>
          <w:tab w:val="left" w:pos="0"/>
        </w:tabs>
        <w:autoSpaceDE w:val="0"/>
        <w:autoSpaceDN w:val="0"/>
        <w:adjustRightInd w:val="0"/>
        <w:jc w:val="both"/>
        <w:rPr>
          <w:rFonts w:eastAsia="Times New Roman"/>
          <w:color w:val="000000"/>
          <w:szCs w:val="24"/>
          <w:lang w:val="es-ES" w:eastAsia="es-ES"/>
        </w:rPr>
      </w:pPr>
    </w:p>
    <w:p w:rsidR="003D79EA" w:rsidRPr="00290E9C" w:rsidRDefault="00BF1CB1" w:rsidP="003D79EA">
      <w:pPr>
        <w:widowControl w:val="0"/>
        <w:numPr>
          <w:ilvl w:val="1"/>
          <w:numId w:val="14"/>
        </w:numPr>
        <w:autoSpaceDE w:val="0"/>
        <w:autoSpaceDN w:val="0"/>
        <w:adjustRightInd w:val="0"/>
        <w:ind w:left="0" w:firstLine="0"/>
        <w:jc w:val="both"/>
        <w:rPr>
          <w:rFonts w:eastAsia="Times New Roman"/>
          <w:color w:val="000000"/>
          <w:szCs w:val="24"/>
          <w:lang w:val="es-ES" w:eastAsia="es-ES"/>
        </w:rPr>
      </w:pPr>
      <w:r w:rsidRPr="00290E9C">
        <w:rPr>
          <w:rFonts w:eastAsia="Times New Roman"/>
          <w:color w:val="000000"/>
          <w:szCs w:val="24"/>
          <w:lang w:val="es-ES" w:eastAsia="es-ES"/>
        </w:rPr>
        <w:t xml:space="preserve">A tal efecto, en un proyecto de resolución sobre </w:t>
      </w:r>
      <w:r w:rsidRPr="00290E9C">
        <w:rPr>
          <w:rFonts w:eastAsia="Times New Roman"/>
          <w:i/>
          <w:color w:val="000000"/>
          <w:szCs w:val="24"/>
          <w:lang w:val="es-ES" w:eastAsia="es-ES"/>
        </w:rPr>
        <w:t>Mejora de las relaciones entre la familia de la CMS y la sociedad civil</w:t>
      </w:r>
      <w:r w:rsidRPr="00290E9C">
        <w:rPr>
          <w:rFonts w:eastAsia="Times New Roman"/>
          <w:color w:val="000000"/>
          <w:szCs w:val="24"/>
          <w:lang w:val="es-ES" w:eastAsia="es-ES"/>
        </w:rPr>
        <w:t>, presentado por el Gobierno de Ghana, se propone que se examinen las opciones respecto de</w:t>
      </w:r>
      <w:r w:rsidR="00C7264F" w:rsidRPr="00290E9C">
        <w:rPr>
          <w:rFonts w:eastAsia="Times New Roman"/>
          <w:color w:val="000000"/>
          <w:szCs w:val="24"/>
          <w:lang w:val="es-ES" w:eastAsia="es-ES"/>
        </w:rPr>
        <w:t xml:space="preserve"> mecanismos para </w:t>
      </w:r>
      <w:r w:rsidR="00290E9C" w:rsidRPr="00290E9C">
        <w:rPr>
          <w:rFonts w:eastAsia="Times New Roman"/>
          <w:color w:val="000000"/>
          <w:szCs w:val="24"/>
          <w:lang w:val="es-ES" w:eastAsia="es-ES"/>
        </w:rPr>
        <w:t>la</w:t>
      </w:r>
      <w:r w:rsidR="00290E9C">
        <w:rPr>
          <w:rFonts w:eastAsia="Times New Roman"/>
          <w:color w:val="000000"/>
          <w:szCs w:val="24"/>
          <w:lang w:val="es-ES" w:eastAsia="es-ES"/>
        </w:rPr>
        <w:t xml:space="preserve"> </w:t>
      </w:r>
      <w:r w:rsidR="00290E9C" w:rsidRPr="00290E9C">
        <w:rPr>
          <w:rFonts w:eastAsia="Times New Roman"/>
          <w:color w:val="000000"/>
          <w:szCs w:val="24"/>
          <w:lang w:val="es-ES" w:eastAsia="es-ES"/>
        </w:rPr>
        <w:t>presentación de informes sobre el trabajo realizado con la ayuda de organizaciones no gubernamentales, los modelos para una mayor participación de las ONG en el</w:t>
      </w:r>
      <w:r w:rsidR="00290E9C">
        <w:rPr>
          <w:rFonts w:eastAsia="Times New Roman"/>
          <w:color w:val="000000"/>
          <w:szCs w:val="24"/>
          <w:lang w:val="es-ES" w:eastAsia="es-ES"/>
        </w:rPr>
        <w:t xml:space="preserve"> proceso de la CMS y las modalidades </w:t>
      </w:r>
      <w:r w:rsidR="00290E9C" w:rsidRPr="00290E9C">
        <w:rPr>
          <w:rFonts w:eastAsia="Times New Roman"/>
          <w:color w:val="000000"/>
          <w:szCs w:val="24"/>
          <w:lang w:val="es-ES" w:eastAsia="es-ES"/>
        </w:rPr>
        <w:t xml:space="preserve">que les permite garantizar la aplicación y </w:t>
      </w:r>
      <w:r w:rsidR="003D79EA">
        <w:rPr>
          <w:rFonts w:eastAsia="Times New Roman"/>
          <w:color w:val="000000"/>
          <w:szCs w:val="24"/>
          <w:lang w:val="es-ES" w:eastAsia="es-ES"/>
        </w:rPr>
        <w:t xml:space="preserve">la creación de capacidad de experticia en las regiones claves. Se espera que esta </w:t>
      </w:r>
      <w:r w:rsidR="00290E9C" w:rsidRPr="00290E9C">
        <w:rPr>
          <w:rFonts w:eastAsia="Times New Roman"/>
          <w:color w:val="000000"/>
          <w:szCs w:val="24"/>
          <w:lang w:val="es-ES" w:eastAsia="es-ES"/>
        </w:rPr>
        <w:t xml:space="preserve">revisión </w:t>
      </w:r>
      <w:r w:rsidR="003D79EA">
        <w:rPr>
          <w:rFonts w:eastAsia="Times New Roman"/>
          <w:color w:val="000000"/>
          <w:szCs w:val="24"/>
          <w:lang w:val="es-ES" w:eastAsia="es-ES"/>
        </w:rPr>
        <w:t xml:space="preserve">pueda </w:t>
      </w:r>
      <w:r w:rsidR="00290E9C" w:rsidRPr="00290E9C">
        <w:rPr>
          <w:rFonts w:eastAsia="Times New Roman"/>
          <w:color w:val="000000"/>
          <w:szCs w:val="24"/>
          <w:lang w:val="es-ES" w:eastAsia="es-ES"/>
        </w:rPr>
        <w:t xml:space="preserve">contribuir </w:t>
      </w:r>
      <w:r w:rsidR="003D79EA" w:rsidRPr="00290E9C">
        <w:rPr>
          <w:rFonts w:eastAsia="Times New Roman"/>
          <w:color w:val="000000"/>
          <w:szCs w:val="24"/>
          <w:lang w:val="es-ES" w:eastAsia="es-ES"/>
        </w:rPr>
        <w:t>a la intención del Grupo de Trabajo sobre el Plan Estratégico para que él tome en consideración, así como el apoyo a toda la familia de la CMS en la aplicación del Plan Estratégico para las especies migratorias en el 2015 -2023.</w:t>
      </w:r>
    </w:p>
    <w:p w:rsidR="00BF1CB1" w:rsidRPr="00BF1CB1" w:rsidRDefault="00BF1CB1" w:rsidP="00BF1CB1">
      <w:pPr>
        <w:widowControl w:val="0"/>
        <w:autoSpaceDE w:val="0"/>
        <w:autoSpaceDN w:val="0"/>
        <w:adjustRightInd w:val="0"/>
        <w:contextualSpacing/>
        <w:jc w:val="both"/>
        <w:rPr>
          <w:rFonts w:eastAsia="Times New Roman"/>
          <w:szCs w:val="24"/>
          <w:lang w:val="es-ES" w:eastAsia="es-ES"/>
        </w:rPr>
      </w:pPr>
    </w:p>
    <w:p w:rsidR="00BF1CB1" w:rsidRPr="00BF1CB1" w:rsidRDefault="00BF1CB1" w:rsidP="00BF1CB1">
      <w:pPr>
        <w:widowControl w:val="0"/>
        <w:autoSpaceDE w:val="0"/>
        <w:autoSpaceDN w:val="0"/>
        <w:adjustRightInd w:val="0"/>
        <w:jc w:val="both"/>
        <w:rPr>
          <w:rFonts w:eastAsia="Times New Roman"/>
          <w:b/>
          <w:i/>
          <w:szCs w:val="24"/>
          <w:u w:val="single"/>
          <w:lang w:val="es-ES" w:eastAsia="es-ES"/>
        </w:rPr>
      </w:pPr>
    </w:p>
    <w:p w:rsidR="00BF1CB1" w:rsidRPr="00BF1CB1" w:rsidRDefault="00BF1CB1" w:rsidP="00BF1CB1">
      <w:pPr>
        <w:widowControl w:val="0"/>
        <w:autoSpaceDE w:val="0"/>
        <w:autoSpaceDN w:val="0"/>
        <w:adjustRightInd w:val="0"/>
        <w:jc w:val="both"/>
        <w:rPr>
          <w:rFonts w:eastAsia="Times New Roman"/>
          <w:b/>
          <w:i/>
          <w:szCs w:val="24"/>
          <w:u w:val="single"/>
          <w:lang w:val="es-ES" w:eastAsia="es-ES"/>
        </w:rPr>
      </w:pPr>
      <w:r w:rsidRPr="00BF1CB1">
        <w:rPr>
          <w:rFonts w:eastAsia="Times New Roman"/>
          <w:b/>
          <w:i/>
          <w:szCs w:val="24"/>
          <w:u w:val="single"/>
          <w:lang w:val="es-ES" w:eastAsia="es-ES"/>
        </w:rPr>
        <w:t>Acción que se solicita:</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jc w:val="both"/>
        <w:rPr>
          <w:rFonts w:eastAsia="Times New Roman"/>
          <w:szCs w:val="24"/>
          <w:lang w:val="es-ES" w:eastAsia="es-ES"/>
        </w:rPr>
      </w:pPr>
      <w:r w:rsidRPr="00BF1CB1">
        <w:rPr>
          <w:rFonts w:eastAsia="Times New Roman"/>
          <w:szCs w:val="24"/>
          <w:lang w:val="es-ES" w:eastAsia="es-ES"/>
        </w:rPr>
        <w:t>Se invita a la Conferencia de las Partes a:</w:t>
      </w:r>
    </w:p>
    <w:p w:rsidR="00BF1CB1" w:rsidRPr="00BF1CB1" w:rsidRDefault="00BF1CB1" w:rsidP="00BF1CB1">
      <w:pPr>
        <w:jc w:val="both"/>
        <w:rPr>
          <w:rFonts w:eastAsia="Times New Roman"/>
          <w:szCs w:val="24"/>
          <w:lang w:val="es-ES" w:eastAsia="es-ES"/>
        </w:rPr>
      </w:pPr>
    </w:p>
    <w:p w:rsidR="00BF1CB1" w:rsidRPr="00BF1CB1" w:rsidRDefault="00BF1CB1" w:rsidP="00BF1CB1">
      <w:pPr>
        <w:widowControl w:val="0"/>
        <w:numPr>
          <w:ilvl w:val="0"/>
          <w:numId w:val="10"/>
        </w:numPr>
        <w:autoSpaceDE w:val="0"/>
        <w:autoSpaceDN w:val="0"/>
        <w:adjustRightInd w:val="0"/>
        <w:ind w:hanging="720"/>
        <w:contextualSpacing/>
        <w:jc w:val="both"/>
        <w:rPr>
          <w:rFonts w:eastAsia="Times New Roman"/>
          <w:szCs w:val="24"/>
          <w:lang w:val="es-ES" w:eastAsia="es-ES"/>
        </w:rPr>
      </w:pPr>
      <w:r w:rsidRPr="00BF1CB1">
        <w:rPr>
          <w:rFonts w:eastAsia="Times New Roman"/>
          <w:szCs w:val="24"/>
          <w:lang w:val="es-ES" w:eastAsia="es-ES"/>
        </w:rPr>
        <w:t xml:space="preserve">Examinar y aprobar el proyecto de Resolución sobre </w:t>
      </w:r>
      <w:r w:rsidRPr="00BF1CB1">
        <w:rPr>
          <w:rFonts w:eastAsia="Times New Roman"/>
          <w:i/>
          <w:szCs w:val="24"/>
          <w:lang w:val="es-ES" w:eastAsia="es-ES"/>
        </w:rPr>
        <w:t>Mejora de las relaciones entre la familia de la CMS y la sociedad civil</w:t>
      </w:r>
      <w:r w:rsidRPr="00BF1CB1">
        <w:rPr>
          <w:rFonts w:eastAsia="Times New Roman"/>
          <w:szCs w:val="24"/>
          <w:lang w:val="es-ES" w:eastAsia="es-ES"/>
        </w:rPr>
        <w:t xml:space="preserve"> que se adjunta a la presente nota.</w:t>
      </w:r>
    </w:p>
    <w:p w:rsidR="00BF1CB1" w:rsidRPr="00BF1CB1" w:rsidRDefault="00BF1CB1" w:rsidP="00BF1CB1">
      <w:pPr>
        <w:widowControl w:val="0"/>
        <w:autoSpaceDE w:val="0"/>
        <w:autoSpaceDN w:val="0"/>
        <w:adjustRightInd w:val="0"/>
        <w:jc w:val="both"/>
        <w:rPr>
          <w:rFonts w:eastAsia="Times New Roman"/>
          <w:b/>
          <w:szCs w:val="24"/>
          <w:lang w:val="es-ES" w:eastAsia="es-ES"/>
        </w:rPr>
      </w:pPr>
    </w:p>
    <w:p w:rsidR="00BF1CB1" w:rsidRPr="00BF1CB1" w:rsidRDefault="00BF1CB1" w:rsidP="00BF1CB1">
      <w:pPr>
        <w:rPr>
          <w:rFonts w:eastAsia="Times New Roman"/>
          <w:b/>
          <w:szCs w:val="24"/>
          <w:lang w:val="es-ES" w:eastAsia="es-ES"/>
        </w:rPr>
      </w:pPr>
    </w:p>
    <w:p w:rsidR="00BF1CB1" w:rsidRPr="00BF1CB1" w:rsidRDefault="00BF1CB1" w:rsidP="00BF1CB1">
      <w:pPr>
        <w:rPr>
          <w:rFonts w:eastAsia="Times New Roman"/>
          <w:b/>
          <w:caps/>
          <w:szCs w:val="24"/>
          <w:lang w:val="es-ES" w:eastAsia="es-ES"/>
        </w:rPr>
        <w:sectPr w:rsidR="00BF1CB1" w:rsidRPr="00BF1CB1" w:rsidSect="00EB2EFE">
          <w:headerReference w:type="default" r:id="rId15"/>
          <w:headerReference w:type="first" r:id="rId16"/>
          <w:footerReference w:type="first" r:id="rId17"/>
          <w:endnotePr>
            <w:numFmt w:val="decimal"/>
          </w:endnotePr>
          <w:pgSz w:w="11905" w:h="16837" w:code="9"/>
          <w:pgMar w:top="1418" w:right="1418" w:bottom="1418" w:left="1418" w:header="510" w:footer="510" w:gutter="0"/>
          <w:cols w:space="720"/>
          <w:noEndnote/>
          <w:titlePg/>
        </w:sectPr>
      </w:pPr>
    </w:p>
    <w:p w:rsidR="00BF1CB1" w:rsidRPr="00BF1CB1" w:rsidRDefault="00BF1CB1" w:rsidP="00BF1CB1">
      <w:pPr>
        <w:jc w:val="right"/>
        <w:rPr>
          <w:rFonts w:eastAsia="Times New Roman"/>
          <w:b/>
          <w:szCs w:val="24"/>
          <w:lang w:val="es-ES" w:eastAsia="es-ES"/>
        </w:rPr>
      </w:pPr>
      <w:r w:rsidRPr="00BF1CB1">
        <w:rPr>
          <w:rFonts w:eastAsia="Times New Roman"/>
          <w:b/>
          <w:caps/>
          <w:szCs w:val="24"/>
          <w:lang w:val="es-ES" w:eastAsia="es-ES"/>
        </w:rPr>
        <w:t>A</w:t>
      </w:r>
      <w:r w:rsidRPr="00BF1CB1">
        <w:rPr>
          <w:rFonts w:eastAsia="Times New Roman"/>
          <w:b/>
          <w:szCs w:val="24"/>
          <w:lang w:val="es-ES" w:eastAsia="es-ES"/>
        </w:rPr>
        <w:t>NEXO</w:t>
      </w:r>
    </w:p>
    <w:p w:rsidR="00BF1CB1" w:rsidRPr="00BF1CB1" w:rsidRDefault="00BF1CB1" w:rsidP="00BF1CB1">
      <w:pPr>
        <w:widowControl w:val="0"/>
        <w:autoSpaceDE w:val="0"/>
        <w:autoSpaceDN w:val="0"/>
        <w:adjustRightInd w:val="0"/>
        <w:jc w:val="center"/>
        <w:rPr>
          <w:rFonts w:eastAsia="Times New Roman"/>
          <w:b/>
          <w:szCs w:val="24"/>
          <w:lang w:val="es-ES" w:eastAsia="es-ES"/>
        </w:rPr>
      </w:pPr>
    </w:p>
    <w:p w:rsidR="00BF1CB1" w:rsidRPr="00BF1CB1" w:rsidRDefault="00BF1CB1" w:rsidP="00BF1CB1">
      <w:pPr>
        <w:widowControl w:val="0"/>
        <w:autoSpaceDE w:val="0"/>
        <w:autoSpaceDN w:val="0"/>
        <w:adjustRightInd w:val="0"/>
        <w:jc w:val="center"/>
        <w:rPr>
          <w:rFonts w:eastAsia="Times New Roman"/>
          <w:b/>
          <w:szCs w:val="24"/>
          <w:lang w:val="es-ES" w:eastAsia="es-ES"/>
        </w:rPr>
      </w:pPr>
      <w:r w:rsidRPr="00BF1CB1">
        <w:rPr>
          <w:rFonts w:eastAsia="Times New Roman"/>
          <w:b/>
          <w:szCs w:val="24"/>
          <w:lang w:val="es-ES" w:eastAsia="es-ES"/>
        </w:rPr>
        <w:t>PROYECTO DE RESOLUCIÓN</w:t>
      </w:r>
    </w:p>
    <w:p w:rsidR="00BF1CB1" w:rsidRPr="00BF1CB1" w:rsidRDefault="00BF1CB1" w:rsidP="00BF1CB1">
      <w:pPr>
        <w:widowControl w:val="0"/>
        <w:autoSpaceDE w:val="0"/>
        <w:autoSpaceDN w:val="0"/>
        <w:adjustRightInd w:val="0"/>
        <w:jc w:val="center"/>
        <w:rPr>
          <w:rFonts w:eastAsia="Times New Roman"/>
          <w:b/>
          <w:szCs w:val="24"/>
          <w:lang w:val="es-ES" w:eastAsia="es-ES"/>
        </w:rPr>
      </w:pPr>
    </w:p>
    <w:p w:rsidR="00BF1CB1" w:rsidRPr="00BF1CB1" w:rsidRDefault="00BF1CB1" w:rsidP="00BF1CB1">
      <w:pPr>
        <w:widowControl w:val="0"/>
        <w:autoSpaceDE w:val="0"/>
        <w:autoSpaceDN w:val="0"/>
        <w:adjustRightInd w:val="0"/>
        <w:jc w:val="center"/>
        <w:rPr>
          <w:rFonts w:eastAsia="Times New Roman"/>
          <w:b/>
          <w:szCs w:val="24"/>
          <w:lang w:val="es-ES" w:eastAsia="es-ES"/>
        </w:rPr>
      </w:pPr>
      <w:r w:rsidRPr="00BF1CB1">
        <w:rPr>
          <w:rFonts w:eastAsia="Times New Roman"/>
          <w:b/>
          <w:szCs w:val="24"/>
          <w:lang w:val="es-ES" w:eastAsia="es-ES"/>
        </w:rPr>
        <w:t>MEJORA DE LAS RELACIONES ENTRE</w:t>
      </w:r>
    </w:p>
    <w:p w:rsidR="00BF1CB1" w:rsidRPr="00BF1CB1" w:rsidRDefault="00BF1CB1" w:rsidP="00BF1CB1">
      <w:pPr>
        <w:widowControl w:val="0"/>
        <w:autoSpaceDE w:val="0"/>
        <w:autoSpaceDN w:val="0"/>
        <w:adjustRightInd w:val="0"/>
        <w:jc w:val="center"/>
        <w:rPr>
          <w:rFonts w:eastAsia="Times New Roman"/>
          <w:b/>
          <w:szCs w:val="24"/>
          <w:lang w:val="es-ES" w:eastAsia="es-ES"/>
        </w:rPr>
      </w:pPr>
      <w:r w:rsidRPr="00BF1CB1">
        <w:rPr>
          <w:rFonts w:eastAsia="Times New Roman"/>
          <w:b/>
          <w:szCs w:val="24"/>
          <w:lang w:val="es-ES" w:eastAsia="es-ES"/>
        </w:rPr>
        <w:t>LA FAMILIA DE LA CMS Y LA SOCIEDAD CIVIL</w:t>
      </w:r>
    </w:p>
    <w:p w:rsidR="00BF1CB1" w:rsidRPr="00BF1CB1" w:rsidRDefault="00BF1CB1" w:rsidP="00BF1CB1">
      <w:pPr>
        <w:widowControl w:val="0"/>
        <w:autoSpaceDE w:val="0"/>
        <w:autoSpaceDN w:val="0"/>
        <w:adjustRightInd w:val="0"/>
        <w:jc w:val="center"/>
        <w:rPr>
          <w:rFonts w:eastAsia="Times New Roman"/>
          <w:szCs w:val="24"/>
          <w:lang w:val="es-ES" w:eastAsia="es-ES"/>
        </w:rPr>
      </w:pPr>
    </w:p>
    <w:p w:rsidR="00BF1CB1" w:rsidRPr="00BF1CB1" w:rsidRDefault="00BF1CB1" w:rsidP="00BF1CB1">
      <w:pPr>
        <w:widowControl w:val="0"/>
        <w:autoSpaceDE w:val="0"/>
        <w:autoSpaceDN w:val="0"/>
        <w:adjustRightInd w:val="0"/>
        <w:jc w:val="center"/>
        <w:rPr>
          <w:rFonts w:eastAsia="Times New Roman"/>
          <w:szCs w:val="24"/>
          <w:lang w:val="es-ES" w:eastAsia="es-ES"/>
        </w:rPr>
      </w:pPr>
      <w:r w:rsidRPr="00BF1CB1">
        <w:rPr>
          <w:rFonts w:eastAsia="Times New Roman"/>
          <w:i/>
          <w:szCs w:val="24"/>
          <w:lang w:val="es-ES" w:eastAsia="es-ES"/>
        </w:rPr>
        <w:t>(Presentada por Ghana</w:t>
      </w:r>
      <w:r w:rsidRPr="00BF1CB1">
        <w:rPr>
          <w:rFonts w:eastAsia="Times New Roman"/>
          <w:szCs w:val="24"/>
          <w:lang w:val="es-ES" w:eastAsia="es-ES"/>
        </w:rPr>
        <w:t>)</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ind w:firstLine="720"/>
        <w:jc w:val="both"/>
        <w:rPr>
          <w:rFonts w:eastAsia="Times New Roman"/>
          <w:szCs w:val="24"/>
          <w:lang w:val="es-ES" w:eastAsia="es-ES"/>
        </w:rPr>
      </w:pPr>
      <w:r w:rsidRPr="00BF1CB1">
        <w:rPr>
          <w:rFonts w:eastAsia="Times New Roman"/>
          <w:i/>
          <w:szCs w:val="24"/>
          <w:lang w:val="es-ES" w:eastAsia="es-ES"/>
        </w:rPr>
        <w:t>Apreciando</w:t>
      </w:r>
      <w:r w:rsidRPr="00BF1CB1">
        <w:rPr>
          <w:rFonts w:eastAsia="Times New Roman"/>
          <w:szCs w:val="24"/>
          <w:lang w:val="es-ES" w:eastAsia="es-ES"/>
        </w:rPr>
        <w:t xml:space="preserve"> el compromiso constante para con la familia de la CMS demostrado coherentemente por la sociedad civil, en particular las organizaciones no gubernamentales (ONG), las instituciones científicas, los científicos independientes así como expertos en políticas independientes en muchas partes del mundo, un compromiso reconocido en resoluciones y recomendaciones fundamentales desde la COP4 de la CMS</w:t>
      </w:r>
      <w:r w:rsidRPr="00BF1CB1">
        <w:rPr>
          <w:rFonts w:eastAsia="Times New Roman"/>
          <w:sz w:val="20"/>
          <w:szCs w:val="24"/>
          <w:lang w:val="es-ES" w:eastAsia="es-ES"/>
        </w:rPr>
        <w:t>;</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ind w:firstLine="720"/>
        <w:jc w:val="both"/>
        <w:rPr>
          <w:rFonts w:eastAsia="Times New Roman"/>
          <w:szCs w:val="24"/>
          <w:lang w:val="es-ES" w:eastAsia="es-ES"/>
        </w:rPr>
      </w:pPr>
      <w:r w:rsidRPr="00BF1CB1">
        <w:rPr>
          <w:rFonts w:eastAsia="Times New Roman"/>
          <w:i/>
          <w:szCs w:val="24"/>
          <w:lang w:val="es-ES" w:eastAsia="es-ES"/>
        </w:rPr>
        <w:t>Consciente</w:t>
      </w:r>
      <w:r w:rsidRPr="00BF1CB1">
        <w:rPr>
          <w:rFonts w:eastAsia="Times New Roman"/>
          <w:szCs w:val="24"/>
          <w:lang w:val="es-ES" w:eastAsia="es-ES"/>
        </w:rPr>
        <w:t xml:space="preserve"> de que el Consejo de Administración del Programa de las Naciones Unidas para el Medio Ambiente (PNUMA) en su primera reunión universal celebrada en febrero de 2013 adoptó la Decisión 27/2 sobre acuerdos institucionales, entre otros, de estudiar nuevos mecanismos para promover la transparencia y la participación efectiva de la sociedad civil en su labor y la de sus órganos auxiliares, en concreto: elaborar un proceso para la acreditación y la participación de las partes interesadas; explorar mecanismos y normas para las aportaciones y el asesoramiento de expertos de las partes interesadas; y examinar métodos y procedimientos para facilitar debates y aportaciones fundamentados de todas las partes interesadas en el proceso de adopción de decisiones intergubernamentales;</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ind w:firstLine="720"/>
        <w:jc w:val="both"/>
        <w:rPr>
          <w:rFonts w:eastAsia="Times New Roman"/>
          <w:szCs w:val="24"/>
          <w:lang w:val="es-ES" w:eastAsia="es-ES"/>
        </w:rPr>
      </w:pPr>
      <w:r w:rsidRPr="00BF1CB1">
        <w:rPr>
          <w:rFonts w:eastAsia="Times New Roman"/>
          <w:i/>
          <w:szCs w:val="24"/>
          <w:lang w:val="es-ES" w:eastAsia="es-ES"/>
        </w:rPr>
        <w:t>Reconociendo</w:t>
      </w:r>
      <w:r w:rsidRPr="00BF1CB1">
        <w:rPr>
          <w:rFonts w:eastAsia="Times New Roman"/>
          <w:szCs w:val="24"/>
          <w:lang w:val="es-ES" w:eastAsia="es-ES"/>
        </w:rPr>
        <w:t xml:space="preserve"> las conclusiones y recomendaciones formuladas en el documento </w:t>
      </w:r>
      <w:r w:rsidRPr="00BF1CB1">
        <w:rPr>
          <w:rFonts w:eastAsia="Times New Roman"/>
          <w:i/>
          <w:szCs w:val="24"/>
          <w:lang w:val="es-ES" w:eastAsia="es-ES"/>
        </w:rPr>
        <w:t xml:space="preserve">A Natural </w:t>
      </w:r>
      <w:proofErr w:type="spellStart"/>
      <w:r w:rsidRPr="00BF1CB1">
        <w:rPr>
          <w:rFonts w:eastAsia="Times New Roman"/>
          <w:i/>
          <w:szCs w:val="24"/>
          <w:lang w:val="es-ES" w:eastAsia="es-ES"/>
        </w:rPr>
        <w:t>Affiliation</w:t>
      </w:r>
      <w:proofErr w:type="spellEnd"/>
      <w:r w:rsidRPr="00BF1CB1">
        <w:rPr>
          <w:rFonts w:eastAsia="Times New Roman"/>
          <w:i/>
          <w:szCs w:val="24"/>
          <w:lang w:val="es-ES" w:eastAsia="es-ES"/>
        </w:rPr>
        <w:t xml:space="preserve">: </w:t>
      </w:r>
      <w:proofErr w:type="spellStart"/>
      <w:r w:rsidRPr="00BF1CB1">
        <w:rPr>
          <w:rFonts w:eastAsia="Times New Roman"/>
          <w:i/>
          <w:szCs w:val="24"/>
          <w:lang w:val="es-ES" w:eastAsia="es-ES"/>
        </w:rPr>
        <w:t>Developing</w:t>
      </w:r>
      <w:proofErr w:type="spellEnd"/>
      <w:r w:rsidRPr="00BF1CB1">
        <w:rPr>
          <w:rFonts w:eastAsia="Times New Roman"/>
          <w:i/>
          <w:szCs w:val="24"/>
          <w:lang w:val="es-ES" w:eastAsia="es-ES"/>
        </w:rPr>
        <w:t xml:space="preserve"> </w:t>
      </w:r>
      <w:proofErr w:type="spellStart"/>
      <w:r w:rsidRPr="00BF1CB1">
        <w:rPr>
          <w:rFonts w:eastAsia="Times New Roman"/>
          <w:i/>
          <w:szCs w:val="24"/>
          <w:lang w:val="es-ES" w:eastAsia="es-ES"/>
        </w:rPr>
        <w:t>the</w:t>
      </w:r>
      <w:proofErr w:type="spellEnd"/>
      <w:r w:rsidRPr="00BF1CB1">
        <w:rPr>
          <w:rFonts w:eastAsia="Times New Roman"/>
          <w:i/>
          <w:szCs w:val="24"/>
          <w:lang w:val="es-ES" w:eastAsia="es-ES"/>
        </w:rPr>
        <w:t xml:space="preserve"> Role of </w:t>
      </w:r>
      <w:proofErr w:type="spellStart"/>
      <w:r w:rsidRPr="00BF1CB1">
        <w:rPr>
          <w:rFonts w:eastAsia="Times New Roman"/>
          <w:i/>
          <w:szCs w:val="24"/>
          <w:lang w:val="es-ES" w:eastAsia="es-ES"/>
        </w:rPr>
        <w:t>NGOs</w:t>
      </w:r>
      <w:proofErr w:type="spellEnd"/>
      <w:r w:rsidRPr="00BF1CB1">
        <w:rPr>
          <w:rFonts w:eastAsia="Times New Roman"/>
          <w:i/>
          <w:szCs w:val="24"/>
          <w:lang w:val="es-ES" w:eastAsia="es-ES"/>
        </w:rPr>
        <w:t xml:space="preserve"> in </w:t>
      </w:r>
      <w:proofErr w:type="spellStart"/>
      <w:r w:rsidRPr="00BF1CB1">
        <w:rPr>
          <w:rFonts w:eastAsia="Times New Roman"/>
          <w:i/>
          <w:szCs w:val="24"/>
          <w:lang w:val="es-ES" w:eastAsia="es-ES"/>
        </w:rPr>
        <w:t>the</w:t>
      </w:r>
      <w:proofErr w:type="spellEnd"/>
      <w:r w:rsidRPr="00BF1CB1">
        <w:rPr>
          <w:rFonts w:eastAsia="Times New Roman"/>
          <w:i/>
          <w:szCs w:val="24"/>
          <w:lang w:val="es-ES" w:eastAsia="es-ES"/>
        </w:rPr>
        <w:t xml:space="preserve"> </w:t>
      </w:r>
      <w:proofErr w:type="spellStart"/>
      <w:r w:rsidRPr="00BF1CB1">
        <w:rPr>
          <w:rFonts w:eastAsia="Times New Roman"/>
          <w:i/>
          <w:szCs w:val="24"/>
          <w:lang w:val="es-ES" w:eastAsia="es-ES"/>
        </w:rPr>
        <w:t>Convention</w:t>
      </w:r>
      <w:proofErr w:type="spellEnd"/>
      <w:r w:rsidRPr="00BF1CB1">
        <w:rPr>
          <w:rFonts w:eastAsia="Times New Roman"/>
          <w:i/>
          <w:szCs w:val="24"/>
          <w:lang w:val="es-ES" w:eastAsia="es-ES"/>
        </w:rPr>
        <w:t xml:space="preserve"> of </w:t>
      </w:r>
      <w:proofErr w:type="spellStart"/>
      <w:r w:rsidRPr="00BF1CB1">
        <w:rPr>
          <w:rFonts w:eastAsia="Times New Roman"/>
          <w:i/>
          <w:szCs w:val="24"/>
          <w:lang w:val="es-ES" w:eastAsia="es-ES"/>
        </w:rPr>
        <w:t>Migratory</w:t>
      </w:r>
      <w:proofErr w:type="spellEnd"/>
      <w:r w:rsidRPr="00BF1CB1">
        <w:rPr>
          <w:rFonts w:eastAsia="Times New Roman"/>
          <w:i/>
          <w:szCs w:val="24"/>
          <w:lang w:val="es-ES" w:eastAsia="es-ES"/>
        </w:rPr>
        <w:t xml:space="preserve"> </w:t>
      </w:r>
      <w:proofErr w:type="spellStart"/>
      <w:r w:rsidRPr="00BF1CB1">
        <w:rPr>
          <w:rFonts w:eastAsia="Times New Roman"/>
          <w:i/>
          <w:szCs w:val="24"/>
          <w:lang w:val="es-ES" w:eastAsia="es-ES"/>
        </w:rPr>
        <w:t>Species</w:t>
      </w:r>
      <w:proofErr w:type="spellEnd"/>
      <w:r w:rsidRPr="00BF1CB1">
        <w:rPr>
          <w:rFonts w:eastAsia="Times New Roman"/>
          <w:i/>
          <w:szCs w:val="24"/>
          <w:lang w:val="es-ES" w:eastAsia="es-ES"/>
        </w:rPr>
        <w:t xml:space="preserve"> </w:t>
      </w:r>
      <w:proofErr w:type="spellStart"/>
      <w:r w:rsidRPr="00BF1CB1">
        <w:rPr>
          <w:rFonts w:eastAsia="Times New Roman"/>
          <w:i/>
          <w:szCs w:val="24"/>
          <w:lang w:val="es-ES" w:eastAsia="es-ES"/>
        </w:rPr>
        <w:t>Family</w:t>
      </w:r>
      <w:proofErr w:type="spellEnd"/>
      <w:r w:rsidRPr="00BF1CB1">
        <w:rPr>
          <w:rFonts w:eastAsia="Times New Roman"/>
          <w:szCs w:val="24"/>
          <w:lang w:val="es-ES" w:eastAsia="es-ES"/>
        </w:rPr>
        <w:t xml:space="preserve"> </w:t>
      </w:r>
      <w:r w:rsidRPr="00BF1CB1">
        <w:rPr>
          <w:rFonts w:eastAsia="Times New Roman"/>
          <w:sz w:val="20"/>
          <w:szCs w:val="24"/>
          <w:lang w:val="es-ES" w:eastAsia="es-ES"/>
        </w:rPr>
        <w:t>(</w:t>
      </w:r>
      <w:r w:rsidRPr="00BF1CB1">
        <w:rPr>
          <w:rFonts w:eastAsia="Times New Roman"/>
          <w:szCs w:val="24"/>
          <w:lang w:val="es-ES" w:eastAsia="es-ES"/>
        </w:rPr>
        <w:t xml:space="preserve">Afiliación natural: determinar la función que desempeñan las ONG en la familia de la Convención sobre las especies migratorias) que responde a una serie de actividades puestas de relieve en la Resolución 10.9 de la CMS sobre la </w:t>
      </w:r>
      <w:r w:rsidRPr="00BF1CB1">
        <w:rPr>
          <w:rFonts w:eastAsia="Times New Roman"/>
          <w:i/>
          <w:szCs w:val="24"/>
          <w:lang w:val="es-ES" w:eastAsia="es-ES"/>
        </w:rPr>
        <w:t>Estructura y estrategias futuras de la CMS y la familia de la CMS</w:t>
      </w:r>
      <w:r w:rsidRPr="00BF1CB1">
        <w:rPr>
          <w:rFonts w:eastAsia="Times New Roman"/>
          <w:szCs w:val="24"/>
          <w:lang w:val="es-ES" w:eastAsia="es-ES"/>
        </w:rPr>
        <w:t xml:space="preserve"> y refleja también las orientaciones de la Decisión 27/2 del Consejo de Administración del PNUMA;</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ind w:firstLine="720"/>
        <w:jc w:val="both"/>
        <w:rPr>
          <w:rFonts w:eastAsia="Times New Roman"/>
          <w:szCs w:val="24"/>
          <w:lang w:val="es-ES" w:eastAsia="es-ES"/>
        </w:rPr>
      </w:pPr>
      <w:r w:rsidRPr="00BF1CB1">
        <w:rPr>
          <w:rFonts w:eastAsia="Times New Roman"/>
          <w:i/>
          <w:szCs w:val="24"/>
          <w:lang w:val="es-ES" w:eastAsia="es-ES"/>
        </w:rPr>
        <w:t>Tomando nota</w:t>
      </w:r>
      <w:r w:rsidRPr="00BF1CB1">
        <w:rPr>
          <w:rFonts w:eastAsia="Times New Roman"/>
          <w:szCs w:val="24"/>
          <w:lang w:val="es-ES" w:eastAsia="es-ES"/>
        </w:rPr>
        <w:t xml:space="preserve"> del informe del Presidente del Grupo de Trabajo sobre el Plan Estratégico de la CMS (UNEP/CMS/COP11/Doc.15.2) y la Resolución 11.</w:t>
      </w:r>
      <w:r w:rsidRPr="00BF1CB1">
        <w:rPr>
          <w:rFonts w:eastAsia="Times New Roman"/>
          <w:szCs w:val="24"/>
          <w:highlight w:val="yellow"/>
          <w:lang w:val="es-ES" w:eastAsia="es-ES"/>
        </w:rPr>
        <w:t xml:space="preserve">x </w:t>
      </w:r>
      <w:r w:rsidRPr="00BF1CB1">
        <w:rPr>
          <w:rFonts w:eastAsia="Times New Roman"/>
          <w:i/>
          <w:szCs w:val="24"/>
          <w:lang w:val="es-ES" w:eastAsia="es-ES"/>
        </w:rPr>
        <w:t>Plan Estratégico para las Especies Migratorias 2015-2023</w:t>
      </w:r>
      <w:r w:rsidRPr="00BF1CB1">
        <w:rPr>
          <w:rFonts w:eastAsia="Times New Roman"/>
          <w:sz w:val="20"/>
          <w:szCs w:val="24"/>
          <w:lang w:val="es-ES" w:eastAsia="es-ES"/>
        </w:rPr>
        <w:t>.</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ind w:firstLine="720"/>
        <w:jc w:val="both"/>
        <w:rPr>
          <w:rFonts w:eastAsia="Times New Roman"/>
          <w:szCs w:val="24"/>
          <w:lang w:val="es-ES" w:eastAsia="es-ES"/>
        </w:rPr>
      </w:pPr>
      <w:r w:rsidRPr="00BF1CB1">
        <w:rPr>
          <w:rFonts w:eastAsia="Times New Roman"/>
          <w:i/>
          <w:szCs w:val="24"/>
          <w:lang w:val="es-ES" w:eastAsia="es-ES"/>
        </w:rPr>
        <w:t>Consciente</w:t>
      </w:r>
      <w:r w:rsidRPr="00BF1CB1">
        <w:rPr>
          <w:rFonts w:eastAsia="Times New Roman"/>
          <w:szCs w:val="24"/>
          <w:lang w:val="es-ES" w:eastAsia="es-ES"/>
        </w:rPr>
        <w:t xml:space="preserve"> de que muchos de los acuerdos de la familia de la CMS se benefician en gran medida de una relación respetuosa y colaborativa con la sociedad civil, incluida la participación de las ONG en la implementación de las actividades de conservación así como del apoyo que reciben de los procesos gubernamentales; y</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ind w:firstLine="720"/>
        <w:jc w:val="both"/>
        <w:rPr>
          <w:rFonts w:eastAsia="Times New Roman"/>
          <w:szCs w:val="24"/>
          <w:lang w:val="es-ES" w:eastAsia="es-ES"/>
        </w:rPr>
      </w:pPr>
      <w:r w:rsidRPr="00BF1CB1">
        <w:rPr>
          <w:rFonts w:eastAsia="Times New Roman"/>
          <w:i/>
          <w:szCs w:val="24"/>
          <w:lang w:val="es-ES" w:eastAsia="es-ES"/>
        </w:rPr>
        <w:t>Consciente</w:t>
      </w:r>
      <w:r w:rsidRPr="00BF1CB1">
        <w:rPr>
          <w:rFonts w:eastAsia="Times New Roman"/>
          <w:szCs w:val="24"/>
          <w:lang w:val="es-ES" w:eastAsia="es-ES"/>
        </w:rPr>
        <w:t xml:space="preserve"> </w:t>
      </w:r>
      <w:r w:rsidRPr="00BF1CB1">
        <w:rPr>
          <w:rFonts w:eastAsia="Times New Roman"/>
          <w:i/>
          <w:szCs w:val="24"/>
          <w:lang w:val="es-ES" w:eastAsia="es-ES"/>
        </w:rPr>
        <w:t>también</w:t>
      </w:r>
      <w:r w:rsidRPr="00BF1CB1">
        <w:rPr>
          <w:rFonts w:eastAsia="Times New Roman"/>
          <w:szCs w:val="24"/>
          <w:lang w:val="es-ES" w:eastAsia="es-ES"/>
        </w:rPr>
        <w:t xml:space="preserve"> de que la relación colaborativa podría mejorarse para beneficiar todavía más al programa de trabajo de la familia de la CMS;</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autoSpaceDE w:val="0"/>
        <w:autoSpaceDN w:val="0"/>
        <w:adjustRightInd w:val="0"/>
        <w:jc w:val="center"/>
        <w:rPr>
          <w:rFonts w:eastAsia="Times New Roman"/>
          <w:i/>
          <w:szCs w:val="24"/>
          <w:lang w:val="es-ES" w:eastAsia="es-ES"/>
        </w:rPr>
      </w:pPr>
      <w:r w:rsidRPr="00BF1CB1">
        <w:rPr>
          <w:rFonts w:eastAsia="Times New Roman"/>
          <w:i/>
          <w:szCs w:val="24"/>
          <w:lang w:val="es-ES" w:eastAsia="es-ES"/>
        </w:rPr>
        <w:t>La Conferencia de las Partes en la</w:t>
      </w:r>
    </w:p>
    <w:p w:rsidR="00BF1CB1" w:rsidRPr="00BF1CB1" w:rsidRDefault="00BF1CB1" w:rsidP="00BF1CB1">
      <w:pPr>
        <w:widowControl w:val="0"/>
        <w:autoSpaceDE w:val="0"/>
        <w:autoSpaceDN w:val="0"/>
        <w:adjustRightInd w:val="0"/>
        <w:jc w:val="center"/>
        <w:rPr>
          <w:rFonts w:eastAsia="Times New Roman"/>
          <w:i/>
          <w:szCs w:val="24"/>
          <w:lang w:val="es-ES" w:eastAsia="es-ES"/>
        </w:rPr>
      </w:pPr>
      <w:r w:rsidRPr="00BF1CB1">
        <w:rPr>
          <w:rFonts w:eastAsia="Times New Roman"/>
          <w:i/>
          <w:szCs w:val="24"/>
          <w:lang w:val="es-ES" w:eastAsia="es-ES"/>
        </w:rPr>
        <w:t>Convención sobre la Conservación de las Especies Migratorias de Animales Silvestres</w:t>
      </w:r>
    </w:p>
    <w:p w:rsidR="00BF1CB1" w:rsidRPr="00BF1CB1" w:rsidRDefault="00BF1CB1" w:rsidP="00BF1CB1">
      <w:pPr>
        <w:widowControl w:val="0"/>
        <w:autoSpaceDE w:val="0"/>
        <w:autoSpaceDN w:val="0"/>
        <w:adjustRightInd w:val="0"/>
        <w:jc w:val="both"/>
        <w:rPr>
          <w:rFonts w:eastAsia="Times New Roman"/>
          <w:szCs w:val="24"/>
          <w:lang w:val="es-ES" w:eastAsia="es-ES"/>
        </w:rPr>
      </w:pPr>
    </w:p>
    <w:p w:rsidR="00BF1CB1" w:rsidRPr="00BF1CB1" w:rsidRDefault="00BF1CB1" w:rsidP="00BF1CB1">
      <w:pPr>
        <w:widowControl w:val="0"/>
        <w:numPr>
          <w:ilvl w:val="0"/>
          <w:numId w:val="12"/>
        </w:numPr>
        <w:autoSpaceDE w:val="0"/>
        <w:autoSpaceDN w:val="0"/>
        <w:adjustRightInd w:val="0"/>
        <w:ind w:left="720" w:hanging="720"/>
        <w:contextualSpacing/>
        <w:jc w:val="both"/>
        <w:rPr>
          <w:rFonts w:eastAsia="Times New Roman"/>
          <w:szCs w:val="24"/>
          <w:lang w:val="es-ES" w:eastAsia="es-ES"/>
        </w:rPr>
      </w:pPr>
      <w:r w:rsidRPr="00BF1CB1">
        <w:rPr>
          <w:rFonts w:eastAsia="Times New Roman"/>
          <w:i/>
          <w:szCs w:val="24"/>
          <w:lang w:val="es-ES" w:eastAsia="es-ES"/>
        </w:rPr>
        <w:t>Invita</w:t>
      </w:r>
      <w:r w:rsidRPr="00BF1CB1">
        <w:rPr>
          <w:rFonts w:eastAsia="Times New Roman"/>
          <w:szCs w:val="24"/>
          <w:lang w:val="es-ES" w:eastAsia="es-ES"/>
        </w:rPr>
        <w:t xml:space="preserve"> a las ONG asociadas a examinar las opciones para fomentar la relación entre la familia de la CMS y la sociedad civil, en particular:</w:t>
      </w:r>
    </w:p>
    <w:p w:rsidR="00BF1CB1" w:rsidRPr="00BF1CB1" w:rsidRDefault="00BF1CB1" w:rsidP="00BF1CB1">
      <w:pPr>
        <w:contextualSpacing/>
        <w:jc w:val="both"/>
        <w:rPr>
          <w:rFonts w:eastAsia="Times New Roman"/>
          <w:szCs w:val="24"/>
          <w:lang w:val="es-ES" w:eastAsia="es-ES"/>
        </w:rPr>
      </w:pPr>
    </w:p>
    <w:p w:rsidR="00BF1CB1" w:rsidRPr="00BF1CB1" w:rsidRDefault="00BF1CB1" w:rsidP="00BF1CB1">
      <w:pPr>
        <w:widowControl w:val="0"/>
        <w:numPr>
          <w:ilvl w:val="1"/>
          <w:numId w:val="15"/>
        </w:numPr>
        <w:autoSpaceDE w:val="0"/>
        <w:autoSpaceDN w:val="0"/>
        <w:adjustRightInd w:val="0"/>
        <w:ind w:left="709" w:hanging="709"/>
        <w:contextualSpacing/>
        <w:jc w:val="both"/>
        <w:rPr>
          <w:rFonts w:eastAsia="Times New Roman"/>
          <w:szCs w:val="24"/>
          <w:lang w:val="es-ES" w:eastAsia="es-ES"/>
        </w:rPr>
      </w:pPr>
      <w:r w:rsidRPr="00BF1CB1">
        <w:rPr>
          <w:rFonts w:eastAsia="Times New Roman"/>
          <w:szCs w:val="24"/>
          <w:lang w:val="es-ES" w:eastAsia="es-ES"/>
        </w:rPr>
        <w:t>Mecanismos para presentar en forma oficial y coherente informes sobre los trabajos facilitados por las ONG en toda la familia de la CMS;</w:t>
      </w:r>
    </w:p>
    <w:p w:rsidR="00BF1CB1" w:rsidRPr="00BF1CB1" w:rsidRDefault="00BF1CB1" w:rsidP="00BF1CB1">
      <w:pPr>
        <w:contextualSpacing/>
        <w:jc w:val="both"/>
        <w:rPr>
          <w:rFonts w:eastAsia="Times New Roman"/>
          <w:szCs w:val="24"/>
          <w:lang w:val="es-ES" w:eastAsia="es-ES"/>
        </w:rPr>
      </w:pPr>
    </w:p>
    <w:p w:rsidR="00BF1CB1" w:rsidRPr="00BF1CB1" w:rsidRDefault="00BF1CB1" w:rsidP="00BF1CB1">
      <w:pPr>
        <w:widowControl w:val="0"/>
        <w:numPr>
          <w:ilvl w:val="1"/>
          <w:numId w:val="15"/>
        </w:numPr>
        <w:autoSpaceDE w:val="0"/>
        <w:autoSpaceDN w:val="0"/>
        <w:adjustRightInd w:val="0"/>
        <w:ind w:left="709" w:hanging="709"/>
        <w:contextualSpacing/>
        <w:jc w:val="both"/>
        <w:rPr>
          <w:rFonts w:eastAsia="Times New Roman"/>
          <w:szCs w:val="24"/>
          <w:lang w:val="es-ES" w:eastAsia="es-ES"/>
        </w:rPr>
      </w:pPr>
      <w:r w:rsidRPr="00BF1CB1">
        <w:rPr>
          <w:rFonts w:eastAsia="Times New Roman"/>
          <w:szCs w:val="24"/>
          <w:lang w:val="es-ES" w:eastAsia="es-ES"/>
        </w:rPr>
        <w:t xml:space="preserve">Modelos para una mayor participación de las ONG en procesos como las  'Organizaciones internacionales asociadas’ de </w:t>
      </w:r>
      <w:proofErr w:type="spellStart"/>
      <w:r w:rsidRPr="00BF1CB1">
        <w:rPr>
          <w:rFonts w:eastAsia="Times New Roman"/>
          <w:szCs w:val="24"/>
          <w:lang w:val="es-ES" w:eastAsia="es-ES"/>
        </w:rPr>
        <w:t>Ramsar</w:t>
      </w:r>
      <w:proofErr w:type="spellEnd"/>
      <w:r w:rsidRPr="00BF1CB1">
        <w:rPr>
          <w:rFonts w:eastAsia="Times New Roman"/>
          <w:szCs w:val="24"/>
          <w:lang w:val="es-ES" w:eastAsia="es-ES"/>
        </w:rPr>
        <w:t>; y</w:t>
      </w:r>
    </w:p>
    <w:p w:rsidR="00BF1CB1" w:rsidRPr="00BF1CB1" w:rsidRDefault="00BF1CB1" w:rsidP="00BF1CB1">
      <w:pPr>
        <w:contextualSpacing/>
        <w:jc w:val="both"/>
        <w:rPr>
          <w:rFonts w:eastAsia="Times New Roman"/>
          <w:szCs w:val="24"/>
          <w:lang w:val="es-ES" w:eastAsia="es-ES"/>
        </w:rPr>
      </w:pPr>
    </w:p>
    <w:p w:rsidR="00BF1CB1" w:rsidRPr="00BF1CB1" w:rsidRDefault="00BF1CB1" w:rsidP="00BF1CB1">
      <w:pPr>
        <w:widowControl w:val="0"/>
        <w:numPr>
          <w:ilvl w:val="1"/>
          <w:numId w:val="15"/>
        </w:numPr>
        <w:autoSpaceDE w:val="0"/>
        <w:autoSpaceDN w:val="0"/>
        <w:adjustRightInd w:val="0"/>
        <w:ind w:left="709" w:hanging="709"/>
        <w:contextualSpacing/>
        <w:jc w:val="both"/>
        <w:rPr>
          <w:rFonts w:eastAsia="Times New Roman"/>
          <w:szCs w:val="24"/>
          <w:lang w:val="es-ES" w:eastAsia="es-ES"/>
        </w:rPr>
      </w:pPr>
      <w:r w:rsidRPr="00BF1CB1">
        <w:rPr>
          <w:rFonts w:eastAsia="Times New Roman"/>
          <w:szCs w:val="24"/>
          <w:lang w:val="es-ES" w:eastAsia="es-ES"/>
        </w:rPr>
        <w:t>Modalidades para una participación estratégica con las ONG a fin de que proporcionen conocimientos especializados en materia de implementación y creación de capacidad en regiones fundamentales;</w:t>
      </w:r>
    </w:p>
    <w:p w:rsidR="00BF1CB1" w:rsidRPr="00BF1CB1" w:rsidRDefault="00BF1CB1" w:rsidP="00BF1CB1">
      <w:pPr>
        <w:contextualSpacing/>
        <w:jc w:val="both"/>
        <w:rPr>
          <w:rFonts w:eastAsia="Times New Roman"/>
          <w:szCs w:val="24"/>
          <w:lang w:val="es-ES" w:eastAsia="es-ES"/>
        </w:rPr>
      </w:pPr>
    </w:p>
    <w:p w:rsidR="00BF1CB1" w:rsidRPr="00BF1CB1" w:rsidRDefault="00BF1CB1" w:rsidP="00BF1CB1">
      <w:pPr>
        <w:widowControl w:val="0"/>
        <w:numPr>
          <w:ilvl w:val="0"/>
          <w:numId w:val="12"/>
        </w:numPr>
        <w:autoSpaceDE w:val="0"/>
        <w:autoSpaceDN w:val="0"/>
        <w:adjustRightInd w:val="0"/>
        <w:ind w:left="720" w:hanging="720"/>
        <w:contextualSpacing/>
        <w:jc w:val="both"/>
        <w:rPr>
          <w:rFonts w:eastAsia="Times New Roman"/>
          <w:szCs w:val="24"/>
          <w:lang w:val="es-ES" w:eastAsia="es-ES"/>
        </w:rPr>
      </w:pPr>
      <w:r w:rsidRPr="00BF1CB1">
        <w:rPr>
          <w:rFonts w:eastAsia="Times New Roman"/>
          <w:i/>
          <w:szCs w:val="24"/>
          <w:lang w:val="es-ES" w:eastAsia="es-ES"/>
        </w:rPr>
        <w:t>Encarga</w:t>
      </w:r>
      <w:r w:rsidRPr="00BF1CB1">
        <w:rPr>
          <w:rFonts w:eastAsia="Times New Roman"/>
          <w:szCs w:val="24"/>
          <w:lang w:val="es-ES" w:eastAsia="es-ES"/>
        </w:rPr>
        <w:t xml:space="preserve"> a la Secretaría que facilite la presentación del examen de los progresos realizados e invite a que se aporten contribuciones de la 44</w:t>
      </w:r>
      <w:r w:rsidRPr="00BF1CB1">
        <w:rPr>
          <w:rFonts w:eastAsia="Times New Roman"/>
          <w:szCs w:val="24"/>
          <w:vertAlign w:val="superscript"/>
          <w:lang w:val="es-ES" w:eastAsia="es-ES"/>
        </w:rPr>
        <w:t>a</w:t>
      </w:r>
      <w:r w:rsidRPr="00BF1CB1">
        <w:rPr>
          <w:rFonts w:eastAsia="Times New Roman"/>
          <w:szCs w:val="24"/>
          <w:lang w:val="es-ES" w:eastAsia="es-ES"/>
        </w:rPr>
        <w:t xml:space="preserve"> y 45</w:t>
      </w:r>
      <w:r w:rsidRPr="00BF1CB1">
        <w:rPr>
          <w:rFonts w:eastAsia="Times New Roman"/>
          <w:szCs w:val="24"/>
          <w:vertAlign w:val="superscript"/>
          <w:lang w:val="es-ES" w:eastAsia="es-ES"/>
        </w:rPr>
        <w:t xml:space="preserve">a </w:t>
      </w:r>
      <w:r w:rsidRPr="00BF1CB1">
        <w:rPr>
          <w:rFonts w:eastAsia="Times New Roman"/>
          <w:szCs w:val="24"/>
          <w:lang w:val="es-ES" w:eastAsia="es-ES"/>
        </w:rPr>
        <w:t>reuniones del Comité Permanente;</w:t>
      </w:r>
      <w:r w:rsidRPr="00BF1CB1">
        <w:rPr>
          <w:rFonts w:eastAsia="Times New Roman"/>
          <w:sz w:val="20"/>
          <w:szCs w:val="24"/>
          <w:lang w:val="es-ES" w:eastAsia="es-ES"/>
        </w:rPr>
        <w:t xml:space="preserve"> </w:t>
      </w:r>
    </w:p>
    <w:p w:rsidR="00BF1CB1" w:rsidRPr="00BF1CB1" w:rsidRDefault="00BF1CB1" w:rsidP="00BF1CB1">
      <w:pPr>
        <w:contextualSpacing/>
        <w:jc w:val="both"/>
        <w:rPr>
          <w:rFonts w:eastAsia="Times New Roman"/>
          <w:szCs w:val="24"/>
          <w:lang w:val="es-ES" w:eastAsia="es-ES"/>
        </w:rPr>
      </w:pPr>
    </w:p>
    <w:p w:rsidR="00BF1CB1" w:rsidRPr="00BF1CB1" w:rsidRDefault="00BF1CB1" w:rsidP="00BF1CB1">
      <w:pPr>
        <w:widowControl w:val="0"/>
        <w:numPr>
          <w:ilvl w:val="0"/>
          <w:numId w:val="12"/>
        </w:numPr>
        <w:autoSpaceDE w:val="0"/>
        <w:autoSpaceDN w:val="0"/>
        <w:adjustRightInd w:val="0"/>
        <w:ind w:left="720" w:hanging="720"/>
        <w:contextualSpacing/>
        <w:jc w:val="both"/>
        <w:rPr>
          <w:rFonts w:eastAsia="Times New Roman"/>
          <w:szCs w:val="24"/>
          <w:lang w:val="es-ES" w:eastAsia="es-ES"/>
        </w:rPr>
      </w:pPr>
      <w:r w:rsidRPr="00BF1CB1">
        <w:rPr>
          <w:rFonts w:eastAsia="Times New Roman"/>
          <w:i/>
          <w:szCs w:val="24"/>
          <w:lang w:val="es-ES" w:eastAsia="es-ES"/>
        </w:rPr>
        <w:t>Invita</w:t>
      </w:r>
      <w:r w:rsidRPr="00BF1CB1">
        <w:rPr>
          <w:rFonts w:eastAsia="Times New Roman"/>
          <w:szCs w:val="24"/>
          <w:lang w:val="es-ES" w:eastAsia="es-ES"/>
        </w:rPr>
        <w:t xml:space="preserve"> a las ONG asociadas a que formulen proyectos de recomendaciones para su examen en la 12ª reunión de la Conferencia de las Partes; y </w:t>
      </w:r>
    </w:p>
    <w:p w:rsidR="00BF1CB1" w:rsidRPr="00BF1CB1" w:rsidRDefault="00BF1CB1" w:rsidP="00BF1CB1">
      <w:pPr>
        <w:ind w:left="720" w:hanging="720"/>
        <w:contextualSpacing/>
        <w:jc w:val="both"/>
        <w:rPr>
          <w:rFonts w:eastAsia="Times New Roman"/>
          <w:szCs w:val="24"/>
          <w:lang w:val="es-ES" w:eastAsia="es-ES"/>
        </w:rPr>
      </w:pPr>
    </w:p>
    <w:p w:rsidR="00BF1CB1" w:rsidRPr="00BF1CB1" w:rsidRDefault="00BF1CB1" w:rsidP="00BF1CB1">
      <w:pPr>
        <w:widowControl w:val="0"/>
        <w:numPr>
          <w:ilvl w:val="0"/>
          <w:numId w:val="12"/>
        </w:numPr>
        <w:autoSpaceDE w:val="0"/>
        <w:autoSpaceDN w:val="0"/>
        <w:adjustRightInd w:val="0"/>
        <w:ind w:left="720" w:hanging="720"/>
        <w:contextualSpacing/>
        <w:jc w:val="both"/>
        <w:rPr>
          <w:rFonts w:eastAsia="Times New Roman"/>
          <w:szCs w:val="24"/>
          <w:lang w:val="es-ES" w:eastAsia="es-ES"/>
        </w:rPr>
      </w:pPr>
      <w:r w:rsidRPr="00BF1CB1">
        <w:rPr>
          <w:rFonts w:eastAsia="Times New Roman"/>
          <w:i/>
          <w:szCs w:val="24"/>
          <w:lang w:val="es-ES" w:eastAsia="es-ES"/>
        </w:rPr>
        <w:t>Invita</w:t>
      </w:r>
      <w:r w:rsidRPr="00BF1CB1">
        <w:rPr>
          <w:rFonts w:eastAsia="Times New Roman"/>
          <w:szCs w:val="24"/>
          <w:lang w:val="es-ES" w:eastAsia="es-ES"/>
        </w:rPr>
        <w:t xml:space="preserve"> a los asociados y los donantes a que examinen la prestación de asistencia financiera para apoyar el proceso de examen.</w:t>
      </w:r>
    </w:p>
    <w:p w:rsidR="00BF1CB1" w:rsidRPr="00BF1CB1" w:rsidRDefault="00BF1CB1" w:rsidP="00BF1CB1">
      <w:pPr>
        <w:contextualSpacing/>
        <w:jc w:val="both"/>
        <w:rPr>
          <w:rFonts w:eastAsia="Times New Roman"/>
          <w:szCs w:val="24"/>
          <w:lang w:val="es-ES" w:eastAsia="es-ES"/>
        </w:rPr>
      </w:pPr>
    </w:p>
    <w:sectPr w:rsidR="00BF1CB1" w:rsidRPr="00BF1CB1" w:rsidSect="00D6057F">
      <w:headerReference w:type="default" r:id="rId18"/>
      <w:headerReference w:type="first" r:id="rId19"/>
      <w:footerReference w:type="first" r:id="rId20"/>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B1" w:rsidRDefault="00BF1CB1" w:rsidP="00C96A00">
      <w:r>
        <w:separator/>
      </w:r>
    </w:p>
  </w:endnote>
  <w:endnote w:type="continuationSeparator" w:id="0">
    <w:p w:rsidR="00BF1CB1" w:rsidRDefault="00BF1CB1"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D6057F">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BA3904">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273F6A"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B1" w:rsidRPr="006015A6" w:rsidRDefault="00BF1CB1" w:rsidP="001764E6">
    <w:pPr>
      <w:pStyle w:val="Footer"/>
      <w:jc w:val="center"/>
    </w:pPr>
    <w:r w:rsidRPr="006015A6">
      <w:fldChar w:fldCharType="begin"/>
    </w:r>
    <w:r w:rsidRPr="006015A6">
      <w:instrText xml:space="preserve"> PAGE   \* MERGEFORMAT </w:instrText>
    </w:r>
    <w:r w:rsidRPr="006015A6">
      <w:fldChar w:fldCharType="separate"/>
    </w:r>
    <w:r w:rsidR="00BA3904">
      <w:rPr>
        <w:noProof/>
      </w:rPr>
      <w:t>2</w:t>
    </w:r>
    <w:r w:rsidRPr="006015A6">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BA390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B1" w:rsidRDefault="00BF1CB1" w:rsidP="00C96A00">
      <w:r>
        <w:separator/>
      </w:r>
    </w:p>
  </w:footnote>
  <w:footnote w:type="continuationSeparator" w:id="0">
    <w:p w:rsidR="00BF1CB1" w:rsidRDefault="00BF1CB1" w:rsidP="00C96A00">
      <w:r>
        <w:continuationSeparator/>
      </w:r>
    </w:p>
  </w:footnote>
  <w:footnote w:id="1">
    <w:p w:rsidR="00BF1CB1" w:rsidRPr="00BF1CB1" w:rsidRDefault="00BF1CB1" w:rsidP="00BF1CB1">
      <w:pPr>
        <w:pStyle w:val="FootnoteText"/>
        <w:tabs>
          <w:tab w:val="left" w:pos="284"/>
        </w:tabs>
        <w:ind w:left="284" w:hanging="284"/>
        <w:rPr>
          <w:lang w:val="es-ES"/>
        </w:rPr>
      </w:pPr>
      <w:r>
        <w:rPr>
          <w:rStyle w:val="FootnoteReference"/>
          <w:sz w:val="18"/>
          <w:vertAlign w:val="superscript"/>
        </w:rPr>
        <w:footnoteRef/>
      </w:r>
      <w:r w:rsidRPr="00AD5E6E">
        <w:rPr>
          <w:sz w:val="18"/>
        </w:rPr>
        <w:t xml:space="preserve"> </w:t>
      </w:r>
      <w:r w:rsidRPr="00AD5E6E">
        <w:tab/>
      </w:r>
      <w:proofErr w:type="spellStart"/>
      <w:proofErr w:type="gramStart"/>
      <w:r w:rsidRPr="00AD5E6E">
        <w:rPr>
          <w:sz w:val="18"/>
        </w:rPr>
        <w:t>Prideaux</w:t>
      </w:r>
      <w:proofErr w:type="spellEnd"/>
      <w:r w:rsidRPr="00AD5E6E">
        <w:rPr>
          <w:sz w:val="18"/>
        </w:rPr>
        <w:t>, M., (2013).</w:t>
      </w:r>
      <w:proofErr w:type="gramEnd"/>
      <w:r w:rsidRPr="00AD5E6E">
        <w:rPr>
          <w:sz w:val="18"/>
        </w:rPr>
        <w:t xml:space="preserve">  </w:t>
      </w:r>
      <w:r w:rsidRPr="00AD5E6E">
        <w:rPr>
          <w:i/>
          <w:sz w:val="18"/>
        </w:rPr>
        <w:t>A Natural Affiliation: Developing the Role of NGOs in the Convention on Migratory Species Family</w:t>
      </w:r>
      <w:r w:rsidRPr="00AD5E6E">
        <w:rPr>
          <w:sz w:val="18"/>
        </w:rPr>
        <w:t xml:space="preserve">, Wild Migration, </w:t>
      </w:r>
      <w:proofErr w:type="gramStart"/>
      <w:r w:rsidRPr="00AD5E6E">
        <w:rPr>
          <w:sz w:val="18"/>
        </w:rPr>
        <w:t>y</w:t>
      </w:r>
      <w:proofErr w:type="gramEnd"/>
      <w:r w:rsidRPr="00AD5E6E">
        <w:rPr>
          <w:sz w:val="18"/>
        </w:rPr>
        <w:t xml:space="preserve"> Australia. </w:t>
      </w:r>
      <w:r w:rsidRPr="00BF1CB1">
        <w:rPr>
          <w:sz w:val="18"/>
          <w:lang w:val="es-ES"/>
        </w:rPr>
        <w:t>Una versión ligeramente revisada del documento forma parte de la documentación de la COP11, véase el documento UNEP/CMS/COP11/Inf.15.</w:t>
      </w:r>
    </w:p>
  </w:footnote>
  <w:footnote w:id="2">
    <w:p w:rsidR="00BF1CB1" w:rsidRPr="00BF1CB1" w:rsidRDefault="00BF1CB1" w:rsidP="00BF1CB1">
      <w:pPr>
        <w:pStyle w:val="FootnoteText"/>
        <w:tabs>
          <w:tab w:val="left" w:pos="284"/>
        </w:tabs>
        <w:ind w:left="284" w:hanging="284"/>
        <w:rPr>
          <w:lang w:val="es-ES"/>
        </w:rPr>
      </w:pPr>
      <w:r>
        <w:rPr>
          <w:rStyle w:val="FootnoteReference"/>
          <w:sz w:val="18"/>
          <w:vertAlign w:val="superscript"/>
        </w:rPr>
        <w:footnoteRef/>
      </w:r>
      <w:r w:rsidRPr="00BF1CB1">
        <w:rPr>
          <w:sz w:val="18"/>
          <w:lang w:val="es-ES"/>
        </w:rPr>
        <w:t xml:space="preserve"> </w:t>
      </w:r>
      <w:r w:rsidRPr="00BF1CB1">
        <w:rPr>
          <w:lang w:val="es-ES"/>
        </w:rPr>
        <w:tab/>
      </w:r>
      <w:r w:rsidRPr="00BF1CB1">
        <w:rPr>
          <w:rStyle w:val="CommentReference"/>
          <w:lang w:val="es-ES"/>
        </w:rPr>
        <w:t>http://www.unep.org/unea/docs/proceedings1.pdf.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B1" w:rsidRPr="00C7264F" w:rsidRDefault="00BF1CB1" w:rsidP="00BF1CB1">
    <w:pPr>
      <w:pStyle w:val="Heading1"/>
      <w:keepNext w:val="0"/>
      <w:pBdr>
        <w:bottom w:val="single" w:sz="4" w:space="1" w:color="auto"/>
      </w:pBdr>
      <w:ind w:left="261" w:right="-2" w:hanging="261"/>
      <w:jc w:val="right"/>
      <w:rPr>
        <w:b w:val="0"/>
        <w:i/>
        <w:sz w:val="20"/>
        <w:szCs w:val="20"/>
        <w:lang w:val="es-ES"/>
      </w:rPr>
    </w:pPr>
    <w:r>
      <w:rPr>
        <w:b w:val="0"/>
        <w:i/>
        <w:sz w:val="20"/>
      </w:rPr>
      <w:t>PNUMA/CMS/COP11/Doc.21.3</w:t>
    </w:r>
    <w:r w:rsidR="00C7264F">
      <w:rPr>
        <w:b w:val="0"/>
        <w:i/>
        <w:sz w:val="20"/>
        <w:lang w:val="es-ES"/>
      </w:rPr>
      <w:t>/Rev.1</w:t>
    </w:r>
  </w:p>
  <w:p w:rsidR="00BF1CB1" w:rsidRDefault="00BF1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B1" w:rsidRPr="00C7264F" w:rsidRDefault="00BF1CB1" w:rsidP="00EB2EFE">
    <w:pPr>
      <w:pStyle w:val="Heading1"/>
      <w:keepNext w:val="0"/>
      <w:pBdr>
        <w:bottom w:val="single" w:sz="4" w:space="1" w:color="auto"/>
      </w:pBdr>
      <w:ind w:left="261" w:right="-2" w:hanging="261"/>
      <w:rPr>
        <w:b w:val="0"/>
        <w:i/>
        <w:sz w:val="20"/>
        <w:szCs w:val="20"/>
        <w:lang w:val="es-ES"/>
      </w:rPr>
    </w:pPr>
    <w:r>
      <w:rPr>
        <w:b w:val="0"/>
        <w:i/>
        <w:sz w:val="20"/>
      </w:rPr>
      <w:t>PNUMA/CMS/COP11/Doc.21.3</w:t>
    </w:r>
    <w:r w:rsidR="00C7264F">
      <w:rPr>
        <w:b w:val="0"/>
        <w:i/>
        <w:sz w:val="20"/>
        <w:lang w:val="es-ES"/>
      </w:rPr>
      <w:t>/Rev.1</w:t>
    </w:r>
  </w:p>
  <w:p w:rsidR="00BF1CB1" w:rsidRPr="00EB2EFE" w:rsidRDefault="00BF1CB1" w:rsidP="00EB2EFE">
    <w:pPr>
      <w:rPr>
        <w: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B1" w:rsidRPr="00BF1CB1" w:rsidRDefault="00BF1CB1" w:rsidP="00BF1CB1">
    <w:pPr>
      <w:pBdr>
        <w:bottom w:val="single" w:sz="4" w:space="1" w:color="auto"/>
      </w:pBdr>
      <w:ind w:left="261" w:right="-2" w:hanging="261"/>
      <w:jc w:val="right"/>
      <w:outlineLvl w:val="0"/>
      <w:rPr>
        <w:rFonts w:ascii="Cambria" w:eastAsia="Times New Roman" w:hAnsi="Cambria"/>
        <w:bCs/>
        <w:i/>
        <w:kern w:val="32"/>
        <w:sz w:val="20"/>
        <w:szCs w:val="20"/>
        <w:lang w:val="pt-PT" w:eastAsia="x-none"/>
      </w:rPr>
    </w:pPr>
    <w:r w:rsidRPr="00BF1CB1">
      <w:rPr>
        <w:rFonts w:ascii="Cambria" w:eastAsia="Times New Roman" w:hAnsi="Cambria"/>
        <w:bCs/>
        <w:i/>
        <w:kern w:val="32"/>
        <w:sz w:val="20"/>
        <w:szCs w:val="20"/>
        <w:lang w:val="pt-PT" w:eastAsia="x-none"/>
      </w:rPr>
      <w:t>PNUMA/CMS/COP11/Doc.21.3/</w:t>
    </w:r>
    <w:r w:rsidR="00C7264F">
      <w:rPr>
        <w:rFonts w:ascii="Cambria" w:eastAsia="Times New Roman" w:hAnsi="Cambria"/>
        <w:bCs/>
        <w:i/>
        <w:kern w:val="32"/>
        <w:sz w:val="20"/>
        <w:szCs w:val="20"/>
        <w:lang w:val="pt-PT" w:eastAsia="x-none"/>
      </w:rPr>
      <w:t>Rev.1/</w:t>
    </w:r>
    <w:r w:rsidRPr="00BF1CB1">
      <w:rPr>
        <w:rFonts w:ascii="Cambria" w:eastAsia="Times New Roman" w:hAnsi="Cambria"/>
        <w:bCs/>
        <w:i/>
        <w:kern w:val="32"/>
        <w:sz w:val="20"/>
        <w:szCs w:val="20"/>
        <w:lang w:val="pt-PT" w:eastAsia="x-none"/>
      </w:rPr>
      <w:t xml:space="preserve"> Anexo: Proyecto de Resolución</w:t>
    </w:r>
  </w:p>
  <w:p w:rsidR="00BF1CB1" w:rsidRPr="00BF1CB1" w:rsidRDefault="00BF1CB1" w:rsidP="00BF1CB1">
    <w:pPr>
      <w:rPr>
        <w:i/>
        <w:szCs w:val="20"/>
        <w:lang w:val="pt-PT"/>
      </w:rPr>
    </w:pPr>
  </w:p>
  <w:p w:rsidR="00BF1CB1" w:rsidRPr="00BF1CB1" w:rsidRDefault="00BF1CB1">
    <w:pPr>
      <w:pStyle w:val="Header"/>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Pr="0013583B" w:rsidRDefault="00877009" w:rsidP="00031FF2">
    <w:pPr>
      <w:pStyle w:val="Heading1"/>
      <w:keepNext w:val="0"/>
      <w:pBdr>
        <w:bottom w:val="single" w:sz="4" w:space="1" w:color="auto"/>
      </w:pBdr>
      <w:spacing w:before="0" w:after="0"/>
      <w:ind w:left="261" w:right="-2" w:hanging="261"/>
      <w:rPr>
        <w:b w:val="0"/>
        <w:i/>
        <w:sz w:val="20"/>
        <w:szCs w:val="20"/>
        <w:lang w:val="pt-PT"/>
      </w:rPr>
    </w:pPr>
    <w:r w:rsidRPr="0013583B">
      <w:rPr>
        <w:b w:val="0"/>
        <w:i/>
        <w:sz w:val="20"/>
        <w:szCs w:val="20"/>
        <w:lang w:val="pt-PT"/>
      </w:rPr>
      <w:t>PNUMA</w:t>
    </w:r>
    <w:r w:rsidR="001D1094" w:rsidRPr="0013583B">
      <w:rPr>
        <w:b w:val="0"/>
        <w:i/>
        <w:sz w:val="20"/>
        <w:szCs w:val="20"/>
        <w:lang w:val="pt-PT"/>
      </w:rPr>
      <w:t>/</w:t>
    </w:r>
    <w:r w:rsidRPr="0013583B">
      <w:rPr>
        <w:b w:val="0"/>
        <w:i/>
        <w:sz w:val="20"/>
        <w:szCs w:val="20"/>
        <w:lang w:val="pt-PT"/>
      </w:rPr>
      <w:t>CMS/COP11/</w:t>
    </w:r>
    <w:r w:rsidR="00BF1CB1">
      <w:rPr>
        <w:b w:val="0"/>
        <w:i/>
        <w:sz w:val="20"/>
        <w:szCs w:val="20"/>
        <w:lang w:val="pt-PT"/>
      </w:rPr>
      <w:t xml:space="preserve">Doc.21.3/ </w:t>
    </w:r>
    <w:r w:rsidR="00C7264F">
      <w:rPr>
        <w:b w:val="0"/>
        <w:i/>
        <w:sz w:val="20"/>
        <w:szCs w:val="20"/>
        <w:lang w:val="pt-PT"/>
      </w:rPr>
      <w:t>Rev.1/</w:t>
    </w:r>
    <w:r w:rsidR="00BF1CB1">
      <w:rPr>
        <w:b w:val="0"/>
        <w:i/>
        <w:sz w:val="20"/>
        <w:szCs w:val="20"/>
        <w:lang w:val="pt-PT"/>
      </w:rPr>
      <w:t>Anexo: Proyecto de Resolución</w:t>
    </w:r>
  </w:p>
  <w:p w:rsidR="008239DA" w:rsidRPr="0013583B" w:rsidRDefault="008239DA" w:rsidP="00256304">
    <w:pPr>
      <w:rPr>
        <w:i/>
        <w:szCs w:val="20"/>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46FA4"/>
    <w:multiLevelType w:val="multilevel"/>
    <w:tmpl w:val="8CDC595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8614FA"/>
    <w:multiLevelType w:val="multilevel"/>
    <w:tmpl w:val="C73E3E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27CEA"/>
    <w:multiLevelType w:val="hybridMultilevel"/>
    <w:tmpl w:val="E6F4BBC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6A620772"/>
    <w:multiLevelType w:val="hybridMultilevel"/>
    <w:tmpl w:val="D69A84A8"/>
    <w:lvl w:ilvl="0" w:tplc="08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B084E6C"/>
    <w:multiLevelType w:val="hybridMultilevel"/>
    <w:tmpl w:val="819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822C9"/>
    <w:multiLevelType w:val="hybridMultilevel"/>
    <w:tmpl w:val="83783232"/>
    <w:lvl w:ilvl="0" w:tplc="08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4"/>
  </w:num>
  <w:num w:numId="4">
    <w:abstractNumId w:val="1"/>
  </w:num>
  <w:num w:numId="5">
    <w:abstractNumId w:val="14"/>
  </w:num>
  <w:num w:numId="6">
    <w:abstractNumId w:val="2"/>
  </w:num>
  <w:num w:numId="7">
    <w:abstractNumId w:val="3"/>
  </w:num>
  <w:num w:numId="8">
    <w:abstractNumId w:val="0"/>
  </w:num>
  <w:num w:numId="9">
    <w:abstractNumId w:val="9"/>
  </w:num>
  <w:num w:numId="10">
    <w:abstractNumId w:val="12"/>
  </w:num>
  <w:num w:numId="11">
    <w:abstractNumId w:val="11"/>
  </w:num>
  <w:num w:numId="12">
    <w:abstractNumId w:val="10"/>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1"/>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3583B"/>
    <w:rsid w:val="0014405B"/>
    <w:rsid w:val="00172816"/>
    <w:rsid w:val="00190D70"/>
    <w:rsid w:val="001956D7"/>
    <w:rsid w:val="001A0800"/>
    <w:rsid w:val="001A1228"/>
    <w:rsid w:val="001C226F"/>
    <w:rsid w:val="001D1094"/>
    <w:rsid w:val="001D1130"/>
    <w:rsid w:val="00225DDF"/>
    <w:rsid w:val="0023227B"/>
    <w:rsid w:val="00234976"/>
    <w:rsid w:val="002355CF"/>
    <w:rsid w:val="00241D3F"/>
    <w:rsid w:val="00246F24"/>
    <w:rsid w:val="00256304"/>
    <w:rsid w:val="00256897"/>
    <w:rsid w:val="00273F6A"/>
    <w:rsid w:val="002823B0"/>
    <w:rsid w:val="00286D1D"/>
    <w:rsid w:val="00290E9C"/>
    <w:rsid w:val="002C4FB2"/>
    <w:rsid w:val="002F16CB"/>
    <w:rsid w:val="002F7638"/>
    <w:rsid w:val="003172D0"/>
    <w:rsid w:val="00325D81"/>
    <w:rsid w:val="003328D4"/>
    <w:rsid w:val="003550B6"/>
    <w:rsid w:val="003555C8"/>
    <w:rsid w:val="003A2E64"/>
    <w:rsid w:val="003B756F"/>
    <w:rsid w:val="003D0718"/>
    <w:rsid w:val="003D79EA"/>
    <w:rsid w:val="003F74EF"/>
    <w:rsid w:val="004152EC"/>
    <w:rsid w:val="0042255A"/>
    <w:rsid w:val="004630FC"/>
    <w:rsid w:val="004702EF"/>
    <w:rsid w:val="004758D5"/>
    <w:rsid w:val="0048032E"/>
    <w:rsid w:val="0048410B"/>
    <w:rsid w:val="00484510"/>
    <w:rsid w:val="00494DAC"/>
    <w:rsid w:val="00496A14"/>
    <w:rsid w:val="004A18D3"/>
    <w:rsid w:val="004B06CB"/>
    <w:rsid w:val="004B70CB"/>
    <w:rsid w:val="004F2C2D"/>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31EA"/>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2837"/>
    <w:rsid w:val="00AF6F73"/>
    <w:rsid w:val="00B007B0"/>
    <w:rsid w:val="00B016BB"/>
    <w:rsid w:val="00B24CE4"/>
    <w:rsid w:val="00B3336A"/>
    <w:rsid w:val="00B436D3"/>
    <w:rsid w:val="00B72D13"/>
    <w:rsid w:val="00B73B41"/>
    <w:rsid w:val="00B742E3"/>
    <w:rsid w:val="00B9461C"/>
    <w:rsid w:val="00B96483"/>
    <w:rsid w:val="00BA3904"/>
    <w:rsid w:val="00BD42FF"/>
    <w:rsid w:val="00BE365E"/>
    <w:rsid w:val="00BE4807"/>
    <w:rsid w:val="00BF1CB1"/>
    <w:rsid w:val="00BF61F3"/>
    <w:rsid w:val="00C15FDB"/>
    <w:rsid w:val="00C208F8"/>
    <w:rsid w:val="00C2540B"/>
    <w:rsid w:val="00C25BBA"/>
    <w:rsid w:val="00C3511F"/>
    <w:rsid w:val="00C54744"/>
    <w:rsid w:val="00C7264F"/>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FootnoteTextChar1">
    <w:name w:val="Footnote Text Char1"/>
    <w:uiPriority w:val="99"/>
    <w:semiHidden/>
    <w:locked/>
    <w:rsid w:val="00BF1CB1"/>
    <w:rPr>
      <w:sz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FootnoteTextChar1">
    <w:name w:val="Footnote Text Char1"/>
    <w:uiPriority w:val="99"/>
    <w:semiHidden/>
    <w:locked/>
    <w:rsid w:val="00BF1CB1"/>
    <w:rPr>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F5EB-2381-4CAF-9AA8-93CE2213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2014-09-25T09:49:00Z</cp:lastPrinted>
  <dcterms:created xsi:type="dcterms:W3CDTF">2014-09-25T09:52:00Z</dcterms:created>
  <dcterms:modified xsi:type="dcterms:W3CDTF">2014-09-25T09:52:00Z</dcterms:modified>
</cp:coreProperties>
</file>