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470CA7" w:rsidRDefault="00470CA7" w:rsidP="00BF42FC">
      <w:pPr>
        <w:jc w:val="right"/>
        <w:rPr>
          <w:b/>
          <w:sz w:val="22"/>
          <w:szCs w:val="22"/>
          <w:lang w:val="en-GB"/>
        </w:rPr>
      </w:pP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rsidR="00BF42FC" w:rsidRPr="00BF42FC" w:rsidRDefault="00BF42FC" w:rsidP="00BF42FC">
      <w:pPr>
        <w:rPr>
          <w:lang w:val="en-GB"/>
        </w:rPr>
      </w:pPr>
    </w:p>
    <w:p w:rsidR="009C1152" w:rsidRPr="009C1152" w:rsidRDefault="009C1152" w:rsidP="009C1152">
      <w:pPr>
        <w:pStyle w:val="Heading2"/>
        <w:ind w:left="-90" w:right="-367"/>
        <w:jc w:val="center"/>
        <w:rPr>
          <w:rFonts w:cs="Arial"/>
          <w:sz w:val="22"/>
          <w:szCs w:val="22"/>
          <w:lang w:val="en-GB"/>
        </w:rPr>
      </w:pPr>
      <w:r w:rsidRPr="009C1152">
        <w:rPr>
          <w:rFonts w:cs="Arial"/>
          <w:sz w:val="22"/>
          <w:szCs w:val="22"/>
          <w:lang w:val="en-GB"/>
        </w:rPr>
        <w:t>ACTION PLAN FOR MIGRATORY LANDBIRDS</w:t>
      </w:r>
    </w:p>
    <w:p w:rsidR="009C1152" w:rsidRDefault="009C1152" w:rsidP="009C1152">
      <w:pPr>
        <w:pStyle w:val="Heading2"/>
        <w:keepNext w:val="0"/>
        <w:ind w:left="-90" w:right="-367"/>
        <w:jc w:val="center"/>
        <w:rPr>
          <w:rFonts w:cs="Arial"/>
          <w:sz w:val="22"/>
          <w:szCs w:val="22"/>
          <w:lang w:val="en-GB"/>
        </w:rPr>
      </w:pPr>
      <w:r w:rsidRPr="009C1152">
        <w:rPr>
          <w:rFonts w:cs="Arial"/>
          <w:sz w:val="22"/>
          <w:szCs w:val="22"/>
          <w:lang w:val="en-GB"/>
        </w:rPr>
        <w:t>IN THE AFRICAN-EURASIAN REGION (AEMLAP)</w:t>
      </w:r>
    </w:p>
    <w:p w:rsidR="000F1354" w:rsidRPr="00E90844" w:rsidRDefault="003E24AC" w:rsidP="009C1152">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5B2DE1">
        <w:rPr>
          <w:rFonts w:cs="Arial"/>
          <w:sz w:val="22"/>
          <w:szCs w:val="22"/>
        </w:rPr>
        <w:t>26</w:t>
      </w:r>
      <w:r w:rsidR="009C1152">
        <w:rPr>
          <w:rFonts w:cs="Arial"/>
          <w:sz w:val="22"/>
          <w:szCs w:val="22"/>
        </w:rPr>
        <w:t>.1.2</w:t>
      </w:r>
    </w:p>
    <w:p w:rsidR="00470CA7" w:rsidRPr="00E90844" w:rsidRDefault="00470CA7" w:rsidP="00470CA7"/>
    <w:p w:rsidR="00470CA7" w:rsidRPr="00470CA7" w:rsidRDefault="00470CA7" w:rsidP="00470CA7">
      <w:pPr>
        <w:jc w:val="center"/>
        <w:rPr>
          <w:b/>
          <w:sz w:val="22"/>
          <w:szCs w:val="22"/>
        </w:rPr>
      </w:pPr>
      <w:r w:rsidRPr="00E90844">
        <w:rPr>
          <w:b/>
          <w:sz w:val="22"/>
          <w:szCs w:val="22"/>
        </w:rPr>
        <w:t xml:space="preserve">ScC-SC4 Agenda Item </w:t>
      </w:r>
      <w:r w:rsidR="00DA3952">
        <w:rPr>
          <w:b/>
          <w:sz w:val="22"/>
          <w:szCs w:val="22"/>
        </w:rPr>
        <w:t>1</w:t>
      </w:r>
      <w:r w:rsidR="005B2DE1">
        <w:rPr>
          <w:b/>
          <w:sz w:val="22"/>
          <w:szCs w:val="22"/>
        </w:rPr>
        <w:t>0</w:t>
      </w:r>
      <w:r w:rsidR="009C1152">
        <w:rPr>
          <w:b/>
          <w:sz w:val="22"/>
          <w:szCs w:val="22"/>
        </w:rPr>
        <w:t>.1.2</w:t>
      </w:r>
    </w:p>
    <w:p w:rsidR="00BF42FC" w:rsidRPr="00FE4814" w:rsidRDefault="00BF42FC" w:rsidP="00BF42FC">
      <w:pPr>
        <w:jc w:val="center"/>
        <w:rPr>
          <w:b/>
          <w:sz w:val="22"/>
          <w:szCs w:val="22"/>
        </w:rPr>
      </w:pPr>
    </w:p>
    <w:p w:rsidR="00DF4423" w:rsidRPr="009E0503" w:rsidRDefault="00DF4423" w:rsidP="000F1354">
      <w:pPr>
        <w:tabs>
          <w:tab w:val="left" w:pos="1020"/>
        </w:tabs>
        <w:rPr>
          <w:rFonts w:cs="Arial"/>
          <w:sz w:val="22"/>
          <w:szCs w:val="22"/>
        </w:rPr>
      </w:pPr>
    </w:p>
    <w:p w:rsidR="000742A7" w:rsidRPr="009E0503" w:rsidRDefault="000742A7" w:rsidP="000742A7">
      <w:pPr>
        <w:tabs>
          <w:tab w:val="left" w:pos="1020"/>
        </w:tabs>
        <w:rPr>
          <w:rFonts w:cs="Arial"/>
          <w:b/>
          <w:sz w:val="22"/>
          <w:szCs w:val="22"/>
        </w:rPr>
      </w:pPr>
    </w:p>
    <w:p w:rsidR="000742A7" w:rsidRDefault="000742A7" w:rsidP="009E0503">
      <w:pPr>
        <w:tabs>
          <w:tab w:val="left" w:pos="1020"/>
        </w:tabs>
        <w:jc w:val="both"/>
        <w:rPr>
          <w:rFonts w:cs="Arial"/>
          <w:b/>
          <w:sz w:val="22"/>
          <w:szCs w:val="22"/>
        </w:rPr>
      </w:pPr>
      <w:r w:rsidRPr="00DF4423">
        <w:rPr>
          <w:rFonts w:cs="Arial"/>
          <w:b/>
          <w:sz w:val="22"/>
          <w:szCs w:val="22"/>
        </w:rPr>
        <w:t>RECOMMENDATIONS TO COP1</w:t>
      </w:r>
      <w:r>
        <w:rPr>
          <w:rFonts w:cs="Arial"/>
          <w:b/>
          <w:sz w:val="22"/>
          <w:szCs w:val="22"/>
        </w:rPr>
        <w:t>3</w:t>
      </w:r>
    </w:p>
    <w:p w:rsidR="00DC211A" w:rsidRPr="00DF4423" w:rsidRDefault="00DC211A" w:rsidP="009E0503">
      <w:pPr>
        <w:tabs>
          <w:tab w:val="left" w:pos="1020"/>
        </w:tabs>
        <w:jc w:val="both"/>
        <w:rPr>
          <w:rFonts w:cs="Arial"/>
          <w:b/>
          <w:sz w:val="22"/>
          <w:szCs w:val="22"/>
        </w:rPr>
      </w:pPr>
    </w:p>
    <w:p w:rsidR="000742A7" w:rsidRDefault="007B4B90" w:rsidP="009E0503">
      <w:pPr>
        <w:pStyle w:val="ListParagraph"/>
        <w:numPr>
          <w:ilvl w:val="0"/>
          <w:numId w:val="43"/>
        </w:numPr>
        <w:tabs>
          <w:tab w:val="left" w:pos="1020"/>
        </w:tabs>
        <w:jc w:val="both"/>
        <w:rPr>
          <w:rFonts w:cs="Arial"/>
          <w:sz w:val="22"/>
          <w:szCs w:val="22"/>
        </w:rPr>
      </w:pPr>
      <w:r>
        <w:rPr>
          <w:rFonts w:cs="Arial"/>
          <w:sz w:val="22"/>
          <w:szCs w:val="22"/>
        </w:rPr>
        <w:t>Recommended for adoption.</w:t>
      </w:r>
    </w:p>
    <w:p w:rsidR="006356C5" w:rsidRDefault="006356C5" w:rsidP="009E0503">
      <w:pPr>
        <w:tabs>
          <w:tab w:val="left" w:pos="1020"/>
        </w:tabs>
        <w:jc w:val="both"/>
        <w:rPr>
          <w:rFonts w:cs="Arial"/>
          <w:b/>
          <w:sz w:val="22"/>
          <w:szCs w:val="22"/>
        </w:rPr>
      </w:pPr>
    </w:p>
    <w:p w:rsidR="00DF4423" w:rsidRDefault="00DF4423" w:rsidP="009E0503">
      <w:pPr>
        <w:tabs>
          <w:tab w:val="left" w:pos="1020"/>
        </w:tabs>
        <w:jc w:val="both"/>
        <w:rPr>
          <w:rFonts w:cs="Arial"/>
          <w:b/>
          <w:sz w:val="22"/>
          <w:szCs w:val="22"/>
        </w:rPr>
      </w:pPr>
      <w:r w:rsidRPr="00DF4423">
        <w:rPr>
          <w:rFonts w:cs="Arial"/>
          <w:b/>
          <w:sz w:val="22"/>
          <w:szCs w:val="22"/>
        </w:rPr>
        <w:t>GENERAL COMMENTS ON THE DOCUMENT</w:t>
      </w:r>
    </w:p>
    <w:p w:rsidR="006D4F19" w:rsidRDefault="006D4F19" w:rsidP="009E0503">
      <w:pPr>
        <w:tabs>
          <w:tab w:val="left" w:pos="1020"/>
        </w:tabs>
        <w:jc w:val="both"/>
        <w:rPr>
          <w:rFonts w:cs="Arial"/>
          <w:sz w:val="22"/>
          <w:szCs w:val="22"/>
          <w:u w:val="single"/>
        </w:rPr>
      </w:pPr>
    </w:p>
    <w:p w:rsidR="006D4F19" w:rsidRPr="006D4F19" w:rsidRDefault="006D4F19" w:rsidP="009E0503">
      <w:pPr>
        <w:tabs>
          <w:tab w:val="left" w:pos="1020"/>
        </w:tabs>
        <w:jc w:val="both"/>
        <w:rPr>
          <w:rFonts w:cs="Arial"/>
          <w:sz w:val="22"/>
          <w:szCs w:val="22"/>
          <w:u w:val="single"/>
        </w:rPr>
      </w:pPr>
      <w:r w:rsidRPr="006D4F19">
        <w:rPr>
          <w:rFonts w:cs="Arial"/>
          <w:sz w:val="22"/>
          <w:szCs w:val="22"/>
          <w:u w:val="single"/>
        </w:rPr>
        <w:t>General comments on the issue</w:t>
      </w:r>
    </w:p>
    <w:p w:rsidR="006356C5" w:rsidRDefault="00540F70" w:rsidP="009E0503">
      <w:pPr>
        <w:pStyle w:val="ListParagraph"/>
        <w:numPr>
          <w:ilvl w:val="0"/>
          <w:numId w:val="43"/>
        </w:numPr>
        <w:tabs>
          <w:tab w:val="left" w:pos="1020"/>
        </w:tabs>
        <w:jc w:val="both"/>
        <w:rPr>
          <w:rFonts w:cs="Arial"/>
          <w:sz w:val="22"/>
          <w:szCs w:val="22"/>
        </w:rPr>
      </w:pPr>
      <w:r>
        <w:rPr>
          <w:rFonts w:cs="Arial"/>
          <w:sz w:val="22"/>
          <w:szCs w:val="22"/>
        </w:rPr>
        <w:t>More resources fo</w:t>
      </w:r>
      <w:r w:rsidR="001B29C4">
        <w:rPr>
          <w:rFonts w:cs="Arial"/>
          <w:sz w:val="22"/>
          <w:szCs w:val="22"/>
        </w:rPr>
        <w:t>r</w:t>
      </w:r>
      <w:r>
        <w:rPr>
          <w:rFonts w:cs="Arial"/>
          <w:sz w:val="22"/>
          <w:szCs w:val="22"/>
        </w:rPr>
        <w:t xml:space="preserve"> implementation </w:t>
      </w:r>
      <w:r w:rsidR="001B29C4">
        <w:rPr>
          <w:rFonts w:cs="Arial"/>
          <w:sz w:val="22"/>
          <w:szCs w:val="22"/>
        </w:rPr>
        <w:t>of AEMLAP need to be channeled and the activities need to be made more visible</w:t>
      </w:r>
      <w:r w:rsidR="006D4F19">
        <w:rPr>
          <w:rFonts w:cs="Arial"/>
          <w:sz w:val="22"/>
          <w:szCs w:val="22"/>
        </w:rPr>
        <w:t>;</w:t>
      </w:r>
    </w:p>
    <w:p w:rsidR="006356C5" w:rsidRDefault="001B29C4" w:rsidP="009E0503">
      <w:pPr>
        <w:pStyle w:val="ListParagraph"/>
        <w:numPr>
          <w:ilvl w:val="0"/>
          <w:numId w:val="43"/>
        </w:numPr>
        <w:tabs>
          <w:tab w:val="left" w:pos="1020"/>
        </w:tabs>
        <w:jc w:val="both"/>
        <w:rPr>
          <w:rFonts w:cs="Arial"/>
          <w:sz w:val="22"/>
          <w:szCs w:val="22"/>
        </w:rPr>
      </w:pPr>
      <w:r>
        <w:rPr>
          <w:rFonts w:cs="Arial"/>
          <w:sz w:val="22"/>
          <w:szCs w:val="22"/>
        </w:rPr>
        <w:t xml:space="preserve">The lack of funding for this initiative </w:t>
      </w:r>
      <w:r w:rsidR="006D4F19">
        <w:rPr>
          <w:rFonts w:cs="Arial"/>
          <w:sz w:val="22"/>
          <w:szCs w:val="22"/>
        </w:rPr>
        <w:t>is to be</w:t>
      </w:r>
      <w:r>
        <w:rPr>
          <w:rFonts w:cs="Arial"/>
          <w:sz w:val="22"/>
          <w:szCs w:val="22"/>
        </w:rPr>
        <w:t xml:space="preserve"> emphasized, as well as it was the case for other initiatives such as the coordination of the implementation of the Flyways </w:t>
      </w:r>
      <w:proofErr w:type="spellStart"/>
      <w:r>
        <w:rPr>
          <w:rFonts w:cs="Arial"/>
          <w:sz w:val="22"/>
          <w:szCs w:val="22"/>
        </w:rPr>
        <w:t>Programme</w:t>
      </w:r>
      <w:proofErr w:type="spellEnd"/>
      <w:r>
        <w:rPr>
          <w:rFonts w:cs="Arial"/>
          <w:sz w:val="22"/>
          <w:szCs w:val="22"/>
        </w:rPr>
        <w:t xml:space="preserve"> of Work</w:t>
      </w:r>
      <w:r w:rsidR="006D4F19">
        <w:rPr>
          <w:rFonts w:cs="Arial"/>
          <w:sz w:val="22"/>
          <w:szCs w:val="22"/>
        </w:rPr>
        <w:t>;</w:t>
      </w:r>
    </w:p>
    <w:p w:rsidR="006D4F19" w:rsidRDefault="006D4F19" w:rsidP="009E0503">
      <w:pPr>
        <w:pStyle w:val="ListParagraph"/>
        <w:numPr>
          <w:ilvl w:val="0"/>
          <w:numId w:val="43"/>
        </w:numPr>
        <w:tabs>
          <w:tab w:val="left" w:pos="1020"/>
        </w:tabs>
        <w:jc w:val="both"/>
        <w:rPr>
          <w:rFonts w:cs="Arial"/>
          <w:sz w:val="22"/>
          <w:szCs w:val="22"/>
        </w:rPr>
      </w:pPr>
      <w:r>
        <w:rPr>
          <w:rFonts w:cs="Arial"/>
          <w:sz w:val="22"/>
          <w:szCs w:val="22"/>
        </w:rPr>
        <w:t>The proposed Decision regarding the funding needs should express those needs in a stronger way.</w:t>
      </w:r>
    </w:p>
    <w:p w:rsidR="006D4F19" w:rsidRDefault="006D4F19" w:rsidP="009E0503">
      <w:pPr>
        <w:tabs>
          <w:tab w:val="left" w:pos="1020"/>
        </w:tabs>
        <w:jc w:val="both"/>
        <w:rPr>
          <w:rFonts w:cs="Arial"/>
          <w:sz w:val="22"/>
          <w:szCs w:val="22"/>
          <w:u w:val="single"/>
        </w:rPr>
      </w:pPr>
    </w:p>
    <w:p w:rsidR="006D4F19" w:rsidRPr="007328C3" w:rsidRDefault="006D4F19" w:rsidP="009E0503">
      <w:pPr>
        <w:tabs>
          <w:tab w:val="left" w:pos="1020"/>
        </w:tabs>
        <w:jc w:val="both"/>
        <w:rPr>
          <w:rFonts w:cs="Arial"/>
          <w:sz w:val="22"/>
          <w:szCs w:val="22"/>
          <w:u w:val="single"/>
        </w:rPr>
      </w:pPr>
      <w:r>
        <w:rPr>
          <w:rFonts w:cs="Arial"/>
          <w:sz w:val="22"/>
          <w:szCs w:val="22"/>
          <w:u w:val="single"/>
        </w:rPr>
        <w:t xml:space="preserve">Comments on the </w:t>
      </w:r>
      <w:r w:rsidRPr="007328C3">
        <w:rPr>
          <w:rFonts w:cs="Arial"/>
          <w:sz w:val="22"/>
          <w:szCs w:val="22"/>
          <w:u w:val="single"/>
        </w:rPr>
        <w:t>Background</w:t>
      </w:r>
    </w:p>
    <w:p w:rsidR="006D4F19" w:rsidRDefault="006D4F19" w:rsidP="009E0503">
      <w:pPr>
        <w:pStyle w:val="ListParagraph"/>
        <w:numPr>
          <w:ilvl w:val="0"/>
          <w:numId w:val="43"/>
        </w:numPr>
        <w:tabs>
          <w:tab w:val="left" w:pos="1020"/>
        </w:tabs>
        <w:jc w:val="both"/>
        <w:rPr>
          <w:rFonts w:cs="Arial"/>
          <w:sz w:val="22"/>
          <w:szCs w:val="22"/>
        </w:rPr>
      </w:pPr>
      <w:r>
        <w:rPr>
          <w:rFonts w:cs="Arial"/>
          <w:sz w:val="22"/>
          <w:szCs w:val="22"/>
        </w:rPr>
        <w:t>Background section page 4, para 6.</w:t>
      </w:r>
    </w:p>
    <w:p w:rsidR="006D4F19" w:rsidRDefault="006D4F19" w:rsidP="009E0503">
      <w:pPr>
        <w:pStyle w:val="ListParagraph"/>
        <w:tabs>
          <w:tab w:val="left" w:pos="1020"/>
        </w:tabs>
        <w:ind w:left="420"/>
        <w:jc w:val="both"/>
        <w:rPr>
          <w:rFonts w:cs="Arial"/>
          <w:sz w:val="22"/>
          <w:szCs w:val="22"/>
        </w:rPr>
      </w:pPr>
      <w:r>
        <w:rPr>
          <w:rFonts w:cs="Arial"/>
          <w:sz w:val="22"/>
          <w:szCs w:val="22"/>
        </w:rPr>
        <w:t xml:space="preserve">For clarification, a </w:t>
      </w:r>
      <w:proofErr w:type="gramStart"/>
      <w:r>
        <w:rPr>
          <w:rFonts w:cs="Arial"/>
          <w:sz w:val="22"/>
          <w:szCs w:val="22"/>
        </w:rPr>
        <w:t>whole  symposium</w:t>
      </w:r>
      <w:proofErr w:type="gramEnd"/>
      <w:r>
        <w:rPr>
          <w:rFonts w:cs="Arial"/>
          <w:sz w:val="22"/>
          <w:szCs w:val="22"/>
        </w:rPr>
        <w:t xml:space="preserve"> on </w:t>
      </w:r>
      <w:proofErr w:type="spellStart"/>
      <w:r>
        <w:rPr>
          <w:rFonts w:cs="Arial"/>
          <w:sz w:val="22"/>
          <w:szCs w:val="22"/>
        </w:rPr>
        <w:t>landbirds</w:t>
      </w:r>
      <w:proofErr w:type="spellEnd"/>
      <w:r>
        <w:rPr>
          <w:rFonts w:cs="Arial"/>
          <w:sz w:val="22"/>
          <w:szCs w:val="22"/>
        </w:rPr>
        <w:t xml:space="preserve"> was held at the International Ornithological Congress in Vancouver,</w:t>
      </w:r>
      <w:r w:rsidRPr="006D4F19">
        <w:rPr>
          <w:rFonts w:eastAsia="Calibri" w:cs="Arial"/>
          <w:sz w:val="22"/>
          <w:szCs w:val="22"/>
          <w:lang w:val="en"/>
        </w:rPr>
        <w:t xml:space="preserve"> </w:t>
      </w:r>
      <w:r w:rsidRPr="00EE192C">
        <w:rPr>
          <w:rFonts w:eastAsia="Calibri" w:cs="Arial"/>
          <w:sz w:val="22"/>
          <w:szCs w:val="22"/>
          <w:lang w:val="en"/>
        </w:rPr>
        <w:t>Canada, in August 2018</w:t>
      </w:r>
      <w:r>
        <w:rPr>
          <w:rFonts w:cs="Arial"/>
          <w:sz w:val="22"/>
          <w:szCs w:val="22"/>
        </w:rPr>
        <w:t xml:space="preserve"> on the Conservation on African-Eurasian Migratory </w:t>
      </w:r>
      <w:proofErr w:type="spellStart"/>
      <w:r>
        <w:rPr>
          <w:rFonts w:cs="Arial"/>
          <w:sz w:val="22"/>
          <w:szCs w:val="22"/>
        </w:rPr>
        <w:t>Landbirds</w:t>
      </w:r>
      <w:proofErr w:type="spellEnd"/>
      <w:r>
        <w:rPr>
          <w:rFonts w:cs="Arial"/>
          <w:sz w:val="22"/>
          <w:szCs w:val="22"/>
        </w:rPr>
        <w:t xml:space="preserve">, including several presentations, and a round-table discussion. This was also supported by Simba Chan, the compiler of the Yellow-breasted Bunting Action Plan, in presenting activities on the Action Plan for this species. </w:t>
      </w:r>
    </w:p>
    <w:p w:rsidR="006D4F19" w:rsidRPr="001B29C4" w:rsidRDefault="006D4F19" w:rsidP="009E0503">
      <w:pPr>
        <w:pStyle w:val="ListParagraph"/>
        <w:tabs>
          <w:tab w:val="left" w:pos="1020"/>
        </w:tabs>
        <w:ind w:left="420"/>
        <w:jc w:val="both"/>
        <w:rPr>
          <w:rFonts w:cs="Arial"/>
          <w:sz w:val="22"/>
          <w:szCs w:val="22"/>
        </w:rPr>
      </w:pPr>
    </w:p>
    <w:p w:rsidR="00DF4423" w:rsidRPr="00DF4423" w:rsidRDefault="00DF4423" w:rsidP="009E0503">
      <w:pPr>
        <w:tabs>
          <w:tab w:val="left" w:pos="1020"/>
        </w:tabs>
        <w:jc w:val="both"/>
        <w:rPr>
          <w:rFonts w:cs="Arial"/>
          <w:b/>
          <w:color w:val="00B050"/>
          <w:sz w:val="22"/>
          <w:szCs w:val="22"/>
        </w:rPr>
      </w:pPr>
    </w:p>
    <w:p w:rsidR="008F20D3" w:rsidRPr="008F20D3" w:rsidRDefault="006356C5" w:rsidP="009E0503">
      <w:pPr>
        <w:tabs>
          <w:tab w:val="left" w:pos="1020"/>
        </w:tabs>
        <w:jc w:val="both"/>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 POSSI</w:t>
      </w:r>
      <w:r w:rsidR="008F20D3">
        <w:rPr>
          <w:rFonts w:cs="Arial"/>
          <w:b/>
          <w:sz w:val="22"/>
          <w:szCs w:val="22"/>
        </w:rPr>
        <w:t>BLE PROPOSALS FOR TEXT REVISION</w:t>
      </w:r>
    </w:p>
    <w:p w:rsidR="00804418" w:rsidRPr="00CF4800" w:rsidRDefault="00804418" w:rsidP="009E0503">
      <w:pPr>
        <w:tabs>
          <w:tab w:val="left" w:pos="1020"/>
        </w:tabs>
        <w:jc w:val="both"/>
        <w:rPr>
          <w:rFonts w:cs="Arial"/>
          <w:sz w:val="22"/>
          <w:szCs w:val="22"/>
        </w:rPr>
      </w:pPr>
    </w:p>
    <w:p w:rsidR="008F20D3" w:rsidRDefault="008F20D3" w:rsidP="009E0503">
      <w:pPr>
        <w:pStyle w:val="ListParagraph"/>
        <w:tabs>
          <w:tab w:val="left" w:pos="1020"/>
        </w:tabs>
        <w:ind w:left="420"/>
        <w:jc w:val="both"/>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0D5E7E">
        <w:rPr>
          <w:rFonts w:cs="Arial"/>
          <w:sz w:val="22"/>
          <w:szCs w:val="22"/>
        </w:rPr>
        <w:t>12</w:t>
      </w:r>
      <w:r>
        <w:rPr>
          <w:rFonts w:cs="Arial"/>
          <w:sz w:val="22"/>
          <w:szCs w:val="22"/>
        </w:rPr>
        <w:t xml:space="preserve">, </w:t>
      </w:r>
      <w:r w:rsidR="006D4F19">
        <w:rPr>
          <w:rFonts w:cs="Arial"/>
          <w:sz w:val="22"/>
          <w:szCs w:val="22"/>
        </w:rPr>
        <w:t xml:space="preserve">Draft </w:t>
      </w:r>
      <w:r w:rsidR="000D5E7E">
        <w:rPr>
          <w:rFonts w:cs="Arial"/>
          <w:sz w:val="22"/>
          <w:szCs w:val="22"/>
        </w:rPr>
        <w:t>Decision 13.BB (12.23) b),</w:t>
      </w:r>
    </w:p>
    <w:p w:rsidR="006D4F19" w:rsidRPr="008F20D3" w:rsidRDefault="006D4F19" w:rsidP="009E0503">
      <w:pPr>
        <w:pStyle w:val="ListParagraph"/>
        <w:numPr>
          <w:ilvl w:val="0"/>
          <w:numId w:val="43"/>
        </w:numPr>
        <w:tabs>
          <w:tab w:val="left" w:pos="1020"/>
        </w:tabs>
        <w:jc w:val="both"/>
        <w:rPr>
          <w:rFonts w:cs="Arial"/>
          <w:sz w:val="22"/>
          <w:szCs w:val="22"/>
        </w:rPr>
      </w:pPr>
      <w:r>
        <w:rPr>
          <w:rFonts w:cs="Arial"/>
          <w:sz w:val="22"/>
          <w:szCs w:val="22"/>
        </w:rPr>
        <w:t>Add text as following</w:t>
      </w:r>
      <w:r w:rsidR="00DB1AF7">
        <w:rPr>
          <w:rFonts w:cs="Arial"/>
          <w:sz w:val="22"/>
          <w:szCs w:val="22"/>
        </w:rPr>
        <w:t xml:space="preserve"> on the described activities</w:t>
      </w:r>
    </w:p>
    <w:p w:rsidR="006356C5" w:rsidRPr="000D5E7E" w:rsidRDefault="000D5E7E" w:rsidP="009E0503">
      <w:pPr>
        <w:pStyle w:val="ListParagraph"/>
        <w:tabs>
          <w:tab w:val="left" w:pos="1020"/>
        </w:tabs>
        <w:ind w:left="420"/>
        <w:jc w:val="both"/>
        <w:rPr>
          <w:rFonts w:cs="Arial"/>
          <w:sz w:val="22"/>
          <w:szCs w:val="22"/>
        </w:rPr>
      </w:pPr>
      <w:proofErr w:type="spellStart"/>
      <w:r w:rsidRPr="000D5E7E">
        <w:rPr>
          <w:rFonts w:cs="Arial"/>
          <w:sz w:val="22"/>
          <w:szCs w:val="22"/>
        </w:rPr>
        <w:t>i</w:t>
      </w:r>
      <w:proofErr w:type="spellEnd"/>
      <w:r w:rsidRPr="000D5E7E">
        <w:rPr>
          <w:rFonts w:cs="Arial"/>
          <w:sz w:val="22"/>
          <w:szCs w:val="22"/>
        </w:rPr>
        <w:t xml:space="preserve">) </w:t>
      </w:r>
      <w:r w:rsidRPr="000D5E7E">
        <w:rPr>
          <w:rFonts w:cs="Arial"/>
          <w:iCs/>
          <w:sz w:val="22"/>
          <w:szCs w:val="22"/>
          <w:lang w:val="en-GB"/>
        </w:rPr>
        <w:t xml:space="preserve">identify migratory pathways and strategies </w:t>
      </w:r>
      <w:r w:rsidRPr="006D4F19">
        <w:rPr>
          <w:rFonts w:cs="Arial"/>
          <w:iCs/>
          <w:color w:val="2E74B5" w:themeColor="accent1" w:themeShade="BF"/>
          <w:sz w:val="22"/>
          <w:szCs w:val="22"/>
          <w:u w:val="single"/>
          <w:lang w:val="en-GB"/>
        </w:rPr>
        <w:t>(including multi-species analysis)</w:t>
      </w:r>
      <w:r w:rsidRPr="006D4F19">
        <w:rPr>
          <w:rFonts w:cs="Arial"/>
          <w:iCs/>
          <w:sz w:val="22"/>
          <w:szCs w:val="22"/>
          <w:lang w:val="en-GB"/>
        </w:rPr>
        <w:t xml:space="preserve"> </w:t>
      </w:r>
      <w:r w:rsidRPr="000D5E7E">
        <w:rPr>
          <w:rFonts w:cs="Arial"/>
          <w:iCs/>
          <w:sz w:val="22"/>
          <w:szCs w:val="22"/>
          <w:lang w:val="en-GB"/>
        </w:rPr>
        <w:t xml:space="preserve">using tracking technologies to </w:t>
      </w:r>
      <w:r w:rsidRPr="006D4F19">
        <w:rPr>
          <w:rFonts w:cs="Arial"/>
          <w:iCs/>
          <w:color w:val="2E74B5" w:themeColor="accent1" w:themeShade="BF"/>
          <w:sz w:val="22"/>
          <w:szCs w:val="22"/>
          <w:u w:val="single"/>
          <w:lang w:val="en-GB"/>
        </w:rPr>
        <w:t xml:space="preserve">better </w:t>
      </w:r>
      <w:r w:rsidRPr="000D5E7E">
        <w:rPr>
          <w:rFonts w:cs="Arial"/>
          <w:iCs/>
          <w:sz w:val="22"/>
          <w:szCs w:val="22"/>
          <w:lang w:val="en-GB"/>
        </w:rPr>
        <w:t xml:space="preserve">understand </w:t>
      </w:r>
      <w:r w:rsidRPr="006D4F19">
        <w:rPr>
          <w:rFonts w:cs="Arial"/>
          <w:iCs/>
          <w:color w:val="2E74B5" w:themeColor="accent1" w:themeShade="BF"/>
          <w:sz w:val="22"/>
          <w:szCs w:val="22"/>
          <w:u w:val="single"/>
          <w:lang w:val="en-GB"/>
        </w:rPr>
        <w:t xml:space="preserve">movement patterns, geographic areas of </w:t>
      </w:r>
      <w:proofErr w:type="gramStart"/>
      <w:r w:rsidRPr="006D4F19">
        <w:rPr>
          <w:rFonts w:cs="Arial"/>
          <w:iCs/>
          <w:color w:val="2E74B5" w:themeColor="accent1" w:themeShade="BF"/>
          <w:sz w:val="22"/>
          <w:szCs w:val="22"/>
          <w:u w:val="single"/>
          <w:lang w:val="en-GB"/>
        </w:rPr>
        <w:t>particular importance</w:t>
      </w:r>
      <w:proofErr w:type="gramEnd"/>
      <w:r w:rsidRPr="006D4F19">
        <w:rPr>
          <w:rFonts w:cs="Arial"/>
          <w:iCs/>
          <w:color w:val="2E74B5" w:themeColor="accent1" w:themeShade="BF"/>
          <w:sz w:val="22"/>
          <w:szCs w:val="22"/>
          <w:u w:val="single"/>
          <w:lang w:val="en-GB"/>
        </w:rPr>
        <w:t xml:space="preserve"> to multiple </w:t>
      </w:r>
      <w:proofErr w:type="spellStart"/>
      <w:r w:rsidRPr="006D4F19">
        <w:rPr>
          <w:rFonts w:cs="Arial"/>
          <w:iCs/>
          <w:color w:val="2E74B5" w:themeColor="accent1" w:themeShade="BF"/>
          <w:sz w:val="22"/>
          <w:szCs w:val="22"/>
          <w:u w:val="single"/>
          <w:lang w:val="en-GB"/>
        </w:rPr>
        <w:t>landbird</w:t>
      </w:r>
      <w:proofErr w:type="spellEnd"/>
      <w:r w:rsidRPr="006D4F19">
        <w:rPr>
          <w:rFonts w:cs="Arial"/>
          <w:iCs/>
          <w:color w:val="2E74B5" w:themeColor="accent1" w:themeShade="BF"/>
          <w:sz w:val="22"/>
          <w:szCs w:val="22"/>
          <w:u w:val="single"/>
          <w:lang w:val="en-GB"/>
        </w:rPr>
        <w:t xml:space="preserve"> species and</w:t>
      </w:r>
      <w:r w:rsidRPr="000D5E7E">
        <w:rPr>
          <w:rFonts w:cs="Arial"/>
          <w:iCs/>
          <w:sz w:val="22"/>
          <w:szCs w:val="22"/>
          <w:lang w:val="en-GB"/>
        </w:rPr>
        <w:t xml:space="preserve"> migratory connectivity so enabling field research, </w:t>
      </w:r>
      <w:r w:rsidRPr="006D4F19">
        <w:rPr>
          <w:rFonts w:cs="Arial"/>
          <w:iCs/>
          <w:color w:val="2E74B5" w:themeColor="accent1" w:themeShade="BF"/>
          <w:sz w:val="22"/>
          <w:szCs w:val="22"/>
          <w:u w:val="single"/>
          <w:lang w:val="en-GB"/>
        </w:rPr>
        <w:t>monitoring and conservation action</w:t>
      </w:r>
      <w:r w:rsidRPr="000D5E7E">
        <w:rPr>
          <w:rFonts w:cs="Arial"/>
          <w:iCs/>
          <w:sz w:val="22"/>
          <w:szCs w:val="22"/>
          <w:lang w:val="en-GB"/>
        </w:rPr>
        <w:t xml:space="preserve"> to be targeted more effectively;</w:t>
      </w:r>
    </w:p>
    <w:p w:rsidR="00DB1AF7" w:rsidRDefault="00DB1AF7" w:rsidP="009E0503">
      <w:pPr>
        <w:pStyle w:val="ListParagraph"/>
        <w:tabs>
          <w:tab w:val="left" w:pos="1020"/>
        </w:tabs>
        <w:ind w:left="420"/>
        <w:jc w:val="both"/>
        <w:rPr>
          <w:rFonts w:cs="Arial"/>
          <w:sz w:val="22"/>
          <w:szCs w:val="22"/>
          <w:lang w:val="en-GB"/>
        </w:rPr>
      </w:pPr>
    </w:p>
    <w:p w:rsidR="008F20D3" w:rsidRPr="000D5E7E" w:rsidRDefault="000D5E7E" w:rsidP="009E0503">
      <w:pPr>
        <w:pStyle w:val="ListParagraph"/>
        <w:tabs>
          <w:tab w:val="left" w:pos="1020"/>
        </w:tabs>
        <w:ind w:left="420"/>
        <w:jc w:val="both"/>
        <w:rPr>
          <w:rFonts w:cs="Arial"/>
          <w:sz w:val="22"/>
          <w:szCs w:val="22"/>
        </w:rPr>
      </w:pPr>
      <w:r w:rsidRPr="000D5E7E">
        <w:rPr>
          <w:rFonts w:cs="Arial"/>
          <w:sz w:val="22"/>
          <w:szCs w:val="22"/>
          <w:lang w:val="en-GB"/>
        </w:rPr>
        <w:t xml:space="preserve">iv) use satellite image earth observation data </w:t>
      </w:r>
      <w:r w:rsidR="00155C3D" w:rsidRPr="006D4F19">
        <w:rPr>
          <w:rFonts w:cs="Arial"/>
          <w:color w:val="2E74B5" w:themeColor="accent1" w:themeShade="BF"/>
          <w:sz w:val="22"/>
          <w:szCs w:val="22"/>
          <w:u w:val="single"/>
          <w:lang w:val="en-GB"/>
        </w:rPr>
        <w:t xml:space="preserve">and where possible </w:t>
      </w:r>
      <w:r w:rsidRPr="006D4F19">
        <w:rPr>
          <w:rFonts w:cs="Arial"/>
          <w:color w:val="2E74B5" w:themeColor="accent1" w:themeShade="BF"/>
          <w:sz w:val="22"/>
          <w:szCs w:val="22"/>
          <w:u w:val="single"/>
          <w:lang w:val="en-GB"/>
        </w:rPr>
        <w:t>in conjunction with on the ground habitat and bird monitoring (including through synergies with and expansion of common bird monitoring schemes)</w:t>
      </w:r>
      <w:r w:rsidRPr="000D5E7E">
        <w:rPr>
          <w:rFonts w:cs="Arial"/>
          <w:sz w:val="22"/>
          <w:szCs w:val="22"/>
          <w:lang w:val="en-GB"/>
        </w:rPr>
        <w:t xml:space="preserve"> to improve understanding where land cover is changing and how this impacts African-Eurasian migrant birds, and research the drivers of land use / land cover change;</w:t>
      </w:r>
    </w:p>
    <w:p w:rsidR="00CF4800" w:rsidRDefault="00CF4800" w:rsidP="009E0503">
      <w:pPr>
        <w:pStyle w:val="ListParagraph"/>
        <w:tabs>
          <w:tab w:val="left" w:pos="1020"/>
        </w:tabs>
        <w:ind w:left="420"/>
        <w:jc w:val="both"/>
        <w:rPr>
          <w:rFonts w:cs="Arial"/>
          <w:sz w:val="22"/>
          <w:szCs w:val="22"/>
          <w:u w:val="single"/>
        </w:rPr>
      </w:pPr>
    </w:p>
    <w:p w:rsidR="00804418" w:rsidRPr="008B767C" w:rsidRDefault="008B767C" w:rsidP="009E0503">
      <w:pPr>
        <w:pStyle w:val="ListParagraph"/>
        <w:tabs>
          <w:tab w:val="left" w:pos="1020"/>
        </w:tabs>
        <w:ind w:left="420"/>
        <w:jc w:val="both"/>
        <w:rPr>
          <w:rFonts w:cs="Arial"/>
          <w:sz w:val="22"/>
          <w:szCs w:val="22"/>
          <w:u w:val="single"/>
        </w:rPr>
      </w:pPr>
      <w:r w:rsidRPr="008B767C">
        <w:rPr>
          <w:rFonts w:cs="Arial"/>
          <w:sz w:val="22"/>
          <w:szCs w:val="22"/>
          <w:u w:val="single"/>
        </w:rPr>
        <w:t>Comments on</w:t>
      </w:r>
      <w:r>
        <w:rPr>
          <w:rFonts w:cs="Arial"/>
          <w:sz w:val="22"/>
          <w:szCs w:val="22"/>
          <w:u w:val="single"/>
        </w:rPr>
        <w:t xml:space="preserve"> </w:t>
      </w:r>
      <w:r w:rsidRPr="008B767C">
        <w:rPr>
          <w:rFonts w:cs="Arial"/>
          <w:sz w:val="22"/>
          <w:szCs w:val="22"/>
          <w:u w:val="single"/>
        </w:rPr>
        <w:t>Document UNEP/CMS/COP13/Doc.26.1.2/Annex 3</w:t>
      </w:r>
      <w:r>
        <w:rPr>
          <w:rFonts w:cs="Arial"/>
          <w:sz w:val="22"/>
          <w:szCs w:val="22"/>
          <w:u w:val="single"/>
        </w:rPr>
        <w:t>; AEMLAP Annex 3: S</w:t>
      </w:r>
      <w:r w:rsidR="00804418" w:rsidRPr="008B767C">
        <w:rPr>
          <w:rFonts w:cs="Arial"/>
          <w:sz w:val="22"/>
          <w:szCs w:val="22"/>
          <w:u w:val="single"/>
        </w:rPr>
        <w:t xml:space="preserve">pecies </w:t>
      </w:r>
      <w:r>
        <w:rPr>
          <w:rFonts w:cs="Arial"/>
          <w:sz w:val="22"/>
          <w:szCs w:val="22"/>
          <w:u w:val="single"/>
        </w:rPr>
        <w:t>L</w:t>
      </w:r>
      <w:r w:rsidR="00804418" w:rsidRPr="008B767C">
        <w:rPr>
          <w:rFonts w:cs="Arial"/>
          <w:sz w:val="22"/>
          <w:szCs w:val="22"/>
          <w:u w:val="single"/>
        </w:rPr>
        <w:t>ist</w:t>
      </w:r>
      <w:r>
        <w:rPr>
          <w:rFonts w:cs="Arial"/>
          <w:sz w:val="22"/>
          <w:szCs w:val="22"/>
          <w:u w:val="single"/>
        </w:rPr>
        <w:t>s</w:t>
      </w:r>
      <w:r w:rsidR="00155C3D" w:rsidRPr="008B767C">
        <w:rPr>
          <w:rFonts w:cs="Arial"/>
          <w:sz w:val="22"/>
          <w:szCs w:val="22"/>
          <w:u w:val="single"/>
        </w:rPr>
        <w:t>:</w:t>
      </w:r>
      <w:r w:rsidR="00804418" w:rsidRPr="008B767C">
        <w:rPr>
          <w:rFonts w:cs="Arial"/>
          <w:sz w:val="22"/>
          <w:szCs w:val="22"/>
          <w:u w:val="single"/>
        </w:rPr>
        <w:t xml:space="preserve"> </w:t>
      </w:r>
    </w:p>
    <w:p w:rsidR="008B767C" w:rsidRDefault="008B767C" w:rsidP="009E0503">
      <w:pPr>
        <w:pStyle w:val="ListParagraph"/>
        <w:tabs>
          <w:tab w:val="left" w:pos="1020"/>
        </w:tabs>
        <w:ind w:left="420"/>
        <w:jc w:val="both"/>
        <w:rPr>
          <w:rFonts w:cs="Arial"/>
          <w:sz w:val="22"/>
          <w:szCs w:val="22"/>
        </w:rPr>
      </w:pPr>
    </w:p>
    <w:p w:rsidR="00CF4800" w:rsidRDefault="00CF4800" w:rsidP="008B767C">
      <w:pPr>
        <w:pStyle w:val="ListParagraph"/>
        <w:tabs>
          <w:tab w:val="left" w:pos="1020"/>
        </w:tabs>
        <w:ind w:left="420"/>
        <w:rPr>
          <w:rFonts w:cs="Arial"/>
          <w:sz w:val="22"/>
          <w:szCs w:val="22"/>
        </w:rPr>
      </w:pPr>
    </w:p>
    <w:p w:rsidR="008B767C" w:rsidRPr="008B767C" w:rsidRDefault="008B767C" w:rsidP="009E0503">
      <w:pPr>
        <w:pStyle w:val="ListParagraph"/>
        <w:tabs>
          <w:tab w:val="left" w:pos="1020"/>
        </w:tabs>
        <w:ind w:left="420"/>
        <w:jc w:val="both"/>
        <w:rPr>
          <w:rFonts w:cs="Arial"/>
          <w:sz w:val="22"/>
          <w:szCs w:val="22"/>
        </w:rPr>
      </w:pPr>
      <w:r>
        <w:rPr>
          <w:rFonts w:cs="Arial"/>
          <w:sz w:val="22"/>
          <w:szCs w:val="22"/>
        </w:rPr>
        <w:t>Page 34, Introductory text, Point 1:</w:t>
      </w:r>
    </w:p>
    <w:p w:rsidR="00155C3D" w:rsidRDefault="00155C3D" w:rsidP="009E0503">
      <w:pPr>
        <w:pStyle w:val="ListParagraph"/>
        <w:numPr>
          <w:ilvl w:val="0"/>
          <w:numId w:val="43"/>
        </w:numPr>
        <w:tabs>
          <w:tab w:val="left" w:pos="1020"/>
        </w:tabs>
        <w:jc w:val="both"/>
        <w:rPr>
          <w:rFonts w:cs="Arial"/>
          <w:sz w:val="22"/>
          <w:szCs w:val="22"/>
        </w:rPr>
      </w:pPr>
      <w:r w:rsidRPr="00155C3D">
        <w:rPr>
          <w:rFonts w:cs="Arial"/>
          <w:sz w:val="22"/>
          <w:szCs w:val="22"/>
          <w:lang w:val="en-GB"/>
        </w:rPr>
        <w:t xml:space="preserve">Under </w:t>
      </w:r>
      <w:r w:rsidR="00585FDE">
        <w:rPr>
          <w:rFonts w:cs="Arial"/>
          <w:sz w:val="22"/>
          <w:szCs w:val="22"/>
          <w:lang w:val="en-GB"/>
        </w:rPr>
        <w:t>t</w:t>
      </w:r>
      <w:r w:rsidRPr="00155C3D">
        <w:rPr>
          <w:rFonts w:cs="Arial"/>
          <w:sz w:val="22"/>
          <w:szCs w:val="22"/>
          <w:lang w:val="en-GB"/>
        </w:rPr>
        <w:t xml:space="preserve">he </w:t>
      </w:r>
      <w:proofErr w:type="spellStart"/>
      <w:r w:rsidRPr="00155C3D">
        <w:rPr>
          <w:rFonts w:cs="Arial"/>
          <w:sz w:val="22"/>
          <w:szCs w:val="22"/>
          <w:lang w:val="en-GB"/>
        </w:rPr>
        <w:t>BirdLife</w:t>
      </w:r>
      <w:proofErr w:type="spellEnd"/>
      <w:r w:rsidRPr="00155C3D">
        <w:rPr>
          <w:rFonts w:cs="Arial"/>
          <w:sz w:val="22"/>
          <w:szCs w:val="22"/>
          <w:lang w:val="en-GB"/>
        </w:rPr>
        <w:t xml:space="preserve"> definition of ‘full migrant’ should read ‘</w:t>
      </w:r>
      <w:r w:rsidRPr="008B767C">
        <w:rPr>
          <w:rFonts w:cs="Arial"/>
          <w:color w:val="2E74B5" w:themeColor="accent1" w:themeShade="BF"/>
          <w:sz w:val="22"/>
          <w:szCs w:val="22"/>
          <w:u w:val="single"/>
          <w:lang w:val="en-GB"/>
        </w:rPr>
        <w:t>a substantial proportion of the global or regional population makes regular or seasonal cyclical movements beyond the breeding range, with predictable timing and destinations</w:t>
      </w:r>
      <w:r w:rsidRPr="00155C3D">
        <w:rPr>
          <w:rFonts w:cs="Arial"/>
          <w:sz w:val="22"/>
          <w:szCs w:val="22"/>
          <w:lang w:val="en-GB"/>
        </w:rPr>
        <w:t xml:space="preserve">.’ </w:t>
      </w:r>
      <w:r w:rsidRPr="00155C3D">
        <w:rPr>
          <w:rFonts w:cs="Arial"/>
          <w:sz w:val="22"/>
          <w:szCs w:val="22"/>
          <w:lang w:val="en-GB"/>
        </w:rPr>
        <w:br/>
        <w:t xml:space="preserve">[Migratory is defined as those species recorded within the IUCN Species Information Service (SIS) and </w:t>
      </w:r>
      <w:proofErr w:type="spellStart"/>
      <w:r w:rsidRPr="00155C3D">
        <w:rPr>
          <w:rFonts w:cs="Arial"/>
          <w:sz w:val="22"/>
          <w:szCs w:val="22"/>
          <w:lang w:val="en-GB"/>
        </w:rPr>
        <w:t>BirdLife</w:t>
      </w:r>
      <w:proofErr w:type="spellEnd"/>
      <w:r w:rsidRPr="00155C3D">
        <w:rPr>
          <w:rFonts w:cs="Arial"/>
          <w:sz w:val="22"/>
          <w:szCs w:val="22"/>
          <w:lang w:val="en-GB"/>
        </w:rPr>
        <w:t xml:space="preserve"> World Bird Database (WBDB) as ‘Full Migrant’, i.e. species which have a substantial </w:t>
      </w:r>
      <w:r w:rsidRPr="008B767C">
        <w:rPr>
          <w:rFonts w:cs="Arial"/>
          <w:strike/>
          <w:color w:val="2E74B5" w:themeColor="accent1" w:themeShade="BF"/>
          <w:sz w:val="22"/>
          <w:szCs w:val="22"/>
          <w:lang w:val="en-GB"/>
        </w:rPr>
        <w:t>(&gt;50%)</w:t>
      </w:r>
      <w:r w:rsidRPr="00155C3D">
        <w:rPr>
          <w:rFonts w:cs="Arial"/>
          <w:sz w:val="22"/>
          <w:szCs w:val="22"/>
          <w:lang w:val="en-GB"/>
        </w:rPr>
        <w:t xml:space="preserve"> proportion of the global </w:t>
      </w:r>
      <w:r w:rsidRPr="008B767C">
        <w:rPr>
          <w:rFonts w:cs="Arial"/>
          <w:color w:val="2E74B5" w:themeColor="accent1" w:themeShade="BF"/>
          <w:sz w:val="22"/>
          <w:szCs w:val="22"/>
          <w:u w:val="single"/>
          <w:lang w:val="en-GB"/>
        </w:rPr>
        <w:t>or regional</w:t>
      </w:r>
      <w:r w:rsidRPr="00155C3D">
        <w:rPr>
          <w:rFonts w:cs="Arial"/>
          <w:sz w:val="22"/>
          <w:szCs w:val="22"/>
          <w:u w:val="single"/>
          <w:lang w:val="en-GB"/>
        </w:rPr>
        <w:t xml:space="preserve"> </w:t>
      </w:r>
      <w:r w:rsidRPr="00155C3D">
        <w:rPr>
          <w:rFonts w:cs="Arial"/>
          <w:sz w:val="22"/>
          <w:szCs w:val="22"/>
          <w:lang w:val="en-GB"/>
        </w:rPr>
        <w:t xml:space="preserve">population which migrates </w:t>
      </w:r>
      <w:r w:rsidRPr="008B767C">
        <w:rPr>
          <w:rFonts w:cs="Arial"/>
          <w:color w:val="2E74B5" w:themeColor="accent1" w:themeShade="BF"/>
          <w:sz w:val="22"/>
          <w:szCs w:val="22"/>
          <w:u w:val="single"/>
          <w:lang w:val="en-GB"/>
        </w:rPr>
        <w:t>makes regular or seasonal cyclical movements beyond the breeding range, with predictable timing and destinations</w:t>
      </w:r>
      <w:r w:rsidRPr="00155C3D">
        <w:rPr>
          <w:rFonts w:cs="Arial"/>
          <w:sz w:val="22"/>
          <w:szCs w:val="22"/>
          <w:u w:val="single"/>
          <w:lang w:val="en-GB"/>
        </w:rPr>
        <w:t>]</w:t>
      </w:r>
    </w:p>
    <w:p w:rsidR="00155C3D" w:rsidRDefault="00155C3D" w:rsidP="009E0503">
      <w:pPr>
        <w:pStyle w:val="ListParagraph"/>
        <w:numPr>
          <w:ilvl w:val="0"/>
          <w:numId w:val="43"/>
        </w:numPr>
        <w:tabs>
          <w:tab w:val="left" w:pos="1020"/>
        </w:tabs>
        <w:jc w:val="both"/>
        <w:rPr>
          <w:rFonts w:cs="Arial"/>
          <w:sz w:val="22"/>
          <w:szCs w:val="22"/>
          <w:lang w:val="en-GB"/>
        </w:rPr>
      </w:pPr>
      <w:proofErr w:type="gramStart"/>
      <w:r w:rsidRPr="00155C3D">
        <w:rPr>
          <w:rFonts w:cs="Arial"/>
          <w:sz w:val="22"/>
          <w:szCs w:val="22"/>
          <w:lang w:val="en-GB"/>
        </w:rPr>
        <w:t>Also</w:t>
      </w:r>
      <w:proofErr w:type="gramEnd"/>
      <w:r w:rsidRPr="00155C3D">
        <w:rPr>
          <w:rFonts w:cs="Arial"/>
          <w:sz w:val="22"/>
          <w:szCs w:val="22"/>
          <w:lang w:val="en-GB"/>
        </w:rPr>
        <w:t xml:space="preserve"> under point 1</w:t>
      </w:r>
      <w:r w:rsidR="008B767C">
        <w:rPr>
          <w:rFonts w:cs="Arial"/>
          <w:sz w:val="22"/>
          <w:szCs w:val="22"/>
          <w:lang w:val="en-GB"/>
        </w:rPr>
        <w:t>, delete</w:t>
      </w:r>
      <w:r w:rsidRPr="00155C3D">
        <w:rPr>
          <w:rFonts w:cs="Arial"/>
          <w:sz w:val="22"/>
          <w:szCs w:val="22"/>
          <w:lang w:val="en-GB"/>
        </w:rPr>
        <w:t xml:space="preserve"> the following text</w:t>
      </w:r>
      <w:r w:rsidR="00CF4800">
        <w:rPr>
          <w:rFonts w:cs="Arial"/>
          <w:sz w:val="22"/>
          <w:szCs w:val="22"/>
          <w:lang w:val="en-GB"/>
        </w:rPr>
        <w:t>: ‘</w:t>
      </w:r>
      <w:r w:rsidR="00CF4800" w:rsidRPr="008B767C">
        <w:rPr>
          <w:rFonts w:cs="Arial"/>
          <w:sz w:val="22"/>
          <w:szCs w:val="22"/>
          <w:lang w:val="en-GB"/>
        </w:rPr>
        <w:t xml:space="preserve">with the addition of Great Bustard </w:t>
      </w:r>
      <w:r w:rsidR="00CF4800" w:rsidRPr="008B767C">
        <w:rPr>
          <w:rFonts w:cs="Arial"/>
          <w:i/>
          <w:iCs/>
          <w:sz w:val="22"/>
          <w:szCs w:val="22"/>
          <w:lang w:val="en-GB"/>
        </w:rPr>
        <w:t xml:space="preserve">Otis </w:t>
      </w:r>
      <w:proofErr w:type="spellStart"/>
      <w:r w:rsidR="00CF4800" w:rsidRPr="008B767C">
        <w:rPr>
          <w:rFonts w:cs="Arial"/>
          <w:i/>
          <w:iCs/>
          <w:sz w:val="22"/>
          <w:szCs w:val="22"/>
          <w:lang w:val="en-GB"/>
        </w:rPr>
        <w:t>tarda</w:t>
      </w:r>
      <w:proofErr w:type="spellEnd"/>
      <w:r w:rsidR="00CF4800" w:rsidRPr="008B767C">
        <w:rPr>
          <w:rFonts w:cs="Arial"/>
          <w:i/>
          <w:iCs/>
          <w:sz w:val="22"/>
          <w:szCs w:val="22"/>
          <w:lang w:val="en-GB"/>
        </w:rPr>
        <w:t xml:space="preserve"> </w:t>
      </w:r>
      <w:r w:rsidR="00CF4800" w:rsidRPr="008B767C">
        <w:rPr>
          <w:rFonts w:cs="Arial"/>
          <w:sz w:val="22"/>
          <w:szCs w:val="22"/>
          <w:lang w:val="en-GB"/>
        </w:rPr>
        <w:t>which is listed on CMS Appendix I and II and is probably erroneously recorded as an altitudinal migrant within SIS and the WBDB’</w:t>
      </w:r>
      <w:r w:rsidR="00CF4800">
        <w:rPr>
          <w:rFonts w:cs="Arial"/>
          <w:sz w:val="22"/>
          <w:szCs w:val="22"/>
          <w:lang w:val="en-GB"/>
        </w:rPr>
        <w:t>. T</w:t>
      </w:r>
      <w:r w:rsidR="008B767C" w:rsidRPr="00155C3D">
        <w:rPr>
          <w:rFonts w:cs="Arial"/>
          <w:sz w:val="22"/>
          <w:szCs w:val="22"/>
          <w:lang w:val="en-GB"/>
        </w:rPr>
        <w:t xml:space="preserve">his comes from the original document and in fact </w:t>
      </w:r>
      <w:r w:rsidR="008B767C">
        <w:rPr>
          <w:rFonts w:cs="Arial"/>
          <w:sz w:val="22"/>
          <w:szCs w:val="22"/>
          <w:lang w:val="en-GB"/>
        </w:rPr>
        <w:t xml:space="preserve">the </w:t>
      </w:r>
      <w:r w:rsidR="008B767C" w:rsidRPr="00155C3D">
        <w:rPr>
          <w:rFonts w:cs="Arial"/>
          <w:sz w:val="22"/>
          <w:szCs w:val="22"/>
          <w:lang w:val="en-GB"/>
        </w:rPr>
        <w:t>Great Bustard has been listed as a full migrant in both SIS and the WBDB for many years</w:t>
      </w:r>
      <w:r w:rsidRPr="00155C3D">
        <w:rPr>
          <w:rFonts w:cs="Arial"/>
          <w:sz w:val="22"/>
          <w:szCs w:val="22"/>
          <w:lang w:val="en-GB"/>
        </w:rPr>
        <w:t xml:space="preserve"> </w:t>
      </w:r>
    </w:p>
    <w:p w:rsidR="001401D2" w:rsidRPr="00155C3D" w:rsidRDefault="001401D2" w:rsidP="009E0503">
      <w:pPr>
        <w:pStyle w:val="ListParagraph"/>
        <w:tabs>
          <w:tab w:val="left" w:pos="1020"/>
        </w:tabs>
        <w:ind w:left="420"/>
        <w:jc w:val="both"/>
        <w:rPr>
          <w:rFonts w:cs="Arial"/>
          <w:sz w:val="22"/>
          <w:szCs w:val="22"/>
          <w:lang w:val="en-GB"/>
        </w:rPr>
      </w:pPr>
    </w:p>
    <w:p w:rsidR="00E50307" w:rsidRPr="008B767C" w:rsidRDefault="00E50307" w:rsidP="009E0503">
      <w:pPr>
        <w:pStyle w:val="ListParagraph"/>
        <w:widowControl/>
        <w:numPr>
          <w:ilvl w:val="0"/>
          <w:numId w:val="43"/>
        </w:numPr>
        <w:adjustRightInd/>
        <w:contextualSpacing w:val="0"/>
        <w:jc w:val="both"/>
        <w:rPr>
          <w:rFonts w:cs="Arial"/>
          <w:sz w:val="22"/>
          <w:szCs w:val="22"/>
          <w:lang w:val="en-GB"/>
        </w:rPr>
      </w:pPr>
      <w:r w:rsidRPr="00E50307">
        <w:rPr>
          <w:rFonts w:cs="Arial"/>
          <w:sz w:val="22"/>
          <w:szCs w:val="22"/>
          <w:shd w:val="clear" w:color="auto" w:fill="FFFFFF"/>
          <w:lang w:val="en-GB"/>
        </w:rPr>
        <w:t xml:space="preserve">For clarity we would also suggest that the method of updating the list is explained fully on this page with reference to the date stamped version of the </w:t>
      </w:r>
      <w:proofErr w:type="spellStart"/>
      <w:r w:rsidRPr="00E50307">
        <w:rPr>
          <w:rFonts w:cs="Arial"/>
          <w:sz w:val="22"/>
          <w:szCs w:val="22"/>
          <w:shd w:val="clear" w:color="auto" w:fill="FFFFFF"/>
          <w:lang w:val="en-GB"/>
        </w:rPr>
        <w:t>BirdLife</w:t>
      </w:r>
      <w:proofErr w:type="spellEnd"/>
      <w:r w:rsidRPr="00E50307">
        <w:rPr>
          <w:rFonts w:cs="Arial"/>
          <w:sz w:val="22"/>
          <w:szCs w:val="22"/>
          <w:shd w:val="clear" w:color="auto" w:fill="FFFFFF"/>
          <w:lang w:val="en-GB"/>
        </w:rPr>
        <w:t xml:space="preserve"> checklist used for comparison and a fuller explanation of how an entity previously on the list which has since been split or lumped was dealt with. </w:t>
      </w:r>
    </w:p>
    <w:p w:rsidR="00E50307" w:rsidRPr="00E50307" w:rsidRDefault="00E50307" w:rsidP="009E0503">
      <w:pPr>
        <w:pStyle w:val="ListParagraph"/>
        <w:widowControl/>
        <w:numPr>
          <w:ilvl w:val="0"/>
          <w:numId w:val="43"/>
        </w:numPr>
        <w:adjustRightInd/>
        <w:ind w:left="418"/>
        <w:contextualSpacing w:val="0"/>
        <w:jc w:val="both"/>
        <w:rPr>
          <w:rFonts w:cs="Arial"/>
          <w:sz w:val="22"/>
          <w:szCs w:val="22"/>
          <w:lang w:val="en-GB"/>
        </w:rPr>
      </w:pPr>
      <w:r w:rsidRPr="00E50307">
        <w:rPr>
          <w:rFonts w:cs="Arial"/>
          <w:sz w:val="22"/>
          <w:szCs w:val="22"/>
          <w:shd w:val="clear" w:color="auto" w:fill="FFFFFF"/>
          <w:lang w:val="en-GB"/>
        </w:rPr>
        <w:t>On this topic some of the entities originally included in the AEMLAP species list appear to be missing in the updated annex. As with the disaggregation work, the aim should be to retain all entities covered by the previous list if still deemed to qualify even if some of those entities have since been split or lumped</w:t>
      </w:r>
      <w:r w:rsidR="00332A63">
        <w:rPr>
          <w:rFonts w:cs="Arial"/>
          <w:sz w:val="22"/>
          <w:szCs w:val="22"/>
          <w:shd w:val="clear" w:color="auto" w:fill="FFFFFF"/>
          <w:lang w:val="en-GB"/>
        </w:rPr>
        <w:t>;</w:t>
      </w:r>
      <w:r w:rsidRPr="00E50307">
        <w:rPr>
          <w:rFonts w:cs="Arial"/>
          <w:sz w:val="22"/>
          <w:szCs w:val="22"/>
          <w:shd w:val="clear" w:color="auto" w:fill="FFFFFF"/>
          <w:lang w:val="en-GB"/>
        </w:rPr>
        <w:t xml:space="preserve"> </w:t>
      </w:r>
      <w:r w:rsidR="001401D2">
        <w:rPr>
          <w:rFonts w:cs="Arial"/>
          <w:sz w:val="22"/>
          <w:szCs w:val="22"/>
          <w:shd w:val="clear" w:color="auto" w:fill="FFFFFF"/>
          <w:lang w:val="en-GB"/>
        </w:rPr>
        <w:t xml:space="preserve">Birdlife and the </w:t>
      </w:r>
      <w:proofErr w:type="spellStart"/>
      <w:r w:rsidR="001401D2">
        <w:rPr>
          <w:rFonts w:cs="Arial"/>
          <w:sz w:val="22"/>
          <w:szCs w:val="22"/>
          <w:shd w:val="clear" w:color="auto" w:fill="FFFFFF"/>
          <w:lang w:val="en-GB"/>
        </w:rPr>
        <w:t>ScC</w:t>
      </w:r>
      <w:proofErr w:type="spellEnd"/>
      <w:r w:rsidR="001401D2">
        <w:rPr>
          <w:rFonts w:cs="Arial"/>
          <w:sz w:val="22"/>
          <w:szCs w:val="22"/>
          <w:shd w:val="clear" w:color="auto" w:fill="FFFFFF"/>
          <w:lang w:val="en-GB"/>
        </w:rPr>
        <w:t xml:space="preserve"> </w:t>
      </w:r>
      <w:r w:rsidR="00332A63">
        <w:rPr>
          <w:rFonts w:cs="Arial"/>
          <w:sz w:val="22"/>
          <w:szCs w:val="22"/>
          <w:shd w:val="clear" w:color="auto" w:fill="FFFFFF"/>
          <w:lang w:val="en-GB"/>
        </w:rPr>
        <w:t xml:space="preserve">will </w:t>
      </w:r>
      <w:proofErr w:type="spellStart"/>
      <w:r w:rsidR="00332A63">
        <w:rPr>
          <w:rFonts w:cs="Arial"/>
          <w:sz w:val="22"/>
          <w:szCs w:val="22"/>
          <w:shd w:val="clear" w:color="auto" w:fill="FFFFFF"/>
          <w:lang w:val="en-GB"/>
        </w:rPr>
        <w:t>collaborate</w:t>
      </w:r>
      <w:r w:rsidR="001401D2">
        <w:rPr>
          <w:rFonts w:cs="Arial"/>
          <w:sz w:val="22"/>
          <w:szCs w:val="22"/>
          <w:shd w:val="clear" w:color="auto" w:fill="FFFFFF"/>
          <w:lang w:val="en-GB"/>
        </w:rPr>
        <w:t>in</w:t>
      </w:r>
      <w:proofErr w:type="spellEnd"/>
      <w:r w:rsidR="001401D2">
        <w:rPr>
          <w:rFonts w:cs="Arial"/>
          <w:sz w:val="22"/>
          <w:szCs w:val="22"/>
          <w:shd w:val="clear" w:color="auto" w:fill="FFFFFF"/>
          <w:lang w:val="en-GB"/>
        </w:rPr>
        <w:t xml:space="preserve"> addressing the necessary changes in the species list</w:t>
      </w:r>
    </w:p>
    <w:p w:rsidR="00155C3D" w:rsidRPr="00E50307" w:rsidRDefault="00E50307" w:rsidP="009E0503">
      <w:pPr>
        <w:pStyle w:val="ListParagraph"/>
        <w:numPr>
          <w:ilvl w:val="0"/>
          <w:numId w:val="43"/>
        </w:numPr>
        <w:tabs>
          <w:tab w:val="left" w:pos="1020"/>
        </w:tabs>
        <w:jc w:val="both"/>
        <w:rPr>
          <w:rFonts w:cs="Arial"/>
          <w:sz w:val="22"/>
          <w:szCs w:val="22"/>
        </w:rPr>
      </w:pPr>
      <w:bookmarkStart w:id="0" w:name="_GoBack"/>
      <w:r w:rsidRPr="00E50307">
        <w:rPr>
          <w:rFonts w:cs="Arial"/>
          <w:sz w:val="22"/>
          <w:szCs w:val="22"/>
          <w:shd w:val="clear" w:color="auto" w:fill="FFFFFF"/>
          <w:lang w:val="en-GB"/>
        </w:rPr>
        <w:t xml:space="preserve">We would also suggest that within each category the species in Annex 3 are re-ordered to </w:t>
      </w:r>
      <w:bookmarkEnd w:id="0"/>
      <w:r w:rsidRPr="00E50307">
        <w:rPr>
          <w:rFonts w:cs="Arial"/>
          <w:sz w:val="22"/>
          <w:szCs w:val="22"/>
          <w:shd w:val="clear" w:color="auto" w:fill="FFFFFF"/>
          <w:lang w:val="en-GB"/>
        </w:rPr>
        <w:t>reflect their taxonomic order’</w:t>
      </w:r>
    </w:p>
    <w:p w:rsidR="008F20D3" w:rsidRDefault="008F20D3" w:rsidP="009E0503">
      <w:pPr>
        <w:tabs>
          <w:tab w:val="left" w:pos="1020"/>
        </w:tabs>
        <w:jc w:val="both"/>
        <w:rPr>
          <w:rFonts w:cs="Arial"/>
          <w:sz w:val="22"/>
          <w:szCs w:val="22"/>
        </w:rPr>
      </w:pPr>
    </w:p>
    <w:p w:rsidR="008F20D3" w:rsidRDefault="008F20D3" w:rsidP="008F20D3">
      <w:pPr>
        <w:tabs>
          <w:tab w:val="left" w:pos="1020"/>
        </w:tabs>
        <w:rPr>
          <w:rFonts w:cs="Arial"/>
          <w:sz w:val="22"/>
          <w:szCs w:val="22"/>
        </w:rPr>
      </w:pPr>
    </w:p>
    <w:p w:rsidR="00397D2C" w:rsidRPr="008820EF" w:rsidRDefault="00397D2C" w:rsidP="008820EF">
      <w:pPr>
        <w:tabs>
          <w:tab w:val="left" w:pos="1020"/>
        </w:tabs>
        <w:rPr>
          <w:rFonts w:cs="Arial"/>
          <w:sz w:val="22"/>
          <w:szCs w:val="22"/>
        </w:rPr>
      </w:pPr>
    </w:p>
    <w:sectPr w:rsidR="00397D2C" w:rsidRPr="008820EF" w:rsidSect="0052082F">
      <w:headerReference w:type="even" r:id="rId8"/>
      <w:footerReference w:type="even" r:id="rId9"/>
      <w:headerReference w:type="first" r:id="rId1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262" w:rsidRDefault="00917262">
      <w:r>
        <w:separator/>
      </w:r>
    </w:p>
  </w:endnote>
  <w:endnote w:type="continuationSeparator" w:id="0">
    <w:p w:rsidR="00917262" w:rsidRDefault="0091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584448"/>
      <w:docPartObj>
        <w:docPartGallery w:val="Page Numbers (Bottom of Page)"/>
        <w:docPartUnique/>
      </w:docPartObj>
    </w:sdtPr>
    <w:sdtEndPr>
      <w:rPr>
        <w:noProof/>
      </w:rPr>
    </w:sdtEndPr>
    <w:sdtContent>
      <w:p w:rsidR="009E0503" w:rsidRDefault="009E0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7799" w:rsidRDefault="001D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262" w:rsidRDefault="00917262">
      <w:r>
        <w:separator/>
      </w:r>
    </w:p>
  </w:footnote>
  <w:footnote w:type="continuationSeparator" w:id="0">
    <w:p w:rsidR="00917262" w:rsidRDefault="0091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03" w:rsidRPr="008648EB" w:rsidRDefault="009E0503" w:rsidP="009E0503">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w:t>
    </w:r>
    <w:r w:rsidRPr="00E90844">
      <w:rPr>
        <w:rFonts w:cs="Arial"/>
        <w:i/>
        <w:szCs w:val="18"/>
      </w:rPr>
      <w:t>Doc.</w:t>
    </w:r>
    <w:r>
      <w:rPr>
        <w:rFonts w:cs="Arial"/>
        <w:i/>
        <w:szCs w:val="18"/>
      </w:rPr>
      <w:t>26</w:t>
    </w:r>
    <w:r w:rsidRPr="00E90844">
      <w:rPr>
        <w:rFonts w:cs="Arial"/>
        <w:i/>
        <w:szCs w:val="18"/>
      </w:rPr>
      <w:t>.1.</w:t>
    </w:r>
    <w:r>
      <w:rPr>
        <w:rFonts w:cs="Arial"/>
        <w:i/>
        <w:szCs w:val="18"/>
      </w:rPr>
      <w:t>2</w:t>
    </w:r>
    <w:r w:rsidRPr="00E90844">
      <w:rPr>
        <w:rFonts w:cs="Arial"/>
        <w:i/>
        <w:szCs w:val="18"/>
      </w:rPr>
      <w:t>/Add</w:t>
    </w:r>
    <w:r>
      <w:rPr>
        <w:rFonts w:cs="Arial"/>
        <w:i/>
        <w:szCs w:val="18"/>
      </w:rPr>
      <w:t>.1</w:t>
    </w:r>
    <w:r w:rsidRPr="008648EB">
      <w:rPr>
        <w:rFonts w:cs="Arial"/>
        <w:i/>
        <w:szCs w:val="18"/>
      </w:rPr>
      <w:t xml:space="preserve">  </w:t>
    </w:r>
  </w:p>
  <w:p w:rsidR="001D7799" w:rsidRDefault="001D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FC" w:rsidRPr="008648EB" w:rsidRDefault="00BF42FC" w:rsidP="00BF42FC">
    <w:pPr>
      <w:pStyle w:val="Header"/>
      <w:pBdr>
        <w:bottom w:val="single" w:sz="4" w:space="1" w:color="auto"/>
      </w:pBdr>
      <w:jc w:val="right"/>
      <w:rPr>
        <w:rFonts w:cs="Arial"/>
        <w:i/>
        <w:szCs w:val="18"/>
      </w:rPr>
    </w:pPr>
    <w:r w:rsidRPr="008648EB">
      <w:rPr>
        <w:rFonts w:cs="Arial"/>
        <w:i/>
        <w:szCs w:val="18"/>
      </w:rPr>
      <w:t>UNEP/CMS/COP1</w:t>
    </w:r>
    <w:r w:rsidR="001D7799">
      <w:rPr>
        <w:rFonts w:cs="Arial"/>
        <w:i/>
        <w:szCs w:val="18"/>
      </w:rPr>
      <w:t>3</w:t>
    </w:r>
    <w:r w:rsidRPr="008648EB">
      <w:rPr>
        <w:rFonts w:cs="Arial"/>
        <w:i/>
        <w:szCs w:val="18"/>
      </w:rPr>
      <w:t>/</w:t>
    </w:r>
    <w:r w:rsidRPr="00E90844">
      <w:rPr>
        <w:rFonts w:cs="Arial"/>
        <w:i/>
        <w:szCs w:val="18"/>
      </w:rPr>
      <w:t>Doc.</w:t>
    </w:r>
    <w:r w:rsidR="005B2DE1">
      <w:rPr>
        <w:rFonts w:cs="Arial"/>
        <w:i/>
        <w:szCs w:val="18"/>
      </w:rPr>
      <w:t>26</w:t>
    </w:r>
    <w:r w:rsidR="00E90844" w:rsidRPr="00E90844">
      <w:rPr>
        <w:rFonts w:cs="Arial"/>
        <w:i/>
        <w:szCs w:val="18"/>
      </w:rPr>
      <w:t>.1.</w:t>
    </w:r>
    <w:r w:rsidR="009C1152">
      <w:rPr>
        <w:rFonts w:cs="Arial"/>
        <w:i/>
        <w:szCs w:val="18"/>
      </w:rPr>
      <w:t>2</w:t>
    </w:r>
    <w:r w:rsidRPr="00E90844">
      <w:rPr>
        <w:rFonts w:cs="Arial"/>
        <w:i/>
        <w:szCs w:val="18"/>
      </w:rPr>
      <w:t>/Add</w:t>
    </w:r>
    <w:r w:rsidR="00B5735E">
      <w:rPr>
        <w:rFonts w:cs="Arial"/>
        <w:i/>
        <w:szCs w:val="18"/>
      </w:rPr>
      <w:t>.</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18228A"/>
    <w:multiLevelType w:val="hybridMultilevel"/>
    <w:tmpl w:val="920E91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2"/>
  </w:num>
  <w:num w:numId="11">
    <w:abstractNumId w:val="37"/>
  </w:num>
  <w:num w:numId="12">
    <w:abstractNumId w:val="3"/>
  </w:num>
  <w:num w:numId="13">
    <w:abstractNumId w:val="19"/>
  </w:num>
  <w:num w:numId="14">
    <w:abstractNumId w:val="35"/>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4"/>
  </w:num>
  <w:num w:numId="22">
    <w:abstractNumId w:val="17"/>
  </w:num>
  <w:num w:numId="23">
    <w:abstractNumId w:val="26"/>
  </w:num>
  <w:num w:numId="24">
    <w:abstractNumId w:val="16"/>
  </w:num>
  <w:num w:numId="25">
    <w:abstractNumId w:val="30"/>
  </w:num>
  <w:num w:numId="26">
    <w:abstractNumId w:val="0"/>
  </w:num>
  <w:num w:numId="27">
    <w:abstractNumId w:val="39"/>
  </w:num>
  <w:num w:numId="28">
    <w:abstractNumId w:val="6"/>
  </w:num>
  <w:num w:numId="29">
    <w:abstractNumId w:val="20"/>
  </w:num>
  <w:num w:numId="30">
    <w:abstractNumId w:val="13"/>
  </w:num>
  <w:num w:numId="31">
    <w:abstractNumId w:val="28"/>
  </w:num>
  <w:num w:numId="32">
    <w:abstractNumId w:val="27"/>
  </w:num>
  <w:num w:numId="33">
    <w:abstractNumId w:val="5"/>
  </w:num>
  <w:num w:numId="34">
    <w:abstractNumId w:val="18"/>
  </w:num>
  <w:num w:numId="35">
    <w:abstractNumId w:val="15"/>
  </w:num>
  <w:num w:numId="36">
    <w:abstractNumId w:val="31"/>
  </w:num>
  <w:num w:numId="37">
    <w:abstractNumId w:val="34"/>
  </w:num>
  <w:num w:numId="38">
    <w:abstractNumId w:val="9"/>
  </w:num>
  <w:num w:numId="39">
    <w:abstractNumId w:val="29"/>
  </w:num>
  <w:num w:numId="40">
    <w:abstractNumId w:val="40"/>
  </w:num>
  <w:num w:numId="41">
    <w:abstractNumId w:val="24"/>
  </w:num>
  <w:num w:numId="42">
    <w:abstractNumId w:val="8"/>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18C2"/>
    <w:rsid w:val="00056DC1"/>
    <w:rsid w:val="00060156"/>
    <w:rsid w:val="00070BBC"/>
    <w:rsid w:val="00073C92"/>
    <w:rsid w:val="000742A7"/>
    <w:rsid w:val="00080F03"/>
    <w:rsid w:val="000900E1"/>
    <w:rsid w:val="0009076A"/>
    <w:rsid w:val="000B6220"/>
    <w:rsid w:val="000C21B1"/>
    <w:rsid w:val="000C3C87"/>
    <w:rsid w:val="000C7460"/>
    <w:rsid w:val="000D5E7E"/>
    <w:rsid w:val="000E01C1"/>
    <w:rsid w:val="000F1156"/>
    <w:rsid w:val="000F1354"/>
    <w:rsid w:val="000F52BA"/>
    <w:rsid w:val="001151A3"/>
    <w:rsid w:val="0012294F"/>
    <w:rsid w:val="001245DF"/>
    <w:rsid w:val="0012515A"/>
    <w:rsid w:val="00130BFD"/>
    <w:rsid w:val="001401D2"/>
    <w:rsid w:val="001419C7"/>
    <w:rsid w:val="00150AC4"/>
    <w:rsid w:val="00155C3D"/>
    <w:rsid w:val="00162D88"/>
    <w:rsid w:val="00166ABA"/>
    <w:rsid w:val="001743FD"/>
    <w:rsid w:val="001764E6"/>
    <w:rsid w:val="001808F1"/>
    <w:rsid w:val="001A33B6"/>
    <w:rsid w:val="001B24A9"/>
    <w:rsid w:val="001B29C4"/>
    <w:rsid w:val="001C6038"/>
    <w:rsid w:val="001D7799"/>
    <w:rsid w:val="001F60A1"/>
    <w:rsid w:val="001F6DCF"/>
    <w:rsid w:val="00200A67"/>
    <w:rsid w:val="00201F88"/>
    <w:rsid w:val="00202332"/>
    <w:rsid w:val="00217980"/>
    <w:rsid w:val="002210F4"/>
    <w:rsid w:val="00234857"/>
    <w:rsid w:val="00254721"/>
    <w:rsid w:val="00260772"/>
    <w:rsid w:val="00263159"/>
    <w:rsid w:val="002779F7"/>
    <w:rsid w:val="0029615B"/>
    <w:rsid w:val="002A0421"/>
    <w:rsid w:val="002C187A"/>
    <w:rsid w:val="002C20F1"/>
    <w:rsid w:val="002D2863"/>
    <w:rsid w:val="002D5EC0"/>
    <w:rsid w:val="002E219A"/>
    <w:rsid w:val="002E3DEA"/>
    <w:rsid w:val="002E7CC2"/>
    <w:rsid w:val="002F6F9B"/>
    <w:rsid w:val="00305783"/>
    <w:rsid w:val="00332A6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B7A1B"/>
    <w:rsid w:val="003E21B3"/>
    <w:rsid w:val="003E24AC"/>
    <w:rsid w:val="00411E65"/>
    <w:rsid w:val="00420040"/>
    <w:rsid w:val="00423388"/>
    <w:rsid w:val="00426D73"/>
    <w:rsid w:val="00430B27"/>
    <w:rsid w:val="00436CD2"/>
    <w:rsid w:val="00454913"/>
    <w:rsid w:val="00457441"/>
    <w:rsid w:val="004579F6"/>
    <w:rsid w:val="004656D0"/>
    <w:rsid w:val="00470CA7"/>
    <w:rsid w:val="00473ABD"/>
    <w:rsid w:val="00482DCA"/>
    <w:rsid w:val="004B6CFD"/>
    <w:rsid w:val="004C204D"/>
    <w:rsid w:val="004D0436"/>
    <w:rsid w:val="004D0936"/>
    <w:rsid w:val="004F243D"/>
    <w:rsid w:val="004F3D8D"/>
    <w:rsid w:val="005076F1"/>
    <w:rsid w:val="00512B91"/>
    <w:rsid w:val="005158EB"/>
    <w:rsid w:val="0052082F"/>
    <w:rsid w:val="00525161"/>
    <w:rsid w:val="00540F70"/>
    <w:rsid w:val="00542FCC"/>
    <w:rsid w:val="00553795"/>
    <w:rsid w:val="00554CE5"/>
    <w:rsid w:val="0055762E"/>
    <w:rsid w:val="00565445"/>
    <w:rsid w:val="00575334"/>
    <w:rsid w:val="00585FDE"/>
    <w:rsid w:val="00593736"/>
    <w:rsid w:val="005B0F06"/>
    <w:rsid w:val="005B2DE1"/>
    <w:rsid w:val="005B6141"/>
    <w:rsid w:val="005C3F15"/>
    <w:rsid w:val="005F3989"/>
    <w:rsid w:val="005F4303"/>
    <w:rsid w:val="00601B52"/>
    <w:rsid w:val="0060280B"/>
    <w:rsid w:val="00604422"/>
    <w:rsid w:val="00606359"/>
    <w:rsid w:val="00616938"/>
    <w:rsid w:val="00624303"/>
    <w:rsid w:val="006356C5"/>
    <w:rsid w:val="00644060"/>
    <w:rsid w:val="00651341"/>
    <w:rsid w:val="00662D1E"/>
    <w:rsid w:val="00667726"/>
    <w:rsid w:val="006815B2"/>
    <w:rsid w:val="00682B31"/>
    <w:rsid w:val="006864E1"/>
    <w:rsid w:val="006B1037"/>
    <w:rsid w:val="006C0FC6"/>
    <w:rsid w:val="006D4F19"/>
    <w:rsid w:val="006E56AD"/>
    <w:rsid w:val="006E5763"/>
    <w:rsid w:val="006F450A"/>
    <w:rsid w:val="006F6A33"/>
    <w:rsid w:val="007058F6"/>
    <w:rsid w:val="007101BB"/>
    <w:rsid w:val="00713308"/>
    <w:rsid w:val="00727E01"/>
    <w:rsid w:val="007328C3"/>
    <w:rsid w:val="00757614"/>
    <w:rsid w:val="007728B4"/>
    <w:rsid w:val="0077622E"/>
    <w:rsid w:val="00777913"/>
    <w:rsid w:val="00777FE4"/>
    <w:rsid w:val="0079075D"/>
    <w:rsid w:val="007B4B90"/>
    <w:rsid w:val="007C1468"/>
    <w:rsid w:val="007C41D7"/>
    <w:rsid w:val="007F16FB"/>
    <w:rsid w:val="007F1BBA"/>
    <w:rsid w:val="00804418"/>
    <w:rsid w:val="0081600F"/>
    <w:rsid w:val="0082722D"/>
    <w:rsid w:val="008274F7"/>
    <w:rsid w:val="008441F9"/>
    <w:rsid w:val="00846A99"/>
    <w:rsid w:val="008641D1"/>
    <w:rsid w:val="008648EB"/>
    <w:rsid w:val="00872F67"/>
    <w:rsid w:val="008820EF"/>
    <w:rsid w:val="00893346"/>
    <w:rsid w:val="008A0D8D"/>
    <w:rsid w:val="008B1A69"/>
    <w:rsid w:val="008B767C"/>
    <w:rsid w:val="008C1A39"/>
    <w:rsid w:val="008E7DFB"/>
    <w:rsid w:val="008F20D3"/>
    <w:rsid w:val="008F417E"/>
    <w:rsid w:val="008F7327"/>
    <w:rsid w:val="009076C8"/>
    <w:rsid w:val="00915BBE"/>
    <w:rsid w:val="00917262"/>
    <w:rsid w:val="00921D62"/>
    <w:rsid w:val="00922791"/>
    <w:rsid w:val="00927CD6"/>
    <w:rsid w:val="00933572"/>
    <w:rsid w:val="009363C7"/>
    <w:rsid w:val="00945FFB"/>
    <w:rsid w:val="00971F31"/>
    <w:rsid w:val="00972D36"/>
    <w:rsid w:val="00980406"/>
    <w:rsid w:val="00984CB2"/>
    <w:rsid w:val="009A2C8F"/>
    <w:rsid w:val="009A4CD2"/>
    <w:rsid w:val="009A7B65"/>
    <w:rsid w:val="009C1152"/>
    <w:rsid w:val="009D2AD6"/>
    <w:rsid w:val="009D3A07"/>
    <w:rsid w:val="009D4711"/>
    <w:rsid w:val="009D5DA6"/>
    <w:rsid w:val="009E0503"/>
    <w:rsid w:val="009E3A84"/>
    <w:rsid w:val="009E7ACC"/>
    <w:rsid w:val="009F450E"/>
    <w:rsid w:val="009F54DA"/>
    <w:rsid w:val="00A0582A"/>
    <w:rsid w:val="00A06984"/>
    <w:rsid w:val="00A1324E"/>
    <w:rsid w:val="00A27BE3"/>
    <w:rsid w:val="00A339B9"/>
    <w:rsid w:val="00A40EDF"/>
    <w:rsid w:val="00A568DF"/>
    <w:rsid w:val="00A73164"/>
    <w:rsid w:val="00A73A79"/>
    <w:rsid w:val="00A854E8"/>
    <w:rsid w:val="00A91596"/>
    <w:rsid w:val="00A93C52"/>
    <w:rsid w:val="00AA7368"/>
    <w:rsid w:val="00AA7A90"/>
    <w:rsid w:val="00AB4FF9"/>
    <w:rsid w:val="00AE45FB"/>
    <w:rsid w:val="00AE7B21"/>
    <w:rsid w:val="00AF1980"/>
    <w:rsid w:val="00AF2021"/>
    <w:rsid w:val="00B471BD"/>
    <w:rsid w:val="00B50C2D"/>
    <w:rsid w:val="00B5735E"/>
    <w:rsid w:val="00B64904"/>
    <w:rsid w:val="00B85805"/>
    <w:rsid w:val="00BA60CE"/>
    <w:rsid w:val="00BC5607"/>
    <w:rsid w:val="00BD3546"/>
    <w:rsid w:val="00BE0D1D"/>
    <w:rsid w:val="00BE2448"/>
    <w:rsid w:val="00BE24D4"/>
    <w:rsid w:val="00BF2BE7"/>
    <w:rsid w:val="00BF42FC"/>
    <w:rsid w:val="00C05102"/>
    <w:rsid w:val="00C07314"/>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4800"/>
    <w:rsid w:val="00CF6EDD"/>
    <w:rsid w:val="00D05922"/>
    <w:rsid w:val="00D24EF1"/>
    <w:rsid w:val="00D42AE1"/>
    <w:rsid w:val="00D605A4"/>
    <w:rsid w:val="00D61B13"/>
    <w:rsid w:val="00D7746A"/>
    <w:rsid w:val="00D838FE"/>
    <w:rsid w:val="00D8406F"/>
    <w:rsid w:val="00D859C7"/>
    <w:rsid w:val="00D9021F"/>
    <w:rsid w:val="00DA1080"/>
    <w:rsid w:val="00DA12C2"/>
    <w:rsid w:val="00DA3952"/>
    <w:rsid w:val="00DB1AF7"/>
    <w:rsid w:val="00DB30A6"/>
    <w:rsid w:val="00DC211A"/>
    <w:rsid w:val="00DD6A9E"/>
    <w:rsid w:val="00DF38F9"/>
    <w:rsid w:val="00DF4423"/>
    <w:rsid w:val="00E23367"/>
    <w:rsid w:val="00E30B00"/>
    <w:rsid w:val="00E31B92"/>
    <w:rsid w:val="00E475D4"/>
    <w:rsid w:val="00E50307"/>
    <w:rsid w:val="00E56FB6"/>
    <w:rsid w:val="00E74D1C"/>
    <w:rsid w:val="00E8776E"/>
    <w:rsid w:val="00E90844"/>
    <w:rsid w:val="00E9237A"/>
    <w:rsid w:val="00E93AEE"/>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78B9"/>
    <w:rsid w:val="00FA61AF"/>
    <w:rsid w:val="00FC31E2"/>
    <w:rsid w:val="00FD3A06"/>
    <w:rsid w:val="00FD4E36"/>
    <w:rsid w:val="00FD7D14"/>
    <w:rsid w:val="00FE48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ListParagraphChar">
    <w:name w:val="List Paragraph Char"/>
    <w:basedOn w:val="DefaultParagraphFont"/>
    <w:link w:val="ListParagraph"/>
    <w:uiPriority w:val="34"/>
    <w:locked/>
    <w:rsid w:val="00E5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135777">
      <w:bodyDiv w:val="1"/>
      <w:marLeft w:val="0"/>
      <w:marRight w:val="0"/>
      <w:marTop w:val="0"/>
      <w:marBottom w:val="0"/>
      <w:divBdr>
        <w:top w:val="none" w:sz="0" w:space="0" w:color="auto"/>
        <w:left w:val="none" w:sz="0" w:space="0" w:color="auto"/>
        <w:bottom w:val="none" w:sz="0" w:space="0" w:color="auto"/>
        <w:right w:val="none" w:sz="0" w:space="0" w:color="auto"/>
      </w:divBdr>
    </w:div>
    <w:div w:id="991757845">
      <w:bodyDiv w:val="1"/>
      <w:marLeft w:val="0"/>
      <w:marRight w:val="0"/>
      <w:marTop w:val="0"/>
      <w:marBottom w:val="0"/>
      <w:divBdr>
        <w:top w:val="none" w:sz="0" w:space="0" w:color="auto"/>
        <w:left w:val="none" w:sz="0" w:space="0" w:color="auto"/>
        <w:bottom w:val="none" w:sz="0" w:space="0" w:color="auto"/>
        <w:right w:val="none" w:sz="0" w:space="0" w:color="auto"/>
      </w:divBdr>
    </w:div>
    <w:div w:id="18019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3035-4005-4765-8272-89AE6D69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Ximena Cancino</cp:lastModifiedBy>
  <cp:revision>3</cp:revision>
  <cp:lastPrinted>2017-07-07T11:51:00Z</cp:lastPrinted>
  <dcterms:created xsi:type="dcterms:W3CDTF">2019-11-14T10:19:00Z</dcterms:created>
  <dcterms:modified xsi:type="dcterms:W3CDTF">2019-11-14T10:19:00Z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