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C623DB" w14:paraId="541079E2"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C49C2D3" w14:textId="77777777" w:rsidR="002E0DE9" w:rsidRPr="00C623DB"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C623DB">
              <w:rPr>
                <w:rFonts w:eastAsia="Times New Roman" w:cs="Arial"/>
                <w:noProof/>
              </w:rPr>
              <w:drawing>
                <wp:inline distT="0" distB="0" distL="0" distR="0" wp14:anchorId="0841C06F" wp14:editId="5D800AA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04C3CF47" w14:textId="77777777" w:rsidR="002E0DE9" w:rsidRPr="00C623DB"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66F39A3A" w14:textId="77777777" w:rsidR="002E0DE9" w:rsidRPr="00C623DB"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C623DB">
              <w:rPr>
                <w:rFonts w:eastAsia="Times New Roman" w:cs="Arial"/>
                <w:b/>
                <w:sz w:val="32"/>
                <w:szCs w:val="32"/>
              </w:rPr>
              <w:t>CONVENTION ON</w:t>
            </w:r>
          </w:p>
          <w:p w14:paraId="2A708F32" w14:textId="77777777" w:rsidR="002E0DE9" w:rsidRPr="00C623DB"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C623DB">
              <w:rPr>
                <w:rFonts w:eastAsia="Times New Roman" w:cs="Arial"/>
                <w:b/>
                <w:sz w:val="32"/>
                <w:szCs w:val="32"/>
              </w:rPr>
              <w:t>MIGRATORY</w:t>
            </w:r>
          </w:p>
          <w:p w14:paraId="3B3228C3" w14:textId="77777777" w:rsidR="002E0DE9" w:rsidRPr="00C623DB"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C623DB">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E529224" w14:textId="72FA5063" w:rsidR="00A34291" w:rsidRPr="00C623DB"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C623DB">
              <w:rPr>
                <w:rFonts w:eastAsia="Times New Roman" w:cs="Arial"/>
              </w:rPr>
              <w:t>UNEP/CMS/COP13/Doc.</w:t>
            </w:r>
            <w:r w:rsidR="006D3B8D">
              <w:rPr>
                <w:rFonts w:eastAsia="Times New Roman" w:cs="Arial"/>
              </w:rPr>
              <w:t>26.4.</w:t>
            </w:r>
            <w:r w:rsidR="005534EC">
              <w:rPr>
                <w:rFonts w:eastAsia="Times New Roman" w:cs="Arial"/>
              </w:rPr>
              <w:t>11</w:t>
            </w:r>
          </w:p>
          <w:p w14:paraId="10BD25A1" w14:textId="0D1F2319" w:rsidR="002E0DE9" w:rsidRPr="005534EC" w:rsidRDefault="006904CD" w:rsidP="00661875">
            <w:pPr>
              <w:tabs>
                <w:tab w:val="left" w:pos="5040"/>
                <w:tab w:val="left" w:pos="5760"/>
                <w:tab w:val="left" w:pos="6008"/>
                <w:tab w:val="left" w:pos="6480"/>
                <w:tab w:val="left" w:pos="7200"/>
                <w:tab w:val="left" w:pos="7920"/>
                <w:tab w:val="left" w:pos="8640"/>
              </w:tabs>
              <w:rPr>
                <w:rFonts w:eastAsia="Times New Roman" w:cs="Arial"/>
              </w:rPr>
            </w:pPr>
            <w:r w:rsidRPr="005534EC">
              <w:rPr>
                <w:rFonts w:eastAsia="Times New Roman" w:cs="Arial"/>
              </w:rPr>
              <w:t>19</w:t>
            </w:r>
            <w:r w:rsidR="002E0DE9" w:rsidRPr="005534EC">
              <w:rPr>
                <w:rFonts w:eastAsia="Times New Roman" w:cs="Arial"/>
              </w:rPr>
              <w:t xml:space="preserve"> </w:t>
            </w:r>
            <w:r w:rsidR="005D7198" w:rsidRPr="005534EC">
              <w:rPr>
                <w:rFonts w:eastAsia="Times New Roman" w:cs="Arial"/>
              </w:rPr>
              <w:t>December</w:t>
            </w:r>
            <w:r w:rsidR="002E0DE9" w:rsidRPr="00C623DB">
              <w:rPr>
                <w:rFonts w:eastAsia="Times New Roman" w:cs="Arial"/>
              </w:rPr>
              <w:t xml:space="preserve"> 2019</w:t>
            </w:r>
          </w:p>
          <w:p w14:paraId="43594DF5" w14:textId="77777777" w:rsidR="002E0DE9" w:rsidRPr="00C623DB" w:rsidRDefault="002E0DE9" w:rsidP="00EC4F04">
            <w:pPr>
              <w:widowControl w:val="0"/>
              <w:suppressAutoHyphens/>
              <w:autoSpaceDE w:val="0"/>
              <w:autoSpaceDN w:val="0"/>
              <w:spacing w:after="0" w:line="240" w:lineRule="auto"/>
              <w:textAlignment w:val="baseline"/>
              <w:rPr>
                <w:rFonts w:eastAsia="Times New Roman" w:cs="Arial"/>
              </w:rPr>
            </w:pPr>
            <w:r w:rsidRPr="00C623DB">
              <w:rPr>
                <w:rFonts w:eastAsia="Times New Roman" w:cs="Arial"/>
              </w:rPr>
              <w:t>Original: English</w:t>
            </w:r>
          </w:p>
        </w:tc>
      </w:tr>
    </w:tbl>
    <w:p w14:paraId="1720B0B1" w14:textId="77777777" w:rsidR="002E0DE9" w:rsidRPr="00C623DB"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5C2724C1" w14:textId="77777777" w:rsidR="002E0DE9" w:rsidRPr="00C623DB"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C623DB">
        <w:rPr>
          <w:rFonts w:eastAsia="Times New Roman" w:cs="Arial"/>
        </w:rPr>
        <w:t>13</w:t>
      </w:r>
      <w:r w:rsidRPr="00C623DB">
        <w:rPr>
          <w:rFonts w:eastAsia="Times New Roman" w:cs="Arial"/>
          <w:vertAlign w:val="superscript"/>
        </w:rPr>
        <w:t>th</w:t>
      </w:r>
      <w:r w:rsidRPr="00C623DB">
        <w:rPr>
          <w:rFonts w:eastAsia="Times New Roman" w:cs="Arial"/>
        </w:rPr>
        <w:t xml:space="preserve"> MEETING OF THE CONFERENCE OF THE PARTIES</w:t>
      </w:r>
    </w:p>
    <w:p w14:paraId="64B9F1A1" w14:textId="77777777" w:rsidR="002E0DE9" w:rsidRPr="00C623DB"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pt-BR"/>
        </w:rPr>
      </w:pPr>
      <w:r w:rsidRPr="00C623DB">
        <w:rPr>
          <w:rFonts w:eastAsia="Times New Roman" w:cs="Arial"/>
          <w:bCs/>
          <w:lang w:val="pt-BR"/>
        </w:rPr>
        <w:t>Gand</w:t>
      </w:r>
      <w:r w:rsidR="00C2719B" w:rsidRPr="00C623DB">
        <w:rPr>
          <w:rFonts w:eastAsia="Times New Roman" w:cs="Arial"/>
          <w:bCs/>
          <w:lang w:val="pt-BR"/>
        </w:rPr>
        <w:t>h</w:t>
      </w:r>
      <w:r w:rsidRPr="00C623DB">
        <w:rPr>
          <w:rFonts w:eastAsia="Times New Roman" w:cs="Arial"/>
          <w:bCs/>
          <w:lang w:val="pt-BR"/>
        </w:rPr>
        <w:t>inagar, India, 17 - 22 February 2020</w:t>
      </w:r>
    </w:p>
    <w:p w14:paraId="4C778E72" w14:textId="40CE36E4" w:rsidR="002E0DE9" w:rsidRPr="005534EC" w:rsidRDefault="002E0DE9" w:rsidP="00661875">
      <w:pPr>
        <w:tabs>
          <w:tab w:val="left" w:pos="7020"/>
        </w:tabs>
        <w:rPr>
          <w:rFonts w:cs="Arial"/>
          <w:lang w:val="pt-BR"/>
        </w:rPr>
      </w:pPr>
      <w:r w:rsidRPr="00C623DB">
        <w:rPr>
          <w:rFonts w:eastAsia="Times New Roman" w:cs="Arial"/>
          <w:iCs/>
          <w:lang w:val="pt-BR"/>
        </w:rPr>
        <w:t>Agenda Item</w:t>
      </w:r>
      <w:r w:rsidR="00C623DB">
        <w:rPr>
          <w:rFonts w:eastAsia="Times New Roman" w:cs="Arial"/>
          <w:iCs/>
          <w:lang w:val="pt-BR"/>
        </w:rPr>
        <w:t xml:space="preserve"> 26.4.</w:t>
      </w:r>
      <w:r w:rsidR="00BD5247" w:rsidRPr="000232CA">
        <w:rPr>
          <w:rFonts w:eastAsia="Times New Roman" w:cs="Arial"/>
          <w:iCs/>
          <w:shd w:val="clear" w:color="auto" w:fill="FFFF00"/>
          <w:lang w:val="pt-BR"/>
        </w:rPr>
        <w:t xml:space="preserve"> </w:t>
      </w:r>
    </w:p>
    <w:p w14:paraId="21A086E7" w14:textId="77777777" w:rsidR="002E0DE9" w:rsidRPr="000232CA" w:rsidRDefault="002E0DE9" w:rsidP="00EC4F04">
      <w:pPr>
        <w:widowControl w:val="0"/>
        <w:suppressAutoHyphens/>
        <w:autoSpaceDE w:val="0"/>
        <w:autoSpaceDN w:val="0"/>
        <w:spacing w:after="0" w:line="240" w:lineRule="auto"/>
        <w:textAlignment w:val="baseline"/>
        <w:rPr>
          <w:rFonts w:eastAsia="Times New Roman" w:cs="Arial"/>
          <w:lang w:val="pt-BR"/>
        </w:rPr>
      </w:pPr>
    </w:p>
    <w:p w14:paraId="26641D71" w14:textId="77777777" w:rsidR="002E0DE9" w:rsidRPr="000232CA" w:rsidRDefault="002E0DE9" w:rsidP="00EC4F04">
      <w:pPr>
        <w:widowControl w:val="0"/>
        <w:suppressAutoHyphens/>
        <w:autoSpaceDE w:val="0"/>
        <w:autoSpaceDN w:val="0"/>
        <w:spacing w:after="0" w:line="240" w:lineRule="auto"/>
        <w:textAlignment w:val="baseline"/>
        <w:rPr>
          <w:rFonts w:eastAsia="Times New Roman" w:cs="Arial"/>
          <w:lang w:val="pt-BR"/>
        </w:rPr>
      </w:pPr>
    </w:p>
    <w:p w14:paraId="69CA4380" w14:textId="6E1D4CE4" w:rsidR="002E0DE9" w:rsidRDefault="00320E2D"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INFRASTRUCTURE DEVELOPMENT AND MIGRATORY</w:t>
      </w:r>
      <w:r w:rsidR="003A5B6C">
        <w:rPr>
          <w:rFonts w:eastAsia="Times New Roman" w:cs="Arial"/>
          <w:b/>
          <w:bCs/>
        </w:rPr>
        <w:t xml:space="preserve"> SPECIES</w:t>
      </w:r>
    </w:p>
    <w:p w14:paraId="0F8C8255" w14:textId="77777777" w:rsidR="002E0DE9" w:rsidRPr="00F81B4A" w:rsidRDefault="00ED53E2"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 xml:space="preserve">(Prepared by </w:t>
      </w:r>
      <w:r>
        <w:rPr>
          <w:rFonts w:eastAsia="Times New Roman" w:cs="Arial"/>
          <w:i/>
        </w:rPr>
        <w:t>the Secretariat</w:t>
      </w:r>
      <w:r w:rsidR="008B0AC3">
        <w:rPr>
          <w:rFonts w:eastAsia="Times New Roman" w:cs="Arial"/>
          <w:i/>
        </w:rPr>
        <w:t>)</w:t>
      </w:r>
    </w:p>
    <w:p w14:paraId="1C70C1E2"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CCACE20" w14:textId="08B571DE"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p>
    <w:p w14:paraId="7B525EFD" w14:textId="33DE049A" w:rsidR="002E0DE9" w:rsidRPr="002E0DE9" w:rsidRDefault="005534EC" w:rsidP="00EC4F04">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1424DE6B" wp14:editId="5C507027">
                <wp:simplePos x="0" y="0"/>
                <wp:positionH relativeFrom="column">
                  <wp:posOffset>944245</wp:posOffset>
                </wp:positionH>
                <wp:positionV relativeFrom="paragraph">
                  <wp:posOffset>34925</wp:posOffset>
                </wp:positionV>
                <wp:extent cx="4629150" cy="12477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629150" cy="1247775"/>
                        </a:xfrm>
                        <a:prstGeom prst="rect">
                          <a:avLst/>
                        </a:prstGeom>
                        <a:solidFill>
                          <a:srgbClr val="FFFFFF"/>
                        </a:solidFill>
                        <a:ln w="3172">
                          <a:solidFill>
                            <a:srgbClr val="000000"/>
                          </a:solidFill>
                          <a:prstDash val="solid"/>
                        </a:ln>
                      </wps:spPr>
                      <wps:txbx>
                        <w:txbxContent>
                          <w:p w14:paraId="5219D94B" w14:textId="77777777" w:rsidR="002E0DE9" w:rsidRDefault="002E0DE9" w:rsidP="002E0DE9">
                            <w:pPr>
                              <w:spacing w:after="0"/>
                              <w:rPr>
                                <w:rFonts w:cs="Arial"/>
                              </w:rPr>
                            </w:pPr>
                            <w:r>
                              <w:rPr>
                                <w:rFonts w:cs="Arial"/>
                              </w:rPr>
                              <w:t>Summary:</w:t>
                            </w:r>
                          </w:p>
                          <w:p w14:paraId="44B1F706" w14:textId="77777777" w:rsidR="002E0DE9" w:rsidRDefault="002E0DE9" w:rsidP="002E0DE9">
                            <w:pPr>
                              <w:spacing w:after="0"/>
                              <w:rPr>
                                <w:rFonts w:cs="Arial"/>
                              </w:rPr>
                            </w:pPr>
                          </w:p>
                          <w:p w14:paraId="7A5E86C7" w14:textId="2CD9555B" w:rsidR="00661875" w:rsidRPr="00ED53E2" w:rsidRDefault="00661875" w:rsidP="00661875">
                            <w:pPr>
                              <w:spacing w:after="0" w:line="240" w:lineRule="auto"/>
                              <w:jc w:val="both"/>
                              <w:rPr>
                                <w:rFonts w:cs="Arial"/>
                              </w:rPr>
                            </w:pPr>
                            <w:r w:rsidRPr="00ED53E2">
                              <w:rPr>
                                <w:rFonts w:cs="Arial"/>
                              </w:rPr>
                              <w:t>This document</w:t>
                            </w:r>
                            <w:r w:rsidR="003D0287">
                              <w:rPr>
                                <w:rFonts w:cs="Arial"/>
                              </w:rPr>
                              <w:t xml:space="preserve"> </w:t>
                            </w:r>
                            <w:r w:rsidRPr="00ED53E2">
                              <w:rPr>
                                <w:rFonts w:cs="Arial"/>
                              </w:rPr>
                              <w:t xml:space="preserve">reports on progress to implement </w:t>
                            </w:r>
                            <w:r w:rsidR="00ED53E2" w:rsidRPr="00ED53E2">
                              <w:rPr>
                                <w:rFonts w:cs="Arial"/>
                              </w:rPr>
                              <w:t>Resolution 7.2 (Rev.COP12)</w:t>
                            </w:r>
                            <w:r w:rsidR="00ED53E2">
                              <w:rPr>
                                <w:rFonts w:cs="Arial"/>
                              </w:rPr>
                              <w:t xml:space="preserve"> </w:t>
                            </w:r>
                            <w:r w:rsidR="00ED53E2" w:rsidRPr="00ED53E2">
                              <w:rPr>
                                <w:rFonts w:cs="Arial"/>
                                <w:i/>
                              </w:rPr>
                              <w:t>Impact Assessment and Migratory Species</w:t>
                            </w:r>
                            <w:r w:rsidR="004830FA">
                              <w:rPr>
                                <w:rFonts w:cs="Arial"/>
                              </w:rPr>
                              <w:t xml:space="preserve"> and </w:t>
                            </w:r>
                            <w:r w:rsidR="008578D7">
                              <w:rPr>
                                <w:rFonts w:cs="Arial"/>
                              </w:rPr>
                              <w:t>proposes the adoption of Decisions as contained in the Annex</w:t>
                            </w:r>
                            <w:r w:rsidR="00F63DD7">
                              <w:rPr>
                                <w:rFonts w:cs="Arial"/>
                              </w:rPr>
                              <w:t xml:space="preserve">. </w:t>
                            </w:r>
                          </w:p>
                          <w:p w14:paraId="2DBFC5B6" w14:textId="77777777" w:rsidR="009C1079" w:rsidRDefault="009C1079" w:rsidP="00661875">
                            <w:pPr>
                              <w:spacing w:after="0" w:line="240" w:lineRule="auto"/>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424DE6B" id="_x0000_t202" coordsize="21600,21600" o:spt="202" path="m,l,21600r21600,l21600,xe">
                <v:stroke joinstyle="miter"/>
                <v:path gradientshapeok="t" o:connecttype="rect"/>
              </v:shapetype>
              <v:shape id="Text Box 4" o:spid="_x0000_s1026" type="#_x0000_t202" style="position:absolute;margin-left:74.35pt;margin-top:2.75pt;width:364.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" strokeweight=".08811mm">
                <v:textbox>
                  <w:txbxContent>
                    <w:p w14:paraId="5219D94B" w14:textId="77777777" w:rsidR="002E0DE9" w:rsidRDefault="002E0DE9" w:rsidP="002E0DE9">
                      <w:pPr>
                        <w:spacing w:after="0"/>
                        <w:rPr>
                          <w:rFonts w:cs="Arial"/>
                        </w:rPr>
                      </w:pPr>
                      <w:r>
                        <w:rPr>
                          <w:rFonts w:cs="Arial"/>
                        </w:rPr>
                        <w:t>Summary:</w:t>
                      </w:r>
                    </w:p>
                    <w:p w14:paraId="44B1F706" w14:textId="77777777" w:rsidR="002E0DE9" w:rsidRDefault="002E0DE9" w:rsidP="002E0DE9">
                      <w:pPr>
                        <w:spacing w:after="0"/>
                        <w:rPr>
                          <w:rFonts w:cs="Arial"/>
                        </w:rPr>
                      </w:pPr>
                    </w:p>
                    <w:p w14:paraId="7A5E86C7" w14:textId="2CD9555B" w:rsidR="00661875" w:rsidRPr="00ED53E2" w:rsidRDefault="00661875" w:rsidP="00661875">
                      <w:pPr>
                        <w:spacing w:after="0" w:line="240" w:lineRule="auto"/>
                        <w:jc w:val="both"/>
                        <w:rPr>
                          <w:rFonts w:cs="Arial"/>
                        </w:rPr>
                      </w:pPr>
                      <w:r w:rsidRPr="00ED53E2">
                        <w:rPr>
                          <w:rFonts w:cs="Arial"/>
                        </w:rPr>
                        <w:t>This document</w:t>
                      </w:r>
                      <w:r w:rsidR="003D0287">
                        <w:rPr>
                          <w:rFonts w:cs="Arial"/>
                        </w:rPr>
                        <w:t xml:space="preserve"> </w:t>
                      </w:r>
                      <w:r w:rsidRPr="00ED53E2">
                        <w:rPr>
                          <w:rFonts w:cs="Arial"/>
                        </w:rPr>
                        <w:t xml:space="preserve">reports on progress to implement </w:t>
                      </w:r>
                      <w:r w:rsidR="00ED53E2" w:rsidRPr="00ED53E2">
                        <w:rPr>
                          <w:rFonts w:cs="Arial"/>
                        </w:rPr>
                        <w:t>Resolution 7.2 (Rev.COP12)</w:t>
                      </w:r>
                      <w:r w:rsidR="00ED53E2">
                        <w:rPr>
                          <w:rFonts w:cs="Arial"/>
                        </w:rPr>
                        <w:t xml:space="preserve"> </w:t>
                      </w:r>
                      <w:r w:rsidR="00ED53E2" w:rsidRPr="00ED53E2">
                        <w:rPr>
                          <w:rFonts w:cs="Arial"/>
                          <w:i/>
                        </w:rPr>
                        <w:t>Impact Assessment and Migratory Species</w:t>
                      </w:r>
                      <w:r w:rsidR="004830FA">
                        <w:rPr>
                          <w:rFonts w:cs="Arial"/>
                        </w:rPr>
                        <w:t xml:space="preserve"> and </w:t>
                      </w:r>
                      <w:r w:rsidR="008578D7">
                        <w:rPr>
                          <w:rFonts w:cs="Arial"/>
                        </w:rPr>
                        <w:t>proposes the adoption of Decisions as contained in the Annex</w:t>
                      </w:r>
                      <w:r w:rsidR="00F63DD7">
                        <w:rPr>
                          <w:rFonts w:cs="Arial"/>
                        </w:rPr>
                        <w:t xml:space="preserve">. </w:t>
                      </w:r>
                    </w:p>
                    <w:p w14:paraId="2DBFC5B6" w14:textId="77777777" w:rsidR="009C1079" w:rsidRDefault="009C1079" w:rsidP="00661875">
                      <w:pPr>
                        <w:spacing w:after="0" w:line="240" w:lineRule="auto"/>
                        <w:rPr>
                          <w:rFonts w:cs="Arial"/>
                        </w:rPr>
                      </w:pPr>
                    </w:p>
                  </w:txbxContent>
                </v:textbox>
              </v:shape>
            </w:pict>
          </mc:Fallback>
        </mc:AlternateContent>
      </w:r>
    </w:p>
    <w:p w14:paraId="2213070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F022A0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1124F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6851F6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C12F62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E793AE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D5DE3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6BA376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0EC1AF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390E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B6AF4E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143812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5BF0A5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CFC7C8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D42277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DF1446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BD99ED9"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76AFC19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4FA2F17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3915FE7B" w14:textId="77777777" w:rsidR="005330F7" w:rsidRDefault="005330F7" w:rsidP="00EC4F04">
      <w:pPr>
        <w:spacing w:after="0" w:line="240" w:lineRule="auto"/>
      </w:pPr>
    </w:p>
    <w:p w14:paraId="1BD07A85" w14:textId="77777777" w:rsidR="002E0DE9" w:rsidRDefault="002E0DE9" w:rsidP="00EC4F04">
      <w:pPr>
        <w:spacing w:after="0" w:line="240" w:lineRule="auto"/>
      </w:pPr>
    </w:p>
    <w:p w14:paraId="27F8FEE2" w14:textId="77777777" w:rsidR="002E0DE9" w:rsidRDefault="002E0DE9" w:rsidP="00EC4F04">
      <w:pPr>
        <w:spacing w:after="0" w:line="240" w:lineRule="auto"/>
      </w:pPr>
    </w:p>
    <w:p w14:paraId="1656F148" w14:textId="77777777" w:rsidR="002E0DE9" w:rsidRDefault="002E0DE9" w:rsidP="00EC4F04">
      <w:pPr>
        <w:spacing w:after="0" w:line="240" w:lineRule="auto"/>
      </w:pPr>
    </w:p>
    <w:p w14:paraId="20730E15" w14:textId="77777777" w:rsidR="00661875" w:rsidRDefault="00661875" w:rsidP="00EC4F04">
      <w:pPr>
        <w:spacing w:after="0" w:line="240" w:lineRule="auto"/>
        <w:sectPr w:rsidR="00661875" w:rsidSect="005534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93" w:left="1134" w:header="720" w:footer="720" w:gutter="0"/>
          <w:cols w:space="720"/>
          <w:titlePg/>
          <w:docGrid w:linePitch="360"/>
        </w:sectPr>
      </w:pPr>
    </w:p>
    <w:p w14:paraId="2886870B" w14:textId="473AC929" w:rsidR="00ED53E2" w:rsidRDefault="00320E2D" w:rsidP="00320E2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lastRenderedPageBreak/>
        <w:t>INFRASTRUCTURE DEVELOPMENT AND MIGRATORY SPECIES</w:t>
      </w:r>
    </w:p>
    <w:p w14:paraId="728FDE66" w14:textId="77777777" w:rsidR="009E311C" w:rsidRDefault="009E311C" w:rsidP="00EE4097">
      <w:pPr>
        <w:widowControl w:val="0"/>
        <w:autoSpaceDE w:val="0"/>
        <w:autoSpaceDN w:val="0"/>
        <w:adjustRightInd w:val="0"/>
        <w:spacing w:after="0" w:line="240" w:lineRule="auto"/>
        <w:jc w:val="both"/>
        <w:rPr>
          <w:rFonts w:cs="Arial"/>
          <w:u w:val="single"/>
        </w:rPr>
      </w:pPr>
    </w:p>
    <w:p w14:paraId="5370D9A0" w14:textId="1A8517EA" w:rsidR="00EE4097" w:rsidRDefault="006522E1" w:rsidP="00EE4097">
      <w:pPr>
        <w:widowControl w:val="0"/>
        <w:autoSpaceDE w:val="0"/>
        <w:autoSpaceDN w:val="0"/>
        <w:adjustRightInd w:val="0"/>
        <w:spacing w:after="0" w:line="240" w:lineRule="auto"/>
        <w:jc w:val="both"/>
        <w:rPr>
          <w:rFonts w:cs="Arial"/>
          <w:u w:val="single"/>
        </w:rPr>
      </w:pPr>
      <w:r>
        <w:rPr>
          <w:rFonts w:cs="Arial"/>
          <w:u w:val="single"/>
        </w:rPr>
        <w:t>Background</w:t>
      </w:r>
      <w:r w:rsidR="00EE4097" w:rsidRPr="00680B1D">
        <w:rPr>
          <w:rFonts w:cs="Arial"/>
          <w:u w:val="single"/>
        </w:rPr>
        <w:t xml:space="preserve"> </w:t>
      </w:r>
    </w:p>
    <w:p w14:paraId="1ABAD48B" w14:textId="77777777" w:rsidR="005D73FF" w:rsidRPr="004351AE" w:rsidRDefault="005D73FF" w:rsidP="003A6A5F">
      <w:pPr>
        <w:spacing w:after="0" w:line="240" w:lineRule="auto"/>
      </w:pPr>
    </w:p>
    <w:p w14:paraId="0C78A441" w14:textId="77777777" w:rsidR="005D73FF" w:rsidRDefault="005D73FF" w:rsidP="003A6A5F">
      <w:pPr>
        <w:pStyle w:val="Firstnumbering"/>
      </w:pPr>
      <w:r w:rsidRPr="004351AE">
        <w:t>At the 12</w:t>
      </w:r>
      <w:r w:rsidRPr="004351AE">
        <w:rPr>
          <w:vertAlign w:val="superscript"/>
        </w:rPr>
        <w:t>th</w:t>
      </w:r>
      <w:r w:rsidRPr="004351AE">
        <w:t xml:space="preserve"> Meeting of the Conference of the Parties to </w:t>
      </w:r>
      <w:r>
        <w:t xml:space="preserve">the Convention of Migratory Species of Wild Animals (CMS COP12, Manila, 2017), Parties amended Resolution 7.2 (Rev.COP12) </w:t>
      </w:r>
      <w:r w:rsidRPr="004351AE">
        <w:rPr>
          <w:i/>
        </w:rPr>
        <w:t>Impact Assessment and Migratory Species</w:t>
      </w:r>
      <w:r>
        <w:t xml:space="preserve">. The operative paragraphs of the Resolution state that: </w:t>
      </w:r>
    </w:p>
    <w:p w14:paraId="0B41F73B" w14:textId="77777777" w:rsidR="005D73FF" w:rsidRPr="004351AE" w:rsidRDefault="005D73FF" w:rsidP="003A6A5F">
      <w:pPr>
        <w:widowControl w:val="0"/>
        <w:autoSpaceDE w:val="0"/>
        <w:autoSpaceDN w:val="0"/>
        <w:adjustRightInd w:val="0"/>
        <w:spacing w:after="0" w:line="240" w:lineRule="auto"/>
        <w:contextualSpacing/>
        <w:jc w:val="both"/>
        <w:rPr>
          <w:rFonts w:cs="Arial"/>
        </w:rPr>
      </w:pPr>
    </w:p>
    <w:p w14:paraId="7CB64CF3" w14:textId="77777777" w:rsidR="005D73FF" w:rsidRPr="00495DDA" w:rsidRDefault="005D73FF" w:rsidP="003A6A5F">
      <w:pPr>
        <w:pStyle w:val="ListParagraph"/>
        <w:widowControl w:val="0"/>
        <w:numPr>
          <w:ilvl w:val="0"/>
          <w:numId w:val="17"/>
        </w:numPr>
        <w:autoSpaceDE w:val="0"/>
        <w:autoSpaceDN w:val="0"/>
        <w:adjustRightInd w:val="0"/>
        <w:spacing w:after="0" w:line="240" w:lineRule="auto"/>
        <w:jc w:val="both"/>
        <w:rPr>
          <w:rFonts w:cs="Arial"/>
          <w:i/>
          <w:sz w:val="20"/>
        </w:rPr>
      </w:pPr>
      <w:r w:rsidRPr="00495DDA">
        <w:rPr>
          <w:rFonts w:cs="Arial"/>
          <w:i/>
          <w:sz w:val="20"/>
        </w:rPr>
        <w:t>Emphasizes the importance of good quality environmental impact assessment (EIA) and strategic environmental assessment (SEA) as tools for implementing Article II (2) of the Convention on avoiding endangerment of migratory species and Article III (4) of the Convention on protection of Appendix I species, and as important elements to include in AGREEMENTS concluded under Article IV (3) of the Convention in respect of Appendix II species, and in agreements concluded under Article IV (4) of the Convention in respect of Appendix II and other species;</w:t>
      </w:r>
    </w:p>
    <w:p w14:paraId="78B30128" w14:textId="77777777" w:rsidR="005D73FF" w:rsidRPr="00495DDA" w:rsidRDefault="005D73FF" w:rsidP="003A6A5F">
      <w:pPr>
        <w:pStyle w:val="ListParagraph"/>
        <w:widowControl w:val="0"/>
        <w:autoSpaceDE w:val="0"/>
        <w:autoSpaceDN w:val="0"/>
        <w:adjustRightInd w:val="0"/>
        <w:spacing w:after="0" w:line="240" w:lineRule="auto"/>
        <w:ind w:left="927"/>
        <w:jc w:val="both"/>
        <w:rPr>
          <w:rFonts w:cs="Arial"/>
          <w:i/>
          <w:sz w:val="20"/>
        </w:rPr>
      </w:pPr>
    </w:p>
    <w:p w14:paraId="0640578B" w14:textId="77777777" w:rsidR="005D73FF" w:rsidRPr="00495DDA" w:rsidRDefault="005D73FF" w:rsidP="003A6A5F">
      <w:pPr>
        <w:pStyle w:val="ListParagraph"/>
        <w:widowControl w:val="0"/>
        <w:numPr>
          <w:ilvl w:val="0"/>
          <w:numId w:val="17"/>
        </w:numPr>
        <w:autoSpaceDE w:val="0"/>
        <w:autoSpaceDN w:val="0"/>
        <w:adjustRightInd w:val="0"/>
        <w:spacing w:after="0" w:line="240" w:lineRule="auto"/>
        <w:jc w:val="both"/>
        <w:rPr>
          <w:rFonts w:cs="Arial"/>
          <w:i/>
          <w:sz w:val="20"/>
        </w:rPr>
      </w:pPr>
      <w:r w:rsidRPr="00495DDA">
        <w:rPr>
          <w:rFonts w:cs="Arial"/>
          <w:i/>
          <w:sz w:val="20"/>
        </w:rPr>
        <w:t>Urges Parties to include in EIA and SEA, wherever relevant, as complete a consideration as possible of effects involving impediments to migration, in furtherance of Article III (4) (b) of the Convention, of transboundary effects on migratory species, and of impacts on migratory patterns or on migratory ranges;</w:t>
      </w:r>
    </w:p>
    <w:p w14:paraId="6D6B1449" w14:textId="77777777" w:rsidR="005D73FF" w:rsidRPr="00495DDA" w:rsidRDefault="005D73FF" w:rsidP="003A6A5F">
      <w:pPr>
        <w:pStyle w:val="ListParagraph"/>
        <w:widowControl w:val="0"/>
        <w:autoSpaceDE w:val="0"/>
        <w:autoSpaceDN w:val="0"/>
        <w:adjustRightInd w:val="0"/>
        <w:spacing w:after="0" w:line="240" w:lineRule="auto"/>
        <w:ind w:left="927"/>
        <w:jc w:val="both"/>
        <w:rPr>
          <w:rFonts w:cs="Arial"/>
          <w:i/>
          <w:sz w:val="20"/>
        </w:rPr>
      </w:pPr>
    </w:p>
    <w:p w14:paraId="3FF6157A" w14:textId="465886EA" w:rsidR="005D73FF" w:rsidRPr="00495DDA" w:rsidRDefault="005D73FF" w:rsidP="003A6A5F">
      <w:pPr>
        <w:pStyle w:val="ListParagraph"/>
        <w:widowControl w:val="0"/>
        <w:numPr>
          <w:ilvl w:val="0"/>
          <w:numId w:val="17"/>
        </w:numPr>
        <w:autoSpaceDE w:val="0"/>
        <w:autoSpaceDN w:val="0"/>
        <w:adjustRightInd w:val="0"/>
        <w:spacing w:after="0" w:line="240" w:lineRule="auto"/>
        <w:jc w:val="both"/>
        <w:rPr>
          <w:rFonts w:cs="Arial"/>
          <w:i/>
          <w:sz w:val="20"/>
        </w:rPr>
      </w:pPr>
      <w:r w:rsidRPr="00495DDA">
        <w:rPr>
          <w:rFonts w:cs="Arial"/>
          <w:i/>
          <w:sz w:val="20"/>
        </w:rPr>
        <w:t>Further urges Parties to make use, as appropriate, of the “Impact Assessment: Voluntary Guidelines on Biodiversity-inclusive Impact Assessment” endorsed by Decision VIII/8 of CBD COP 8.;</w:t>
      </w:r>
    </w:p>
    <w:p w14:paraId="5EA2C4F5" w14:textId="77777777" w:rsidR="005D73FF" w:rsidRPr="00495DDA" w:rsidRDefault="005D73FF" w:rsidP="003A6A5F">
      <w:pPr>
        <w:pStyle w:val="ListParagraph"/>
        <w:widowControl w:val="0"/>
        <w:autoSpaceDE w:val="0"/>
        <w:autoSpaceDN w:val="0"/>
        <w:adjustRightInd w:val="0"/>
        <w:spacing w:after="0" w:line="240" w:lineRule="auto"/>
        <w:ind w:left="927"/>
        <w:jc w:val="both"/>
        <w:rPr>
          <w:rFonts w:cs="Arial"/>
          <w:i/>
          <w:sz w:val="20"/>
        </w:rPr>
      </w:pPr>
    </w:p>
    <w:p w14:paraId="256ACA77" w14:textId="77777777" w:rsidR="005D73FF" w:rsidRPr="00495DDA" w:rsidRDefault="005D73FF" w:rsidP="003A6A5F">
      <w:pPr>
        <w:pStyle w:val="ListParagraph"/>
        <w:widowControl w:val="0"/>
        <w:numPr>
          <w:ilvl w:val="0"/>
          <w:numId w:val="17"/>
        </w:numPr>
        <w:autoSpaceDE w:val="0"/>
        <w:autoSpaceDN w:val="0"/>
        <w:adjustRightInd w:val="0"/>
        <w:spacing w:after="0" w:line="240" w:lineRule="auto"/>
        <w:jc w:val="both"/>
        <w:rPr>
          <w:rFonts w:cs="Arial"/>
          <w:i/>
          <w:sz w:val="20"/>
        </w:rPr>
      </w:pPr>
      <w:r w:rsidRPr="00495DDA">
        <w:rPr>
          <w:rFonts w:cs="Arial"/>
          <w:i/>
          <w:sz w:val="20"/>
        </w:rPr>
        <w:t>Further requests the Secretariat to pursue its contacts with secretariats of other multilateral environmental agreements in evaluating with them the potential implications of the decisions of their Conferences of the Parties on the conservation of migratory species; and</w:t>
      </w:r>
    </w:p>
    <w:p w14:paraId="0CE5FA72" w14:textId="77777777" w:rsidR="005D73FF" w:rsidRPr="00495DDA" w:rsidRDefault="005D73FF" w:rsidP="003A6A5F">
      <w:pPr>
        <w:pStyle w:val="ListParagraph"/>
        <w:widowControl w:val="0"/>
        <w:autoSpaceDE w:val="0"/>
        <w:autoSpaceDN w:val="0"/>
        <w:adjustRightInd w:val="0"/>
        <w:spacing w:after="0" w:line="240" w:lineRule="auto"/>
        <w:ind w:left="927"/>
        <w:jc w:val="both"/>
        <w:rPr>
          <w:rFonts w:cs="Arial"/>
          <w:i/>
          <w:sz w:val="20"/>
        </w:rPr>
      </w:pPr>
    </w:p>
    <w:p w14:paraId="6DC59844" w14:textId="77777777" w:rsidR="005D73FF" w:rsidRPr="00495DDA" w:rsidRDefault="005D73FF" w:rsidP="003A6A5F">
      <w:pPr>
        <w:pStyle w:val="ListParagraph"/>
        <w:widowControl w:val="0"/>
        <w:numPr>
          <w:ilvl w:val="0"/>
          <w:numId w:val="17"/>
        </w:numPr>
        <w:autoSpaceDE w:val="0"/>
        <w:autoSpaceDN w:val="0"/>
        <w:adjustRightInd w:val="0"/>
        <w:spacing w:after="0" w:line="240" w:lineRule="auto"/>
        <w:jc w:val="both"/>
        <w:rPr>
          <w:rFonts w:cs="Arial"/>
          <w:i/>
          <w:sz w:val="20"/>
        </w:rPr>
      </w:pPr>
      <w:r w:rsidRPr="00495DDA">
        <w:rPr>
          <w:rFonts w:cs="Arial"/>
          <w:i/>
          <w:sz w:val="20"/>
        </w:rPr>
        <w:t xml:space="preserve">Encourages Parties to establish contact with relevant national contact points from within the networks of the International Association for Impact Assessment with a view to identifying sources of expertise and advice for assisting with migratory species-related impact assessment as part of impact assessment procedures in general.  </w:t>
      </w:r>
    </w:p>
    <w:p w14:paraId="2FC93273" w14:textId="77777777" w:rsidR="00F762AE" w:rsidRDefault="00F762AE" w:rsidP="003A6A5F">
      <w:pPr>
        <w:widowControl w:val="0"/>
        <w:autoSpaceDE w:val="0"/>
        <w:autoSpaceDN w:val="0"/>
        <w:adjustRightInd w:val="0"/>
        <w:spacing w:after="0" w:line="240" w:lineRule="auto"/>
        <w:jc w:val="both"/>
        <w:rPr>
          <w:rFonts w:cs="Arial"/>
          <w:u w:val="single"/>
        </w:rPr>
      </w:pPr>
    </w:p>
    <w:p w14:paraId="40DA80FF" w14:textId="6FB5E2C2" w:rsidR="00680B1D" w:rsidRPr="00680B1D" w:rsidRDefault="00680B1D" w:rsidP="003A6A5F">
      <w:pPr>
        <w:widowControl w:val="0"/>
        <w:autoSpaceDE w:val="0"/>
        <w:autoSpaceDN w:val="0"/>
        <w:adjustRightInd w:val="0"/>
        <w:spacing w:after="0" w:line="240" w:lineRule="auto"/>
        <w:jc w:val="both"/>
        <w:rPr>
          <w:rFonts w:cs="Arial"/>
          <w:u w:val="single"/>
        </w:rPr>
      </w:pPr>
      <w:r w:rsidRPr="00680B1D">
        <w:rPr>
          <w:rFonts w:cs="Arial"/>
          <w:u w:val="single"/>
        </w:rPr>
        <w:t>Activities to implement Resolution 7.2 (Rev.COP12)</w:t>
      </w:r>
    </w:p>
    <w:p w14:paraId="272A18C1" w14:textId="3744BE79" w:rsidR="00EE4097" w:rsidRDefault="00EE4097" w:rsidP="003A6A5F">
      <w:pPr>
        <w:widowControl w:val="0"/>
        <w:autoSpaceDE w:val="0"/>
        <w:autoSpaceDN w:val="0"/>
        <w:adjustRightInd w:val="0"/>
        <w:spacing w:after="0" w:line="240" w:lineRule="auto"/>
        <w:jc w:val="both"/>
        <w:rPr>
          <w:rFonts w:cs="Arial"/>
        </w:rPr>
      </w:pPr>
    </w:p>
    <w:p w14:paraId="634BF32F" w14:textId="484EC052" w:rsidR="00B2704F" w:rsidRPr="00524E4A" w:rsidRDefault="00B2704F" w:rsidP="003A6A5F">
      <w:pPr>
        <w:widowControl w:val="0"/>
        <w:autoSpaceDE w:val="0"/>
        <w:autoSpaceDN w:val="0"/>
        <w:adjustRightInd w:val="0"/>
        <w:spacing w:after="0" w:line="240" w:lineRule="auto"/>
        <w:jc w:val="both"/>
        <w:rPr>
          <w:rFonts w:cs="Arial"/>
          <w:i/>
        </w:rPr>
      </w:pPr>
      <w:r w:rsidRPr="00524E4A">
        <w:rPr>
          <w:rFonts w:cs="Arial"/>
          <w:i/>
        </w:rPr>
        <w:t>Guidelines</w:t>
      </w:r>
      <w:r w:rsidR="004D14AC" w:rsidRPr="00524E4A">
        <w:rPr>
          <w:rFonts w:cs="Arial"/>
          <w:i/>
        </w:rPr>
        <w:t xml:space="preserve"> developed under CMS </w:t>
      </w:r>
    </w:p>
    <w:p w14:paraId="1034D459" w14:textId="77777777" w:rsidR="004D14AC" w:rsidRPr="00BD1AF7" w:rsidRDefault="004D14AC" w:rsidP="003A6A5F">
      <w:pPr>
        <w:widowControl w:val="0"/>
        <w:autoSpaceDE w:val="0"/>
        <w:autoSpaceDN w:val="0"/>
        <w:adjustRightInd w:val="0"/>
        <w:spacing w:after="0" w:line="240" w:lineRule="auto"/>
        <w:jc w:val="both"/>
        <w:rPr>
          <w:rFonts w:cs="Arial"/>
          <w:b/>
        </w:rPr>
      </w:pPr>
    </w:p>
    <w:p w14:paraId="107BCDF9" w14:textId="2683E150" w:rsidR="00A907DE" w:rsidRPr="00A907DE" w:rsidRDefault="00EE4097" w:rsidP="003A6A5F">
      <w:pPr>
        <w:pStyle w:val="Firstnumbering"/>
      </w:pPr>
      <w:r w:rsidRPr="008968FF">
        <w:t>Since the adoption of Resolution 7.2</w:t>
      </w:r>
      <w:r w:rsidR="00A907DE">
        <w:t xml:space="preserve"> in 2002</w:t>
      </w:r>
      <w:r w:rsidRPr="008968FF">
        <w:t xml:space="preserve">, the CMS Secretariat has </w:t>
      </w:r>
      <w:r w:rsidR="001C300F">
        <w:t>assisted</w:t>
      </w:r>
      <w:r w:rsidRPr="008968FF">
        <w:t xml:space="preserve"> Parties in implementing the Resolution</w:t>
      </w:r>
      <w:r w:rsidR="00ED77F8">
        <w:t xml:space="preserve"> in various ways</w:t>
      </w:r>
      <w:r w:rsidRPr="008968FF">
        <w:t xml:space="preserve">. </w:t>
      </w:r>
      <w:r w:rsidR="00A907DE" w:rsidRPr="00A907DE">
        <w:t xml:space="preserve">Under the </w:t>
      </w:r>
      <w:proofErr w:type="spellStart"/>
      <w:r w:rsidR="00A907DE" w:rsidRPr="00A907DE">
        <w:rPr>
          <w:i/>
        </w:rPr>
        <w:t>Multistakeholder</w:t>
      </w:r>
      <w:proofErr w:type="spellEnd"/>
      <w:r w:rsidR="00A907DE" w:rsidRPr="00A907DE">
        <w:rPr>
          <w:i/>
        </w:rPr>
        <w:t xml:space="preserve"> Task Force on Reconciling Selected Energy Sector Developments with Migratory Species Conservation</w:t>
      </w:r>
      <w:r w:rsidR="00A907DE">
        <w:t xml:space="preserve"> (</w:t>
      </w:r>
      <w:r w:rsidR="00A907DE" w:rsidRPr="00A907DE">
        <w:t xml:space="preserve">Energy Task Force), established by Resolution 11.27 (Rev.COP12), the implementation of guidelines such as the </w:t>
      </w:r>
      <w:r w:rsidR="00A907DE" w:rsidRPr="00A907DE">
        <w:rPr>
          <w:i/>
        </w:rPr>
        <w:t>Guidelines on How to Avoid or Mitigate Impact of Electricity Power Grids on Migratory Birds in the African-Eurasian Region</w:t>
      </w:r>
      <w:r w:rsidR="00A907DE" w:rsidRPr="00A907DE">
        <w:t xml:space="preserve"> have been promoted. The Task Force has an open-ended membership and is composed of </w:t>
      </w:r>
      <w:r w:rsidR="00BF3298">
        <w:t>g</w:t>
      </w:r>
      <w:r w:rsidR="00A907DE" w:rsidRPr="00A907DE">
        <w:t xml:space="preserve">overnments, the </w:t>
      </w:r>
      <w:r w:rsidR="00BF3298">
        <w:t>s</w:t>
      </w:r>
      <w:r w:rsidR="00A907DE" w:rsidRPr="00A907DE">
        <w:t xml:space="preserve">ecretariats of multilateral environmental agreements, the energy industry, academic institutions, </w:t>
      </w:r>
      <w:r w:rsidR="00BF3298">
        <w:t>non-governmental organization</w:t>
      </w:r>
      <w:r w:rsidR="00BF3298" w:rsidRPr="00A907DE">
        <w:t xml:space="preserve">s </w:t>
      </w:r>
      <w:r w:rsidR="00F1185A">
        <w:t xml:space="preserve">(NGOs) </w:t>
      </w:r>
      <w:r w:rsidR="00A907DE" w:rsidRPr="00A907DE">
        <w:t>and other interested stakeholders</w:t>
      </w:r>
      <w:r w:rsidR="00A907DE">
        <w:rPr>
          <w:rStyle w:val="FootnoteReference"/>
          <w:rFonts w:cs="Arial"/>
        </w:rPr>
        <w:footnoteReference w:id="1"/>
      </w:r>
      <w:r w:rsidR="00A907DE" w:rsidRPr="00A907DE">
        <w:t xml:space="preserve">. </w:t>
      </w:r>
    </w:p>
    <w:p w14:paraId="78997D74" w14:textId="77777777" w:rsidR="00A907DE" w:rsidRPr="003A7A49" w:rsidRDefault="00A907DE" w:rsidP="003A6A5F">
      <w:pPr>
        <w:widowControl w:val="0"/>
        <w:autoSpaceDE w:val="0"/>
        <w:autoSpaceDN w:val="0"/>
        <w:adjustRightInd w:val="0"/>
        <w:spacing w:after="0" w:line="240" w:lineRule="auto"/>
        <w:ind w:left="567"/>
        <w:jc w:val="both"/>
        <w:rPr>
          <w:rFonts w:cs="Arial"/>
        </w:rPr>
      </w:pPr>
    </w:p>
    <w:p w14:paraId="336ECD98" w14:textId="36FAA9E1" w:rsidR="00A907DE" w:rsidRPr="00B82D6E" w:rsidRDefault="00A907DE" w:rsidP="003A6A5F">
      <w:pPr>
        <w:pStyle w:val="Firstnumbering"/>
      </w:pPr>
      <w:r>
        <w:t xml:space="preserve">Parties adopted Resolution 12.14 </w:t>
      </w:r>
      <w:r w:rsidRPr="0071044F">
        <w:t>Adverse Impacts of Anthropogenic Noise on Cetaceans and Other Migratory Species</w:t>
      </w:r>
      <w:r>
        <w:t xml:space="preserve"> and endorsed the </w:t>
      </w:r>
      <w:r w:rsidRPr="0060682F">
        <w:t>CMS Family Guidelines on Environmental Impact Assessments for Marine Noise-generating Activities</w:t>
      </w:r>
      <w:r>
        <w:t xml:space="preserve">. The Guidelines address EIAs for military and civil high-powered sonar, vessel traffic, seismic surveys, construction works, offshore platforms, playback and sound exposure experiments, </w:t>
      </w:r>
      <w:r w:rsidR="0089786D">
        <w:t>acoustic deterrent devices (</w:t>
      </w:r>
      <w:proofErr w:type="spellStart"/>
      <w:r>
        <w:t>pingers</w:t>
      </w:r>
      <w:proofErr w:type="spellEnd"/>
      <w:r w:rsidR="0089786D">
        <w:t>)</w:t>
      </w:r>
      <w:r>
        <w:t xml:space="preserve"> and other noise-generating activities. Additional technical support information has also been prepared</w:t>
      </w:r>
      <w:r w:rsidRPr="008806C6">
        <w:rPr>
          <w:rStyle w:val="FootnoteReference"/>
        </w:rPr>
        <w:footnoteReference w:id="2"/>
      </w:r>
      <w:r w:rsidRPr="008806C6">
        <w:rPr>
          <w:vertAlign w:val="superscript"/>
        </w:rPr>
        <w:t>,</w:t>
      </w:r>
      <w:r>
        <w:rPr>
          <w:rStyle w:val="FootnoteReference"/>
        </w:rPr>
        <w:footnoteReference w:id="3"/>
      </w:r>
      <w:r>
        <w:t xml:space="preserve">.  </w:t>
      </w:r>
    </w:p>
    <w:p w14:paraId="3CD1FCD6" w14:textId="77777777" w:rsidR="00A907DE" w:rsidRDefault="00A907DE" w:rsidP="003A6A5F">
      <w:pPr>
        <w:widowControl w:val="0"/>
        <w:autoSpaceDE w:val="0"/>
        <w:autoSpaceDN w:val="0"/>
        <w:adjustRightInd w:val="0"/>
        <w:spacing w:after="0" w:line="240" w:lineRule="auto"/>
        <w:jc w:val="both"/>
        <w:rPr>
          <w:rFonts w:cs="Arial"/>
        </w:rPr>
      </w:pPr>
    </w:p>
    <w:p w14:paraId="5EDD758E" w14:textId="13AC54CD" w:rsidR="00A907DE" w:rsidRDefault="00A907DE" w:rsidP="003A6A5F">
      <w:pPr>
        <w:pStyle w:val="Firstnumbering"/>
      </w:pPr>
      <w:r>
        <w:t>For linear infrastructure development, including roads, fences</w:t>
      </w:r>
      <w:r w:rsidR="00BF3298">
        <w:t>,</w:t>
      </w:r>
      <w:r>
        <w:t xml:space="preserve"> canals, railways and pipelines</w:t>
      </w:r>
      <w:r w:rsidR="00F1185A">
        <w:t>,</w:t>
      </w:r>
      <w:r>
        <w:t xml:space="preserve"> the</w:t>
      </w:r>
      <w:r w:rsidRPr="00175794">
        <w:t xml:space="preserve"> </w:t>
      </w:r>
      <w:r w:rsidRPr="00DF3CDF">
        <w:t>Guidelines for Addressing the Impact of Linear Infrastructure on Large Migratory Mammals in Central Asia</w:t>
      </w:r>
      <w:r w:rsidRPr="00771B87">
        <w:t xml:space="preserve"> </w:t>
      </w:r>
      <w:r>
        <w:t xml:space="preserve">and </w:t>
      </w:r>
      <w:r w:rsidRPr="00771B87">
        <w:t>the</w:t>
      </w:r>
      <w:r>
        <w:t xml:space="preserve"> </w:t>
      </w:r>
      <w:r w:rsidRPr="00771B87">
        <w:t>Central Asian Mammals Migration and Linear Infrastructure Atlas</w:t>
      </w:r>
      <w:r w:rsidRPr="00175794">
        <w:t xml:space="preserve"> ha</w:t>
      </w:r>
      <w:r>
        <w:t>ve</w:t>
      </w:r>
      <w:r w:rsidRPr="00175794">
        <w:t xml:space="preserve"> been developed under </w:t>
      </w:r>
      <w:r>
        <w:t xml:space="preserve">the Central Asian Mammals Initiative (CAMI). </w:t>
      </w:r>
      <w:r w:rsidRPr="006F0591">
        <w:t xml:space="preserve">While the </w:t>
      </w:r>
      <w:r w:rsidR="00DC1C12">
        <w:t>g</w:t>
      </w:r>
      <w:r w:rsidRPr="006F0591">
        <w:t xml:space="preserve">uidelines set out general principles to address the impact of linear infrastructure, the intended geographical scope is </w:t>
      </w:r>
      <w:r w:rsidR="00DC1C12">
        <w:t xml:space="preserve">confined to </w:t>
      </w:r>
      <w:r w:rsidRPr="006F0591">
        <w:t>the Central Asian region. For Saiga Antelopes, the report Saiga Crossing Options was developed to provide guidance on mitigation options for a border fence within the range of the species</w:t>
      </w:r>
      <w:r w:rsidR="0025617D">
        <w:t xml:space="preserve"> </w:t>
      </w:r>
      <w:r w:rsidR="00652D6F">
        <w:t>between</w:t>
      </w:r>
      <w:r w:rsidR="0025617D">
        <w:t xml:space="preserve"> </w:t>
      </w:r>
      <w:r w:rsidR="0025617D">
        <w:rPr>
          <w:color w:val="333333"/>
          <w:sz w:val="23"/>
          <w:szCs w:val="23"/>
          <w:shd w:val="clear" w:color="auto" w:fill="FFFFFF"/>
        </w:rPr>
        <w:t>Kazakhstan</w:t>
      </w:r>
      <w:r w:rsidR="00652D6F">
        <w:rPr>
          <w:color w:val="333333"/>
          <w:sz w:val="23"/>
          <w:szCs w:val="23"/>
          <w:shd w:val="clear" w:color="auto" w:fill="FFFFFF"/>
        </w:rPr>
        <w:t xml:space="preserve"> and Uzbekistan</w:t>
      </w:r>
      <w:r w:rsidRPr="006F0591">
        <w:t xml:space="preserve">. </w:t>
      </w:r>
    </w:p>
    <w:p w14:paraId="3A6F46C2" w14:textId="77777777" w:rsidR="004D14AC" w:rsidRDefault="004D14AC" w:rsidP="003A6A5F">
      <w:pPr>
        <w:widowControl w:val="0"/>
        <w:autoSpaceDE w:val="0"/>
        <w:autoSpaceDN w:val="0"/>
        <w:adjustRightInd w:val="0"/>
        <w:spacing w:after="0" w:line="240" w:lineRule="auto"/>
        <w:ind w:left="567"/>
        <w:jc w:val="both"/>
        <w:rPr>
          <w:rFonts w:cs="Arial"/>
        </w:rPr>
      </w:pPr>
    </w:p>
    <w:p w14:paraId="70394EBE" w14:textId="1069CA33" w:rsidR="004D14AC" w:rsidRDefault="00F762AE" w:rsidP="003A6A5F">
      <w:pPr>
        <w:pStyle w:val="Firstnumbering"/>
      </w:pPr>
      <w:r>
        <w:t>So far</w:t>
      </w:r>
      <w:r w:rsidR="004D14AC" w:rsidRPr="008968FF">
        <w:t xml:space="preserve">, much of the work </w:t>
      </w:r>
      <w:r w:rsidR="004D14AC">
        <w:t xml:space="preserve">under CMS </w:t>
      </w:r>
      <w:r w:rsidR="004D14AC" w:rsidRPr="008968FF">
        <w:t xml:space="preserve">has </w:t>
      </w:r>
      <w:r w:rsidR="00DC1C12">
        <w:t>concentrated</w:t>
      </w:r>
      <w:r w:rsidR="00DC1C12" w:rsidRPr="008968FF">
        <w:t xml:space="preserve"> </w:t>
      </w:r>
      <w:r w:rsidR="004D14AC" w:rsidRPr="008968FF">
        <w:t xml:space="preserve">on providing technical guidance on projects that mainly affect avian or aquatic species. </w:t>
      </w:r>
      <w:r w:rsidR="00402DAB">
        <w:t>T</w:t>
      </w:r>
      <w:r w:rsidR="004D14AC" w:rsidRPr="008968FF">
        <w:t>he guidelines, atlas and reports prepared under CAMI on linear infrastructure development have been the only guidance material produced under CMS</w:t>
      </w:r>
      <w:r w:rsidR="000D3C92">
        <w:t xml:space="preserve"> r</w:t>
      </w:r>
      <w:r w:rsidR="000D3C92" w:rsidRPr="008968FF">
        <w:t>egarding development projects that affect terrestrial migratory species</w:t>
      </w:r>
      <w:r w:rsidR="004D14AC" w:rsidRPr="008968FF">
        <w:t xml:space="preserve">. For other regions and CMS-listed </w:t>
      </w:r>
      <w:r w:rsidR="000D3C92">
        <w:t xml:space="preserve">terrestrial </w:t>
      </w:r>
      <w:r w:rsidR="004D14AC" w:rsidRPr="008968FF">
        <w:t xml:space="preserve">species that are not included in CAMI, no guidance materials on this issue </w:t>
      </w:r>
      <w:r w:rsidR="00EC2100">
        <w:t>have</w:t>
      </w:r>
      <w:r w:rsidR="004D14AC" w:rsidRPr="008968FF">
        <w:t xml:space="preserve"> been produced under CMS. </w:t>
      </w:r>
    </w:p>
    <w:p w14:paraId="5CEF4F83" w14:textId="77777777" w:rsidR="0029429E" w:rsidRDefault="0029429E" w:rsidP="003A6A5F">
      <w:pPr>
        <w:widowControl w:val="0"/>
        <w:autoSpaceDE w:val="0"/>
        <w:autoSpaceDN w:val="0"/>
        <w:adjustRightInd w:val="0"/>
        <w:spacing w:after="0" w:line="240" w:lineRule="auto"/>
        <w:jc w:val="both"/>
        <w:rPr>
          <w:rFonts w:cs="Arial"/>
        </w:rPr>
      </w:pPr>
    </w:p>
    <w:p w14:paraId="717B9DE9" w14:textId="7BB183F3" w:rsidR="004D14AC" w:rsidRPr="00524E4A" w:rsidRDefault="004D14AC" w:rsidP="003A6A5F">
      <w:pPr>
        <w:widowControl w:val="0"/>
        <w:autoSpaceDE w:val="0"/>
        <w:autoSpaceDN w:val="0"/>
        <w:adjustRightInd w:val="0"/>
        <w:spacing w:after="0" w:line="240" w:lineRule="auto"/>
        <w:jc w:val="both"/>
        <w:rPr>
          <w:rFonts w:cs="Arial"/>
          <w:i/>
        </w:rPr>
      </w:pPr>
      <w:r w:rsidRPr="00524E4A">
        <w:rPr>
          <w:rFonts w:cs="Arial"/>
          <w:i/>
        </w:rPr>
        <w:t xml:space="preserve">National </w:t>
      </w:r>
      <w:r w:rsidR="007C5AB9" w:rsidRPr="00524E4A">
        <w:rPr>
          <w:rFonts w:cs="Arial"/>
          <w:i/>
        </w:rPr>
        <w:t>measures</w:t>
      </w:r>
    </w:p>
    <w:p w14:paraId="0D3FBF9E" w14:textId="77777777" w:rsidR="005D1E3A" w:rsidRDefault="005D1E3A" w:rsidP="003A6A5F">
      <w:pPr>
        <w:widowControl w:val="0"/>
        <w:autoSpaceDE w:val="0"/>
        <w:autoSpaceDN w:val="0"/>
        <w:adjustRightInd w:val="0"/>
        <w:spacing w:after="0" w:line="240" w:lineRule="auto"/>
        <w:jc w:val="both"/>
        <w:rPr>
          <w:rFonts w:cs="Arial"/>
        </w:rPr>
      </w:pPr>
    </w:p>
    <w:p w14:paraId="3AD3C899" w14:textId="754FBF48" w:rsidR="00AC4017" w:rsidRPr="0029429E" w:rsidRDefault="003C7BE4" w:rsidP="003A6A5F">
      <w:pPr>
        <w:pStyle w:val="Firstnumbering"/>
      </w:pPr>
      <w:r w:rsidRPr="006F0591">
        <w:t>A recent global assessment</w:t>
      </w:r>
      <w:r w:rsidR="0029429E">
        <w:t xml:space="preserve"> on EIA legislation</w:t>
      </w:r>
      <w:r>
        <w:rPr>
          <w:rStyle w:val="FootnoteReference"/>
          <w:rFonts w:cs="Arial"/>
        </w:rPr>
        <w:footnoteReference w:id="4"/>
      </w:r>
      <w:r w:rsidRPr="009B508D">
        <w:t xml:space="preserve"> showed that most countries ha</w:t>
      </w:r>
      <w:r>
        <w:t xml:space="preserve">ve </w:t>
      </w:r>
      <w:r w:rsidRPr="009B508D">
        <w:t xml:space="preserve">made </w:t>
      </w:r>
      <w:r w:rsidR="00DC1C12">
        <w:t xml:space="preserve">conducting </w:t>
      </w:r>
      <w:r w:rsidR="00DC1C12" w:rsidRPr="009B508D">
        <w:t>EIA</w:t>
      </w:r>
      <w:r w:rsidR="00DC1C12">
        <w:t xml:space="preserve">s a </w:t>
      </w:r>
      <w:r w:rsidRPr="009B508D">
        <w:t>legal requirement</w:t>
      </w:r>
      <w:r w:rsidR="00DC1C12">
        <w:t xml:space="preserve"> </w:t>
      </w:r>
      <w:r>
        <w:t xml:space="preserve">and an increasing number of countries have </w:t>
      </w:r>
      <w:r w:rsidR="00DC1C12">
        <w:t xml:space="preserve">also </w:t>
      </w:r>
      <w:r w:rsidR="0029429E">
        <w:t xml:space="preserve">made </w:t>
      </w:r>
      <w:r w:rsidRPr="009B508D">
        <w:t>SEA</w:t>
      </w:r>
      <w:r w:rsidR="00DC1C12">
        <w:t>s a</w:t>
      </w:r>
      <w:r w:rsidRPr="009B508D">
        <w:t xml:space="preserve"> legal requirement.</w:t>
      </w:r>
      <w:r>
        <w:t xml:space="preserve"> </w:t>
      </w:r>
      <w:r w:rsidR="00AC4017">
        <w:t xml:space="preserve">However, the level of consideration of migratory species in national EIA and SEA processes </w:t>
      </w:r>
      <w:r w:rsidR="000D3C92">
        <w:t>has not been well</w:t>
      </w:r>
      <w:r w:rsidR="00AC4017">
        <w:t xml:space="preserve"> examined. Under CAMI, an</w:t>
      </w:r>
      <w:r w:rsidRPr="00AC4017">
        <w:t xml:space="preserve"> analysis of the national legislation of the eight Central Asian countries</w:t>
      </w:r>
      <w:r>
        <w:rPr>
          <w:rStyle w:val="FootnoteReference"/>
          <w:rFonts w:cs="Arial"/>
        </w:rPr>
        <w:footnoteReference w:id="5"/>
      </w:r>
      <w:r w:rsidRPr="00AC4017">
        <w:t xml:space="preserve"> </w:t>
      </w:r>
      <w:r w:rsidR="00683FCB">
        <w:t>was</w:t>
      </w:r>
      <w:r w:rsidR="00AC4017">
        <w:t xml:space="preserve"> conducted. It </w:t>
      </w:r>
      <w:r w:rsidRPr="00AC4017">
        <w:t xml:space="preserve">showed that there are few direct references to linear infrastructure, migratory species or </w:t>
      </w:r>
      <w:bookmarkStart w:id="0" w:name="_Hlk27498996"/>
      <w:r w:rsidR="00C54E43" w:rsidRPr="00AC4017">
        <w:t>transboundary</w:t>
      </w:r>
      <w:bookmarkEnd w:id="0"/>
      <w:r w:rsidR="00C54E43" w:rsidRPr="00AC4017">
        <w:t xml:space="preserve"> impact</w:t>
      </w:r>
      <w:r w:rsidR="00C54E43">
        <w:t>s, which affect multiple countries,</w:t>
      </w:r>
      <w:r w:rsidRPr="00AC4017">
        <w:t xml:space="preserve"> in </w:t>
      </w:r>
      <w:r w:rsidR="00ED77F8">
        <w:t xml:space="preserve">their </w:t>
      </w:r>
      <w:r w:rsidRPr="00AC4017">
        <w:t>national legislation. Only the legislation in Kazakhstan explicitly required consideration of migratory species during the construction of linear infrastructure.</w:t>
      </w:r>
      <w:r w:rsidR="0029429E">
        <w:t xml:space="preserve"> </w:t>
      </w:r>
      <w:r w:rsidRPr="00AC4017">
        <w:t>Half of the countries required the assessment of transboundary impact</w:t>
      </w:r>
      <w:r w:rsidR="00C54E43">
        <w:t>s</w:t>
      </w:r>
      <w:r w:rsidRPr="00AC4017">
        <w:t>.</w:t>
      </w:r>
      <w:r w:rsidR="0029429E">
        <w:t xml:space="preserve"> Additional guidance on national legislation such as through the National Legislation Programme</w:t>
      </w:r>
      <w:r w:rsidR="0029429E">
        <w:rPr>
          <w:rStyle w:val="FootnoteReference"/>
          <w:rFonts w:cs="Arial"/>
        </w:rPr>
        <w:footnoteReference w:id="6"/>
      </w:r>
      <w:r w:rsidR="0029429E">
        <w:t xml:space="preserve"> may be useful </w:t>
      </w:r>
      <w:r w:rsidR="00DC1C12">
        <w:t xml:space="preserve">in </w:t>
      </w:r>
      <w:r w:rsidR="0029429E">
        <w:t>address</w:t>
      </w:r>
      <w:r w:rsidR="00DC1C12">
        <w:t>ing</w:t>
      </w:r>
      <w:r w:rsidR="0029429E">
        <w:t xml:space="preserve"> these gaps</w:t>
      </w:r>
      <w:r w:rsidR="00A9035C">
        <w:t xml:space="preserve"> in national legislation</w:t>
      </w:r>
      <w:r w:rsidR="0029429E">
        <w:t xml:space="preserve">. </w:t>
      </w:r>
    </w:p>
    <w:p w14:paraId="0A796B60" w14:textId="77777777" w:rsidR="0029429E" w:rsidRDefault="0029429E" w:rsidP="003A6A5F">
      <w:pPr>
        <w:widowControl w:val="0"/>
        <w:autoSpaceDE w:val="0"/>
        <w:autoSpaceDN w:val="0"/>
        <w:adjustRightInd w:val="0"/>
        <w:spacing w:after="0" w:line="240" w:lineRule="auto"/>
        <w:ind w:left="567"/>
        <w:jc w:val="both"/>
        <w:rPr>
          <w:rFonts w:cs="Arial"/>
        </w:rPr>
      </w:pPr>
    </w:p>
    <w:p w14:paraId="792FD99B" w14:textId="170EACAB" w:rsidR="004A35E5" w:rsidRPr="0029429E" w:rsidRDefault="0029429E" w:rsidP="003A6A5F">
      <w:pPr>
        <w:pStyle w:val="Firstnumbering"/>
      </w:pPr>
      <w:r w:rsidRPr="006F0591">
        <w:t>The national reports submitted by Parties to COP13 d</w:t>
      </w:r>
      <w:r w:rsidR="00DC1C12">
        <w:t>o</w:t>
      </w:r>
      <w:r w:rsidRPr="006F0591">
        <w:t xml:space="preserve"> not provide </w:t>
      </w:r>
      <w:proofErr w:type="gramStart"/>
      <w:r w:rsidRPr="006F0591">
        <w:t>sufficient</w:t>
      </w:r>
      <w:proofErr w:type="gramEnd"/>
      <w:r w:rsidRPr="006F0591">
        <w:t xml:space="preserve"> details on specific steps </w:t>
      </w:r>
      <w:r w:rsidR="00DC1C12">
        <w:t>that</w:t>
      </w:r>
      <w:r w:rsidR="00DC1C12" w:rsidRPr="006F0591">
        <w:t xml:space="preserve"> </w:t>
      </w:r>
      <w:r w:rsidRPr="006F0591">
        <w:t xml:space="preserve">Parties have taken </w:t>
      </w:r>
      <w:r w:rsidR="00A9035C">
        <w:t xml:space="preserve">so far </w:t>
      </w:r>
      <w:r w:rsidRPr="006F0591">
        <w:t>to implement Resolution 7.2</w:t>
      </w:r>
      <w:r w:rsidR="00DC1C12">
        <w:t xml:space="preserve"> </w:t>
      </w:r>
      <w:r w:rsidRPr="006F0591">
        <w:t xml:space="preserve">(Rev.COP12) </w:t>
      </w:r>
      <w:r w:rsidR="00DC1C12">
        <w:t>p</w:t>
      </w:r>
      <w:r w:rsidRPr="006F0591">
        <w:t xml:space="preserve">aragraph 2. </w:t>
      </w:r>
      <w:r w:rsidRPr="00460DF3">
        <w:t xml:space="preserve">Further analysis is needed to identify </w:t>
      </w:r>
      <w:r w:rsidR="00DC1C12">
        <w:t xml:space="preserve">the </w:t>
      </w:r>
      <w:r w:rsidRPr="00460DF3">
        <w:t xml:space="preserve">challenges </w:t>
      </w:r>
      <w:r w:rsidR="00DC1C12">
        <w:t xml:space="preserve">that </w:t>
      </w:r>
      <w:r w:rsidRPr="00460DF3">
        <w:t xml:space="preserve">Parties face in identifying, preventing and mitigating </w:t>
      </w:r>
      <w:r w:rsidR="002D3A15">
        <w:t xml:space="preserve">the </w:t>
      </w:r>
      <w:r w:rsidRPr="00460DF3">
        <w:t xml:space="preserve">impact </w:t>
      </w:r>
      <w:r>
        <w:t>of linear infrastructure development on</w:t>
      </w:r>
      <w:r w:rsidRPr="00460DF3">
        <w:t xml:space="preserve"> migratory species and their habitats </w:t>
      </w:r>
      <w:r>
        <w:t>as part of</w:t>
      </w:r>
      <w:r w:rsidRPr="00460DF3">
        <w:t xml:space="preserve"> EIA and SEA process</w:t>
      </w:r>
      <w:r w:rsidR="00DC1C12">
        <w:t>es</w:t>
      </w:r>
      <w:r w:rsidRPr="00460DF3">
        <w:t xml:space="preserve">. </w:t>
      </w:r>
      <w:r>
        <w:t>Based on the analysis, areas for capacity development</w:t>
      </w:r>
      <w:r w:rsidR="00F762AE">
        <w:t xml:space="preserve"> </w:t>
      </w:r>
      <w:r>
        <w:t xml:space="preserve">could be identified. </w:t>
      </w:r>
    </w:p>
    <w:p w14:paraId="7E2F4F19" w14:textId="77777777" w:rsidR="00AC4017" w:rsidRPr="00524E4A" w:rsidRDefault="00AC4017" w:rsidP="003A6A5F">
      <w:pPr>
        <w:widowControl w:val="0"/>
        <w:autoSpaceDE w:val="0"/>
        <w:autoSpaceDN w:val="0"/>
        <w:adjustRightInd w:val="0"/>
        <w:spacing w:after="0" w:line="240" w:lineRule="auto"/>
        <w:jc w:val="both"/>
        <w:rPr>
          <w:rFonts w:cs="Arial"/>
          <w:i/>
        </w:rPr>
      </w:pPr>
    </w:p>
    <w:p w14:paraId="063D60AA" w14:textId="4CBC3420" w:rsidR="005D1E3A" w:rsidRDefault="004A35E5" w:rsidP="003A6A5F">
      <w:pPr>
        <w:widowControl w:val="0"/>
        <w:autoSpaceDE w:val="0"/>
        <w:autoSpaceDN w:val="0"/>
        <w:adjustRightInd w:val="0"/>
        <w:spacing w:after="0" w:line="240" w:lineRule="auto"/>
        <w:jc w:val="both"/>
        <w:rPr>
          <w:rFonts w:cs="Arial"/>
          <w:b/>
        </w:rPr>
      </w:pPr>
      <w:r w:rsidRPr="00524E4A">
        <w:rPr>
          <w:rFonts w:cs="Arial"/>
          <w:i/>
        </w:rPr>
        <w:t>Cooperation with other Multilateral Environmental Agreements</w:t>
      </w:r>
    </w:p>
    <w:p w14:paraId="6B289932" w14:textId="77777777" w:rsidR="0029429E" w:rsidRPr="004A35E5" w:rsidRDefault="0029429E" w:rsidP="003A6A5F">
      <w:pPr>
        <w:widowControl w:val="0"/>
        <w:autoSpaceDE w:val="0"/>
        <w:autoSpaceDN w:val="0"/>
        <w:adjustRightInd w:val="0"/>
        <w:spacing w:after="0" w:line="240" w:lineRule="auto"/>
        <w:jc w:val="both"/>
        <w:rPr>
          <w:rFonts w:cs="Arial"/>
          <w:b/>
        </w:rPr>
      </w:pPr>
    </w:p>
    <w:p w14:paraId="396A94B1" w14:textId="27C7996B" w:rsidR="00AA6E0E" w:rsidRDefault="005D1E3A" w:rsidP="003A6A5F">
      <w:pPr>
        <w:pStyle w:val="Firstnumbering"/>
      </w:pPr>
      <w:r w:rsidRPr="006F0591">
        <w:t>In accordance with Resolution 7.2 (Rev.COP12) paragraph 4, the Secretariat closely followed the developments under the Convention on Biological Diversity</w:t>
      </w:r>
      <w:r w:rsidR="00AA6E0E">
        <w:t xml:space="preserve"> (CBD). In 2017, the CBD Secretariat conducted an independent study on the application of biodiversity-inclusive impact assessments, </w:t>
      </w:r>
      <w:proofErr w:type="gramStart"/>
      <w:r w:rsidR="00AA6E0E">
        <w:t>in particular</w:t>
      </w:r>
      <w:r w:rsidR="002C315F">
        <w:t xml:space="preserve"> the</w:t>
      </w:r>
      <w:proofErr w:type="gramEnd"/>
      <w:r w:rsidR="002C315F">
        <w:t xml:space="preserve"> application of </w:t>
      </w:r>
      <w:r w:rsidR="00AA6E0E">
        <w:t>the Voluntary Guidelines on Biodiversity-Inclusive Impact Assessment</w:t>
      </w:r>
      <w:r w:rsidR="002A72B2">
        <w:t xml:space="preserve">, </w:t>
      </w:r>
      <w:r w:rsidR="00AA6E0E">
        <w:t xml:space="preserve">which is also referred to in CMS Resolution 7.2 </w:t>
      </w:r>
      <w:r w:rsidR="00AC14B0">
        <w:t xml:space="preserve">(Rev.COP12) </w:t>
      </w:r>
      <w:r w:rsidR="00AA6E0E">
        <w:t>paragraph 3.  It concluded that more attention should be paid to impact assessment</w:t>
      </w:r>
      <w:r w:rsidR="002A72B2">
        <w:t>s</w:t>
      </w:r>
      <w:r w:rsidR="00AA6E0E">
        <w:t xml:space="preserve"> in the consideration of the sectoral and cross-sectoral mainstreaming of biodiversity</w:t>
      </w:r>
      <w:r w:rsidR="00A36616">
        <w:rPr>
          <w:rStyle w:val="FootnoteReference"/>
        </w:rPr>
        <w:footnoteReference w:id="7"/>
      </w:r>
      <w:r w:rsidR="00AA6E0E">
        <w:t xml:space="preserve">. </w:t>
      </w:r>
    </w:p>
    <w:p w14:paraId="00057117" w14:textId="77777777" w:rsidR="00AA6E0E" w:rsidRDefault="00AA6E0E" w:rsidP="003A6A5F">
      <w:pPr>
        <w:widowControl w:val="0"/>
        <w:autoSpaceDE w:val="0"/>
        <w:autoSpaceDN w:val="0"/>
        <w:adjustRightInd w:val="0"/>
        <w:spacing w:after="0" w:line="240" w:lineRule="auto"/>
        <w:ind w:left="567"/>
        <w:jc w:val="both"/>
        <w:rPr>
          <w:rFonts w:cs="Arial"/>
        </w:rPr>
      </w:pPr>
    </w:p>
    <w:p w14:paraId="7BB20789" w14:textId="0F1A5072" w:rsidR="005D1E3A" w:rsidRPr="006F0591" w:rsidRDefault="00AA6E0E" w:rsidP="003A6A5F">
      <w:pPr>
        <w:pStyle w:val="Firstnumbering"/>
      </w:pPr>
      <w:r>
        <w:t xml:space="preserve">Subsequently, CBD Parties </w:t>
      </w:r>
      <w:r w:rsidR="005D1E3A" w:rsidRPr="006F0591">
        <w:t xml:space="preserve">adopted Decision 14/3 </w:t>
      </w:r>
      <w:r w:rsidR="005D1E3A" w:rsidRPr="006F0591">
        <w:rPr>
          <w:i/>
        </w:rPr>
        <w:t>Mainstreaming of biodiversity in the energy and mining, infrastructure, manufacturing and processing sector</w:t>
      </w:r>
      <w:r w:rsidR="005D1E3A">
        <w:t xml:space="preserve"> </w:t>
      </w:r>
      <w:r w:rsidR="005D1E3A" w:rsidRPr="006F0591">
        <w:t>(CBD COP14, Sharm El-Sheikh, 2018). The Decision included provisions related to the use of SEA</w:t>
      </w:r>
      <w:r w:rsidR="002B1112">
        <w:t>s</w:t>
      </w:r>
      <w:r w:rsidR="005D1E3A" w:rsidRPr="006F0591">
        <w:t xml:space="preserve"> and EIA</w:t>
      </w:r>
      <w:r w:rsidR="002B1112">
        <w:t>s</w:t>
      </w:r>
      <w:r w:rsidR="005D1E3A" w:rsidRPr="006F0591">
        <w:rPr>
          <w:rStyle w:val="FootnoteReference"/>
          <w:rFonts w:cs="Arial"/>
        </w:rPr>
        <w:footnoteReference w:id="8"/>
      </w:r>
      <w:r w:rsidR="005D1E3A" w:rsidRPr="006F0591">
        <w:t xml:space="preserve">. For the mainstreaming of biodiversity in the infrastructure sector, the implementation of actions </w:t>
      </w:r>
      <w:r w:rsidR="005D1E3A" w:rsidRPr="006F0591">
        <w:lastRenderedPageBreak/>
        <w:t>identified in EIA</w:t>
      </w:r>
      <w:r w:rsidR="002B1112">
        <w:t>s</w:t>
      </w:r>
      <w:r w:rsidR="005D1E3A" w:rsidRPr="006F0591">
        <w:t xml:space="preserve"> and associated environmental management plans </w:t>
      </w:r>
      <w:r w:rsidR="005D1E3A">
        <w:t>has been</w:t>
      </w:r>
      <w:r w:rsidR="005D1E3A" w:rsidRPr="006F0591">
        <w:t xml:space="preserve"> identified as </w:t>
      </w:r>
      <w:r>
        <w:t>one of the</w:t>
      </w:r>
      <w:r w:rsidR="005D1E3A" w:rsidRPr="006F0591">
        <w:t xml:space="preserve"> key challenge</w:t>
      </w:r>
      <w:r>
        <w:t>s</w:t>
      </w:r>
      <w:r w:rsidR="005D1E3A" w:rsidRPr="006F0591">
        <w:rPr>
          <w:rStyle w:val="FootnoteReference"/>
          <w:rFonts w:cs="Arial"/>
        </w:rPr>
        <w:footnoteReference w:id="9"/>
      </w:r>
      <w:r w:rsidR="005D1E3A" w:rsidRPr="006F0591">
        <w:t xml:space="preserve">.  </w:t>
      </w:r>
    </w:p>
    <w:p w14:paraId="7E551F99" w14:textId="77777777" w:rsidR="000E0B25" w:rsidRDefault="000E0B25" w:rsidP="003A6A5F">
      <w:pPr>
        <w:spacing w:after="0" w:line="240" w:lineRule="auto"/>
        <w:jc w:val="both"/>
        <w:rPr>
          <w:rFonts w:cs="Arial"/>
          <w:u w:val="single"/>
        </w:rPr>
      </w:pPr>
    </w:p>
    <w:p w14:paraId="3052036B" w14:textId="36A8A1D4" w:rsidR="006A19D3" w:rsidRPr="00735EE9" w:rsidRDefault="006A19D3" w:rsidP="003A6A5F">
      <w:pPr>
        <w:spacing w:after="0" w:line="240" w:lineRule="auto"/>
        <w:jc w:val="both"/>
        <w:rPr>
          <w:rFonts w:cs="Arial"/>
          <w:u w:val="single"/>
        </w:rPr>
      </w:pPr>
      <w:r w:rsidRPr="00735EE9">
        <w:rPr>
          <w:rFonts w:cs="Arial"/>
          <w:u w:val="single"/>
        </w:rPr>
        <w:t>Lender rules</w:t>
      </w:r>
      <w:r>
        <w:rPr>
          <w:rFonts w:cs="Arial"/>
          <w:u w:val="single"/>
        </w:rPr>
        <w:t xml:space="preserve"> and standards</w:t>
      </w:r>
    </w:p>
    <w:p w14:paraId="5559FAE8" w14:textId="77777777" w:rsidR="006A19D3" w:rsidRPr="00CD0FE9" w:rsidRDefault="006A19D3" w:rsidP="003A6A5F">
      <w:pPr>
        <w:spacing w:after="0" w:line="240" w:lineRule="auto"/>
        <w:rPr>
          <w:rFonts w:cs="Arial"/>
        </w:rPr>
      </w:pPr>
    </w:p>
    <w:p w14:paraId="77FB8AB7" w14:textId="00E4AC54" w:rsidR="006A19D3" w:rsidRPr="00C77E41" w:rsidRDefault="006A19D3" w:rsidP="003A6A5F">
      <w:pPr>
        <w:pStyle w:val="Firstnumbering"/>
      </w:pPr>
      <w:r>
        <w:t>Financial institutions play a crucial role in catalysing the uptake of good practices of environmental and social impact assessments. For example, under the International Finance Cooperation’s (IFC) Performance Standard 6 on biodiversity conservation and sustainable management of living natural resources, critical habitats are determined based on</w:t>
      </w:r>
      <w:r w:rsidRPr="0059532D">
        <w:t xml:space="preserve"> five criteria </w:t>
      </w:r>
      <w:r>
        <w:t xml:space="preserve">including one specific to migratory or </w:t>
      </w:r>
      <w:proofErr w:type="spellStart"/>
      <w:r>
        <w:t>congregatory</w:t>
      </w:r>
      <w:proofErr w:type="spellEnd"/>
      <w:r>
        <w:t xml:space="preserve"> species</w:t>
      </w:r>
      <w:r w:rsidR="000E0B25">
        <w:rPr>
          <w:rStyle w:val="FootnoteReference"/>
          <w:rFonts w:cs="Arial"/>
        </w:rPr>
        <w:footnoteReference w:id="10"/>
      </w:r>
      <w:r w:rsidR="000E0B25" w:rsidRPr="000E0B25">
        <w:rPr>
          <w:vertAlign w:val="superscript"/>
        </w:rPr>
        <w:t>,</w:t>
      </w:r>
      <w:r w:rsidR="000E0B25">
        <w:rPr>
          <w:rStyle w:val="FootnoteReference"/>
        </w:rPr>
        <w:footnoteReference w:id="11"/>
      </w:r>
      <w:r>
        <w:t>. IFC clients will not implement any projects in areas of critical habitats, unless exceptional conditions are met</w:t>
      </w:r>
      <w:r w:rsidR="000E0B25">
        <w:rPr>
          <w:rStyle w:val="FootnoteReference"/>
        </w:rPr>
        <w:footnoteReference w:id="12"/>
      </w:r>
      <w:r>
        <w:t xml:space="preserve">. </w:t>
      </w:r>
      <w:r w:rsidRPr="00C77E41">
        <w:t xml:space="preserve">Similarly, under the World Bank’s </w:t>
      </w:r>
      <w:r>
        <w:t>Environmental and Social Policies</w:t>
      </w:r>
      <w:r w:rsidRPr="00C77E41">
        <w:t xml:space="preserve"> on Natural Habitats (OP 4.04), sites that are critical for rare, vulnerable, migratory or endangered species </w:t>
      </w:r>
      <w:proofErr w:type="gramStart"/>
      <w:r w:rsidRPr="00C77E41">
        <w:t>are considered to be</w:t>
      </w:r>
      <w:proofErr w:type="gramEnd"/>
      <w:r w:rsidRPr="00C77E41">
        <w:t xml:space="preserve"> critical natural habitats</w:t>
      </w:r>
      <w:r>
        <w:rPr>
          <w:rStyle w:val="FootnoteReference"/>
          <w:rFonts w:cs="Arial"/>
        </w:rPr>
        <w:footnoteReference w:id="13"/>
      </w:r>
      <w:r w:rsidRPr="00C77E41">
        <w:t>. The Bank does not support projects that involve the significant conversion or degradation of critical natural habitats</w:t>
      </w:r>
      <w:r>
        <w:rPr>
          <w:rStyle w:val="FootnoteReference"/>
          <w:rFonts w:cs="Arial"/>
        </w:rPr>
        <w:footnoteReference w:id="14"/>
      </w:r>
      <w:r w:rsidRPr="00B53F6A">
        <w:rPr>
          <w:vertAlign w:val="superscript"/>
        </w:rPr>
        <w:t>,</w:t>
      </w:r>
      <w:r>
        <w:rPr>
          <w:rStyle w:val="FootnoteReference"/>
          <w:rFonts w:cs="Arial"/>
        </w:rPr>
        <w:footnoteReference w:id="15"/>
      </w:r>
      <w:r>
        <w:t xml:space="preserve">. Multilateral banks that have not yet had a stringent standard could adopt these existing performance standards. </w:t>
      </w:r>
    </w:p>
    <w:p w14:paraId="08059907" w14:textId="77777777" w:rsidR="006A19D3" w:rsidRDefault="006A19D3" w:rsidP="003A6A5F">
      <w:pPr>
        <w:widowControl w:val="0"/>
        <w:autoSpaceDE w:val="0"/>
        <w:autoSpaceDN w:val="0"/>
        <w:adjustRightInd w:val="0"/>
        <w:spacing w:after="0" w:line="240" w:lineRule="auto"/>
        <w:ind w:left="567"/>
        <w:jc w:val="both"/>
        <w:rPr>
          <w:rFonts w:cs="Arial"/>
        </w:rPr>
      </w:pPr>
    </w:p>
    <w:p w14:paraId="59CC4F79" w14:textId="2F1F437F" w:rsidR="006A19D3" w:rsidRPr="00DE6451" w:rsidRDefault="006A19D3" w:rsidP="003A6A5F">
      <w:pPr>
        <w:pStyle w:val="Firstnumbering"/>
      </w:pPr>
      <w:r>
        <w:t>The Equator Principles is a voluntary risk management framework adopted by 99 private financial institutions. These institutions cover 70 per cent of international project finance debt in emerging markets</w:t>
      </w:r>
      <w:r>
        <w:rPr>
          <w:rStyle w:val="FootnoteReference"/>
          <w:rFonts w:cs="Arial"/>
        </w:rPr>
        <w:footnoteReference w:id="16"/>
      </w:r>
      <w:r>
        <w:t xml:space="preserve">. Building on the IFC standards, the Equator Principles define </w:t>
      </w:r>
      <w:r w:rsidR="00C77088">
        <w:t xml:space="preserve">habitats that </w:t>
      </w:r>
      <w:r>
        <w:t xml:space="preserve">supporting globally significant concentrations of migratory and/or </w:t>
      </w:r>
      <w:proofErr w:type="spellStart"/>
      <w:r>
        <w:t>congregatory</w:t>
      </w:r>
      <w:proofErr w:type="spellEnd"/>
      <w:r>
        <w:t xml:space="preserve"> species</w:t>
      </w:r>
      <w:r w:rsidR="00C77088">
        <w:t xml:space="preserve"> as a critical habitat</w:t>
      </w:r>
      <w:r>
        <w:rPr>
          <w:rStyle w:val="FootnoteReference"/>
          <w:rFonts w:cs="Arial"/>
        </w:rPr>
        <w:footnoteReference w:id="17"/>
      </w:r>
      <w:r w:rsidRPr="00DE6451">
        <w:t>.</w:t>
      </w:r>
    </w:p>
    <w:p w14:paraId="0E11BC10" w14:textId="77777777" w:rsidR="006A19D3" w:rsidRDefault="006A19D3" w:rsidP="003A6A5F">
      <w:pPr>
        <w:widowControl w:val="0"/>
        <w:autoSpaceDE w:val="0"/>
        <w:autoSpaceDN w:val="0"/>
        <w:adjustRightInd w:val="0"/>
        <w:spacing w:after="0" w:line="240" w:lineRule="auto"/>
        <w:ind w:left="567"/>
        <w:jc w:val="both"/>
        <w:rPr>
          <w:rFonts w:cs="Arial"/>
        </w:rPr>
      </w:pPr>
    </w:p>
    <w:p w14:paraId="596862E4" w14:textId="5C193E17" w:rsidR="006A19D3" w:rsidRDefault="006A19D3" w:rsidP="003A6A5F">
      <w:pPr>
        <w:pStyle w:val="Firstnumbering"/>
      </w:pPr>
      <w:r>
        <w:t xml:space="preserve">Other lenders could follow standards and norms for environmental assessments set by the host countries. However, existing national legislation and regulations may not be as stringent as those set by lenders, such as IFC’s Performance Standards, to address the environmental risks of a project.  </w:t>
      </w:r>
    </w:p>
    <w:p w14:paraId="270233AC" w14:textId="77777777" w:rsidR="007700FA" w:rsidRDefault="007700FA" w:rsidP="003A6A5F">
      <w:pPr>
        <w:widowControl w:val="0"/>
        <w:autoSpaceDE w:val="0"/>
        <w:autoSpaceDN w:val="0"/>
        <w:adjustRightInd w:val="0"/>
        <w:spacing w:after="0" w:line="240" w:lineRule="auto"/>
        <w:jc w:val="both"/>
        <w:rPr>
          <w:rFonts w:cs="Arial"/>
        </w:rPr>
      </w:pPr>
    </w:p>
    <w:p w14:paraId="73D7F14C" w14:textId="4D3CAB34" w:rsidR="00B305BF" w:rsidRPr="00D15970" w:rsidRDefault="007700FA" w:rsidP="003A6A5F">
      <w:pPr>
        <w:pStyle w:val="Firstnumbering"/>
        <w:rPr>
          <w:rFonts w:cs="Arial"/>
        </w:rPr>
      </w:pPr>
      <w:r>
        <w:t>Multilateral Development Banks are mandated to develop national systems and capacities on the management of environmental and social risks</w:t>
      </w:r>
      <w:r w:rsidR="00127A26">
        <w:t xml:space="preserve"> and </w:t>
      </w:r>
      <w:r w:rsidR="00E178EE">
        <w:t>thus</w:t>
      </w:r>
      <w:r w:rsidR="00127A26">
        <w:t xml:space="preserve"> they play key roles in </w:t>
      </w:r>
      <w:r w:rsidR="00FA3BAB">
        <w:t xml:space="preserve">assisting </w:t>
      </w:r>
      <w:r w:rsidR="0072264E">
        <w:t>G</w:t>
      </w:r>
      <w:r w:rsidR="00FA3BAB">
        <w:t xml:space="preserve">overnments in </w:t>
      </w:r>
      <w:r w:rsidR="00127A26">
        <w:t>strengthening safeguard</w:t>
      </w:r>
      <w:r w:rsidR="00B305BF">
        <w:t>s to address the impacts on migratory species</w:t>
      </w:r>
      <w:r w:rsidR="009178AE">
        <w:t xml:space="preserve">. </w:t>
      </w:r>
      <w:r w:rsidR="00B305BF">
        <w:t xml:space="preserve">Other financial institutions can also catalyse the uptake of the safeguards as is being done under the Equator Principle. Therefore, cooperation with financial institutions is </w:t>
      </w:r>
      <w:r w:rsidR="000A6B64">
        <w:t>crucial</w:t>
      </w:r>
      <w:r w:rsidR="00B305BF">
        <w:t xml:space="preserve"> </w:t>
      </w:r>
      <w:r w:rsidR="000A6B64">
        <w:t>for</w:t>
      </w:r>
      <w:r w:rsidR="00B305BF">
        <w:t xml:space="preserve"> addressing the impact of infrastructure on migratory species. </w:t>
      </w:r>
    </w:p>
    <w:p w14:paraId="2B80CED2" w14:textId="77777777" w:rsidR="00D15970" w:rsidRDefault="00D15970" w:rsidP="003A6A5F">
      <w:pPr>
        <w:widowControl w:val="0"/>
        <w:autoSpaceDE w:val="0"/>
        <w:autoSpaceDN w:val="0"/>
        <w:adjustRightInd w:val="0"/>
        <w:spacing w:after="0" w:line="240" w:lineRule="auto"/>
        <w:ind w:left="567"/>
        <w:jc w:val="both"/>
        <w:rPr>
          <w:rFonts w:cs="Arial"/>
        </w:rPr>
      </w:pPr>
    </w:p>
    <w:p w14:paraId="3553E0DA" w14:textId="77777777" w:rsidR="001070E8" w:rsidRDefault="001070E8" w:rsidP="003A6A5F">
      <w:pPr>
        <w:spacing w:after="0" w:line="240" w:lineRule="auto"/>
        <w:rPr>
          <w:rFonts w:cs="Arial"/>
          <w:u w:val="single"/>
        </w:rPr>
      </w:pPr>
      <w:r>
        <w:rPr>
          <w:rFonts w:cs="Arial"/>
          <w:u w:val="single"/>
        </w:rPr>
        <w:br w:type="page"/>
      </w:r>
    </w:p>
    <w:p w14:paraId="6C5C1DCB" w14:textId="07391E81" w:rsidR="00CE06A8" w:rsidRPr="003D0287" w:rsidRDefault="00CE06A8" w:rsidP="003A6A5F">
      <w:pPr>
        <w:widowControl w:val="0"/>
        <w:autoSpaceDE w:val="0"/>
        <w:autoSpaceDN w:val="0"/>
        <w:adjustRightInd w:val="0"/>
        <w:spacing w:after="0" w:line="240" w:lineRule="auto"/>
        <w:jc w:val="both"/>
        <w:rPr>
          <w:rFonts w:cs="Arial"/>
          <w:u w:val="single"/>
        </w:rPr>
      </w:pPr>
      <w:r w:rsidRPr="003D0287">
        <w:rPr>
          <w:rFonts w:cs="Arial"/>
          <w:u w:val="single"/>
        </w:rPr>
        <w:lastRenderedPageBreak/>
        <w:t>Discussion and Analysis</w:t>
      </w:r>
    </w:p>
    <w:p w14:paraId="602CB84C" w14:textId="77777777" w:rsidR="00CE06A8" w:rsidRPr="00CE06A8" w:rsidRDefault="00CE06A8" w:rsidP="003A6A5F">
      <w:pPr>
        <w:widowControl w:val="0"/>
        <w:autoSpaceDE w:val="0"/>
        <w:autoSpaceDN w:val="0"/>
        <w:adjustRightInd w:val="0"/>
        <w:spacing w:after="0" w:line="240" w:lineRule="auto"/>
        <w:jc w:val="both"/>
        <w:rPr>
          <w:rFonts w:cs="Arial"/>
        </w:rPr>
      </w:pPr>
    </w:p>
    <w:p w14:paraId="2B4C9AF2" w14:textId="477EF3CF" w:rsidR="005D73FF" w:rsidRPr="00CE06A8" w:rsidRDefault="00705BE3" w:rsidP="003A6A5F">
      <w:pPr>
        <w:widowControl w:val="0"/>
        <w:autoSpaceDE w:val="0"/>
        <w:autoSpaceDN w:val="0"/>
        <w:adjustRightInd w:val="0"/>
        <w:spacing w:after="0" w:line="240" w:lineRule="auto"/>
        <w:jc w:val="both"/>
        <w:rPr>
          <w:rFonts w:cs="Arial"/>
          <w:i/>
          <w:iCs/>
        </w:rPr>
      </w:pPr>
      <w:r w:rsidRPr="00CE06A8">
        <w:rPr>
          <w:rFonts w:cs="Arial"/>
          <w:i/>
          <w:iCs/>
        </w:rPr>
        <w:t>A</w:t>
      </w:r>
      <w:r w:rsidR="00DF47CC" w:rsidRPr="00CE06A8">
        <w:rPr>
          <w:rFonts w:cs="Arial"/>
          <w:i/>
          <w:iCs/>
        </w:rPr>
        <w:t>ddressing the impact of linear infrastructure on migratory species</w:t>
      </w:r>
    </w:p>
    <w:p w14:paraId="34E0FC93" w14:textId="77777777" w:rsidR="005D73FF" w:rsidRPr="00EE2175" w:rsidRDefault="005D73FF" w:rsidP="003A6A5F">
      <w:pPr>
        <w:widowControl w:val="0"/>
        <w:autoSpaceDE w:val="0"/>
        <w:autoSpaceDN w:val="0"/>
        <w:adjustRightInd w:val="0"/>
        <w:spacing w:after="0" w:line="240" w:lineRule="auto"/>
        <w:jc w:val="both"/>
        <w:rPr>
          <w:rFonts w:cs="Arial"/>
          <w:i/>
        </w:rPr>
      </w:pPr>
    </w:p>
    <w:p w14:paraId="364651E5" w14:textId="442A613C" w:rsidR="005D73FF" w:rsidRDefault="005D73FF" w:rsidP="003A6A5F">
      <w:pPr>
        <w:pStyle w:val="Firstnumbering"/>
      </w:pPr>
      <w:r>
        <w:t>Globally, at least 25 million kilometres of new roads are projected to be developed by 2050. This will be a 60 per cent increase from 2010</w:t>
      </w:r>
      <w:r>
        <w:rPr>
          <w:rStyle w:val="FootnoteReference"/>
          <w:rFonts w:cs="Arial"/>
        </w:rPr>
        <w:footnoteReference w:id="18"/>
      </w:r>
      <w:r>
        <w:t xml:space="preserve">. Similarly, an additional 335,000 kilometres of rail track </w:t>
      </w:r>
      <w:r w:rsidR="00425301">
        <w:t>are projected</w:t>
      </w:r>
      <w:r>
        <w:t xml:space="preserve"> over the next 40 years to accommodate the increasing demand for passenger and freight travel</w:t>
      </w:r>
      <w:r>
        <w:rPr>
          <w:rStyle w:val="FootnoteReference"/>
          <w:rFonts w:cs="Arial"/>
        </w:rPr>
        <w:footnoteReference w:id="19"/>
      </w:r>
      <w:r>
        <w:t xml:space="preserve">. </w:t>
      </w:r>
      <w:r w:rsidR="00CE06A8">
        <w:t xml:space="preserve"> </w:t>
      </w:r>
    </w:p>
    <w:p w14:paraId="42C08466" w14:textId="77777777" w:rsidR="005D73FF" w:rsidRDefault="005D73FF" w:rsidP="003A6A5F">
      <w:pPr>
        <w:widowControl w:val="0"/>
        <w:autoSpaceDE w:val="0"/>
        <w:autoSpaceDN w:val="0"/>
        <w:adjustRightInd w:val="0"/>
        <w:spacing w:after="0" w:line="240" w:lineRule="auto"/>
        <w:ind w:left="397"/>
        <w:jc w:val="both"/>
        <w:rPr>
          <w:rFonts w:cs="Arial"/>
        </w:rPr>
      </w:pPr>
    </w:p>
    <w:p w14:paraId="27823DF6" w14:textId="28AC526F" w:rsidR="003F42F5" w:rsidRPr="003F42F5" w:rsidRDefault="005D73FF" w:rsidP="003A6A5F">
      <w:pPr>
        <w:pStyle w:val="Firstnumbering"/>
        <w:rPr>
          <w:rFonts w:cs="Arial"/>
        </w:rPr>
      </w:pPr>
      <w:r w:rsidRPr="006A08B3">
        <w:t>While line</w:t>
      </w:r>
      <w:r>
        <w:t>a</w:t>
      </w:r>
      <w:r w:rsidRPr="006A08B3">
        <w:t>r infrastructure provides</w:t>
      </w:r>
      <w:r>
        <w:t xml:space="preserve"> multiple</w:t>
      </w:r>
      <w:r w:rsidRPr="006A08B3">
        <w:t xml:space="preserve"> </w:t>
      </w:r>
      <w:r>
        <w:t xml:space="preserve">socio-economic </w:t>
      </w:r>
      <w:r w:rsidRPr="006A08B3">
        <w:t xml:space="preserve">benefits, it has numerous impacts on </w:t>
      </w:r>
      <w:r>
        <w:t>migratory species</w:t>
      </w:r>
      <w:r w:rsidRPr="006A08B3">
        <w:t xml:space="preserve"> such as habitat fragmentation, barri</w:t>
      </w:r>
      <w:r>
        <w:rPr>
          <w:rFonts w:cs="Arial"/>
        </w:rPr>
        <w:t>er</w:t>
      </w:r>
      <w:r w:rsidRPr="006A08B3">
        <w:t xml:space="preserve">s to movements, collisions, disturbance and pollution. </w:t>
      </w:r>
      <w:r w:rsidR="00652D6F">
        <w:t>Roads, railroads and fences not only create barriers for the movement of animals</w:t>
      </w:r>
      <w:r w:rsidR="00425301">
        <w:t xml:space="preserve">. </w:t>
      </w:r>
      <w:r w:rsidR="00652D6F">
        <w:t xml:space="preserve"> They also constitute a direct threat as animals often die in attempt</w:t>
      </w:r>
      <w:r w:rsidR="00425301">
        <w:t>ing</w:t>
      </w:r>
      <w:r w:rsidR="00652D6F">
        <w:t xml:space="preserve"> to cross </w:t>
      </w:r>
      <w:r w:rsidR="00425301">
        <w:t xml:space="preserve">such barriers </w:t>
      </w:r>
      <w:r w:rsidR="00652D6F">
        <w:t xml:space="preserve">either by collision with vehicles or trains or getting entangled in barbed wire fences.  The </w:t>
      </w:r>
      <w:r>
        <w:t>loss of habitat connectivity lead</w:t>
      </w:r>
      <w:r w:rsidR="00652D6F">
        <w:t>s</w:t>
      </w:r>
      <w:r>
        <w:t xml:space="preserve"> to</w:t>
      </w:r>
      <w:r w:rsidRPr="006A08B3">
        <w:t xml:space="preserve"> genetic isolation</w:t>
      </w:r>
      <w:r w:rsidR="00652D6F">
        <w:t xml:space="preserve"> leaving smaller and isolated populations more vulnerable and prone to local extinction</w:t>
      </w:r>
      <w:r>
        <w:t xml:space="preserve">. Linear infrastructure development </w:t>
      </w:r>
      <w:r w:rsidR="00652D6F">
        <w:t xml:space="preserve">also has </w:t>
      </w:r>
      <w:r w:rsidR="00425301">
        <w:t xml:space="preserve"> </w:t>
      </w:r>
      <w:r w:rsidR="00652D6F">
        <w:t xml:space="preserve"> </w:t>
      </w:r>
      <w:r>
        <w:t>indirect impacts such as increased poaching due to improved access to the animals</w:t>
      </w:r>
      <w:r w:rsidR="00652D6F">
        <w:t>,</w:t>
      </w:r>
      <w:r w:rsidR="00652D6F" w:rsidRPr="00652D6F">
        <w:t xml:space="preserve"> </w:t>
      </w:r>
      <w:r w:rsidR="00652D6F">
        <w:t>human settlements and disturbance</w:t>
      </w:r>
      <w:r>
        <w:t xml:space="preserve">. </w:t>
      </w:r>
    </w:p>
    <w:p w14:paraId="07DC1981" w14:textId="77777777" w:rsidR="003F42F5" w:rsidRDefault="003F42F5" w:rsidP="003A6A5F">
      <w:pPr>
        <w:widowControl w:val="0"/>
        <w:autoSpaceDE w:val="0"/>
        <w:autoSpaceDN w:val="0"/>
        <w:adjustRightInd w:val="0"/>
        <w:spacing w:after="0" w:line="240" w:lineRule="auto"/>
        <w:ind w:left="397"/>
        <w:jc w:val="both"/>
        <w:rPr>
          <w:rFonts w:cs="Arial"/>
        </w:rPr>
      </w:pPr>
    </w:p>
    <w:p w14:paraId="7E3235EE" w14:textId="75E34603" w:rsidR="003F42F5" w:rsidRDefault="005D73FF" w:rsidP="003A6A5F">
      <w:pPr>
        <w:pStyle w:val="Firstnumbering"/>
      </w:pPr>
      <w:r w:rsidRPr="003F42F5">
        <w:t>Given the rapid increase in linear infrastructure development across the world, the need for taking measures to conserve CMS-listed species</w:t>
      </w:r>
      <w:r w:rsidR="00425301">
        <w:t xml:space="preserve"> </w:t>
      </w:r>
      <w:r w:rsidRPr="003F42F5">
        <w:t xml:space="preserve">is especially urgent. </w:t>
      </w:r>
    </w:p>
    <w:p w14:paraId="63834E32" w14:textId="77777777" w:rsidR="003F42F5" w:rsidRDefault="003F42F5" w:rsidP="003A6A5F">
      <w:pPr>
        <w:widowControl w:val="0"/>
        <w:autoSpaceDE w:val="0"/>
        <w:autoSpaceDN w:val="0"/>
        <w:adjustRightInd w:val="0"/>
        <w:spacing w:after="0" w:line="240" w:lineRule="auto"/>
        <w:ind w:left="397"/>
        <w:jc w:val="both"/>
        <w:rPr>
          <w:rFonts w:cs="Arial"/>
        </w:rPr>
      </w:pPr>
    </w:p>
    <w:p w14:paraId="6F5E2E0A" w14:textId="23F3AD40" w:rsidR="003F42F5" w:rsidRDefault="00D52854" w:rsidP="003A6A5F">
      <w:pPr>
        <w:pStyle w:val="Firstnumbering"/>
      </w:pPr>
      <w:r w:rsidRPr="003F42F5">
        <w:t xml:space="preserve">To </w:t>
      </w:r>
      <w:r w:rsidR="00E478AE" w:rsidRPr="003F42F5">
        <w:t>prevent</w:t>
      </w:r>
      <w:r w:rsidRPr="003F42F5">
        <w:t xml:space="preserve"> and mitigate the impact of linear infrastructure on migratory species, c</w:t>
      </w:r>
      <w:r w:rsidR="002538A3" w:rsidRPr="003F42F5">
        <w:t>onsideration</w:t>
      </w:r>
      <w:r w:rsidRPr="003F42F5">
        <w:t>s</w:t>
      </w:r>
      <w:r w:rsidR="002538A3" w:rsidRPr="003F42F5">
        <w:t xml:space="preserve"> </w:t>
      </w:r>
      <w:r w:rsidR="00DE444D" w:rsidRPr="003F42F5">
        <w:t>need</w:t>
      </w:r>
      <w:r w:rsidR="002538A3" w:rsidRPr="003F42F5">
        <w:t xml:space="preserve"> to be made throughout the </w:t>
      </w:r>
      <w:r w:rsidR="00DE444D" w:rsidRPr="003F42F5">
        <w:t>infrastructure</w:t>
      </w:r>
      <w:r w:rsidR="002538A3" w:rsidRPr="003F42F5">
        <w:t xml:space="preserve"> development cycle from planning to decommission</w:t>
      </w:r>
      <w:r w:rsidR="00C96296" w:rsidRPr="003F42F5">
        <w:t>ing, with e</w:t>
      </w:r>
      <w:r w:rsidR="00B97FD0" w:rsidRPr="003F42F5">
        <w:t xml:space="preserve">nvironmental and social </w:t>
      </w:r>
      <w:r w:rsidR="00425301">
        <w:t xml:space="preserve">considerations and </w:t>
      </w:r>
      <w:r w:rsidR="00B97FD0" w:rsidRPr="003F42F5">
        <w:t xml:space="preserve">safeguards </w:t>
      </w:r>
      <w:r w:rsidR="00C96296" w:rsidRPr="003F42F5">
        <w:t>being</w:t>
      </w:r>
      <w:r w:rsidR="00B97FD0" w:rsidRPr="003F42F5">
        <w:t xml:space="preserve"> applied at an early stage. Planning tools such as SEA</w:t>
      </w:r>
      <w:r w:rsidR="00C96296" w:rsidRPr="003F42F5">
        <w:t>s</w:t>
      </w:r>
      <w:r w:rsidR="00B97FD0" w:rsidRPr="003F42F5">
        <w:t xml:space="preserve"> </w:t>
      </w:r>
      <w:r w:rsidR="00FA536C" w:rsidRPr="003F42F5">
        <w:t xml:space="preserve">could be used to address policies and plans at the </w:t>
      </w:r>
      <w:r w:rsidR="00B97FD0" w:rsidRPr="003F42F5">
        <w:t>national</w:t>
      </w:r>
      <w:r w:rsidR="00FA536C" w:rsidRPr="003F42F5">
        <w:t xml:space="preserve">, </w:t>
      </w:r>
      <w:r w:rsidR="00B97FD0" w:rsidRPr="003F42F5">
        <w:t xml:space="preserve">landscape </w:t>
      </w:r>
      <w:r w:rsidR="00FA536C" w:rsidRPr="003F42F5">
        <w:t>or sector</w:t>
      </w:r>
      <w:r w:rsidR="00EC2100" w:rsidRPr="003F42F5">
        <w:t xml:space="preserve"> </w:t>
      </w:r>
      <w:r w:rsidR="00B97FD0" w:rsidRPr="003F42F5">
        <w:t>level</w:t>
      </w:r>
      <w:r w:rsidR="00EC2100" w:rsidRPr="003F42F5">
        <w:t>s</w:t>
      </w:r>
      <w:r w:rsidR="00B97FD0" w:rsidRPr="003F42F5">
        <w:t xml:space="preserve"> </w:t>
      </w:r>
      <w:r w:rsidR="00FA536C" w:rsidRPr="003F42F5">
        <w:t>before individual projects are implemented.</w:t>
      </w:r>
    </w:p>
    <w:p w14:paraId="5E842352" w14:textId="77777777" w:rsidR="003F42F5" w:rsidRDefault="003F42F5" w:rsidP="003A6A5F">
      <w:pPr>
        <w:widowControl w:val="0"/>
        <w:autoSpaceDE w:val="0"/>
        <w:autoSpaceDN w:val="0"/>
        <w:adjustRightInd w:val="0"/>
        <w:spacing w:after="0" w:line="240" w:lineRule="auto"/>
        <w:ind w:left="397"/>
        <w:jc w:val="both"/>
        <w:rPr>
          <w:rFonts w:cs="Arial"/>
        </w:rPr>
      </w:pPr>
    </w:p>
    <w:p w14:paraId="124EA866" w14:textId="122748AC" w:rsidR="003F42F5" w:rsidRDefault="000D251D" w:rsidP="003A6A5F">
      <w:pPr>
        <w:pStyle w:val="Firstnumbering"/>
      </w:pPr>
      <w:r w:rsidRPr="003F42F5">
        <w:t xml:space="preserve">Information </w:t>
      </w:r>
      <w:r w:rsidR="00FA536C" w:rsidRPr="003F42F5">
        <w:t>on migratory species</w:t>
      </w:r>
      <w:r w:rsidR="00735326">
        <w:t xml:space="preserve"> and </w:t>
      </w:r>
      <w:r w:rsidR="00FA536C" w:rsidRPr="003F42F5">
        <w:t xml:space="preserve">their habitats need to be available to </w:t>
      </w:r>
      <w:r w:rsidR="00C96296" w:rsidRPr="003F42F5">
        <w:t>en</w:t>
      </w:r>
      <w:r w:rsidR="00FA536C" w:rsidRPr="003F42F5">
        <w:t xml:space="preserve">sure </w:t>
      </w:r>
      <w:r w:rsidRPr="003F42F5">
        <w:t>that the considerations of</w:t>
      </w:r>
      <w:r w:rsidR="00D227E5" w:rsidRPr="003F42F5">
        <w:t xml:space="preserve"> migratory species </w:t>
      </w:r>
      <w:r w:rsidRPr="003F42F5">
        <w:t xml:space="preserve">are </w:t>
      </w:r>
      <w:proofErr w:type="gramStart"/>
      <w:r w:rsidR="00C96296" w:rsidRPr="003F42F5">
        <w:t>taken into account</w:t>
      </w:r>
      <w:proofErr w:type="gramEnd"/>
      <w:r w:rsidR="00C96296" w:rsidRPr="003F42F5">
        <w:t xml:space="preserve"> during the</w:t>
      </w:r>
      <w:r w:rsidR="00200EDE" w:rsidRPr="003F42F5">
        <w:t xml:space="preserve"> </w:t>
      </w:r>
      <w:r w:rsidR="00FA536C" w:rsidRPr="003F42F5">
        <w:t>planning phase</w:t>
      </w:r>
      <w:r w:rsidR="00C96296" w:rsidRPr="003F42F5">
        <w:t>s</w:t>
      </w:r>
      <w:r w:rsidR="00FA536C" w:rsidRPr="003F42F5">
        <w:t xml:space="preserve">. However, the lack of available, accessible and </w:t>
      </w:r>
      <w:r w:rsidR="00C96296" w:rsidRPr="003F42F5">
        <w:t>appropriate</w:t>
      </w:r>
      <w:r w:rsidR="00FA536C" w:rsidRPr="003F42F5">
        <w:t xml:space="preserve"> data</w:t>
      </w:r>
      <w:r w:rsidR="00FA536C">
        <w:rPr>
          <w:rStyle w:val="FootnoteReference"/>
          <w:rFonts w:cs="Arial"/>
        </w:rPr>
        <w:footnoteReference w:id="20"/>
      </w:r>
      <w:r w:rsidR="00FA536C" w:rsidRPr="003F42F5">
        <w:t xml:space="preserve"> including those on migratory </w:t>
      </w:r>
      <w:r w:rsidR="00735326">
        <w:t xml:space="preserve">species such as </w:t>
      </w:r>
      <w:r w:rsidR="00FA536C" w:rsidRPr="003F42F5">
        <w:t xml:space="preserve">routes and </w:t>
      </w:r>
      <w:r w:rsidR="00735326">
        <w:t xml:space="preserve">migratory </w:t>
      </w:r>
      <w:r w:rsidR="00FA536C" w:rsidRPr="003F42F5">
        <w:t xml:space="preserve">patterns, seems to be a major challenge with EIA and SEA processes. </w:t>
      </w:r>
    </w:p>
    <w:p w14:paraId="656C67DA" w14:textId="77777777" w:rsidR="003F42F5" w:rsidRDefault="003F42F5" w:rsidP="003A6A5F">
      <w:pPr>
        <w:widowControl w:val="0"/>
        <w:autoSpaceDE w:val="0"/>
        <w:autoSpaceDN w:val="0"/>
        <w:adjustRightInd w:val="0"/>
        <w:spacing w:after="0" w:line="240" w:lineRule="auto"/>
        <w:ind w:left="397"/>
        <w:jc w:val="both"/>
        <w:rPr>
          <w:rFonts w:cs="Arial"/>
        </w:rPr>
      </w:pPr>
    </w:p>
    <w:p w14:paraId="136BEA20" w14:textId="40753684" w:rsidR="003F42F5" w:rsidRDefault="00EC2100" w:rsidP="003A6A5F">
      <w:pPr>
        <w:pStyle w:val="Firstnumbering"/>
      </w:pPr>
      <w:r w:rsidRPr="003F42F5">
        <w:t>While it is generally not included in national EIA legislation</w:t>
      </w:r>
      <w:r>
        <w:rPr>
          <w:rStyle w:val="FootnoteReference"/>
          <w:rFonts w:cs="Arial"/>
        </w:rPr>
        <w:footnoteReference w:id="21"/>
      </w:r>
      <w:r w:rsidRPr="003F42F5">
        <w:t xml:space="preserve">, </w:t>
      </w:r>
      <w:r w:rsidR="00C96296" w:rsidRPr="003F42F5">
        <w:t xml:space="preserve">the </w:t>
      </w:r>
      <w:r w:rsidRPr="003F42F5">
        <w:t>m</w:t>
      </w:r>
      <w:r w:rsidR="00232CFA" w:rsidRPr="003F42F5">
        <w:t>itigation hierarchy</w:t>
      </w:r>
      <w:r w:rsidR="00232CFA">
        <w:rPr>
          <w:rStyle w:val="FootnoteReference"/>
          <w:rFonts w:cs="Arial"/>
        </w:rPr>
        <w:footnoteReference w:id="22"/>
      </w:r>
      <w:r w:rsidR="00347E41" w:rsidRPr="003F42F5">
        <w:t xml:space="preserve"> needs to be applied to prioritize efforts to avoid impacts</w:t>
      </w:r>
      <w:r w:rsidR="00224F61" w:rsidRPr="003F42F5">
        <w:t xml:space="preserve"> over minimization, rehabilitation or offsets</w:t>
      </w:r>
      <w:r w:rsidR="007F70CF" w:rsidRPr="003F42F5">
        <w:t xml:space="preserve">. </w:t>
      </w:r>
      <w:r w:rsidR="00291BB2" w:rsidRPr="003F42F5">
        <w:t>A range of</w:t>
      </w:r>
      <w:r w:rsidR="00121E9C" w:rsidRPr="003F42F5">
        <w:t xml:space="preserve"> </w:t>
      </w:r>
      <w:r w:rsidR="00725680" w:rsidRPr="003F42F5">
        <w:t>guidance documents</w:t>
      </w:r>
      <w:r w:rsidR="00725680">
        <w:rPr>
          <w:rStyle w:val="FootnoteReference"/>
          <w:rFonts w:cs="Arial"/>
        </w:rPr>
        <w:footnoteReference w:id="23"/>
      </w:r>
      <w:r w:rsidR="00725680" w:rsidRPr="003F42F5">
        <w:t xml:space="preserve"> and standards</w:t>
      </w:r>
      <w:r w:rsidR="00725680">
        <w:rPr>
          <w:rStyle w:val="FootnoteReference"/>
          <w:rFonts w:cs="Arial"/>
        </w:rPr>
        <w:footnoteReference w:id="24"/>
      </w:r>
      <w:r w:rsidR="00291BB2" w:rsidRPr="003F42F5">
        <w:t xml:space="preserve"> on linear infrastructure development is already available </w:t>
      </w:r>
      <w:r w:rsidR="007D0601" w:rsidRPr="003F42F5">
        <w:t>to</w:t>
      </w:r>
      <w:r w:rsidR="00154DCB">
        <w:t xml:space="preserve"> help Parties</w:t>
      </w:r>
      <w:r w:rsidR="007D0601" w:rsidRPr="003F42F5">
        <w:t xml:space="preserve"> </w:t>
      </w:r>
      <w:r w:rsidR="009A33B5">
        <w:t>avoid</w:t>
      </w:r>
      <w:r w:rsidR="007D0601" w:rsidRPr="003F42F5">
        <w:t xml:space="preserve"> and mitigate the impact of linear infrastructure</w:t>
      </w:r>
      <w:r w:rsidR="00291BB2" w:rsidRPr="003F42F5">
        <w:t xml:space="preserve">. Yet, </w:t>
      </w:r>
      <w:r w:rsidR="006A19D3" w:rsidRPr="003F42F5">
        <w:t xml:space="preserve">specific </w:t>
      </w:r>
      <w:r w:rsidR="00291BB2" w:rsidRPr="003F42F5">
        <w:t xml:space="preserve">guidance </w:t>
      </w:r>
      <w:r w:rsidR="00A1480E" w:rsidRPr="003F42F5">
        <w:t xml:space="preserve">materials </w:t>
      </w:r>
      <w:r w:rsidR="00291BB2" w:rsidRPr="003F42F5">
        <w:t xml:space="preserve">on addressing </w:t>
      </w:r>
      <w:r w:rsidRPr="003F42F5">
        <w:t xml:space="preserve">the </w:t>
      </w:r>
      <w:r w:rsidR="00291BB2" w:rsidRPr="003F42F5">
        <w:t xml:space="preserve">impacts on migratory species has been limited. </w:t>
      </w:r>
      <w:r w:rsidR="00DC092D" w:rsidRPr="003F42F5">
        <w:t>Furthermore, information on s</w:t>
      </w:r>
      <w:r w:rsidR="00291BB2" w:rsidRPr="003F42F5">
        <w:t xml:space="preserve">pecies-specific measures for the avoidance and mitigation of negative impacts </w:t>
      </w:r>
      <w:r w:rsidR="00050B48" w:rsidRPr="003F42F5">
        <w:t>of linear infrastructure</w:t>
      </w:r>
      <w:r w:rsidR="00291BB2" w:rsidRPr="003F42F5">
        <w:t xml:space="preserve"> seem to be </w:t>
      </w:r>
      <w:r w:rsidRPr="003F42F5">
        <w:t xml:space="preserve">rather </w:t>
      </w:r>
      <w:r w:rsidR="00291BB2" w:rsidRPr="003F42F5">
        <w:t>scarce</w:t>
      </w:r>
      <w:r w:rsidR="00291BB2" w:rsidRPr="009520BD">
        <w:rPr>
          <w:rStyle w:val="FootnoteReference"/>
          <w:rFonts w:cs="Arial"/>
        </w:rPr>
        <w:footnoteReference w:id="25"/>
      </w:r>
      <w:r w:rsidR="00291BB2" w:rsidRPr="003F42F5">
        <w:t xml:space="preserve">. </w:t>
      </w:r>
    </w:p>
    <w:p w14:paraId="0983827A" w14:textId="77777777" w:rsidR="003F42F5" w:rsidRDefault="003F42F5" w:rsidP="003A6A5F">
      <w:pPr>
        <w:widowControl w:val="0"/>
        <w:autoSpaceDE w:val="0"/>
        <w:autoSpaceDN w:val="0"/>
        <w:adjustRightInd w:val="0"/>
        <w:spacing w:after="0" w:line="240" w:lineRule="auto"/>
        <w:ind w:left="397"/>
        <w:jc w:val="both"/>
        <w:rPr>
          <w:rFonts w:cs="Arial"/>
        </w:rPr>
      </w:pPr>
    </w:p>
    <w:p w14:paraId="105E59E0" w14:textId="7E512B7D" w:rsidR="00AC1E2C" w:rsidRPr="003F42F5" w:rsidRDefault="00160822" w:rsidP="003A6A5F">
      <w:pPr>
        <w:pStyle w:val="Firstnumbering"/>
      </w:pPr>
      <w:r w:rsidRPr="003F42F5">
        <w:t>Additional</w:t>
      </w:r>
      <w:r w:rsidR="00CD6788" w:rsidRPr="003F42F5">
        <w:t xml:space="preserve"> analysis</w:t>
      </w:r>
      <w:r w:rsidR="00C9593D" w:rsidRPr="003F42F5">
        <w:t xml:space="preserve"> </w:t>
      </w:r>
      <w:r w:rsidR="00D52854" w:rsidRPr="003F42F5">
        <w:t>with the</w:t>
      </w:r>
      <w:r w:rsidR="00C9593D" w:rsidRPr="003F42F5">
        <w:t xml:space="preserve"> participation of </w:t>
      </w:r>
      <w:r w:rsidR="00A948A1" w:rsidRPr="003F42F5">
        <w:t xml:space="preserve">experts and </w:t>
      </w:r>
      <w:r w:rsidR="008C2425" w:rsidRPr="003F42F5">
        <w:t xml:space="preserve">relevant </w:t>
      </w:r>
      <w:r w:rsidR="00C9593D" w:rsidRPr="003F42F5">
        <w:t xml:space="preserve">stakeholders </w:t>
      </w:r>
      <w:r w:rsidR="00DE444D" w:rsidRPr="003F42F5">
        <w:t>i</w:t>
      </w:r>
      <w:r w:rsidR="00C9593D" w:rsidRPr="003F42F5">
        <w:t xml:space="preserve">nvolved in </w:t>
      </w:r>
      <w:r w:rsidR="00D52854" w:rsidRPr="003F42F5">
        <w:t xml:space="preserve">linear </w:t>
      </w:r>
      <w:r w:rsidR="00C9593D" w:rsidRPr="003F42F5">
        <w:t xml:space="preserve">infrastructure development is </w:t>
      </w:r>
      <w:r w:rsidR="00DE444D" w:rsidRPr="003F42F5">
        <w:t xml:space="preserve">needed to </w:t>
      </w:r>
      <w:r w:rsidR="008C2425" w:rsidRPr="003F42F5">
        <w:t xml:space="preserve">further </w:t>
      </w:r>
      <w:r w:rsidR="00172AD3" w:rsidRPr="003F42F5">
        <w:t>identify</w:t>
      </w:r>
      <w:r w:rsidR="00DE0280" w:rsidRPr="003F42F5">
        <w:t xml:space="preserve"> </w:t>
      </w:r>
      <w:r w:rsidR="007A30A7" w:rsidRPr="003F42F5">
        <w:t>priority</w:t>
      </w:r>
      <w:r w:rsidR="00DE0280" w:rsidRPr="003F42F5">
        <w:t xml:space="preserve"> areas </w:t>
      </w:r>
      <w:r w:rsidR="00674DD4" w:rsidRPr="003F42F5">
        <w:t xml:space="preserve">for intervention </w:t>
      </w:r>
      <w:r w:rsidR="00DE0280" w:rsidRPr="003F42F5">
        <w:t xml:space="preserve">under the </w:t>
      </w:r>
      <w:r w:rsidR="007A30A7" w:rsidRPr="003F42F5">
        <w:t>framework</w:t>
      </w:r>
      <w:r w:rsidR="00270FA6" w:rsidRPr="003F42F5">
        <w:t xml:space="preserve"> of </w:t>
      </w:r>
      <w:r w:rsidR="00674DD4" w:rsidRPr="003F42F5">
        <w:t>CMS</w:t>
      </w:r>
      <w:r w:rsidR="00DE444D" w:rsidRPr="003F42F5">
        <w:t xml:space="preserve">. </w:t>
      </w:r>
      <w:r w:rsidR="00720045" w:rsidRPr="003F42F5">
        <w:t xml:space="preserve">Different stakeholders </w:t>
      </w:r>
      <w:r w:rsidR="00A1480E" w:rsidRPr="003F42F5">
        <w:t>may</w:t>
      </w:r>
      <w:r w:rsidR="00720045" w:rsidRPr="003F42F5">
        <w:t xml:space="preserve"> face different challenges</w:t>
      </w:r>
      <w:r w:rsidR="004012BA" w:rsidRPr="003F42F5">
        <w:t xml:space="preserve"> in considering the conservation of migratory species</w:t>
      </w:r>
      <w:r w:rsidR="00A1480E" w:rsidRPr="003F42F5">
        <w:t xml:space="preserve"> at different stages of infrastructure development such as </w:t>
      </w:r>
      <w:r w:rsidR="00A1480E" w:rsidRPr="003F42F5">
        <w:lastRenderedPageBreak/>
        <w:t xml:space="preserve">planning, designing, </w:t>
      </w:r>
      <w:r w:rsidR="00C278BE">
        <w:t xml:space="preserve">financing </w:t>
      </w:r>
      <w:r w:rsidR="001D455B" w:rsidRPr="003F42F5">
        <w:t>and construction</w:t>
      </w:r>
      <w:r w:rsidR="004012BA" w:rsidRPr="003F42F5">
        <w:t>.</w:t>
      </w:r>
      <w:r w:rsidR="001A3721" w:rsidRPr="003F42F5">
        <w:t xml:space="preserve"> </w:t>
      </w:r>
      <w:r w:rsidR="008B4D1E" w:rsidRPr="003F42F5">
        <w:t>Therefore, a</w:t>
      </w:r>
      <w:r w:rsidR="004012BA" w:rsidRPr="003F42F5">
        <w:t xml:space="preserve"> </w:t>
      </w:r>
      <w:r w:rsidR="008B4D1E" w:rsidRPr="003F42F5">
        <w:t>multi-stakeholder approach would be useful in identifying</w:t>
      </w:r>
      <w:r w:rsidR="002602ED" w:rsidRPr="003F42F5">
        <w:t xml:space="preserve"> challenges and opportunities </w:t>
      </w:r>
      <w:r w:rsidR="000A7265" w:rsidRPr="003F42F5">
        <w:t>to better address</w:t>
      </w:r>
      <w:r w:rsidR="002602ED" w:rsidRPr="003F42F5">
        <w:t xml:space="preserve"> the impact of linear infrastructure on migratory species. </w:t>
      </w:r>
    </w:p>
    <w:p w14:paraId="4105D797" w14:textId="77777777" w:rsidR="00DE6451" w:rsidRDefault="00DE6451" w:rsidP="003A6A5F">
      <w:pPr>
        <w:widowControl w:val="0"/>
        <w:autoSpaceDE w:val="0"/>
        <w:autoSpaceDN w:val="0"/>
        <w:adjustRightInd w:val="0"/>
        <w:spacing w:after="0" w:line="240" w:lineRule="auto"/>
        <w:ind w:left="567"/>
        <w:jc w:val="both"/>
        <w:rPr>
          <w:rFonts w:cs="Arial"/>
        </w:rPr>
      </w:pPr>
    </w:p>
    <w:p w14:paraId="7B39BF39" w14:textId="7169D5B4" w:rsidR="00D8090E" w:rsidRPr="00CE06A8" w:rsidRDefault="00D8090E" w:rsidP="003A6A5F">
      <w:pPr>
        <w:widowControl w:val="0"/>
        <w:autoSpaceDE w:val="0"/>
        <w:autoSpaceDN w:val="0"/>
        <w:adjustRightInd w:val="0"/>
        <w:spacing w:after="0" w:line="240" w:lineRule="auto"/>
        <w:jc w:val="both"/>
        <w:rPr>
          <w:rFonts w:cs="Arial"/>
          <w:i/>
          <w:iCs/>
        </w:rPr>
      </w:pPr>
    </w:p>
    <w:p w14:paraId="1301B9B7" w14:textId="29415CD4" w:rsidR="00E055A5" w:rsidRPr="00CE06A8" w:rsidRDefault="00003215" w:rsidP="003A6A5F">
      <w:pPr>
        <w:widowControl w:val="0"/>
        <w:autoSpaceDE w:val="0"/>
        <w:autoSpaceDN w:val="0"/>
        <w:adjustRightInd w:val="0"/>
        <w:spacing w:after="0" w:line="240" w:lineRule="auto"/>
        <w:jc w:val="both"/>
        <w:rPr>
          <w:rFonts w:cs="Arial"/>
          <w:b/>
          <w:i/>
          <w:iCs/>
        </w:rPr>
      </w:pPr>
      <w:r>
        <w:rPr>
          <w:rFonts w:cs="Arial"/>
          <w:i/>
          <w:iCs/>
        </w:rPr>
        <w:t xml:space="preserve">Additional types of infrastructure that may impact migratory species </w:t>
      </w:r>
    </w:p>
    <w:p w14:paraId="37DE7278" w14:textId="77777777" w:rsidR="00502FDC" w:rsidRDefault="00502FDC" w:rsidP="003A6A5F">
      <w:pPr>
        <w:widowControl w:val="0"/>
        <w:autoSpaceDE w:val="0"/>
        <w:autoSpaceDN w:val="0"/>
        <w:adjustRightInd w:val="0"/>
        <w:spacing w:after="0" w:line="240" w:lineRule="auto"/>
        <w:jc w:val="both"/>
        <w:rPr>
          <w:rFonts w:cs="Arial"/>
        </w:rPr>
      </w:pPr>
    </w:p>
    <w:p w14:paraId="532901E1" w14:textId="2A3F35B1" w:rsidR="00003215" w:rsidRDefault="00003215" w:rsidP="003A6A5F">
      <w:pPr>
        <w:pStyle w:val="Firstnumbering"/>
      </w:pPr>
      <w:r>
        <w:t xml:space="preserve">In addition to linear infrastructure, there are other types of infrastructure development that are not currently being examined under workstreams of CMS. These include infrastructure associated with </w:t>
      </w:r>
      <w:r w:rsidR="003D0287">
        <w:t>rapidly expanding</w:t>
      </w:r>
      <w:r>
        <w:t xml:space="preserve"> urban areas, telecommunications, and coastal development.</w:t>
      </w:r>
    </w:p>
    <w:p w14:paraId="67DD1AE0" w14:textId="77777777" w:rsidR="00003215" w:rsidRDefault="00003215" w:rsidP="003A6A5F">
      <w:pPr>
        <w:widowControl w:val="0"/>
        <w:autoSpaceDE w:val="0"/>
        <w:autoSpaceDN w:val="0"/>
        <w:adjustRightInd w:val="0"/>
        <w:spacing w:after="0" w:line="240" w:lineRule="auto"/>
        <w:ind w:left="567"/>
        <w:jc w:val="both"/>
        <w:rPr>
          <w:rFonts w:cs="Arial"/>
        </w:rPr>
      </w:pPr>
    </w:p>
    <w:p w14:paraId="0741E9A0" w14:textId="4B92EBE9" w:rsidR="002D598F" w:rsidRDefault="00003215" w:rsidP="003A6A5F">
      <w:pPr>
        <w:pStyle w:val="Firstnumbering"/>
      </w:pPr>
      <w:r>
        <w:t>For instance, w</w:t>
      </w:r>
      <w:r w:rsidR="00502FDC">
        <w:t xml:space="preserve">hile </w:t>
      </w:r>
      <w:r w:rsidR="00502FDC" w:rsidRPr="0060682F">
        <w:rPr>
          <w:i/>
        </w:rPr>
        <w:t xml:space="preserve">CMS Family Guidelines </w:t>
      </w:r>
      <w:r w:rsidR="00502FDC" w:rsidRPr="00502FDC">
        <w:t>have</w:t>
      </w:r>
      <w:r w:rsidR="00502FDC">
        <w:t xml:space="preserve"> been prepared on noise</w:t>
      </w:r>
      <w:r w:rsidR="002A1A68">
        <w:t>-</w:t>
      </w:r>
      <w:r w:rsidR="00502FDC">
        <w:t>generating activities in the marine environment, other threats to aquatic species related to infrastructure development are not yet addressed through any guidance document</w:t>
      </w:r>
      <w:r w:rsidR="00074137">
        <w:t xml:space="preserve">. These include the </w:t>
      </w:r>
      <w:r w:rsidR="00502FDC">
        <w:t xml:space="preserve">impacts </w:t>
      </w:r>
      <w:r w:rsidR="00074137">
        <w:t>of co</w:t>
      </w:r>
      <w:r w:rsidR="002A1A68">
        <w:t>a</w:t>
      </w:r>
      <w:r w:rsidR="00074137">
        <w:t xml:space="preserve">stal development </w:t>
      </w:r>
      <w:r w:rsidR="00502FDC">
        <w:t xml:space="preserve">on turtle nesting beaches </w:t>
      </w:r>
      <w:r w:rsidR="00074137">
        <w:t xml:space="preserve">including </w:t>
      </w:r>
      <w:r w:rsidR="00502FDC" w:rsidRPr="00836410">
        <w:t xml:space="preserve">beachfront construction of homes, hotels, restaurants, and roads, </w:t>
      </w:r>
      <w:r w:rsidR="00502FDC">
        <w:t xml:space="preserve">as well as alterations </w:t>
      </w:r>
      <w:r w:rsidR="00674DD4">
        <w:t xml:space="preserve">to </w:t>
      </w:r>
      <w:r w:rsidR="00502FDC">
        <w:t>the habitats of many species through</w:t>
      </w:r>
      <w:r w:rsidR="00502FDC" w:rsidRPr="00836410">
        <w:t xml:space="preserve"> beach </w:t>
      </w:r>
      <w:proofErr w:type="spellStart"/>
      <w:r w:rsidR="00502FDC" w:rsidRPr="00836410">
        <w:t>renourishment</w:t>
      </w:r>
      <w:proofErr w:type="spellEnd"/>
      <w:r w:rsidR="00502FDC" w:rsidRPr="00836410">
        <w:t xml:space="preserve">, seawall construction, </w:t>
      </w:r>
      <w:r w:rsidR="00502FDC">
        <w:t>or</w:t>
      </w:r>
      <w:r w:rsidR="00502FDC" w:rsidRPr="00836410">
        <w:t xml:space="preserve"> nearshore dredging and oil platform construction</w:t>
      </w:r>
      <w:r w:rsidR="00502FDC">
        <w:t xml:space="preserve">. </w:t>
      </w:r>
    </w:p>
    <w:p w14:paraId="7E896B6F" w14:textId="77777777" w:rsidR="00003215" w:rsidRDefault="00003215" w:rsidP="003A6A5F">
      <w:pPr>
        <w:pStyle w:val="ListParagraph"/>
        <w:spacing w:after="0" w:line="240" w:lineRule="auto"/>
        <w:rPr>
          <w:rFonts w:cs="Arial"/>
        </w:rPr>
      </w:pPr>
    </w:p>
    <w:p w14:paraId="6092E5DE" w14:textId="75947D99" w:rsidR="00003215" w:rsidRDefault="00E646A7" w:rsidP="003A6A5F">
      <w:pPr>
        <w:pStyle w:val="Firstnumbering"/>
      </w:pPr>
      <w:r>
        <w:t xml:space="preserve">Therefore, the Secretariat could undertake additional analysis and provide guidance on addressing such threats, in collaboration with </w:t>
      </w:r>
      <w:r w:rsidR="008F7CAF">
        <w:t xml:space="preserve">the Scientific Council as well as </w:t>
      </w:r>
      <w:r>
        <w:t xml:space="preserve">other entities and experts.  </w:t>
      </w:r>
    </w:p>
    <w:p w14:paraId="6F232228" w14:textId="77777777" w:rsidR="00750DC1" w:rsidRDefault="00750DC1" w:rsidP="003A6A5F">
      <w:pPr>
        <w:spacing w:after="0" w:line="240" w:lineRule="auto"/>
        <w:rPr>
          <w:rFonts w:cs="Arial"/>
          <w:u w:val="single"/>
        </w:rPr>
      </w:pPr>
    </w:p>
    <w:p w14:paraId="19275D1A" w14:textId="77777777" w:rsidR="00642C7E" w:rsidRDefault="00642C7E" w:rsidP="003A6A5F">
      <w:pPr>
        <w:spacing w:after="0" w:line="240" w:lineRule="auto"/>
        <w:rPr>
          <w:rFonts w:cs="Arial"/>
          <w:u w:val="single"/>
        </w:rPr>
      </w:pPr>
    </w:p>
    <w:p w14:paraId="4439F645" w14:textId="1A7BC453" w:rsidR="00661875" w:rsidRPr="00CD0FE9" w:rsidRDefault="00661875" w:rsidP="003A6A5F">
      <w:pPr>
        <w:spacing w:after="0" w:line="240" w:lineRule="auto"/>
        <w:rPr>
          <w:rFonts w:cs="Arial"/>
        </w:rPr>
      </w:pPr>
      <w:r w:rsidRPr="00CD0FE9">
        <w:rPr>
          <w:rFonts w:cs="Arial"/>
          <w:u w:val="single"/>
        </w:rPr>
        <w:t>Recommended actions</w:t>
      </w:r>
    </w:p>
    <w:p w14:paraId="7EA99BA4" w14:textId="77777777" w:rsidR="00661875" w:rsidRPr="00CD0FE9" w:rsidRDefault="00661875" w:rsidP="003A6A5F">
      <w:pPr>
        <w:spacing w:after="0" w:line="240" w:lineRule="auto"/>
        <w:rPr>
          <w:rFonts w:cs="Arial"/>
        </w:rPr>
      </w:pPr>
    </w:p>
    <w:p w14:paraId="3B913D05" w14:textId="46FC7BC4" w:rsidR="005173C2" w:rsidRDefault="00661875" w:rsidP="003A6A5F">
      <w:pPr>
        <w:pStyle w:val="Firstnumbering"/>
      </w:pPr>
      <w:r w:rsidRPr="00CD0FE9">
        <w:rPr>
          <w:lang w:eastAsia="en-GB"/>
        </w:rPr>
        <w:t>The Conference of the Parties is recommended to</w:t>
      </w:r>
      <w:r w:rsidR="0023105A">
        <w:t>:</w:t>
      </w:r>
    </w:p>
    <w:p w14:paraId="5F24EA10" w14:textId="77777777" w:rsidR="0023105A" w:rsidRDefault="0023105A" w:rsidP="003A6A5F">
      <w:pPr>
        <w:widowControl w:val="0"/>
        <w:autoSpaceDE w:val="0"/>
        <w:autoSpaceDN w:val="0"/>
        <w:adjustRightInd w:val="0"/>
        <w:spacing w:after="0" w:line="240" w:lineRule="auto"/>
        <w:ind w:left="567"/>
        <w:jc w:val="both"/>
        <w:rPr>
          <w:rFonts w:cs="Arial"/>
        </w:rPr>
      </w:pPr>
    </w:p>
    <w:p w14:paraId="501895C7" w14:textId="3DDECB70" w:rsidR="006E52C1" w:rsidRDefault="006E52C1" w:rsidP="003A6A5F">
      <w:pPr>
        <w:pStyle w:val="Secondnumbering"/>
      </w:pPr>
      <w:r w:rsidRPr="003A3444">
        <w:t>adopt the draft Decision</w:t>
      </w:r>
      <w:r>
        <w:t>s</w:t>
      </w:r>
      <w:r w:rsidRPr="003A3444">
        <w:t xml:space="preserve"> contained in </w:t>
      </w:r>
      <w:r w:rsidR="00056418">
        <w:t xml:space="preserve">the </w:t>
      </w:r>
      <w:r w:rsidRPr="003A3444">
        <w:t>Annex</w:t>
      </w:r>
      <w:r w:rsidR="00056418">
        <w:t xml:space="preserve"> </w:t>
      </w:r>
      <w:r w:rsidRPr="003A3444">
        <w:t>of this documen</w:t>
      </w:r>
      <w:r>
        <w:t xml:space="preserve">t; and </w:t>
      </w:r>
    </w:p>
    <w:p w14:paraId="0B93B0A9" w14:textId="1DE8D620" w:rsidR="006E52C1" w:rsidRPr="003A3444" w:rsidRDefault="006E52C1" w:rsidP="003A6A5F">
      <w:pPr>
        <w:pStyle w:val="Secondnumbering"/>
        <w:numPr>
          <w:ilvl w:val="0"/>
          <w:numId w:val="0"/>
        </w:numPr>
        <w:ind w:left="1134"/>
      </w:pPr>
    </w:p>
    <w:p w14:paraId="4DDECA73" w14:textId="2BDFAF74" w:rsidR="005173C2" w:rsidRPr="005173C2" w:rsidRDefault="005173C2" w:rsidP="003A6A5F">
      <w:pPr>
        <w:pStyle w:val="Secondnumbering"/>
      </w:pPr>
      <w:r>
        <w:t xml:space="preserve">consider whether to add Decisions on the development of guidance on infrastructure-related </w:t>
      </w:r>
      <w:r w:rsidRPr="00EF2D20">
        <w:t xml:space="preserve">impacts on beaches </w:t>
      </w:r>
      <w:r>
        <w:t xml:space="preserve">and nearshore habitats of CMS-listed species to </w:t>
      </w:r>
      <w:r w:rsidR="00CB4C4B">
        <w:t xml:space="preserve">the draft </w:t>
      </w:r>
      <w:r>
        <w:t xml:space="preserve">Decisions </w:t>
      </w:r>
      <w:r w:rsidR="00CB4C4B">
        <w:t xml:space="preserve">contained </w:t>
      </w:r>
      <w:r>
        <w:t xml:space="preserve">in Documents </w:t>
      </w:r>
      <w:r w:rsidRPr="00EF2D20">
        <w:t xml:space="preserve">26.2.6 </w:t>
      </w:r>
      <w:r w:rsidRPr="00EF2D20">
        <w:rPr>
          <w:i/>
          <w:iCs/>
        </w:rPr>
        <w:t>Marine Turtles</w:t>
      </w:r>
      <w:r w:rsidRPr="00EF2D20">
        <w:t xml:space="preserve"> or 26.2.10 </w:t>
      </w:r>
      <w:r w:rsidRPr="00EF2D20">
        <w:rPr>
          <w:i/>
          <w:iCs/>
        </w:rPr>
        <w:t xml:space="preserve">Global Programme of Work for </w:t>
      </w:r>
      <w:r w:rsidR="00F4351A" w:rsidRPr="00EF2D20">
        <w:rPr>
          <w:i/>
          <w:iCs/>
        </w:rPr>
        <w:t>Cetaceans</w:t>
      </w:r>
      <w:r w:rsidR="00F4351A">
        <w:rPr>
          <w:i/>
          <w:iCs/>
        </w:rPr>
        <w:t>.</w:t>
      </w:r>
    </w:p>
    <w:p w14:paraId="293902C8" w14:textId="77777777" w:rsidR="005173C2" w:rsidRPr="00EF2D20" w:rsidRDefault="005173C2" w:rsidP="003A6A5F">
      <w:pPr>
        <w:pStyle w:val="ListParagraph"/>
        <w:widowControl w:val="0"/>
        <w:autoSpaceDE w:val="0"/>
        <w:autoSpaceDN w:val="0"/>
        <w:adjustRightInd w:val="0"/>
        <w:spacing w:after="0" w:line="240" w:lineRule="auto"/>
        <w:ind w:left="1080"/>
        <w:jc w:val="both"/>
        <w:rPr>
          <w:rFonts w:cs="Arial"/>
        </w:rPr>
      </w:pPr>
    </w:p>
    <w:p w14:paraId="59515A71" w14:textId="77777777" w:rsidR="00831DC2" w:rsidRDefault="00831DC2" w:rsidP="003A6A5F">
      <w:pPr>
        <w:spacing w:after="0" w:line="240" w:lineRule="auto"/>
      </w:pPr>
    </w:p>
    <w:p w14:paraId="5E2ADBD2" w14:textId="77777777" w:rsidR="00C15318" w:rsidRDefault="00C15318" w:rsidP="003A6A5F">
      <w:pPr>
        <w:pStyle w:val="ListParagraph"/>
        <w:spacing w:after="0" w:line="240" w:lineRule="auto"/>
        <w:rPr>
          <w:rFonts w:cs="Arial"/>
          <w:caps/>
        </w:rPr>
      </w:pPr>
    </w:p>
    <w:p w14:paraId="2107889B" w14:textId="4EED5E0C" w:rsidR="00056418" w:rsidRDefault="00056418" w:rsidP="003A6A5F">
      <w:pPr>
        <w:pStyle w:val="ListParagraph"/>
        <w:spacing w:after="0" w:line="240" w:lineRule="auto"/>
        <w:rPr>
          <w:rFonts w:cs="Arial"/>
          <w:caps/>
        </w:rPr>
        <w:sectPr w:rsidR="00056418" w:rsidSect="005534EC">
          <w:headerReference w:type="even" r:id="rId15"/>
          <w:headerReference w:type="first" r:id="rId16"/>
          <w:footerReference w:type="first" r:id="rId17"/>
          <w:pgSz w:w="11906" w:h="16838" w:code="9"/>
          <w:pgMar w:top="1134" w:right="1134" w:bottom="1134" w:left="1134" w:header="720" w:footer="720" w:gutter="0"/>
          <w:cols w:space="720"/>
          <w:titlePg/>
          <w:docGrid w:linePitch="360"/>
        </w:sectPr>
      </w:pPr>
    </w:p>
    <w:p w14:paraId="74AA33E1" w14:textId="16C80855" w:rsidR="00056418" w:rsidRDefault="00056418" w:rsidP="003A6A5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right"/>
        <w:textAlignment w:val="baseline"/>
        <w:outlineLvl w:val="1"/>
        <w:rPr>
          <w:rFonts w:eastAsia="Times New Roman" w:cs="Arial"/>
          <w:b/>
          <w:bCs/>
        </w:rPr>
      </w:pPr>
      <w:r>
        <w:rPr>
          <w:rFonts w:eastAsia="Times New Roman" w:cs="Arial"/>
          <w:b/>
          <w:bCs/>
        </w:rPr>
        <w:lastRenderedPageBreak/>
        <w:t xml:space="preserve">ANNEX </w:t>
      </w:r>
    </w:p>
    <w:p w14:paraId="21BC416D" w14:textId="1907922D" w:rsidR="005534EC" w:rsidRDefault="005534EC" w:rsidP="003A6A5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cs="Arial"/>
        </w:rPr>
      </w:pPr>
    </w:p>
    <w:p w14:paraId="527F9692" w14:textId="77777777" w:rsidR="005534EC" w:rsidRDefault="005534EC" w:rsidP="003A6A5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cs="Arial"/>
        </w:rPr>
      </w:pPr>
    </w:p>
    <w:p w14:paraId="6B9B3219" w14:textId="0929C020" w:rsidR="005534EC" w:rsidRPr="00CD0FE9" w:rsidRDefault="005534EC" w:rsidP="003A6A5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cs="Arial"/>
        </w:rPr>
      </w:pPr>
      <w:r>
        <w:rPr>
          <w:rFonts w:cs="Arial"/>
        </w:rPr>
        <w:t>DRAFT</w:t>
      </w:r>
      <w:r w:rsidRPr="00CD0FE9">
        <w:rPr>
          <w:rFonts w:cs="Arial"/>
        </w:rPr>
        <w:t xml:space="preserve"> DECISIONS</w:t>
      </w:r>
      <w:r>
        <w:rPr>
          <w:rFonts w:cs="Arial"/>
        </w:rPr>
        <w:t xml:space="preserve"> </w:t>
      </w:r>
    </w:p>
    <w:p w14:paraId="1F572896" w14:textId="77777777" w:rsidR="005534EC" w:rsidRDefault="005534EC" w:rsidP="003A6A5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p>
    <w:p w14:paraId="3F343045" w14:textId="726ECA63" w:rsidR="00074137" w:rsidRDefault="00074137" w:rsidP="003A6A5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r>
        <w:rPr>
          <w:rFonts w:eastAsia="Times New Roman" w:cs="Arial"/>
          <w:b/>
          <w:bCs/>
        </w:rPr>
        <w:t>INFRASTRUCTURE DEVELOPMENT AND MIGRATORY SPECIES</w:t>
      </w:r>
    </w:p>
    <w:p w14:paraId="603785C1" w14:textId="3BDDCC36" w:rsidR="00074137" w:rsidRDefault="00074137" w:rsidP="003A6A5F">
      <w:pPr>
        <w:spacing w:after="0" w:line="240" w:lineRule="auto"/>
        <w:jc w:val="both"/>
        <w:rPr>
          <w:rFonts w:cs="Arial"/>
        </w:rPr>
      </w:pPr>
    </w:p>
    <w:p w14:paraId="46F01972" w14:textId="77777777" w:rsidR="005534EC" w:rsidRPr="00CD0FE9" w:rsidRDefault="005534EC" w:rsidP="003A6A5F">
      <w:pPr>
        <w:spacing w:after="0" w:line="240" w:lineRule="auto"/>
        <w:jc w:val="both"/>
        <w:rPr>
          <w:rFonts w:cs="Arial"/>
        </w:rPr>
      </w:pPr>
    </w:p>
    <w:p w14:paraId="4D13202B" w14:textId="77777777" w:rsidR="00074137" w:rsidRPr="00CD0FE9" w:rsidRDefault="00074137" w:rsidP="003A6A5F">
      <w:pPr>
        <w:spacing w:after="0" w:line="240" w:lineRule="auto"/>
        <w:jc w:val="both"/>
        <w:rPr>
          <w:rFonts w:cs="Arial"/>
          <w:b/>
          <w:i/>
        </w:rPr>
      </w:pPr>
      <w:bookmarkStart w:id="1" w:name="_Hlk20832630"/>
      <w:r w:rsidRPr="00CD0FE9">
        <w:rPr>
          <w:rFonts w:cs="Arial"/>
          <w:b/>
          <w:i/>
        </w:rPr>
        <w:t xml:space="preserve">Directed to Parties </w:t>
      </w:r>
    </w:p>
    <w:p w14:paraId="71C5F067" w14:textId="77777777" w:rsidR="00074137" w:rsidRPr="00CD0FE9" w:rsidRDefault="00074137" w:rsidP="003A6A5F">
      <w:pPr>
        <w:spacing w:after="0" w:line="240" w:lineRule="auto"/>
        <w:jc w:val="both"/>
        <w:rPr>
          <w:rFonts w:cs="Arial"/>
        </w:rPr>
      </w:pPr>
    </w:p>
    <w:p w14:paraId="51A49701" w14:textId="1C10173C" w:rsidR="00074137" w:rsidRDefault="00074137" w:rsidP="003A6A5F">
      <w:pPr>
        <w:spacing w:after="0" w:line="240" w:lineRule="auto"/>
        <w:ind w:left="851" w:hanging="851"/>
        <w:jc w:val="both"/>
        <w:rPr>
          <w:rFonts w:cs="Arial"/>
          <w:iCs/>
        </w:rPr>
      </w:pPr>
      <w:r w:rsidRPr="00CD0FE9">
        <w:rPr>
          <w:rFonts w:cs="Arial"/>
        </w:rPr>
        <w:t>1</w:t>
      </w:r>
      <w:r>
        <w:rPr>
          <w:rFonts w:cs="Arial"/>
        </w:rPr>
        <w:t>3</w:t>
      </w:r>
      <w:r w:rsidRPr="00CD0FE9">
        <w:rPr>
          <w:rFonts w:cs="Arial"/>
        </w:rPr>
        <w:t>.AA</w:t>
      </w:r>
      <w:r w:rsidRPr="00CD0FE9">
        <w:rPr>
          <w:rFonts w:cs="Arial"/>
        </w:rPr>
        <w:tab/>
      </w:r>
      <w:r w:rsidRPr="00CD0FE9">
        <w:rPr>
          <w:rFonts w:cs="Arial"/>
          <w:iCs/>
        </w:rPr>
        <w:t xml:space="preserve">Parties are </w:t>
      </w:r>
      <w:r w:rsidR="002A1A68">
        <w:rPr>
          <w:rFonts w:cs="Arial"/>
          <w:iCs/>
        </w:rPr>
        <w:t>requested</w:t>
      </w:r>
      <w:r w:rsidR="002A1A68" w:rsidRPr="00CD0FE9">
        <w:rPr>
          <w:rFonts w:cs="Arial"/>
          <w:iCs/>
        </w:rPr>
        <w:t xml:space="preserve"> </w:t>
      </w:r>
      <w:r w:rsidRPr="00CD0FE9">
        <w:rPr>
          <w:rFonts w:cs="Arial"/>
          <w:iCs/>
        </w:rPr>
        <w:t>to</w:t>
      </w:r>
      <w:r>
        <w:rPr>
          <w:rFonts w:cs="Arial"/>
          <w:iCs/>
        </w:rPr>
        <w:t xml:space="preserve"> report on measures taken to implement Resolution 7.2 (Rev.COP12), paragraph 2 and share information on challenges, lessons learnt and needs for further capacity development.</w:t>
      </w:r>
    </w:p>
    <w:p w14:paraId="22EDB24A" w14:textId="77777777" w:rsidR="00074137" w:rsidRDefault="00074137" w:rsidP="003A6A5F">
      <w:pPr>
        <w:spacing w:after="0" w:line="240" w:lineRule="auto"/>
        <w:jc w:val="both"/>
        <w:rPr>
          <w:rFonts w:cs="Arial"/>
          <w:b/>
          <w:i/>
        </w:rPr>
      </w:pPr>
    </w:p>
    <w:p w14:paraId="13DD8A64" w14:textId="77777777" w:rsidR="00074137" w:rsidRDefault="00074137" w:rsidP="003A6A5F">
      <w:pPr>
        <w:spacing w:after="0" w:line="240" w:lineRule="auto"/>
        <w:jc w:val="both"/>
        <w:rPr>
          <w:rFonts w:cs="Arial"/>
          <w:b/>
          <w:i/>
        </w:rPr>
      </w:pPr>
      <w:r w:rsidRPr="00CD0FE9">
        <w:rPr>
          <w:rFonts w:cs="Arial"/>
          <w:b/>
          <w:i/>
        </w:rPr>
        <w:t xml:space="preserve">Directed to </w:t>
      </w:r>
      <w:r>
        <w:rPr>
          <w:rFonts w:cs="Arial"/>
          <w:b/>
          <w:i/>
        </w:rPr>
        <w:t>the Scientific Council</w:t>
      </w:r>
    </w:p>
    <w:p w14:paraId="3512D913" w14:textId="77777777" w:rsidR="00074137" w:rsidRDefault="00074137" w:rsidP="003A6A5F">
      <w:pPr>
        <w:spacing w:after="0" w:line="240" w:lineRule="auto"/>
        <w:jc w:val="both"/>
        <w:rPr>
          <w:rFonts w:cs="Arial"/>
          <w:b/>
        </w:rPr>
      </w:pPr>
    </w:p>
    <w:p w14:paraId="2F1E70F7" w14:textId="3F566CD6" w:rsidR="00074137" w:rsidRPr="00483FAE" w:rsidRDefault="00074137" w:rsidP="003A6A5F">
      <w:pPr>
        <w:spacing w:after="0" w:line="240" w:lineRule="auto"/>
        <w:ind w:left="794" w:hanging="794"/>
        <w:jc w:val="both"/>
        <w:rPr>
          <w:rFonts w:cs="Arial"/>
          <w:iCs/>
        </w:rPr>
      </w:pPr>
      <w:r>
        <w:rPr>
          <w:rFonts w:cs="Arial"/>
        </w:rPr>
        <w:t>13.BB</w:t>
      </w:r>
      <w:r>
        <w:rPr>
          <w:rFonts w:cs="Arial"/>
        </w:rPr>
        <w:tab/>
      </w:r>
      <w:proofErr w:type="gramStart"/>
      <w:r w:rsidRPr="00BD72AF">
        <w:rPr>
          <w:rFonts w:cs="Arial"/>
          <w:iCs/>
        </w:rPr>
        <w:t>The</w:t>
      </w:r>
      <w:proofErr w:type="gramEnd"/>
      <w:r w:rsidRPr="00BD72AF">
        <w:rPr>
          <w:rFonts w:cs="Arial"/>
          <w:iCs/>
        </w:rPr>
        <w:t xml:space="preserve"> Scientific Council </w:t>
      </w:r>
      <w:r>
        <w:rPr>
          <w:rFonts w:cs="Arial"/>
          <w:iCs/>
        </w:rPr>
        <w:t>is requested to establish a multi-stakeholder Working Group on linear infrastructure composed of stakeholders with experience and knowledge on the impact of linear infrastructure development on migratory species</w:t>
      </w:r>
      <w:r w:rsidR="008B1F5A" w:rsidRPr="008B1F5A">
        <w:rPr>
          <w:rFonts w:cs="Arial"/>
          <w:iCs/>
        </w:rPr>
        <w:t xml:space="preserve"> </w:t>
      </w:r>
      <w:r w:rsidR="008B1F5A">
        <w:rPr>
          <w:rFonts w:cs="Arial"/>
          <w:iCs/>
        </w:rPr>
        <w:t>and options for mitigation</w:t>
      </w:r>
      <w:r>
        <w:rPr>
          <w:rFonts w:cs="Arial"/>
          <w:iCs/>
        </w:rPr>
        <w:t xml:space="preserve">. The Working Group shall:  </w:t>
      </w:r>
    </w:p>
    <w:p w14:paraId="3DE07D03" w14:textId="77777777" w:rsidR="00074137" w:rsidRDefault="00074137" w:rsidP="003A6A5F">
      <w:pPr>
        <w:pStyle w:val="ListParagraph"/>
        <w:spacing w:after="0" w:line="240" w:lineRule="auto"/>
        <w:ind w:left="1514"/>
        <w:jc w:val="both"/>
        <w:rPr>
          <w:rFonts w:cs="Arial"/>
          <w:iCs/>
        </w:rPr>
      </w:pPr>
    </w:p>
    <w:p w14:paraId="519964D5" w14:textId="719A1D3D" w:rsidR="00E646A7" w:rsidRDefault="00674DD4" w:rsidP="003A6A5F">
      <w:pPr>
        <w:pStyle w:val="ListParagraph"/>
        <w:numPr>
          <w:ilvl w:val="0"/>
          <w:numId w:val="18"/>
        </w:numPr>
        <w:spacing w:after="0" w:line="240" w:lineRule="auto"/>
        <w:ind w:left="1154"/>
        <w:jc w:val="both"/>
        <w:rPr>
          <w:rFonts w:cs="Arial"/>
          <w:iCs/>
        </w:rPr>
      </w:pPr>
      <w:r>
        <w:rPr>
          <w:rFonts w:cs="Arial"/>
          <w:iCs/>
        </w:rPr>
        <w:t>r</w:t>
      </w:r>
      <w:r w:rsidR="00074137">
        <w:rPr>
          <w:rFonts w:cs="Arial"/>
          <w:iCs/>
        </w:rPr>
        <w:t xml:space="preserve">eview </w:t>
      </w:r>
      <w:r w:rsidR="00E646A7">
        <w:rPr>
          <w:rFonts w:cs="Arial"/>
          <w:iCs/>
        </w:rPr>
        <w:t xml:space="preserve">available information relevant to linear infrastructure development and potential impacts on migratory species, </w:t>
      </w:r>
      <w:r w:rsidR="00074137">
        <w:rPr>
          <w:rFonts w:cs="Arial"/>
          <w:iCs/>
        </w:rPr>
        <w:t xml:space="preserve">the compilation of responses </w:t>
      </w:r>
      <w:r w:rsidR="002A1A68">
        <w:rPr>
          <w:rFonts w:cs="Arial"/>
          <w:iCs/>
        </w:rPr>
        <w:t xml:space="preserve">received under </w:t>
      </w:r>
      <w:r w:rsidR="00074137">
        <w:rPr>
          <w:rFonts w:cs="Arial"/>
          <w:iCs/>
        </w:rPr>
        <w:t xml:space="preserve">Decision 13.AA as </w:t>
      </w:r>
      <w:r w:rsidR="00A42EF8">
        <w:rPr>
          <w:rFonts w:cs="Arial"/>
          <w:iCs/>
        </w:rPr>
        <w:t xml:space="preserve">compiled </w:t>
      </w:r>
      <w:r w:rsidR="00074137">
        <w:rPr>
          <w:rFonts w:cs="Arial"/>
          <w:iCs/>
        </w:rPr>
        <w:t>by the Secretariat in accordance with Decision 13.</w:t>
      </w:r>
      <w:r w:rsidR="002A1A68">
        <w:rPr>
          <w:rFonts w:cs="Arial"/>
          <w:iCs/>
        </w:rPr>
        <w:t>DD</w:t>
      </w:r>
      <w:r w:rsidR="00074137">
        <w:rPr>
          <w:rFonts w:cs="Arial"/>
          <w:iCs/>
        </w:rPr>
        <w:t xml:space="preserve"> (a)</w:t>
      </w:r>
      <w:r w:rsidR="00E646A7">
        <w:rPr>
          <w:rFonts w:cs="Arial"/>
          <w:iCs/>
        </w:rPr>
        <w:t>, and other relevant information</w:t>
      </w:r>
      <w:r w:rsidR="008F7CAF">
        <w:rPr>
          <w:rFonts w:cs="Arial"/>
          <w:iCs/>
        </w:rPr>
        <w:t>;</w:t>
      </w:r>
    </w:p>
    <w:p w14:paraId="40298261" w14:textId="0870F800" w:rsidR="008F7CAF" w:rsidRDefault="008F7CAF" w:rsidP="003A6A5F">
      <w:pPr>
        <w:pStyle w:val="ListParagraph"/>
        <w:spacing w:after="0" w:line="240" w:lineRule="auto"/>
        <w:ind w:left="1154"/>
        <w:jc w:val="both"/>
        <w:rPr>
          <w:rFonts w:cs="Arial"/>
          <w:iCs/>
        </w:rPr>
      </w:pPr>
    </w:p>
    <w:p w14:paraId="6828A84A" w14:textId="4060A2A6" w:rsidR="00074137" w:rsidRDefault="00074137" w:rsidP="003A6A5F">
      <w:pPr>
        <w:pStyle w:val="ListParagraph"/>
        <w:numPr>
          <w:ilvl w:val="0"/>
          <w:numId w:val="18"/>
        </w:numPr>
        <w:spacing w:after="0" w:line="240" w:lineRule="auto"/>
        <w:ind w:left="1154"/>
        <w:jc w:val="both"/>
        <w:rPr>
          <w:rFonts w:cs="Arial"/>
          <w:iCs/>
        </w:rPr>
      </w:pPr>
      <w:r>
        <w:rPr>
          <w:rFonts w:cs="Arial"/>
          <w:iCs/>
        </w:rPr>
        <w:t xml:space="preserve">identify areas where further assistance is needed to enhance the implementation of Resolution 7.2 (Rev.COP12) paragraph 2, which urges </w:t>
      </w:r>
      <w:r w:rsidRPr="004B4828">
        <w:rPr>
          <w:rFonts w:cs="Arial"/>
          <w:i/>
          <w:iCs/>
        </w:rPr>
        <w:t>Parties to include in EIA and SEA, wherever relevant, as complete a consideration as possible of effects involving impediments to migration, in furtherance of Article III (4) (b) of the Convention, of transboundary effects on migratory species, and of impacts on migratory patterns or on migratory ranges</w:t>
      </w:r>
      <w:r>
        <w:rPr>
          <w:rFonts w:cs="Arial"/>
          <w:iCs/>
        </w:rPr>
        <w:t>;</w:t>
      </w:r>
    </w:p>
    <w:p w14:paraId="7ACD14AB" w14:textId="77777777" w:rsidR="00074137" w:rsidRPr="00483FAE" w:rsidRDefault="00074137" w:rsidP="003A6A5F">
      <w:pPr>
        <w:pStyle w:val="ListParagraph"/>
        <w:spacing w:after="0" w:line="240" w:lineRule="auto"/>
        <w:ind w:left="1154"/>
        <w:jc w:val="both"/>
        <w:rPr>
          <w:rFonts w:cs="Arial"/>
          <w:iCs/>
        </w:rPr>
      </w:pPr>
    </w:p>
    <w:p w14:paraId="19E29729" w14:textId="39115ADA" w:rsidR="003C5ECE" w:rsidRPr="003C5ECE" w:rsidRDefault="00674DD4" w:rsidP="003A6A5F">
      <w:pPr>
        <w:pStyle w:val="ListParagraph"/>
        <w:numPr>
          <w:ilvl w:val="0"/>
          <w:numId w:val="18"/>
        </w:numPr>
        <w:spacing w:after="0" w:line="240" w:lineRule="auto"/>
        <w:ind w:left="1154"/>
        <w:jc w:val="both"/>
        <w:rPr>
          <w:rFonts w:cs="Arial"/>
          <w:iCs/>
        </w:rPr>
      </w:pPr>
      <w:r>
        <w:rPr>
          <w:rFonts w:cs="Arial"/>
          <w:iCs/>
        </w:rPr>
        <w:t>d</w:t>
      </w:r>
      <w:r w:rsidR="00074137">
        <w:rPr>
          <w:rFonts w:cs="Arial"/>
          <w:iCs/>
        </w:rPr>
        <w:t xml:space="preserve">evelop a workplan and identify priority tasks for the Working Group based on the </w:t>
      </w:r>
      <w:r w:rsidR="0024187C">
        <w:rPr>
          <w:rFonts w:cs="Arial"/>
          <w:iCs/>
        </w:rPr>
        <w:t xml:space="preserve">existing </w:t>
      </w:r>
      <w:r w:rsidR="002A1A68">
        <w:rPr>
          <w:rFonts w:cs="Arial"/>
          <w:iCs/>
        </w:rPr>
        <w:t>information, such as standards, guidelines</w:t>
      </w:r>
      <w:r w:rsidR="00E640E1">
        <w:rPr>
          <w:rFonts w:cs="Arial"/>
          <w:iCs/>
        </w:rPr>
        <w:t>,</w:t>
      </w:r>
      <w:r w:rsidR="002A1A68">
        <w:rPr>
          <w:rFonts w:cs="Arial"/>
          <w:iCs/>
        </w:rPr>
        <w:t xml:space="preserve"> best practices </w:t>
      </w:r>
      <w:r w:rsidR="003760F9">
        <w:rPr>
          <w:rFonts w:cs="Arial"/>
        </w:rPr>
        <w:t>related to addressing the impact of linear infrastructure development</w:t>
      </w:r>
      <w:r w:rsidR="003760F9">
        <w:rPr>
          <w:rFonts w:cs="Arial"/>
          <w:iCs/>
        </w:rPr>
        <w:t xml:space="preserve"> </w:t>
      </w:r>
      <w:r w:rsidR="002A1A68">
        <w:rPr>
          <w:rFonts w:cs="Arial"/>
          <w:iCs/>
        </w:rPr>
        <w:t>as well as</w:t>
      </w:r>
      <w:r w:rsidR="00E640E1">
        <w:rPr>
          <w:rFonts w:cs="Arial"/>
          <w:iCs/>
        </w:rPr>
        <w:t xml:space="preserve"> </w:t>
      </w:r>
      <w:r w:rsidR="0024187C">
        <w:rPr>
          <w:rFonts w:cs="Arial"/>
          <w:iCs/>
        </w:rPr>
        <w:t xml:space="preserve">the </w:t>
      </w:r>
      <w:r w:rsidR="00074137">
        <w:rPr>
          <w:rFonts w:cs="Arial"/>
          <w:iCs/>
        </w:rPr>
        <w:t xml:space="preserve">review </w:t>
      </w:r>
      <w:r w:rsidR="00E640E1">
        <w:rPr>
          <w:rFonts w:cs="Arial"/>
          <w:iCs/>
        </w:rPr>
        <w:t xml:space="preserve">of the compilation </w:t>
      </w:r>
      <w:r w:rsidR="008E1A81">
        <w:rPr>
          <w:rFonts w:cs="Arial"/>
          <w:iCs/>
        </w:rPr>
        <w:t xml:space="preserve">under </w:t>
      </w:r>
      <w:r w:rsidR="006D5C17">
        <w:rPr>
          <w:rFonts w:cs="Arial"/>
          <w:iCs/>
        </w:rPr>
        <w:t>paragraph</w:t>
      </w:r>
      <w:r w:rsidR="00074137">
        <w:rPr>
          <w:rFonts w:cs="Arial"/>
          <w:iCs/>
        </w:rPr>
        <w:t xml:space="preserve"> (a);</w:t>
      </w:r>
    </w:p>
    <w:p w14:paraId="3BFE0369" w14:textId="77777777" w:rsidR="00074137" w:rsidRPr="003C5ECE" w:rsidRDefault="00074137" w:rsidP="003A6A5F">
      <w:pPr>
        <w:spacing w:after="0" w:line="240" w:lineRule="auto"/>
        <w:jc w:val="both"/>
        <w:rPr>
          <w:rFonts w:cs="Arial"/>
          <w:iCs/>
        </w:rPr>
      </w:pPr>
    </w:p>
    <w:p w14:paraId="7AED2F04" w14:textId="2F9B882F" w:rsidR="00CC5B18" w:rsidRDefault="00674DD4" w:rsidP="003A6A5F">
      <w:pPr>
        <w:pStyle w:val="ListParagraph"/>
        <w:numPr>
          <w:ilvl w:val="0"/>
          <w:numId w:val="18"/>
        </w:numPr>
        <w:spacing w:after="0" w:line="240" w:lineRule="auto"/>
        <w:ind w:left="1154"/>
        <w:jc w:val="both"/>
        <w:rPr>
          <w:rFonts w:cs="Arial"/>
          <w:iCs/>
        </w:rPr>
      </w:pPr>
      <w:r>
        <w:rPr>
          <w:rFonts w:cs="Arial"/>
          <w:iCs/>
        </w:rPr>
        <w:t>p</w:t>
      </w:r>
      <w:r w:rsidR="00074137">
        <w:rPr>
          <w:rFonts w:cs="Arial"/>
          <w:iCs/>
        </w:rPr>
        <w:t xml:space="preserve">rovide recommendations on the future direction of work under the Convention to </w:t>
      </w:r>
      <w:r w:rsidR="00524E4A">
        <w:rPr>
          <w:rFonts w:cs="Arial"/>
          <w:iCs/>
        </w:rPr>
        <w:t>support Parties in</w:t>
      </w:r>
      <w:r w:rsidR="00074137">
        <w:rPr>
          <w:rFonts w:cs="Arial"/>
          <w:iCs/>
        </w:rPr>
        <w:t xml:space="preserve"> address</w:t>
      </w:r>
      <w:r w:rsidR="001E43C1">
        <w:rPr>
          <w:rFonts w:cs="Arial"/>
          <w:iCs/>
        </w:rPr>
        <w:t>ing</w:t>
      </w:r>
      <w:r w:rsidR="00074137">
        <w:rPr>
          <w:rFonts w:cs="Arial"/>
          <w:iCs/>
        </w:rPr>
        <w:t xml:space="preserve"> the impact of linear infrastructure on migratory species</w:t>
      </w:r>
      <w:r w:rsidR="003D0287">
        <w:rPr>
          <w:rFonts w:cs="Arial"/>
          <w:iCs/>
        </w:rPr>
        <w:t>.</w:t>
      </w:r>
    </w:p>
    <w:p w14:paraId="328D3046" w14:textId="5CE6AF81" w:rsidR="001370D1" w:rsidRPr="001370D1" w:rsidRDefault="001370D1" w:rsidP="003A6A5F">
      <w:pPr>
        <w:spacing w:after="0" w:line="240" w:lineRule="auto"/>
        <w:ind w:left="1154"/>
        <w:jc w:val="both"/>
        <w:rPr>
          <w:rFonts w:cs="Arial"/>
          <w:iCs/>
        </w:rPr>
      </w:pPr>
    </w:p>
    <w:p w14:paraId="5D119F8C" w14:textId="77777777" w:rsidR="003760F9" w:rsidRDefault="003760F9" w:rsidP="003A6A5F">
      <w:pPr>
        <w:pStyle w:val="ListParagraph"/>
        <w:spacing w:after="0" w:line="240" w:lineRule="auto"/>
        <w:ind w:left="1514"/>
        <w:jc w:val="both"/>
        <w:rPr>
          <w:rFonts w:cs="Arial"/>
          <w:iCs/>
        </w:rPr>
      </w:pPr>
    </w:p>
    <w:p w14:paraId="10744714" w14:textId="77777777" w:rsidR="00074137" w:rsidRDefault="00074137" w:rsidP="003A6A5F">
      <w:pPr>
        <w:spacing w:after="0" w:line="240" w:lineRule="auto"/>
        <w:jc w:val="both"/>
        <w:rPr>
          <w:rFonts w:cs="Arial"/>
          <w:iCs/>
        </w:rPr>
      </w:pPr>
    </w:p>
    <w:p w14:paraId="6E8AC988" w14:textId="4EC7D9DA" w:rsidR="001370D1" w:rsidRDefault="00074137" w:rsidP="003A6A5F">
      <w:pPr>
        <w:spacing w:after="0" w:line="240" w:lineRule="auto"/>
        <w:ind w:left="794" w:hanging="794"/>
        <w:jc w:val="both"/>
        <w:rPr>
          <w:rFonts w:cs="Arial"/>
        </w:rPr>
      </w:pPr>
      <w:r w:rsidRPr="00C004D6">
        <w:rPr>
          <w:rFonts w:cs="Arial"/>
        </w:rPr>
        <w:t xml:space="preserve">13.CC </w:t>
      </w:r>
      <w:r w:rsidRPr="00C004D6">
        <w:rPr>
          <w:rFonts w:cs="Arial"/>
        </w:rPr>
        <w:tab/>
      </w:r>
      <w:proofErr w:type="gramStart"/>
      <w:r w:rsidRPr="00C004D6">
        <w:rPr>
          <w:rFonts w:cs="Arial"/>
        </w:rPr>
        <w:t>The</w:t>
      </w:r>
      <w:proofErr w:type="gramEnd"/>
      <w:r w:rsidRPr="00C004D6">
        <w:rPr>
          <w:rFonts w:cs="Arial"/>
        </w:rPr>
        <w:t xml:space="preserve"> Scientific Council is </w:t>
      </w:r>
      <w:r w:rsidR="00B5671A">
        <w:rPr>
          <w:rFonts w:cs="Arial"/>
        </w:rPr>
        <w:t xml:space="preserve">further </w:t>
      </w:r>
      <w:r w:rsidRPr="00C004D6">
        <w:rPr>
          <w:rFonts w:cs="Arial"/>
        </w:rPr>
        <w:t>requested to</w:t>
      </w:r>
      <w:r w:rsidR="001370D1">
        <w:rPr>
          <w:rFonts w:cs="Arial"/>
        </w:rPr>
        <w:t>:</w:t>
      </w:r>
    </w:p>
    <w:p w14:paraId="1F278D1D" w14:textId="77777777" w:rsidR="001370D1" w:rsidRDefault="001370D1" w:rsidP="003A6A5F">
      <w:pPr>
        <w:spacing w:after="0" w:line="240" w:lineRule="auto"/>
        <w:ind w:left="794" w:hanging="794"/>
        <w:jc w:val="both"/>
        <w:rPr>
          <w:rFonts w:cs="Arial"/>
        </w:rPr>
      </w:pPr>
    </w:p>
    <w:p w14:paraId="4E2D62F4" w14:textId="63AEBCE4" w:rsidR="001370D1" w:rsidRPr="00E646A7" w:rsidRDefault="00A4619D" w:rsidP="003A6A5F">
      <w:pPr>
        <w:widowControl w:val="0"/>
        <w:numPr>
          <w:ilvl w:val="0"/>
          <w:numId w:val="13"/>
        </w:numPr>
        <w:autoSpaceDE w:val="0"/>
        <w:autoSpaceDN w:val="0"/>
        <w:adjustRightInd w:val="0"/>
        <w:spacing w:after="0" w:line="240" w:lineRule="auto"/>
        <w:ind w:left="1418" w:hanging="567"/>
        <w:jc w:val="both"/>
        <w:rPr>
          <w:rFonts w:cs="Arial"/>
        </w:rPr>
      </w:pPr>
      <w:r w:rsidRPr="00D15970">
        <w:rPr>
          <w:rFonts w:cs="Arial"/>
        </w:rPr>
        <w:t>identify</w:t>
      </w:r>
      <w:r w:rsidR="00A30029" w:rsidRPr="00D15970">
        <w:rPr>
          <w:rFonts w:cs="Arial"/>
        </w:rPr>
        <w:t xml:space="preserve"> </w:t>
      </w:r>
      <w:r w:rsidR="00544D89" w:rsidRPr="00D15970">
        <w:rPr>
          <w:rFonts w:cs="Arial"/>
        </w:rPr>
        <w:t>the</w:t>
      </w:r>
      <w:r w:rsidR="001370D1" w:rsidRPr="00D15970">
        <w:rPr>
          <w:rFonts w:cs="Arial"/>
        </w:rPr>
        <w:t xml:space="preserve"> types of infrastructure</w:t>
      </w:r>
      <w:r w:rsidR="00544D89" w:rsidRPr="00D15970">
        <w:rPr>
          <w:rFonts w:cs="Arial"/>
        </w:rPr>
        <w:t xml:space="preserve"> </w:t>
      </w:r>
      <w:r w:rsidR="001370D1" w:rsidRPr="00D15970">
        <w:rPr>
          <w:rFonts w:cs="Arial"/>
        </w:rPr>
        <w:t xml:space="preserve">that </w:t>
      </w:r>
      <w:r w:rsidR="0062055A" w:rsidRPr="00D15970">
        <w:rPr>
          <w:rFonts w:cs="Arial"/>
        </w:rPr>
        <w:t>have</w:t>
      </w:r>
      <w:r w:rsidR="001370D1" w:rsidRPr="00D15970">
        <w:rPr>
          <w:rFonts w:cs="Arial"/>
        </w:rPr>
        <w:t xml:space="preserve"> not </w:t>
      </w:r>
      <w:r w:rsidR="00125AEE" w:rsidRPr="00D15970">
        <w:rPr>
          <w:rFonts w:cs="Arial"/>
        </w:rPr>
        <w:t xml:space="preserve">been </w:t>
      </w:r>
      <w:r w:rsidR="001370D1" w:rsidRPr="00D15970">
        <w:rPr>
          <w:rFonts w:cs="Arial"/>
        </w:rPr>
        <w:t xml:space="preserve">addressed under </w:t>
      </w:r>
      <w:r w:rsidR="00544D89" w:rsidRPr="00D15970">
        <w:rPr>
          <w:rFonts w:cs="Arial"/>
        </w:rPr>
        <w:t xml:space="preserve">CMS </w:t>
      </w:r>
      <w:r w:rsidR="002F524B" w:rsidRPr="00D15970">
        <w:rPr>
          <w:rFonts w:cs="Arial"/>
        </w:rPr>
        <w:t xml:space="preserve">and are of </w:t>
      </w:r>
      <w:proofErr w:type="gramStart"/>
      <w:r w:rsidR="002F524B" w:rsidRPr="00D15970">
        <w:rPr>
          <w:rFonts w:cs="Arial"/>
        </w:rPr>
        <w:t>particular relevance</w:t>
      </w:r>
      <w:proofErr w:type="gramEnd"/>
      <w:r w:rsidR="002F524B" w:rsidRPr="00D15970">
        <w:rPr>
          <w:rFonts w:cs="Arial"/>
        </w:rPr>
        <w:t xml:space="preserve"> to the conservation of CMS-listed species</w:t>
      </w:r>
      <w:r w:rsidR="00E646A7">
        <w:rPr>
          <w:rFonts w:cs="Arial"/>
        </w:rPr>
        <w:t xml:space="preserve">, </w:t>
      </w:r>
      <w:r w:rsidR="00E646A7" w:rsidRPr="00E646A7">
        <w:rPr>
          <w:rFonts w:cs="Arial"/>
        </w:rPr>
        <w:t>provide advice on possible actions that could be taken to address such infrastructure,</w:t>
      </w:r>
      <w:r w:rsidR="002F524B" w:rsidRPr="00E646A7">
        <w:rPr>
          <w:rFonts w:cs="Arial"/>
        </w:rPr>
        <w:t xml:space="preserve"> and</w:t>
      </w:r>
      <w:r w:rsidR="00D805BD" w:rsidRPr="00E646A7">
        <w:rPr>
          <w:rFonts w:cs="Arial"/>
        </w:rPr>
        <w:t xml:space="preserve"> </w:t>
      </w:r>
      <w:r w:rsidRPr="00E646A7">
        <w:rPr>
          <w:rFonts w:cs="Arial"/>
        </w:rPr>
        <w:t>report the finding</w:t>
      </w:r>
      <w:r w:rsidR="00BA4ACF" w:rsidRPr="00E646A7">
        <w:rPr>
          <w:rFonts w:cs="Arial"/>
        </w:rPr>
        <w:t xml:space="preserve">s </w:t>
      </w:r>
      <w:r w:rsidR="001370D1" w:rsidRPr="00E646A7">
        <w:rPr>
          <w:rFonts w:cs="Arial"/>
        </w:rPr>
        <w:t xml:space="preserve">to the 14th Meeting of the Conference of the Parties; </w:t>
      </w:r>
    </w:p>
    <w:p w14:paraId="403E5209" w14:textId="77777777" w:rsidR="001370D1" w:rsidRDefault="001370D1" w:rsidP="003A6A5F">
      <w:pPr>
        <w:widowControl w:val="0"/>
        <w:autoSpaceDE w:val="0"/>
        <w:autoSpaceDN w:val="0"/>
        <w:adjustRightInd w:val="0"/>
        <w:spacing w:after="0" w:line="240" w:lineRule="auto"/>
        <w:ind w:left="1418"/>
        <w:jc w:val="both"/>
        <w:rPr>
          <w:rFonts w:cs="Arial"/>
        </w:rPr>
      </w:pPr>
    </w:p>
    <w:p w14:paraId="57D78336" w14:textId="758A1AA7" w:rsidR="00074137" w:rsidRPr="00C004D6" w:rsidRDefault="00074137" w:rsidP="003A6A5F">
      <w:pPr>
        <w:widowControl w:val="0"/>
        <w:numPr>
          <w:ilvl w:val="0"/>
          <w:numId w:val="13"/>
        </w:numPr>
        <w:autoSpaceDE w:val="0"/>
        <w:autoSpaceDN w:val="0"/>
        <w:adjustRightInd w:val="0"/>
        <w:spacing w:after="0" w:line="240" w:lineRule="auto"/>
        <w:ind w:left="1418" w:hanging="567"/>
        <w:jc w:val="both"/>
        <w:rPr>
          <w:rFonts w:cs="Arial"/>
        </w:rPr>
      </w:pPr>
      <w:r w:rsidRPr="00C004D6">
        <w:rPr>
          <w:rFonts w:cs="Arial"/>
        </w:rPr>
        <w:t>consider the outputs of the Working Group on linear infrastructure and make recommendations to the 14</w:t>
      </w:r>
      <w:r w:rsidRPr="001370D1">
        <w:rPr>
          <w:rFonts w:cs="Arial"/>
        </w:rPr>
        <w:t>th</w:t>
      </w:r>
      <w:r w:rsidR="00674DD4">
        <w:rPr>
          <w:rFonts w:cs="Arial"/>
        </w:rPr>
        <w:t xml:space="preserve"> M</w:t>
      </w:r>
      <w:r w:rsidRPr="00C004D6">
        <w:rPr>
          <w:rFonts w:cs="Arial"/>
        </w:rPr>
        <w:t xml:space="preserve">eeting of the Conference of the Parties. </w:t>
      </w:r>
    </w:p>
    <w:p w14:paraId="01D18A42" w14:textId="77777777" w:rsidR="00074137" w:rsidRPr="00C009BE" w:rsidRDefault="00074137" w:rsidP="003A6A5F">
      <w:pPr>
        <w:spacing w:after="0" w:line="240" w:lineRule="auto"/>
        <w:jc w:val="both"/>
        <w:rPr>
          <w:rFonts w:cs="Arial"/>
          <w:iCs/>
        </w:rPr>
      </w:pPr>
    </w:p>
    <w:p w14:paraId="4CAC4D99" w14:textId="77777777" w:rsidR="005534EC" w:rsidRDefault="005534EC" w:rsidP="003A6A5F">
      <w:pPr>
        <w:spacing w:after="0" w:line="240" w:lineRule="auto"/>
        <w:rPr>
          <w:rFonts w:cs="Arial"/>
          <w:b/>
          <w:i/>
        </w:rPr>
      </w:pPr>
      <w:r>
        <w:rPr>
          <w:rFonts w:cs="Arial"/>
          <w:b/>
          <w:i/>
        </w:rPr>
        <w:br w:type="page"/>
      </w:r>
    </w:p>
    <w:p w14:paraId="63FBFF1D" w14:textId="6DEA32D0" w:rsidR="00074137" w:rsidRPr="00CD0FE9" w:rsidRDefault="00074137" w:rsidP="003A6A5F">
      <w:pPr>
        <w:spacing w:after="0" w:line="240" w:lineRule="auto"/>
        <w:jc w:val="both"/>
        <w:rPr>
          <w:rFonts w:cs="Arial"/>
          <w:b/>
          <w:i/>
        </w:rPr>
      </w:pPr>
      <w:r w:rsidRPr="00CD0FE9">
        <w:rPr>
          <w:rFonts w:cs="Arial"/>
          <w:b/>
          <w:i/>
        </w:rPr>
        <w:lastRenderedPageBreak/>
        <w:t xml:space="preserve">Directed to </w:t>
      </w:r>
      <w:r>
        <w:rPr>
          <w:rFonts w:cs="Arial"/>
          <w:b/>
          <w:i/>
        </w:rPr>
        <w:t xml:space="preserve">the Secretariat </w:t>
      </w:r>
    </w:p>
    <w:p w14:paraId="5576E9C1" w14:textId="77777777" w:rsidR="00074137" w:rsidRPr="00CD0FE9" w:rsidRDefault="00074137" w:rsidP="003A6A5F">
      <w:pPr>
        <w:spacing w:after="0" w:line="240" w:lineRule="auto"/>
        <w:jc w:val="both"/>
        <w:rPr>
          <w:rFonts w:cs="Arial"/>
        </w:rPr>
      </w:pPr>
    </w:p>
    <w:p w14:paraId="4DF2725F" w14:textId="77777777" w:rsidR="00074137" w:rsidRPr="00CD0FE9" w:rsidRDefault="00074137" w:rsidP="003A6A5F">
      <w:pPr>
        <w:spacing w:after="0" w:line="240" w:lineRule="auto"/>
        <w:ind w:left="851" w:hanging="851"/>
        <w:jc w:val="both"/>
        <w:rPr>
          <w:rFonts w:cs="Arial"/>
        </w:rPr>
      </w:pPr>
      <w:r w:rsidRPr="00CD0FE9">
        <w:rPr>
          <w:rFonts w:cs="Arial"/>
        </w:rPr>
        <w:t>1</w:t>
      </w:r>
      <w:r>
        <w:rPr>
          <w:rFonts w:cs="Arial"/>
        </w:rPr>
        <w:t>3</w:t>
      </w:r>
      <w:r w:rsidRPr="00CD0FE9">
        <w:rPr>
          <w:rFonts w:cs="Arial"/>
        </w:rPr>
        <w:t>.</w:t>
      </w:r>
      <w:r>
        <w:rPr>
          <w:rFonts w:cs="Arial"/>
        </w:rPr>
        <w:t>DD</w:t>
      </w:r>
      <w:r w:rsidRPr="00CD0FE9">
        <w:rPr>
          <w:rFonts w:cs="Arial"/>
        </w:rPr>
        <w:tab/>
      </w:r>
      <w:r>
        <w:rPr>
          <w:rFonts w:cs="Arial"/>
        </w:rPr>
        <w:t xml:space="preserve">The Secretariat shall:  </w:t>
      </w:r>
    </w:p>
    <w:p w14:paraId="691A7782" w14:textId="77777777" w:rsidR="00074137" w:rsidRDefault="00074137" w:rsidP="003A6A5F">
      <w:pPr>
        <w:widowControl w:val="0"/>
        <w:autoSpaceDE w:val="0"/>
        <w:autoSpaceDN w:val="0"/>
        <w:adjustRightInd w:val="0"/>
        <w:spacing w:after="0" w:line="240" w:lineRule="auto"/>
        <w:jc w:val="both"/>
        <w:rPr>
          <w:rFonts w:cs="Arial"/>
        </w:rPr>
      </w:pPr>
    </w:p>
    <w:p w14:paraId="37679DA1" w14:textId="35AD5E21" w:rsidR="00074137" w:rsidRDefault="00674DD4" w:rsidP="003A6A5F">
      <w:pPr>
        <w:widowControl w:val="0"/>
        <w:numPr>
          <w:ilvl w:val="0"/>
          <w:numId w:val="26"/>
        </w:numPr>
        <w:autoSpaceDE w:val="0"/>
        <w:autoSpaceDN w:val="0"/>
        <w:adjustRightInd w:val="0"/>
        <w:spacing w:after="0" w:line="240" w:lineRule="auto"/>
        <w:ind w:left="1418" w:hanging="567"/>
        <w:jc w:val="both"/>
        <w:rPr>
          <w:rFonts w:cs="Arial"/>
        </w:rPr>
      </w:pPr>
      <w:r>
        <w:rPr>
          <w:rFonts w:cs="Arial"/>
        </w:rPr>
        <w:t>p</w:t>
      </w:r>
      <w:r w:rsidR="00074137">
        <w:rPr>
          <w:rFonts w:cs="Arial"/>
        </w:rPr>
        <w:t xml:space="preserve">repare a questionnaire </w:t>
      </w:r>
      <w:r w:rsidR="002A1A68">
        <w:rPr>
          <w:rFonts w:cs="Arial"/>
        </w:rPr>
        <w:t xml:space="preserve">for circulation to </w:t>
      </w:r>
      <w:r w:rsidR="00074137">
        <w:rPr>
          <w:rFonts w:cs="Arial"/>
        </w:rPr>
        <w:t>Parties and compile the submissions in response to Decision 13.AA;</w:t>
      </w:r>
    </w:p>
    <w:p w14:paraId="1D16F671" w14:textId="77777777" w:rsidR="00074137" w:rsidRDefault="00074137" w:rsidP="003A6A5F">
      <w:pPr>
        <w:widowControl w:val="0"/>
        <w:autoSpaceDE w:val="0"/>
        <w:autoSpaceDN w:val="0"/>
        <w:adjustRightInd w:val="0"/>
        <w:spacing w:after="0" w:line="240" w:lineRule="auto"/>
        <w:ind w:left="1418"/>
        <w:jc w:val="both"/>
        <w:rPr>
          <w:rFonts w:cs="Arial"/>
        </w:rPr>
      </w:pPr>
    </w:p>
    <w:p w14:paraId="286809B0" w14:textId="7D61DA43" w:rsidR="004A55E2" w:rsidRDefault="00674DD4" w:rsidP="003A6A5F">
      <w:pPr>
        <w:widowControl w:val="0"/>
        <w:numPr>
          <w:ilvl w:val="0"/>
          <w:numId w:val="26"/>
        </w:numPr>
        <w:autoSpaceDE w:val="0"/>
        <w:autoSpaceDN w:val="0"/>
        <w:adjustRightInd w:val="0"/>
        <w:spacing w:after="0" w:line="240" w:lineRule="auto"/>
        <w:ind w:left="1418" w:hanging="567"/>
        <w:jc w:val="both"/>
        <w:rPr>
          <w:rFonts w:cs="Arial"/>
        </w:rPr>
      </w:pPr>
      <w:r>
        <w:rPr>
          <w:rFonts w:cs="Arial"/>
        </w:rPr>
        <w:t>c</w:t>
      </w:r>
      <w:r w:rsidR="004A55E2">
        <w:rPr>
          <w:rFonts w:cs="Arial"/>
        </w:rPr>
        <w:t xml:space="preserve">ompile existing </w:t>
      </w:r>
      <w:r w:rsidR="002A1A68">
        <w:rPr>
          <w:rFonts w:cs="Arial"/>
        </w:rPr>
        <w:t xml:space="preserve">standards, </w:t>
      </w:r>
      <w:r w:rsidR="004A55E2">
        <w:rPr>
          <w:rFonts w:cs="Arial"/>
        </w:rPr>
        <w:t>guidelines, and best practices related to addressing the impact of linear infrastructure development and make them available online;</w:t>
      </w:r>
    </w:p>
    <w:p w14:paraId="32B808A2" w14:textId="77777777" w:rsidR="00074137" w:rsidRDefault="00074137" w:rsidP="003A6A5F">
      <w:pPr>
        <w:widowControl w:val="0"/>
        <w:autoSpaceDE w:val="0"/>
        <w:autoSpaceDN w:val="0"/>
        <w:adjustRightInd w:val="0"/>
        <w:spacing w:after="0" w:line="240" w:lineRule="auto"/>
        <w:jc w:val="both"/>
        <w:rPr>
          <w:rFonts w:cs="Arial"/>
        </w:rPr>
      </w:pPr>
    </w:p>
    <w:p w14:paraId="5930095D" w14:textId="2DFF3FEA" w:rsidR="00074137" w:rsidRPr="003036E6" w:rsidRDefault="00674DD4" w:rsidP="003A6A5F">
      <w:pPr>
        <w:widowControl w:val="0"/>
        <w:numPr>
          <w:ilvl w:val="0"/>
          <w:numId w:val="26"/>
        </w:numPr>
        <w:autoSpaceDE w:val="0"/>
        <w:autoSpaceDN w:val="0"/>
        <w:adjustRightInd w:val="0"/>
        <w:spacing w:after="0" w:line="240" w:lineRule="auto"/>
        <w:ind w:left="1418" w:hanging="567"/>
        <w:jc w:val="both"/>
        <w:rPr>
          <w:rFonts w:cs="Arial"/>
        </w:rPr>
      </w:pPr>
      <w:r>
        <w:rPr>
          <w:rFonts w:cs="Arial"/>
        </w:rPr>
        <w:t>s</w:t>
      </w:r>
      <w:r w:rsidR="00074137">
        <w:rPr>
          <w:rFonts w:cs="Arial"/>
        </w:rPr>
        <w:t xml:space="preserve">ubject to </w:t>
      </w:r>
      <w:r w:rsidR="002A1A68">
        <w:rPr>
          <w:rFonts w:cs="Arial"/>
        </w:rPr>
        <w:t xml:space="preserve">the </w:t>
      </w:r>
      <w:r w:rsidR="00074137">
        <w:rPr>
          <w:rFonts w:cs="Arial"/>
        </w:rPr>
        <w:t xml:space="preserve">availability of funds, convene at least one meeting to assist the Working Group in implementing Decision 13.BB; </w:t>
      </w:r>
    </w:p>
    <w:p w14:paraId="22E41ED0" w14:textId="77777777" w:rsidR="00074137" w:rsidRPr="008C5562" w:rsidRDefault="00074137" w:rsidP="003A6A5F">
      <w:pPr>
        <w:widowControl w:val="0"/>
        <w:autoSpaceDE w:val="0"/>
        <w:autoSpaceDN w:val="0"/>
        <w:adjustRightInd w:val="0"/>
        <w:spacing w:after="0" w:line="240" w:lineRule="auto"/>
        <w:jc w:val="both"/>
        <w:rPr>
          <w:rFonts w:cs="Arial"/>
        </w:rPr>
      </w:pPr>
    </w:p>
    <w:p w14:paraId="247EC5DD" w14:textId="6E104A4D" w:rsidR="00074137" w:rsidRDefault="00674DD4" w:rsidP="003A6A5F">
      <w:pPr>
        <w:widowControl w:val="0"/>
        <w:numPr>
          <w:ilvl w:val="0"/>
          <w:numId w:val="26"/>
        </w:numPr>
        <w:autoSpaceDE w:val="0"/>
        <w:autoSpaceDN w:val="0"/>
        <w:adjustRightInd w:val="0"/>
        <w:spacing w:after="0" w:line="240" w:lineRule="auto"/>
        <w:ind w:left="1418" w:hanging="567"/>
        <w:jc w:val="both"/>
        <w:rPr>
          <w:rFonts w:cs="Arial"/>
        </w:rPr>
      </w:pPr>
      <w:r>
        <w:rPr>
          <w:rFonts w:cs="Arial"/>
        </w:rPr>
        <w:t>l</w:t>
      </w:r>
      <w:r w:rsidR="00074137">
        <w:rPr>
          <w:rFonts w:cs="Arial"/>
        </w:rPr>
        <w:t xml:space="preserve">iaise with </w:t>
      </w:r>
      <w:r>
        <w:rPr>
          <w:rFonts w:cs="Arial"/>
        </w:rPr>
        <w:t xml:space="preserve">the </w:t>
      </w:r>
      <w:r w:rsidR="00074137">
        <w:rPr>
          <w:rFonts w:cs="Arial"/>
        </w:rPr>
        <w:t>U</w:t>
      </w:r>
      <w:r>
        <w:rPr>
          <w:rFonts w:cs="Arial"/>
        </w:rPr>
        <w:t xml:space="preserve">nited </w:t>
      </w:r>
      <w:r w:rsidR="00074137">
        <w:rPr>
          <w:rFonts w:cs="Arial"/>
        </w:rPr>
        <w:t>N</w:t>
      </w:r>
      <w:r>
        <w:rPr>
          <w:rFonts w:cs="Arial"/>
        </w:rPr>
        <w:t xml:space="preserve">ations </w:t>
      </w:r>
      <w:r w:rsidR="00074137">
        <w:rPr>
          <w:rFonts w:cs="Arial"/>
        </w:rPr>
        <w:t>E</w:t>
      </w:r>
      <w:r>
        <w:rPr>
          <w:rFonts w:cs="Arial"/>
        </w:rPr>
        <w:t xml:space="preserve">nvironment </w:t>
      </w:r>
      <w:r w:rsidR="00074137">
        <w:rPr>
          <w:rFonts w:cs="Arial"/>
        </w:rPr>
        <w:t>P</w:t>
      </w:r>
      <w:r>
        <w:rPr>
          <w:rFonts w:cs="Arial"/>
        </w:rPr>
        <w:t>rogramme</w:t>
      </w:r>
      <w:r w:rsidR="00074137">
        <w:rPr>
          <w:rFonts w:cs="Arial"/>
        </w:rPr>
        <w:t xml:space="preserve">, </w:t>
      </w:r>
      <w:r>
        <w:rPr>
          <w:rFonts w:cs="Arial"/>
        </w:rPr>
        <w:t xml:space="preserve">the </w:t>
      </w:r>
      <w:r w:rsidR="00074137">
        <w:rPr>
          <w:rFonts w:cs="Arial"/>
        </w:rPr>
        <w:t>C</w:t>
      </w:r>
      <w:r>
        <w:rPr>
          <w:rFonts w:cs="Arial"/>
        </w:rPr>
        <w:t xml:space="preserve">onvention on </w:t>
      </w:r>
      <w:r w:rsidR="00074137">
        <w:rPr>
          <w:rFonts w:cs="Arial"/>
        </w:rPr>
        <w:t>B</w:t>
      </w:r>
      <w:r>
        <w:rPr>
          <w:rFonts w:cs="Arial"/>
        </w:rPr>
        <w:t xml:space="preserve">iological </w:t>
      </w:r>
      <w:r w:rsidR="00074137">
        <w:rPr>
          <w:rFonts w:cs="Arial"/>
        </w:rPr>
        <w:t>D</w:t>
      </w:r>
      <w:r>
        <w:rPr>
          <w:rFonts w:cs="Arial"/>
        </w:rPr>
        <w:t>iversity</w:t>
      </w:r>
      <w:r w:rsidR="00074137">
        <w:rPr>
          <w:rFonts w:cs="Arial"/>
        </w:rPr>
        <w:t xml:space="preserve">, </w:t>
      </w:r>
      <w:r w:rsidR="00F1185A">
        <w:rPr>
          <w:rFonts w:cs="Arial"/>
        </w:rPr>
        <w:t>the International Association for Impact Assessment</w:t>
      </w:r>
      <w:r w:rsidR="00074137">
        <w:rPr>
          <w:rFonts w:cs="Arial"/>
        </w:rPr>
        <w:t xml:space="preserve">, </w:t>
      </w:r>
      <w:r>
        <w:rPr>
          <w:rFonts w:cs="Arial"/>
        </w:rPr>
        <w:t xml:space="preserve">the </w:t>
      </w:r>
      <w:r w:rsidR="00074137">
        <w:rPr>
          <w:rFonts w:cs="Arial"/>
        </w:rPr>
        <w:t xml:space="preserve">World Bank and other relevant international and regional organisations, multilateral environmental agreements, the private sector, development banks, financial institutions, donors, </w:t>
      </w:r>
      <w:r>
        <w:rPr>
          <w:rFonts w:cs="Arial"/>
        </w:rPr>
        <w:t>non-governmental organization</w:t>
      </w:r>
      <w:r w:rsidR="00074137">
        <w:rPr>
          <w:rFonts w:cs="Arial"/>
        </w:rPr>
        <w:t>s and academic institutions, as appropriate, to support the operation of the Working Group and to assist Parties in addressing the impact</w:t>
      </w:r>
      <w:r w:rsidR="00035810">
        <w:rPr>
          <w:rFonts w:cs="Arial"/>
        </w:rPr>
        <w:t>s</w:t>
      </w:r>
      <w:r w:rsidR="00074137">
        <w:rPr>
          <w:rFonts w:cs="Arial"/>
        </w:rPr>
        <w:t xml:space="preserve"> of linear </w:t>
      </w:r>
      <w:r w:rsidR="00E646A7">
        <w:rPr>
          <w:rFonts w:cs="Arial"/>
        </w:rPr>
        <w:t xml:space="preserve">and other </w:t>
      </w:r>
      <w:r w:rsidR="00074137">
        <w:rPr>
          <w:rFonts w:cs="Arial"/>
        </w:rPr>
        <w:t xml:space="preserve">infrastructure </w:t>
      </w:r>
      <w:r w:rsidR="00035810">
        <w:rPr>
          <w:rFonts w:cs="Arial"/>
        </w:rPr>
        <w:t xml:space="preserve">on migratory species </w:t>
      </w:r>
      <w:r w:rsidR="00074137">
        <w:rPr>
          <w:rFonts w:cs="Arial"/>
        </w:rPr>
        <w:t>such as through joint capacity development activities.</w:t>
      </w:r>
    </w:p>
    <w:p w14:paraId="2E7980E2" w14:textId="77777777" w:rsidR="00074137" w:rsidRDefault="00074137" w:rsidP="003A6A5F">
      <w:pPr>
        <w:spacing w:after="0" w:line="240" w:lineRule="auto"/>
        <w:jc w:val="both"/>
        <w:rPr>
          <w:rFonts w:cs="Arial"/>
        </w:rPr>
      </w:pPr>
    </w:p>
    <w:p w14:paraId="06523087" w14:textId="77777777" w:rsidR="00074137" w:rsidRPr="0066088A" w:rsidRDefault="00074137" w:rsidP="003A6A5F">
      <w:pPr>
        <w:spacing w:after="0" w:line="240" w:lineRule="auto"/>
        <w:jc w:val="both"/>
        <w:rPr>
          <w:rFonts w:cs="Arial"/>
          <w:b/>
          <w:i/>
        </w:rPr>
      </w:pPr>
      <w:r w:rsidRPr="0066088A">
        <w:rPr>
          <w:rFonts w:cs="Arial"/>
          <w:b/>
          <w:i/>
        </w:rPr>
        <w:t xml:space="preserve">Directed to Parties, intergovernmental </w:t>
      </w:r>
      <w:r>
        <w:rPr>
          <w:rFonts w:cs="Arial"/>
          <w:b/>
          <w:i/>
        </w:rPr>
        <w:t xml:space="preserve">and </w:t>
      </w:r>
      <w:r w:rsidRPr="0066088A">
        <w:rPr>
          <w:rFonts w:cs="Arial"/>
          <w:b/>
          <w:i/>
        </w:rPr>
        <w:t xml:space="preserve">non-governmental organizations </w:t>
      </w:r>
      <w:r>
        <w:rPr>
          <w:rFonts w:cs="Arial"/>
          <w:b/>
          <w:i/>
        </w:rPr>
        <w:t xml:space="preserve">and other relevant stakeholders </w:t>
      </w:r>
    </w:p>
    <w:p w14:paraId="1A1C5707" w14:textId="77777777" w:rsidR="00074137" w:rsidRPr="00333C3F" w:rsidRDefault="00074137" w:rsidP="003A6A5F">
      <w:pPr>
        <w:spacing w:after="0" w:line="240" w:lineRule="auto"/>
        <w:ind w:left="851" w:hanging="851"/>
        <w:jc w:val="both"/>
        <w:rPr>
          <w:rFonts w:cs="Arial"/>
        </w:rPr>
      </w:pPr>
      <w:r>
        <w:rPr>
          <w:rFonts w:cs="Arial"/>
        </w:rPr>
        <w:t xml:space="preserve">13.EE </w:t>
      </w:r>
      <w:r>
        <w:rPr>
          <w:rFonts w:cs="Arial"/>
        </w:rPr>
        <w:tab/>
      </w:r>
      <w:r w:rsidRPr="0066088A">
        <w:rPr>
          <w:rFonts w:cs="Arial"/>
        </w:rPr>
        <w:t xml:space="preserve">Parties, intergovernmental and non-governmental organizations </w:t>
      </w:r>
      <w:r>
        <w:rPr>
          <w:rFonts w:cs="Arial"/>
        </w:rPr>
        <w:t xml:space="preserve">as well as other relevant stakeholders </w:t>
      </w:r>
      <w:r w:rsidRPr="0066088A">
        <w:rPr>
          <w:rFonts w:cs="Arial"/>
        </w:rPr>
        <w:t>are encouraged to</w:t>
      </w:r>
      <w:r>
        <w:rPr>
          <w:rFonts w:cs="Arial"/>
        </w:rPr>
        <w:t xml:space="preserve"> support the Scientific Council in implementing Decision 13. BB by providing technical input</w:t>
      </w:r>
      <w:bookmarkEnd w:id="1"/>
      <w:r>
        <w:rPr>
          <w:rFonts w:cs="Arial"/>
        </w:rPr>
        <w:t>s as well as financial resources.</w:t>
      </w:r>
    </w:p>
    <w:p w14:paraId="25ED7D41" w14:textId="5CAEF685" w:rsidR="00333C3F" w:rsidRPr="00333C3F" w:rsidRDefault="00333C3F" w:rsidP="00074137">
      <w:pPr>
        <w:spacing w:after="0" w:line="240" w:lineRule="auto"/>
        <w:jc w:val="right"/>
        <w:rPr>
          <w:rFonts w:cs="Arial"/>
        </w:rPr>
      </w:pPr>
      <w:bookmarkStart w:id="2" w:name="_GoBack"/>
      <w:bookmarkEnd w:id="2"/>
    </w:p>
    <w:sectPr w:rsidR="00333C3F" w:rsidRPr="00333C3F" w:rsidSect="005534EC">
      <w:headerReference w:type="even" r:id="rId18"/>
      <w:headerReference w:type="first" r:id="rId1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C04B" w14:textId="77777777" w:rsidR="00674907" w:rsidRDefault="00674907" w:rsidP="002E0DE9">
      <w:pPr>
        <w:spacing w:after="0" w:line="240" w:lineRule="auto"/>
      </w:pPr>
      <w:r>
        <w:separator/>
      </w:r>
    </w:p>
  </w:endnote>
  <w:endnote w:type="continuationSeparator" w:id="0">
    <w:p w14:paraId="449FD0FA" w14:textId="77777777" w:rsidR="00674907" w:rsidRDefault="00674907"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739454"/>
      <w:docPartObj>
        <w:docPartGallery w:val="Page Numbers (Bottom of Page)"/>
        <w:docPartUnique/>
      </w:docPartObj>
    </w:sdtPr>
    <w:sdtEndPr>
      <w:rPr>
        <w:noProof/>
        <w:sz w:val="18"/>
        <w:szCs w:val="18"/>
      </w:rPr>
    </w:sdtEndPr>
    <w:sdtContent>
      <w:p w14:paraId="7F5176F4"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737619"/>
      <w:docPartObj>
        <w:docPartGallery w:val="Page Numbers (Bottom of Page)"/>
        <w:docPartUnique/>
      </w:docPartObj>
    </w:sdtPr>
    <w:sdtEndPr>
      <w:rPr>
        <w:noProof/>
        <w:sz w:val="18"/>
        <w:szCs w:val="18"/>
      </w:rPr>
    </w:sdtEndPr>
    <w:sdtContent>
      <w:p w14:paraId="7C6E7F78" w14:textId="77777777" w:rsidR="00934BC8" w:rsidRPr="002E0DE9" w:rsidRDefault="00934BC8" w:rsidP="00934BC8">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Pr>
            <w:sz w:val="18"/>
            <w:szCs w:val="18"/>
          </w:rPr>
          <w:t>4</w:t>
        </w:r>
        <w:r w:rsidRPr="002E0DE9">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0DCB" w14:textId="4B17BA5B" w:rsidR="005534EC" w:rsidRDefault="005534EC">
    <w:pPr>
      <w:pStyle w:val="Footer"/>
      <w:jc w:val="center"/>
    </w:pPr>
  </w:p>
  <w:p w14:paraId="091AF45D" w14:textId="77777777" w:rsidR="00934BC8" w:rsidRDefault="00934B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440211"/>
      <w:docPartObj>
        <w:docPartGallery w:val="Page Numbers (Bottom of Page)"/>
        <w:docPartUnique/>
      </w:docPartObj>
    </w:sdtPr>
    <w:sdtEndPr>
      <w:rPr>
        <w:noProof/>
        <w:sz w:val="18"/>
        <w:szCs w:val="18"/>
      </w:rPr>
    </w:sdtEndPr>
    <w:sdtContent>
      <w:p w14:paraId="77E642A4" w14:textId="77777777" w:rsidR="005534EC" w:rsidRPr="005534EC" w:rsidRDefault="005534EC">
        <w:pPr>
          <w:pStyle w:val="Footer"/>
          <w:jc w:val="center"/>
          <w:rPr>
            <w:sz w:val="18"/>
            <w:szCs w:val="18"/>
          </w:rPr>
        </w:pPr>
        <w:r w:rsidRPr="005534EC">
          <w:rPr>
            <w:sz w:val="18"/>
            <w:szCs w:val="18"/>
          </w:rPr>
          <w:fldChar w:fldCharType="begin"/>
        </w:r>
        <w:r w:rsidRPr="005534EC">
          <w:rPr>
            <w:sz w:val="18"/>
            <w:szCs w:val="18"/>
          </w:rPr>
          <w:instrText xml:space="preserve"> PAGE   \* MERGEFORMAT </w:instrText>
        </w:r>
        <w:r w:rsidRPr="005534EC">
          <w:rPr>
            <w:sz w:val="18"/>
            <w:szCs w:val="18"/>
          </w:rPr>
          <w:fldChar w:fldCharType="separate"/>
        </w:r>
        <w:r w:rsidRPr="005534EC">
          <w:rPr>
            <w:noProof/>
            <w:sz w:val="18"/>
            <w:szCs w:val="18"/>
          </w:rPr>
          <w:t>2</w:t>
        </w:r>
        <w:r w:rsidRPr="005534E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511E" w14:textId="77777777" w:rsidR="00674907" w:rsidRDefault="00674907" w:rsidP="002E0DE9">
      <w:pPr>
        <w:spacing w:after="0" w:line="240" w:lineRule="auto"/>
      </w:pPr>
      <w:r>
        <w:separator/>
      </w:r>
    </w:p>
  </w:footnote>
  <w:footnote w:type="continuationSeparator" w:id="0">
    <w:p w14:paraId="648EB555" w14:textId="77777777" w:rsidR="00674907" w:rsidRDefault="00674907" w:rsidP="002E0DE9">
      <w:pPr>
        <w:spacing w:after="0" w:line="240" w:lineRule="auto"/>
      </w:pPr>
      <w:r>
        <w:continuationSeparator/>
      </w:r>
    </w:p>
  </w:footnote>
  <w:footnote w:id="1">
    <w:p w14:paraId="70F3C44A" w14:textId="77777777" w:rsidR="00A907DE" w:rsidRPr="00C93587" w:rsidRDefault="00A907DE" w:rsidP="003A6A5F">
      <w:pPr>
        <w:pStyle w:val="FootnoteText"/>
        <w:ind w:left="142" w:hanging="142"/>
        <w:rPr>
          <w:sz w:val="16"/>
          <w:lang w:val="en-US"/>
        </w:rPr>
      </w:pPr>
      <w:r w:rsidRPr="00C93587">
        <w:rPr>
          <w:rStyle w:val="FootnoteReference"/>
          <w:sz w:val="16"/>
        </w:rPr>
        <w:footnoteRef/>
      </w:r>
      <w:r w:rsidRPr="00C93587">
        <w:rPr>
          <w:sz w:val="16"/>
        </w:rPr>
        <w:t xml:space="preserve"> </w:t>
      </w:r>
      <w:r w:rsidRPr="00C93587">
        <w:rPr>
          <w:sz w:val="16"/>
          <w:lang w:val="en-US"/>
        </w:rPr>
        <w:t xml:space="preserve">For further discussion, see </w:t>
      </w:r>
      <w:r w:rsidRPr="00C93587">
        <w:rPr>
          <w:rFonts w:eastAsia="Times New Roman" w:cs="Arial"/>
          <w:sz w:val="16"/>
        </w:rPr>
        <w:t>UNEP/CMS/</w:t>
      </w:r>
      <w:r w:rsidRPr="00C93587">
        <w:rPr>
          <w:sz w:val="16"/>
        </w:rPr>
        <w:t>COP13/Doc.26.4.2</w:t>
      </w:r>
      <w:r>
        <w:rPr>
          <w:sz w:val="16"/>
        </w:rPr>
        <w:t>.1</w:t>
      </w:r>
    </w:p>
  </w:footnote>
  <w:footnote w:id="2">
    <w:p w14:paraId="52BE46D0" w14:textId="4AE3ABFC" w:rsidR="00A907DE" w:rsidRPr="005534EC" w:rsidRDefault="00A907DE" w:rsidP="003A6A5F">
      <w:pPr>
        <w:pStyle w:val="FootnoteText"/>
        <w:ind w:left="142" w:hanging="142"/>
        <w:rPr>
          <w:sz w:val="16"/>
          <w:szCs w:val="16"/>
          <w:lang w:val="en-US"/>
        </w:rPr>
      </w:pPr>
      <w:r w:rsidRPr="00C93587">
        <w:rPr>
          <w:rStyle w:val="FootnoteReference"/>
          <w:sz w:val="16"/>
        </w:rPr>
        <w:footnoteRef/>
      </w:r>
      <w:r w:rsidRPr="005534EC">
        <w:rPr>
          <w:sz w:val="16"/>
          <w:lang w:val="en-US"/>
        </w:rPr>
        <w:t xml:space="preserve"> </w:t>
      </w:r>
      <w:hyperlink r:id="rId1" w:history="1">
        <w:r w:rsidR="00F31D5C" w:rsidRPr="005534EC">
          <w:rPr>
            <w:rStyle w:val="Hyperlink"/>
            <w:sz w:val="16"/>
            <w:szCs w:val="16"/>
            <w:lang w:val="en-US"/>
          </w:rPr>
          <w:t>https://www.cms.int/sites/default/files/basic_page_documents/CMS-Guidelines-EIA-Marine Noise_TechnicalSupportInformation_FINAL20170918.pdf</w:t>
        </w:r>
      </w:hyperlink>
      <w:r w:rsidRPr="005534EC">
        <w:rPr>
          <w:rStyle w:val="Hyperlink"/>
          <w:color w:val="auto"/>
          <w:sz w:val="16"/>
          <w:szCs w:val="16"/>
          <w:u w:val="none"/>
          <w:lang w:val="en-US"/>
        </w:rPr>
        <w:t xml:space="preserve"> </w:t>
      </w:r>
    </w:p>
  </w:footnote>
  <w:footnote w:id="3">
    <w:p w14:paraId="68AF842F" w14:textId="77777777" w:rsidR="00A907DE" w:rsidRPr="00F02EE8" w:rsidRDefault="00A907DE" w:rsidP="003A6A5F">
      <w:pPr>
        <w:pStyle w:val="FootnoteText"/>
        <w:ind w:left="142" w:hanging="142"/>
        <w:rPr>
          <w:sz w:val="16"/>
          <w:szCs w:val="16"/>
          <w:lang w:val="en-US"/>
        </w:rPr>
      </w:pPr>
      <w:r w:rsidRPr="00F02EE8">
        <w:rPr>
          <w:rStyle w:val="FootnoteReference"/>
          <w:sz w:val="16"/>
          <w:szCs w:val="16"/>
        </w:rPr>
        <w:footnoteRef/>
      </w:r>
      <w:r w:rsidRPr="00F02EE8">
        <w:rPr>
          <w:sz w:val="16"/>
          <w:szCs w:val="16"/>
        </w:rPr>
        <w:t xml:space="preserve"> For further discussion see UNEP/CMS/COP12/Doc.26.2.2</w:t>
      </w:r>
    </w:p>
  </w:footnote>
  <w:footnote w:id="4">
    <w:p w14:paraId="492BC140" w14:textId="364CA2EF" w:rsidR="003C7BE4" w:rsidRPr="003C7BE4" w:rsidRDefault="003C7BE4" w:rsidP="003C7BE4">
      <w:pPr>
        <w:pStyle w:val="FootnoteText"/>
        <w:rPr>
          <w:sz w:val="16"/>
          <w:szCs w:val="16"/>
          <w:lang w:val="en-US"/>
        </w:rPr>
      </w:pPr>
      <w:r w:rsidRPr="00236F97">
        <w:rPr>
          <w:rStyle w:val="FootnoteReference"/>
          <w:sz w:val="16"/>
          <w:szCs w:val="16"/>
        </w:rPr>
        <w:footnoteRef/>
      </w:r>
      <w:r w:rsidRPr="003C7BE4">
        <w:rPr>
          <w:sz w:val="16"/>
          <w:szCs w:val="16"/>
          <w:lang w:val="en-US"/>
        </w:rPr>
        <w:t>UN Environment (2018). Assessing Environmental Impacts- A Global Review of</w:t>
      </w:r>
      <w:r w:rsidR="0029429E">
        <w:rPr>
          <w:sz w:val="16"/>
          <w:szCs w:val="16"/>
          <w:lang w:val="en-US"/>
        </w:rPr>
        <w:t xml:space="preserve"> </w:t>
      </w:r>
      <w:r w:rsidRPr="003C7BE4">
        <w:rPr>
          <w:sz w:val="16"/>
          <w:szCs w:val="16"/>
          <w:lang w:val="en-US"/>
        </w:rPr>
        <w:t>Legislation, Nairobi, Kenya.</w:t>
      </w:r>
    </w:p>
  </w:footnote>
  <w:footnote w:id="5">
    <w:p w14:paraId="059B8821" w14:textId="786C4622" w:rsidR="003C7BE4" w:rsidRPr="00236F97" w:rsidRDefault="003C7BE4" w:rsidP="003C7BE4">
      <w:pPr>
        <w:pStyle w:val="FootnoteText"/>
        <w:rPr>
          <w:sz w:val="16"/>
          <w:szCs w:val="16"/>
        </w:rPr>
      </w:pPr>
      <w:r w:rsidRPr="00236F97">
        <w:rPr>
          <w:rStyle w:val="FootnoteReference"/>
          <w:sz w:val="16"/>
          <w:szCs w:val="16"/>
        </w:rPr>
        <w:footnoteRef/>
      </w:r>
      <w:r w:rsidRPr="003C7BE4">
        <w:rPr>
          <w:sz w:val="16"/>
          <w:szCs w:val="16"/>
          <w:lang w:val="en-US"/>
        </w:rPr>
        <w:t xml:space="preserve"> Kazakhstan, Kyrgyzstan, Tajikistan, Turkmenistan, Uzbekistan, Mongolia, China, and the </w:t>
      </w:r>
      <w:r w:rsidRPr="00236F97">
        <w:rPr>
          <w:sz w:val="16"/>
          <w:szCs w:val="16"/>
        </w:rPr>
        <w:t>Russian Federation</w:t>
      </w:r>
    </w:p>
  </w:footnote>
  <w:footnote w:id="6">
    <w:p w14:paraId="6AC8F0DD" w14:textId="77777777" w:rsidR="0029429E" w:rsidRPr="00A23FDA" w:rsidRDefault="0029429E" w:rsidP="0029429E">
      <w:pPr>
        <w:pStyle w:val="FootnoteText"/>
        <w:rPr>
          <w:sz w:val="16"/>
          <w:szCs w:val="16"/>
        </w:rPr>
      </w:pPr>
      <w:r w:rsidRPr="00A23FDA">
        <w:rPr>
          <w:rStyle w:val="FootnoteReference"/>
          <w:sz w:val="16"/>
          <w:szCs w:val="16"/>
        </w:rPr>
        <w:footnoteRef/>
      </w:r>
      <w:r w:rsidRPr="00A23FDA">
        <w:rPr>
          <w:sz w:val="16"/>
          <w:szCs w:val="16"/>
        </w:rPr>
        <w:t xml:space="preserve"> CMS Resolution 12.9</w:t>
      </w:r>
    </w:p>
  </w:footnote>
  <w:footnote w:id="7">
    <w:p w14:paraId="0B520DAF" w14:textId="6D2E38B3" w:rsidR="00A36616" w:rsidRPr="00A23FDA" w:rsidRDefault="00A36616">
      <w:pPr>
        <w:pStyle w:val="FootnoteText"/>
        <w:rPr>
          <w:sz w:val="16"/>
          <w:szCs w:val="16"/>
          <w:lang w:val="en-US"/>
        </w:rPr>
      </w:pPr>
      <w:r w:rsidRPr="00A23FDA">
        <w:rPr>
          <w:rStyle w:val="FootnoteReference"/>
          <w:sz w:val="16"/>
          <w:szCs w:val="16"/>
        </w:rPr>
        <w:footnoteRef/>
      </w:r>
      <w:r w:rsidRPr="00A23FDA">
        <w:rPr>
          <w:sz w:val="16"/>
          <w:szCs w:val="16"/>
        </w:rPr>
        <w:t xml:space="preserve"> </w:t>
      </w:r>
      <w:r w:rsidRPr="00BF5F58">
        <w:rPr>
          <w:sz w:val="16"/>
          <w:szCs w:val="16"/>
          <w:lang w:val="en-US"/>
        </w:rPr>
        <w:t>CBD/SBSTTA/21/INF/13</w:t>
      </w:r>
    </w:p>
  </w:footnote>
  <w:footnote w:id="8">
    <w:p w14:paraId="0A54044B" w14:textId="77777777" w:rsidR="005D1E3A" w:rsidRPr="00A23FDA" w:rsidRDefault="005D1E3A" w:rsidP="005D1E3A">
      <w:pPr>
        <w:pStyle w:val="FootnoteText"/>
        <w:rPr>
          <w:sz w:val="16"/>
          <w:szCs w:val="16"/>
          <w:lang w:val="fr-FR"/>
        </w:rPr>
      </w:pPr>
      <w:r w:rsidRPr="00A23FDA">
        <w:rPr>
          <w:rStyle w:val="FootnoteReference"/>
          <w:sz w:val="16"/>
          <w:szCs w:val="16"/>
        </w:rPr>
        <w:footnoteRef/>
      </w:r>
      <w:r w:rsidRPr="00A23FDA">
        <w:rPr>
          <w:sz w:val="16"/>
          <w:szCs w:val="16"/>
          <w:lang w:val="fr-FR"/>
        </w:rPr>
        <w:t xml:space="preserve"> CBD/COP/DEC/14/3 </w:t>
      </w:r>
      <w:proofErr w:type="spellStart"/>
      <w:r w:rsidRPr="00A23FDA">
        <w:rPr>
          <w:sz w:val="16"/>
          <w:szCs w:val="16"/>
          <w:lang w:val="fr-FR"/>
        </w:rPr>
        <w:t>paragraph</w:t>
      </w:r>
      <w:proofErr w:type="spellEnd"/>
      <w:r w:rsidRPr="00A23FDA">
        <w:rPr>
          <w:sz w:val="16"/>
          <w:szCs w:val="16"/>
          <w:lang w:val="fr-FR"/>
        </w:rPr>
        <w:t xml:space="preserve"> 13(c)</w:t>
      </w:r>
    </w:p>
  </w:footnote>
  <w:footnote w:id="9">
    <w:p w14:paraId="543572F5" w14:textId="77777777" w:rsidR="005D1E3A" w:rsidRPr="005534EC" w:rsidRDefault="005D1E3A" w:rsidP="003A6A5F">
      <w:pPr>
        <w:pStyle w:val="FootnoteText"/>
        <w:ind w:left="142" w:hanging="142"/>
        <w:jc w:val="both"/>
        <w:rPr>
          <w:sz w:val="16"/>
          <w:szCs w:val="16"/>
          <w:lang w:val="en-US"/>
        </w:rPr>
      </w:pPr>
      <w:r w:rsidRPr="00A23FDA">
        <w:rPr>
          <w:rStyle w:val="FootnoteReference"/>
          <w:sz w:val="16"/>
          <w:szCs w:val="16"/>
        </w:rPr>
        <w:footnoteRef/>
      </w:r>
      <w:r w:rsidRPr="005534EC">
        <w:rPr>
          <w:sz w:val="16"/>
          <w:szCs w:val="16"/>
          <w:lang w:val="en-US"/>
        </w:rPr>
        <w:t xml:space="preserve"> CBD/SBI/2/4/Add.5 paragraph 43</w:t>
      </w:r>
    </w:p>
  </w:footnote>
  <w:footnote w:id="10">
    <w:p w14:paraId="50ECDF07" w14:textId="77777777" w:rsidR="000E0B25" w:rsidRPr="00F02EE8" w:rsidRDefault="000E0B25" w:rsidP="003A6A5F">
      <w:pPr>
        <w:pStyle w:val="FootnoteText"/>
        <w:ind w:left="142" w:hanging="142"/>
        <w:jc w:val="both"/>
        <w:rPr>
          <w:sz w:val="16"/>
          <w:szCs w:val="16"/>
          <w:lang w:val="en-US"/>
        </w:rPr>
      </w:pPr>
      <w:r w:rsidRPr="00F02EE8">
        <w:rPr>
          <w:rStyle w:val="FootnoteReference"/>
          <w:sz w:val="16"/>
          <w:szCs w:val="16"/>
        </w:rPr>
        <w:footnoteRef/>
      </w:r>
      <w:r w:rsidRPr="00F02EE8">
        <w:rPr>
          <w:sz w:val="16"/>
          <w:szCs w:val="16"/>
          <w:lang w:val="en-US"/>
        </w:rPr>
        <w:t xml:space="preserve"> Critical habitats are areas with high biodiversity value, including (</w:t>
      </w:r>
      <w:proofErr w:type="spellStart"/>
      <w:r w:rsidRPr="00F02EE8">
        <w:rPr>
          <w:sz w:val="16"/>
          <w:szCs w:val="16"/>
          <w:lang w:val="en-US"/>
        </w:rPr>
        <w:t>i</w:t>
      </w:r>
      <w:proofErr w:type="spellEnd"/>
      <w:r w:rsidRPr="00F02EE8">
        <w:rPr>
          <w:sz w:val="16"/>
          <w:szCs w:val="16"/>
          <w:lang w:val="en-US"/>
        </w:rPr>
        <w:t xml:space="preserve">) habitat of significant importance to Critically Endangered and/or Endangered11 species; (ii) habitat of significant importance to endemic and/or restricted-range species; (iii) habitat supporting globally significant concentrations of migratory species and/or </w:t>
      </w:r>
      <w:proofErr w:type="spellStart"/>
      <w:r w:rsidRPr="00F02EE8">
        <w:rPr>
          <w:sz w:val="16"/>
          <w:szCs w:val="16"/>
          <w:lang w:val="en-US"/>
        </w:rPr>
        <w:t>congregatory</w:t>
      </w:r>
      <w:proofErr w:type="spellEnd"/>
      <w:r w:rsidRPr="00F02EE8">
        <w:rPr>
          <w:sz w:val="16"/>
          <w:szCs w:val="16"/>
          <w:lang w:val="en-US"/>
        </w:rPr>
        <w:t xml:space="preserve"> species; (iv) highly threatened and/or unique ecosystems; and/or (v) areas associated with key evolutionary processes. For further discussion, see </w:t>
      </w:r>
      <w:proofErr w:type="gramStart"/>
      <w:r w:rsidRPr="00F02EE8">
        <w:rPr>
          <w:sz w:val="16"/>
          <w:szCs w:val="16"/>
          <w:lang w:val="en-US"/>
        </w:rPr>
        <w:t>IFC(</w:t>
      </w:r>
      <w:proofErr w:type="gramEnd"/>
      <w:r w:rsidRPr="00F02EE8">
        <w:rPr>
          <w:sz w:val="16"/>
          <w:szCs w:val="16"/>
          <w:lang w:val="en-US"/>
        </w:rPr>
        <w:t xml:space="preserve">2012) Performance Standard 6 Biodiversity Conservation and Sustainable Natural Resource Management. Paragraph </w:t>
      </w:r>
      <w:proofErr w:type="gramStart"/>
      <w:r w:rsidRPr="00F02EE8">
        <w:rPr>
          <w:sz w:val="16"/>
          <w:szCs w:val="16"/>
          <w:lang w:val="en-US"/>
        </w:rPr>
        <w:t>16..</w:t>
      </w:r>
      <w:proofErr w:type="gramEnd"/>
    </w:p>
  </w:footnote>
  <w:footnote w:id="11">
    <w:p w14:paraId="2A3500C3" w14:textId="77777777" w:rsidR="000E0B25" w:rsidRPr="00F02EE8" w:rsidRDefault="000E0B25" w:rsidP="003A6A5F">
      <w:pPr>
        <w:pStyle w:val="FootnoteText"/>
        <w:ind w:left="142" w:hanging="142"/>
        <w:jc w:val="both"/>
        <w:rPr>
          <w:sz w:val="16"/>
          <w:szCs w:val="16"/>
          <w:lang w:val="en-US"/>
        </w:rPr>
      </w:pPr>
      <w:r w:rsidRPr="00F02EE8">
        <w:rPr>
          <w:rStyle w:val="FootnoteReference"/>
          <w:sz w:val="16"/>
          <w:szCs w:val="16"/>
        </w:rPr>
        <w:footnoteRef/>
      </w:r>
      <w:r w:rsidRPr="00F02EE8">
        <w:rPr>
          <w:sz w:val="16"/>
          <w:szCs w:val="16"/>
          <w:lang w:val="en-US"/>
        </w:rPr>
        <w:t xml:space="preserve">For migratory species, the following thresholds are used to assess critical habitats: a) areas known to sustain, on a cyclical or otherwise regular basis, ≥ one per cent of the global population of a migratory or </w:t>
      </w:r>
      <w:proofErr w:type="spellStart"/>
      <w:r w:rsidRPr="00F02EE8">
        <w:rPr>
          <w:sz w:val="16"/>
          <w:szCs w:val="16"/>
          <w:lang w:val="en-US"/>
        </w:rPr>
        <w:t>congregatory</w:t>
      </w:r>
      <w:proofErr w:type="spellEnd"/>
      <w:r w:rsidRPr="00F02EE8">
        <w:rPr>
          <w:sz w:val="16"/>
          <w:szCs w:val="16"/>
          <w:lang w:val="en-US"/>
        </w:rPr>
        <w:t xml:space="preserve"> species at any point of the species’ lifecycle; and b) areas that predictably support ≥10 per cent of the global population of a species during periods of environmental stress</w:t>
      </w:r>
      <w:r w:rsidRPr="00F02EE8">
        <w:rPr>
          <w:sz w:val="16"/>
          <w:szCs w:val="16"/>
        </w:rPr>
        <w:t xml:space="preserve">. For further details, see IFC(2012) International Finance Corporation’s Guidance Note 6: Biodiversity Conservation and Sustainable Management of Living Natural Resources. Paragraph </w:t>
      </w:r>
      <w:r w:rsidRPr="00F02EE8">
        <w:rPr>
          <w:sz w:val="16"/>
          <w:szCs w:val="16"/>
          <w:lang w:val="en-US"/>
        </w:rPr>
        <w:t xml:space="preserve">G78. </w:t>
      </w:r>
    </w:p>
  </w:footnote>
  <w:footnote w:id="12">
    <w:p w14:paraId="5FB3C218" w14:textId="77777777" w:rsidR="000E0B25" w:rsidRPr="000D04D1" w:rsidRDefault="000E0B25" w:rsidP="003A6A5F">
      <w:pPr>
        <w:pStyle w:val="FootnoteText"/>
        <w:ind w:left="142" w:hanging="142"/>
        <w:jc w:val="both"/>
      </w:pPr>
      <w:r w:rsidRPr="00F02EE8">
        <w:rPr>
          <w:rStyle w:val="FootnoteReference"/>
          <w:sz w:val="16"/>
          <w:szCs w:val="16"/>
        </w:rPr>
        <w:footnoteRef/>
      </w:r>
      <w:r w:rsidRPr="00F02EE8">
        <w:rPr>
          <w:sz w:val="16"/>
          <w:szCs w:val="16"/>
        </w:rPr>
        <w:t xml:space="preserve"> For further details, see paragraph 17 of IFC (2012) Performance Standard 6 Biodiversity Conservation and Sustainable Management of Living Natural Resources</w:t>
      </w:r>
    </w:p>
  </w:footnote>
  <w:footnote w:id="13">
    <w:p w14:paraId="2ECCFF8F" w14:textId="77777777" w:rsidR="006A19D3" w:rsidRPr="00A23FDA" w:rsidRDefault="006A19D3" w:rsidP="003A6A5F">
      <w:pPr>
        <w:pStyle w:val="FootnoteText"/>
        <w:ind w:left="142" w:hanging="142"/>
        <w:jc w:val="both"/>
        <w:rPr>
          <w:sz w:val="16"/>
          <w:szCs w:val="16"/>
          <w:lang w:val="en-US"/>
        </w:rPr>
      </w:pPr>
      <w:r w:rsidRPr="00A23FDA">
        <w:rPr>
          <w:rStyle w:val="FootnoteReference"/>
          <w:sz w:val="16"/>
          <w:szCs w:val="16"/>
        </w:rPr>
        <w:footnoteRef/>
      </w:r>
      <w:r w:rsidRPr="00A23FDA">
        <w:rPr>
          <w:sz w:val="16"/>
          <w:szCs w:val="16"/>
        </w:rPr>
        <w:t xml:space="preserve"> World Bank (2001) Operational Manual OP 4.04</w:t>
      </w:r>
    </w:p>
  </w:footnote>
  <w:footnote w:id="14">
    <w:p w14:paraId="0974DA4F" w14:textId="77777777" w:rsidR="006A19D3" w:rsidRPr="00A23FDA" w:rsidRDefault="006A19D3" w:rsidP="003A6A5F">
      <w:pPr>
        <w:pStyle w:val="FootnoteText"/>
        <w:ind w:left="142" w:hanging="142"/>
        <w:jc w:val="both"/>
        <w:rPr>
          <w:sz w:val="16"/>
          <w:szCs w:val="16"/>
          <w:lang w:val="en-US"/>
        </w:rPr>
      </w:pPr>
      <w:r w:rsidRPr="00A23FDA">
        <w:rPr>
          <w:rStyle w:val="FootnoteReference"/>
          <w:sz w:val="16"/>
          <w:szCs w:val="16"/>
        </w:rPr>
        <w:footnoteRef/>
      </w:r>
      <w:r w:rsidRPr="00A23FDA">
        <w:rPr>
          <w:sz w:val="16"/>
          <w:szCs w:val="16"/>
        </w:rPr>
        <w:t xml:space="preserve"> World Bank (2001) OP4.04 Natural Habitats. Paragraph 4</w:t>
      </w:r>
    </w:p>
  </w:footnote>
  <w:footnote w:id="15">
    <w:p w14:paraId="62E7B581" w14:textId="77777777" w:rsidR="006A19D3" w:rsidRPr="00A23FDA" w:rsidRDefault="006A19D3" w:rsidP="003A6A5F">
      <w:pPr>
        <w:pStyle w:val="FootnoteText"/>
        <w:ind w:left="142" w:hanging="142"/>
        <w:jc w:val="both"/>
        <w:rPr>
          <w:sz w:val="16"/>
          <w:szCs w:val="16"/>
          <w:lang w:val="en-US"/>
        </w:rPr>
      </w:pPr>
      <w:r w:rsidRPr="00A23FDA">
        <w:rPr>
          <w:rStyle w:val="FootnoteReference"/>
          <w:sz w:val="16"/>
          <w:szCs w:val="16"/>
        </w:rPr>
        <w:footnoteRef/>
      </w:r>
      <w:r w:rsidRPr="00A23FDA">
        <w:rPr>
          <w:sz w:val="16"/>
          <w:szCs w:val="16"/>
          <w:lang w:val="en-US"/>
        </w:rPr>
        <w:t xml:space="preserve"> </w:t>
      </w:r>
      <w:r w:rsidRPr="00A23FDA">
        <w:rPr>
          <w:sz w:val="16"/>
          <w:szCs w:val="16"/>
        </w:rPr>
        <w:t>It should be noted that the borrowers are responsible for complying with the safeguard framework with the assistance of the lenders. See: WWF and IISD (2017) Infrastructure at odds with biodiversity?</w:t>
      </w:r>
    </w:p>
  </w:footnote>
  <w:footnote w:id="16">
    <w:p w14:paraId="6E2B0787" w14:textId="77777777" w:rsidR="006A19D3" w:rsidRPr="00A23FDA" w:rsidRDefault="006A19D3" w:rsidP="003A6A5F">
      <w:pPr>
        <w:pStyle w:val="FootnoteText"/>
        <w:ind w:left="142" w:hanging="142"/>
        <w:jc w:val="both"/>
        <w:rPr>
          <w:sz w:val="16"/>
          <w:szCs w:val="16"/>
          <w:lang w:eastAsia="ja-JP"/>
        </w:rPr>
      </w:pPr>
      <w:r w:rsidRPr="00A23FDA">
        <w:rPr>
          <w:rStyle w:val="FootnoteReference"/>
          <w:sz w:val="16"/>
          <w:szCs w:val="16"/>
        </w:rPr>
        <w:footnoteRef/>
      </w:r>
      <w:r w:rsidRPr="00A23FDA">
        <w:rPr>
          <w:sz w:val="16"/>
          <w:szCs w:val="16"/>
          <w:lang w:val="en-US"/>
        </w:rPr>
        <w:t xml:space="preserve"> UN Environment (2018). </w:t>
      </w:r>
      <w:r w:rsidRPr="00A23FDA">
        <w:rPr>
          <w:sz w:val="16"/>
          <w:szCs w:val="16"/>
        </w:rPr>
        <w:t>Assessing Environmental Impacts- A Global Review of Legislation, Nairobi, Kenya.</w:t>
      </w:r>
    </w:p>
  </w:footnote>
  <w:footnote w:id="17">
    <w:p w14:paraId="03CCB4F1" w14:textId="25D3E328" w:rsidR="006A19D3" w:rsidRDefault="006A19D3" w:rsidP="003A6A5F">
      <w:pPr>
        <w:pStyle w:val="FootnoteText"/>
        <w:ind w:left="142" w:hanging="142"/>
        <w:jc w:val="both"/>
        <w:rPr>
          <w:lang w:eastAsia="ja-JP"/>
        </w:rPr>
      </w:pPr>
      <w:r w:rsidRPr="00A23FDA">
        <w:rPr>
          <w:rStyle w:val="FootnoteReference"/>
          <w:sz w:val="16"/>
          <w:szCs w:val="16"/>
        </w:rPr>
        <w:footnoteRef/>
      </w:r>
      <w:r w:rsidRPr="00A23FDA">
        <w:rPr>
          <w:sz w:val="16"/>
          <w:szCs w:val="16"/>
        </w:rPr>
        <w:t xml:space="preserve"> </w:t>
      </w:r>
      <w:r w:rsidR="00A871A1" w:rsidRPr="00A871A1">
        <w:rPr>
          <w:sz w:val="16"/>
          <w:szCs w:val="16"/>
        </w:rPr>
        <w:t>Critical Habitats are areas with high biodiversity value, including (</w:t>
      </w:r>
      <w:proofErr w:type="spellStart"/>
      <w:r w:rsidR="00A871A1" w:rsidRPr="00A871A1">
        <w:rPr>
          <w:sz w:val="16"/>
          <w:szCs w:val="16"/>
        </w:rPr>
        <w:t>i</w:t>
      </w:r>
      <w:proofErr w:type="spellEnd"/>
      <w:r w:rsidR="00A871A1" w:rsidRPr="00A871A1">
        <w:rPr>
          <w:sz w:val="16"/>
          <w:szCs w:val="16"/>
        </w:rPr>
        <w:t xml:space="preserve">) habitat of significant importance to Critically Endangered and/or Endangered species; (ii) habitat of significant importance to endemic and/or restricted-range species; (iii) habitat supporting globally significant concentrations of migratory species and/or </w:t>
      </w:r>
      <w:proofErr w:type="spellStart"/>
      <w:r w:rsidR="00A871A1" w:rsidRPr="00A871A1">
        <w:rPr>
          <w:sz w:val="16"/>
          <w:szCs w:val="16"/>
        </w:rPr>
        <w:t>congregatory</w:t>
      </w:r>
      <w:proofErr w:type="spellEnd"/>
      <w:r w:rsidR="00A871A1" w:rsidRPr="00A871A1">
        <w:rPr>
          <w:sz w:val="16"/>
          <w:szCs w:val="16"/>
        </w:rPr>
        <w:t xml:space="preserve"> species; (iv) highly threatened and/or unique ecosystems; and/or (v) areas associated with key evolutionary processes. For further details, s</w:t>
      </w:r>
      <w:r w:rsidRPr="00A871A1">
        <w:rPr>
          <w:sz w:val="16"/>
          <w:szCs w:val="16"/>
        </w:rPr>
        <w:t xml:space="preserve">ee </w:t>
      </w:r>
      <w:hyperlink r:id="rId2" w:history="1">
        <w:r w:rsidRPr="00A871A1">
          <w:rPr>
            <w:sz w:val="16"/>
            <w:szCs w:val="16"/>
          </w:rPr>
          <w:t>https://equator-principles.com/about/352/</w:t>
        </w:r>
      </w:hyperlink>
    </w:p>
  </w:footnote>
  <w:footnote w:id="18">
    <w:p w14:paraId="19221A6D" w14:textId="77777777" w:rsidR="005D73FF" w:rsidRPr="00A23FDA" w:rsidRDefault="005D73FF" w:rsidP="003A6A5F">
      <w:pPr>
        <w:pStyle w:val="FootnoteText"/>
        <w:jc w:val="both"/>
        <w:rPr>
          <w:sz w:val="16"/>
          <w:szCs w:val="16"/>
          <w:lang w:val="en-US"/>
        </w:rPr>
      </w:pPr>
      <w:r w:rsidRPr="00A23FDA">
        <w:rPr>
          <w:rStyle w:val="FootnoteReference"/>
          <w:sz w:val="16"/>
          <w:szCs w:val="16"/>
        </w:rPr>
        <w:footnoteRef/>
      </w:r>
      <w:r w:rsidRPr="00A23FDA">
        <w:rPr>
          <w:sz w:val="16"/>
          <w:szCs w:val="16"/>
        </w:rPr>
        <w:t xml:space="preserve"> </w:t>
      </w:r>
      <w:proofErr w:type="spellStart"/>
      <w:r w:rsidRPr="00A23FDA">
        <w:rPr>
          <w:sz w:val="16"/>
          <w:szCs w:val="16"/>
        </w:rPr>
        <w:t>Laurance</w:t>
      </w:r>
      <w:proofErr w:type="spellEnd"/>
      <w:r w:rsidRPr="00A23FDA">
        <w:rPr>
          <w:sz w:val="16"/>
          <w:szCs w:val="16"/>
        </w:rPr>
        <w:t>, W. F., Clements, G. R., Sloan, S., O’</w:t>
      </w:r>
      <w:r>
        <w:rPr>
          <w:sz w:val="16"/>
          <w:szCs w:val="16"/>
        </w:rPr>
        <w:t>C</w:t>
      </w:r>
      <w:r w:rsidRPr="00A23FDA">
        <w:rPr>
          <w:sz w:val="16"/>
          <w:szCs w:val="16"/>
        </w:rPr>
        <w:t xml:space="preserve">onnell, C. S., Mueller, N. D., </w:t>
      </w:r>
      <w:proofErr w:type="spellStart"/>
      <w:r w:rsidRPr="00A23FDA">
        <w:rPr>
          <w:sz w:val="16"/>
          <w:szCs w:val="16"/>
        </w:rPr>
        <w:t>Goosem</w:t>
      </w:r>
      <w:proofErr w:type="spellEnd"/>
      <w:r w:rsidRPr="00A23FDA">
        <w:rPr>
          <w:sz w:val="16"/>
          <w:szCs w:val="16"/>
        </w:rPr>
        <w:t xml:space="preserve">, M., ... &amp; Van Der </w:t>
      </w:r>
      <w:proofErr w:type="spellStart"/>
      <w:r w:rsidRPr="00A23FDA">
        <w:rPr>
          <w:sz w:val="16"/>
          <w:szCs w:val="16"/>
        </w:rPr>
        <w:t>Ree</w:t>
      </w:r>
      <w:proofErr w:type="spellEnd"/>
      <w:r w:rsidRPr="00A23FDA">
        <w:rPr>
          <w:sz w:val="16"/>
          <w:szCs w:val="16"/>
        </w:rPr>
        <w:t>, R. (2014). A global strategy for road building. Nature, 513(7517), 229.</w:t>
      </w:r>
    </w:p>
  </w:footnote>
  <w:footnote w:id="19">
    <w:p w14:paraId="4C5C84D0" w14:textId="77777777" w:rsidR="005D73FF" w:rsidRPr="00A23FDA" w:rsidRDefault="005D73FF" w:rsidP="003A6A5F">
      <w:pPr>
        <w:pStyle w:val="FootnoteText"/>
        <w:jc w:val="both"/>
        <w:rPr>
          <w:sz w:val="16"/>
          <w:szCs w:val="16"/>
        </w:rPr>
      </w:pPr>
      <w:r w:rsidRPr="00A23FDA">
        <w:rPr>
          <w:rStyle w:val="FootnoteReference"/>
          <w:sz w:val="16"/>
          <w:szCs w:val="16"/>
        </w:rPr>
        <w:footnoteRef/>
      </w:r>
      <w:r w:rsidRPr="00A23FDA">
        <w:rPr>
          <w:sz w:val="16"/>
          <w:szCs w:val="16"/>
        </w:rPr>
        <w:t xml:space="preserve"> CBD/SBSTTA/21/5</w:t>
      </w:r>
    </w:p>
  </w:footnote>
  <w:footnote w:id="20">
    <w:p w14:paraId="65F4E1A9" w14:textId="77777777" w:rsidR="00FA536C" w:rsidRPr="00F02AB0" w:rsidRDefault="00FA536C" w:rsidP="003A6A5F">
      <w:pPr>
        <w:pStyle w:val="FootnoteText"/>
        <w:jc w:val="both"/>
        <w:rPr>
          <w:sz w:val="16"/>
          <w:szCs w:val="16"/>
        </w:rPr>
      </w:pPr>
      <w:r w:rsidRPr="00F02AB0">
        <w:rPr>
          <w:rStyle w:val="FootnoteReference"/>
          <w:sz w:val="16"/>
          <w:szCs w:val="16"/>
        </w:rPr>
        <w:footnoteRef/>
      </w:r>
      <w:r w:rsidRPr="00A871A1">
        <w:rPr>
          <w:sz w:val="16"/>
          <w:szCs w:val="16"/>
          <w:lang w:val="en-US"/>
        </w:rPr>
        <w:t xml:space="preserve"> UN Environment (2018). </w:t>
      </w:r>
      <w:r w:rsidRPr="00F02AB0">
        <w:rPr>
          <w:sz w:val="16"/>
          <w:szCs w:val="16"/>
        </w:rPr>
        <w:t>Assessing Environmental Impacts- A Global Review of Legislation, Nairobi, Kenya.</w:t>
      </w:r>
    </w:p>
  </w:footnote>
  <w:footnote w:id="21">
    <w:p w14:paraId="5FEC9D94" w14:textId="5356028B" w:rsidR="00EC2100" w:rsidRPr="00F02AB0" w:rsidRDefault="00EC2100" w:rsidP="003A6A5F">
      <w:pPr>
        <w:pStyle w:val="FootnoteText"/>
        <w:jc w:val="both"/>
        <w:rPr>
          <w:sz w:val="16"/>
          <w:szCs w:val="16"/>
          <w:lang w:val="en-US"/>
        </w:rPr>
      </w:pPr>
      <w:r w:rsidRPr="00F02AB0">
        <w:rPr>
          <w:rStyle w:val="FootnoteReference"/>
          <w:sz w:val="16"/>
          <w:szCs w:val="16"/>
        </w:rPr>
        <w:footnoteRef/>
      </w:r>
      <w:r w:rsidRPr="00F02AB0">
        <w:rPr>
          <w:sz w:val="16"/>
          <w:szCs w:val="16"/>
        </w:rPr>
        <w:t xml:space="preserve"> </w:t>
      </w:r>
      <w:r w:rsidRPr="00F02AB0">
        <w:rPr>
          <w:sz w:val="16"/>
          <w:szCs w:val="16"/>
          <w:lang w:val="en-US"/>
        </w:rPr>
        <w:t>UN Environment (2018). Assessing Environmental Impacts- A Global Review of Legislation, Nairobi, Kenya.</w:t>
      </w:r>
    </w:p>
  </w:footnote>
  <w:footnote w:id="22">
    <w:p w14:paraId="3B4A882C" w14:textId="4300BC6B" w:rsidR="00232CFA" w:rsidRPr="00F02AB0" w:rsidRDefault="00232CFA" w:rsidP="003A6A5F">
      <w:pPr>
        <w:pStyle w:val="FootnoteText"/>
        <w:jc w:val="both"/>
        <w:rPr>
          <w:sz w:val="16"/>
          <w:szCs w:val="16"/>
        </w:rPr>
      </w:pPr>
      <w:r w:rsidRPr="00F02AB0">
        <w:rPr>
          <w:rStyle w:val="FootnoteReference"/>
          <w:sz w:val="16"/>
          <w:szCs w:val="16"/>
        </w:rPr>
        <w:footnoteRef/>
      </w:r>
      <w:r w:rsidRPr="00F02AB0">
        <w:rPr>
          <w:sz w:val="16"/>
          <w:szCs w:val="16"/>
        </w:rPr>
        <w:t xml:space="preserve"> The mitigation hierarchy is the sequence of actions to anticipate and avoid impacts on biodiversity and ecosystem services; and where avoidance is not possible, minimize; and, when impacts occur, rehabilitate or restore; and where significant residual impacts remain, offset (</w:t>
      </w:r>
      <w:r w:rsidR="00050B48" w:rsidRPr="00F02AB0">
        <w:rPr>
          <w:sz w:val="16"/>
          <w:szCs w:val="16"/>
        </w:rPr>
        <w:t xml:space="preserve">The Cross-Sector Biodiversity Initiative </w:t>
      </w:r>
      <w:r w:rsidRPr="00F02AB0">
        <w:rPr>
          <w:sz w:val="16"/>
          <w:szCs w:val="16"/>
        </w:rPr>
        <w:t>2013)</w:t>
      </w:r>
    </w:p>
  </w:footnote>
  <w:footnote w:id="23">
    <w:p w14:paraId="0F6E5205" w14:textId="5FA6DEC2" w:rsidR="00725680" w:rsidRPr="00F02AB0" w:rsidRDefault="00725680" w:rsidP="003A6A5F">
      <w:pPr>
        <w:pStyle w:val="FootnoteText"/>
        <w:jc w:val="both"/>
        <w:rPr>
          <w:sz w:val="16"/>
          <w:szCs w:val="16"/>
          <w:lang w:val="en-US"/>
        </w:rPr>
      </w:pPr>
      <w:r w:rsidRPr="00F02AB0">
        <w:rPr>
          <w:rStyle w:val="FootnoteReference"/>
          <w:sz w:val="16"/>
          <w:szCs w:val="16"/>
        </w:rPr>
        <w:footnoteRef/>
      </w:r>
      <w:r w:rsidRPr="00F02AB0">
        <w:rPr>
          <w:sz w:val="16"/>
          <w:szCs w:val="16"/>
        </w:rPr>
        <w:t xml:space="preserve"> </w:t>
      </w:r>
      <w:r w:rsidRPr="00056418">
        <w:rPr>
          <w:sz w:val="16"/>
          <w:szCs w:val="16"/>
        </w:rPr>
        <w:t xml:space="preserve">WII (2016) </w:t>
      </w:r>
      <w:r w:rsidR="00056418" w:rsidRPr="00056418">
        <w:rPr>
          <w:sz w:val="16"/>
          <w:szCs w:val="16"/>
        </w:rPr>
        <w:t>Eco-Friendly Measures to Mitigate Impacts of Linear Infrastructure on Wildlife</w:t>
      </w:r>
      <w:r w:rsidR="00056418">
        <w:rPr>
          <w:sz w:val="16"/>
          <w:szCs w:val="16"/>
        </w:rPr>
        <w:t xml:space="preserve">. </w:t>
      </w:r>
      <w:r w:rsidRPr="00F02AB0">
        <w:rPr>
          <w:sz w:val="16"/>
          <w:szCs w:val="16"/>
        </w:rPr>
        <w:t>Part IV provides a useful overview of available guidance documents</w:t>
      </w:r>
      <w:r w:rsidRPr="00F02AB0">
        <w:rPr>
          <w:sz w:val="16"/>
          <w:szCs w:val="16"/>
          <w:lang w:val="en-US"/>
        </w:rPr>
        <w:t xml:space="preserve">  </w:t>
      </w:r>
    </w:p>
  </w:footnote>
  <w:footnote w:id="24">
    <w:p w14:paraId="722C950F" w14:textId="5860F342" w:rsidR="00725680" w:rsidRPr="00F02AB0" w:rsidRDefault="00725680" w:rsidP="003A6A5F">
      <w:pPr>
        <w:pStyle w:val="FootnoteText"/>
        <w:jc w:val="both"/>
        <w:rPr>
          <w:sz w:val="16"/>
          <w:szCs w:val="16"/>
        </w:rPr>
      </w:pPr>
      <w:r w:rsidRPr="00F02AB0">
        <w:rPr>
          <w:rStyle w:val="FootnoteReference"/>
          <w:sz w:val="16"/>
          <w:szCs w:val="16"/>
        </w:rPr>
        <w:footnoteRef/>
      </w:r>
      <w:r w:rsidRPr="00F02AB0">
        <w:rPr>
          <w:sz w:val="16"/>
          <w:szCs w:val="16"/>
        </w:rPr>
        <w:t xml:space="preserve"> </w:t>
      </w:r>
      <w:r w:rsidRPr="001A3721">
        <w:rPr>
          <w:rFonts w:cs="Arial"/>
          <w:sz w:val="16"/>
          <w:szCs w:val="16"/>
        </w:rPr>
        <w:t xml:space="preserve">Such as </w:t>
      </w:r>
      <w:proofErr w:type="spellStart"/>
      <w:r w:rsidR="00417968" w:rsidRPr="001A3721">
        <w:rPr>
          <w:rFonts w:cs="Arial"/>
          <w:sz w:val="16"/>
          <w:szCs w:val="16"/>
        </w:rPr>
        <w:t>Greenroads</w:t>
      </w:r>
      <w:proofErr w:type="spellEnd"/>
      <w:r w:rsidR="00417968" w:rsidRPr="001A3721">
        <w:rPr>
          <w:rFonts w:cs="Arial"/>
          <w:sz w:val="16"/>
          <w:szCs w:val="16"/>
        </w:rPr>
        <w:t xml:space="preserve">® rating system and </w:t>
      </w:r>
      <w:proofErr w:type="spellStart"/>
      <w:r w:rsidR="00417968" w:rsidRPr="001A3721">
        <w:rPr>
          <w:rFonts w:cs="Arial"/>
          <w:sz w:val="16"/>
          <w:szCs w:val="16"/>
          <w:lang w:val="en-US"/>
        </w:rPr>
        <w:t>SuRe</w:t>
      </w:r>
      <w:proofErr w:type="spellEnd"/>
      <w:r w:rsidR="00417968" w:rsidRPr="001A3721">
        <w:rPr>
          <w:rFonts w:cs="Arial"/>
          <w:sz w:val="16"/>
          <w:szCs w:val="16"/>
          <w:lang w:val="en-US"/>
        </w:rPr>
        <w:t xml:space="preserve">® Standard. </w:t>
      </w:r>
      <w:r w:rsidR="006073E9">
        <w:rPr>
          <w:rFonts w:cs="Arial"/>
          <w:sz w:val="16"/>
          <w:szCs w:val="16"/>
          <w:lang w:val="en-US"/>
        </w:rPr>
        <w:t>S</w:t>
      </w:r>
      <w:r w:rsidR="00417968" w:rsidRPr="001A3721">
        <w:rPr>
          <w:rFonts w:cs="Arial"/>
          <w:sz w:val="16"/>
          <w:szCs w:val="16"/>
          <w:lang w:val="en-US"/>
        </w:rPr>
        <w:t xml:space="preserve">ee Appendix 15 of </w:t>
      </w:r>
      <w:r w:rsidR="00056418">
        <w:rPr>
          <w:rFonts w:cs="Arial"/>
          <w:sz w:val="16"/>
          <w:szCs w:val="16"/>
          <w:lang w:val="en-US"/>
        </w:rPr>
        <w:t xml:space="preserve">the </w:t>
      </w:r>
      <w:r w:rsidR="00417968" w:rsidRPr="001A3721">
        <w:rPr>
          <w:rFonts w:cs="Arial"/>
          <w:sz w:val="16"/>
          <w:szCs w:val="16"/>
          <w:lang w:val="en-US"/>
        </w:rPr>
        <w:t>World Bank (2019) Reducing Environmental Risks from Belt and Road Initiative Investments in Transportation Infrastructure</w:t>
      </w:r>
    </w:p>
  </w:footnote>
  <w:footnote w:id="25">
    <w:p w14:paraId="182C4CA8" w14:textId="77777777" w:rsidR="00291BB2" w:rsidRPr="00A23FDA" w:rsidRDefault="00291BB2" w:rsidP="003A6A5F">
      <w:pPr>
        <w:pStyle w:val="FootnoteText"/>
        <w:jc w:val="both"/>
        <w:rPr>
          <w:sz w:val="16"/>
          <w:szCs w:val="16"/>
          <w:lang w:val="en-US"/>
        </w:rPr>
      </w:pPr>
      <w:r w:rsidRPr="00F02AB0">
        <w:rPr>
          <w:rStyle w:val="FootnoteReference"/>
          <w:sz w:val="16"/>
          <w:szCs w:val="16"/>
        </w:rPr>
        <w:footnoteRef/>
      </w:r>
      <w:r w:rsidRPr="00F02AB0">
        <w:rPr>
          <w:sz w:val="16"/>
          <w:szCs w:val="16"/>
        </w:rPr>
        <w:t xml:space="preserve"> </w:t>
      </w:r>
      <w:r w:rsidRPr="00F02AB0">
        <w:rPr>
          <w:sz w:val="16"/>
          <w:szCs w:val="16"/>
          <w:lang w:val="en-US"/>
        </w:rPr>
        <w:t xml:space="preserve">Under the </w:t>
      </w:r>
      <w:proofErr w:type="spellStart"/>
      <w:r w:rsidRPr="00F02AB0">
        <w:rPr>
          <w:sz w:val="16"/>
          <w:szCs w:val="16"/>
          <w:lang w:val="en-US"/>
        </w:rPr>
        <w:t>programme</w:t>
      </w:r>
      <w:proofErr w:type="spellEnd"/>
      <w:r w:rsidRPr="00F02AB0">
        <w:rPr>
          <w:sz w:val="16"/>
          <w:szCs w:val="16"/>
          <w:lang w:val="en-US"/>
        </w:rPr>
        <w:t xml:space="preserve"> of work for the CAMI (2021-2026) 3.5, information on mitigation solutions for specific cases, species, landscape and type of barrier will be compiled. For further details, see UNEP/CMS/COP13/Doc.26.3.5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9E27"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B433" w14:textId="67806B7D" w:rsidR="002E0DE9" w:rsidRPr="002E0DE9" w:rsidRDefault="002E0DE9" w:rsidP="005534EC">
    <w:pPr>
      <w:pStyle w:val="Header"/>
      <w:pBdr>
        <w:bottom w:val="single" w:sz="4" w:space="1" w:color="auto"/>
      </w:pBdr>
      <w:jc w:val="right"/>
      <w:rPr>
        <w:i/>
        <w:sz w:val="18"/>
        <w:szCs w:val="18"/>
      </w:rPr>
    </w:pPr>
    <w:r w:rsidRPr="002E0DE9">
      <w:rPr>
        <w:rFonts w:eastAsia="Times New Roman" w:cs="Arial"/>
        <w:i/>
        <w:sz w:val="18"/>
        <w:szCs w:val="18"/>
      </w:rPr>
      <w:t>UNEP/CMS/COP13/</w:t>
    </w:r>
    <w:r w:rsidR="00DC6216" w:rsidRPr="00661875">
      <w:rPr>
        <w:rFonts w:cs="Arial"/>
        <w:i/>
        <w:sz w:val="18"/>
        <w:szCs w:val="18"/>
        <w:lang w:val="de-DE"/>
      </w:rPr>
      <w:t>Doc.</w:t>
    </w:r>
    <w:r w:rsidR="00DC6216" w:rsidRPr="00DC6216">
      <w:rPr>
        <w:rFonts w:cs="Arial"/>
        <w:i/>
        <w:sz w:val="18"/>
        <w:szCs w:val="18"/>
        <w:lang w:val="de-DE"/>
      </w:rPr>
      <w:t>26.4.</w:t>
    </w:r>
    <w:r w:rsidR="005534EC">
      <w:rPr>
        <w:rFonts w:cs="Arial"/>
        <w:i/>
        <w:sz w:val="18"/>
        <w:szCs w:val="18"/>
        <w:lang w:val="de-DE"/>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0869" w14:textId="2345D42C"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0" behindDoc="0" locked="0" layoutInCell="1" allowOverlap="1" wp14:anchorId="1DC0D41C" wp14:editId="0995F138">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6192" behindDoc="0" locked="0" layoutInCell="1" allowOverlap="1" wp14:anchorId="5853A9EA" wp14:editId="1CAA552B">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7216" behindDoc="0" locked="0" layoutInCell="1" allowOverlap="1" wp14:anchorId="4D922052" wp14:editId="79EED17D">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75867F08"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4FFF" w14:textId="19592851" w:rsidR="00371DE1" w:rsidRPr="00A80C1B" w:rsidRDefault="00371DE1" w:rsidP="00371DE1">
    <w:pPr>
      <w:pStyle w:val="Header"/>
      <w:pBdr>
        <w:bottom w:val="single" w:sz="4" w:space="1" w:color="auto"/>
      </w:pBdr>
      <w:rPr>
        <w:rFonts w:cs="Arial"/>
        <w:i/>
        <w:sz w:val="18"/>
        <w:szCs w:val="18"/>
      </w:rPr>
    </w:pPr>
    <w:r w:rsidRPr="00A80C1B">
      <w:rPr>
        <w:rFonts w:cs="Arial"/>
        <w:i/>
        <w:sz w:val="18"/>
        <w:szCs w:val="18"/>
      </w:rPr>
      <w:t>UNEP/CMS/COP13/Doc</w:t>
    </w:r>
    <w:r w:rsidR="00BA289F">
      <w:rPr>
        <w:rFonts w:cs="Arial"/>
        <w:i/>
        <w:sz w:val="18"/>
        <w:szCs w:val="18"/>
      </w:rPr>
      <w:t>.</w:t>
    </w:r>
    <w:r w:rsidR="005534EC">
      <w:rPr>
        <w:rFonts w:cs="Arial"/>
        <w:i/>
        <w:sz w:val="18"/>
        <w:szCs w:val="18"/>
      </w:rPr>
      <w:t>26.4.11</w:t>
    </w:r>
  </w:p>
  <w:p w14:paraId="6B609804"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4827" w14:textId="305DA26E" w:rsidR="00831DC2" w:rsidRPr="00661875" w:rsidRDefault="00831DC2" w:rsidP="005534EC">
    <w:pPr>
      <w:pStyle w:val="Header"/>
      <w:pBdr>
        <w:bottom w:val="single" w:sz="4" w:space="1" w:color="auto"/>
      </w:pBdr>
      <w:rPr>
        <w:rFonts w:cs="Arial"/>
        <w:i/>
        <w:sz w:val="18"/>
        <w:szCs w:val="18"/>
        <w:lang w:val="de-DE"/>
      </w:rPr>
    </w:pPr>
    <w:r w:rsidRPr="00661875">
      <w:rPr>
        <w:rFonts w:cs="Arial"/>
        <w:i/>
        <w:sz w:val="18"/>
        <w:szCs w:val="18"/>
        <w:lang w:val="de-DE"/>
      </w:rPr>
      <w:t>UNEP/CMS/COP13/Doc.</w:t>
    </w:r>
    <w:r w:rsidR="00DC6216" w:rsidRPr="00DC6216">
      <w:rPr>
        <w:rFonts w:cs="Arial"/>
        <w:i/>
        <w:sz w:val="18"/>
        <w:szCs w:val="18"/>
        <w:lang w:val="de-DE"/>
      </w:rPr>
      <w:t>26.4.</w:t>
    </w:r>
    <w:r w:rsidR="005534EC">
      <w:rPr>
        <w:rFonts w:cs="Arial"/>
        <w:i/>
        <w:sz w:val="18"/>
        <w:szCs w:val="18"/>
        <w:lang w:val="de-DE"/>
      </w:rPr>
      <w:t>11</w:t>
    </w:r>
  </w:p>
  <w:p w14:paraId="67E5FF9E" w14:textId="77777777" w:rsidR="00831DC2" w:rsidRPr="002E0DE9"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4511" w14:textId="16215D5E" w:rsidR="005534EC" w:rsidRPr="00A80C1B" w:rsidRDefault="005534EC" w:rsidP="005534EC">
    <w:pPr>
      <w:pStyle w:val="Header"/>
      <w:pBdr>
        <w:bottom w:val="single" w:sz="4" w:space="1" w:color="auto"/>
      </w:pBdr>
      <w:rPr>
        <w:rFonts w:cs="Arial"/>
        <w:i/>
        <w:sz w:val="18"/>
        <w:szCs w:val="18"/>
      </w:rPr>
    </w:pPr>
    <w:r w:rsidRPr="00A80C1B">
      <w:rPr>
        <w:rFonts w:cs="Arial"/>
        <w:i/>
        <w:sz w:val="18"/>
        <w:szCs w:val="18"/>
      </w:rPr>
      <w:t>UNEP/CMS/COP13/Doc.26.4.</w:t>
    </w:r>
    <w:r>
      <w:rPr>
        <w:rFonts w:cs="Arial"/>
        <w:i/>
        <w:sz w:val="18"/>
        <w:szCs w:val="18"/>
      </w:rPr>
      <w:t>11</w:t>
    </w:r>
    <w:r w:rsidRPr="00A80C1B">
      <w:rPr>
        <w:rFonts w:cs="Arial"/>
        <w:i/>
        <w:sz w:val="18"/>
        <w:szCs w:val="18"/>
      </w:rPr>
      <w:t>/Annex</w:t>
    </w:r>
  </w:p>
  <w:p w14:paraId="529C973C" w14:textId="77777777" w:rsidR="00371DE1" w:rsidRPr="00371DE1" w:rsidRDefault="00371DE1" w:rsidP="00371D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DB61" w14:textId="3E251CE6" w:rsidR="00371DE1" w:rsidRPr="00A80C1B" w:rsidRDefault="00371DE1" w:rsidP="00371DE1">
    <w:pPr>
      <w:pStyle w:val="Header"/>
      <w:pBdr>
        <w:bottom w:val="single" w:sz="4" w:space="1" w:color="auto"/>
      </w:pBdr>
      <w:jc w:val="right"/>
      <w:rPr>
        <w:rFonts w:cs="Arial"/>
        <w:i/>
        <w:sz w:val="18"/>
        <w:szCs w:val="18"/>
      </w:rPr>
    </w:pPr>
    <w:r w:rsidRPr="00A80C1B">
      <w:rPr>
        <w:rFonts w:cs="Arial"/>
        <w:i/>
        <w:sz w:val="18"/>
        <w:szCs w:val="18"/>
      </w:rPr>
      <w:t>UNEP/CMS/COP13/</w:t>
    </w:r>
    <w:r w:rsidR="00467DBC" w:rsidRPr="00A80C1B">
      <w:rPr>
        <w:rFonts w:cs="Arial"/>
        <w:i/>
        <w:sz w:val="18"/>
        <w:szCs w:val="18"/>
      </w:rPr>
      <w:t>Doc.26.4.</w:t>
    </w:r>
    <w:r w:rsidR="005534EC">
      <w:rPr>
        <w:rFonts w:cs="Arial"/>
        <w:i/>
        <w:sz w:val="18"/>
        <w:szCs w:val="18"/>
      </w:rPr>
      <w:t>11</w:t>
    </w:r>
    <w:r w:rsidRPr="00A80C1B">
      <w:rPr>
        <w:rFonts w:cs="Arial"/>
        <w:i/>
        <w:sz w:val="18"/>
        <w:szCs w:val="18"/>
      </w:rPr>
      <w:t>/Annex</w:t>
    </w:r>
  </w:p>
  <w:p w14:paraId="1A7CFF7E"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298"/>
    <w:multiLevelType w:val="hybridMultilevel"/>
    <w:tmpl w:val="9D74D150"/>
    <w:lvl w:ilvl="0" w:tplc="04090017">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 w15:restartNumberingAfterBreak="0">
    <w:nsid w:val="05BD491E"/>
    <w:multiLevelType w:val="hybridMultilevel"/>
    <w:tmpl w:val="A0EE7074"/>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780F21"/>
    <w:multiLevelType w:val="hybridMultilevel"/>
    <w:tmpl w:val="83664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6DA6CA2"/>
    <w:multiLevelType w:val="hybridMultilevel"/>
    <w:tmpl w:val="523AD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177155"/>
    <w:multiLevelType w:val="hybridMultilevel"/>
    <w:tmpl w:val="9C8C463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FFE47CC"/>
    <w:multiLevelType w:val="hybridMultilevel"/>
    <w:tmpl w:val="4A46B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E0BF0"/>
    <w:multiLevelType w:val="hybridMultilevel"/>
    <w:tmpl w:val="492E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5155A"/>
    <w:multiLevelType w:val="hybridMultilevel"/>
    <w:tmpl w:val="230A983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7" w15:restartNumberingAfterBreak="0">
    <w:nsid w:val="69A23F83"/>
    <w:multiLevelType w:val="hybridMultilevel"/>
    <w:tmpl w:val="12E40C42"/>
    <w:lvl w:ilvl="0" w:tplc="86B4186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305D6"/>
    <w:multiLevelType w:val="hybridMultilevel"/>
    <w:tmpl w:val="83664920"/>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1" w15:restartNumberingAfterBreak="0">
    <w:nsid w:val="78F64C35"/>
    <w:multiLevelType w:val="hybridMultilevel"/>
    <w:tmpl w:val="A3600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15"/>
  </w:num>
  <w:num w:numId="2">
    <w:abstractNumId w:val="19"/>
  </w:num>
  <w:num w:numId="3">
    <w:abstractNumId w:val="6"/>
  </w:num>
  <w:num w:numId="4">
    <w:abstractNumId w:val="13"/>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6"/>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21"/>
  </w:num>
  <w:num w:numId="20">
    <w:abstractNumId w:val="1"/>
  </w:num>
  <w:num w:numId="21">
    <w:abstractNumId w:val="12"/>
  </w:num>
  <w:num w:numId="22">
    <w:abstractNumId w:val="10"/>
  </w:num>
  <w:num w:numId="23">
    <w:abstractNumId w:val="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397"/>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91C"/>
    <w:rsid w:val="00002854"/>
    <w:rsid w:val="00002CB8"/>
    <w:rsid w:val="00003215"/>
    <w:rsid w:val="00010236"/>
    <w:rsid w:val="0001107B"/>
    <w:rsid w:val="00017B7F"/>
    <w:rsid w:val="0002215A"/>
    <w:rsid w:val="000232CA"/>
    <w:rsid w:val="00023C35"/>
    <w:rsid w:val="00023E93"/>
    <w:rsid w:val="00030CE4"/>
    <w:rsid w:val="00033AA9"/>
    <w:rsid w:val="00035810"/>
    <w:rsid w:val="00046C8C"/>
    <w:rsid w:val="00050B48"/>
    <w:rsid w:val="00054E24"/>
    <w:rsid w:val="00055790"/>
    <w:rsid w:val="00056418"/>
    <w:rsid w:val="00057371"/>
    <w:rsid w:val="000624DE"/>
    <w:rsid w:val="00062543"/>
    <w:rsid w:val="00062970"/>
    <w:rsid w:val="00072017"/>
    <w:rsid w:val="00072609"/>
    <w:rsid w:val="00074137"/>
    <w:rsid w:val="00087AC3"/>
    <w:rsid w:val="00090CF9"/>
    <w:rsid w:val="00092853"/>
    <w:rsid w:val="00095FEA"/>
    <w:rsid w:val="000A0559"/>
    <w:rsid w:val="000A15B5"/>
    <w:rsid w:val="000A1CCA"/>
    <w:rsid w:val="000A269E"/>
    <w:rsid w:val="000A6A5A"/>
    <w:rsid w:val="000A6B64"/>
    <w:rsid w:val="000A7265"/>
    <w:rsid w:val="000A7C33"/>
    <w:rsid w:val="000B0354"/>
    <w:rsid w:val="000B5E25"/>
    <w:rsid w:val="000C0BB4"/>
    <w:rsid w:val="000C4292"/>
    <w:rsid w:val="000C69C0"/>
    <w:rsid w:val="000D0447"/>
    <w:rsid w:val="000D04D1"/>
    <w:rsid w:val="000D0D87"/>
    <w:rsid w:val="000D251D"/>
    <w:rsid w:val="000D3C92"/>
    <w:rsid w:val="000D465A"/>
    <w:rsid w:val="000D49D0"/>
    <w:rsid w:val="000D6A80"/>
    <w:rsid w:val="000E0B25"/>
    <w:rsid w:val="000E56AB"/>
    <w:rsid w:val="000E7B3C"/>
    <w:rsid w:val="000F1675"/>
    <w:rsid w:val="000F25A3"/>
    <w:rsid w:val="000F2DEA"/>
    <w:rsid w:val="00103D2E"/>
    <w:rsid w:val="00106BCF"/>
    <w:rsid w:val="001070E8"/>
    <w:rsid w:val="001113C9"/>
    <w:rsid w:val="00115EDC"/>
    <w:rsid w:val="00116330"/>
    <w:rsid w:val="00120FC4"/>
    <w:rsid w:val="00121E9C"/>
    <w:rsid w:val="0012324A"/>
    <w:rsid w:val="00123EA7"/>
    <w:rsid w:val="001248A2"/>
    <w:rsid w:val="00125AEE"/>
    <w:rsid w:val="0012674C"/>
    <w:rsid w:val="00126993"/>
    <w:rsid w:val="001270D0"/>
    <w:rsid w:val="00127A26"/>
    <w:rsid w:val="00130B29"/>
    <w:rsid w:val="0013149E"/>
    <w:rsid w:val="001370D1"/>
    <w:rsid w:val="00137BFF"/>
    <w:rsid w:val="00140808"/>
    <w:rsid w:val="00140DB2"/>
    <w:rsid w:val="00144C3D"/>
    <w:rsid w:val="00145450"/>
    <w:rsid w:val="00145A1B"/>
    <w:rsid w:val="00146359"/>
    <w:rsid w:val="00150ED1"/>
    <w:rsid w:val="0015136C"/>
    <w:rsid w:val="00153332"/>
    <w:rsid w:val="00154DCB"/>
    <w:rsid w:val="001568F7"/>
    <w:rsid w:val="00160433"/>
    <w:rsid w:val="00160822"/>
    <w:rsid w:val="00162CB1"/>
    <w:rsid w:val="0017266D"/>
    <w:rsid w:val="00172AD3"/>
    <w:rsid w:val="00175794"/>
    <w:rsid w:val="00181979"/>
    <w:rsid w:val="00183A6E"/>
    <w:rsid w:val="001877F3"/>
    <w:rsid w:val="0019120C"/>
    <w:rsid w:val="0019201A"/>
    <w:rsid w:val="00192532"/>
    <w:rsid w:val="001937A1"/>
    <w:rsid w:val="00194485"/>
    <w:rsid w:val="001A2ED9"/>
    <w:rsid w:val="001A3721"/>
    <w:rsid w:val="001B061C"/>
    <w:rsid w:val="001B06D9"/>
    <w:rsid w:val="001B34DD"/>
    <w:rsid w:val="001B50F6"/>
    <w:rsid w:val="001B747C"/>
    <w:rsid w:val="001C300F"/>
    <w:rsid w:val="001C38F9"/>
    <w:rsid w:val="001C4DD8"/>
    <w:rsid w:val="001C6B30"/>
    <w:rsid w:val="001D12BA"/>
    <w:rsid w:val="001D14F8"/>
    <w:rsid w:val="001D33A6"/>
    <w:rsid w:val="001D455B"/>
    <w:rsid w:val="001D4D5E"/>
    <w:rsid w:val="001E2E21"/>
    <w:rsid w:val="001E3AFC"/>
    <w:rsid w:val="001E43C1"/>
    <w:rsid w:val="001E5D29"/>
    <w:rsid w:val="001F0537"/>
    <w:rsid w:val="001F073F"/>
    <w:rsid w:val="001F1114"/>
    <w:rsid w:val="001F1323"/>
    <w:rsid w:val="001F18C2"/>
    <w:rsid w:val="001F3164"/>
    <w:rsid w:val="001F3393"/>
    <w:rsid w:val="001F4DF7"/>
    <w:rsid w:val="001F6E63"/>
    <w:rsid w:val="00200EDE"/>
    <w:rsid w:val="0020202F"/>
    <w:rsid w:val="00204A29"/>
    <w:rsid w:val="00211F98"/>
    <w:rsid w:val="00213499"/>
    <w:rsid w:val="00222370"/>
    <w:rsid w:val="00224F61"/>
    <w:rsid w:val="00230C8D"/>
    <w:rsid w:val="0023105A"/>
    <w:rsid w:val="00232CFA"/>
    <w:rsid w:val="002333F8"/>
    <w:rsid w:val="00233B05"/>
    <w:rsid w:val="00236F97"/>
    <w:rsid w:val="00237EE3"/>
    <w:rsid w:val="0024187C"/>
    <w:rsid w:val="0024674F"/>
    <w:rsid w:val="002511DE"/>
    <w:rsid w:val="002538A3"/>
    <w:rsid w:val="0025425C"/>
    <w:rsid w:val="0025617D"/>
    <w:rsid w:val="00257C77"/>
    <w:rsid w:val="002602ED"/>
    <w:rsid w:val="002641E6"/>
    <w:rsid w:val="00270FA6"/>
    <w:rsid w:val="00273318"/>
    <w:rsid w:val="00275A1C"/>
    <w:rsid w:val="00277B04"/>
    <w:rsid w:val="00277F6E"/>
    <w:rsid w:val="002811DF"/>
    <w:rsid w:val="00283B43"/>
    <w:rsid w:val="00283FCE"/>
    <w:rsid w:val="002914F5"/>
    <w:rsid w:val="00291BB2"/>
    <w:rsid w:val="00293BBF"/>
    <w:rsid w:val="0029429E"/>
    <w:rsid w:val="0029641D"/>
    <w:rsid w:val="002A0310"/>
    <w:rsid w:val="002A1A68"/>
    <w:rsid w:val="002A3275"/>
    <w:rsid w:val="002A4D04"/>
    <w:rsid w:val="002A72B2"/>
    <w:rsid w:val="002B1112"/>
    <w:rsid w:val="002C301E"/>
    <w:rsid w:val="002C315F"/>
    <w:rsid w:val="002D33F4"/>
    <w:rsid w:val="002D3A15"/>
    <w:rsid w:val="002D4344"/>
    <w:rsid w:val="002D4E5E"/>
    <w:rsid w:val="002D598F"/>
    <w:rsid w:val="002E0DE9"/>
    <w:rsid w:val="002E4237"/>
    <w:rsid w:val="002F524B"/>
    <w:rsid w:val="002F53F5"/>
    <w:rsid w:val="002F6E37"/>
    <w:rsid w:val="002F7AA7"/>
    <w:rsid w:val="0030207D"/>
    <w:rsid w:val="003036E6"/>
    <w:rsid w:val="003069AA"/>
    <w:rsid w:val="00316AA3"/>
    <w:rsid w:val="0031717B"/>
    <w:rsid w:val="00320E2D"/>
    <w:rsid w:val="003217B3"/>
    <w:rsid w:val="00330772"/>
    <w:rsid w:val="003324DA"/>
    <w:rsid w:val="00332E9D"/>
    <w:rsid w:val="00333C3F"/>
    <w:rsid w:val="0033540F"/>
    <w:rsid w:val="003429E8"/>
    <w:rsid w:val="00343EA0"/>
    <w:rsid w:val="00346350"/>
    <w:rsid w:val="00347E41"/>
    <w:rsid w:val="00351417"/>
    <w:rsid w:val="00360838"/>
    <w:rsid w:val="00361310"/>
    <w:rsid w:val="00363616"/>
    <w:rsid w:val="00365D98"/>
    <w:rsid w:val="00367A41"/>
    <w:rsid w:val="00371605"/>
    <w:rsid w:val="00371DE1"/>
    <w:rsid w:val="003727AE"/>
    <w:rsid w:val="00372FF9"/>
    <w:rsid w:val="003741F4"/>
    <w:rsid w:val="003760F9"/>
    <w:rsid w:val="00377190"/>
    <w:rsid w:val="00380F61"/>
    <w:rsid w:val="00383651"/>
    <w:rsid w:val="00386C91"/>
    <w:rsid w:val="00386D73"/>
    <w:rsid w:val="00391C91"/>
    <w:rsid w:val="00392FD5"/>
    <w:rsid w:val="00393DB8"/>
    <w:rsid w:val="003A0CA0"/>
    <w:rsid w:val="003A3444"/>
    <w:rsid w:val="003A4EF9"/>
    <w:rsid w:val="003A5B6C"/>
    <w:rsid w:val="003A6A5F"/>
    <w:rsid w:val="003A6E81"/>
    <w:rsid w:val="003A7A49"/>
    <w:rsid w:val="003B0A06"/>
    <w:rsid w:val="003B3812"/>
    <w:rsid w:val="003B3F6F"/>
    <w:rsid w:val="003C3AF8"/>
    <w:rsid w:val="003C5ECE"/>
    <w:rsid w:val="003C7BE4"/>
    <w:rsid w:val="003D0287"/>
    <w:rsid w:val="003D0442"/>
    <w:rsid w:val="003D1E69"/>
    <w:rsid w:val="003D2623"/>
    <w:rsid w:val="003E06C0"/>
    <w:rsid w:val="003E1FC9"/>
    <w:rsid w:val="003E59EA"/>
    <w:rsid w:val="003E6C0C"/>
    <w:rsid w:val="003F28B8"/>
    <w:rsid w:val="003F42F5"/>
    <w:rsid w:val="004012BA"/>
    <w:rsid w:val="00402DAB"/>
    <w:rsid w:val="00406573"/>
    <w:rsid w:val="00411EC3"/>
    <w:rsid w:val="00415400"/>
    <w:rsid w:val="0041671D"/>
    <w:rsid w:val="0041722F"/>
    <w:rsid w:val="00417968"/>
    <w:rsid w:val="0042148C"/>
    <w:rsid w:val="00422441"/>
    <w:rsid w:val="00423791"/>
    <w:rsid w:val="00425301"/>
    <w:rsid w:val="00426B05"/>
    <w:rsid w:val="004351AE"/>
    <w:rsid w:val="00442B23"/>
    <w:rsid w:val="004433AB"/>
    <w:rsid w:val="0044751D"/>
    <w:rsid w:val="00450868"/>
    <w:rsid w:val="00455EE1"/>
    <w:rsid w:val="00460DF3"/>
    <w:rsid w:val="0046119B"/>
    <w:rsid w:val="00463508"/>
    <w:rsid w:val="00467DBC"/>
    <w:rsid w:val="00471426"/>
    <w:rsid w:val="00471AE9"/>
    <w:rsid w:val="00472866"/>
    <w:rsid w:val="004749A2"/>
    <w:rsid w:val="004749FF"/>
    <w:rsid w:val="004763F1"/>
    <w:rsid w:val="0047750F"/>
    <w:rsid w:val="004812C5"/>
    <w:rsid w:val="00482548"/>
    <w:rsid w:val="00482C53"/>
    <w:rsid w:val="004830FA"/>
    <w:rsid w:val="00483FAE"/>
    <w:rsid w:val="0048485D"/>
    <w:rsid w:val="0048502A"/>
    <w:rsid w:val="00485DB0"/>
    <w:rsid w:val="00487B9E"/>
    <w:rsid w:val="00490B8D"/>
    <w:rsid w:val="00491899"/>
    <w:rsid w:val="00493865"/>
    <w:rsid w:val="00493C6A"/>
    <w:rsid w:val="00495B3F"/>
    <w:rsid w:val="00495DDA"/>
    <w:rsid w:val="00497854"/>
    <w:rsid w:val="004A0CE1"/>
    <w:rsid w:val="004A280D"/>
    <w:rsid w:val="004A35E5"/>
    <w:rsid w:val="004A55E2"/>
    <w:rsid w:val="004A587B"/>
    <w:rsid w:val="004A7878"/>
    <w:rsid w:val="004B4828"/>
    <w:rsid w:val="004B7071"/>
    <w:rsid w:val="004C3CA2"/>
    <w:rsid w:val="004C5D54"/>
    <w:rsid w:val="004C6D04"/>
    <w:rsid w:val="004D14AC"/>
    <w:rsid w:val="004D3420"/>
    <w:rsid w:val="004D558F"/>
    <w:rsid w:val="004D79EC"/>
    <w:rsid w:val="004D7A3B"/>
    <w:rsid w:val="004E11FE"/>
    <w:rsid w:val="004E27AF"/>
    <w:rsid w:val="004E5C2F"/>
    <w:rsid w:val="004F1172"/>
    <w:rsid w:val="004F51E2"/>
    <w:rsid w:val="00502DE2"/>
    <w:rsid w:val="00502FDC"/>
    <w:rsid w:val="00506302"/>
    <w:rsid w:val="00506917"/>
    <w:rsid w:val="00506DBA"/>
    <w:rsid w:val="00510730"/>
    <w:rsid w:val="00515A04"/>
    <w:rsid w:val="00516F19"/>
    <w:rsid w:val="005173C2"/>
    <w:rsid w:val="00517E3A"/>
    <w:rsid w:val="00524B65"/>
    <w:rsid w:val="00524E4A"/>
    <w:rsid w:val="00532492"/>
    <w:rsid w:val="005330F7"/>
    <w:rsid w:val="0053322E"/>
    <w:rsid w:val="00534285"/>
    <w:rsid w:val="00534920"/>
    <w:rsid w:val="00543D56"/>
    <w:rsid w:val="00544D89"/>
    <w:rsid w:val="005534EC"/>
    <w:rsid w:val="00555E92"/>
    <w:rsid w:val="00556F93"/>
    <w:rsid w:val="00563598"/>
    <w:rsid w:val="00563ABE"/>
    <w:rsid w:val="005654AD"/>
    <w:rsid w:val="0056674E"/>
    <w:rsid w:val="00572733"/>
    <w:rsid w:val="00581A43"/>
    <w:rsid w:val="00582EC4"/>
    <w:rsid w:val="00584CFF"/>
    <w:rsid w:val="00584F66"/>
    <w:rsid w:val="00585FC4"/>
    <w:rsid w:val="0059498C"/>
    <w:rsid w:val="0059532D"/>
    <w:rsid w:val="0059685F"/>
    <w:rsid w:val="005A06B9"/>
    <w:rsid w:val="005A2D8C"/>
    <w:rsid w:val="005A7286"/>
    <w:rsid w:val="005B3302"/>
    <w:rsid w:val="005B4DBB"/>
    <w:rsid w:val="005B515F"/>
    <w:rsid w:val="005B6421"/>
    <w:rsid w:val="005C37C2"/>
    <w:rsid w:val="005C4D01"/>
    <w:rsid w:val="005D1E3A"/>
    <w:rsid w:val="005D53A5"/>
    <w:rsid w:val="005D7198"/>
    <w:rsid w:val="005D73FF"/>
    <w:rsid w:val="005E1AE5"/>
    <w:rsid w:val="005E1FCE"/>
    <w:rsid w:val="005E2138"/>
    <w:rsid w:val="005E36FB"/>
    <w:rsid w:val="005E497F"/>
    <w:rsid w:val="005E4BF8"/>
    <w:rsid w:val="005E561E"/>
    <w:rsid w:val="005E6D17"/>
    <w:rsid w:val="005E74EB"/>
    <w:rsid w:val="005F4337"/>
    <w:rsid w:val="005F6393"/>
    <w:rsid w:val="005F771D"/>
    <w:rsid w:val="006005A6"/>
    <w:rsid w:val="006011B1"/>
    <w:rsid w:val="0060682F"/>
    <w:rsid w:val="006073E9"/>
    <w:rsid w:val="00607785"/>
    <w:rsid w:val="006101CB"/>
    <w:rsid w:val="0061047E"/>
    <w:rsid w:val="00612D07"/>
    <w:rsid w:val="00613384"/>
    <w:rsid w:val="0061347B"/>
    <w:rsid w:val="00614FEF"/>
    <w:rsid w:val="0062055A"/>
    <w:rsid w:val="00621CEB"/>
    <w:rsid w:val="006232B0"/>
    <w:rsid w:val="006239E9"/>
    <w:rsid w:val="00624993"/>
    <w:rsid w:val="006261C5"/>
    <w:rsid w:val="00631B4D"/>
    <w:rsid w:val="006352E6"/>
    <w:rsid w:val="00642C7E"/>
    <w:rsid w:val="00644531"/>
    <w:rsid w:val="006504BB"/>
    <w:rsid w:val="006522E1"/>
    <w:rsid w:val="00652364"/>
    <w:rsid w:val="00652D6F"/>
    <w:rsid w:val="0065380E"/>
    <w:rsid w:val="006574D6"/>
    <w:rsid w:val="006603F6"/>
    <w:rsid w:val="00661875"/>
    <w:rsid w:val="006622DC"/>
    <w:rsid w:val="00664A12"/>
    <w:rsid w:val="006662E0"/>
    <w:rsid w:val="00674907"/>
    <w:rsid w:val="00674DD4"/>
    <w:rsid w:val="00676381"/>
    <w:rsid w:val="006777A9"/>
    <w:rsid w:val="00677AE5"/>
    <w:rsid w:val="00680B1D"/>
    <w:rsid w:val="0068307E"/>
    <w:rsid w:val="00683FCB"/>
    <w:rsid w:val="0068694B"/>
    <w:rsid w:val="006904CD"/>
    <w:rsid w:val="0069084B"/>
    <w:rsid w:val="00692109"/>
    <w:rsid w:val="0069504D"/>
    <w:rsid w:val="00696B87"/>
    <w:rsid w:val="0069768B"/>
    <w:rsid w:val="0069797E"/>
    <w:rsid w:val="006A14BB"/>
    <w:rsid w:val="006A19D3"/>
    <w:rsid w:val="006A2D77"/>
    <w:rsid w:val="006A33F0"/>
    <w:rsid w:val="006A488E"/>
    <w:rsid w:val="006B7A0C"/>
    <w:rsid w:val="006C050B"/>
    <w:rsid w:val="006C14D8"/>
    <w:rsid w:val="006C43CB"/>
    <w:rsid w:val="006C5172"/>
    <w:rsid w:val="006D1542"/>
    <w:rsid w:val="006D1F1C"/>
    <w:rsid w:val="006D2498"/>
    <w:rsid w:val="006D3B8D"/>
    <w:rsid w:val="006D5C17"/>
    <w:rsid w:val="006E0CBD"/>
    <w:rsid w:val="006E340D"/>
    <w:rsid w:val="006E52C1"/>
    <w:rsid w:val="006E6F36"/>
    <w:rsid w:val="006F0591"/>
    <w:rsid w:val="006F0A91"/>
    <w:rsid w:val="006F0D04"/>
    <w:rsid w:val="006F75B0"/>
    <w:rsid w:val="00701082"/>
    <w:rsid w:val="00704CED"/>
    <w:rsid w:val="00705BE3"/>
    <w:rsid w:val="0071044F"/>
    <w:rsid w:val="0071179B"/>
    <w:rsid w:val="0071274B"/>
    <w:rsid w:val="00712E3C"/>
    <w:rsid w:val="0071375F"/>
    <w:rsid w:val="00713DF1"/>
    <w:rsid w:val="00714243"/>
    <w:rsid w:val="007170C9"/>
    <w:rsid w:val="00720045"/>
    <w:rsid w:val="007210D6"/>
    <w:rsid w:val="0072264E"/>
    <w:rsid w:val="00725680"/>
    <w:rsid w:val="00725F77"/>
    <w:rsid w:val="00735326"/>
    <w:rsid w:val="00735A77"/>
    <w:rsid w:val="00735EE9"/>
    <w:rsid w:val="00736B72"/>
    <w:rsid w:val="00742F30"/>
    <w:rsid w:val="00743C03"/>
    <w:rsid w:val="00750DC1"/>
    <w:rsid w:val="007517AD"/>
    <w:rsid w:val="00751D6D"/>
    <w:rsid w:val="007543B3"/>
    <w:rsid w:val="007554D0"/>
    <w:rsid w:val="00756589"/>
    <w:rsid w:val="00756DB0"/>
    <w:rsid w:val="00757003"/>
    <w:rsid w:val="00766A5D"/>
    <w:rsid w:val="007700FA"/>
    <w:rsid w:val="00771CD8"/>
    <w:rsid w:val="00774313"/>
    <w:rsid w:val="00782361"/>
    <w:rsid w:val="00791A89"/>
    <w:rsid w:val="007A13D3"/>
    <w:rsid w:val="007A30A7"/>
    <w:rsid w:val="007A4392"/>
    <w:rsid w:val="007B2548"/>
    <w:rsid w:val="007B5651"/>
    <w:rsid w:val="007C26EE"/>
    <w:rsid w:val="007C5AB9"/>
    <w:rsid w:val="007C666D"/>
    <w:rsid w:val="007D0601"/>
    <w:rsid w:val="007D0E46"/>
    <w:rsid w:val="007D12C3"/>
    <w:rsid w:val="007D278A"/>
    <w:rsid w:val="007D2AA7"/>
    <w:rsid w:val="007D3B6C"/>
    <w:rsid w:val="007D4CB0"/>
    <w:rsid w:val="007E2B7F"/>
    <w:rsid w:val="007E2D0B"/>
    <w:rsid w:val="007E4DAE"/>
    <w:rsid w:val="007E76DE"/>
    <w:rsid w:val="007F4365"/>
    <w:rsid w:val="007F602B"/>
    <w:rsid w:val="007F70CF"/>
    <w:rsid w:val="00803CE1"/>
    <w:rsid w:val="00805AAA"/>
    <w:rsid w:val="008066C8"/>
    <w:rsid w:val="00810148"/>
    <w:rsid w:val="00810377"/>
    <w:rsid w:val="0081504B"/>
    <w:rsid w:val="00815323"/>
    <w:rsid w:val="008156DF"/>
    <w:rsid w:val="00815D1D"/>
    <w:rsid w:val="008226C3"/>
    <w:rsid w:val="00822AEC"/>
    <w:rsid w:val="008301C7"/>
    <w:rsid w:val="00831DC2"/>
    <w:rsid w:val="00831DE8"/>
    <w:rsid w:val="008338CA"/>
    <w:rsid w:val="00835E59"/>
    <w:rsid w:val="008506BD"/>
    <w:rsid w:val="00852DD5"/>
    <w:rsid w:val="00856BF1"/>
    <w:rsid w:val="008578D7"/>
    <w:rsid w:val="00860FDF"/>
    <w:rsid w:val="00865F29"/>
    <w:rsid w:val="00870C7E"/>
    <w:rsid w:val="008726AB"/>
    <w:rsid w:val="00872E14"/>
    <w:rsid w:val="00874C6F"/>
    <w:rsid w:val="008806C6"/>
    <w:rsid w:val="0088135F"/>
    <w:rsid w:val="00884C82"/>
    <w:rsid w:val="00890335"/>
    <w:rsid w:val="00891F21"/>
    <w:rsid w:val="00893B1F"/>
    <w:rsid w:val="00893D7F"/>
    <w:rsid w:val="008968FF"/>
    <w:rsid w:val="00896E5F"/>
    <w:rsid w:val="0089786D"/>
    <w:rsid w:val="008A6334"/>
    <w:rsid w:val="008A7211"/>
    <w:rsid w:val="008B0AC3"/>
    <w:rsid w:val="008B1B57"/>
    <w:rsid w:val="008B1F5A"/>
    <w:rsid w:val="008B44D4"/>
    <w:rsid w:val="008B4D1E"/>
    <w:rsid w:val="008B5050"/>
    <w:rsid w:val="008C1F1D"/>
    <w:rsid w:val="008C2425"/>
    <w:rsid w:val="008C2AE7"/>
    <w:rsid w:val="008C3546"/>
    <w:rsid w:val="008C5562"/>
    <w:rsid w:val="008D265F"/>
    <w:rsid w:val="008D3A14"/>
    <w:rsid w:val="008D63A2"/>
    <w:rsid w:val="008D66E6"/>
    <w:rsid w:val="008E1A81"/>
    <w:rsid w:val="008E7861"/>
    <w:rsid w:val="008F0CCD"/>
    <w:rsid w:val="008F1F77"/>
    <w:rsid w:val="008F2F31"/>
    <w:rsid w:val="008F35C0"/>
    <w:rsid w:val="008F7CAF"/>
    <w:rsid w:val="009003DC"/>
    <w:rsid w:val="00900961"/>
    <w:rsid w:val="0090279D"/>
    <w:rsid w:val="009036CB"/>
    <w:rsid w:val="00910E25"/>
    <w:rsid w:val="00913888"/>
    <w:rsid w:val="00915F1C"/>
    <w:rsid w:val="009178AE"/>
    <w:rsid w:val="0092197E"/>
    <w:rsid w:val="00924E9F"/>
    <w:rsid w:val="00925FD8"/>
    <w:rsid w:val="00927006"/>
    <w:rsid w:val="00930DE9"/>
    <w:rsid w:val="00934BC8"/>
    <w:rsid w:val="0093561E"/>
    <w:rsid w:val="009401B8"/>
    <w:rsid w:val="0094136D"/>
    <w:rsid w:val="00943131"/>
    <w:rsid w:val="0094485E"/>
    <w:rsid w:val="009513F5"/>
    <w:rsid w:val="00951F74"/>
    <w:rsid w:val="009520BD"/>
    <w:rsid w:val="009563F3"/>
    <w:rsid w:val="009604A0"/>
    <w:rsid w:val="00960B88"/>
    <w:rsid w:val="00962176"/>
    <w:rsid w:val="00966146"/>
    <w:rsid w:val="009742B1"/>
    <w:rsid w:val="0097725E"/>
    <w:rsid w:val="00977670"/>
    <w:rsid w:val="009778E9"/>
    <w:rsid w:val="00977F22"/>
    <w:rsid w:val="00984CBC"/>
    <w:rsid w:val="00993D01"/>
    <w:rsid w:val="00995EA2"/>
    <w:rsid w:val="009A09FD"/>
    <w:rsid w:val="009A1B01"/>
    <w:rsid w:val="009A322B"/>
    <w:rsid w:val="009A33B5"/>
    <w:rsid w:val="009A4657"/>
    <w:rsid w:val="009A522A"/>
    <w:rsid w:val="009B4D70"/>
    <w:rsid w:val="009B508D"/>
    <w:rsid w:val="009B6A39"/>
    <w:rsid w:val="009B7A20"/>
    <w:rsid w:val="009C1079"/>
    <w:rsid w:val="009C1277"/>
    <w:rsid w:val="009C5E2D"/>
    <w:rsid w:val="009C7A53"/>
    <w:rsid w:val="009D2565"/>
    <w:rsid w:val="009E0CD3"/>
    <w:rsid w:val="009E311C"/>
    <w:rsid w:val="009E45A4"/>
    <w:rsid w:val="009F2C64"/>
    <w:rsid w:val="009F6934"/>
    <w:rsid w:val="009F6D75"/>
    <w:rsid w:val="00A01453"/>
    <w:rsid w:val="00A01AF4"/>
    <w:rsid w:val="00A0416F"/>
    <w:rsid w:val="00A06321"/>
    <w:rsid w:val="00A07AD5"/>
    <w:rsid w:val="00A10E26"/>
    <w:rsid w:val="00A115F3"/>
    <w:rsid w:val="00A12160"/>
    <w:rsid w:val="00A1235A"/>
    <w:rsid w:val="00A1480E"/>
    <w:rsid w:val="00A23FDA"/>
    <w:rsid w:val="00A30029"/>
    <w:rsid w:val="00A30717"/>
    <w:rsid w:val="00A33DB7"/>
    <w:rsid w:val="00A33E9F"/>
    <w:rsid w:val="00A34291"/>
    <w:rsid w:val="00A35D4D"/>
    <w:rsid w:val="00A36616"/>
    <w:rsid w:val="00A42EF8"/>
    <w:rsid w:val="00A443BD"/>
    <w:rsid w:val="00A4619D"/>
    <w:rsid w:val="00A46D0B"/>
    <w:rsid w:val="00A500CE"/>
    <w:rsid w:val="00A50D6A"/>
    <w:rsid w:val="00A52D9F"/>
    <w:rsid w:val="00A57783"/>
    <w:rsid w:val="00A66FA7"/>
    <w:rsid w:val="00A71919"/>
    <w:rsid w:val="00A728F6"/>
    <w:rsid w:val="00A80041"/>
    <w:rsid w:val="00A80C1B"/>
    <w:rsid w:val="00A842CD"/>
    <w:rsid w:val="00A84C50"/>
    <w:rsid w:val="00A85239"/>
    <w:rsid w:val="00A871A1"/>
    <w:rsid w:val="00A9035C"/>
    <w:rsid w:val="00A907DE"/>
    <w:rsid w:val="00A913CB"/>
    <w:rsid w:val="00A945E2"/>
    <w:rsid w:val="00A94840"/>
    <w:rsid w:val="00A948A1"/>
    <w:rsid w:val="00A9753F"/>
    <w:rsid w:val="00A97BCB"/>
    <w:rsid w:val="00AA0D67"/>
    <w:rsid w:val="00AA1DF6"/>
    <w:rsid w:val="00AA6E0E"/>
    <w:rsid w:val="00AB58B1"/>
    <w:rsid w:val="00AB7823"/>
    <w:rsid w:val="00AC14B0"/>
    <w:rsid w:val="00AC1E2C"/>
    <w:rsid w:val="00AC36EF"/>
    <w:rsid w:val="00AC3EBC"/>
    <w:rsid w:val="00AC4017"/>
    <w:rsid w:val="00AC61B1"/>
    <w:rsid w:val="00AD1ED2"/>
    <w:rsid w:val="00AD2384"/>
    <w:rsid w:val="00AE103E"/>
    <w:rsid w:val="00AE2DF0"/>
    <w:rsid w:val="00AE30EF"/>
    <w:rsid w:val="00AE6F03"/>
    <w:rsid w:val="00AE7295"/>
    <w:rsid w:val="00AF4280"/>
    <w:rsid w:val="00B02A12"/>
    <w:rsid w:val="00B05063"/>
    <w:rsid w:val="00B05623"/>
    <w:rsid w:val="00B11181"/>
    <w:rsid w:val="00B11BB4"/>
    <w:rsid w:val="00B131E5"/>
    <w:rsid w:val="00B139FD"/>
    <w:rsid w:val="00B21932"/>
    <w:rsid w:val="00B2704F"/>
    <w:rsid w:val="00B305BF"/>
    <w:rsid w:val="00B30C28"/>
    <w:rsid w:val="00B321F5"/>
    <w:rsid w:val="00B35AAD"/>
    <w:rsid w:val="00B369D8"/>
    <w:rsid w:val="00B37C0D"/>
    <w:rsid w:val="00B40351"/>
    <w:rsid w:val="00B431FE"/>
    <w:rsid w:val="00B46464"/>
    <w:rsid w:val="00B53F6A"/>
    <w:rsid w:val="00B5671A"/>
    <w:rsid w:val="00B56CA9"/>
    <w:rsid w:val="00B5714F"/>
    <w:rsid w:val="00B57E93"/>
    <w:rsid w:val="00B6110C"/>
    <w:rsid w:val="00B623D5"/>
    <w:rsid w:val="00B64968"/>
    <w:rsid w:val="00B649A3"/>
    <w:rsid w:val="00B67108"/>
    <w:rsid w:val="00B71F58"/>
    <w:rsid w:val="00B74DF0"/>
    <w:rsid w:val="00B76857"/>
    <w:rsid w:val="00B802AA"/>
    <w:rsid w:val="00B80AA1"/>
    <w:rsid w:val="00B82246"/>
    <w:rsid w:val="00B82D6E"/>
    <w:rsid w:val="00B832E0"/>
    <w:rsid w:val="00B84574"/>
    <w:rsid w:val="00B91B75"/>
    <w:rsid w:val="00B97FD0"/>
    <w:rsid w:val="00BA289F"/>
    <w:rsid w:val="00BA3CB2"/>
    <w:rsid w:val="00BA4ACF"/>
    <w:rsid w:val="00BA51A2"/>
    <w:rsid w:val="00BA5C0D"/>
    <w:rsid w:val="00BA7195"/>
    <w:rsid w:val="00BB0D50"/>
    <w:rsid w:val="00BC0CD2"/>
    <w:rsid w:val="00BC1506"/>
    <w:rsid w:val="00BD1AF7"/>
    <w:rsid w:val="00BD5247"/>
    <w:rsid w:val="00BD72AF"/>
    <w:rsid w:val="00BF0F29"/>
    <w:rsid w:val="00BF1F87"/>
    <w:rsid w:val="00BF3298"/>
    <w:rsid w:val="00BF3A4E"/>
    <w:rsid w:val="00BF5F58"/>
    <w:rsid w:val="00C01539"/>
    <w:rsid w:val="00C121C4"/>
    <w:rsid w:val="00C126CE"/>
    <w:rsid w:val="00C15318"/>
    <w:rsid w:val="00C15971"/>
    <w:rsid w:val="00C21475"/>
    <w:rsid w:val="00C21628"/>
    <w:rsid w:val="00C2170B"/>
    <w:rsid w:val="00C22B02"/>
    <w:rsid w:val="00C2719B"/>
    <w:rsid w:val="00C278BE"/>
    <w:rsid w:val="00C27D8C"/>
    <w:rsid w:val="00C32FDD"/>
    <w:rsid w:val="00C33A2F"/>
    <w:rsid w:val="00C364A8"/>
    <w:rsid w:val="00C36E22"/>
    <w:rsid w:val="00C4173A"/>
    <w:rsid w:val="00C457BA"/>
    <w:rsid w:val="00C4629A"/>
    <w:rsid w:val="00C51943"/>
    <w:rsid w:val="00C51A4A"/>
    <w:rsid w:val="00C51D0D"/>
    <w:rsid w:val="00C52B2D"/>
    <w:rsid w:val="00C54E43"/>
    <w:rsid w:val="00C5646D"/>
    <w:rsid w:val="00C572E7"/>
    <w:rsid w:val="00C623DB"/>
    <w:rsid w:val="00C70F15"/>
    <w:rsid w:val="00C76AB6"/>
    <w:rsid w:val="00C77088"/>
    <w:rsid w:val="00C77E41"/>
    <w:rsid w:val="00C835BD"/>
    <w:rsid w:val="00C93587"/>
    <w:rsid w:val="00C95100"/>
    <w:rsid w:val="00C95315"/>
    <w:rsid w:val="00C9593D"/>
    <w:rsid w:val="00C96296"/>
    <w:rsid w:val="00C967A5"/>
    <w:rsid w:val="00CA0EEC"/>
    <w:rsid w:val="00CA708B"/>
    <w:rsid w:val="00CA75A1"/>
    <w:rsid w:val="00CB07F1"/>
    <w:rsid w:val="00CB1B28"/>
    <w:rsid w:val="00CB4C4B"/>
    <w:rsid w:val="00CC06E0"/>
    <w:rsid w:val="00CC0755"/>
    <w:rsid w:val="00CC07C3"/>
    <w:rsid w:val="00CC1853"/>
    <w:rsid w:val="00CC27B1"/>
    <w:rsid w:val="00CC3F2E"/>
    <w:rsid w:val="00CC583D"/>
    <w:rsid w:val="00CC5B18"/>
    <w:rsid w:val="00CC6074"/>
    <w:rsid w:val="00CC6A20"/>
    <w:rsid w:val="00CD2880"/>
    <w:rsid w:val="00CD3F7C"/>
    <w:rsid w:val="00CD4477"/>
    <w:rsid w:val="00CD5ADF"/>
    <w:rsid w:val="00CD6594"/>
    <w:rsid w:val="00CD6788"/>
    <w:rsid w:val="00CD7C64"/>
    <w:rsid w:val="00CE06A8"/>
    <w:rsid w:val="00CE5C48"/>
    <w:rsid w:val="00CE5CAE"/>
    <w:rsid w:val="00CE6059"/>
    <w:rsid w:val="00CE62A6"/>
    <w:rsid w:val="00CF118D"/>
    <w:rsid w:val="00CF3634"/>
    <w:rsid w:val="00CF5D36"/>
    <w:rsid w:val="00CF7746"/>
    <w:rsid w:val="00D01E18"/>
    <w:rsid w:val="00D02B49"/>
    <w:rsid w:val="00D052B0"/>
    <w:rsid w:val="00D05F82"/>
    <w:rsid w:val="00D06C57"/>
    <w:rsid w:val="00D10197"/>
    <w:rsid w:val="00D10737"/>
    <w:rsid w:val="00D13132"/>
    <w:rsid w:val="00D15970"/>
    <w:rsid w:val="00D213CE"/>
    <w:rsid w:val="00D227E5"/>
    <w:rsid w:val="00D330B0"/>
    <w:rsid w:val="00D35599"/>
    <w:rsid w:val="00D37C61"/>
    <w:rsid w:val="00D404A4"/>
    <w:rsid w:val="00D42A55"/>
    <w:rsid w:val="00D4648C"/>
    <w:rsid w:val="00D51D9D"/>
    <w:rsid w:val="00D52854"/>
    <w:rsid w:val="00D52A64"/>
    <w:rsid w:val="00D61B3D"/>
    <w:rsid w:val="00D63062"/>
    <w:rsid w:val="00D64370"/>
    <w:rsid w:val="00D663CF"/>
    <w:rsid w:val="00D7052C"/>
    <w:rsid w:val="00D75C5A"/>
    <w:rsid w:val="00D77F2D"/>
    <w:rsid w:val="00D80491"/>
    <w:rsid w:val="00D805BD"/>
    <w:rsid w:val="00D8090E"/>
    <w:rsid w:val="00D83EDD"/>
    <w:rsid w:val="00D9139C"/>
    <w:rsid w:val="00D91881"/>
    <w:rsid w:val="00DA26FA"/>
    <w:rsid w:val="00DA50A0"/>
    <w:rsid w:val="00DA51F1"/>
    <w:rsid w:val="00DA765B"/>
    <w:rsid w:val="00DB21C7"/>
    <w:rsid w:val="00DB69F8"/>
    <w:rsid w:val="00DC092D"/>
    <w:rsid w:val="00DC0C16"/>
    <w:rsid w:val="00DC1C12"/>
    <w:rsid w:val="00DC4FD0"/>
    <w:rsid w:val="00DC6216"/>
    <w:rsid w:val="00DC7641"/>
    <w:rsid w:val="00DC798B"/>
    <w:rsid w:val="00DD07FD"/>
    <w:rsid w:val="00DD2475"/>
    <w:rsid w:val="00DD3E44"/>
    <w:rsid w:val="00DD5491"/>
    <w:rsid w:val="00DE0122"/>
    <w:rsid w:val="00DE0280"/>
    <w:rsid w:val="00DE0C04"/>
    <w:rsid w:val="00DE0F76"/>
    <w:rsid w:val="00DE444D"/>
    <w:rsid w:val="00DE6451"/>
    <w:rsid w:val="00DF0C29"/>
    <w:rsid w:val="00DF13AA"/>
    <w:rsid w:val="00DF3591"/>
    <w:rsid w:val="00DF3CDF"/>
    <w:rsid w:val="00DF47CC"/>
    <w:rsid w:val="00DF6F13"/>
    <w:rsid w:val="00E008B3"/>
    <w:rsid w:val="00E03DF6"/>
    <w:rsid w:val="00E055A5"/>
    <w:rsid w:val="00E10754"/>
    <w:rsid w:val="00E1229A"/>
    <w:rsid w:val="00E12C99"/>
    <w:rsid w:val="00E178EE"/>
    <w:rsid w:val="00E3484D"/>
    <w:rsid w:val="00E3738F"/>
    <w:rsid w:val="00E40B70"/>
    <w:rsid w:val="00E4359A"/>
    <w:rsid w:val="00E440DC"/>
    <w:rsid w:val="00E478AE"/>
    <w:rsid w:val="00E50082"/>
    <w:rsid w:val="00E536B2"/>
    <w:rsid w:val="00E54372"/>
    <w:rsid w:val="00E543E4"/>
    <w:rsid w:val="00E606AB"/>
    <w:rsid w:val="00E640E1"/>
    <w:rsid w:val="00E646A7"/>
    <w:rsid w:val="00E66CC0"/>
    <w:rsid w:val="00E7326B"/>
    <w:rsid w:val="00E75F1A"/>
    <w:rsid w:val="00E81C7E"/>
    <w:rsid w:val="00E81F75"/>
    <w:rsid w:val="00E85F24"/>
    <w:rsid w:val="00E87717"/>
    <w:rsid w:val="00E917E4"/>
    <w:rsid w:val="00E937DC"/>
    <w:rsid w:val="00E948C2"/>
    <w:rsid w:val="00E95D24"/>
    <w:rsid w:val="00E95EDD"/>
    <w:rsid w:val="00EA3F8D"/>
    <w:rsid w:val="00EA606C"/>
    <w:rsid w:val="00EB1CBE"/>
    <w:rsid w:val="00EB2DDA"/>
    <w:rsid w:val="00EC10F3"/>
    <w:rsid w:val="00EC2100"/>
    <w:rsid w:val="00EC2BF1"/>
    <w:rsid w:val="00EC4F04"/>
    <w:rsid w:val="00EC5702"/>
    <w:rsid w:val="00EC6398"/>
    <w:rsid w:val="00EC6EE1"/>
    <w:rsid w:val="00ED1F6C"/>
    <w:rsid w:val="00ED2D0B"/>
    <w:rsid w:val="00ED2FE0"/>
    <w:rsid w:val="00ED53E2"/>
    <w:rsid w:val="00ED5B1B"/>
    <w:rsid w:val="00ED6590"/>
    <w:rsid w:val="00ED77F8"/>
    <w:rsid w:val="00EE2175"/>
    <w:rsid w:val="00EE2B1F"/>
    <w:rsid w:val="00EE4097"/>
    <w:rsid w:val="00EE4CCA"/>
    <w:rsid w:val="00EE6228"/>
    <w:rsid w:val="00F00E58"/>
    <w:rsid w:val="00F0207E"/>
    <w:rsid w:val="00F02AB0"/>
    <w:rsid w:val="00F02EE8"/>
    <w:rsid w:val="00F03C68"/>
    <w:rsid w:val="00F04789"/>
    <w:rsid w:val="00F04DA1"/>
    <w:rsid w:val="00F05402"/>
    <w:rsid w:val="00F1185A"/>
    <w:rsid w:val="00F12873"/>
    <w:rsid w:val="00F14E78"/>
    <w:rsid w:val="00F1534B"/>
    <w:rsid w:val="00F25820"/>
    <w:rsid w:val="00F278BF"/>
    <w:rsid w:val="00F31D5C"/>
    <w:rsid w:val="00F334DE"/>
    <w:rsid w:val="00F357DF"/>
    <w:rsid w:val="00F359E9"/>
    <w:rsid w:val="00F36569"/>
    <w:rsid w:val="00F378C9"/>
    <w:rsid w:val="00F41E1D"/>
    <w:rsid w:val="00F4351A"/>
    <w:rsid w:val="00F5201A"/>
    <w:rsid w:val="00F53233"/>
    <w:rsid w:val="00F563F2"/>
    <w:rsid w:val="00F57D5C"/>
    <w:rsid w:val="00F63DD7"/>
    <w:rsid w:val="00F6791C"/>
    <w:rsid w:val="00F71673"/>
    <w:rsid w:val="00F7592C"/>
    <w:rsid w:val="00F75CC4"/>
    <w:rsid w:val="00F762AE"/>
    <w:rsid w:val="00F77259"/>
    <w:rsid w:val="00F804E4"/>
    <w:rsid w:val="00F80C84"/>
    <w:rsid w:val="00F81A4B"/>
    <w:rsid w:val="00F81B4A"/>
    <w:rsid w:val="00F84951"/>
    <w:rsid w:val="00F90E78"/>
    <w:rsid w:val="00F92C29"/>
    <w:rsid w:val="00F93453"/>
    <w:rsid w:val="00F937D0"/>
    <w:rsid w:val="00FA0892"/>
    <w:rsid w:val="00FA3BAB"/>
    <w:rsid w:val="00FA536C"/>
    <w:rsid w:val="00FA7591"/>
    <w:rsid w:val="00FB175B"/>
    <w:rsid w:val="00FB3FD3"/>
    <w:rsid w:val="00FB40B5"/>
    <w:rsid w:val="00FC3A2D"/>
    <w:rsid w:val="00FC54D2"/>
    <w:rsid w:val="00FC69A0"/>
    <w:rsid w:val="00FD016D"/>
    <w:rsid w:val="00FD3337"/>
    <w:rsid w:val="00FD3D55"/>
    <w:rsid w:val="00FD3D5A"/>
    <w:rsid w:val="00FD4DC4"/>
    <w:rsid w:val="00FE05C9"/>
    <w:rsid w:val="00FE6879"/>
    <w:rsid w:val="00FF69E3"/>
    <w:rsid w:val="00FF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2AB7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5534EC"/>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5534EC"/>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FootnoteText">
    <w:name w:val="footnote text"/>
    <w:basedOn w:val="Normal"/>
    <w:link w:val="FootnoteTextChar"/>
    <w:uiPriority w:val="99"/>
    <w:semiHidden/>
    <w:unhideWhenUsed/>
    <w:rsid w:val="00123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24A"/>
    <w:rPr>
      <w:sz w:val="20"/>
      <w:szCs w:val="20"/>
      <w:lang w:val="en-GB"/>
    </w:rPr>
  </w:style>
  <w:style w:type="character" w:styleId="FootnoteReference">
    <w:name w:val="footnote reference"/>
    <w:basedOn w:val="DefaultParagraphFont"/>
    <w:uiPriority w:val="99"/>
    <w:semiHidden/>
    <w:unhideWhenUsed/>
    <w:rsid w:val="0012324A"/>
    <w:rPr>
      <w:vertAlign w:val="superscript"/>
    </w:rPr>
  </w:style>
  <w:style w:type="character" w:styleId="CommentReference">
    <w:name w:val="annotation reference"/>
    <w:basedOn w:val="DefaultParagraphFont"/>
    <w:uiPriority w:val="99"/>
    <w:semiHidden/>
    <w:unhideWhenUsed/>
    <w:rsid w:val="00B40351"/>
    <w:rPr>
      <w:sz w:val="16"/>
      <w:szCs w:val="16"/>
    </w:rPr>
  </w:style>
  <w:style w:type="paragraph" w:styleId="CommentText">
    <w:name w:val="annotation text"/>
    <w:basedOn w:val="Normal"/>
    <w:link w:val="CommentTextChar"/>
    <w:uiPriority w:val="99"/>
    <w:semiHidden/>
    <w:unhideWhenUsed/>
    <w:rsid w:val="00B40351"/>
    <w:pPr>
      <w:spacing w:line="240" w:lineRule="auto"/>
    </w:pPr>
    <w:rPr>
      <w:sz w:val="20"/>
      <w:szCs w:val="20"/>
    </w:rPr>
  </w:style>
  <w:style w:type="character" w:customStyle="1" w:styleId="CommentTextChar">
    <w:name w:val="Comment Text Char"/>
    <w:basedOn w:val="DefaultParagraphFont"/>
    <w:link w:val="CommentText"/>
    <w:uiPriority w:val="99"/>
    <w:semiHidden/>
    <w:rsid w:val="00B40351"/>
    <w:rPr>
      <w:sz w:val="20"/>
      <w:szCs w:val="20"/>
      <w:lang w:val="en-GB"/>
    </w:rPr>
  </w:style>
  <w:style w:type="paragraph" w:styleId="CommentSubject">
    <w:name w:val="annotation subject"/>
    <w:basedOn w:val="CommentText"/>
    <w:next w:val="CommentText"/>
    <w:link w:val="CommentSubjectChar"/>
    <w:uiPriority w:val="99"/>
    <w:semiHidden/>
    <w:unhideWhenUsed/>
    <w:rsid w:val="00B40351"/>
    <w:rPr>
      <w:b/>
      <w:bCs/>
    </w:rPr>
  </w:style>
  <w:style w:type="character" w:customStyle="1" w:styleId="CommentSubjectChar">
    <w:name w:val="Comment Subject Char"/>
    <w:basedOn w:val="CommentTextChar"/>
    <w:link w:val="CommentSubject"/>
    <w:uiPriority w:val="99"/>
    <w:semiHidden/>
    <w:rsid w:val="00B40351"/>
    <w:rPr>
      <w:b/>
      <w:bCs/>
      <w:sz w:val="20"/>
      <w:szCs w:val="20"/>
      <w:lang w:val="en-GB"/>
    </w:rPr>
  </w:style>
  <w:style w:type="character" w:styleId="Hyperlink">
    <w:name w:val="Hyperlink"/>
    <w:basedOn w:val="DefaultParagraphFont"/>
    <w:uiPriority w:val="99"/>
    <w:unhideWhenUsed/>
    <w:rsid w:val="008806C6"/>
    <w:rPr>
      <w:color w:val="0000FF"/>
      <w:u w:val="single"/>
    </w:rPr>
  </w:style>
  <w:style w:type="character" w:styleId="FollowedHyperlink">
    <w:name w:val="FollowedHyperlink"/>
    <w:basedOn w:val="DefaultParagraphFont"/>
    <w:uiPriority w:val="99"/>
    <w:semiHidden/>
    <w:unhideWhenUsed/>
    <w:rsid w:val="00C457BA"/>
    <w:rPr>
      <w:color w:val="954F72" w:themeColor="followedHyperlink"/>
      <w:u w:val="single"/>
    </w:rPr>
  </w:style>
  <w:style w:type="character" w:styleId="UnresolvedMention">
    <w:name w:val="Unresolved Mention"/>
    <w:basedOn w:val="DefaultParagraphFont"/>
    <w:uiPriority w:val="99"/>
    <w:semiHidden/>
    <w:unhideWhenUsed/>
    <w:rsid w:val="007B5651"/>
    <w:rPr>
      <w:color w:val="605E5C"/>
      <w:shd w:val="clear" w:color="auto" w:fill="E1DFDD"/>
    </w:rPr>
  </w:style>
  <w:style w:type="paragraph" w:styleId="Revision">
    <w:name w:val="Revision"/>
    <w:hidden/>
    <w:uiPriority w:val="99"/>
    <w:semiHidden/>
    <w:rsid w:val="00924E9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2258">
      <w:bodyDiv w:val="1"/>
      <w:marLeft w:val="0"/>
      <w:marRight w:val="0"/>
      <w:marTop w:val="0"/>
      <w:marBottom w:val="0"/>
      <w:divBdr>
        <w:top w:val="none" w:sz="0" w:space="0" w:color="auto"/>
        <w:left w:val="none" w:sz="0" w:space="0" w:color="auto"/>
        <w:bottom w:val="none" w:sz="0" w:space="0" w:color="auto"/>
        <w:right w:val="none" w:sz="0" w:space="0" w:color="auto"/>
      </w:divBdr>
    </w:div>
    <w:div w:id="20559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quator-principles.com/about/352/" TargetMode="External"/><Relationship Id="rId1" Type="http://schemas.openxmlformats.org/officeDocument/2006/relationships/hyperlink" Target="https://www.cms.int/sites/default/files/basic_page_documents/CMS-Guidelines-EIA-Marine%20Noise_TechnicalSupportInformation_FINAL20170918.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D5BA-3C00-49E0-BC24-D8567C15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2775</Words>
  <Characters>15819</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5</cp:revision>
  <dcterms:created xsi:type="dcterms:W3CDTF">2019-12-19T16:34:00Z</dcterms:created>
  <dcterms:modified xsi:type="dcterms:W3CDTF">2020-01-02T09:58:00Z</dcterms:modified>
</cp:coreProperties>
</file>