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9E0C4A" w:rsidRDefault="00682B31" w:rsidP="00682B31">
      <w:pPr>
        <w:tabs>
          <w:tab w:val="left" w:pos="-1057"/>
          <w:tab w:val="left" w:pos="-720"/>
        </w:tabs>
        <w:ind w:left="-90"/>
        <w:rPr>
          <w:rFonts w:cs="Arial"/>
          <w:spacing w:val="-8"/>
          <w:sz w:val="12"/>
          <w:szCs w:val="12"/>
          <w:lang w:val="en-GB"/>
        </w:rPr>
      </w:pPr>
    </w:p>
    <w:p w:rsidR="0081600F" w:rsidRPr="009E0C4A" w:rsidRDefault="00921D62" w:rsidP="009E72D7">
      <w:pPr>
        <w:tabs>
          <w:tab w:val="left" w:pos="-1057"/>
          <w:tab w:val="left" w:pos="-720"/>
        </w:tabs>
        <w:rPr>
          <w:rFonts w:cs="Arial"/>
          <w:sz w:val="22"/>
          <w:szCs w:val="22"/>
          <w:lang w:val="en-GB"/>
        </w:rPr>
      </w:pPr>
      <w:r w:rsidRPr="009E0C4A">
        <w:rPr>
          <w:rFonts w:cs="Arial"/>
          <w:sz w:val="22"/>
          <w:szCs w:val="22"/>
          <w:lang w:val="en-GB"/>
        </w:rPr>
        <w:t>1</w:t>
      </w:r>
      <w:r w:rsidR="00ED02D3" w:rsidRPr="009E0C4A">
        <w:rPr>
          <w:rFonts w:cs="Arial"/>
          <w:sz w:val="22"/>
          <w:szCs w:val="22"/>
          <w:lang w:val="en-GB"/>
        </w:rPr>
        <w:t>2</w:t>
      </w:r>
      <w:r w:rsidR="005F3989" w:rsidRPr="009E0C4A">
        <w:rPr>
          <w:rFonts w:cs="Arial"/>
          <w:sz w:val="22"/>
          <w:szCs w:val="22"/>
          <w:vertAlign w:val="superscript"/>
          <w:lang w:val="en-GB"/>
        </w:rPr>
        <w:t>th</w:t>
      </w:r>
      <w:r w:rsidR="0081600F" w:rsidRPr="009E0C4A">
        <w:rPr>
          <w:rFonts w:cs="Arial"/>
          <w:sz w:val="22"/>
          <w:szCs w:val="22"/>
          <w:lang w:val="en-GB"/>
        </w:rPr>
        <w:t xml:space="preserve"> MEETING OF THE</w:t>
      </w:r>
      <w:r w:rsidRPr="009E0C4A">
        <w:rPr>
          <w:rFonts w:cs="Arial"/>
          <w:sz w:val="22"/>
          <w:szCs w:val="22"/>
          <w:lang w:val="en-GB"/>
        </w:rPr>
        <w:t xml:space="preserve"> CONFERENCE OF THE PARTIES</w:t>
      </w:r>
    </w:p>
    <w:p w:rsidR="0081600F" w:rsidRPr="009E0C4A" w:rsidRDefault="003909E4" w:rsidP="009E72D7">
      <w:pPr>
        <w:pStyle w:val="Heading2"/>
        <w:keepNext w:val="0"/>
        <w:spacing w:line="228" w:lineRule="auto"/>
        <w:rPr>
          <w:rFonts w:cs="Arial"/>
          <w:b w:val="0"/>
          <w:bCs w:val="0"/>
          <w:sz w:val="22"/>
          <w:szCs w:val="22"/>
          <w:lang w:val="en-GB"/>
        </w:rPr>
      </w:pPr>
      <w:r w:rsidRPr="009E0C4A">
        <w:rPr>
          <w:rFonts w:cs="Arial"/>
          <w:b w:val="0"/>
          <w:sz w:val="22"/>
          <w:szCs w:val="22"/>
          <w:lang w:val="en-GB"/>
        </w:rPr>
        <w:t>Manil</w:t>
      </w:r>
      <w:r w:rsidR="00ED02D3" w:rsidRPr="009E0C4A">
        <w:rPr>
          <w:rFonts w:cs="Arial"/>
          <w:b w:val="0"/>
          <w:sz w:val="22"/>
          <w:szCs w:val="22"/>
          <w:lang w:val="en-GB"/>
        </w:rPr>
        <w:t>a</w:t>
      </w:r>
      <w:r w:rsidR="00921D62" w:rsidRPr="009E0C4A">
        <w:rPr>
          <w:rFonts w:cs="Arial"/>
          <w:b w:val="0"/>
          <w:sz w:val="22"/>
          <w:szCs w:val="22"/>
          <w:lang w:val="en-GB"/>
        </w:rPr>
        <w:t xml:space="preserve">, </w:t>
      </w:r>
      <w:r w:rsidR="00ED02D3" w:rsidRPr="009E0C4A">
        <w:rPr>
          <w:rFonts w:cs="Arial"/>
          <w:b w:val="0"/>
          <w:sz w:val="22"/>
          <w:szCs w:val="22"/>
          <w:lang w:val="en-GB"/>
        </w:rPr>
        <w:t>Philippines</w:t>
      </w:r>
      <w:r w:rsidR="00F7503A" w:rsidRPr="009E0C4A">
        <w:rPr>
          <w:rFonts w:cs="Arial"/>
          <w:b w:val="0"/>
          <w:sz w:val="22"/>
          <w:szCs w:val="22"/>
          <w:lang w:val="en-GB"/>
        </w:rPr>
        <w:t>,</w:t>
      </w:r>
      <w:r w:rsidR="00ED02D3" w:rsidRPr="009E0C4A">
        <w:rPr>
          <w:rFonts w:cs="Arial"/>
          <w:b w:val="0"/>
          <w:sz w:val="22"/>
          <w:szCs w:val="22"/>
          <w:lang w:val="en-GB"/>
        </w:rPr>
        <w:t xml:space="preserve"> 23 - 28</w:t>
      </w:r>
      <w:r w:rsidR="009F450E" w:rsidRPr="009E0C4A">
        <w:rPr>
          <w:rFonts w:cs="Arial"/>
          <w:b w:val="0"/>
          <w:sz w:val="22"/>
          <w:szCs w:val="22"/>
          <w:lang w:val="en-GB"/>
        </w:rPr>
        <w:t xml:space="preserve"> </w:t>
      </w:r>
      <w:r w:rsidR="00ED02D3" w:rsidRPr="009E0C4A">
        <w:rPr>
          <w:rFonts w:cs="Arial"/>
          <w:b w:val="0"/>
          <w:sz w:val="22"/>
          <w:szCs w:val="22"/>
          <w:lang w:val="en-GB"/>
        </w:rPr>
        <w:t>October</w:t>
      </w:r>
      <w:r w:rsidR="009F450E" w:rsidRPr="009E0C4A">
        <w:rPr>
          <w:rFonts w:cs="Arial"/>
          <w:b w:val="0"/>
          <w:sz w:val="22"/>
          <w:szCs w:val="22"/>
          <w:lang w:val="en-GB"/>
        </w:rPr>
        <w:t xml:space="preserve"> 201</w:t>
      </w:r>
      <w:r w:rsidR="00EA0B88" w:rsidRPr="009E0C4A">
        <w:rPr>
          <w:rFonts w:cs="Arial"/>
          <w:b w:val="0"/>
          <w:sz w:val="22"/>
          <w:szCs w:val="22"/>
          <w:lang w:val="en-GB"/>
        </w:rPr>
        <w:t>7</w:t>
      </w:r>
    </w:p>
    <w:p w:rsidR="0081600F" w:rsidRPr="009E0C4A" w:rsidRDefault="0081600F" w:rsidP="009E72D7">
      <w:pPr>
        <w:spacing w:line="228" w:lineRule="auto"/>
        <w:rPr>
          <w:rFonts w:cs="Arial"/>
          <w:iCs/>
          <w:sz w:val="22"/>
          <w:szCs w:val="22"/>
          <w:lang w:val="en-GB"/>
        </w:rPr>
      </w:pPr>
      <w:r w:rsidRPr="00DE3BDF">
        <w:rPr>
          <w:rFonts w:cs="Arial"/>
          <w:iCs/>
          <w:sz w:val="22"/>
          <w:szCs w:val="22"/>
          <w:lang w:val="en-GB"/>
        </w:rPr>
        <w:t xml:space="preserve">Agenda Item </w:t>
      </w:r>
      <w:r w:rsidR="00DE3BDF" w:rsidRPr="00DE3BDF">
        <w:rPr>
          <w:rFonts w:cs="Arial"/>
          <w:iCs/>
          <w:sz w:val="22"/>
          <w:szCs w:val="22"/>
          <w:lang w:val="en-GB"/>
        </w:rPr>
        <w:t>24.4.9</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9E0C4A"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9E0C4A"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9E0C4A">
              <w:rPr>
                <w:rFonts w:cs="Arial"/>
                <w:b/>
                <w:sz w:val="28"/>
                <w:szCs w:val="28"/>
                <w:lang w:val="en-GB"/>
              </w:rPr>
              <w:tab/>
            </w:r>
            <w:r w:rsidRPr="009E0C4A">
              <w:rPr>
                <w:rFonts w:cs="Arial"/>
                <w:b/>
                <w:sz w:val="28"/>
                <w:szCs w:val="28"/>
                <w:lang w:val="en-GB"/>
              </w:rPr>
              <w:tab/>
            </w:r>
            <w:r w:rsidRPr="009E0C4A">
              <w:rPr>
                <w:rFonts w:cs="Arial"/>
                <w:b/>
                <w:sz w:val="28"/>
                <w:szCs w:val="28"/>
                <w:lang w:val="en-GB"/>
              </w:rPr>
              <w:tab/>
            </w:r>
            <w:r w:rsidRPr="009E0C4A">
              <w:rPr>
                <w:rFonts w:cs="Arial"/>
                <w:b/>
                <w:sz w:val="28"/>
                <w:szCs w:val="28"/>
                <w:lang w:val="en-GB"/>
              </w:rPr>
              <w:tab/>
            </w:r>
            <w:r w:rsidR="00FA61AF" w:rsidRPr="009E0C4A">
              <w:rPr>
                <w:rFonts w:cs="Arial"/>
                <w:b/>
                <w:sz w:val="28"/>
                <w:szCs w:val="28"/>
                <w:lang w:val="en-GB"/>
              </w:rPr>
              <w:t>CMS</w:t>
            </w:r>
          </w:p>
          <w:p w:rsidR="00FA61AF" w:rsidRPr="009E0C4A"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9E0C4A"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9E0C4A" w:rsidRDefault="00745222">
            <w:pPr>
              <w:rPr>
                <w:rFonts w:cs="Arial"/>
                <w:sz w:val="22"/>
                <w:szCs w:val="22"/>
                <w:lang w:val="en-GB"/>
              </w:rPr>
            </w:pPr>
            <w:r w:rsidRPr="009E0C4A">
              <w:rPr>
                <w:rFonts w:cs="Arial"/>
                <w:noProof/>
                <w:sz w:val="22"/>
                <w:szCs w:val="22"/>
              </w:rPr>
              <w:drawing>
                <wp:inline distT="0" distB="0" distL="0" distR="0" wp14:anchorId="30D4366D" wp14:editId="5838B502">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9E0C4A"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9E0C4A"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en-GB"/>
              </w:rPr>
            </w:pPr>
          </w:p>
          <w:p w:rsidR="0081600F" w:rsidRPr="009E0C4A"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lang w:val="en-GB"/>
              </w:rPr>
            </w:pPr>
            <w:r w:rsidRPr="009E0C4A">
              <w:rPr>
                <w:rFonts w:cs="Arial"/>
                <w:bCs w:val="0"/>
                <w:sz w:val="32"/>
                <w:szCs w:val="32"/>
                <w:lang w:val="en-GB"/>
              </w:rPr>
              <w:t>CONVENTION ON</w:t>
            </w:r>
          </w:p>
          <w:p w:rsidR="0081600F" w:rsidRPr="009E0C4A"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lang w:val="en-GB"/>
              </w:rPr>
            </w:pPr>
            <w:r w:rsidRPr="009E0C4A">
              <w:rPr>
                <w:rFonts w:cs="Arial"/>
                <w:bCs w:val="0"/>
                <w:sz w:val="32"/>
                <w:szCs w:val="32"/>
                <w:lang w:val="en-GB"/>
              </w:rPr>
              <w:t>MIGRATORY</w:t>
            </w:r>
          </w:p>
          <w:p w:rsidR="0081600F" w:rsidRPr="009E0C4A"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E0C4A">
              <w:rPr>
                <w:rFonts w:cs="Arial"/>
                <w:bCs w:val="0"/>
                <w:sz w:val="32"/>
                <w:szCs w:val="32"/>
                <w:lang w:val="en-GB"/>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9E0C4A"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rsidR="0081600F" w:rsidRPr="00DE3BDF"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DE3BDF">
              <w:rPr>
                <w:rFonts w:cs="Arial"/>
                <w:sz w:val="22"/>
                <w:szCs w:val="22"/>
                <w:lang w:val="en-GB"/>
              </w:rPr>
              <w:t>Distribution: General</w:t>
            </w:r>
          </w:p>
          <w:p w:rsidR="0081600F" w:rsidRPr="00DE3BDF"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rsidR="0081600F" w:rsidRPr="00DE3BDF"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DE3BDF">
              <w:rPr>
                <w:rFonts w:cs="Arial"/>
                <w:sz w:val="22"/>
                <w:szCs w:val="22"/>
                <w:lang w:val="en-GB"/>
              </w:rPr>
              <w:t>UNEP/CMS/</w:t>
            </w:r>
            <w:r w:rsidR="00ED02D3" w:rsidRPr="00DE3BDF">
              <w:rPr>
                <w:rFonts w:cs="Arial"/>
                <w:sz w:val="22"/>
                <w:szCs w:val="22"/>
                <w:lang w:val="en-GB"/>
              </w:rPr>
              <w:t>COP12</w:t>
            </w:r>
            <w:r w:rsidR="00A27BE3" w:rsidRPr="00DE3BDF">
              <w:rPr>
                <w:rFonts w:cs="Arial"/>
                <w:sz w:val="22"/>
                <w:szCs w:val="22"/>
                <w:lang w:val="en-GB"/>
              </w:rPr>
              <w:t>/</w:t>
            </w:r>
            <w:r w:rsidR="0079075D" w:rsidRPr="00DE3BDF">
              <w:rPr>
                <w:rFonts w:cs="Arial"/>
                <w:sz w:val="22"/>
                <w:szCs w:val="22"/>
                <w:lang w:val="en-GB"/>
              </w:rPr>
              <w:t>Doc.</w:t>
            </w:r>
            <w:r w:rsidR="00DE3BDF" w:rsidRPr="00DE3BDF">
              <w:rPr>
                <w:rFonts w:cs="Arial"/>
                <w:sz w:val="22"/>
                <w:szCs w:val="22"/>
                <w:lang w:val="en-GB"/>
              </w:rPr>
              <w:t>24.4.9</w:t>
            </w:r>
          </w:p>
          <w:p w:rsidR="0081600F" w:rsidRPr="00DE3BDF" w:rsidRDefault="00DE3BDF"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 xml:space="preserve">7 June </w:t>
            </w:r>
            <w:r w:rsidR="00EA0B88" w:rsidRPr="00DE3BDF">
              <w:rPr>
                <w:rFonts w:cs="Arial"/>
                <w:sz w:val="22"/>
                <w:szCs w:val="22"/>
                <w:lang w:val="en-GB"/>
              </w:rPr>
              <w:t>2017</w:t>
            </w:r>
          </w:p>
          <w:p w:rsidR="00E8776E" w:rsidRPr="00DE3BDF" w:rsidRDefault="00E8776E" w:rsidP="000C21B1">
            <w:pPr>
              <w:rPr>
                <w:rFonts w:cs="Arial"/>
                <w:sz w:val="12"/>
                <w:szCs w:val="12"/>
                <w:lang w:val="en-GB"/>
              </w:rPr>
            </w:pPr>
          </w:p>
          <w:p w:rsidR="0081600F" w:rsidRPr="009E0C4A" w:rsidRDefault="0081600F" w:rsidP="000C21B1">
            <w:pPr>
              <w:rPr>
                <w:rFonts w:cs="Arial"/>
                <w:sz w:val="22"/>
                <w:szCs w:val="22"/>
                <w:lang w:val="en-GB"/>
              </w:rPr>
            </w:pPr>
            <w:r w:rsidRPr="00DE3BDF">
              <w:rPr>
                <w:rFonts w:cs="Arial"/>
                <w:sz w:val="22"/>
                <w:szCs w:val="22"/>
                <w:lang w:val="en-GB"/>
              </w:rPr>
              <w:t>Original: English</w:t>
            </w:r>
          </w:p>
          <w:p w:rsidR="00682B31" w:rsidRPr="009E0C4A" w:rsidRDefault="00682B31" w:rsidP="000C21B1">
            <w:pPr>
              <w:rPr>
                <w:rFonts w:cs="Arial"/>
                <w:sz w:val="12"/>
                <w:szCs w:val="12"/>
                <w:lang w:val="en-GB"/>
              </w:rPr>
            </w:pPr>
          </w:p>
        </w:tc>
      </w:tr>
    </w:tbl>
    <w:p w:rsidR="00354A9C" w:rsidRPr="009E0C4A" w:rsidRDefault="00354A9C" w:rsidP="00922791">
      <w:pPr>
        <w:tabs>
          <w:tab w:val="left" w:pos="7020"/>
        </w:tabs>
        <w:rPr>
          <w:rFonts w:cs="Arial"/>
          <w:sz w:val="22"/>
          <w:szCs w:val="22"/>
          <w:lang w:val="en-GB"/>
        </w:rPr>
      </w:pPr>
    </w:p>
    <w:p w:rsidR="0052082F" w:rsidRPr="009E0C4A" w:rsidRDefault="0052082F" w:rsidP="00354A9C">
      <w:pPr>
        <w:rPr>
          <w:rFonts w:cs="Arial"/>
          <w:sz w:val="22"/>
          <w:szCs w:val="22"/>
          <w:lang w:val="en-GB"/>
        </w:rPr>
      </w:pPr>
    </w:p>
    <w:p w:rsidR="00593736" w:rsidRPr="009E0C4A" w:rsidRDefault="00973EBD" w:rsidP="00973EBD">
      <w:pPr>
        <w:jc w:val="center"/>
        <w:rPr>
          <w:sz w:val="8"/>
          <w:szCs w:val="8"/>
          <w:lang w:val="en-GB"/>
        </w:rPr>
      </w:pPr>
      <w:r w:rsidRPr="009E0C4A">
        <w:rPr>
          <w:rFonts w:cs="Arial"/>
          <w:b/>
          <w:bCs/>
          <w:sz w:val="22"/>
          <w:szCs w:val="22"/>
          <w:lang w:val="en-GB"/>
        </w:rPr>
        <w:t>PROMOTING MARINE PROTECTED AREA NETWORKS IN THE ASEAN REGION</w:t>
      </w:r>
    </w:p>
    <w:p w:rsidR="00A45C5C" w:rsidRPr="009E0C4A" w:rsidRDefault="00A45C5C" w:rsidP="00B64904">
      <w:pPr>
        <w:jc w:val="center"/>
        <w:rPr>
          <w:rFonts w:cs="Arial"/>
          <w:i/>
          <w:sz w:val="22"/>
          <w:szCs w:val="22"/>
          <w:lang w:val="en-GB"/>
        </w:rPr>
      </w:pPr>
    </w:p>
    <w:p w:rsidR="00B64904" w:rsidRPr="009E0C4A" w:rsidRDefault="00B64904" w:rsidP="00B64904">
      <w:pPr>
        <w:jc w:val="center"/>
        <w:rPr>
          <w:rFonts w:cs="Arial"/>
          <w:i/>
          <w:sz w:val="22"/>
          <w:szCs w:val="22"/>
          <w:lang w:val="en-GB"/>
        </w:rPr>
      </w:pPr>
      <w:r w:rsidRPr="009E0C4A">
        <w:rPr>
          <w:rFonts w:cs="Arial"/>
          <w:i/>
          <w:sz w:val="22"/>
          <w:szCs w:val="22"/>
          <w:lang w:val="en-GB"/>
        </w:rPr>
        <w:t>(</w:t>
      </w:r>
      <w:r w:rsidR="00C13D95" w:rsidRPr="009E0C4A">
        <w:rPr>
          <w:rFonts w:cs="Arial"/>
          <w:i/>
          <w:sz w:val="22"/>
          <w:szCs w:val="22"/>
          <w:lang w:val="en-GB"/>
        </w:rPr>
        <w:t>Submitted</w:t>
      </w:r>
      <w:r w:rsidR="0079075D" w:rsidRPr="009E0C4A">
        <w:rPr>
          <w:rFonts w:cs="Arial"/>
          <w:i/>
          <w:sz w:val="22"/>
          <w:szCs w:val="22"/>
          <w:lang w:val="en-GB"/>
        </w:rPr>
        <w:t xml:space="preserve"> by </w:t>
      </w:r>
      <w:r w:rsidR="00870FB9" w:rsidRPr="009E0C4A">
        <w:rPr>
          <w:rFonts w:cs="Arial"/>
          <w:i/>
          <w:sz w:val="22"/>
          <w:szCs w:val="22"/>
          <w:lang w:val="en-GB"/>
        </w:rPr>
        <w:t>the</w:t>
      </w:r>
      <w:r w:rsidR="00197CF5" w:rsidRPr="009E0C4A">
        <w:rPr>
          <w:rFonts w:cs="Arial"/>
          <w:i/>
          <w:sz w:val="22"/>
          <w:szCs w:val="22"/>
          <w:lang w:val="en-GB"/>
        </w:rPr>
        <w:t xml:space="preserve"> Government of the Philippines</w:t>
      </w:r>
      <w:r w:rsidRPr="009E0C4A">
        <w:rPr>
          <w:rFonts w:cs="Arial"/>
          <w:i/>
          <w:sz w:val="22"/>
          <w:szCs w:val="22"/>
          <w:lang w:val="en-GB"/>
        </w:rPr>
        <w:t>)</w:t>
      </w:r>
      <w:r w:rsidR="00497E66" w:rsidRPr="009E0C4A">
        <w:rPr>
          <w:rFonts w:cs="Arial"/>
          <w:i/>
          <w:sz w:val="22"/>
          <w:szCs w:val="22"/>
          <w:lang w:val="en-GB"/>
        </w:rPr>
        <w:t xml:space="preserve"> </w:t>
      </w:r>
    </w:p>
    <w:p w:rsidR="00870FB9" w:rsidRPr="009E0C4A" w:rsidRDefault="00870FB9" w:rsidP="00870FB9">
      <w:pPr>
        <w:rPr>
          <w:sz w:val="8"/>
          <w:szCs w:val="8"/>
          <w:lang w:val="en-GB"/>
        </w:rPr>
      </w:pPr>
    </w:p>
    <w:p w:rsidR="00870FB9" w:rsidRPr="009E0C4A" w:rsidRDefault="00870FB9" w:rsidP="00B64904">
      <w:pPr>
        <w:jc w:val="center"/>
        <w:rPr>
          <w:rFonts w:cs="Arial"/>
          <w:i/>
          <w:sz w:val="22"/>
          <w:szCs w:val="22"/>
          <w:lang w:val="en-GB"/>
        </w:rPr>
      </w:pPr>
    </w:p>
    <w:p w:rsidR="001764E6" w:rsidRPr="009E0C4A" w:rsidRDefault="001764E6" w:rsidP="001764E6">
      <w:pPr>
        <w:jc w:val="both"/>
        <w:rPr>
          <w:rFonts w:cs="Arial"/>
          <w:sz w:val="21"/>
          <w:szCs w:val="21"/>
          <w:lang w:val="en-GB"/>
        </w:rPr>
      </w:pPr>
    </w:p>
    <w:p w:rsidR="001764E6" w:rsidRPr="009E0C4A" w:rsidRDefault="001764E6" w:rsidP="00D605A4">
      <w:pPr>
        <w:tabs>
          <w:tab w:val="left" w:pos="8295"/>
        </w:tabs>
        <w:jc w:val="both"/>
        <w:rPr>
          <w:rFonts w:cs="Arial"/>
          <w:sz w:val="21"/>
          <w:szCs w:val="21"/>
          <w:lang w:val="en-GB"/>
        </w:rPr>
      </w:pPr>
    </w:p>
    <w:p w:rsidR="00D605A4" w:rsidRPr="009E0C4A" w:rsidRDefault="00745222" w:rsidP="00D605A4">
      <w:pPr>
        <w:rPr>
          <w:rFonts w:cs="Arial"/>
          <w:sz w:val="21"/>
          <w:szCs w:val="21"/>
          <w:lang w:val="en-GB"/>
        </w:rPr>
      </w:pPr>
      <w:r w:rsidRPr="009E0C4A">
        <w:rPr>
          <w:rFonts w:cs="Arial"/>
          <w:noProof/>
          <w:sz w:val="21"/>
          <w:szCs w:val="21"/>
        </w:rPr>
        <mc:AlternateContent>
          <mc:Choice Requires="wps">
            <w:drawing>
              <wp:anchor distT="0" distB="0" distL="114300" distR="114300" simplePos="0" relativeHeight="251657728" behindDoc="0" locked="0" layoutInCell="1" allowOverlap="1" wp14:anchorId="1284FD86" wp14:editId="12FEB175">
                <wp:simplePos x="0" y="0"/>
                <wp:positionH relativeFrom="column">
                  <wp:posOffset>780415</wp:posOffset>
                </wp:positionH>
                <wp:positionV relativeFrom="paragraph">
                  <wp:posOffset>144780</wp:posOffset>
                </wp:positionV>
                <wp:extent cx="4305300" cy="19050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05000"/>
                        </a:xfrm>
                        <a:prstGeom prst="rect">
                          <a:avLst/>
                        </a:prstGeom>
                        <a:solidFill>
                          <a:srgbClr val="FFFFFF"/>
                        </a:solidFill>
                        <a:ln w="3175">
                          <a:solidFill>
                            <a:srgbClr val="000000"/>
                          </a:solidFill>
                          <a:miter lim="800000"/>
                          <a:headEnd/>
                          <a:tailEnd/>
                        </a:ln>
                      </wps:spPr>
                      <wps:txbx>
                        <w:txbxContent>
                          <w:p w:rsidR="00E475D4" w:rsidRPr="00420040" w:rsidRDefault="00E475D4" w:rsidP="00E475D4">
                            <w:pPr>
                              <w:rPr>
                                <w:rFonts w:cs="Arial"/>
                                <w:sz w:val="22"/>
                                <w:szCs w:val="22"/>
                              </w:rPr>
                            </w:pPr>
                            <w:r w:rsidRPr="00420040">
                              <w:rPr>
                                <w:rFonts w:cs="Arial"/>
                                <w:sz w:val="22"/>
                                <w:szCs w:val="22"/>
                              </w:rPr>
                              <w:t>Summary:</w:t>
                            </w:r>
                          </w:p>
                          <w:p w:rsidR="00F11793" w:rsidRDefault="00F11793" w:rsidP="00E8776E">
                            <w:pPr>
                              <w:rPr>
                                <w:rFonts w:cs="Arial"/>
                                <w:sz w:val="22"/>
                                <w:szCs w:val="22"/>
                                <w:lang w:val="en-GB"/>
                              </w:rPr>
                            </w:pPr>
                          </w:p>
                          <w:p w:rsidR="002063AA" w:rsidRDefault="00973EBD" w:rsidP="00DE3BDF">
                            <w:pPr>
                              <w:jc w:val="both"/>
                              <w:rPr>
                                <w:rFonts w:cs="Arial"/>
                                <w:sz w:val="22"/>
                                <w:szCs w:val="22"/>
                                <w:lang w:val="en-GB"/>
                              </w:rPr>
                            </w:pPr>
                            <w:r>
                              <w:rPr>
                                <w:rFonts w:cs="Arial"/>
                                <w:sz w:val="22"/>
                                <w:szCs w:val="22"/>
                                <w:lang w:val="en-GB"/>
                              </w:rPr>
                              <w:t xml:space="preserve">This </w:t>
                            </w:r>
                            <w:r w:rsidR="002063AA">
                              <w:rPr>
                                <w:rFonts w:cs="Arial"/>
                                <w:sz w:val="22"/>
                                <w:szCs w:val="22"/>
                                <w:lang w:val="en-GB"/>
                              </w:rPr>
                              <w:t xml:space="preserve">draft </w:t>
                            </w:r>
                            <w:r w:rsidR="00C13D95">
                              <w:rPr>
                                <w:rFonts w:cs="Arial"/>
                                <w:sz w:val="22"/>
                                <w:szCs w:val="22"/>
                                <w:lang w:val="en-GB"/>
                              </w:rPr>
                              <w:t>Resolution, submitted by the G</w:t>
                            </w:r>
                            <w:r w:rsidR="002063AA">
                              <w:rPr>
                                <w:rFonts w:cs="Arial"/>
                                <w:sz w:val="22"/>
                                <w:szCs w:val="22"/>
                                <w:lang w:val="en-GB"/>
                              </w:rPr>
                              <w:t>overnment of the Philippines, proposes the development</w:t>
                            </w:r>
                            <w:r>
                              <w:rPr>
                                <w:rFonts w:cs="Arial"/>
                                <w:sz w:val="22"/>
                                <w:szCs w:val="22"/>
                                <w:lang w:val="en-GB"/>
                              </w:rPr>
                              <w:t xml:space="preserve"> </w:t>
                            </w:r>
                            <w:r w:rsidR="002063AA">
                              <w:rPr>
                                <w:rFonts w:cs="Arial"/>
                                <w:sz w:val="22"/>
                                <w:szCs w:val="22"/>
                                <w:lang w:val="en-GB"/>
                              </w:rPr>
                              <w:t xml:space="preserve">and management of marine protected area networks within the ASEAN Region, to improve marine biodiversity conservation of coastal and marine ecosystems. </w:t>
                            </w:r>
                          </w:p>
                          <w:p w:rsidR="00C13D95" w:rsidRDefault="00C13D95" w:rsidP="00DE3BDF">
                            <w:pPr>
                              <w:jc w:val="both"/>
                              <w:rPr>
                                <w:rFonts w:cs="Arial"/>
                                <w:sz w:val="22"/>
                                <w:szCs w:val="22"/>
                                <w:lang w:val="en-GB"/>
                              </w:rPr>
                            </w:pPr>
                          </w:p>
                          <w:p w:rsidR="00C13D95" w:rsidRPr="00101629" w:rsidRDefault="00C13D95" w:rsidP="00DE3BDF">
                            <w:pPr>
                              <w:contextualSpacing/>
                              <w:jc w:val="both"/>
                              <w:rPr>
                                <w:rFonts w:cs="Arial"/>
                                <w:sz w:val="22"/>
                                <w:szCs w:val="22"/>
                                <w:lang w:val="en-GB"/>
                              </w:rPr>
                            </w:pPr>
                            <w:r w:rsidRPr="00B77764">
                              <w:rPr>
                                <w:rFonts w:cs="Arial"/>
                                <w:sz w:val="22"/>
                                <w:szCs w:val="22"/>
                                <w:lang w:val="en-GB"/>
                              </w:rPr>
                              <w:t>The Conference of the Parties is recommended to</w:t>
                            </w:r>
                            <w:r>
                              <w:rPr>
                                <w:rFonts w:cs="Arial"/>
                                <w:sz w:val="22"/>
                                <w:szCs w:val="22"/>
                                <w:lang w:val="en-GB"/>
                              </w:rPr>
                              <w:t xml:space="preserve"> </w:t>
                            </w:r>
                            <w:r w:rsidR="004E0014">
                              <w:rPr>
                                <w:rFonts w:cs="Arial"/>
                                <w:sz w:val="22"/>
                                <w:szCs w:val="22"/>
                                <w:lang w:val="en-GB"/>
                              </w:rPr>
                              <w:t xml:space="preserve">consider </w:t>
                            </w:r>
                            <w:r w:rsidRPr="0043210F">
                              <w:rPr>
                                <w:rFonts w:cs="Arial"/>
                                <w:sz w:val="22"/>
                                <w:szCs w:val="22"/>
                                <w:lang w:val="en-GB"/>
                              </w:rPr>
                              <w:t>the draft Resolution</w:t>
                            </w:r>
                            <w:r w:rsidR="004E0014">
                              <w:rPr>
                                <w:rFonts w:cs="Arial"/>
                                <w:sz w:val="22"/>
                                <w:szCs w:val="22"/>
                                <w:lang w:val="en-GB"/>
                              </w:rPr>
                              <w:t xml:space="preserve"> for adoption</w:t>
                            </w:r>
                            <w:r w:rsidRPr="0043210F">
                              <w:rPr>
                                <w:rFonts w:cs="Arial"/>
                                <w:sz w:val="22"/>
                                <w:szCs w:val="22"/>
                                <w:lang w:val="en-GB"/>
                              </w:rPr>
                              <w:t>.</w:t>
                            </w:r>
                          </w:p>
                          <w:p w:rsidR="00C13D95" w:rsidRDefault="00C13D95" w:rsidP="00E8776E">
                            <w:pPr>
                              <w:rPr>
                                <w:rFonts w:cs="Arial"/>
                                <w:sz w:val="22"/>
                                <w:szCs w:val="22"/>
                                <w:lang w:val="en-GB"/>
                              </w:rPr>
                            </w:pPr>
                          </w:p>
                          <w:p w:rsidR="002063AA" w:rsidRDefault="002063AA" w:rsidP="00E8776E">
                            <w:pPr>
                              <w:rPr>
                                <w:rFonts w:cs="Arial"/>
                                <w:sz w:val="22"/>
                                <w:szCs w:val="22"/>
                                <w:lang w:val="en-GB"/>
                              </w:rPr>
                            </w:pPr>
                          </w:p>
                          <w:p w:rsidR="00870FB9" w:rsidRPr="00870FB9" w:rsidRDefault="00870FB9" w:rsidP="00D46C91">
                            <w:pPr>
                              <w:jc w:val="center"/>
                              <w:rPr>
                                <w:rFonts w:cs="Arial"/>
                                <w: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4FD86" id="_x0000_t202" coordsize="21600,21600" o:spt="202" path="m,l,21600r21600,l21600,xe">
                <v:stroke joinstyle="miter"/>
                <v:path gradientshapeok="t" o:connecttype="rect"/>
              </v:shapetype>
              <v:shape id="Text Box 4" o:spid="_x0000_s1026" type="#_x0000_t202" style="position:absolute;margin-left:61.45pt;margin-top:11.4pt;width:339pt;height:1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" strokeweight=".25pt">
                <v:textbox>
                  <w:txbxContent>
                    <w:p w:rsidR="00E475D4" w:rsidRPr="00420040" w:rsidRDefault="00E475D4" w:rsidP="00E475D4">
                      <w:pPr>
                        <w:rPr>
                          <w:rFonts w:cs="Arial"/>
                          <w:sz w:val="22"/>
                          <w:szCs w:val="22"/>
                        </w:rPr>
                      </w:pPr>
                      <w:r w:rsidRPr="00420040">
                        <w:rPr>
                          <w:rFonts w:cs="Arial"/>
                          <w:sz w:val="22"/>
                          <w:szCs w:val="22"/>
                        </w:rPr>
                        <w:t>Summary:</w:t>
                      </w:r>
                    </w:p>
                    <w:p w:rsidR="00F11793" w:rsidRDefault="00F11793" w:rsidP="00E8776E">
                      <w:pPr>
                        <w:rPr>
                          <w:rFonts w:cs="Arial"/>
                          <w:sz w:val="22"/>
                          <w:szCs w:val="22"/>
                          <w:lang w:val="en-GB"/>
                        </w:rPr>
                      </w:pPr>
                    </w:p>
                    <w:p w:rsidR="002063AA" w:rsidRDefault="00973EBD" w:rsidP="00DE3BDF">
                      <w:pPr>
                        <w:jc w:val="both"/>
                        <w:rPr>
                          <w:rFonts w:cs="Arial"/>
                          <w:sz w:val="22"/>
                          <w:szCs w:val="22"/>
                          <w:lang w:val="en-GB"/>
                        </w:rPr>
                      </w:pPr>
                      <w:r>
                        <w:rPr>
                          <w:rFonts w:cs="Arial"/>
                          <w:sz w:val="22"/>
                          <w:szCs w:val="22"/>
                          <w:lang w:val="en-GB"/>
                        </w:rPr>
                        <w:t xml:space="preserve">This </w:t>
                      </w:r>
                      <w:r w:rsidR="002063AA">
                        <w:rPr>
                          <w:rFonts w:cs="Arial"/>
                          <w:sz w:val="22"/>
                          <w:szCs w:val="22"/>
                          <w:lang w:val="en-GB"/>
                        </w:rPr>
                        <w:t xml:space="preserve">draft </w:t>
                      </w:r>
                      <w:r w:rsidR="00C13D95">
                        <w:rPr>
                          <w:rFonts w:cs="Arial"/>
                          <w:sz w:val="22"/>
                          <w:szCs w:val="22"/>
                          <w:lang w:val="en-GB"/>
                        </w:rPr>
                        <w:t>Resolution, submitted by the G</w:t>
                      </w:r>
                      <w:r w:rsidR="002063AA">
                        <w:rPr>
                          <w:rFonts w:cs="Arial"/>
                          <w:sz w:val="22"/>
                          <w:szCs w:val="22"/>
                          <w:lang w:val="en-GB"/>
                        </w:rPr>
                        <w:t>overnment of the Philippines, proposes the development</w:t>
                      </w:r>
                      <w:r>
                        <w:rPr>
                          <w:rFonts w:cs="Arial"/>
                          <w:sz w:val="22"/>
                          <w:szCs w:val="22"/>
                          <w:lang w:val="en-GB"/>
                        </w:rPr>
                        <w:t xml:space="preserve"> </w:t>
                      </w:r>
                      <w:r w:rsidR="002063AA">
                        <w:rPr>
                          <w:rFonts w:cs="Arial"/>
                          <w:sz w:val="22"/>
                          <w:szCs w:val="22"/>
                          <w:lang w:val="en-GB"/>
                        </w:rPr>
                        <w:t xml:space="preserve">and management of marine protected area networks within the ASEAN Region, to improve marine biodiversity conservation of coastal and marine ecosystems. </w:t>
                      </w:r>
                    </w:p>
                    <w:p w:rsidR="00C13D95" w:rsidRDefault="00C13D95" w:rsidP="00DE3BDF">
                      <w:pPr>
                        <w:jc w:val="both"/>
                        <w:rPr>
                          <w:rFonts w:cs="Arial"/>
                          <w:sz w:val="22"/>
                          <w:szCs w:val="22"/>
                          <w:lang w:val="en-GB"/>
                        </w:rPr>
                      </w:pPr>
                    </w:p>
                    <w:p w:rsidR="00C13D95" w:rsidRPr="00101629" w:rsidRDefault="00C13D95" w:rsidP="00DE3BDF">
                      <w:pPr>
                        <w:contextualSpacing/>
                        <w:jc w:val="both"/>
                        <w:rPr>
                          <w:rFonts w:cs="Arial"/>
                          <w:sz w:val="22"/>
                          <w:szCs w:val="22"/>
                          <w:lang w:val="en-GB"/>
                        </w:rPr>
                      </w:pPr>
                      <w:r w:rsidRPr="00B77764">
                        <w:rPr>
                          <w:rFonts w:cs="Arial"/>
                          <w:sz w:val="22"/>
                          <w:szCs w:val="22"/>
                          <w:lang w:val="en-GB"/>
                        </w:rPr>
                        <w:t>The Conference of the Parties is recommended to</w:t>
                      </w:r>
                      <w:r>
                        <w:rPr>
                          <w:rFonts w:cs="Arial"/>
                          <w:sz w:val="22"/>
                          <w:szCs w:val="22"/>
                          <w:lang w:val="en-GB"/>
                        </w:rPr>
                        <w:t xml:space="preserve"> </w:t>
                      </w:r>
                      <w:r w:rsidR="004E0014">
                        <w:rPr>
                          <w:rFonts w:cs="Arial"/>
                          <w:sz w:val="22"/>
                          <w:szCs w:val="22"/>
                          <w:lang w:val="en-GB"/>
                        </w:rPr>
                        <w:t xml:space="preserve">consider </w:t>
                      </w:r>
                      <w:r w:rsidRPr="0043210F">
                        <w:rPr>
                          <w:rFonts w:cs="Arial"/>
                          <w:sz w:val="22"/>
                          <w:szCs w:val="22"/>
                          <w:lang w:val="en-GB"/>
                        </w:rPr>
                        <w:t>the draft Resolution</w:t>
                      </w:r>
                      <w:r w:rsidR="004E0014">
                        <w:rPr>
                          <w:rFonts w:cs="Arial"/>
                          <w:sz w:val="22"/>
                          <w:szCs w:val="22"/>
                          <w:lang w:val="en-GB"/>
                        </w:rPr>
                        <w:t xml:space="preserve"> for adoption</w:t>
                      </w:r>
                      <w:r w:rsidRPr="0043210F">
                        <w:rPr>
                          <w:rFonts w:cs="Arial"/>
                          <w:sz w:val="22"/>
                          <w:szCs w:val="22"/>
                          <w:lang w:val="en-GB"/>
                        </w:rPr>
                        <w:t>.</w:t>
                      </w:r>
                    </w:p>
                    <w:p w:rsidR="00C13D95" w:rsidRDefault="00C13D95" w:rsidP="00E8776E">
                      <w:pPr>
                        <w:rPr>
                          <w:rFonts w:cs="Arial"/>
                          <w:sz w:val="22"/>
                          <w:szCs w:val="22"/>
                          <w:lang w:val="en-GB"/>
                        </w:rPr>
                      </w:pPr>
                    </w:p>
                    <w:p w:rsidR="002063AA" w:rsidRDefault="002063AA" w:rsidP="00E8776E">
                      <w:pPr>
                        <w:rPr>
                          <w:rFonts w:cs="Arial"/>
                          <w:sz w:val="22"/>
                          <w:szCs w:val="22"/>
                          <w:lang w:val="en-GB"/>
                        </w:rPr>
                      </w:pPr>
                    </w:p>
                    <w:p w:rsidR="00870FB9" w:rsidRPr="00870FB9" w:rsidRDefault="00870FB9" w:rsidP="00D46C91">
                      <w:pPr>
                        <w:jc w:val="center"/>
                        <w:rPr>
                          <w:rFonts w:cs="Arial"/>
                          <w:i/>
                          <w:sz w:val="21"/>
                          <w:szCs w:val="21"/>
                        </w:rPr>
                      </w:pPr>
                    </w:p>
                  </w:txbxContent>
                </v:textbox>
              </v:shape>
            </w:pict>
          </mc:Fallback>
        </mc:AlternateContent>
      </w: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1"/>
          <w:szCs w:val="21"/>
          <w:lang w:val="en-GB"/>
        </w:rPr>
      </w:pPr>
    </w:p>
    <w:p w:rsidR="00D605A4" w:rsidRPr="009E0C4A" w:rsidRDefault="00D605A4" w:rsidP="00D605A4">
      <w:pPr>
        <w:rPr>
          <w:rFonts w:cs="Arial"/>
          <w:sz w:val="22"/>
          <w:szCs w:val="22"/>
          <w:lang w:val="en-GB"/>
        </w:rPr>
      </w:pPr>
    </w:p>
    <w:p w:rsidR="00031A88" w:rsidRPr="009E0C4A" w:rsidRDefault="00031A88" w:rsidP="00D605A4">
      <w:pPr>
        <w:rPr>
          <w:rFonts w:cs="Arial"/>
          <w:sz w:val="22"/>
          <w:szCs w:val="22"/>
          <w:lang w:val="en-GB"/>
        </w:rPr>
      </w:pPr>
    </w:p>
    <w:p w:rsidR="00031A88" w:rsidRPr="009E0C4A" w:rsidRDefault="00031A88" w:rsidP="00D605A4">
      <w:pPr>
        <w:rPr>
          <w:rFonts w:cs="Arial"/>
          <w:sz w:val="22"/>
          <w:szCs w:val="22"/>
          <w:lang w:val="en-GB"/>
        </w:rPr>
      </w:pPr>
    </w:p>
    <w:p w:rsidR="00031A88" w:rsidRPr="009E0C4A" w:rsidRDefault="00031A88" w:rsidP="00D605A4">
      <w:pPr>
        <w:rPr>
          <w:rFonts w:cs="Arial"/>
          <w:sz w:val="22"/>
          <w:szCs w:val="22"/>
          <w:lang w:val="en-GB"/>
        </w:rPr>
      </w:pPr>
    </w:p>
    <w:p w:rsidR="00031A88" w:rsidRPr="009E0C4A" w:rsidRDefault="00031A88" w:rsidP="00D605A4">
      <w:pPr>
        <w:rPr>
          <w:rFonts w:cs="Arial"/>
          <w:sz w:val="22"/>
          <w:szCs w:val="22"/>
          <w:lang w:val="en-GB"/>
        </w:rPr>
      </w:pPr>
    </w:p>
    <w:p w:rsidR="00031A88" w:rsidRPr="009E0C4A" w:rsidRDefault="00031A88" w:rsidP="00D605A4">
      <w:pPr>
        <w:rPr>
          <w:rFonts w:cs="Arial"/>
          <w:sz w:val="22"/>
          <w:szCs w:val="22"/>
          <w:lang w:val="en-GB"/>
        </w:rPr>
      </w:pPr>
    </w:p>
    <w:p w:rsidR="00031A88" w:rsidRPr="009E0C4A" w:rsidRDefault="00031A88" w:rsidP="00D605A4">
      <w:pPr>
        <w:rPr>
          <w:rFonts w:cs="Arial"/>
          <w:sz w:val="22"/>
          <w:szCs w:val="22"/>
          <w:lang w:val="en-GB"/>
        </w:rPr>
      </w:pPr>
    </w:p>
    <w:p w:rsidR="00031A88" w:rsidRPr="009E0C4A" w:rsidRDefault="00031A88" w:rsidP="00D605A4">
      <w:pPr>
        <w:rPr>
          <w:rFonts w:cs="Arial"/>
          <w:sz w:val="22"/>
          <w:szCs w:val="22"/>
          <w:lang w:val="en-GB"/>
        </w:rPr>
      </w:pPr>
    </w:p>
    <w:p w:rsidR="00031A88" w:rsidRPr="009E0C4A" w:rsidRDefault="00031A88" w:rsidP="00D605A4">
      <w:pPr>
        <w:rPr>
          <w:rFonts w:cs="Arial"/>
          <w:sz w:val="22"/>
          <w:szCs w:val="22"/>
          <w:lang w:val="en-GB"/>
        </w:rPr>
      </w:pPr>
    </w:p>
    <w:p w:rsidR="00031A88" w:rsidRPr="009E0C4A" w:rsidRDefault="00031A88" w:rsidP="00D605A4">
      <w:pPr>
        <w:rPr>
          <w:rFonts w:cs="Arial"/>
          <w:sz w:val="22"/>
          <w:szCs w:val="22"/>
          <w:lang w:val="en-GB"/>
        </w:rPr>
      </w:pPr>
    </w:p>
    <w:p w:rsidR="00031A88" w:rsidRPr="009E0C4A" w:rsidRDefault="00031A88" w:rsidP="00D605A4">
      <w:pPr>
        <w:rPr>
          <w:rFonts w:cs="Arial"/>
          <w:sz w:val="22"/>
          <w:szCs w:val="22"/>
          <w:lang w:val="en-GB"/>
        </w:rPr>
      </w:pPr>
    </w:p>
    <w:p w:rsidR="00031A88" w:rsidRPr="009E0C4A" w:rsidRDefault="00031A88" w:rsidP="00D605A4">
      <w:pPr>
        <w:rPr>
          <w:rFonts w:cs="Arial"/>
          <w:sz w:val="22"/>
          <w:szCs w:val="22"/>
          <w:lang w:val="en-GB"/>
        </w:rPr>
      </w:pPr>
    </w:p>
    <w:p w:rsidR="00D605A4" w:rsidRPr="009E0C4A" w:rsidRDefault="00D605A4" w:rsidP="00D605A4">
      <w:pPr>
        <w:rPr>
          <w:rFonts w:cs="Arial"/>
          <w:sz w:val="22"/>
          <w:szCs w:val="22"/>
          <w:lang w:val="en-GB"/>
        </w:rPr>
      </w:pPr>
    </w:p>
    <w:p w:rsidR="00D605A4" w:rsidRPr="009E0C4A" w:rsidRDefault="00D605A4" w:rsidP="00D605A4">
      <w:pPr>
        <w:tabs>
          <w:tab w:val="left" w:pos="1020"/>
        </w:tabs>
        <w:rPr>
          <w:rFonts w:cs="Arial"/>
          <w:sz w:val="22"/>
          <w:szCs w:val="22"/>
          <w:lang w:val="en-GB"/>
        </w:rPr>
        <w:sectPr w:rsidR="00D605A4" w:rsidRPr="009E0C4A"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bookmarkStart w:id="0" w:name="_GoBack"/>
      <w:bookmarkEnd w:id="0"/>
    </w:p>
    <w:p w:rsidR="007910DD" w:rsidRPr="009E0C4A" w:rsidRDefault="007910DD" w:rsidP="007910DD">
      <w:pPr>
        <w:rPr>
          <w:rFonts w:cs="Arial"/>
          <w:sz w:val="22"/>
          <w:szCs w:val="22"/>
          <w:lang w:val="en-GB"/>
        </w:rPr>
      </w:pPr>
    </w:p>
    <w:p w:rsidR="007910DD" w:rsidRPr="009E0C4A" w:rsidRDefault="00725A91" w:rsidP="007910DD">
      <w:pPr>
        <w:jc w:val="center"/>
        <w:rPr>
          <w:rFonts w:cs="Arial"/>
          <w:sz w:val="22"/>
          <w:szCs w:val="22"/>
          <w:lang w:val="en-GB"/>
        </w:rPr>
      </w:pPr>
      <w:r w:rsidRPr="009E0C4A">
        <w:rPr>
          <w:rFonts w:cs="Arial"/>
          <w:sz w:val="22"/>
          <w:szCs w:val="22"/>
          <w:lang w:val="en-GB"/>
        </w:rPr>
        <w:t>DRAFT</w:t>
      </w:r>
      <w:r w:rsidR="007910DD" w:rsidRPr="009E0C4A">
        <w:rPr>
          <w:rFonts w:cs="Arial"/>
          <w:sz w:val="22"/>
          <w:szCs w:val="22"/>
          <w:lang w:val="en-GB"/>
        </w:rPr>
        <w:t xml:space="preserve"> RESOLUTION</w:t>
      </w:r>
    </w:p>
    <w:p w:rsidR="007910DD" w:rsidRPr="009E0C4A" w:rsidRDefault="007910DD" w:rsidP="007910DD">
      <w:pPr>
        <w:jc w:val="center"/>
        <w:rPr>
          <w:rFonts w:cs="Arial"/>
          <w:sz w:val="22"/>
          <w:szCs w:val="22"/>
          <w:lang w:val="en-GB"/>
        </w:rPr>
      </w:pPr>
    </w:p>
    <w:p w:rsidR="00D46C91" w:rsidRPr="009E0C4A" w:rsidRDefault="00317D79"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sidRPr="009E0C4A">
        <w:rPr>
          <w:rFonts w:cs="Arial"/>
          <w:b/>
          <w:caps/>
          <w:sz w:val="22"/>
          <w:szCs w:val="22"/>
          <w:lang w:val="en-GB"/>
        </w:rPr>
        <w:t>Promoting Marine Protected Area Networks in the ASEAN Region</w:t>
      </w:r>
    </w:p>
    <w:p w:rsidR="00317D79" w:rsidRDefault="00317D79" w:rsidP="00D46C91">
      <w:pPr>
        <w:tabs>
          <w:tab w:val="left" w:pos="5040"/>
          <w:tab w:val="left" w:pos="5760"/>
          <w:tab w:val="left" w:pos="6008"/>
          <w:tab w:val="left" w:pos="6480"/>
          <w:tab w:val="left" w:pos="7200"/>
          <w:tab w:val="left" w:pos="7920"/>
          <w:tab w:val="left" w:pos="8640"/>
        </w:tabs>
        <w:rPr>
          <w:rFonts w:cs="Arial"/>
          <w:sz w:val="22"/>
          <w:szCs w:val="22"/>
          <w:lang w:val="en-GB"/>
        </w:rPr>
      </w:pPr>
    </w:p>
    <w:p w:rsidR="00DE3BDF" w:rsidRPr="009E0C4A" w:rsidRDefault="00DE3BDF" w:rsidP="00D46C91">
      <w:pPr>
        <w:tabs>
          <w:tab w:val="left" w:pos="5040"/>
          <w:tab w:val="left" w:pos="5760"/>
          <w:tab w:val="left" w:pos="6008"/>
          <w:tab w:val="left" w:pos="6480"/>
          <w:tab w:val="left" w:pos="7200"/>
          <w:tab w:val="left" w:pos="7920"/>
          <w:tab w:val="left" w:pos="8640"/>
        </w:tabs>
        <w:rPr>
          <w:rFonts w:cs="Arial"/>
          <w:sz w:val="22"/>
          <w:szCs w:val="22"/>
          <w:lang w:val="en-GB"/>
        </w:rPr>
      </w:pPr>
    </w:p>
    <w:p w:rsidR="00317D79" w:rsidRPr="009E0C4A" w:rsidRDefault="00317D79" w:rsidP="00317D79">
      <w:pPr>
        <w:jc w:val="both"/>
        <w:rPr>
          <w:rFonts w:cs="Arial"/>
          <w:color w:val="000000"/>
          <w:sz w:val="22"/>
          <w:szCs w:val="22"/>
          <w:shd w:val="clear" w:color="auto" w:fill="FFFFFF"/>
          <w:lang w:val="en-GB"/>
        </w:rPr>
      </w:pPr>
      <w:r w:rsidRPr="009E0C4A">
        <w:rPr>
          <w:rFonts w:cs="Arial"/>
          <w:i/>
          <w:iCs/>
          <w:sz w:val="22"/>
          <w:szCs w:val="22"/>
          <w:lang w:val="en-GB"/>
        </w:rPr>
        <w:t xml:space="preserve">Recalling </w:t>
      </w:r>
      <w:r w:rsidRPr="009E0C4A">
        <w:rPr>
          <w:rFonts w:cs="Arial"/>
          <w:sz w:val="22"/>
          <w:szCs w:val="22"/>
          <w:lang w:val="en-GB"/>
        </w:rPr>
        <w:t>the fundamental principles of the Convention, expressed in Article II, to take individual or co-operative actions to avoid any migratory species becoming endangered, and to pay special attention to those migratory species whose status is unfavourable, taking appropriate and necessary steps to conserve such species and their habitats,</w:t>
      </w:r>
    </w:p>
    <w:p w:rsidR="00317D79" w:rsidRPr="009E0C4A" w:rsidRDefault="00317D79" w:rsidP="00317D79">
      <w:pPr>
        <w:jc w:val="both"/>
        <w:rPr>
          <w:rFonts w:cs="Arial"/>
          <w:i/>
          <w:iCs/>
          <w:sz w:val="22"/>
          <w:szCs w:val="22"/>
          <w:lang w:val="en-GB"/>
        </w:rPr>
      </w:pPr>
    </w:p>
    <w:p w:rsidR="00317D79" w:rsidRPr="009E0C4A" w:rsidRDefault="00C13D95" w:rsidP="00317D79">
      <w:pPr>
        <w:jc w:val="both"/>
        <w:rPr>
          <w:rFonts w:cs="Arial"/>
          <w:sz w:val="22"/>
          <w:szCs w:val="22"/>
          <w:lang w:val="en-GB"/>
        </w:rPr>
      </w:pPr>
      <w:r w:rsidRPr="009E0C4A">
        <w:rPr>
          <w:rFonts w:cs="Arial"/>
          <w:i/>
          <w:iCs/>
          <w:sz w:val="22"/>
          <w:szCs w:val="22"/>
          <w:lang w:val="en-GB"/>
        </w:rPr>
        <w:t>Further r</w:t>
      </w:r>
      <w:r w:rsidR="00317D79" w:rsidRPr="009E0C4A">
        <w:rPr>
          <w:rFonts w:cs="Arial"/>
          <w:i/>
          <w:iCs/>
          <w:sz w:val="22"/>
          <w:szCs w:val="22"/>
          <w:lang w:val="en-GB"/>
        </w:rPr>
        <w:t xml:space="preserve">ecalling </w:t>
      </w:r>
      <w:r w:rsidR="00317D79" w:rsidRPr="009E0C4A">
        <w:rPr>
          <w:rFonts w:cs="Arial"/>
          <w:sz w:val="22"/>
          <w:szCs w:val="22"/>
          <w:lang w:val="en-GB"/>
        </w:rPr>
        <w:t>the fundamental principles of the Convention, expressed in Article III, to conserve and, where feasible and appropriate, restore those habitats of the species which are of importance in removing the species from danger of extinction,</w:t>
      </w:r>
    </w:p>
    <w:p w:rsidR="00447F34" w:rsidRPr="009E0C4A" w:rsidRDefault="00447F34" w:rsidP="00317D79">
      <w:pPr>
        <w:jc w:val="both"/>
        <w:rPr>
          <w:rFonts w:cs="Arial"/>
          <w:sz w:val="22"/>
          <w:szCs w:val="22"/>
          <w:lang w:val="en-GB"/>
        </w:rPr>
      </w:pPr>
    </w:p>
    <w:p w:rsidR="00447F34" w:rsidRPr="009E0C4A" w:rsidRDefault="00447F34" w:rsidP="00317D79">
      <w:pPr>
        <w:jc w:val="both"/>
        <w:rPr>
          <w:rFonts w:cs="Arial"/>
          <w:sz w:val="22"/>
          <w:szCs w:val="22"/>
          <w:lang w:val="en-GB"/>
        </w:rPr>
      </w:pPr>
      <w:r w:rsidRPr="009E0C4A">
        <w:rPr>
          <w:rFonts w:cs="Arial"/>
          <w:i/>
          <w:sz w:val="22"/>
          <w:szCs w:val="22"/>
          <w:lang w:val="en-GB"/>
        </w:rPr>
        <w:t>Further recalling</w:t>
      </w:r>
      <w:r w:rsidRPr="009E0C4A">
        <w:rPr>
          <w:rFonts w:cs="Arial"/>
          <w:sz w:val="22"/>
          <w:szCs w:val="22"/>
          <w:lang w:val="en-GB"/>
        </w:rPr>
        <w:t xml:space="preserve"> Resolution 11.25 on Ecological Networks, which calls upon Parties to develop transboundary area-based conservation measures including protected area and other area systems, </w:t>
      </w:r>
    </w:p>
    <w:p w:rsidR="00317D79" w:rsidRPr="009E0C4A" w:rsidRDefault="00317D79" w:rsidP="00317D79">
      <w:pPr>
        <w:jc w:val="both"/>
        <w:rPr>
          <w:rFonts w:cs="Arial"/>
          <w:i/>
          <w:sz w:val="22"/>
          <w:szCs w:val="22"/>
          <w:lang w:val="en-GB"/>
        </w:rPr>
      </w:pPr>
    </w:p>
    <w:p w:rsidR="00317D79" w:rsidRPr="009E0C4A" w:rsidRDefault="00317D79" w:rsidP="00317D79">
      <w:pPr>
        <w:jc w:val="both"/>
        <w:rPr>
          <w:rFonts w:cs="Arial"/>
          <w:sz w:val="22"/>
          <w:szCs w:val="22"/>
          <w:lang w:val="en-GB"/>
        </w:rPr>
      </w:pPr>
      <w:r w:rsidRPr="009E0C4A">
        <w:rPr>
          <w:rFonts w:cs="Arial"/>
          <w:i/>
          <w:sz w:val="22"/>
          <w:szCs w:val="22"/>
          <w:lang w:val="en-GB"/>
        </w:rPr>
        <w:t>Acknowledging</w:t>
      </w:r>
      <w:r w:rsidRPr="009E0C4A">
        <w:rPr>
          <w:rFonts w:cs="Arial"/>
          <w:sz w:val="22"/>
          <w:szCs w:val="22"/>
          <w:lang w:val="en-GB"/>
        </w:rPr>
        <w:t xml:space="preserve"> that the globally important marine and coastal biodiversity in the East and Southeast Asia region are currently facing complex threats like habitat change, sea level rise and other impacts of climate change, over-exploitation and pollution,</w:t>
      </w:r>
    </w:p>
    <w:p w:rsidR="00317D79" w:rsidRPr="009E0C4A" w:rsidRDefault="00317D79" w:rsidP="00317D79">
      <w:pPr>
        <w:jc w:val="both"/>
        <w:rPr>
          <w:rFonts w:cs="Arial"/>
          <w:i/>
          <w:sz w:val="22"/>
          <w:szCs w:val="22"/>
          <w:lang w:val="en-GB"/>
        </w:rPr>
      </w:pPr>
    </w:p>
    <w:p w:rsidR="00317D79" w:rsidRPr="009E0C4A" w:rsidRDefault="00317D79" w:rsidP="00317D79">
      <w:pPr>
        <w:jc w:val="both"/>
        <w:rPr>
          <w:rFonts w:cs="Arial"/>
          <w:sz w:val="22"/>
          <w:szCs w:val="22"/>
          <w:lang w:val="en-GB"/>
        </w:rPr>
      </w:pPr>
      <w:r w:rsidRPr="009E0C4A">
        <w:rPr>
          <w:rFonts w:cs="Arial"/>
          <w:i/>
          <w:sz w:val="22"/>
          <w:szCs w:val="22"/>
          <w:lang w:val="en-GB"/>
        </w:rPr>
        <w:t>Acknowledging also</w:t>
      </w:r>
      <w:r w:rsidRPr="009E0C4A">
        <w:rPr>
          <w:rFonts w:cs="Arial"/>
          <w:sz w:val="22"/>
          <w:szCs w:val="22"/>
          <w:lang w:val="en-GB"/>
        </w:rPr>
        <w:t xml:space="preserve"> the importance of effectively managed coastal and marine areas to food and energy security, biodiversity conservation, community health, climate change resilience, sustainable livelihoods and economic growth, which is especially true of the South East and East Asia region, which hosts an immensely rich marine environment, including 30% of the world’s coral reefs, 35% of mangroves, about 18% of seagrass meadows,</w:t>
      </w:r>
    </w:p>
    <w:p w:rsidR="00317D79" w:rsidRPr="009E0C4A" w:rsidRDefault="00317D79" w:rsidP="00317D79">
      <w:pPr>
        <w:jc w:val="both"/>
        <w:rPr>
          <w:rFonts w:cs="Arial"/>
          <w:i/>
          <w:sz w:val="22"/>
          <w:szCs w:val="22"/>
          <w:lang w:val="en-GB"/>
        </w:rPr>
      </w:pPr>
    </w:p>
    <w:p w:rsidR="00317D79" w:rsidRPr="009E0C4A" w:rsidRDefault="00317D79" w:rsidP="00317D79">
      <w:pPr>
        <w:jc w:val="both"/>
        <w:rPr>
          <w:rFonts w:cs="Arial"/>
          <w:sz w:val="22"/>
          <w:szCs w:val="22"/>
          <w:lang w:val="en-GB"/>
        </w:rPr>
      </w:pPr>
      <w:r w:rsidRPr="009E0C4A">
        <w:rPr>
          <w:rFonts w:cs="Arial"/>
          <w:i/>
          <w:sz w:val="22"/>
          <w:szCs w:val="22"/>
          <w:lang w:val="en-GB"/>
        </w:rPr>
        <w:t>Aware</w:t>
      </w:r>
      <w:r w:rsidRPr="009E0C4A">
        <w:rPr>
          <w:rFonts w:cs="Arial"/>
          <w:sz w:val="22"/>
          <w:szCs w:val="22"/>
          <w:lang w:val="en-GB"/>
        </w:rPr>
        <w:t xml:space="preserve"> that effectively managed Marine Protected Areas (MPAs), as provided for in IUCN’s Protected Area Management Categories and Governance types, including highly protected reserves, are important tools that help conserve the critical habitats, ecosystem services and biodiversity that support human life,</w:t>
      </w:r>
    </w:p>
    <w:p w:rsidR="00317D79" w:rsidRPr="009E0C4A" w:rsidRDefault="00317D79" w:rsidP="00317D79">
      <w:pPr>
        <w:jc w:val="both"/>
        <w:rPr>
          <w:rFonts w:cs="Arial"/>
          <w:i/>
          <w:sz w:val="22"/>
          <w:szCs w:val="22"/>
          <w:lang w:val="en-GB"/>
        </w:rPr>
      </w:pPr>
    </w:p>
    <w:p w:rsidR="00317D79" w:rsidRPr="009E0C4A" w:rsidRDefault="00C13D95" w:rsidP="00317D79">
      <w:pPr>
        <w:jc w:val="both"/>
        <w:rPr>
          <w:rFonts w:cs="Arial"/>
          <w:sz w:val="22"/>
          <w:szCs w:val="22"/>
          <w:lang w:val="en-GB"/>
        </w:rPr>
      </w:pPr>
      <w:r w:rsidRPr="009E0C4A">
        <w:rPr>
          <w:rFonts w:cs="Arial"/>
          <w:i/>
          <w:sz w:val="22"/>
          <w:szCs w:val="22"/>
          <w:lang w:val="en-GB"/>
        </w:rPr>
        <w:t>A</w:t>
      </w:r>
      <w:r w:rsidR="00317D79" w:rsidRPr="009E0C4A">
        <w:rPr>
          <w:rFonts w:cs="Arial"/>
          <w:i/>
          <w:sz w:val="22"/>
          <w:szCs w:val="22"/>
          <w:lang w:val="en-GB"/>
        </w:rPr>
        <w:t>ware</w:t>
      </w:r>
      <w:r w:rsidR="00317D79" w:rsidRPr="009E0C4A">
        <w:rPr>
          <w:rFonts w:cs="Arial"/>
          <w:sz w:val="22"/>
          <w:szCs w:val="22"/>
          <w:lang w:val="en-GB"/>
        </w:rPr>
        <w:t xml:space="preserve"> </w:t>
      </w:r>
      <w:r w:rsidRPr="009E0C4A">
        <w:rPr>
          <w:rFonts w:cs="Arial"/>
          <w:sz w:val="22"/>
          <w:szCs w:val="22"/>
          <w:lang w:val="en-GB"/>
        </w:rPr>
        <w:t xml:space="preserve">also </w:t>
      </w:r>
      <w:r w:rsidR="00317D79" w:rsidRPr="009E0C4A">
        <w:rPr>
          <w:rFonts w:cs="Arial"/>
          <w:sz w:val="22"/>
          <w:szCs w:val="22"/>
          <w:lang w:val="en-GB"/>
        </w:rPr>
        <w:t>that the Convention on Biological Diversity recognizes that well effectively governed protected areas are a proven method for safeguarding both habitats and populations of species and for delivering important ecosystem services,</w:t>
      </w:r>
    </w:p>
    <w:p w:rsidR="00317D79" w:rsidRPr="009E0C4A" w:rsidRDefault="00317D79" w:rsidP="00317D79">
      <w:pPr>
        <w:jc w:val="both"/>
        <w:rPr>
          <w:rFonts w:cs="Arial"/>
          <w:i/>
          <w:sz w:val="22"/>
          <w:szCs w:val="22"/>
          <w:lang w:val="en-GB"/>
        </w:rPr>
      </w:pPr>
    </w:p>
    <w:p w:rsidR="00317D79" w:rsidRPr="009E0C4A" w:rsidRDefault="009E0C4A" w:rsidP="00317D79">
      <w:pPr>
        <w:jc w:val="both"/>
        <w:rPr>
          <w:rFonts w:cs="Arial"/>
          <w:sz w:val="22"/>
          <w:szCs w:val="22"/>
          <w:lang w:val="en-GB"/>
        </w:rPr>
      </w:pPr>
      <w:r w:rsidRPr="009E0C4A">
        <w:rPr>
          <w:rFonts w:cs="Arial"/>
          <w:i/>
          <w:sz w:val="22"/>
          <w:szCs w:val="22"/>
          <w:lang w:val="en-GB"/>
        </w:rPr>
        <w:t>Conscious</w:t>
      </w:r>
      <w:r w:rsidR="00317D79" w:rsidRPr="009E0C4A">
        <w:rPr>
          <w:rFonts w:cs="Arial"/>
          <w:sz w:val="22"/>
          <w:szCs w:val="22"/>
          <w:lang w:val="en-GB"/>
        </w:rPr>
        <w:t xml:space="preserve"> that the Protected Areas Gap Analysis in ASEAN region (ACB, 2010), reports severe under-representation of marine habitats and ecosystems and absence of protection of 78%, or more than 6 million hectares, of the 82 identified marine Key Biodiversity Areas (</w:t>
      </w:r>
      <w:proofErr w:type="spellStart"/>
      <w:r w:rsidR="00317D79" w:rsidRPr="009E0C4A">
        <w:rPr>
          <w:rFonts w:cs="Arial"/>
          <w:sz w:val="22"/>
          <w:szCs w:val="22"/>
          <w:lang w:val="en-GB"/>
        </w:rPr>
        <w:t>mKBAs</w:t>
      </w:r>
      <w:proofErr w:type="spellEnd"/>
      <w:r w:rsidR="00317D79" w:rsidRPr="009E0C4A">
        <w:rPr>
          <w:rFonts w:cs="Arial"/>
          <w:sz w:val="22"/>
          <w:szCs w:val="22"/>
          <w:lang w:val="en-GB"/>
        </w:rPr>
        <w:t>),</w:t>
      </w:r>
    </w:p>
    <w:p w:rsidR="00317D79" w:rsidRPr="009E0C4A" w:rsidRDefault="00317D79" w:rsidP="00317D79">
      <w:pPr>
        <w:jc w:val="both"/>
        <w:rPr>
          <w:rFonts w:cs="Arial"/>
          <w:i/>
          <w:sz w:val="22"/>
          <w:szCs w:val="22"/>
          <w:lang w:val="en-GB"/>
        </w:rPr>
      </w:pPr>
    </w:p>
    <w:p w:rsidR="00317D79" w:rsidRPr="009E0C4A" w:rsidRDefault="00317D79" w:rsidP="00317D79">
      <w:pPr>
        <w:jc w:val="both"/>
        <w:rPr>
          <w:rFonts w:cs="Arial"/>
          <w:sz w:val="22"/>
          <w:szCs w:val="22"/>
          <w:lang w:val="en-GB"/>
        </w:rPr>
      </w:pPr>
      <w:r w:rsidRPr="009E0C4A">
        <w:rPr>
          <w:rFonts w:cs="Arial"/>
          <w:i/>
          <w:sz w:val="22"/>
          <w:szCs w:val="22"/>
          <w:lang w:val="en-GB"/>
        </w:rPr>
        <w:t xml:space="preserve">Recognizing </w:t>
      </w:r>
      <w:r w:rsidRPr="009E0C4A">
        <w:rPr>
          <w:rFonts w:cs="Arial"/>
          <w:sz w:val="22"/>
          <w:szCs w:val="22"/>
          <w:lang w:val="en-GB"/>
        </w:rPr>
        <w:t xml:space="preserve">that due to the complexity of environmental issues and the variety of sectors benefiting from the coastal and marine resources, there is a need to adopt an innovative approach that will address environmental as well as socioeconomic issues in a comprehensive and integrated manner </w:t>
      </w:r>
      <w:proofErr w:type="gramStart"/>
      <w:r w:rsidRPr="009E0C4A">
        <w:rPr>
          <w:rFonts w:cs="Arial"/>
          <w:sz w:val="22"/>
          <w:szCs w:val="22"/>
          <w:lang w:val="en-GB"/>
        </w:rPr>
        <w:t>in order to</w:t>
      </w:r>
      <w:proofErr w:type="gramEnd"/>
      <w:r w:rsidRPr="009E0C4A">
        <w:rPr>
          <w:rFonts w:cs="Arial"/>
          <w:sz w:val="22"/>
          <w:szCs w:val="22"/>
          <w:lang w:val="en-GB"/>
        </w:rPr>
        <w:t xml:space="preserve"> promote optimum resource utilization and sustainable coastal and marine development,</w:t>
      </w:r>
    </w:p>
    <w:p w:rsidR="00317D79" w:rsidRPr="009E0C4A" w:rsidRDefault="00317D79" w:rsidP="00317D79">
      <w:pPr>
        <w:jc w:val="both"/>
        <w:rPr>
          <w:rFonts w:cs="Arial"/>
          <w:i/>
          <w:sz w:val="22"/>
          <w:szCs w:val="22"/>
          <w:lang w:val="en-GB"/>
        </w:rPr>
      </w:pPr>
    </w:p>
    <w:p w:rsidR="00317D79" w:rsidRPr="009E0C4A" w:rsidRDefault="00317D79" w:rsidP="00317D79">
      <w:pPr>
        <w:jc w:val="both"/>
        <w:rPr>
          <w:rFonts w:cs="Arial"/>
          <w:sz w:val="22"/>
          <w:szCs w:val="22"/>
          <w:lang w:val="en-GB"/>
        </w:rPr>
      </w:pPr>
      <w:proofErr w:type="gramStart"/>
      <w:r w:rsidRPr="009E0C4A">
        <w:rPr>
          <w:rFonts w:cs="Arial"/>
          <w:i/>
          <w:sz w:val="22"/>
          <w:szCs w:val="22"/>
          <w:lang w:val="en-GB"/>
        </w:rPr>
        <w:t>Also</w:t>
      </w:r>
      <w:proofErr w:type="gramEnd"/>
      <w:r w:rsidRPr="009E0C4A">
        <w:rPr>
          <w:rFonts w:cs="Arial"/>
          <w:i/>
          <w:sz w:val="22"/>
          <w:szCs w:val="22"/>
          <w:lang w:val="en-GB"/>
        </w:rPr>
        <w:t xml:space="preserve"> recognizing</w:t>
      </w:r>
      <w:r w:rsidRPr="009E0C4A">
        <w:rPr>
          <w:rFonts w:cs="Arial"/>
          <w:sz w:val="22"/>
          <w:szCs w:val="22"/>
          <w:lang w:val="en-GB"/>
        </w:rPr>
        <w:t xml:space="preserve"> that Integrated Coastal Management (ICM) is a dynamic process of planning and management involving stakeholders, and requiring the analysis of the environmental and socioeconomic implications of development, the ecosystem processes, and the interrelationships among land-based and marine-related activities across jurisdictions,</w:t>
      </w:r>
    </w:p>
    <w:p w:rsidR="00317D79" w:rsidRPr="009E0C4A" w:rsidRDefault="00317D79" w:rsidP="00317D79">
      <w:pPr>
        <w:jc w:val="both"/>
        <w:rPr>
          <w:rFonts w:cs="Arial"/>
          <w:i/>
          <w:sz w:val="22"/>
          <w:szCs w:val="22"/>
          <w:lang w:val="en-GB"/>
        </w:rPr>
      </w:pPr>
    </w:p>
    <w:p w:rsidR="00317D79" w:rsidRPr="009E0C4A" w:rsidRDefault="00317D79" w:rsidP="00317D79">
      <w:pPr>
        <w:jc w:val="both"/>
        <w:rPr>
          <w:rFonts w:cs="Arial"/>
          <w:sz w:val="22"/>
          <w:szCs w:val="22"/>
          <w:lang w:val="en-GB"/>
        </w:rPr>
      </w:pPr>
      <w:r w:rsidRPr="009E0C4A">
        <w:rPr>
          <w:rFonts w:cs="Arial"/>
          <w:i/>
          <w:sz w:val="22"/>
          <w:szCs w:val="22"/>
          <w:lang w:val="en-GB"/>
        </w:rPr>
        <w:t xml:space="preserve">Recognizing </w:t>
      </w:r>
      <w:r w:rsidRPr="009E0C4A">
        <w:rPr>
          <w:rFonts w:cs="Arial"/>
          <w:sz w:val="22"/>
          <w:szCs w:val="22"/>
          <w:lang w:val="en-GB"/>
        </w:rPr>
        <w:t>further the need to strengthen the institutions and implementation process of existing National Biodiversity Strategies and Action Plans (NBSAPs) and Programme of Work on Protected Areas (</w:t>
      </w:r>
      <w:proofErr w:type="spellStart"/>
      <w:r w:rsidRPr="009E0C4A">
        <w:rPr>
          <w:rFonts w:cs="Arial"/>
          <w:sz w:val="22"/>
          <w:szCs w:val="22"/>
          <w:lang w:val="en-GB"/>
        </w:rPr>
        <w:t>PoWPAs</w:t>
      </w:r>
      <w:proofErr w:type="spellEnd"/>
      <w:r w:rsidRPr="009E0C4A">
        <w:rPr>
          <w:rFonts w:cs="Arial"/>
          <w:sz w:val="22"/>
          <w:szCs w:val="22"/>
          <w:lang w:val="en-GB"/>
        </w:rPr>
        <w:t xml:space="preserve">) through the application of Integrated Coastal Management </w:t>
      </w:r>
      <w:r w:rsidRPr="009E0C4A">
        <w:rPr>
          <w:rFonts w:cs="Arial"/>
          <w:sz w:val="22"/>
          <w:szCs w:val="22"/>
          <w:lang w:val="en-GB"/>
        </w:rPr>
        <w:lastRenderedPageBreak/>
        <w:t xml:space="preserve">(ICM) as a process-oriented, holistic, science and ecosystem-based management system and driver for strengthening public and private sector commitments and investments in biodiversity conservation as it will contribute to: a) mobilizing implementation of NBSAPs and related </w:t>
      </w:r>
      <w:proofErr w:type="spellStart"/>
      <w:r w:rsidRPr="009E0C4A">
        <w:rPr>
          <w:rFonts w:cs="Arial"/>
          <w:sz w:val="22"/>
          <w:szCs w:val="22"/>
          <w:lang w:val="en-GB"/>
        </w:rPr>
        <w:t>PoWPA</w:t>
      </w:r>
      <w:proofErr w:type="spellEnd"/>
      <w:r w:rsidRPr="009E0C4A">
        <w:rPr>
          <w:rFonts w:cs="Arial"/>
          <w:sz w:val="22"/>
          <w:szCs w:val="22"/>
          <w:lang w:val="en-GB"/>
        </w:rPr>
        <w:t xml:space="preserve"> processes, b) preventing the extinction of known marine threatened species (e</w:t>
      </w:r>
      <w:r w:rsidR="009E0C4A">
        <w:rPr>
          <w:rFonts w:cs="Arial"/>
          <w:sz w:val="22"/>
          <w:szCs w:val="22"/>
          <w:lang w:val="en-GB"/>
        </w:rPr>
        <w:t>.</w:t>
      </w:r>
      <w:r w:rsidRPr="009E0C4A">
        <w:rPr>
          <w:rFonts w:cs="Arial"/>
          <w:sz w:val="22"/>
          <w:szCs w:val="22"/>
          <w:lang w:val="en-GB"/>
        </w:rPr>
        <w:t xml:space="preserve">g. Chinese White Dolphin, Irrawaddy Dolphin, </w:t>
      </w:r>
      <w:proofErr w:type="spellStart"/>
      <w:r w:rsidRPr="009E0C4A">
        <w:rPr>
          <w:rFonts w:cs="Arial"/>
          <w:sz w:val="22"/>
          <w:szCs w:val="22"/>
          <w:lang w:val="en-GB"/>
        </w:rPr>
        <w:t>Humphead</w:t>
      </w:r>
      <w:proofErr w:type="spellEnd"/>
      <w:r w:rsidRPr="009E0C4A">
        <w:rPr>
          <w:rFonts w:cs="Arial"/>
          <w:sz w:val="22"/>
          <w:szCs w:val="22"/>
          <w:lang w:val="en-GB"/>
        </w:rPr>
        <w:t xml:space="preserve"> Wrasse, etc.) as a contribution to Aichi Target 12, c) scaling up the coverage and resilience of habitat building species, namely mangroves, seagrasses and coral reefs in areas of globally significant biodiversity and ecosystem services (Aichi Target 11), d) improving the ability of ecosystems to retain their services and adapt to climate changes (Aichi Target 10) that in turn will e) sustain natural marine resource-based livelihoods and eco-businesses,</w:t>
      </w:r>
    </w:p>
    <w:p w:rsidR="00317D79" w:rsidRPr="009E0C4A" w:rsidRDefault="00317D79" w:rsidP="00317D79">
      <w:pPr>
        <w:jc w:val="both"/>
        <w:rPr>
          <w:rFonts w:cs="Arial"/>
          <w:i/>
          <w:sz w:val="22"/>
          <w:szCs w:val="22"/>
          <w:lang w:val="en-GB"/>
        </w:rPr>
      </w:pPr>
    </w:p>
    <w:p w:rsidR="00317D79" w:rsidRPr="009E0C4A" w:rsidRDefault="00317D79" w:rsidP="00317D79">
      <w:pPr>
        <w:jc w:val="both"/>
        <w:rPr>
          <w:rFonts w:cs="Arial"/>
          <w:sz w:val="22"/>
          <w:szCs w:val="22"/>
          <w:lang w:val="en-GB"/>
        </w:rPr>
      </w:pPr>
      <w:r w:rsidRPr="009E0C4A">
        <w:rPr>
          <w:rFonts w:cs="Arial"/>
          <w:i/>
          <w:sz w:val="22"/>
          <w:szCs w:val="22"/>
          <w:lang w:val="en-GB"/>
        </w:rPr>
        <w:t>Noting</w:t>
      </w:r>
      <w:r w:rsidRPr="009E0C4A">
        <w:rPr>
          <w:rFonts w:cs="Arial"/>
          <w:sz w:val="22"/>
          <w:szCs w:val="22"/>
          <w:lang w:val="en-GB"/>
        </w:rPr>
        <w:t xml:space="preserve"> that</w:t>
      </w:r>
      <w:r w:rsidRPr="009E0C4A">
        <w:rPr>
          <w:rFonts w:cs="Arial"/>
          <w:i/>
          <w:sz w:val="22"/>
          <w:szCs w:val="22"/>
          <w:lang w:val="en-GB"/>
        </w:rPr>
        <w:t xml:space="preserve"> </w:t>
      </w:r>
      <w:r w:rsidRPr="009E0C4A">
        <w:rPr>
          <w:rFonts w:cs="Arial"/>
          <w:sz w:val="22"/>
          <w:szCs w:val="22"/>
          <w:lang w:val="en-GB"/>
        </w:rPr>
        <w:t>most of the National Biodiversity Strategies and Action Plans (NBSAPs) of the countries in the ASEAN have proposed priority coastal and marine ecosystems for designation as MPAs, and proposed measures and actions to address ecological representation, connectivity and management effectiveness,</w:t>
      </w:r>
    </w:p>
    <w:p w:rsidR="00317D79" w:rsidRPr="009E0C4A" w:rsidRDefault="00317D79" w:rsidP="00317D79">
      <w:pPr>
        <w:jc w:val="both"/>
        <w:rPr>
          <w:rFonts w:cs="Arial"/>
          <w:i/>
          <w:sz w:val="22"/>
          <w:szCs w:val="22"/>
          <w:lang w:val="en-GB"/>
        </w:rPr>
      </w:pPr>
    </w:p>
    <w:p w:rsidR="00317D79" w:rsidRPr="009E0C4A" w:rsidRDefault="00317D79" w:rsidP="00317D79">
      <w:pPr>
        <w:jc w:val="both"/>
        <w:rPr>
          <w:rFonts w:cs="Arial"/>
          <w:sz w:val="22"/>
          <w:szCs w:val="22"/>
          <w:lang w:val="en-GB"/>
        </w:rPr>
      </w:pPr>
      <w:r w:rsidRPr="009E0C4A">
        <w:rPr>
          <w:rFonts w:cs="Arial"/>
          <w:i/>
          <w:sz w:val="22"/>
          <w:szCs w:val="22"/>
          <w:lang w:val="en-GB"/>
        </w:rPr>
        <w:t xml:space="preserve">Considering </w:t>
      </w:r>
      <w:r w:rsidRPr="009E0C4A">
        <w:rPr>
          <w:rFonts w:cs="Arial"/>
          <w:sz w:val="22"/>
          <w:szCs w:val="22"/>
          <w:lang w:val="en-GB"/>
        </w:rPr>
        <w:t>the need to scale up marine biodiversity conservation in the ASEAN Region, identified on the basis of: a) the marine Key Biodiversity Areas (</w:t>
      </w:r>
      <w:proofErr w:type="spellStart"/>
      <w:r w:rsidRPr="009E0C4A">
        <w:rPr>
          <w:rFonts w:cs="Arial"/>
          <w:sz w:val="22"/>
          <w:szCs w:val="22"/>
          <w:lang w:val="en-GB"/>
        </w:rPr>
        <w:t>mKBA</w:t>
      </w:r>
      <w:proofErr w:type="spellEnd"/>
      <w:r w:rsidRPr="009E0C4A">
        <w:rPr>
          <w:rFonts w:cs="Arial"/>
          <w:sz w:val="22"/>
          <w:szCs w:val="22"/>
          <w:lang w:val="en-GB"/>
        </w:rPr>
        <w:t xml:space="preserve">) process that seeks to address the ecological gaps identified in the current PA identification practice, using criteria of vulnerability and irreplaceability of species, among other equally relevant criteria; b) the Gap Analysis of Protected Areas conducted for the region prepared by ASEAN Centre for Biodiversity highlighting those </w:t>
      </w:r>
      <w:proofErr w:type="spellStart"/>
      <w:r w:rsidRPr="009E0C4A">
        <w:rPr>
          <w:rFonts w:cs="Arial"/>
          <w:sz w:val="22"/>
          <w:szCs w:val="22"/>
          <w:lang w:val="en-GB"/>
        </w:rPr>
        <w:t>mKBAs</w:t>
      </w:r>
      <w:proofErr w:type="spellEnd"/>
      <w:r w:rsidRPr="009E0C4A">
        <w:rPr>
          <w:rFonts w:cs="Arial"/>
          <w:sz w:val="22"/>
          <w:szCs w:val="22"/>
          <w:lang w:val="en-GB"/>
        </w:rPr>
        <w:t xml:space="preserve"> that are unprotected or partially protected; c) the coastal and marine sites identified through the Important Bird Areas (IBAs) process, d) current level of MPA designations in the ASEAN Region (</w:t>
      </w:r>
      <w:r w:rsidRPr="009E0C4A">
        <w:rPr>
          <w:rFonts w:cs="Arial"/>
          <w:color w:val="000000" w:themeColor="text1"/>
          <w:sz w:val="22"/>
          <w:szCs w:val="22"/>
          <w:lang w:val="en-GB"/>
        </w:rPr>
        <w:t xml:space="preserve">2%); </w:t>
      </w:r>
      <w:r w:rsidRPr="009E0C4A">
        <w:rPr>
          <w:rFonts w:cs="Arial"/>
          <w:sz w:val="22"/>
          <w:szCs w:val="22"/>
          <w:lang w:val="en-GB"/>
        </w:rPr>
        <w:t>and e) the connectivity patterns among habitats based on results of studies on larval migration,</w:t>
      </w:r>
    </w:p>
    <w:p w:rsidR="00317D79" w:rsidRPr="009E0C4A" w:rsidRDefault="00317D79" w:rsidP="00317D79">
      <w:pPr>
        <w:jc w:val="both"/>
        <w:rPr>
          <w:rFonts w:cs="Arial"/>
          <w:i/>
          <w:sz w:val="22"/>
          <w:szCs w:val="22"/>
          <w:lang w:val="en-GB"/>
        </w:rPr>
      </w:pPr>
    </w:p>
    <w:p w:rsidR="00317D79" w:rsidRPr="009E0C4A" w:rsidRDefault="00317D79" w:rsidP="00317D79">
      <w:pPr>
        <w:jc w:val="both"/>
        <w:rPr>
          <w:rFonts w:cs="Arial"/>
          <w:sz w:val="22"/>
          <w:szCs w:val="22"/>
          <w:lang w:val="en-GB"/>
        </w:rPr>
      </w:pPr>
      <w:r w:rsidRPr="009E0C4A">
        <w:rPr>
          <w:rFonts w:cs="Arial"/>
          <w:i/>
          <w:sz w:val="22"/>
          <w:szCs w:val="22"/>
          <w:lang w:val="en-GB"/>
        </w:rPr>
        <w:t xml:space="preserve">Seeking </w:t>
      </w:r>
      <w:r w:rsidRPr="009E0C4A">
        <w:rPr>
          <w:rFonts w:cs="Arial"/>
          <w:sz w:val="22"/>
          <w:szCs w:val="22"/>
          <w:lang w:val="en-GB"/>
        </w:rPr>
        <w:t>to strengthen representativeness and connectivity of marine conservation areas using a combination of tools, including Important Bird Areas (IBAs), Key Biodiversity Areas (KBAs), Ecologically and Biologically Significant Areas (EBSAs) and Alliance for Zero Extinction (AZE) sites,</w:t>
      </w:r>
    </w:p>
    <w:p w:rsidR="00317D79" w:rsidRPr="009E0C4A" w:rsidRDefault="00317D79" w:rsidP="00317D79">
      <w:pPr>
        <w:jc w:val="both"/>
        <w:rPr>
          <w:rFonts w:cs="Arial"/>
          <w:i/>
          <w:sz w:val="22"/>
          <w:szCs w:val="22"/>
          <w:lang w:val="en-GB"/>
        </w:rPr>
      </w:pPr>
    </w:p>
    <w:p w:rsidR="00317D79" w:rsidRPr="009E0C4A" w:rsidRDefault="00317D79" w:rsidP="00317D79">
      <w:pPr>
        <w:jc w:val="both"/>
        <w:rPr>
          <w:rFonts w:cs="Arial"/>
          <w:sz w:val="22"/>
          <w:szCs w:val="22"/>
          <w:lang w:val="en-GB"/>
        </w:rPr>
      </w:pPr>
      <w:r w:rsidRPr="009E0C4A">
        <w:rPr>
          <w:rFonts w:cs="Arial"/>
          <w:i/>
          <w:sz w:val="22"/>
          <w:szCs w:val="22"/>
          <w:lang w:val="en-GB"/>
        </w:rPr>
        <w:t>Further seeking</w:t>
      </w:r>
      <w:r w:rsidRPr="009E0C4A">
        <w:rPr>
          <w:rFonts w:cs="Arial"/>
          <w:sz w:val="22"/>
          <w:szCs w:val="22"/>
          <w:lang w:val="en-GB"/>
        </w:rPr>
        <w:t xml:space="preserve"> to conserve at least 10 per cent of coastal and marine areas, consistent with Aichi Target 11, national and international laws, based on the best available scientific information that identify sites critical to the persistence of biodiversity and ecosystem services, </w:t>
      </w:r>
      <w:proofErr w:type="gramStart"/>
      <w:r w:rsidRPr="009E0C4A">
        <w:rPr>
          <w:rFonts w:cs="Arial"/>
          <w:sz w:val="22"/>
          <w:szCs w:val="22"/>
          <w:lang w:val="en-GB"/>
        </w:rPr>
        <w:t>for the purpose of</w:t>
      </w:r>
      <w:proofErr w:type="gramEnd"/>
      <w:r w:rsidRPr="009E0C4A">
        <w:rPr>
          <w:rFonts w:cs="Arial"/>
          <w:sz w:val="22"/>
          <w:szCs w:val="22"/>
          <w:lang w:val="en-GB"/>
        </w:rPr>
        <w:t xml:space="preserve"> sustainably using oceans and marine resources essential to human well-being and social and economic development, </w:t>
      </w:r>
    </w:p>
    <w:p w:rsidR="00317D79" w:rsidRPr="009E0C4A" w:rsidRDefault="00317D79" w:rsidP="00317D79">
      <w:pPr>
        <w:jc w:val="both"/>
        <w:rPr>
          <w:rFonts w:cs="Arial"/>
          <w:i/>
          <w:sz w:val="22"/>
          <w:szCs w:val="22"/>
          <w:lang w:val="en-GB"/>
        </w:rPr>
      </w:pPr>
    </w:p>
    <w:p w:rsidR="00317D79" w:rsidRPr="009E0C4A" w:rsidRDefault="00317D79" w:rsidP="00317D79">
      <w:pPr>
        <w:jc w:val="both"/>
        <w:rPr>
          <w:rFonts w:cs="Arial"/>
          <w:sz w:val="22"/>
          <w:szCs w:val="22"/>
          <w:lang w:val="en-GB"/>
        </w:rPr>
      </w:pPr>
      <w:r w:rsidRPr="009E0C4A">
        <w:rPr>
          <w:rFonts w:cs="Arial"/>
          <w:i/>
          <w:sz w:val="22"/>
          <w:szCs w:val="22"/>
          <w:lang w:val="en-GB"/>
        </w:rPr>
        <w:t>Recognizing</w:t>
      </w:r>
      <w:r w:rsidRPr="009E0C4A">
        <w:rPr>
          <w:rFonts w:cs="Arial"/>
          <w:sz w:val="22"/>
          <w:szCs w:val="22"/>
          <w:lang w:val="en-GB"/>
        </w:rPr>
        <w:t xml:space="preserve"> that the ICM approach will provide an enabling framework for improved governance processes, marked by functionality, transparency, accountability and participation, which will have the effect of increasing community confidence and sense of stewardship over resources.</w:t>
      </w:r>
    </w:p>
    <w:p w:rsidR="00317D79" w:rsidRPr="009E0C4A" w:rsidRDefault="00317D79" w:rsidP="00317D79">
      <w:pPr>
        <w:jc w:val="both"/>
        <w:rPr>
          <w:rFonts w:cs="Arial"/>
          <w:sz w:val="22"/>
          <w:szCs w:val="22"/>
          <w:lang w:val="en-GB"/>
        </w:rPr>
      </w:pPr>
    </w:p>
    <w:p w:rsidR="00317D79" w:rsidRPr="009E0C4A" w:rsidRDefault="00317D79" w:rsidP="00317D79">
      <w:pPr>
        <w:pStyle w:val="WW-Default"/>
        <w:jc w:val="center"/>
        <w:rPr>
          <w:rFonts w:ascii="Arial" w:hAnsi="Arial" w:cs="Arial"/>
          <w:i/>
          <w:iCs/>
          <w:color w:val="auto"/>
          <w:sz w:val="22"/>
          <w:szCs w:val="22"/>
        </w:rPr>
      </w:pPr>
    </w:p>
    <w:p w:rsidR="00317D79" w:rsidRPr="009E0C4A" w:rsidRDefault="00317D79" w:rsidP="00317D79">
      <w:pPr>
        <w:pStyle w:val="WW-Default"/>
        <w:jc w:val="center"/>
        <w:rPr>
          <w:rFonts w:ascii="Arial" w:hAnsi="Arial" w:cs="Arial"/>
          <w:i/>
          <w:iCs/>
          <w:color w:val="auto"/>
          <w:sz w:val="22"/>
          <w:szCs w:val="22"/>
        </w:rPr>
      </w:pPr>
    </w:p>
    <w:p w:rsidR="00317D79" w:rsidRPr="009E0C4A" w:rsidRDefault="00317D79" w:rsidP="00317D79">
      <w:pPr>
        <w:pStyle w:val="WW-Default"/>
        <w:jc w:val="center"/>
        <w:rPr>
          <w:rFonts w:ascii="Arial" w:hAnsi="Arial" w:cs="Arial"/>
          <w:i/>
          <w:iCs/>
          <w:color w:val="auto"/>
          <w:sz w:val="22"/>
          <w:szCs w:val="22"/>
        </w:rPr>
      </w:pPr>
      <w:r w:rsidRPr="009E0C4A">
        <w:rPr>
          <w:rFonts w:ascii="Arial" w:hAnsi="Arial" w:cs="Arial"/>
          <w:i/>
          <w:iCs/>
          <w:color w:val="auto"/>
          <w:sz w:val="22"/>
          <w:szCs w:val="22"/>
        </w:rPr>
        <w:t>The Conference of the Parties to the</w:t>
      </w:r>
    </w:p>
    <w:p w:rsidR="00317D79" w:rsidRPr="009E0C4A" w:rsidRDefault="00317D79" w:rsidP="00317D79">
      <w:pPr>
        <w:pStyle w:val="WW-Default"/>
        <w:jc w:val="center"/>
        <w:rPr>
          <w:rFonts w:ascii="Arial" w:hAnsi="Arial" w:cs="Arial"/>
          <w:color w:val="auto"/>
          <w:sz w:val="22"/>
          <w:szCs w:val="22"/>
        </w:rPr>
      </w:pPr>
      <w:r w:rsidRPr="009E0C4A">
        <w:rPr>
          <w:rFonts w:ascii="Arial" w:hAnsi="Arial" w:cs="Arial"/>
          <w:i/>
          <w:iCs/>
          <w:color w:val="auto"/>
          <w:sz w:val="22"/>
          <w:szCs w:val="22"/>
        </w:rPr>
        <w:t>Convention on the Conservation of Migratory Species of Wild Animals</w:t>
      </w:r>
    </w:p>
    <w:p w:rsidR="00317D79" w:rsidRPr="009E0C4A" w:rsidRDefault="00317D79" w:rsidP="00317D79">
      <w:pPr>
        <w:jc w:val="both"/>
        <w:rPr>
          <w:rFonts w:cs="Arial"/>
          <w:sz w:val="22"/>
          <w:szCs w:val="22"/>
          <w:lang w:val="en-GB"/>
        </w:rPr>
      </w:pPr>
    </w:p>
    <w:p w:rsidR="00317D79" w:rsidRPr="009E0C4A" w:rsidRDefault="00317D79" w:rsidP="00DE3BDF">
      <w:pPr>
        <w:pStyle w:val="ListParagraph"/>
        <w:widowControl/>
        <w:numPr>
          <w:ilvl w:val="0"/>
          <w:numId w:val="10"/>
        </w:numPr>
        <w:autoSpaceDE/>
        <w:autoSpaceDN/>
        <w:adjustRightInd/>
        <w:spacing w:after="200"/>
        <w:ind w:left="426" w:hanging="426"/>
        <w:jc w:val="both"/>
        <w:rPr>
          <w:rFonts w:cs="Arial"/>
          <w:sz w:val="22"/>
          <w:szCs w:val="22"/>
          <w:lang w:val="en-GB"/>
        </w:rPr>
      </w:pPr>
      <w:r w:rsidRPr="009E0C4A">
        <w:rPr>
          <w:rFonts w:cs="Arial"/>
          <w:i/>
          <w:sz w:val="22"/>
          <w:szCs w:val="22"/>
          <w:lang w:val="en-GB"/>
        </w:rPr>
        <w:t xml:space="preserve">Calls </w:t>
      </w:r>
      <w:r w:rsidRPr="009E0C4A">
        <w:rPr>
          <w:rFonts w:cs="Arial"/>
          <w:sz w:val="22"/>
          <w:szCs w:val="22"/>
          <w:lang w:val="en-GB"/>
        </w:rPr>
        <w:t xml:space="preserve">upon Parties to continue development of transboundary area-based conservation measures </w:t>
      </w:r>
      <w:r w:rsidR="00447F34" w:rsidRPr="009E0C4A">
        <w:rPr>
          <w:rFonts w:cs="Arial"/>
          <w:sz w:val="22"/>
          <w:szCs w:val="22"/>
          <w:lang w:val="en-GB"/>
        </w:rPr>
        <w:t>including</w:t>
      </w:r>
      <w:r w:rsidRPr="009E0C4A">
        <w:rPr>
          <w:rFonts w:cs="Arial"/>
          <w:sz w:val="22"/>
          <w:szCs w:val="22"/>
          <w:lang w:val="en-GB"/>
        </w:rPr>
        <w:t xml:space="preserve"> marine protected areas, particularly in the ASEAN Region;</w:t>
      </w:r>
    </w:p>
    <w:p w:rsidR="00317D79" w:rsidRPr="009E0C4A" w:rsidRDefault="00317D79" w:rsidP="00DE3BDF">
      <w:pPr>
        <w:pStyle w:val="ListParagraph"/>
        <w:ind w:left="426" w:hanging="426"/>
        <w:jc w:val="both"/>
        <w:rPr>
          <w:rFonts w:cs="Arial"/>
          <w:sz w:val="22"/>
          <w:szCs w:val="22"/>
          <w:lang w:val="en-GB"/>
        </w:rPr>
      </w:pPr>
    </w:p>
    <w:p w:rsidR="00317D79" w:rsidRPr="009E0C4A" w:rsidRDefault="00317D79" w:rsidP="00DE3BDF">
      <w:pPr>
        <w:pStyle w:val="ListParagraph"/>
        <w:widowControl/>
        <w:numPr>
          <w:ilvl w:val="0"/>
          <w:numId w:val="10"/>
        </w:numPr>
        <w:autoSpaceDE/>
        <w:autoSpaceDN/>
        <w:adjustRightInd/>
        <w:spacing w:after="200"/>
        <w:ind w:left="426" w:hanging="426"/>
        <w:jc w:val="both"/>
        <w:rPr>
          <w:rFonts w:cs="Arial"/>
          <w:sz w:val="22"/>
          <w:szCs w:val="22"/>
          <w:lang w:val="en-GB"/>
        </w:rPr>
      </w:pPr>
      <w:r w:rsidRPr="009E0C4A">
        <w:rPr>
          <w:rFonts w:cs="Arial"/>
          <w:i/>
          <w:sz w:val="22"/>
          <w:szCs w:val="22"/>
          <w:lang w:val="en-GB"/>
        </w:rPr>
        <w:t xml:space="preserve">Encourages </w:t>
      </w:r>
      <w:r w:rsidR="00447F34" w:rsidRPr="009E0C4A">
        <w:rPr>
          <w:rFonts w:cs="Arial"/>
          <w:sz w:val="22"/>
          <w:szCs w:val="22"/>
          <w:lang w:val="en-GB"/>
        </w:rPr>
        <w:t>P</w:t>
      </w:r>
      <w:r w:rsidRPr="009E0C4A">
        <w:rPr>
          <w:rFonts w:cs="Arial"/>
          <w:sz w:val="22"/>
          <w:szCs w:val="22"/>
          <w:lang w:val="en-GB"/>
        </w:rPr>
        <w:t xml:space="preserve">arties and </w:t>
      </w:r>
      <w:r w:rsidR="00447F34" w:rsidRPr="009E0C4A">
        <w:rPr>
          <w:rFonts w:cs="Arial"/>
          <w:sz w:val="22"/>
          <w:szCs w:val="22"/>
          <w:lang w:val="en-GB"/>
        </w:rPr>
        <w:t xml:space="preserve">other </w:t>
      </w:r>
      <w:r w:rsidRPr="009E0C4A">
        <w:rPr>
          <w:rFonts w:cs="Arial"/>
          <w:sz w:val="22"/>
          <w:szCs w:val="22"/>
          <w:lang w:val="en-GB"/>
        </w:rPr>
        <w:t>Range States of the ASEAN Region to participate in promoting marine protected area networks and connectivity that will improve the identification and governance of important sites for migratory species and support internationally coordinated conservation and management, with support from the CMS Scientific Council</w:t>
      </w:r>
      <w:r w:rsidR="00447F34" w:rsidRPr="009E0C4A">
        <w:rPr>
          <w:rFonts w:cs="Arial"/>
          <w:sz w:val="22"/>
          <w:szCs w:val="22"/>
          <w:lang w:val="en-GB"/>
        </w:rPr>
        <w:t>, where appropriate</w:t>
      </w:r>
      <w:r w:rsidRPr="009E0C4A">
        <w:rPr>
          <w:rFonts w:cs="Arial"/>
          <w:sz w:val="22"/>
          <w:szCs w:val="22"/>
          <w:lang w:val="en-GB"/>
        </w:rPr>
        <w:t>;</w:t>
      </w:r>
    </w:p>
    <w:p w:rsidR="00317D79" w:rsidRPr="009E0C4A" w:rsidRDefault="00317D79" w:rsidP="00DE3BDF">
      <w:pPr>
        <w:pStyle w:val="ListParagraph"/>
        <w:ind w:left="426" w:hanging="426"/>
        <w:jc w:val="both"/>
        <w:rPr>
          <w:rFonts w:cs="Arial"/>
          <w:sz w:val="22"/>
          <w:szCs w:val="22"/>
          <w:lang w:val="en-GB"/>
        </w:rPr>
      </w:pPr>
    </w:p>
    <w:p w:rsidR="00317D79" w:rsidRPr="009E0C4A" w:rsidRDefault="00317D79" w:rsidP="00DE3BDF">
      <w:pPr>
        <w:pStyle w:val="ListParagraph"/>
        <w:widowControl/>
        <w:numPr>
          <w:ilvl w:val="0"/>
          <w:numId w:val="10"/>
        </w:numPr>
        <w:autoSpaceDE/>
        <w:autoSpaceDN/>
        <w:adjustRightInd/>
        <w:spacing w:after="200"/>
        <w:ind w:left="426" w:hanging="426"/>
        <w:jc w:val="both"/>
        <w:rPr>
          <w:rFonts w:cs="Arial"/>
          <w:sz w:val="22"/>
          <w:szCs w:val="22"/>
          <w:lang w:val="en-GB"/>
        </w:rPr>
      </w:pPr>
      <w:r w:rsidRPr="009E0C4A">
        <w:rPr>
          <w:rFonts w:cs="Arial"/>
          <w:i/>
          <w:sz w:val="22"/>
          <w:szCs w:val="22"/>
          <w:lang w:val="en-GB"/>
        </w:rPr>
        <w:t>Urges</w:t>
      </w:r>
      <w:r w:rsidRPr="009E0C4A">
        <w:rPr>
          <w:rFonts w:cs="Arial"/>
          <w:sz w:val="22"/>
          <w:szCs w:val="22"/>
          <w:lang w:val="en-GB"/>
        </w:rPr>
        <w:t xml:space="preserve"> Non-Parties to collaborate closely with Parties in the management of transboundary populations of CMS-listed species, including by </w:t>
      </w:r>
      <w:r w:rsidR="00447F34" w:rsidRPr="009E0C4A">
        <w:rPr>
          <w:rFonts w:cs="Arial"/>
          <w:sz w:val="22"/>
          <w:szCs w:val="22"/>
          <w:lang w:val="en-GB"/>
        </w:rPr>
        <w:t xml:space="preserve">acceding to </w:t>
      </w:r>
      <w:r w:rsidRPr="009E0C4A">
        <w:rPr>
          <w:rFonts w:cs="Arial"/>
          <w:sz w:val="22"/>
          <w:szCs w:val="22"/>
          <w:lang w:val="en-GB"/>
        </w:rPr>
        <w:t xml:space="preserve">CMS and its associated </w:t>
      </w:r>
      <w:r w:rsidRPr="009E0C4A">
        <w:rPr>
          <w:rFonts w:cs="Arial"/>
          <w:sz w:val="22"/>
          <w:szCs w:val="22"/>
          <w:lang w:val="en-GB"/>
        </w:rPr>
        <w:lastRenderedPageBreak/>
        <w:t>instruments, to support the development and implementation of ecological networks globally;</w:t>
      </w:r>
    </w:p>
    <w:p w:rsidR="00317D79" w:rsidRPr="009E0C4A" w:rsidRDefault="00317D79" w:rsidP="00DE3BDF">
      <w:pPr>
        <w:pStyle w:val="ListParagraph"/>
        <w:ind w:left="426" w:hanging="426"/>
        <w:jc w:val="both"/>
        <w:rPr>
          <w:rFonts w:cs="Arial"/>
          <w:sz w:val="22"/>
          <w:szCs w:val="22"/>
          <w:lang w:val="en-GB"/>
        </w:rPr>
      </w:pPr>
    </w:p>
    <w:p w:rsidR="00317D79" w:rsidRPr="009E0C4A" w:rsidRDefault="00317D79" w:rsidP="00DE3BDF">
      <w:pPr>
        <w:pStyle w:val="ListParagraph"/>
        <w:widowControl/>
        <w:numPr>
          <w:ilvl w:val="0"/>
          <w:numId w:val="10"/>
        </w:numPr>
        <w:autoSpaceDE/>
        <w:autoSpaceDN/>
        <w:adjustRightInd/>
        <w:spacing w:after="200"/>
        <w:ind w:left="426" w:hanging="426"/>
        <w:jc w:val="both"/>
        <w:rPr>
          <w:rFonts w:cs="Arial"/>
          <w:sz w:val="22"/>
          <w:szCs w:val="22"/>
          <w:lang w:val="en-GB"/>
        </w:rPr>
      </w:pPr>
      <w:r w:rsidRPr="009E0C4A">
        <w:rPr>
          <w:rFonts w:cs="Arial"/>
          <w:i/>
          <w:sz w:val="22"/>
          <w:szCs w:val="22"/>
          <w:lang w:val="en-GB"/>
        </w:rPr>
        <w:t>Urges also</w:t>
      </w:r>
      <w:r w:rsidRPr="009E0C4A">
        <w:rPr>
          <w:rFonts w:cs="Arial"/>
          <w:sz w:val="22"/>
          <w:szCs w:val="22"/>
          <w:lang w:val="en-GB"/>
        </w:rPr>
        <w:t xml:space="preserve"> Parties, in line with Target</w:t>
      </w:r>
      <w:r w:rsidR="00C13D95" w:rsidRPr="009E0C4A">
        <w:rPr>
          <w:rFonts w:cs="Arial"/>
          <w:sz w:val="22"/>
          <w:szCs w:val="22"/>
          <w:lang w:val="en-GB"/>
        </w:rPr>
        <w:t>s</w:t>
      </w:r>
      <w:r w:rsidRPr="009E0C4A">
        <w:rPr>
          <w:rFonts w:cs="Arial"/>
          <w:sz w:val="22"/>
          <w:szCs w:val="22"/>
          <w:lang w:val="en-GB"/>
        </w:rPr>
        <w:t xml:space="preserve"> 10, 11 and 12 of the CBD Strategic Plan for Biodiversity 2011-2020</w:t>
      </w:r>
      <w:r w:rsidR="000C0BC5">
        <w:rPr>
          <w:rFonts w:cs="Arial"/>
          <w:sz w:val="22"/>
          <w:szCs w:val="22"/>
          <w:lang w:val="en-GB"/>
        </w:rPr>
        <w:t xml:space="preserve"> and the related Targets 7, 8 and 10 of the Strategic Plan for Migratory Species 2015 – 2023</w:t>
      </w:r>
      <w:proofErr w:type="gramStart"/>
      <w:r w:rsidR="000C0BC5">
        <w:rPr>
          <w:rFonts w:cs="Arial"/>
          <w:sz w:val="22"/>
          <w:szCs w:val="22"/>
          <w:lang w:val="en-GB"/>
        </w:rPr>
        <w:t xml:space="preserve">) </w:t>
      </w:r>
      <w:r w:rsidRPr="009E0C4A">
        <w:rPr>
          <w:rFonts w:cs="Arial"/>
          <w:sz w:val="22"/>
          <w:szCs w:val="22"/>
          <w:lang w:val="en-GB"/>
        </w:rPr>
        <w:t xml:space="preserve"> to</w:t>
      </w:r>
      <w:proofErr w:type="gramEnd"/>
      <w:r w:rsidRPr="009E0C4A">
        <w:rPr>
          <w:rFonts w:cs="Arial"/>
          <w:sz w:val="22"/>
          <w:szCs w:val="22"/>
          <w:lang w:val="en-GB"/>
        </w:rPr>
        <w:t xml:space="preserve"> expedite efforts in increasing the number and coverage of protected areas, and addressing continued losses in biodiversity, particularly to coastal and marine ecosystems;</w:t>
      </w:r>
    </w:p>
    <w:p w:rsidR="00317D79" w:rsidRPr="009E0C4A" w:rsidRDefault="00317D79" w:rsidP="00DE3BDF">
      <w:pPr>
        <w:pStyle w:val="ListParagraph"/>
        <w:ind w:left="426" w:hanging="426"/>
        <w:jc w:val="both"/>
        <w:rPr>
          <w:rFonts w:cs="Arial"/>
          <w:sz w:val="22"/>
          <w:szCs w:val="22"/>
          <w:lang w:val="en-GB"/>
        </w:rPr>
      </w:pPr>
    </w:p>
    <w:p w:rsidR="00317D79" w:rsidRPr="009E0C4A" w:rsidRDefault="00317D79" w:rsidP="00DE3BDF">
      <w:pPr>
        <w:pStyle w:val="ListParagraph"/>
        <w:widowControl/>
        <w:numPr>
          <w:ilvl w:val="0"/>
          <w:numId w:val="10"/>
        </w:numPr>
        <w:autoSpaceDE/>
        <w:autoSpaceDN/>
        <w:adjustRightInd/>
        <w:spacing w:after="200"/>
        <w:ind w:left="426" w:hanging="426"/>
        <w:jc w:val="both"/>
        <w:rPr>
          <w:rFonts w:cs="Arial"/>
          <w:sz w:val="22"/>
          <w:szCs w:val="22"/>
          <w:lang w:val="en-GB"/>
        </w:rPr>
      </w:pPr>
      <w:r w:rsidRPr="009E0C4A">
        <w:rPr>
          <w:rFonts w:cs="Arial"/>
          <w:i/>
          <w:sz w:val="22"/>
          <w:szCs w:val="22"/>
          <w:lang w:val="en-GB"/>
        </w:rPr>
        <w:t>Further urges</w:t>
      </w:r>
      <w:r w:rsidRPr="009E0C4A">
        <w:rPr>
          <w:rFonts w:cs="Arial"/>
          <w:sz w:val="22"/>
          <w:szCs w:val="22"/>
          <w:lang w:val="en-GB"/>
        </w:rPr>
        <w:t xml:space="preserve"> </w:t>
      </w:r>
      <w:r w:rsidR="00C13D95" w:rsidRPr="009E0C4A">
        <w:rPr>
          <w:rFonts w:cs="Arial"/>
          <w:sz w:val="22"/>
          <w:szCs w:val="22"/>
          <w:lang w:val="en-GB"/>
        </w:rPr>
        <w:t xml:space="preserve">Parties  and </w:t>
      </w:r>
      <w:r w:rsidRPr="009E0C4A">
        <w:rPr>
          <w:rFonts w:cs="Arial"/>
          <w:sz w:val="22"/>
          <w:szCs w:val="22"/>
          <w:lang w:val="en-GB"/>
        </w:rPr>
        <w:t xml:space="preserve">Non-Parties to collaborate with existing region-wide networks which includes the Partnerships in Environmental Management for the Seas of East Asia (PEMSEA), </w:t>
      </w:r>
      <w:r w:rsidR="00C13D95" w:rsidRPr="009E0C4A">
        <w:rPr>
          <w:rFonts w:cs="Arial"/>
          <w:sz w:val="22"/>
          <w:szCs w:val="22"/>
          <w:lang w:val="en-GB"/>
        </w:rPr>
        <w:t xml:space="preserve">the </w:t>
      </w:r>
      <w:r w:rsidRPr="009E0C4A">
        <w:rPr>
          <w:rFonts w:cs="Arial"/>
          <w:sz w:val="22"/>
          <w:szCs w:val="22"/>
          <w:lang w:val="en-GB"/>
        </w:rPr>
        <w:t>Coral Triangle Initiative (CTI), the ASEAN Working Groups on National Conservation and Biodiversity (NCB), Coastal and Marine Environment (CME), Climate Change (CC) and mechanisms associated with ASEAN State Officials for Environment (ASOEN) and various other national and regional programs that promote the establishment of marine protected area networks;</w:t>
      </w:r>
    </w:p>
    <w:p w:rsidR="00317D79" w:rsidRPr="009E0C4A" w:rsidRDefault="00317D79" w:rsidP="00DE3BDF">
      <w:pPr>
        <w:pStyle w:val="ListParagraph"/>
        <w:ind w:left="426" w:hanging="426"/>
        <w:jc w:val="both"/>
        <w:rPr>
          <w:rFonts w:cs="Arial"/>
          <w:sz w:val="22"/>
          <w:szCs w:val="22"/>
          <w:lang w:val="en-GB"/>
        </w:rPr>
      </w:pPr>
    </w:p>
    <w:p w:rsidR="00317D79" w:rsidRPr="009E0C4A" w:rsidRDefault="00317D79" w:rsidP="00DE3BDF">
      <w:pPr>
        <w:pStyle w:val="ListParagraph"/>
        <w:widowControl/>
        <w:numPr>
          <w:ilvl w:val="0"/>
          <w:numId w:val="10"/>
        </w:numPr>
        <w:autoSpaceDE/>
        <w:autoSpaceDN/>
        <w:adjustRightInd/>
        <w:spacing w:after="200"/>
        <w:ind w:left="426" w:hanging="426"/>
        <w:jc w:val="both"/>
        <w:rPr>
          <w:rFonts w:cs="Arial"/>
          <w:sz w:val="22"/>
          <w:szCs w:val="22"/>
          <w:lang w:val="en-GB"/>
        </w:rPr>
      </w:pPr>
      <w:r w:rsidRPr="009E0C4A">
        <w:rPr>
          <w:rFonts w:cs="Arial"/>
          <w:i/>
          <w:sz w:val="22"/>
          <w:szCs w:val="22"/>
          <w:lang w:val="en-GB"/>
        </w:rPr>
        <w:t>Strongly encourages</w:t>
      </w:r>
      <w:r w:rsidRPr="009E0C4A">
        <w:rPr>
          <w:rFonts w:cs="Arial"/>
          <w:sz w:val="22"/>
          <w:szCs w:val="22"/>
          <w:lang w:val="en-GB"/>
        </w:rPr>
        <w:t xml:space="preserve"> the participation of the ASEAN Member States to support government implementation of marine biodiversity conservation actions at the regional, national and local levels and scale-up the coverage and effectiveness of marine conservation areas and threatened species protection in South East and East Asia in support of  the implementation of regional strategies and plans of action that address issues relating to the governance of coasts and oceans including but not limited to the  ASEAN Heritage Parks Programme, the Coral Triangle Initiative on Coral Reefs Fisheries and Food Security Regional Plan of Action (CTI-CFF RPOA)  and the  Sustainable Development Strategy for the Seas of East Asia (SDS-SEA).</w:t>
      </w:r>
    </w:p>
    <w:p w:rsidR="007910DD" w:rsidRPr="009E0C4A" w:rsidRDefault="007910DD" w:rsidP="000C0BC5">
      <w:pPr>
        <w:widowControl/>
        <w:autoSpaceDE/>
        <w:adjustRightInd/>
        <w:jc w:val="right"/>
        <w:rPr>
          <w:rFonts w:cs="Arial"/>
          <w:b/>
          <w:bCs/>
          <w:caps/>
          <w:sz w:val="22"/>
          <w:szCs w:val="22"/>
          <w:lang w:val="en-GB"/>
        </w:rPr>
      </w:pPr>
    </w:p>
    <w:sectPr w:rsidR="007910DD" w:rsidRPr="009E0C4A" w:rsidSect="00DE3BDF">
      <w:headerReference w:type="even" r:id="rId15"/>
      <w:head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2A" w:rsidRDefault="00AE722A">
      <w:r>
        <w:separator/>
      </w:r>
    </w:p>
  </w:endnote>
  <w:endnote w:type="continuationSeparator" w:id="0">
    <w:p w:rsidR="00AE722A" w:rsidRDefault="00AE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DE3BDF">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DE3BDF" w:rsidRDefault="00354A9C" w:rsidP="00056DC1">
    <w:pPr>
      <w:pStyle w:val="Footer"/>
      <w:ind w:right="-367"/>
      <w:jc w:val="center"/>
      <w:rPr>
        <w:rFonts w:cs="Arial"/>
        <w:szCs w:val="18"/>
      </w:rPr>
    </w:pPr>
    <w:r w:rsidRPr="00DE3BDF">
      <w:rPr>
        <w:rFonts w:cs="Arial"/>
        <w:szCs w:val="18"/>
      </w:rPr>
      <w:fldChar w:fldCharType="begin"/>
    </w:r>
    <w:r w:rsidRPr="00DE3BDF">
      <w:rPr>
        <w:rFonts w:cs="Arial"/>
        <w:szCs w:val="18"/>
      </w:rPr>
      <w:instrText xml:space="preserve"> PAGE   \* MERGEFORMAT </w:instrText>
    </w:r>
    <w:r w:rsidRPr="00DE3BDF">
      <w:rPr>
        <w:rFonts w:cs="Arial"/>
        <w:szCs w:val="18"/>
      </w:rPr>
      <w:fldChar w:fldCharType="separate"/>
    </w:r>
    <w:r w:rsidR="00DE3BDF">
      <w:rPr>
        <w:rFonts w:cs="Arial"/>
        <w:noProof/>
        <w:szCs w:val="18"/>
      </w:rPr>
      <w:t>3</w:t>
    </w:r>
    <w:r w:rsidRPr="00DE3BDF">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E3BDF" w:rsidRDefault="00015E07" w:rsidP="00015E07">
    <w:pPr>
      <w:pStyle w:val="Footer"/>
      <w:tabs>
        <w:tab w:val="clear" w:pos="8640"/>
        <w:tab w:val="right" w:pos="9083"/>
      </w:tabs>
      <w:jc w:val="center"/>
      <w:rPr>
        <w:rFonts w:cs="Arial"/>
        <w:szCs w:val="18"/>
      </w:rPr>
    </w:pPr>
    <w:r w:rsidRPr="00DE3BDF">
      <w:rPr>
        <w:rFonts w:cs="Arial"/>
        <w:noProof/>
        <w:szCs w:val="18"/>
      </w:rPr>
      <w:tab/>
    </w:r>
    <w:r w:rsidRPr="00DE3BDF">
      <w:rPr>
        <w:rFonts w:cs="Arial"/>
        <w:szCs w:val="18"/>
      </w:rPr>
      <w:fldChar w:fldCharType="begin"/>
    </w:r>
    <w:r w:rsidRPr="00DE3BDF">
      <w:rPr>
        <w:rFonts w:cs="Arial"/>
        <w:szCs w:val="18"/>
      </w:rPr>
      <w:instrText xml:space="preserve"> PAGE   \* MERGEFORMAT </w:instrText>
    </w:r>
    <w:r w:rsidRPr="00DE3BDF">
      <w:rPr>
        <w:rFonts w:cs="Arial"/>
        <w:szCs w:val="18"/>
      </w:rPr>
      <w:fldChar w:fldCharType="separate"/>
    </w:r>
    <w:r w:rsidR="00DE3BDF">
      <w:rPr>
        <w:rFonts w:cs="Arial"/>
        <w:noProof/>
        <w:szCs w:val="18"/>
      </w:rPr>
      <w:t>2</w:t>
    </w:r>
    <w:r w:rsidRPr="00DE3BDF">
      <w:rPr>
        <w:rFonts w:cs="Arial"/>
        <w:noProof/>
        <w:szCs w:val="18"/>
      </w:rPr>
      <w:fldChar w:fldCharType="end"/>
    </w:r>
    <w:r w:rsidRPr="00DE3BDF">
      <w:rPr>
        <w:rFonts w:cs="Arial"/>
        <w:noProof/>
        <w:szCs w:val="18"/>
      </w:rPr>
      <w:tab/>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2A" w:rsidRDefault="00AE722A">
      <w:r>
        <w:separator/>
      </w:r>
    </w:p>
  </w:footnote>
  <w:footnote w:type="continuationSeparator" w:id="0">
    <w:p w:rsidR="00AE722A" w:rsidRDefault="00AE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00BB7AB8">
      <w:rPr>
        <w:rFonts w:cs="Arial"/>
        <w:b w:val="0"/>
        <w:i/>
        <w:sz w:val="18"/>
        <w:szCs w:val="18"/>
        <w:lang w:val="en-US"/>
      </w:rPr>
      <w:t>/</w:t>
    </w:r>
    <w:proofErr w:type="spellStart"/>
    <w:r w:rsidR="00BB7AB8">
      <w:rPr>
        <w:rFonts w:cs="Arial"/>
        <w:b w:val="0"/>
        <w:i/>
        <w:sz w:val="18"/>
        <w:szCs w:val="18"/>
        <w:lang w:val="en-US"/>
      </w:rPr>
      <w:t>Doc.x.x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79" w:rsidRPr="00D605A4" w:rsidRDefault="00317D79" w:rsidP="00317D79">
    <w:pPr>
      <w:pStyle w:val="Header"/>
      <w:pBdr>
        <w:bottom w:val="single" w:sz="4" w:space="1" w:color="auto"/>
      </w:pBdr>
      <w:jc w:val="right"/>
      <w:rPr>
        <w:rFonts w:cs="Arial"/>
        <w:i/>
        <w:szCs w:val="18"/>
        <w:lang w:val="de-DE"/>
      </w:rPr>
    </w:pPr>
    <w:r w:rsidRPr="00D605A4">
      <w:rPr>
        <w:rFonts w:cs="Arial"/>
        <w:i/>
        <w:szCs w:val="18"/>
        <w:lang w:val="de-DE"/>
      </w:rPr>
      <w:t>UNEP/CMS/COP12/Doc.</w:t>
    </w:r>
    <w:r>
      <w:rPr>
        <w:rFonts w:cs="Arial"/>
        <w:i/>
        <w:szCs w:val="18"/>
        <w:lang w:val="de-DE"/>
      </w:rPr>
      <w:t>24.2.</w:t>
    </w:r>
    <w:r w:rsidRPr="00D605A4">
      <w:rPr>
        <w:rFonts w:cs="Arial"/>
        <w:i/>
        <w:szCs w:val="18"/>
        <w:highlight w:val="yellow"/>
        <w:lang w:val="de-DE"/>
      </w:rPr>
      <w:t>XX</w:t>
    </w:r>
  </w:p>
  <w:p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19" w:rsidRDefault="00745222" w:rsidP="00894D19">
    <w:pPr>
      <w:pStyle w:val="Header"/>
    </w:pPr>
    <w:r>
      <w:rPr>
        <w:noProof/>
        <w:lang w:val="en-US"/>
      </w:rPr>
      <w:drawing>
        <wp:anchor distT="0" distB="0" distL="114300" distR="114300" simplePos="0" relativeHeight="251657216" behindDoc="1" locked="0" layoutInCell="1" allowOverlap="1" wp14:anchorId="06911676" wp14:editId="071767D7">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27F754B6" wp14:editId="56798708">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DF" w:rsidRPr="00D605A4" w:rsidRDefault="00DE3BDF" w:rsidP="00DE3BDF">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24.4.9</w:t>
    </w:r>
  </w:p>
  <w:p w:rsidR="00DE3BDF" w:rsidRPr="00DE3BDF" w:rsidRDefault="00DE3BDF" w:rsidP="00DE3B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DF" w:rsidRPr="00D605A4" w:rsidRDefault="00DE3BDF" w:rsidP="00DE3BDF">
    <w:pPr>
      <w:pStyle w:val="Header"/>
      <w:pBdr>
        <w:bottom w:val="single" w:sz="4" w:space="1" w:color="auto"/>
      </w:pBdr>
      <w:jc w:val="right"/>
      <w:rPr>
        <w:rFonts w:cs="Arial"/>
        <w:i/>
        <w:szCs w:val="18"/>
        <w:lang w:val="de-DE"/>
      </w:rPr>
    </w:pPr>
    <w:r w:rsidRPr="00D605A4">
      <w:rPr>
        <w:rFonts w:cs="Arial"/>
        <w:i/>
        <w:szCs w:val="18"/>
        <w:lang w:val="de-DE"/>
      </w:rPr>
      <w:t>UNEP/CMS/COP12/Doc.</w:t>
    </w:r>
    <w:r>
      <w:rPr>
        <w:rFonts w:cs="Arial"/>
        <w:i/>
        <w:szCs w:val="18"/>
        <w:lang w:val="de-DE"/>
      </w:rPr>
      <w:t>24.4.9</w:t>
    </w:r>
  </w:p>
  <w:p w:rsidR="00DE3BDF" w:rsidRPr="00497E66" w:rsidRDefault="00DE3BDF"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rsidP="00DE3BDF">
    <w:pPr>
      <w:pStyle w:val="Header"/>
      <w:pBdr>
        <w:bottom w:val="single" w:sz="4" w:space="1" w:color="auto"/>
      </w:pBdr>
      <w:rPr>
        <w:rFonts w:cs="Arial"/>
        <w:i/>
        <w:szCs w:val="18"/>
        <w:lang w:val="de-DE"/>
      </w:rPr>
    </w:pPr>
    <w:r w:rsidRPr="00D605A4">
      <w:rPr>
        <w:rFonts w:cs="Arial"/>
        <w:i/>
        <w:szCs w:val="18"/>
        <w:lang w:val="de-DE"/>
      </w:rPr>
      <w:t>UNEP/CMS/COP12/Doc.</w:t>
    </w:r>
    <w:r w:rsidR="00DE3BDF">
      <w:rPr>
        <w:rFonts w:cs="Arial"/>
        <w:i/>
        <w:szCs w:val="18"/>
        <w:lang w:val="de-DE"/>
      </w:rPr>
      <w:t>24.4.9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7FFE11D0"/>
    <w:multiLevelType w:val="hybridMultilevel"/>
    <w:tmpl w:val="C9F8B5CE"/>
    <w:lvl w:ilvl="0" w:tplc="9BD0082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C53"/>
    <w:rsid w:val="000518C2"/>
    <w:rsid w:val="00056DC1"/>
    <w:rsid w:val="00060156"/>
    <w:rsid w:val="00070BBC"/>
    <w:rsid w:val="00073C92"/>
    <w:rsid w:val="00080F03"/>
    <w:rsid w:val="000900E1"/>
    <w:rsid w:val="0009076A"/>
    <w:rsid w:val="000B6220"/>
    <w:rsid w:val="000C0BC5"/>
    <w:rsid w:val="000C21B1"/>
    <w:rsid w:val="000C3C87"/>
    <w:rsid w:val="000C7460"/>
    <w:rsid w:val="000E01C1"/>
    <w:rsid w:val="000E09AD"/>
    <w:rsid w:val="000F0B93"/>
    <w:rsid w:val="000F1156"/>
    <w:rsid w:val="000F52BA"/>
    <w:rsid w:val="001111A9"/>
    <w:rsid w:val="001151A3"/>
    <w:rsid w:val="001245DF"/>
    <w:rsid w:val="00130BFD"/>
    <w:rsid w:val="001419C7"/>
    <w:rsid w:val="00150AC4"/>
    <w:rsid w:val="00162D88"/>
    <w:rsid w:val="00166ABA"/>
    <w:rsid w:val="001743FD"/>
    <w:rsid w:val="001764E6"/>
    <w:rsid w:val="001808F1"/>
    <w:rsid w:val="00197CF5"/>
    <w:rsid w:val="001A33B6"/>
    <w:rsid w:val="001C069F"/>
    <w:rsid w:val="001C6038"/>
    <w:rsid w:val="001F0962"/>
    <w:rsid w:val="001F60A1"/>
    <w:rsid w:val="00200759"/>
    <w:rsid w:val="00200A67"/>
    <w:rsid w:val="00201F88"/>
    <w:rsid w:val="00202332"/>
    <w:rsid w:val="002063AA"/>
    <w:rsid w:val="002210F4"/>
    <w:rsid w:val="00224DAD"/>
    <w:rsid w:val="00254721"/>
    <w:rsid w:val="00257709"/>
    <w:rsid w:val="00263159"/>
    <w:rsid w:val="002779F7"/>
    <w:rsid w:val="00287939"/>
    <w:rsid w:val="002A0A1C"/>
    <w:rsid w:val="002A380C"/>
    <w:rsid w:val="002C187A"/>
    <w:rsid w:val="002C20F1"/>
    <w:rsid w:val="002D2863"/>
    <w:rsid w:val="002D5EC0"/>
    <w:rsid w:val="002E3DEA"/>
    <w:rsid w:val="002E7CC2"/>
    <w:rsid w:val="002F50FF"/>
    <w:rsid w:val="002F6A9E"/>
    <w:rsid w:val="002F6F9B"/>
    <w:rsid w:val="00317D79"/>
    <w:rsid w:val="003331C6"/>
    <w:rsid w:val="003407F9"/>
    <w:rsid w:val="00345044"/>
    <w:rsid w:val="00351095"/>
    <w:rsid w:val="00354A9C"/>
    <w:rsid w:val="00364973"/>
    <w:rsid w:val="00364C8C"/>
    <w:rsid w:val="00372347"/>
    <w:rsid w:val="00372E81"/>
    <w:rsid w:val="003779D4"/>
    <w:rsid w:val="00382398"/>
    <w:rsid w:val="003909E4"/>
    <w:rsid w:val="003A3E30"/>
    <w:rsid w:val="003A70FE"/>
    <w:rsid w:val="003B0C35"/>
    <w:rsid w:val="003B219E"/>
    <w:rsid w:val="003E21B3"/>
    <w:rsid w:val="00411E65"/>
    <w:rsid w:val="00412DE9"/>
    <w:rsid w:val="00420040"/>
    <w:rsid w:val="00423388"/>
    <w:rsid w:val="00426D73"/>
    <w:rsid w:val="00447F34"/>
    <w:rsid w:val="00454913"/>
    <w:rsid w:val="00457441"/>
    <w:rsid w:val="004579F6"/>
    <w:rsid w:val="004656D0"/>
    <w:rsid w:val="00465B53"/>
    <w:rsid w:val="00473ABD"/>
    <w:rsid w:val="00482DCA"/>
    <w:rsid w:val="0048613F"/>
    <w:rsid w:val="00497E66"/>
    <w:rsid w:val="004A0DA8"/>
    <w:rsid w:val="004B6CFD"/>
    <w:rsid w:val="004C204D"/>
    <w:rsid w:val="004D0436"/>
    <w:rsid w:val="004D0936"/>
    <w:rsid w:val="004E0014"/>
    <w:rsid w:val="004E7ED7"/>
    <w:rsid w:val="004F243D"/>
    <w:rsid w:val="004F3D8D"/>
    <w:rsid w:val="005076F1"/>
    <w:rsid w:val="00512B91"/>
    <w:rsid w:val="005158EB"/>
    <w:rsid w:val="0052082F"/>
    <w:rsid w:val="00542FCC"/>
    <w:rsid w:val="0055762E"/>
    <w:rsid w:val="00565445"/>
    <w:rsid w:val="00575334"/>
    <w:rsid w:val="00593736"/>
    <w:rsid w:val="005A3181"/>
    <w:rsid w:val="005B0F06"/>
    <w:rsid w:val="005B6141"/>
    <w:rsid w:val="005C3F15"/>
    <w:rsid w:val="005E6354"/>
    <w:rsid w:val="005F3989"/>
    <w:rsid w:val="005F4303"/>
    <w:rsid w:val="005F7B20"/>
    <w:rsid w:val="00601B52"/>
    <w:rsid w:val="0060280B"/>
    <w:rsid w:val="00604422"/>
    <w:rsid w:val="00620809"/>
    <w:rsid w:val="00623F5D"/>
    <w:rsid w:val="00651341"/>
    <w:rsid w:val="00666F8B"/>
    <w:rsid w:val="006815B2"/>
    <w:rsid w:val="006826E0"/>
    <w:rsid w:val="00682B31"/>
    <w:rsid w:val="006864E1"/>
    <w:rsid w:val="00691001"/>
    <w:rsid w:val="006B1037"/>
    <w:rsid w:val="006E56AD"/>
    <w:rsid w:val="006E5763"/>
    <w:rsid w:val="007101BB"/>
    <w:rsid w:val="00713308"/>
    <w:rsid w:val="00725A91"/>
    <w:rsid w:val="00727E01"/>
    <w:rsid w:val="00745222"/>
    <w:rsid w:val="00752E19"/>
    <w:rsid w:val="00757614"/>
    <w:rsid w:val="007728B4"/>
    <w:rsid w:val="0077622E"/>
    <w:rsid w:val="00777FE4"/>
    <w:rsid w:val="0079075D"/>
    <w:rsid w:val="007910DD"/>
    <w:rsid w:val="00794C7C"/>
    <w:rsid w:val="007C1468"/>
    <w:rsid w:val="007C41D7"/>
    <w:rsid w:val="007F16FB"/>
    <w:rsid w:val="007F1BBA"/>
    <w:rsid w:val="0081600F"/>
    <w:rsid w:val="0082722D"/>
    <w:rsid w:val="008274F7"/>
    <w:rsid w:val="008441F9"/>
    <w:rsid w:val="00846A99"/>
    <w:rsid w:val="008641D1"/>
    <w:rsid w:val="00870FB9"/>
    <w:rsid w:val="00872F67"/>
    <w:rsid w:val="008879E9"/>
    <w:rsid w:val="00893346"/>
    <w:rsid w:val="00894D19"/>
    <w:rsid w:val="008A0D8D"/>
    <w:rsid w:val="008B1A69"/>
    <w:rsid w:val="008C1A39"/>
    <w:rsid w:val="008D1B43"/>
    <w:rsid w:val="008E7DFB"/>
    <w:rsid w:val="008F7327"/>
    <w:rsid w:val="0090059C"/>
    <w:rsid w:val="009076C8"/>
    <w:rsid w:val="00913EB3"/>
    <w:rsid w:val="00915BBE"/>
    <w:rsid w:val="00921D62"/>
    <w:rsid w:val="00922791"/>
    <w:rsid w:val="00927CD6"/>
    <w:rsid w:val="00933572"/>
    <w:rsid w:val="009363C7"/>
    <w:rsid w:val="00972D36"/>
    <w:rsid w:val="00973BFB"/>
    <w:rsid w:val="00973EBD"/>
    <w:rsid w:val="00980406"/>
    <w:rsid w:val="00994621"/>
    <w:rsid w:val="00996D85"/>
    <w:rsid w:val="009A2C8F"/>
    <w:rsid w:val="009A7B65"/>
    <w:rsid w:val="009D2AD6"/>
    <w:rsid w:val="009D3A07"/>
    <w:rsid w:val="009D4711"/>
    <w:rsid w:val="009D5DA6"/>
    <w:rsid w:val="009E0C4A"/>
    <w:rsid w:val="009E3A84"/>
    <w:rsid w:val="009E72D7"/>
    <w:rsid w:val="009E7ACC"/>
    <w:rsid w:val="009F450E"/>
    <w:rsid w:val="009F54DA"/>
    <w:rsid w:val="00A06984"/>
    <w:rsid w:val="00A1324E"/>
    <w:rsid w:val="00A27BE3"/>
    <w:rsid w:val="00A339B9"/>
    <w:rsid w:val="00A40EDF"/>
    <w:rsid w:val="00A45C5C"/>
    <w:rsid w:val="00A568DF"/>
    <w:rsid w:val="00A73A79"/>
    <w:rsid w:val="00A93C52"/>
    <w:rsid w:val="00AA7368"/>
    <w:rsid w:val="00AB4FF9"/>
    <w:rsid w:val="00AE722A"/>
    <w:rsid w:val="00AE7B21"/>
    <w:rsid w:val="00AF1980"/>
    <w:rsid w:val="00AF2021"/>
    <w:rsid w:val="00B016F8"/>
    <w:rsid w:val="00B025B7"/>
    <w:rsid w:val="00B471BD"/>
    <w:rsid w:val="00B50C2D"/>
    <w:rsid w:val="00B64904"/>
    <w:rsid w:val="00B76349"/>
    <w:rsid w:val="00BA60CE"/>
    <w:rsid w:val="00BB7AB8"/>
    <w:rsid w:val="00BC5607"/>
    <w:rsid w:val="00BE0D1D"/>
    <w:rsid w:val="00BE2448"/>
    <w:rsid w:val="00BE24D4"/>
    <w:rsid w:val="00BF2BE7"/>
    <w:rsid w:val="00BF4512"/>
    <w:rsid w:val="00C05102"/>
    <w:rsid w:val="00C13D95"/>
    <w:rsid w:val="00C13FA6"/>
    <w:rsid w:val="00C169ED"/>
    <w:rsid w:val="00C44645"/>
    <w:rsid w:val="00C5484D"/>
    <w:rsid w:val="00C618F2"/>
    <w:rsid w:val="00C73207"/>
    <w:rsid w:val="00C7602A"/>
    <w:rsid w:val="00C82160"/>
    <w:rsid w:val="00C82ED9"/>
    <w:rsid w:val="00C87D68"/>
    <w:rsid w:val="00C9281B"/>
    <w:rsid w:val="00CA367A"/>
    <w:rsid w:val="00CB1D26"/>
    <w:rsid w:val="00CC4C21"/>
    <w:rsid w:val="00CC57AD"/>
    <w:rsid w:val="00CD0FE9"/>
    <w:rsid w:val="00CD7355"/>
    <w:rsid w:val="00CE5B83"/>
    <w:rsid w:val="00CF6EDD"/>
    <w:rsid w:val="00D03D59"/>
    <w:rsid w:val="00D05922"/>
    <w:rsid w:val="00D107A3"/>
    <w:rsid w:val="00D147EA"/>
    <w:rsid w:val="00D21383"/>
    <w:rsid w:val="00D2741B"/>
    <w:rsid w:val="00D42AE1"/>
    <w:rsid w:val="00D46C91"/>
    <w:rsid w:val="00D605A4"/>
    <w:rsid w:val="00D61B13"/>
    <w:rsid w:val="00D7746A"/>
    <w:rsid w:val="00D838FE"/>
    <w:rsid w:val="00D8406F"/>
    <w:rsid w:val="00D859C7"/>
    <w:rsid w:val="00D9021F"/>
    <w:rsid w:val="00D95A80"/>
    <w:rsid w:val="00DA1080"/>
    <w:rsid w:val="00DA12C2"/>
    <w:rsid w:val="00DB30A6"/>
    <w:rsid w:val="00DD6A9E"/>
    <w:rsid w:val="00DE3BDF"/>
    <w:rsid w:val="00E23367"/>
    <w:rsid w:val="00E31B92"/>
    <w:rsid w:val="00E475D4"/>
    <w:rsid w:val="00E606CF"/>
    <w:rsid w:val="00E74D1C"/>
    <w:rsid w:val="00E8776E"/>
    <w:rsid w:val="00E9237A"/>
    <w:rsid w:val="00EA0B88"/>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347A"/>
    <w:rsid w:val="00F7503A"/>
    <w:rsid w:val="00F81FEF"/>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CBF79E"/>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WW-Default">
    <w:name w:val="WW-Default"/>
    <w:basedOn w:val="Normal"/>
    <w:rsid w:val="00317D79"/>
    <w:pPr>
      <w:widowControl/>
      <w:suppressAutoHyphens/>
      <w:autoSpaceDN/>
      <w:adjustRightInd/>
    </w:pPr>
    <w:rPr>
      <w:rFonts w:ascii="Times New Roman" w:eastAsiaTheme="minorEastAsia" w:hAnsi="Times New Roman"/>
      <w:color w:val="000000"/>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DE39B-AA80-4651-86EC-6F800B72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4</Pages>
  <Words>1301</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2017-06-01T17:34:00Z</cp:lastPrinted>
  <dcterms:created xsi:type="dcterms:W3CDTF">2017-06-07T11:21:00Z</dcterms:created>
  <dcterms:modified xsi:type="dcterms:W3CDTF">2017-06-07T11:21:00Z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