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014" w:type="dxa"/>
        <w:tblBorders>
          <w:insideV w:val="single" w:sz="12" w:space="0" w:color="auto"/>
        </w:tblBorders>
        <w:tblLayout w:type="fixed"/>
        <w:tblCellMar>
          <w:top w:w="198" w:type="dxa"/>
        </w:tblCellMar>
        <w:tblLook w:val="0000" w:firstRow="0" w:lastRow="0" w:firstColumn="0" w:lastColumn="0" w:noHBand="0" w:noVBand="0"/>
      </w:tblPr>
      <w:tblGrid>
        <w:gridCol w:w="1441"/>
        <w:gridCol w:w="3660"/>
        <w:gridCol w:w="3913"/>
      </w:tblGrid>
      <w:tr w:rsidR="003C6B55" w:rsidRPr="00FD56E6" w14:paraId="31C1001A" w14:textId="77777777" w:rsidTr="002620DE">
        <w:trPr>
          <w:cantSplit/>
          <w:trHeight w:val="1022"/>
        </w:trPr>
        <w:tc>
          <w:tcPr>
            <w:tcW w:w="9014" w:type="dxa"/>
            <w:gridSpan w:val="3"/>
            <w:tcBorders>
              <w:bottom w:val="single" w:sz="12" w:space="0" w:color="auto"/>
            </w:tcBorders>
            <w:tcMar>
              <w:top w:w="85" w:type="dxa"/>
            </w:tcMar>
          </w:tcPr>
          <w:p w14:paraId="669D0B22" w14:textId="2AFD918D" w:rsidR="00CE7534" w:rsidRPr="00CE7534" w:rsidRDefault="003853A2" w:rsidP="00CE7534">
            <w:pPr>
              <w:tabs>
                <w:tab w:val="left" w:pos="-1057"/>
                <w:tab w:val="left" w:pos="-720"/>
                <w:tab w:val="left" w:pos="0"/>
                <w:tab w:val="left" w:pos="141"/>
                <w:tab w:val="left" w:pos="720"/>
                <w:tab w:val="right" w:pos="8955"/>
              </w:tabs>
              <w:jc w:val="both"/>
              <w:rPr>
                <w:sz w:val="22"/>
                <w:szCs w:val="22"/>
                <w:lang w:val="en-GB"/>
              </w:rPr>
            </w:pPr>
            <w:r>
              <w:rPr>
                <w:noProof/>
                <w:sz w:val="22"/>
                <w:szCs w:val="22"/>
                <w:lang w:val="en-GB"/>
              </w:rPr>
              <w:drawing>
                <wp:anchor distT="0" distB="0" distL="114300" distR="114300" simplePos="0" relativeHeight="251671552" behindDoc="0" locked="0" layoutInCell="1" allowOverlap="1" wp14:anchorId="778279E1" wp14:editId="7D577BDF">
                  <wp:simplePos x="0" y="0"/>
                  <wp:positionH relativeFrom="column">
                    <wp:posOffset>-68580</wp:posOffset>
                  </wp:positionH>
                  <wp:positionV relativeFrom="paragraph">
                    <wp:posOffset>161925</wp:posOffset>
                  </wp:positionV>
                  <wp:extent cx="78105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B4C" w:rsidRPr="00F9613E">
              <w:rPr>
                <w:noProof/>
              </w:rPr>
              <w:drawing>
                <wp:anchor distT="0" distB="0" distL="114300" distR="114300" simplePos="0" relativeHeight="251670528" behindDoc="0" locked="0" layoutInCell="1" allowOverlap="1" wp14:anchorId="53D76870" wp14:editId="6AC8DF92">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6B55" w:rsidRPr="007B4024" w14:paraId="472DD153" w14:textId="77777777" w:rsidTr="002620DE">
        <w:trPr>
          <w:trHeight w:val="1340"/>
        </w:trPr>
        <w:tc>
          <w:tcPr>
            <w:tcW w:w="1441" w:type="dxa"/>
            <w:tcBorders>
              <w:top w:val="single" w:sz="12" w:space="0" w:color="auto"/>
              <w:bottom w:val="single" w:sz="12" w:space="0" w:color="auto"/>
              <w:right w:val="nil"/>
            </w:tcBorders>
            <w:tcMar>
              <w:top w:w="85" w:type="dxa"/>
            </w:tcMar>
          </w:tcPr>
          <w:p w14:paraId="542DBCBC" w14:textId="77777777" w:rsidR="003C6B55" w:rsidRPr="00FD56E6" w:rsidRDefault="003C6B55" w:rsidP="003C6B55">
            <w:pPr>
              <w:jc w:val="both"/>
              <w:rPr>
                <w:sz w:val="22"/>
                <w:szCs w:val="22"/>
                <w:lang w:val="en-GB"/>
              </w:rPr>
            </w:pPr>
            <w:r>
              <w:rPr>
                <w:noProof/>
              </w:rPr>
              <w:drawing>
                <wp:anchor distT="0" distB="0" distL="114300" distR="114300" simplePos="0" relativeHeight="251666432" behindDoc="0" locked="0" layoutInCell="1" allowOverlap="1" wp14:anchorId="4B2DA574" wp14:editId="0EE21F26">
                  <wp:simplePos x="0" y="0"/>
                  <wp:positionH relativeFrom="column">
                    <wp:posOffset>-17145</wp:posOffset>
                  </wp:positionH>
                  <wp:positionV relativeFrom="paragraph">
                    <wp:posOffset>-4445</wp:posOffset>
                  </wp:positionV>
                  <wp:extent cx="977900" cy="83501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0" w:type="dxa"/>
            <w:tcBorders>
              <w:top w:val="single" w:sz="12" w:space="0" w:color="auto"/>
              <w:left w:val="nil"/>
              <w:bottom w:val="single" w:sz="12" w:space="0" w:color="auto"/>
              <w:right w:val="nil"/>
            </w:tcBorders>
            <w:tcMar>
              <w:top w:w="85" w:type="dxa"/>
            </w:tcMar>
          </w:tcPr>
          <w:p w14:paraId="4987A3C6" w14:textId="77777777" w:rsidR="000F4E00" w:rsidRPr="000F4E00" w:rsidRDefault="000F4E00" w:rsidP="003C6B55">
            <w:pPr>
              <w:spacing w:before="40"/>
              <w:ind w:left="274"/>
              <w:rPr>
                <w:rFonts w:ascii="Arial" w:hAnsi="Arial" w:cs="Arial"/>
                <w:b/>
                <w:bCs/>
                <w:sz w:val="10"/>
                <w:szCs w:val="10"/>
                <w:lang w:val="fr-FR"/>
              </w:rPr>
            </w:pPr>
          </w:p>
          <w:p w14:paraId="79AE6996" w14:textId="54E3FDAC" w:rsidR="003C6B55" w:rsidRPr="00B25614" w:rsidRDefault="003C6B55" w:rsidP="003C6B55">
            <w:pPr>
              <w:spacing w:before="40"/>
              <w:ind w:left="274"/>
              <w:rPr>
                <w:b/>
                <w:bCs/>
                <w:sz w:val="22"/>
                <w:szCs w:val="22"/>
                <w:lang w:val="fr-FR"/>
              </w:rPr>
            </w:pPr>
            <w:r w:rsidRPr="009B083A">
              <w:rPr>
                <w:rFonts w:ascii="Arial" w:hAnsi="Arial" w:cs="Arial"/>
                <w:b/>
                <w:bCs/>
                <w:sz w:val="22"/>
                <w:szCs w:val="22"/>
                <w:lang w:val="fr-FR"/>
              </w:rPr>
              <w:t>MÉ</w:t>
            </w:r>
            <w:r>
              <w:rPr>
                <w:rFonts w:ascii="Arial" w:hAnsi="Arial" w:cs="Arial"/>
                <w:b/>
                <w:bCs/>
                <w:sz w:val="22"/>
                <w:szCs w:val="22"/>
                <w:lang w:val="fr-FR"/>
              </w:rPr>
              <w:t xml:space="preserve">MORANDUM D’ENTENTE SUR LA </w:t>
            </w:r>
            <w:r w:rsidRPr="009B083A">
              <w:rPr>
                <w:rFonts w:ascii="Arial" w:hAnsi="Arial" w:cs="Arial"/>
                <w:b/>
                <w:bCs/>
                <w:sz w:val="22"/>
                <w:szCs w:val="22"/>
                <w:lang w:val="fr-FR"/>
              </w:rPr>
              <w:t>CONSERVATION DES REQUINS MIGRATEURS</w:t>
            </w:r>
          </w:p>
        </w:tc>
        <w:tc>
          <w:tcPr>
            <w:tcW w:w="3912" w:type="dxa"/>
            <w:tcBorders>
              <w:top w:val="single" w:sz="12" w:space="0" w:color="auto"/>
              <w:left w:val="nil"/>
              <w:bottom w:val="single" w:sz="12" w:space="0" w:color="auto"/>
            </w:tcBorders>
            <w:tcMar>
              <w:top w:w="85" w:type="dxa"/>
            </w:tcMar>
          </w:tcPr>
          <w:p w14:paraId="17B9FB22" w14:textId="77777777" w:rsidR="000F4E00" w:rsidRPr="000F4E00" w:rsidRDefault="000F4E00" w:rsidP="007B4024">
            <w:pPr>
              <w:spacing w:before="40" w:after="40"/>
              <w:ind w:left="-108"/>
              <w:jc w:val="both"/>
              <w:rPr>
                <w:rFonts w:ascii="Arial" w:hAnsi="Arial" w:cs="Arial"/>
                <w:sz w:val="10"/>
                <w:szCs w:val="10"/>
                <w:lang w:val="fr-FR"/>
              </w:rPr>
            </w:pPr>
          </w:p>
          <w:p w14:paraId="331591E9" w14:textId="43DE380F" w:rsidR="003C6B55" w:rsidRPr="00627A42" w:rsidRDefault="003C6B55" w:rsidP="007B4024">
            <w:pPr>
              <w:spacing w:before="40" w:after="40"/>
              <w:ind w:left="-108"/>
              <w:jc w:val="both"/>
              <w:rPr>
                <w:rFonts w:ascii="Arial" w:hAnsi="Arial" w:cs="Arial"/>
                <w:sz w:val="22"/>
                <w:szCs w:val="22"/>
                <w:lang w:val="fr-FR"/>
              </w:rPr>
            </w:pPr>
            <w:r w:rsidRPr="00627A42">
              <w:rPr>
                <w:rFonts w:ascii="Arial" w:hAnsi="Arial" w:cs="Arial"/>
                <w:sz w:val="22"/>
                <w:szCs w:val="22"/>
                <w:lang w:val="fr-FR"/>
              </w:rPr>
              <w:t>CMS/</w:t>
            </w:r>
            <w:proofErr w:type="spellStart"/>
            <w:r w:rsidRPr="00627A42">
              <w:rPr>
                <w:rFonts w:ascii="Arial" w:hAnsi="Arial" w:cs="Arial"/>
                <w:sz w:val="22"/>
                <w:szCs w:val="22"/>
                <w:lang w:val="fr-FR"/>
              </w:rPr>
              <w:t>Sharks</w:t>
            </w:r>
            <w:proofErr w:type="spellEnd"/>
            <w:r w:rsidRPr="00627A42">
              <w:rPr>
                <w:rFonts w:ascii="Arial" w:hAnsi="Arial" w:cs="Arial"/>
                <w:sz w:val="22"/>
                <w:szCs w:val="22"/>
                <w:lang w:val="fr-FR"/>
              </w:rPr>
              <w:t>/MOS</w:t>
            </w:r>
            <w:r w:rsidR="004F27E0">
              <w:rPr>
                <w:rFonts w:ascii="Arial" w:hAnsi="Arial" w:cs="Arial"/>
                <w:sz w:val="22"/>
                <w:szCs w:val="22"/>
                <w:lang w:val="fr-FR"/>
              </w:rPr>
              <w:t>4</w:t>
            </w:r>
            <w:r w:rsidR="001C7504" w:rsidRPr="00627A42">
              <w:rPr>
                <w:rFonts w:ascii="Arial" w:hAnsi="Arial" w:cs="Arial"/>
                <w:sz w:val="22"/>
                <w:szCs w:val="22"/>
                <w:lang w:val="fr-FR"/>
              </w:rPr>
              <w:t>/Doc.</w:t>
            </w:r>
            <w:r w:rsidR="002C2126">
              <w:rPr>
                <w:rFonts w:ascii="Arial" w:hAnsi="Arial" w:cs="Arial"/>
                <w:sz w:val="22"/>
                <w:szCs w:val="22"/>
                <w:lang w:val="fr-FR"/>
              </w:rPr>
              <w:t>11.2</w:t>
            </w:r>
          </w:p>
          <w:p w14:paraId="5D8B5935" w14:textId="0D8D6794" w:rsidR="003C6B55" w:rsidRPr="00540C05" w:rsidRDefault="002C2126" w:rsidP="007B4024">
            <w:pPr>
              <w:spacing w:before="40" w:after="40"/>
              <w:ind w:left="-108"/>
              <w:jc w:val="both"/>
              <w:rPr>
                <w:rFonts w:ascii="Arial" w:hAnsi="Arial" w:cs="Arial"/>
                <w:sz w:val="22"/>
                <w:szCs w:val="22"/>
                <w:lang w:val="fr-FR"/>
              </w:rPr>
            </w:pPr>
            <w:r>
              <w:rPr>
                <w:rFonts w:ascii="Arial" w:hAnsi="Arial" w:cs="Arial"/>
                <w:sz w:val="22"/>
                <w:szCs w:val="22"/>
                <w:lang w:val="fr-FR"/>
              </w:rPr>
              <w:t>29 novembre</w:t>
            </w:r>
            <w:r w:rsidR="00627A42">
              <w:rPr>
                <w:rFonts w:ascii="Arial" w:hAnsi="Arial" w:cs="Arial"/>
                <w:sz w:val="22"/>
                <w:szCs w:val="22"/>
                <w:lang w:val="fr-FR"/>
              </w:rPr>
              <w:t xml:space="preserve"> </w:t>
            </w:r>
            <w:r w:rsidR="003C6B55" w:rsidRPr="00540C05">
              <w:rPr>
                <w:rFonts w:ascii="Arial" w:hAnsi="Arial" w:cs="Arial"/>
                <w:sz w:val="22"/>
                <w:szCs w:val="22"/>
                <w:lang w:val="fr-FR"/>
              </w:rPr>
              <w:t>20</w:t>
            </w:r>
            <w:r w:rsidR="004F27E0">
              <w:rPr>
                <w:rFonts w:ascii="Arial" w:hAnsi="Arial" w:cs="Arial"/>
                <w:sz w:val="22"/>
                <w:szCs w:val="22"/>
                <w:lang w:val="fr-FR"/>
              </w:rPr>
              <w:t>22</w:t>
            </w:r>
          </w:p>
          <w:p w14:paraId="417F2EA9" w14:textId="77777777" w:rsidR="003C6B55" w:rsidRPr="007B4024" w:rsidRDefault="003C6B55" w:rsidP="007B4024">
            <w:pPr>
              <w:ind w:left="-108"/>
              <w:jc w:val="both"/>
              <w:rPr>
                <w:sz w:val="22"/>
                <w:szCs w:val="22"/>
                <w:lang w:val="fr-FR"/>
              </w:rPr>
            </w:pPr>
            <w:proofErr w:type="gramStart"/>
            <w:r w:rsidRPr="00540C05">
              <w:rPr>
                <w:rFonts w:ascii="Arial" w:hAnsi="Arial" w:cs="Arial"/>
                <w:sz w:val="22"/>
                <w:szCs w:val="22"/>
                <w:lang w:val="fr-FR"/>
              </w:rPr>
              <w:t>Original:</w:t>
            </w:r>
            <w:proofErr w:type="gramEnd"/>
            <w:r w:rsidRPr="00540C05">
              <w:rPr>
                <w:rFonts w:ascii="Arial" w:hAnsi="Arial" w:cs="Arial"/>
                <w:sz w:val="22"/>
                <w:szCs w:val="22"/>
                <w:lang w:val="fr-FR"/>
              </w:rPr>
              <w:t xml:space="preserve"> Anglais</w:t>
            </w:r>
          </w:p>
        </w:tc>
      </w:tr>
    </w:tbl>
    <w:p w14:paraId="43C44561" w14:textId="2739FBE5" w:rsidR="00B25614" w:rsidRPr="009B083A" w:rsidRDefault="00CC6F9A" w:rsidP="0049063C">
      <w:pPr>
        <w:jc w:val="both"/>
        <w:rPr>
          <w:rFonts w:ascii="Arial" w:hAnsi="Arial" w:cs="Arial"/>
          <w:spacing w:val="-4"/>
          <w:sz w:val="22"/>
          <w:szCs w:val="22"/>
          <w:lang w:val="fr-FR"/>
        </w:rPr>
      </w:pPr>
      <w:r w:rsidRPr="00CC6F9A">
        <w:rPr>
          <w:rFonts w:ascii="Arial" w:hAnsi="Arial" w:cs="Arial"/>
          <w:sz w:val="22"/>
          <w:szCs w:val="22"/>
          <w:lang w:val="fr-FR"/>
        </w:rPr>
        <w:t>4</w:t>
      </w:r>
      <w:r w:rsidRPr="00CC6F9A">
        <w:rPr>
          <w:rFonts w:ascii="Arial" w:hAnsi="Arial" w:cs="Arial"/>
          <w:sz w:val="22"/>
          <w:szCs w:val="22"/>
          <w:vertAlign w:val="superscript"/>
          <w:lang w:val="fr-FR"/>
        </w:rPr>
        <w:t>e</w:t>
      </w:r>
      <w:r>
        <w:rPr>
          <w:rFonts w:ascii="Arial" w:hAnsi="Arial" w:cs="Arial"/>
          <w:sz w:val="22"/>
          <w:szCs w:val="22"/>
          <w:lang w:val="fr-FR"/>
        </w:rPr>
        <w:t xml:space="preserve"> </w:t>
      </w:r>
      <w:r w:rsidR="00B25614" w:rsidRPr="009B083A">
        <w:rPr>
          <w:rFonts w:ascii="Arial" w:hAnsi="Arial" w:cs="Arial"/>
          <w:spacing w:val="-4"/>
          <w:sz w:val="22"/>
          <w:szCs w:val="22"/>
          <w:lang w:val="fr-FR"/>
        </w:rPr>
        <w:t xml:space="preserve">Réunion des </w:t>
      </w:r>
      <w:r w:rsidR="00B25614" w:rsidRPr="009B083A">
        <w:rPr>
          <w:rFonts w:ascii="Arial" w:hAnsi="Arial" w:cs="Arial"/>
          <w:bCs/>
          <w:spacing w:val="-4"/>
          <w:sz w:val="22"/>
          <w:szCs w:val="22"/>
          <w:lang w:val="fr-FR"/>
        </w:rPr>
        <w:t>Signataires</w:t>
      </w:r>
    </w:p>
    <w:p w14:paraId="5BA6671D" w14:textId="444A0D9E" w:rsidR="00B25614" w:rsidRPr="009B083A" w:rsidRDefault="004F27E0" w:rsidP="0049063C">
      <w:pPr>
        <w:spacing w:line="228" w:lineRule="auto"/>
        <w:jc w:val="both"/>
        <w:rPr>
          <w:rFonts w:ascii="Arial" w:hAnsi="Arial" w:cs="Arial"/>
          <w:iCs/>
          <w:sz w:val="22"/>
          <w:szCs w:val="22"/>
          <w:lang w:val="fr-FR"/>
        </w:rPr>
      </w:pPr>
      <w:r>
        <w:rPr>
          <w:rFonts w:ascii="Arial" w:hAnsi="Arial" w:cs="Arial"/>
          <w:bCs/>
          <w:sz w:val="22"/>
          <w:szCs w:val="22"/>
          <w:lang w:val="fr-FR"/>
        </w:rPr>
        <w:t>Bonn</w:t>
      </w:r>
      <w:r w:rsidR="009B083A" w:rsidRPr="009B083A">
        <w:rPr>
          <w:rFonts w:ascii="Arial" w:hAnsi="Arial" w:cs="Arial"/>
          <w:bCs/>
          <w:sz w:val="22"/>
          <w:szCs w:val="22"/>
          <w:lang w:val="fr-FR"/>
        </w:rPr>
        <w:t xml:space="preserve">, </w:t>
      </w:r>
      <w:r>
        <w:rPr>
          <w:rFonts w:ascii="Arial" w:hAnsi="Arial" w:cs="Arial"/>
          <w:bCs/>
          <w:sz w:val="22"/>
          <w:szCs w:val="22"/>
          <w:lang w:val="fr-FR"/>
        </w:rPr>
        <w:t>28 février</w:t>
      </w:r>
      <w:r w:rsidR="009B083A" w:rsidRPr="009B083A">
        <w:rPr>
          <w:rFonts w:ascii="Arial" w:hAnsi="Arial" w:cs="Arial"/>
          <w:bCs/>
          <w:sz w:val="22"/>
          <w:szCs w:val="22"/>
          <w:lang w:val="fr-FR"/>
        </w:rPr>
        <w:t xml:space="preserve"> – </w:t>
      </w:r>
      <w:r>
        <w:rPr>
          <w:rFonts w:ascii="Arial" w:hAnsi="Arial" w:cs="Arial"/>
          <w:bCs/>
          <w:sz w:val="22"/>
          <w:szCs w:val="22"/>
          <w:lang w:val="fr-FR"/>
        </w:rPr>
        <w:t>2 mars</w:t>
      </w:r>
      <w:r w:rsidR="009B083A" w:rsidRPr="009B083A">
        <w:rPr>
          <w:rFonts w:ascii="Arial" w:hAnsi="Arial" w:cs="Arial"/>
          <w:bCs/>
          <w:sz w:val="22"/>
          <w:szCs w:val="22"/>
          <w:lang w:val="fr-FR"/>
        </w:rPr>
        <w:t xml:space="preserve"> 20</w:t>
      </w:r>
      <w:r>
        <w:rPr>
          <w:rFonts w:ascii="Arial" w:hAnsi="Arial" w:cs="Arial"/>
          <w:bCs/>
          <w:sz w:val="22"/>
          <w:szCs w:val="22"/>
          <w:lang w:val="fr-FR"/>
        </w:rPr>
        <w:t>23</w:t>
      </w:r>
    </w:p>
    <w:p w14:paraId="19CEAB50" w14:textId="5343FDE1" w:rsidR="00B25614" w:rsidRPr="009B083A" w:rsidRDefault="001C7504" w:rsidP="0049063C">
      <w:pPr>
        <w:jc w:val="both"/>
        <w:rPr>
          <w:rFonts w:ascii="Arial" w:hAnsi="Arial" w:cs="Arial"/>
          <w:sz w:val="22"/>
          <w:szCs w:val="22"/>
          <w:lang w:val="fr-FR"/>
        </w:rPr>
      </w:pPr>
      <w:r>
        <w:rPr>
          <w:rFonts w:ascii="Arial" w:hAnsi="Arial" w:cs="Arial"/>
          <w:bCs/>
          <w:sz w:val="22"/>
          <w:szCs w:val="22"/>
          <w:lang w:val="fr-FR"/>
        </w:rPr>
        <w:t xml:space="preserve">Point </w:t>
      </w:r>
      <w:r w:rsidR="002C2126">
        <w:rPr>
          <w:rFonts w:ascii="Arial" w:hAnsi="Arial" w:cs="Arial"/>
          <w:bCs/>
          <w:sz w:val="22"/>
          <w:szCs w:val="22"/>
          <w:lang w:val="fr-FR"/>
        </w:rPr>
        <w:t>11</w:t>
      </w:r>
      <w:r w:rsidR="00627A42">
        <w:rPr>
          <w:rFonts w:ascii="Arial" w:hAnsi="Arial" w:cs="Arial"/>
          <w:bCs/>
          <w:sz w:val="22"/>
          <w:szCs w:val="22"/>
          <w:lang w:val="fr-FR"/>
        </w:rPr>
        <w:t xml:space="preserve"> </w:t>
      </w:r>
      <w:r w:rsidR="00B25614" w:rsidRPr="009B083A">
        <w:rPr>
          <w:rFonts w:ascii="Arial" w:hAnsi="Arial" w:cs="Arial"/>
          <w:bCs/>
          <w:sz w:val="22"/>
          <w:szCs w:val="22"/>
          <w:lang w:val="fr-FR"/>
        </w:rPr>
        <w:t>de l’ordre du jour</w:t>
      </w:r>
    </w:p>
    <w:p w14:paraId="288EE57E" w14:textId="77777777" w:rsidR="00B25614" w:rsidRPr="00540C05" w:rsidRDefault="00B25614" w:rsidP="00B25614">
      <w:pPr>
        <w:jc w:val="both"/>
        <w:rPr>
          <w:rFonts w:ascii="Arial" w:hAnsi="Arial" w:cs="Arial"/>
          <w:sz w:val="22"/>
          <w:szCs w:val="22"/>
          <w:lang w:val="fr-FR"/>
        </w:rPr>
      </w:pPr>
    </w:p>
    <w:p w14:paraId="0D06ECEA" w14:textId="77777777" w:rsidR="00B25614" w:rsidRPr="00540C05" w:rsidRDefault="00B25614" w:rsidP="00B25614">
      <w:pPr>
        <w:jc w:val="both"/>
        <w:rPr>
          <w:rFonts w:ascii="Arial" w:hAnsi="Arial" w:cs="Arial"/>
          <w:sz w:val="22"/>
          <w:szCs w:val="22"/>
          <w:lang w:val="fr-FR"/>
        </w:rPr>
      </w:pPr>
    </w:p>
    <w:p w14:paraId="39BE10DB" w14:textId="77777777" w:rsidR="002C2126" w:rsidRPr="002C2126" w:rsidRDefault="002C2126" w:rsidP="002C2126">
      <w:pPr>
        <w:ind w:right="252"/>
        <w:jc w:val="center"/>
        <w:rPr>
          <w:rFonts w:ascii="Arial" w:hAnsi="Arial" w:cs="Arial"/>
          <w:b/>
          <w:bCs/>
          <w:sz w:val="22"/>
          <w:szCs w:val="22"/>
          <w:lang w:val="fr-FR"/>
        </w:rPr>
      </w:pPr>
      <w:r w:rsidRPr="002C2126">
        <w:rPr>
          <w:rFonts w:ascii="Arial" w:hAnsi="Arial" w:cs="Arial"/>
          <w:b/>
          <w:bCs/>
          <w:sz w:val="22"/>
          <w:szCs w:val="22"/>
          <w:lang w:val="fr-FR"/>
        </w:rPr>
        <w:t>RECUEIL MONDIAL</w:t>
      </w:r>
    </w:p>
    <w:p w14:paraId="4B997900" w14:textId="77777777" w:rsidR="002C2126" w:rsidRPr="002C2126" w:rsidRDefault="002C2126" w:rsidP="002C2126">
      <w:pPr>
        <w:spacing w:after="120"/>
        <w:ind w:right="259"/>
        <w:jc w:val="center"/>
        <w:rPr>
          <w:rFonts w:ascii="Arial" w:hAnsi="Arial" w:cs="Arial"/>
          <w:b/>
          <w:bCs/>
          <w:sz w:val="22"/>
          <w:szCs w:val="22"/>
          <w:lang w:val="fr-FR"/>
        </w:rPr>
      </w:pPr>
      <w:r w:rsidRPr="002C2126">
        <w:rPr>
          <w:rFonts w:ascii="Arial" w:hAnsi="Arial" w:cs="Arial"/>
          <w:b/>
          <w:bCs/>
          <w:sz w:val="22"/>
          <w:szCs w:val="22"/>
          <w:lang w:val="fr-FR"/>
        </w:rPr>
        <w:t>DE L’ÉTAT DE CONSERVATION ET DES MESURES DE GESTION DES REQUINS</w:t>
      </w:r>
    </w:p>
    <w:p w14:paraId="59C3CDDD" w14:textId="77777777" w:rsidR="002C2126" w:rsidRPr="002C2126" w:rsidRDefault="002C2126" w:rsidP="002C2126">
      <w:pPr>
        <w:ind w:right="252"/>
        <w:jc w:val="center"/>
        <w:rPr>
          <w:rFonts w:ascii="Arial" w:hAnsi="Arial" w:cs="Arial"/>
          <w:bCs/>
          <w:i/>
          <w:sz w:val="22"/>
          <w:szCs w:val="22"/>
          <w:lang w:val="fr-FR"/>
        </w:rPr>
      </w:pPr>
      <w:r w:rsidRPr="002C2126">
        <w:rPr>
          <w:rFonts w:ascii="Arial" w:hAnsi="Arial" w:cs="Arial"/>
          <w:bCs/>
          <w:iCs/>
          <w:sz w:val="22"/>
          <w:szCs w:val="22"/>
          <w:lang w:val="fr-FR"/>
        </w:rPr>
        <w:t>(</w:t>
      </w:r>
      <w:r w:rsidRPr="002C2126">
        <w:rPr>
          <w:rFonts w:ascii="Arial" w:hAnsi="Arial" w:cs="Arial"/>
          <w:bCs/>
          <w:i/>
          <w:sz w:val="22"/>
          <w:szCs w:val="22"/>
          <w:lang w:val="fr-FR"/>
        </w:rPr>
        <w:t>Soumis par l’Union européenne</w:t>
      </w:r>
      <w:r w:rsidRPr="002C2126">
        <w:rPr>
          <w:rFonts w:ascii="Arial" w:hAnsi="Arial" w:cs="Arial"/>
          <w:bCs/>
          <w:iCs/>
          <w:sz w:val="22"/>
          <w:szCs w:val="22"/>
          <w:lang w:val="fr-FR"/>
        </w:rPr>
        <w:t>)</w:t>
      </w:r>
    </w:p>
    <w:p w14:paraId="47BD8175" w14:textId="77777777" w:rsidR="002C2126" w:rsidRPr="002C2126" w:rsidRDefault="002C2126" w:rsidP="002C2126">
      <w:pPr>
        <w:ind w:right="252"/>
        <w:jc w:val="center"/>
        <w:rPr>
          <w:rFonts w:ascii="Arial" w:hAnsi="Arial" w:cs="Arial"/>
          <w:bCs/>
          <w:i/>
          <w:sz w:val="22"/>
          <w:szCs w:val="22"/>
          <w:lang w:val="fr-FR"/>
        </w:rPr>
      </w:pPr>
      <w:r w:rsidRPr="002C2126">
        <w:rPr>
          <w:rFonts w:ascii="Arial" w:hAnsi="Arial" w:cs="Arial"/>
          <w:bCs/>
          <w:i/>
          <w:noProof/>
          <w:sz w:val="22"/>
          <w:szCs w:val="22"/>
          <w:lang w:val="fr-FR"/>
        </w:rPr>
        <mc:AlternateContent>
          <mc:Choice Requires="wps">
            <w:drawing>
              <wp:anchor distT="45720" distB="45720" distL="114300" distR="114300" simplePos="0" relativeHeight="251673600" behindDoc="0" locked="0" layoutInCell="1" allowOverlap="1" wp14:anchorId="1FAEBC3B" wp14:editId="0D77EA52">
                <wp:simplePos x="0" y="0"/>
                <wp:positionH relativeFrom="margin">
                  <wp:posOffset>266700</wp:posOffset>
                </wp:positionH>
                <wp:positionV relativeFrom="paragraph">
                  <wp:posOffset>300355</wp:posOffset>
                </wp:positionV>
                <wp:extent cx="5229225" cy="443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438650"/>
                        </a:xfrm>
                        <a:prstGeom prst="rect">
                          <a:avLst/>
                        </a:prstGeom>
                        <a:solidFill>
                          <a:srgbClr val="FFFFFF"/>
                        </a:solidFill>
                        <a:ln w="9525">
                          <a:solidFill>
                            <a:srgbClr val="000000"/>
                          </a:solidFill>
                          <a:miter lim="800000"/>
                          <a:headEnd/>
                          <a:tailEnd/>
                        </a:ln>
                      </wps:spPr>
                      <wps:txbx>
                        <w:txbxContent>
                          <w:p w14:paraId="08D63C40" w14:textId="77777777" w:rsidR="002C2126" w:rsidRPr="002C2126" w:rsidRDefault="002C2126" w:rsidP="002C2126">
                            <w:pPr>
                              <w:jc w:val="both"/>
                              <w:rPr>
                                <w:rFonts w:ascii="Arial" w:hAnsi="Arial" w:cs="Arial"/>
                                <w:sz w:val="22"/>
                                <w:szCs w:val="22"/>
                                <w:lang w:val="fr-FR"/>
                              </w:rPr>
                            </w:pPr>
                            <w:r w:rsidRPr="002C2126">
                              <w:rPr>
                                <w:rFonts w:ascii="Arial" w:hAnsi="Arial" w:cs="Arial"/>
                                <w:sz w:val="22"/>
                                <w:szCs w:val="22"/>
                                <w:lang w:val="fr-FR"/>
                              </w:rPr>
                              <w:t>Ce document comprend une proposition, soumise par l’Union européenne, visant à établir un recueil mondial de l’état de conservation et de la gestion des requins.</w:t>
                            </w:r>
                          </w:p>
                          <w:p w14:paraId="1DD2106F" w14:textId="77777777" w:rsidR="002C2126" w:rsidRPr="002C2126" w:rsidRDefault="002C2126" w:rsidP="002C2126">
                            <w:pPr>
                              <w:jc w:val="both"/>
                              <w:rPr>
                                <w:rFonts w:ascii="Arial" w:hAnsi="Arial" w:cs="Arial"/>
                                <w:sz w:val="22"/>
                                <w:szCs w:val="22"/>
                                <w:lang w:val="fr-FR"/>
                              </w:rPr>
                            </w:pPr>
                          </w:p>
                          <w:p w14:paraId="1ECD3A1C" w14:textId="77777777" w:rsidR="002C2126" w:rsidRPr="002C2126" w:rsidRDefault="002C2126" w:rsidP="002C2126">
                            <w:pPr>
                              <w:jc w:val="both"/>
                              <w:rPr>
                                <w:rFonts w:ascii="Arial" w:hAnsi="Arial" w:cs="Arial"/>
                                <w:sz w:val="22"/>
                                <w:szCs w:val="22"/>
                                <w:lang w:val="fr-FR"/>
                              </w:rPr>
                            </w:pPr>
                            <w:r w:rsidRPr="002C2126">
                              <w:rPr>
                                <w:rFonts w:ascii="Arial" w:hAnsi="Arial" w:cs="Arial"/>
                                <w:sz w:val="22"/>
                                <w:szCs w:val="22"/>
                                <w:u w:val="single"/>
                                <w:lang w:val="fr-FR"/>
                              </w:rPr>
                              <w:t>L’Annexe</w:t>
                            </w:r>
                            <w:r w:rsidRPr="002C2126">
                              <w:rPr>
                                <w:rFonts w:ascii="Arial" w:hAnsi="Arial" w:cs="Arial"/>
                                <w:sz w:val="22"/>
                                <w:szCs w:val="22"/>
                                <w:lang w:val="fr-FR"/>
                              </w:rPr>
                              <w:t xml:space="preserve"> comprend les observations du Secrétariat en réponse à la proposition, que les Signataires peuvent souhaiter prendre en compte lors de la prise de décision concernant la proposition. </w:t>
                            </w:r>
                          </w:p>
                          <w:p w14:paraId="423AF819" w14:textId="77777777" w:rsidR="002C2126" w:rsidRPr="002C2126" w:rsidRDefault="002C2126" w:rsidP="002C2126">
                            <w:pPr>
                              <w:rPr>
                                <w:rFonts w:ascii="Arial" w:hAnsi="Arial" w:cs="Arial"/>
                                <w:sz w:val="22"/>
                                <w:szCs w:val="22"/>
                                <w:lang w:val="fr-FR"/>
                              </w:rPr>
                            </w:pPr>
                          </w:p>
                          <w:p w14:paraId="6B4CAC33" w14:textId="77777777" w:rsidR="002C2126" w:rsidRPr="002C2126" w:rsidRDefault="002C2126" w:rsidP="002C2126">
                            <w:pPr>
                              <w:spacing w:after="80"/>
                              <w:rPr>
                                <w:rFonts w:ascii="Arial" w:hAnsi="Arial" w:cs="Arial"/>
                                <w:sz w:val="22"/>
                                <w:szCs w:val="22"/>
                                <w:u w:val="single"/>
                                <w:lang w:val="fr-FR"/>
                              </w:rPr>
                            </w:pPr>
                            <w:r w:rsidRPr="002C2126">
                              <w:rPr>
                                <w:rFonts w:ascii="Arial" w:hAnsi="Arial" w:cs="Arial"/>
                                <w:sz w:val="22"/>
                                <w:szCs w:val="22"/>
                                <w:u w:val="single"/>
                                <w:lang w:val="fr-FR"/>
                              </w:rPr>
                              <w:t>Action requise :</w:t>
                            </w:r>
                          </w:p>
                          <w:p w14:paraId="7777078D" w14:textId="77777777" w:rsidR="002C2126" w:rsidRPr="002C2126" w:rsidRDefault="002C2126" w:rsidP="002C2126">
                            <w:pPr>
                              <w:spacing w:after="80"/>
                              <w:jc w:val="both"/>
                              <w:rPr>
                                <w:rFonts w:ascii="Arial" w:hAnsi="Arial" w:cs="Arial"/>
                                <w:sz w:val="22"/>
                                <w:szCs w:val="22"/>
                                <w:lang w:val="fr-FR"/>
                              </w:rPr>
                            </w:pPr>
                            <w:r w:rsidRPr="002C2126">
                              <w:rPr>
                                <w:rFonts w:ascii="Arial" w:hAnsi="Arial" w:cs="Arial"/>
                                <w:sz w:val="22"/>
                                <w:szCs w:val="22"/>
                                <w:lang w:val="fr-FR"/>
                              </w:rPr>
                              <w:t>L’assemblée des Signataires est invitée à :</w:t>
                            </w:r>
                          </w:p>
                          <w:p w14:paraId="2C69A323" w14:textId="77777777" w:rsidR="002C2126" w:rsidRPr="002C2126" w:rsidRDefault="002C2126" w:rsidP="002C2126">
                            <w:pPr>
                              <w:pStyle w:val="ListParagraph"/>
                              <w:widowControl/>
                              <w:numPr>
                                <w:ilvl w:val="0"/>
                                <w:numId w:val="4"/>
                              </w:numPr>
                              <w:autoSpaceDE/>
                              <w:adjustRightInd/>
                              <w:spacing w:after="80"/>
                              <w:ind w:left="540"/>
                              <w:contextualSpacing w:val="0"/>
                              <w:jc w:val="both"/>
                              <w:rPr>
                                <w:rFonts w:ascii="Arial" w:hAnsi="Arial" w:cs="Arial"/>
                                <w:sz w:val="22"/>
                                <w:szCs w:val="22"/>
                                <w:lang w:val="fr-FR"/>
                              </w:rPr>
                            </w:pPr>
                            <w:r w:rsidRPr="002C2126">
                              <w:rPr>
                                <w:rFonts w:ascii="Arial" w:hAnsi="Arial" w:cs="Arial"/>
                                <w:sz w:val="22"/>
                                <w:szCs w:val="22"/>
                                <w:lang w:val="fr-FR"/>
                              </w:rPr>
                              <w:t>Examiner et discuter la proposition de l’UE de demander au Secrétariat d’établir un recueil mondial de l’état de conservation et de la gestion des requins ;</w:t>
                            </w:r>
                          </w:p>
                          <w:p w14:paraId="6BA43361" w14:textId="77777777" w:rsidR="002C2126" w:rsidRPr="002C2126" w:rsidRDefault="002C2126" w:rsidP="002C2126">
                            <w:pPr>
                              <w:pStyle w:val="ListParagraph"/>
                              <w:widowControl/>
                              <w:numPr>
                                <w:ilvl w:val="0"/>
                                <w:numId w:val="4"/>
                              </w:numPr>
                              <w:autoSpaceDE/>
                              <w:adjustRightInd/>
                              <w:spacing w:after="80"/>
                              <w:ind w:left="540"/>
                              <w:contextualSpacing w:val="0"/>
                              <w:jc w:val="both"/>
                              <w:rPr>
                                <w:rFonts w:ascii="Arial" w:hAnsi="Arial" w:cs="Arial"/>
                                <w:sz w:val="22"/>
                                <w:szCs w:val="22"/>
                                <w:lang w:val="fr-FR"/>
                              </w:rPr>
                            </w:pPr>
                            <w:r w:rsidRPr="002C2126">
                              <w:rPr>
                                <w:rFonts w:ascii="Arial" w:hAnsi="Arial" w:cs="Arial"/>
                                <w:sz w:val="22"/>
                                <w:szCs w:val="22"/>
                                <w:lang w:val="fr-FR"/>
                              </w:rPr>
                              <w:t>Prendre note des observations fournies par le Secrétariat dans l’Annexe du présent document ;</w:t>
                            </w:r>
                          </w:p>
                          <w:p w14:paraId="1553FCE3" w14:textId="77777777" w:rsidR="002C2126" w:rsidRPr="002C2126" w:rsidRDefault="002C2126" w:rsidP="002C2126">
                            <w:pPr>
                              <w:pStyle w:val="ListParagraph"/>
                              <w:widowControl/>
                              <w:numPr>
                                <w:ilvl w:val="0"/>
                                <w:numId w:val="4"/>
                              </w:numPr>
                              <w:autoSpaceDE/>
                              <w:adjustRightInd/>
                              <w:spacing w:after="80"/>
                              <w:ind w:left="540"/>
                              <w:contextualSpacing w:val="0"/>
                              <w:jc w:val="both"/>
                              <w:rPr>
                                <w:rFonts w:ascii="Arial" w:hAnsi="Arial" w:cs="Arial"/>
                                <w:sz w:val="22"/>
                                <w:szCs w:val="22"/>
                                <w:lang w:val="fr-FR"/>
                              </w:rPr>
                            </w:pPr>
                            <w:r w:rsidRPr="002C2126">
                              <w:rPr>
                                <w:rFonts w:ascii="Arial" w:hAnsi="Arial" w:cs="Arial"/>
                                <w:sz w:val="22"/>
                                <w:szCs w:val="22"/>
                                <w:lang w:val="fr-FR"/>
                              </w:rPr>
                              <w:t xml:space="preserve">Mettre en place un Groupe de travail de session chargé d’élaborer un document de projet budgétisé pour développer un « Recueil mondial de l’état de conservation et des mesures de gestion des requins », à inclure dans le document </w:t>
                            </w:r>
                            <w:proofErr w:type="spellStart"/>
                            <w:r w:rsidRPr="002C2126">
                              <w:rPr>
                                <w:rFonts w:ascii="Arial" w:hAnsi="Arial" w:cs="Arial"/>
                                <w:sz w:val="22"/>
                                <w:szCs w:val="22"/>
                                <w:lang w:val="fr-FR"/>
                              </w:rPr>
                              <w:t>Outcome</w:t>
                            </w:r>
                            <w:proofErr w:type="spellEnd"/>
                            <w:r w:rsidRPr="002C2126">
                              <w:rPr>
                                <w:rFonts w:ascii="Arial" w:hAnsi="Arial" w:cs="Arial"/>
                                <w:sz w:val="22"/>
                                <w:szCs w:val="22"/>
                                <w:lang w:val="fr-FR"/>
                              </w:rPr>
                              <w:t xml:space="preserve"> 4.x de cette réunion ;</w:t>
                            </w:r>
                          </w:p>
                          <w:p w14:paraId="521952A0" w14:textId="77777777" w:rsidR="002C2126" w:rsidRPr="002C2126" w:rsidRDefault="002C2126" w:rsidP="002C2126">
                            <w:pPr>
                              <w:pStyle w:val="ListParagraph"/>
                              <w:widowControl/>
                              <w:numPr>
                                <w:ilvl w:val="0"/>
                                <w:numId w:val="4"/>
                              </w:numPr>
                              <w:autoSpaceDE/>
                              <w:adjustRightInd/>
                              <w:spacing w:after="80"/>
                              <w:ind w:left="540"/>
                              <w:contextualSpacing w:val="0"/>
                              <w:jc w:val="both"/>
                              <w:rPr>
                                <w:rFonts w:ascii="Arial" w:hAnsi="Arial" w:cs="Arial"/>
                                <w:sz w:val="22"/>
                                <w:szCs w:val="22"/>
                                <w:lang w:val="fr-FR"/>
                              </w:rPr>
                            </w:pPr>
                            <w:r w:rsidRPr="002C2126">
                              <w:rPr>
                                <w:rFonts w:ascii="Arial" w:hAnsi="Arial" w:cs="Arial"/>
                                <w:sz w:val="22"/>
                                <w:szCs w:val="22"/>
                                <w:lang w:val="fr-FR"/>
                              </w:rPr>
                              <w:t>Prendre en considération la mise en œuvre du projet dans le programme de travail (2023-2025) également discuté au point 12 de l’ordre du jour ;</w:t>
                            </w:r>
                          </w:p>
                          <w:p w14:paraId="3083ACE0" w14:textId="77777777" w:rsidR="002C2126" w:rsidRPr="002C2126" w:rsidRDefault="002C2126" w:rsidP="002C2126">
                            <w:pPr>
                              <w:pStyle w:val="ListParagraph"/>
                              <w:widowControl/>
                              <w:numPr>
                                <w:ilvl w:val="0"/>
                                <w:numId w:val="4"/>
                              </w:numPr>
                              <w:autoSpaceDE/>
                              <w:adjustRightInd/>
                              <w:ind w:left="540"/>
                              <w:jc w:val="both"/>
                              <w:rPr>
                                <w:rFonts w:ascii="Arial" w:hAnsi="Arial" w:cs="Arial"/>
                                <w:sz w:val="22"/>
                                <w:szCs w:val="22"/>
                                <w:lang w:val="fr-FR"/>
                              </w:rPr>
                            </w:pPr>
                            <w:r w:rsidRPr="002C2126">
                              <w:rPr>
                                <w:rFonts w:ascii="Arial" w:hAnsi="Arial" w:cs="Arial"/>
                                <w:sz w:val="22"/>
                                <w:szCs w:val="22"/>
                                <w:lang w:val="fr-FR"/>
                              </w:rPr>
                              <w:t>Au cas où le Groupe de travail de session aurait besoin de plus de temps pour terminer son travail, envisager de créer un Groupe de travail intersession pour parachever le document de projet après la MOS4 et élaborer le mandat de ce Groupe de travail intersession pendant la MOS4.</w:t>
                            </w:r>
                          </w:p>
                          <w:p w14:paraId="468BE4AB" w14:textId="77777777" w:rsidR="002C2126" w:rsidRPr="002C2126" w:rsidRDefault="002C2126" w:rsidP="002C2126">
                            <w:pPr>
                              <w:pStyle w:val="ListParagraph"/>
                              <w:widowControl/>
                              <w:autoSpaceDE/>
                              <w:adjustRightInd/>
                              <w:ind w:left="360" w:hanging="180"/>
                              <w:jc w:val="both"/>
                              <w:rPr>
                                <w:rFonts w:ascii="Arial" w:hAnsi="Arial" w:cs="Arial"/>
                                <w:sz w:val="22"/>
                                <w:szCs w:val="22"/>
                                <w:lang w:val="fr-FR"/>
                              </w:rPr>
                            </w:pPr>
                          </w:p>
                          <w:p w14:paraId="7FD03F0C" w14:textId="77777777" w:rsidR="002C2126" w:rsidRPr="00E526FF" w:rsidRDefault="002C2126" w:rsidP="002C2126">
                            <w:pPr>
                              <w:ind w:left="360" w:hanging="180"/>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EBC3B" id="_x0000_t202" coordsize="21600,21600" o:spt="202" path="m,l,21600r21600,l21600,xe">
                <v:stroke joinstyle="miter"/>
                <v:path gradientshapeok="t" o:connecttype="rect"/>
              </v:shapetype>
              <v:shape id="Text Box 2" o:spid="_x0000_s1026" type="#_x0000_t202" style="position:absolute;left:0;text-align:left;margin-left:21pt;margin-top:23.65pt;width:411.75pt;height:34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">
                <v:textbox>
                  <w:txbxContent>
                    <w:p w14:paraId="08D63C40" w14:textId="77777777" w:rsidR="002C2126" w:rsidRPr="002C2126" w:rsidRDefault="002C2126" w:rsidP="002C2126">
                      <w:pPr>
                        <w:jc w:val="both"/>
                        <w:rPr>
                          <w:rFonts w:ascii="Arial" w:hAnsi="Arial" w:cs="Arial"/>
                          <w:sz w:val="22"/>
                          <w:szCs w:val="22"/>
                          <w:lang w:val="fr-FR"/>
                        </w:rPr>
                      </w:pPr>
                      <w:r w:rsidRPr="002C2126">
                        <w:rPr>
                          <w:rFonts w:ascii="Arial" w:hAnsi="Arial" w:cs="Arial"/>
                          <w:sz w:val="22"/>
                          <w:szCs w:val="22"/>
                          <w:lang w:val="fr-FR"/>
                        </w:rPr>
                        <w:t>Ce document comprend une proposition, soumise par l’Union européenne, visant à établir un recueil mondial de l’état de conservation et de la gestion des requins.</w:t>
                      </w:r>
                    </w:p>
                    <w:p w14:paraId="1DD2106F" w14:textId="77777777" w:rsidR="002C2126" w:rsidRPr="002C2126" w:rsidRDefault="002C2126" w:rsidP="002C2126">
                      <w:pPr>
                        <w:jc w:val="both"/>
                        <w:rPr>
                          <w:rFonts w:ascii="Arial" w:hAnsi="Arial" w:cs="Arial"/>
                          <w:sz w:val="22"/>
                          <w:szCs w:val="22"/>
                          <w:lang w:val="fr-FR"/>
                        </w:rPr>
                      </w:pPr>
                    </w:p>
                    <w:p w14:paraId="1ECD3A1C" w14:textId="77777777" w:rsidR="002C2126" w:rsidRPr="002C2126" w:rsidRDefault="002C2126" w:rsidP="002C2126">
                      <w:pPr>
                        <w:jc w:val="both"/>
                        <w:rPr>
                          <w:rFonts w:ascii="Arial" w:hAnsi="Arial" w:cs="Arial"/>
                          <w:sz w:val="22"/>
                          <w:szCs w:val="22"/>
                          <w:lang w:val="fr-FR"/>
                        </w:rPr>
                      </w:pPr>
                      <w:r w:rsidRPr="002C2126">
                        <w:rPr>
                          <w:rFonts w:ascii="Arial" w:hAnsi="Arial" w:cs="Arial"/>
                          <w:sz w:val="22"/>
                          <w:szCs w:val="22"/>
                          <w:u w:val="single"/>
                          <w:lang w:val="fr-FR"/>
                        </w:rPr>
                        <w:t>L’Annexe</w:t>
                      </w:r>
                      <w:r w:rsidRPr="002C2126">
                        <w:rPr>
                          <w:rFonts w:ascii="Arial" w:hAnsi="Arial" w:cs="Arial"/>
                          <w:sz w:val="22"/>
                          <w:szCs w:val="22"/>
                          <w:lang w:val="fr-FR"/>
                        </w:rPr>
                        <w:t xml:space="preserve"> comprend les observations du Secrétariat en réponse à la proposition, que les Signataires peuvent souhaiter prendre en compte lors de la prise de décision concernant la proposition. </w:t>
                      </w:r>
                    </w:p>
                    <w:p w14:paraId="423AF819" w14:textId="77777777" w:rsidR="002C2126" w:rsidRPr="002C2126" w:rsidRDefault="002C2126" w:rsidP="002C2126">
                      <w:pPr>
                        <w:rPr>
                          <w:rFonts w:ascii="Arial" w:hAnsi="Arial" w:cs="Arial"/>
                          <w:sz w:val="22"/>
                          <w:szCs w:val="22"/>
                          <w:lang w:val="fr-FR"/>
                        </w:rPr>
                      </w:pPr>
                    </w:p>
                    <w:p w14:paraId="6B4CAC33" w14:textId="77777777" w:rsidR="002C2126" w:rsidRPr="002C2126" w:rsidRDefault="002C2126" w:rsidP="002C2126">
                      <w:pPr>
                        <w:spacing w:after="80"/>
                        <w:rPr>
                          <w:rFonts w:ascii="Arial" w:hAnsi="Arial" w:cs="Arial"/>
                          <w:sz w:val="22"/>
                          <w:szCs w:val="22"/>
                          <w:u w:val="single"/>
                          <w:lang w:val="fr-FR"/>
                        </w:rPr>
                      </w:pPr>
                      <w:r w:rsidRPr="002C2126">
                        <w:rPr>
                          <w:rFonts w:ascii="Arial" w:hAnsi="Arial" w:cs="Arial"/>
                          <w:sz w:val="22"/>
                          <w:szCs w:val="22"/>
                          <w:u w:val="single"/>
                          <w:lang w:val="fr-FR"/>
                        </w:rPr>
                        <w:t>Action requise :</w:t>
                      </w:r>
                    </w:p>
                    <w:p w14:paraId="7777078D" w14:textId="77777777" w:rsidR="002C2126" w:rsidRPr="002C2126" w:rsidRDefault="002C2126" w:rsidP="002C2126">
                      <w:pPr>
                        <w:spacing w:after="80"/>
                        <w:jc w:val="both"/>
                        <w:rPr>
                          <w:rFonts w:ascii="Arial" w:hAnsi="Arial" w:cs="Arial"/>
                          <w:sz w:val="22"/>
                          <w:szCs w:val="22"/>
                          <w:lang w:val="fr-FR"/>
                        </w:rPr>
                      </w:pPr>
                      <w:r w:rsidRPr="002C2126">
                        <w:rPr>
                          <w:rFonts w:ascii="Arial" w:hAnsi="Arial" w:cs="Arial"/>
                          <w:sz w:val="22"/>
                          <w:szCs w:val="22"/>
                          <w:lang w:val="fr-FR"/>
                        </w:rPr>
                        <w:t>L’assemblée des Signataires est invitée à :</w:t>
                      </w:r>
                    </w:p>
                    <w:p w14:paraId="2C69A323" w14:textId="77777777" w:rsidR="002C2126" w:rsidRPr="002C2126" w:rsidRDefault="002C2126" w:rsidP="002C2126">
                      <w:pPr>
                        <w:pStyle w:val="ListParagraph"/>
                        <w:widowControl/>
                        <w:numPr>
                          <w:ilvl w:val="0"/>
                          <w:numId w:val="4"/>
                        </w:numPr>
                        <w:autoSpaceDE/>
                        <w:adjustRightInd/>
                        <w:spacing w:after="80"/>
                        <w:ind w:left="540"/>
                        <w:contextualSpacing w:val="0"/>
                        <w:jc w:val="both"/>
                        <w:rPr>
                          <w:rFonts w:ascii="Arial" w:hAnsi="Arial" w:cs="Arial"/>
                          <w:sz w:val="22"/>
                          <w:szCs w:val="22"/>
                          <w:lang w:val="fr-FR"/>
                        </w:rPr>
                      </w:pPr>
                      <w:r w:rsidRPr="002C2126">
                        <w:rPr>
                          <w:rFonts w:ascii="Arial" w:hAnsi="Arial" w:cs="Arial"/>
                          <w:sz w:val="22"/>
                          <w:szCs w:val="22"/>
                          <w:lang w:val="fr-FR"/>
                        </w:rPr>
                        <w:t>Examiner et discuter la proposition de l’UE de demander au Secrétariat d’établir un recueil mondial de l’état de conservation et de la gestion des requins ;</w:t>
                      </w:r>
                    </w:p>
                    <w:p w14:paraId="6BA43361" w14:textId="77777777" w:rsidR="002C2126" w:rsidRPr="002C2126" w:rsidRDefault="002C2126" w:rsidP="002C2126">
                      <w:pPr>
                        <w:pStyle w:val="ListParagraph"/>
                        <w:widowControl/>
                        <w:numPr>
                          <w:ilvl w:val="0"/>
                          <w:numId w:val="4"/>
                        </w:numPr>
                        <w:autoSpaceDE/>
                        <w:adjustRightInd/>
                        <w:spacing w:after="80"/>
                        <w:ind w:left="540"/>
                        <w:contextualSpacing w:val="0"/>
                        <w:jc w:val="both"/>
                        <w:rPr>
                          <w:rFonts w:ascii="Arial" w:hAnsi="Arial" w:cs="Arial"/>
                          <w:sz w:val="22"/>
                          <w:szCs w:val="22"/>
                          <w:lang w:val="fr-FR"/>
                        </w:rPr>
                      </w:pPr>
                      <w:r w:rsidRPr="002C2126">
                        <w:rPr>
                          <w:rFonts w:ascii="Arial" w:hAnsi="Arial" w:cs="Arial"/>
                          <w:sz w:val="22"/>
                          <w:szCs w:val="22"/>
                          <w:lang w:val="fr-FR"/>
                        </w:rPr>
                        <w:t>Prendre note des observations fournies par le Secrétariat dans l’Annexe du présent document ;</w:t>
                      </w:r>
                    </w:p>
                    <w:p w14:paraId="1553FCE3" w14:textId="77777777" w:rsidR="002C2126" w:rsidRPr="002C2126" w:rsidRDefault="002C2126" w:rsidP="002C2126">
                      <w:pPr>
                        <w:pStyle w:val="ListParagraph"/>
                        <w:widowControl/>
                        <w:numPr>
                          <w:ilvl w:val="0"/>
                          <w:numId w:val="4"/>
                        </w:numPr>
                        <w:autoSpaceDE/>
                        <w:adjustRightInd/>
                        <w:spacing w:after="80"/>
                        <w:ind w:left="540"/>
                        <w:contextualSpacing w:val="0"/>
                        <w:jc w:val="both"/>
                        <w:rPr>
                          <w:rFonts w:ascii="Arial" w:hAnsi="Arial" w:cs="Arial"/>
                          <w:sz w:val="22"/>
                          <w:szCs w:val="22"/>
                          <w:lang w:val="fr-FR"/>
                        </w:rPr>
                      </w:pPr>
                      <w:r w:rsidRPr="002C2126">
                        <w:rPr>
                          <w:rFonts w:ascii="Arial" w:hAnsi="Arial" w:cs="Arial"/>
                          <w:sz w:val="22"/>
                          <w:szCs w:val="22"/>
                          <w:lang w:val="fr-FR"/>
                        </w:rPr>
                        <w:t xml:space="preserve">Mettre en place un Groupe de travail de session chargé d’élaborer un document de projet budgétisé pour développer un « Recueil mondial de l’état de conservation et des mesures de gestion des requins », à inclure dans le document </w:t>
                      </w:r>
                      <w:proofErr w:type="spellStart"/>
                      <w:r w:rsidRPr="002C2126">
                        <w:rPr>
                          <w:rFonts w:ascii="Arial" w:hAnsi="Arial" w:cs="Arial"/>
                          <w:sz w:val="22"/>
                          <w:szCs w:val="22"/>
                          <w:lang w:val="fr-FR"/>
                        </w:rPr>
                        <w:t>Outcome</w:t>
                      </w:r>
                      <w:proofErr w:type="spellEnd"/>
                      <w:r w:rsidRPr="002C2126">
                        <w:rPr>
                          <w:rFonts w:ascii="Arial" w:hAnsi="Arial" w:cs="Arial"/>
                          <w:sz w:val="22"/>
                          <w:szCs w:val="22"/>
                          <w:lang w:val="fr-FR"/>
                        </w:rPr>
                        <w:t xml:space="preserve"> 4.x de cette réunion ;</w:t>
                      </w:r>
                    </w:p>
                    <w:p w14:paraId="521952A0" w14:textId="77777777" w:rsidR="002C2126" w:rsidRPr="002C2126" w:rsidRDefault="002C2126" w:rsidP="002C2126">
                      <w:pPr>
                        <w:pStyle w:val="ListParagraph"/>
                        <w:widowControl/>
                        <w:numPr>
                          <w:ilvl w:val="0"/>
                          <w:numId w:val="4"/>
                        </w:numPr>
                        <w:autoSpaceDE/>
                        <w:adjustRightInd/>
                        <w:spacing w:after="80"/>
                        <w:ind w:left="540"/>
                        <w:contextualSpacing w:val="0"/>
                        <w:jc w:val="both"/>
                        <w:rPr>
                          <w:rFonts w:ascii="Arial" w:hAnsi="Arial" w:cs="Arial"/>
                          <w:sz w:val="22"/>
                          <w:szCs w:val="22"/>
                          <w:lang w:val="fr-FR"/>
                        </w:rPr>
                      </w:pPr>
                      <w:r w:rsidRPr="002C2126">
                        <w:rPr>
                          <w:rFonts w:ascii="Arial" w:hAnsi="Arial" w:cs="Arial"/>
                          <w:sz w:val="22"/>
                          <w:szCs w:val="22"/>
                          <w:lang w:val="fr-FR"/>
                        </w:rPr>
                        <w:t>Prendre en considération la mise en œuvre du projet dans le programme de travail (2023-2025) également discuté au point 12 de l’ordre du jour ;</w:t>
                      </w:r>
                    </w:p>
                    <w:p w14:paraId="3083ACE0" w14:textId="77777777" w:rsidR="002C2126" w:rsidRPr="002C2126" w:rsidRDefault="002C2126" w:rsidP="002C2126">
                      <w:pPr>
                        <w:pStyle w:val="ListParagraph"/>
                        <w:widowControl/>
                        <w:numPr>
                          <w:ilvl w:val="0"/>
                          <w:numId w:val="4"/>
                        </w:numPr>
                        <w:autoSpaceDE/>
                        <w:adjustRightInd/>
                        <w:ind w:left="540"/>
                        <w:jc w:val="both"/>
                        <w:rPr>
                          <w:rFonts w:ascii="Arial" w:hAnsi="Arial" w:cs="Arial"/>
                          <w:sz w:val="22"/>
                          <w:szCs w:val="22"/>
                          <w:lang w:val="fr-FR"/>
                        </w:rPr>
                      </w:pPr>
                      <w:r w:rsidRPr="002C2126">
                        <w:rPr>
                          <w:rFonts w:ascii="Arial" w:hAnsi="Arial" w:cs="Arial"/>
                          <w:sz w:val="22"/>
                          <w:szCs w:val="22"/>
                          <w:lang w:val="fr-FR"/>
                        </w:rPr>
                        <w:t>Au cas où le Groupe de travail de session aurait besoin de plus de temps pour terminer son travail, envisager de créer un Groupe de travail intersession pour parachever le document de projet après la MOS4 et élaborer le mandat de ce Groupe de travail intersession pendant la MOS4.</w:t>
                      </w:r>
                    </w:p>
                    <w:p w14:paraId="468BE4AB" w14:textId="77777777" w:rsidR="002C2126" w:rsidRPr="002C2126" w:rsidRDefault="002C2126" w:rsidP="002C2126">
                      <w:pPr>
                        <w:pStyle w:val="ListParagraph"/>
                        <w:widowControl/>
                        <w:autoSpaceDE/>
                        <w:adjustRightInd/>
                        <w:ind w:left="360" w:hanging="180"/>
                        <w:jc w:val="both"/>
                        <w:rPr>
                          <w:rFonts w:ascii="Arial" w:hAnsi="Arial" w:cs="Arial"/>
                          <w:sz w:val="22"/>
                          <w:szCs w:val="22"/>
                          <w:lang w:val="fr-FR"/>
                        </w:rPr>
                      </w:pPr>
                    </w:p>
                    <w:p w14:paraId="7FD03F0C" w14:textId="77777777" w:rsidR="002C2126" w:rsidRPr="00E526FF" w:rsidRDefault="002C2126" w:rsidP="002C2126">
                      <w:pPr>
                        <w:ind w:left="360" w:hanging="180"/>
                        <w:rPr>
                          <w:lang w:val="fr-FR"/>
                        </w:rPr>
                      </w:pPr>
                    </w:p>
                  </w:txbxContent>
                </v:textbox>
                <w10:wrap type="square" anchorx="margin"/>
              </v:shape>
            </w:pict>
          </mc:Fallback>
        </mc:AlternateContent>
      </w:r>
    </w:p>
    <w:p w14:paraId="4C1C4E1A" w14:textId="77777777" w:rsidR="002C2126" w:rsidRPr="002C2126" w:rsidRDefault="002C2126" w:rsidP="002C2126">
      <w:pPr>
        <w:ind w:right="252"/>
        <w:jc w:val="center"/>
        <w:rPr>
          <w:rFonts w:ascii="Arial" w:hAnsi="Arial" w:cs="Arial"/>
          <w:bCs/>
          <w:i/>
          <w:sz w:val="22"/>
          <w:szCs w:val="22"/>
          <w:lang w:val="fr-FR"/>
        </w:rPr>
      </w:pPr>
    </w:p>
    <w:p w14:paraId="74ED2B29" w14:textId="77777777" w:rsidR="002C2126" w:rsidRPr="002C2126" w:rsidRDefault="002C2126" w:rsidP="002C2126">
      <w:pPr>
        <w:ind w:right="252"/>
        <w:jc w:val="center"/>
        <w:rPr>
          <w:rFonts w:ascii="Arial" w:hAnsi="Arial" w:cs="Arial"/>
          <w:bCs/>
          <w:iCs/>
          <w:sz w:val="22"/>
          <w:szCs w:val="22"/>
          <w:lang w:val="fr-FR"/>
        </w:rPr>
      </w:pPr>
    </w:p>
    <w:p w14:paraId="499DBD6E" w14:textId="77777777" w:rsidR="002C2126" w:rsidRPr="002C2126" w:rsidRDefault="002C2126" w:rsidP="002C2126">
      <w:pPr>
        <w:widowControl/>
        <w:autoSpaceDE/>
        <w:autoSpaceDN/>
        <w:adjustRightInd/>
        <w:spacing w:after="160" w:line="259" w:lineRule="auto"/>
        <w:rPr>
          <w:rFonts w:ascii="Arial" w:hAnsi="Arial" w:cs="Arial"/>
          <w:bCs/>
          <w:iCs/>
          <w:sz w:val="22"/>
          <w:szCs w:val="22"/>
          <w:lang w:val="fr-FR"/>
        </w:rPr>
      </w:pPr>
      <w:r w:rsidRPr="002C2126">
        <w:rPr>
          <w:rFonts w:ascii="Arial" w:hAnsi="Arial" w:cs="Arial"/>
          <w:bCs/>
          <w:iCs/>
          <w:sz w:val="22"/>
          <w:szCs w:val="22"/>
          <w:lang w:val="fr-FR"/>
        </w:rPr>
        <w:br w:type="page"/>
      </w:r>
    </w:p>
    <w:p w14:paraId="4378F06A" w14:textId="77777777" w:rsidR="002C2126" w:rsidRPr="002C2126" w:rsidRDefault="002C2126" w:rsidP="002C2126">
      <w:pPr>
        <w:ind w:right="252"/>
        <w:jc w:val="center"/>
        <w:rPr>
          <w:rFonts w:ascii="Arial" w:hAnsi="Arial" w:cs="Arial"/>
          <w:bCs/>
          <w:iCs/>
          <w:sz w:val="22"/>
          <w:szCs w:val="22"/>
          <w:lang w:val="fr-FR"/>
        </w:rPr>
      </w:pPr>
    </w:p>
    <w:p w14:paraId="11ABE8FA" w14:textId="77777777" w:rsidR="002C2126" w:rsidRPr="002C2126" w:rsidRDefault="002C2126" w:rsidP="002C2126">
      <w:pPr>
        <w:ind w:right="252"/>
        <w:jc w:val="center"/>
        <w:rPr>
          <w:rFonts w:ascii="Arial" w:hAnsi="Arial" w:cs="Arial"/>
          <w:b/>
          <w:bCs/>
          <w:sz w:val="22"/>
          <w:szCs w:val="22"/>
          <w:lang w:val="fr-FR"/>
        </w:rPr>
      </w:pPr>
      <w:r w:rsidRPr="002C2126">
        <w:rPr>
          <w:rFonts w:ascii="Arial" w:hAnsi="Arial" w:cs="Arial"/>
          <w:b/>
          <w:bCs/>
          <w:sz w:val="22"/>
          <w:szCs w:val="22"/>
          <w:lang w:val="fr-FR"/>
        </w:rPr>
        <w:t>RECUEIL MONDIAL</w:t>
      </w:r>
    </w:p>
    <w:p w14:paraId="0B1589D4" w14:textId="77777777" w:rsidR="002C2126" w:rsidRPr="002C2126" w:rsidRDefault="002C2126" w:rsidP="002C2126">
      <w:pPr>
        <w:spacing w:after="120"/>
        <w:ind w:right="259"/>
        <w:jc w:val="center"/>
        <w:rPr>
          <w:rFonts w:ascii="Arial" w:hAnsi="Arial" w:cs="Arial"/>
          <w:b/>
          <w:bCs/>
          <w:sz w:val="22"/>
          <w:szCs w:val="22"/>
          <w:lang w:val="fr-FR"/>
        </w:rPr>
      </w:pPr>
      <w:r w:rsidRPr="002C2126">
        <w:rPr>
          <w:rFonts w:ascii="Arial" w:hAnsi="Arial" w:cs="Arial"/>
          <w:b/>
          <w:bCs/>
          <w:sz w:val="22"/>
          <w:szCs w:val="22"/>
          <w:lang w:val="fr-FR"/>
        </w:rPr>
        <w:t>DE L’ÉTAT DE CONSERVATION ET DES MESURES DE GESTION DES REQUINS</w:t>
      </w:r>
    </w:p>
    <w:p w14:paraId="545536AC" w14:textId="77777777" w:rsidR="002C2126" w:rsidRPr="002C2126" w:rsidRDefault="002C2126" w:rsidP="002C2126">
      <w:pPr>
        <w:ind w:right="252"/>
        <w:jc w:val="center"/>
        <w:rPr>
          <w:rFonts w:ascii="Arial" w:hAnsi="Arial" w:cs="Arial"/>
          <w:bCs/>
          <w:i/>
          <w:sz w:val="22"/>
          <w:szCs w:val="22"/>
          <w:lang w:val="fr-FR"/>
        </w:rPr>
      </w:pPr>
      <w:r w:rsidRPr="002C2126">
        <w:rPr>
          <w:rFonts w:ascii="Arial" w:hAnsi="Arial" w:cs="Arial"/>
          <w:bCs/>
          <w:iCs/>
          <w:sz w:val="22"/>
          <w:szCs w:val="22"/>
          <w:lang w:val="fr-FR"/>
        </w:rPr>
        <w:t>(</w:t>
      </w:r>
      <w:r w:rsidRPr="002C2126">
        <w:rPr>
          <w:rFonts w:ascii="Arial" w:hAnsi="Arial" w:cs="Arial"/>
          <w:bCs/>
          <w:i/>
          <w:sz w:val="22"/>
          <w:szCs w:val="22"/>
          <w:lang w:val="fr-FR"/>
        </w:rPr>
        <w:t>Soumis par l’Union européenne</w:t>
      </w:r>
      <w:r w:rsidRPr="002C2126">
        <w:rPr>
          <w:rFonts w:ascii="Arial" w:hAnsi="Arial" w:cs="Arial"/>
          <w:bCs/>
          <w:iCs/>
          <w:sz w:val="22"/>
          <w:szCs w:val="22"/>
          <w:lang w:val="fr-FR"/>
        </w:rPr>
        <w:t>)</w:t>
      </w:r>
    </w:p>
    <w:p w14:paraId="641F4836" w14:textId="77777777" w:rsidR="002C2126" w:rsidRPr="002C2126" w:rsidRDefault="002C2126" w:rsidP="002C2126">
      <w:pPr>
        <w:ind w:left="360"/>
        <w:rPr>
          <w:rFonts w:ascii="Arial" w:hAnsi="Arial"/>
          <w:sz w:val="22"/>
          <w:szCs w:val="22"/>
          <w:lang w:val="fr-FR"/>
        </w:rPr>
      </w:pPr>
    </w:p>
    <w:p w14:paraId="1F2236C1" w14:textId="77777777" w:rsidR="002C2126" w:rsidRPr="002C2126" w:rsidRDefault="002C2126" w:rsidP="002C2126">
      <w:pPr>
        <w:ind w:left="360"/>
        <w:rPr>
          <w:rFonts w:ascii="Arial" w:hAnsi="Arial"/>
          <w:sz w:val="22"/>
          <w:szCs w:val="22"/>
          <w:lang w:val="fr-FR"/>
        </w:rPr>
      </w:pPr>
    </w:p>
    <w:p w14:paraId="7E9B5C9B" w14:textId="77777777" w:rsidR="002C2126" w:rsidRPr="002C2126" w:rsidRDefault="002C2126" w:rsidP="002C2126">
      <w:pPr>
        <w:numPr>
          <w:ilvl w:val="0"/>
          <w:numId w:val="5"/>
        </w:numPr>
        <w:ind w:left="540" w:hanging="540"/>
        <w:contextualSpacing/>
        <w:jc w:val="both"/>
        <w:rPr>
          <w:rFonts w:ascii="Arial" w:hAnsi="Arial"/>
          <w:sz w:val="22"/>
          <w:szCs w:val="22"/>
          <w:lang w:val="fr-FR"/>
        </w:rPr>
      </w:pPr>
      <w:r w:rsidRPr="002C2126">
        <w:rPr>
          <w:rFonts w:ascii="Arial" w:hAnsi="Arial"/>
          <w:sz w:val="22"/>
          <w:szCs w:val="22"/>
          <w:lang w:val="fr-FR"/>
        </w:rPr>
        <w:t>Afin de faciliter l’échange d’informations nécessaires pour coordonner les mesures de conservation et de gestion, de mettre au point les méthodes les plus appropriées pour la diffusion des informations et d’échanger régulièrement des informations entre les différentes parties prenantes, il y a lieu de préparer et de diffuser le recueil mondial de l’état de conservation et des mesures de gestion des requins.</w:t>
      </w:r>
    </w:p>
    <w:p w14:paraId="293CA5FD" w14:textId="77777777" w:rsidR="002C2126" w:rsidRPr="002C2126" w:rsidRDefault="002C2126" w:rsidP="002C2126">
      <w:pPr>
        <w:ind w:left="720"/>
        <w:contextualSpacing/>
        <w:jc w:val="both"/>
        <w:rPr>
          <w:rFonts w:ascii="Arial" w:hAnsi="Arial"/>
          <w:sz w:val="22"/>
          <w:szCs w:val="22"/>
          <w:lang w:val="fr-FR"/>
        </w:rPr>
      </w:pPr>
    </w:p>
    <w:p w14:paraId="16B8A22B" w14:textId="77777777" w:rsidR="002C2126" w:rsidRPr="002C2126" w:rsidRDefault="002C2126" w:rsidP="002C2126">
      <w:pPr>
        <w:numPr>
          <w:ilvl w:val="0"/>
          <w:numId w:val="5"/>
        </w:numPr>
        <w:ind w:left="540" w:hanging="540"/>
        <w:contextualSpacing/>
        <w:jc w:val="both"/>
        <w:rPr>
          <w:rFonts w:ascii="Arial" w:hAnsi="Arial"/>
          <w:sz w:val="22"/>
          <w:szCs w:val="22"/>
          <w:lang w:val="fr-FR"/>
        </w:rPr>
      </w:pPr>
      <w:r w:rsidRPr="002C2126">
        <w:rPr>
          <w:rFonts w:ascii="Arial" w:hAnsi="Arial"/>
          <w:sz w:val="22"/>
          <w:szCs w:val="22"/>
          <w:lang w:val="fr-FR"/>
        </w:rPr>
        <w:t>L’objectif spécifique du projet est de créer une base de données évolutive à l'usage des Signataires du Mémorandum d’entente sur la conservation des requins migrateurs (</w:t>
      </w:r>
      <w:proofErr w:type="spellStart"/>
      <w:r w:rsidRPr="002C2126">
        <w:rPr>
          <w:rFonts w:ascii="Arial" w:hAnsi="Arial"/>
          <w:sz w:val="22"/>
          <w:szCs w:val="22"/>
          <w:lang w:val="fr-FR"/>
        </w:rPr>
        <w:t>MdE</w:t>
      </w:r>
      <w:proofErr w:type="spellEnd"/>
      <w:r w:rsidRPr="002C2126">
        <w:rPr>
          <w:rFonts w:ascii="Arial" w:hAnsi="Arial"/>
          <w:sz w:val="22"/>
          <w:szCs w:val="22"/>
          <w:lang w:val="fr-FR"/>
        </w:rPr>
        <w:t xml:space="preserve"> requins), du Comité consultatif (CC), du Secrétariat et des Partenaires de coopération afin de leur fournir une image claire de la situation de la conservation à travers le monde, aidant ainsi à identifier les éventuels lacunes en matière de données et problèmes de conservation qui devraient être abordés soit par une intervention directe du </w:t>
      </w:r>
      <w:proofErr w:type="spellStart"/>
      <w:r w:rsidRPr="002C2126">
        <w:rPr>
          <w:rFonts w:ascii="Arial" w:hAnsi="Arial"/>
          <w:sz w:val="22"/>
          <w:szCs w:val="22"/>
          <w:lang w:val="fr-FR"/>
        </w:rPr>
        <w:t>MdE</w:t>
      </w:r>
      <w:proofErr w:type="spellEnd"/>
      <w:r w:rsidRPr="002C2126">
        <w:rPr>
          <w:rFonts w:ascii="Arial" w:hAnsi="Arial"/>
          <w:sz w:val="22"/>
          <w:szCs w:val="22"/>
          <w:lang w:val="fr-FR"/>
        </w:rPr>
        <w:t>, soit par la contribution que les Signataires pourraient fournir dans d’autres forums de gestion de la pêche, en particulier les Organisations Régionales de Gestion des Pêches (ORGP).</w:t>
      </w:r>
    </w:p>
    <w:p w14:paraId="44321B7F" w14:textId="77777777" w:rsidR="002C2126" w:rsidRPr="002C2126" w:rsidRDefault="002C2126" w:rsidP="002C2126">
      <w:pPr>
        <w:ind w:left="720"/>
        <w:contextualSpacing/>
        <w:jc w:val="both"/>
        <w:rPr>
          <w:rFonts w:ascii="Arial" w:hAnsi="Arial"/>
          <w:sz w:val="22"/>
          <w:szCs w:val="22"/>
          <w:lang w:val="fr-FR"/>
        </w:rPr>
      </w:pPr>
    </w:p>
    <w:p w14:paraId="5155A2BD" w14:textId="77777777" w:rsidR="002C2126" w:rsidRPr="002C2126" w:rsidRDefault="002C2126" w:rsidP="002C2126">
      <w:pPr>
        <w:numPr>
          <w:ilvl w:val="0"/>
          <w:numId w:val="5"/>
        </w:numPr>
        <w:ind w:left="540" w:hanging="540"/>
        <w:contextualSpacing/>
        <w:jc w:val="both"/>
        <w:rPr>
          <w:rFonts w:ascii="Arial" w:hAnsi="Arial"/>
          <w:sz w:val="22"/>
          <w:szCs w:val="22"/>
          <w:lang w:val="fr-FR"/>
        </w:rPr>
      </w:pPr>
      <w:r w:rsidRPr="002C2126">
        <w:rPr>
          <w:rFonts w:ascii="Arial" w:hAnsi="Arial"/>
          <w:sz w:val="22"/>
          <w:szCs w:val="22"/>
          <w:lang w:val="fr-FR"/>
        </w:rPr>
        <w:t>La création du recueil devrait être financée par des contributions volontaires et des contributions en nature des Signataires et d’autres pays ou organisations donateurs.</w:t>
      </w:r>
    </w:p>
    <w:p w14:paraId="5D511110" w14:textId="77777777" w:rsidR="002C2126" w:rsidRPr="002C2126" w:rsidRDefault="002C2126" w:rsidP="002C2126">
      <w:pPr>
        <w:ind w:left="720"/>
        <w:contextualSpacing/>
        <w:jc w:val="both"/>
        <w:rPr>
          <w:rFonts w:ascii="Arial" w:hAnsi="Arial"/>
          <w:sz w:val="22"/>
          <w:szCs w:val="22"/>
          <w:lang w:val="fr-FR"/>
        </w:rPr>
      </w:pPr>
    </w:p>
    <w:p w14:paraId="0A087BF1" w14:textId="77777777" w:rsidR="002C2126" w:rsidRPr="002C2126" w:rsidRDefault="002C2126" w:rsidP="002C2126">
      <w:pPr>
        <w:numPr>
          <w:ilvl w:val="0"/>
          <w:numId w:val="5"/>
        </w:numPr>
        <w:ind w:left="540" w:hanging="540"/>
        <w:contextualSpacing/>
        <w:jc w:val="both"/>
        <w:rPr>
          <w:rFonts w:ascii="Arial" w:hAnsi="Arial"/>
          <w:sz w:val="22"/>
          <w:szCs w:val="22"/>
          <w:lang w:val="fr-FR"/>
        </w:rPr>
      </w:pPr>
      <w:r w:rsidRPr="002C2126">
        <w:rPr>
          <w:rFonts w:ascii="Arial" w:hAnsi="Arial"/>
          <w:sz w:val="22"/>
          <w:szCs w:val="22"/>
          <w:lang w:val="fr-FR"/>
        </w:rPr>
        <w:t>Dans la mesure du possible, il est demandé au Secrétariat de soutenir ces activités dans le cadre d’autres activités connexes de sensibilisation et de renforcement des capacités.</w:t>
      </w:r>
    </w:p>
    <w:p w14:paraId="028779F6" w14:textId="77777777" w:rsidR="002C2126" w:rsidRPr="002C2126" w:rsidRDefault="002C2126" w:rsidP="002C2126">
      <w:pPr>
        <w:jc w:val="both"/>
        <w:rPr>
          <w:rFonts w:ascii="Arial" w:hAnsi="Arial"/>
          <w:sz w:val="22"/>
          <w:szCs w:val="22"/>
          <w:lang w:val="fr-FR"/>
        </w:rPr>
      </w:pPr>
    </w:p>
    <w:p w14:paraId="225E88B1" w14:textId="77777777" w:rsidR="002C2126" w:rsidRPr="002C2126" w:rsidRDefault="002C2126" w:rsidP="002C2126">
      <w:pPr>
        <w:numPr>
          <w:ilvl w:val="0"/>
          <w:numId w:val="5"/>
        </w:numPr>
        <w:ind w:left="540" w:hanging="540"/>
        <w:contextualSpacing/>
        <w:jc w:val="both"/>
        <w:rPr>
          <w:rFonts w:ascii="Arial" w:hAnsi="Arial"/>
          <w:sz w:val="22"/>
          <w:szCs w:val="22"/>
          <w:lang w:val="fr-FR"/>
        </w:rPr>
      </w:pPr>
      <w:r w:rsidRPr="002C2126">
        <w:rPr>
          <w:rFonts w:ascii="Arial" w:hAnsi="Arial"/>
          <w:sz w:val="22"/>
          <w:szCs w:val="22"/>
          <w:lang w:val="fr-FR"/>
        </w:rPr>
        <w:t>Le cas échéant et dans la mesure du possible, ces travaux devraient être entrepris en coopération avec d’autres organisations compétentes, en particulier, sans toutefois s’y limiter, avec la Convention sur le commerce international des espèces de faune et de flore sauvages menacées d’extinction (CITES), l’Organisation des Nations Unies pour l’alimentation et l’agriculture (FAO), les ORGP et les conventions et plans d’action relatifs aux mers régionales, ainsi qu’avec les organisations à but non lucratif et le secteur privé concernés.</w:t>
      </w:r>
    </w:p>
    <w:p w14:paraId="41CF0320" w14:textId="77777777" w:rsidR="002C2126" w:rsidRDefault="002C2126" w:rsidP="00627A42">
      <w:pPr>
        <w:jc w:val="both"/>
        <w:rPr>
          <w:rFonts w:ascii="Arial" w:hAnsi="Arial" w:cs="Arial"/>
          <w:bCs/>
          <w:sz w:val="22"/>
          <w:szCs w:val="22"/>
          <w:lang w:val="fr-FR"/>
        </w:rPr>
        <w:sectPr w:rsidR="002C2126" w:rsidSect="004B1BDD">
          <w:headerReference w:type="even" r:id="rId11"/>
          <w:headerReference w:type="default" r:id="rId12"/>
          <w:footerReference w:type="even" r:id="rId13"/>
          <w:footerReference w:type="default" r:id="rId14"/>
          <w:pgSz w:w="11906" w:h="16838" w:code="9"/>
          <w:pgMar w:top="1440" w:right="1440" w:bottom="1440" w:left="1440" w:header="720" w:footer="720" w:gutter="0"/>
          <w:cols w:space="720"/>
          <w:titlePg/>
          <w:docGrid w:linePitch="360"/>
        </w:sectPr>
      </w:pPr>
    </w:p>
    <w:tbl>
      <w:tblPr>
        <w:tblStyle w:val="PlainTable21"/>
        <w:tblW w:w="5000" w:type="pct"/>
        <w:tblCellMar>
          <w:top w:w="28" w:type="dxa"/>
          <w:bottom w:w="28" w:type="dxa"/>
        </w:tblCellMar>
        <w:tblLook w:val="04A0" w:firstRow="1" w:lastRow="0" w:firstColumn="1" w:lastColumn="0" w:noHBand="0" w:noVBand="1"/>
      </w:tblPr>
      <w:tblGrid>
        <w:gridCol w:w="4071"/>
        <w:gridCol w:w="1940"/>
        <w:gridCol w:w="2440"/>
        <w:gridCol w:w="1828"/>
        <w:gridCol w:w="3679"/>
      </w:tblGrid>
      <w:tr w:rsidR="002C2126" w:rsidRPr="002C2126" w14:paraId="239BA289" w14:textId="77777777" w:rsidTr="008B2A98">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1458" w:type="pct"/>
          </w:tcPr>
          <w:p w14:paraId="5BEF88A7" w14:textId="77777777" w:rsidR="002C2126" w:rsidRPr="002C2126" w:rsidRDefault="002C2126" w:rsidP="002C2126">
            <w:pPr>
              <w:rPr>
                <w:rFonts w:ascii="Arial" w:hAnsi="Arial" w:cs="Arial"/>
                <w:szCs w:val="20"/>
                <w:lang w:val="fr-FR"/>
              </w:rPr>
            </w:pPr>
            <w:r w:rsidRPr="002C2126">
              <w:rPr>
                <w:rFonts w:ascii="Arial" w:hAnsi="Arial" w:cs="Arial"/>
                <w:szCs w:val="20"/>
                <w:lang w:val="fr-FR"/>
              </w:rPr>
              <w:lastRenderedPageBreak/>
              <w:t>Activités</w:t>
            </w:r>
          </w:p>
        </w:tc>
        <w:tc>
          <w:tcPr>
            <w:tcW w:w="695" w:type="pct"/>
          </w:tcPr>
          <w:p w14:paraId="0F5A4EBB" w14:textId="77777777" w:rsidR="002C2126" w:rsidRPr="002C2126" w:rsidRDefault="002C2126" w:rsidP="002C2126">
            <w:pPr>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Entité chargée de la mise en œuvre</w:t>
            </w:r>
          </w:p>
        </w:tc>
        <w:tc>
          <w:tcPr>
            <w:tcW w:w="874" w:type="pct"/>
          </w:tcPr>
          <w:p w14:paraId="168B0A2B" w14:textId="77777777" w:rsidR="002C2126" w:rsidRPr="002C2126" w:rsidRDefault="002C2126" w:rsidP="002C2126">
            <w:pPr>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Objectif correspondant à l’Annexe 3 du Mémorandum d’entente : Plan de conservation, activités (A) et priorités données à l’activité (P)</w:t>
            </w:r>
          </w:p>
        </w:tc>
        <w:tc>
          <w:tcPr>
            <w:tcW w:w="655" w:type="pct"/>
          </w:tcPr>
          <w:p w14:paraId="6F11C9DE" w14:textId="77777777" w:rsidR="002C2126" w:rsidRPr="002C2126" w:rsidRDefault="002C2126" w:rsidP="002C2126">
            <w:pPr>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Délai de mise en œuvre</w:t>
            </w:r>
          </w:p>
        </w:tc>
        <w:tc>
          <w:tcPr>
            <w:tcW w:w="1318" w:type="pct"/>
          </w:tcPr>
          <w:p w14:paraId="187A36F9" w14:textId="77777777" w:rsidR="002C2126" w:rsidRPr="002C2126" w:rsidRDefault="002C2126" w:rsidP="002C2126">
            <w:pPr>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Commentaires</w:t>
            </w:r>
          </w:p>
        </w:tc>
      </w:tr>
      <w:tr w:rsidR="002C2126" w:rsidRPr="002C2126" w14:paraId="076909D3" w14:textId="77777777" w:rsidTr="008B2A98">
        <w:trPr>
          <w:cnfStyle w:val="000000100000" w:firstRow="0" w:lastRow="0" w:firstColumn="0" w:lastColumn="0" w:oddVBand="0" w:evenVBand="0" w:oddHBand="1" w:evenHBand="0" w:firstRowFirstColumn="0" w:firstRowLastColumn="0" w:lastRowFirstColumn="0" w:lastRowLastColumn="0"/>
          <w:cantSplit/>
          <w:trHeight w:val="14"/>
        </w:trPr>
        <w:tc>
          <w:tcPr>
            <w:cnfStyle w:val="001000000000" w:firstRow="0" w:lastRow="0" w:firstColumn="1" w:lastColumn="0" w:oddVBand="0" w:evenVBand="0" w:oddHBand="0" w:evenHBand="0" w:firstRowFirstColumn="0" w:firstRowLastColumn="0" w:lastRowFirstColumn="0" w:lastRowLastColumn="0"/>
            <w:tcW w:w="1458" w:type="pct"/>
          </w:tcPr>
          <w:p w14:paraId="24B71E77" w14:textId="77777777" w:rsidR="002C2126" w:rsidRPr="002C2126" w:rsidRDefault="002C2126" w:rsidP="002C2126">
            <w:pPr>
              <w:widowControl/>
              <w:numPr>
                <w:ilvl w:val="0"/>
                <w:numId w:val="8"/>
              </w:numPr>
              <w:autoSpaceDE/>
              <w:autoSpaceDN/>
              <w:adjustRightInd/>
              <w:spacing w:before="120" w:after="120"/>
              <w:ind w:left="286" w:hanging="304"/>
              <w:contextualSpacing/>
              <w:rPr>
                <w:rFonts w:ascii="Arial" w:hAnsi="Arial" w:cs="Arial"/>
                <w:szCs w:val="20"/>
                <w:lang w:val="fr-FR"/>
              </w:rPr>
            </w:pPr>
            <w:r w:rsidRPr="002C2126">
              <w:rPr>
                <w:rFonts w:ascii="Arial" w:hAnsi="Arial" w:cs="Arial"/>
                <w:szCs w:val="20"/>
                <w:lang w:val="fr-FR"/>
              </w:rPr>
              <w:t>Capacité technique :</w:t>
            </w:r>
          </w:p>
        </w:tc>
        <w:tc>
          <w:tcPr>
            <w:tcW w:w="695" w:type="pct"/>
          </w:tcPr>
          <w:p w14:paraId="201873A7"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874" w:type="pct"/>
          </w:tcPr>
          <w:p w14:paraId="65199EE3"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655" w:type="pct"/>
          </w:tcPr>
          <w:p w14:paraId="22F166C6"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318" w:type="pct"/>
          </w:tcPr>
          <w:p w14:paraId="22007A85"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r>
      <w:tr w:rsidR="002C2126" w:rsidRPr="002C2126" w14:paraId="50A286BA"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63AA9E65" w14:textId="77777777" w:rsidR="002C2126" w:rsidRPr="002C2126" w:rsidRDefault="002C2126" w:rsidP="002C2126">
            <w:pPr>
              <w:widowControl/>
              <w:numPr>
                <w:ilvl w:val="0"/>
                <w:numId w:val="6"/>
              </w:numPr>
              <w:autoSpaceDE/>
              <w:autoSpaceDN/>
              <w:adjustRightInd/>
              <w:spacing w:before="120" w:after="120"/>
              <w:ind w:left="435" w:hanging="435"/>
              <w:contextualSpacing/>
              <w:rPr>
                <w:rFonts w:ascii="Arial" w:hAnsi="Arial" w:cs="Arial"/>
                <w:szCs w:val="20"/>
                <w:lang w:val="fr-FR"/>
              </w:rPr>
            </w:pPr>
            <w:r w:rsidRPr="002C2126">
              <w:rPr>
                <w:rFonts w:ascii="Arial" w:hAnsi="Arial" w:cs="Arial"/>
                <w:szCs w:val="20"/>
                <w:lang w:val="fr-FR"/>
              </w:rPr>
              <w:t>Identifier les documents existants sur :</w:t>
            </w:r>
          </w:p>
          <w:p w14:paraId="238B721E" w14:textId="77777777" w:rsidR="002C2126" w:rsidRPr="002C2126" w:rsidRDefault="002C2126" w:rsidP="002C2126">
            <w:pPr>
              <w:widowControl/>
              <w:numPr>
                <w:ilvl w:val="1"/>
                <w:numId w:val="7"/>
              </w:numPr>
              <w:autoSpaceDE/>
              <w:autoSpaceDN/>
              <w:adjustRightInd/>
              <w:spacing w:before="120" w:after="120"/>
              <w:ind w:left="795"/>
              <w:contextualSpacing/>
              <w:rPr>
                <w:rFonts w:ascii="Arial" w:hAnsi="Arial" w:cs="Arial"/>
                <w:szCs w:val="20"/>
                <w:lang w:val="fr-FR"/>
              </w:rPr>
            </w:pPr>
            <w:r w:rsidRPr="002C2126">
              <w:rPr>
                <w:rFonts w:ascii="Arial" w:hAnsi="Arial" w:cs="Arial"/>
                <w:szCs w:val="20"/>
                <w:lang w:val="fr-FR"/>
              </w:rPr>
              <w:t>Identification des espèces</w:t>
            </w:r>
          </w:p>
          <w:p w14:paraId="37A5B22E" w14:textId="77777777" w:rsidR="002C2126" w:rsidRPr="002C2126" w:rsidRDefault="002C2126" w:rsidP="002C2126">
            <w:pPr>
              <w:widowControl/>
              <w:numPr>
                <w:ilvl w:val="1"/>
                <w:numId w:val="7"/>
              </w:numPr>
              <w:autoSpaceDE/>
              <w:autoSpaceDN/>
              <w:adjustRightInd/>
              <w:spacing w:before="120" w:after="120"/>
              <w:ind w:left="795"/>
              <w:contextualSpacing/>
              <w:rPr>
                <w:rFonts w:ascii="Arial" w:hAnsi="Arial" w:cs="Arial"/>
                <w:szCs w:val="20"/>
                <w:lang w:val="fr-FR"/>
              </w:rPr>
            </w:pPr>
            <w:r w:rsidRPr="002C2126">
              <w:rPr>
                <w:rFonts w:ascii="Arial" w:hAnsi="Arial" w:cs="Arial"/>
                <w:szCs w:val="20"/>
                <w:lang w:val="fr-FR"/>
              </w:rPr>
              <w:t>Aperçu du statut et des instruments juridiques</w:t>
            </w:r>
          </w:p>
          <w:p w14:paraId="6AB15AE9" w14:textId="77777777" w:rsidR="002C2126" w:rsidRPr="002C2126" w:rsidRDefault="002C2126" w:rsidP="002C2126">
            <w:pPr>
              <w:widowControl/>
              <w:numPr>
                <w:ilvl w:val="1"/>
                <w:numId w:val="7"/>
              </w:numPr>
              <w:autoSpaceDE/>
              <w:autoSpaceDN/>
              <w:adjustRightInd/>
              <w:spacing w:before="120" w:after="120"/>
              <w:ind w:left="795"/>
              <w:contextualSpacing/>
              <w:rPr>
                <w:rFonts w:ascii="Arial" w:hAnsi="Arial" w:cs="Arial"/>
                <w:szCs w:val="20"/>
                <w:lang w:val="fr-FR"/>
              </w:rPr>
            </w:pPr>
            <w:r w:rsidRPr="002C2126">
              <w:rPr>
                <w:rFonts w:ascii="Arial" w:hAnsi="Arial" w:cs="Arial"/>
                <w:szCs w:val="20"/>
                <w:lang w:val="fr-FR"/>
              </w:rPr>
              <w:t>Statut des espèces dans les différentes ORGP</w:t>
            </w:r>
          </w:p>
          <w:p w14:paraId="30F9926F" w14:textId="77777777" w:rsidR="002C2126" w:rsidRPr="002C2126" w:rsidRDefault="002C2126" w:rsidP="002C2126">
            <w:pPr>
              <w:widowControl/>
              <w:numPr>
                <w:ilvl w:val="1"/>
                <w:numId w:val="7"/>
              </w:numPr>
              <w:autoSpaceDE/>
              <w:autoSpaceDN/>
              <w:adjustRightInd/>
              <w:spacing w:before="120" w:after="120"/>
              <w:ind w:left="795"/>
              <w:contextualSpacing/>
              <w:rPr>
                <w:rFonts w:ascii="Arial" w:hAnsi="Arial" w:cs="Arial"/>
                <w:szCs w:val="20"/>
                <w:lang w:val="fr-FR"/>
              </w:rPr>
            </w:pPr>
            <w:r w:rsidRPr="002C2126">
              <w:rPr>
                <w:rFonts w:ascii="Arial" w:hAnsi="Arial" w:cs="Arial"/>
                <w:szCs w:val="20"/>
                <w:lang w:val="fr-FR"/>
              </w:rPr>
              <w:t>Collecte des données</w:t>
            </w:r>
          </w:p>
        </w:tc>
        <w:tc>
          <w:tcPr>
            <w:tcW w:w="695" w:type="pct"/>
          </w:tcPr>
          <w:p w14:paraId="7173747A" w14:textId="77777777" w:rsidR="002C2126" w:rsidRPr="002C2126" w:rsidRDefault="002C2126" w:rsidP="002C2126">
            <w:pPr>
              <w:widowControl/>
              <w:numPr>
                <w:ilvl w:val="0"/>
                <w:numId w:val="9"/>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Secrétariat</w:t>
            </w:r>
          </w:p>
          <w:p w14:paraId="75486973" w14:textId="77777777" w:rsidR="002C2126" w:rsidRPr="002C2126" w:rsidRDefault="002C2126" w:rsidP="002C2126">
            <w:pPr>
              <w:widowControl/>
              <w:numPr>
                <w:ilvl w:val="0"/>
                <w:numId w:val="9"/>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CC (conseils d’ordre scientifique)</w:t>
            </w:r>
          </w:p>
          <w:p w14:paraId="760247CD" w14:textId="77777777" w:rsidR="002C2126" w:rsidRPr="002C2126" w:rsidRDefault="002C2126" w:rsidP="002C2126">
            <w:pPr>
              <w:widowControl/>
              <w:numPr>
                <w:ilvl w:val="0"/>
                <w:numId w:val="9"/>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roofErr w:type="gramStart"/>
            <w:r w:rsidRPr="002C2126">
              <w:rPr>
                <w:rFonts w:ascii="Arial" w:hAnsi="Arial" w:cs="Arial"/>
                <w:szCs w:val="20"/>
                <w:lang w:val="fr-FR"/>
              </w:rPr>
              <w:t>assurer</w:t>
            </w:r>
            <w:proofErr w:type="gramEnd"/>
            <w:r w:rsidRPr="002C2126">
              <w:rPr>
                <w:rFonts w:ascii="Arial" w:hAnsi="Arial" w:cs="Arial"/>
                <w:szCs w:val="20"/>
                <w:lang w:val="fr-FR"/>
              </w:rPr>
              <w:t xml:space="preserve"> la liaison avec les ORGP</w:t>
            </w:r>
          </w:p>
        </w:tc>
        <w:tc>
          <w:tcPr>
            <w:tcW w:w="874" w:type="pct"/>
          </w:tcPr>
          <w:p w14:paraId="50897A62"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Cs w:val="20"/>
                <w:shd w:val="clear" w:color="auto" w:fill="FFFFFF"/>
                <w:lang w:val="fr-FR"/>
              </w:rPr>
            </w:pPr>
            <w:r w:rsidRPr="002C2126">
              <w:rPr>
                <w:rFonts w:ascii="Arial" w:hAnsi="Arial" w:cs="Arial"/>
                <w:b/>
                <w:bCs/>
                <w:color w:val="000000"/>
                <w:szCs w:val="20"/>
                <w:shd w:val="clear" w:color="auto" w:fill="FFFFFF"/>
                <w:lang w:val="fr-FR"/>
              </w:rPr>
              <w:t xml:space="preserve">Objectif A : </w:t>
            </w:r>
            <w:r w:rsidRPr="002C2126">
              <w:rPr>
                <w:rFonts w:ascii="Arial" w:hAnsi="Arial" w:cs="Arial"/>
                <w:color w:val="000000"/>
                <w:szCs w:val="20"/>
                <w:shd w:val="clear" w:color="auto" w:fill="FFFFFF"/>
                <w:lang w:val="fr-FR"/>
              </w:rPr>
              <w:t>Améliorer la compréhension des populations de requins migrateurs par la recherche, la surveillance et l’échange d’informations (A 2.1 (P 5), 2.2 (P 5), 2.5 (P 5))</w:t>
            </w:r>
          </w:p>
        </w:tc>
        <w:tc>
          <w:tcPr>
            <w:tcW w:w="655" w:type="pct"/>
          </w:tcPr>
          <w:p w14:paraId="4528E5A1"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2023 juin (à confirmer)</w:t>
            </w:r>
          </w:p>
        </w:tc>
        <w:tc>
          <w:tcPr>
            <w:tcW w:w="1318" w:type="pct"/>
          </w:tcPr>
          <w:p w14:paraId="4CFE3E22" w14:textId="77777777" w:rsidR="002C2126" w:rsidRPr="002C2126" w:rsidRDefault="002C2126" w:rsidP="002C2126">
            <w:pPr>
              <w:widowControl/>
              <w:autoSpaceDE/>
              <w:autoSpaceDN/>
              <w:adjustRightInd/>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Secrétariat en coopération avec les ORGP</w:t>
            </w:r>
          </w:p>
        </w:tc>
      </w:tr>
      <w:tr w:rsidR="002C2126" w:rsidRPr="002C2126" w14:paraId="6DBC3381"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06176863" w14:textId="77777777" w:rsidR="002C2126" w:rsidRPr="002C2126" w:rsidRDefault="002C2126" w:rsidP="002C2126">
            <w:pPr>
              <w:widowControl/>
              <w:numPr>
                <w:ilvl w:val="0"/>
                <w:numId w:val="6"/>
              </w:numPr>
              <w:autoSpaceDE/>
              <w:autoSpaceDN/>
              <w:adjustRightInd/>
              <w:spacing w:before="120" w:after="120"/>
              <w:ind w:left="435" w:hanging="435"/>
              <w:contextualSpacing/>
              <w:rPr>
                <w:rFonts w:ascii="Arial" w:hAnsi="Arial" w:cs="Arial"/>
                <w:szCs w:val="20"/>
                <w:lang w:val="fr-FR"/>
              </w:rPr>
            </w:pPr>
            <w:r w:rsidRPr="002C2126">
              <w:rPr>
                <w:rFonts w:ascii="Arial" w:hAnsi="Arial" w:cs="Arial"/>
                <w:szCs w:val="20"/>
                <w:lang w:val="fr-FR"/>
              </w:rPr>
              <w:t>Élaborer un recueil sur les requins ;</w:t>
            </w:r>
          </w:p>
        </w:tc>
        <w:tc>
          <w:tcPr>
            <w:tcW w:w="695" w:type="pct"/>
          </w:tcPr>
          <w:p w14:paraId="4B0C5723" w14:textId="77777777" w:rsidR="002C2126" w:rsidRPr="002C2126" w:rsidRDefault="002C2126" w:rsidP="002C2126">
            <w:pPr>
              <w:widowControl/>
              <w:numPr>
                <w:ilvl w:val="0"/>
                <w:numId w:val="9"/>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Secrétariat</w:t>
            </w:r>
          </w:p>
          <w:p w14:paraId="3377A3E5" w14:textId="77777777" w:rsidR="002C2126" w:rsidRPr="002C2126" w:rsidRDefault="002C2126" w:rsidP="002C2126">
            <w:pPr>
              <w:widowControl/>
              <w:numPr>
                <w:ilvl w:val="0"/>
                <w:numId w:val="9"/>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Conseils d’ordre scientifique du CC</w:t>
            </w:r>
          </w:p>
        </w:tc>
        <w:tc>
          <w:tcPr>
            <w:tcW w:w="874" w:type="pct"/>
          </w:tcPr>
          <w:p w14:paraId="0FD75B4A"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Cs w:val="20"/>
                <w:shd w:val="clear" w:color="auto" w:fill="FFFFFF"/>
                <w:lang w:val="fr-FR"/>
              </w:rPr>
            </w:pPr>
            <w:r w:rsidRPr="002C2126">
              <w:rPr>
                <w:rFonts w:ascii="Arial" w:hAnsi="Arial" w:cs="Arial"/>
                <w:b/>
                <w:bCs/>
                <w:color w:val="000000"/>
                <w:szCs w:val="20"/>
                <w:shd w:val="clear" w:color="auto" w:fill="FFFFFF"/>
                <w:lang w:val="fr-FR"/>
              </w:rPr>
              <w:t xml:space="preserve">Objectif A : </w:t>
            </w:r>
            <w:r w:rsidRPr="002C2126">
              <w:rPr>
                <w:rFonts w:ascii="Arial" w:hAnsi="Arial" w:cs="Arial"/>
                <w:color w:val="000000"/>
                <w:szCs w:val="20"/>
                <w:shd w:val="clear" w:color="auto" w:fill="FFFFFF"/>
                <w:lang w:val="fr-FR"/>
              </w:rPr>
              <w:t>Améliorer la compréhension des populations de requins migrateurs par la recherche, la surveillance et l’échange d’informations (A 2.1 (P 5), 2.3 (P 5))</w:t>
            </w:r>
          </w:p>
        </w:tc>
        <w:tc>
          <w:tcPr>
            <w:tcW w:w="655" w:type="pct"/>
          </w:tcPr>
          <w:p w14:paraId="53D5EA37"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C2126">
              <w:rPr>
                <w:rFonts w:ascii="Arial" w:hAnsi="Arial" w:cs="Arial"/>
                <w:szCs w:val="20"/>
              </w:rPr>
              <w:t>20XX</w:t>
            </w:r>
          </w:p>
        </w:tc>
        <w:tc>
          <w:tcPr>
            <w:tcW w:w="1318" w:type="pct"/>
          </w:tcPr>
          <w:p w14:paraId="508732FF" w14:textId="77777777" w:rsidR="002C2126" w:rsidRPr="002C2126" w:rsidRDefault="002C2126" w:rsidP="002C2126">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 xml:space="preserve">L’objectif spécifique du projet identifié est </w:t>
            </w:r>
            <w:proofErr w:type="gramStart"/>
            <w:r w:rsidRPr="002C2126">
              <w:rPr>
                <w:rFonts w:ascii="Arial" w:hAnsi="Arial" w:cs="Arial"/>
                <w:szCs w:val="20"/>
                <w:lang w:val="fr-FR"/>
              </w:rPr>
              <w:t>fournir</w:t>
            </w:r>
            <w:proofErr w:type="gramEnd"/>
            <w:r w:rsidRPr="002C2126">
              <w:rPr>
                <w:rFonts w:ascii="Arial" w:hAnsi="Arial" w:cs="Arial"/>
                <w:szCs w:val="20"/>
                <w:lang w:val="fr-FR"/>
              </w:rPr>
              <w:t xml:space="preserve"> aux Signataires du </w:t>
            </w:r>
            <w:proofErr w:type="spellStart"/>
            <w:r w:rsidRPr="002C2126">
              <w:rPr>
                <w:rFonts w:ascii="Arial" w:hAnsi="Arial" w:cs="Arial"/>
                <w:szCs w:val="20"/>
                <w:lang w:val="fr-FR"/>
              </w:rPr>
              <w:t>MdE</w:t>
            </w:r>
            <w:proofErr w:type="spellEnd"/>
            <w:r w:rsidRPr="002C2126">
              <w:rPr>
                <w:rFonts w:ascii="Arial" w:hAnsi="Arial" w:cs="Arial"/>
                <w:szCs w:val="20"/>
                <w:lang w:val="fr-FR"/>
              </w:rPr>
              <w:t xml:space="preserve"> requins une image claire de la situation de la conservation à travers le monde, pour identifier les lacunes éventuelles des données qui devraient être traitées soit par une intervention directe du </w:t>
            </w:r>
            <w:proofErr w:type="spellStart"/>
            <w:r w:rsidRPr="002C2126">
              <w:rPr>
                <w:rFonts w:ascii="Arial" w:hAnsi="Arial" w:cs="Arial"/>
                <w:szCs w:val="20"/>
                <w:lang w:val="fr-FR"/>
              </w:rPr>
              <w:t>MdE</w:t>
            </w:r>
            <w:proofErr w:type="spellEnd"/>
            <w:r w:rsidRPr="002C2126">
              <w:rPr>
                <w:rFonts w:ascii="Arial" w:hAnsi="Arial" w:cs="Arial"/>
                <w:szCs w:val="20"/>
                <w:lang w:val="fr-FR"/>
              </w:rPr>
              <w:t>, soit par la contribution que les Signataires pourraient fournir dans d’autres forums de gestion de la pêche, en particulier les ORGP.</w:t>
            </w:r>
          </w:p>
        </w:tc>
      </w:tr>
      <w:tr w:rsidR="002C2126" w:rsidRPr="002C2126" w14:paraId="3C30E751"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6810D804" w14:textId="77777777" w:rsidR="002C2126" w:rsidRPr="002C2126" w:rsidRDefault="002C2126" w:rsidP="002C2126">
            <w:pPr>
              <w:widowControl/>
              <w:numPr>
                <w:ilvl w:val="0"/>
                <w:numId w:val="6"/>
              </w:numPr>
              <w:autoSpaceDE/>
              <w:autoSpaceDN/>
              <w:adjustRightInd/>
              <w:spacing w:before="120" w:after="120"/>
              <w:ind w:left="435" w:hanging="435"/>
              <w:contextualSpacing/>
              <w:rPr>
                <w:rFonts w:ascii="Arial" w:hAnsi="Arial" w:cs="Arial"/>
                <w:szCs w:val="20"/>
                <w:lang w:val="fr-FR"/>
              </w:rPr>
            </w:pPr>
            <w:r w:rsidRPr="002C2126">
              <w:rPr>
                <w:rFonts w:ascii="Arial" w:hAnsi="Arial" w:cs="Arial"/>
                <w:szCs w:val="20"/>
                <w:lang w:val="fr-FR"/>
              </w:rPr>
              <w:t>Traduire (si convenu/au besoin) et diffuser un recueil sur les requins.</w:t>
            </w:r>
          </w:p>
        </w:tc>
        <w:tc>
          <w:tcPr>
            <w:tcW w:w="695" w:type="pct"/>
          </w:tcPr>
          <w:p w14:paraId="693C10E7" w14:textId="77777777" w:rsidR="002C2126" w:rsidRPr="002C2126" w:rsidRDefault="002C2126" w:rsidP="002C2126">
            <w:pPr>
              <w:widowControl/>
              <w:numPr>
                <w:ilvl w:val="0"/>
                <w:numId w:val="9"/>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Secrétariat</w:t>
            </w:r>
          </w:p>
        </w:tc>
        <w:tc>
          <w:tcPr>
            <w:tcW w:w="874" w:type="pct"/>
          </w:tcPr>
          <w:p w14:paraId="40616CFF"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b/>
                <w:bCs/>
                <w:color w:val="000000"/>
                <w:szCs w:val="20"/>
                <w:shd w:val="clear" w:color="auto" w:fill="FFFFFF"/>
                <w:lang w:val="fr-FR"/>
              </w:rPr>
              <w:t xml:space="preserve">Objectif A : </w:t>
            </w:r>
            <w:r w:rsidRPr="002C2126">
              <w:rPr>
                <w:rFonts w:ascii="Arial" w:hAnsi="Arial" w:cs="Arial"/>
                <w:color w:val="000000"/>
                <w:szCs w:val="20"/>
                <w:shd w:val="clear" w:color="auto" w:fill="FFFFFF"/>
                <w:lang w:val="fr-FR"/>
              </w:rPr>
              <w:t xml:space="preserve">Améliorer la compréhension des populations de requins migrateurs par la recherche, la surveillance et l’échange d’informations, Annexe 3 du </w:t>
            </w:r>
            <w:proofErr w:type="spellStart"/>
            <w:r w:rsidRPr="002C2126">
              <w:rPr>
                <w:rFonts w:ascii="Arial" w:hAnsi="Arial" w:cs="Arial"/>
                <w:color w:val="000000"/>
                <w:szCs w:val="20"/>
                <w:shd w:val="clear" w:color="auto" w:fill="FFFFFF"/>
                <w:lang w:val="fr-FR"/>
              </w:rPr>
              <w:t>MdE</w:t>
            </w:r>
            <w:proofErr w:type="spellEnd"/>
            <w:r w:rsidRPr="002C2126">
              <w:rPr>
                <w:rFonts w:ascii="Arial" w:hAnsi="Arial" w:cs="Arial"/>
                <w:color w:val="000000"/>
                <w:szCs w:val="20"/>
                <w:shd w:val="clear" w:color="auto" w:fill="FFFFFF"/>
                <w:lang w:val="fr-FR"/>
              </w:rPr>
              <w:t>, (A 2.1 (P 5), 2.3 (P 5))</w:t>
            </w:r>
          </w:p>
        </w:tc>
        <w:tc>
          <w:tcPr>
            <w:tcW w:w="655" w:type="pct"/>
          </w:tcPr>
          <w:p w14:paraId="749F4EDF"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2C2126">
              <w:rPr>
                <w:rFonts w:ascii="Arial" w:hAnsi="Arial" w:cs="Arial"/>
                <w:szCs w:val="20"/>
              </w:rPr>
              <w:t>20XX</w:t>
            </w:r>
          </w:p>
        </w:tc>
        <w:tc>
          <w:tcPr>
            <w:tcW w:w="1318" w:type="pct"/>
          </w:tcPr>
          <w:p w14:paraId="1EA1B1DB" w14:textId="77777777" w:rsidR="002C2126" w:rsidRPr="002C2126" w:rsidRDefault="002C2126" w:rsidP="002C2126">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r>
      <w:tr w:rsidR="002C2126" w:rsidRPr="002C2126" w14:paraId="2647FA56"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3B26D037" w14:textId="77777777" w:rsidR="002C2126" w:rsidRPr="002C2126" w:rsidRDefault="002C2126" w:rsidP="002C2126">
            <w:pPr>
              <w:widowControl/>
              <w:numPr>
                <w:ilvl w:val="0"/>
                <w:numId w:val="6"/>
              </w:numPr>
              <w:autoSpaceDE/>
              <w:autoSpaceDN/>
              <w:adjustRightInd/>
              <w:spacing w:before="120" w:after="120"/>
              <w:ind w:left="435" w:hanging="435"/>
              <w:contextualSpacing/>
              <w:rPr>
                <w:rFonts w:ascii="Arial" w:hAnsi="Arial" w:cs="Arial"/>
                <w:szCs w:val="20"/>
                <w:lang w:val="fr-FR"/>
              </w:rPr>
            </w:pPr>
            <w:r w:rsidRPr="002C2126">
              <w:rPr>
                <w:rFonts w:ascii="Arial" w:hAnsi="Arial" w:cs="Arial"/>
                <w:szCs w:val="20"/>
                <w:lang w:val="fr-FR"/>
              </w:rPr>
              <w:lastRenderedPageBreak/>
              <w:t>Identifier d’autres documents à préparer :</w:t>
            </w:r>
          </w:p>
          <w:p w14:paraId="5B0E93E3" w14:textId="77777777" w:rsidR="002C2126" w:rsidRPr="002C2126" w:rsidRDefault="002C2126" w:rsidP="002C2126">
            <w:pPr>
              <w:widowControl/>
              <w:numPr>
                <w:ilvl w:val="1"/>
                <w:numId w:val="7"/>
              </w:numPr>
              <w:autoSpaceDE/>
              <w:autoSpaceDN/>
              <w:adjustRightInd/>
              <w:spacing w:before="120" w:after="120"/>
              <w:ind w:left="795"/>
              <w:contextualSpacing/>
              <w:rPr>
                <w:rFonts w:ascii="Arial" w:hAnsi="Arial" w:cs="Arial"/>
                <w:szCs w:val="20"/>
                <w:lang w:val="fr-FR"/>
              </w:rPr>
            </w:pPr>
            <w:r w:rsidRPr="002C2126">
              <w:rPr>
                <w:rFonts w:ascii="Arial" w:hAnsi="Arial" w:cs="Arial"/>
                <w:szCs w:val="20"/>
                <w:lang w:val="fr-FR"/>
              </w:rPr>
              <w:t>Identification des espèces</w:t>
            </w:r>
          </w:p>
          <w:p w14:paraId="594C575C" w14:textId="77777777" w:rsidR="002C2126" w:rsidRPr="002C2126" w:rsidRDefault="002C2126" w:rsidP="002C2126">
            <w:pPr>
              <w:widowControl/>
              <w:numPr>
                <w:ilvl w:val="1"/>
                <w:numId w:val="7"/>
              </w:numPr>
              <w:autoSpaceDE/>
              <w:autoSpaceDN/>
              <w:adjustRightInd/>
              <w:spacing w:before="120" w:after="120"/>
              <w:ind w:left="795"/>
              <w:contextualSpacing/>
              <w:rPr>
                <w:rFonts w:ascii="Arial" w:hAnsi="Arial" w:cs="Arial"/>
                <w:szCs w:val="20"/>
                <w:lang w:val="fr-FR"/>
              </w:rPr>
            </w:pPr>
            <w:r w:rsidRPr="002C2126">
              <w:rPr>
                <w:rFonts w:ascii="Arial" w:hAnsi="Arial" w:cs="Arial"/>
                <w:szCs w:val="20"/>
                <w:lang w:val="fr-FR"/>
              </w:rPr>
              <w:t>Aperçu du statut et des instruments juridiques</w:t>
            </w:r>
          </w:p>
          <w:p w14:paraId="60C053D7" w14:textId="77777777" w:rsidR="002C2126" w:rsidRPr="002C2126" w:rsidRDefault="002C2126" w:rsidP="002C2126">
            <w:pPr>
              <w:widowControl/>
              <w:numPr>
                <w:ilvl w:val="1"/>
                <w:numId w:val="7"/>
              </w:numPr>
              <w:autoSpaceDE/>
              <w:autoSpaceDN/>
              <w:adjustRightInd/>
              <w:spacing w:before="120" w:after="120"/>
              <w:ind w:left="795"/>
              <w:contextualSpacing/>
              <w:rPr>
                <w:rFonts w:ascii="Arial" w:hAnsi="Arial" w:cs="Arial"/>
                <w:szCs w:val="20"/>
                <w:lang w:val="fr-FR"/>
              </w:rPr>
            </w:pPr>
            <w:r w:rsidRPr="002C2126">
              <w:rPr>
                <w:rFonts w:ascii="Arial" w:hAnsi="Arial" w:cs="Arial"/>
                <w:szCs w:val="20"/>
                <w:lang w:val="fr-FR"/>
              </w:rPr>
              <w:t>Statut des espèces dans les différentes ORGP</w:t>
            </w:r>
          </w:p>
          <w:p w14:paraId="4D5D3CC4" w14:textId="77777777" w:rsidR="002C2126" w:rsidRPr="002C2126" w:rsidRDefault="002C2126" w:rsidP="002C2126">
            <w:pPr>
              <w:widowControl/>
              <w:numPr>
                <w:ilvl w:val="1"/>
                <w:numId w:val="7"/>
              </w:numPr>
              <w:autoSpaceDE/>
              <w:autoSpaceDN/>
              <w:adjustRightInd/>
              <w:spacing w:before="120" w:after="120"/>
              <w:ind w:left="795"/>
              <w:contextualSpacing/>
              <w:rPr>
                <w:rFonts w:ascii="Arial" w:hAnsi="Arial" w:cs="Arial"/>
                <w:szCs w:val="20"/>
                <w:lang w:val="fr-FR"/>
              </w:rPr>
            </w:pPr>
            <w:r w:rsidRPr="002C2126">
              <w:rPr>
                <w:rFonts w:ascii="Arial" w:hAnsi="Arial" w:cs="Arial"/>
                <w:szCs w:val="20"/>
                <w:lang w:val="fr-FR"/>
              </w:rPr>
              <w:t>Collecte des données ;</w:t>
            </w:r>
          </w:p>
        </w:tc>
        <w:tc>
          <w:tcPr>
            <w:tcW w:w="695" w:type="pct"/>
          </w:tcPr>
          <w:p w14:paraId="0CF106FE" w14:textId="77777777" w:rsidR="002C2126" w:rsidRPr="002C2126" w:rsidRDefault="002C2126" w:rsidP="002C2126">
            <w:pPr>
              <w:widowControl/>
              <w:numPr>
                <w:ilvl w:val="0"/>
                <w:numId w:val="9"/>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Secrétariat</w:t>
            </w:r>
          </w:p>
          <w:p w14:paraId="15A6054F" w14:textId="77777777" w:rsidR="002C2126" w:rsidRPr="002C2126" w:rsidRDefault="002C2126" w:rsidP="002C2126">
            <w:pPr>
              <w:widowControl/>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roofErr w:type="gramStart"/>
            <w:r w:rsidRPr="002C2126">
              <w:rPr>
                <w:rFonts w:ascii="Arial" w:hAnsi="Arial" w:cs="Arial"/>
                <w:szCs w:val="20"/>
                <w:lang w:val="fr-FR"/>
              </w:rPr>
              <w:t>en</w:t>
            </w:r>
            <w:proofErr w:type="gramEnd"/>
            <w:r w:rsidRPr="002C2126">
              <w:rPr>
                <w:rFonts w:ascii="Arial" w:hAnsi="Arial" w:cs="Arial"/>
                <w:szCs w:val="20"/>
                <w:lang w:val="fr-FR"/>
              </w:rPr>
              <w:t xml:space="preserve"> coopération avec les ORGP</w:t>
            </w:r>
          </w:p>
        </w:tc>
        <w:tc>
          <w:tcPr>
            <w:tcW w:w="874" w:type="pct"/>
          </w:tcPr>
          <w:p w14:paraId="1D2662AC"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b/>
                <w:bCs/>
                <w:color w:val="000000"/>
                <w:szCs w:val="20"/>
                <w:shd w:val="clear" w:color="auto" w:fill="FFFFFF"/>
                <w:lang w:val="fr-FR"/>
              </w:rPr>
              <w:t xml:space="preserve">Objectif A : </w:t>
            </w:r>
            <w:r w:rsidRPr="002C2126">
              <w:rPr>
                <w:rFonts w:ascii="Arial" w:hAnsi="Arial" w:cs="Arial"/>
                <w:color w:val="000000"/>
                <w:szCs w:val="20"/>
                <w:shd w:val="clear" w:color="auto" w:fill="FFFFFF"/>
                <w:lang w:val="fr-FR"/>
              </w:rPr>
              <w:t xml:space="preserve">Améliorer la compréhension des populations de requins migrateurs par la recherche, la surveillance et l’échange d’informations, (Annexe 3 du </w:t>
            </w:r>
            <w:proofErr w:type="spellStart"/>
            <w:r w:rsidRPr="002C2126">
              <w:rPr>
                <w:rFonts w:ascii="Arial" w:hAnsi="Arial" w:cs="Arial"/>
                <w:color w:val="000000"/>
                <w:szCs w:val="20"/>
                <w:shd w:val="clear" w:color="auto" w:fill="FFFFFF"/>
                <w:lang w:val="fr-FR"/>
              </w:rPr>
              <w:t>MdE</w:t>
            </w:r>
            <w:proofErr w:type="spellEnd"/>
            <w:r w:rsidRPr="002C2126">
              <w:rPr>
                <w:rFonts w:ascii="Arial" w:hAnsi="Arial" w:cs="Arial"/>
                <w:color w:val="000000"/>
                <w:szCs w:val="20"/>
                <w:shd w:val="clear" w:color="auto" w:fill="FFFFFF"/>
                <w:lang w:val="fr-FR"/>
              </w:rPr>
              <w:t>, A 2.3 (P 5), 2.4 (P 5))</w:t>
            </w:r>
          </w:p>
        </w:tc>
        <w:tc>
          <w:tcPr>
            <w:tcW w:w="655" w:type="pct"/>
          </w:tcPr>
          <w:p w14:paraId="64A41216"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C2126">
              <w:rPr>
                <w:rFonts w:ascii="Arial" w:hAnsi="Arial" w:cs="Arial"/>
                <w:szCs w:val="20"/>
              </w:rPr>
              <w:t>20XX</w:t>
            </w:r>
          </w:p>
        </w:tc>
        <w:tc>
          <w:tcPr>
            <w:tcW w:w="1318" w:type="pct"/>
          </w:tcPr>
          <w:p w14:paraId="0556B947" w14:textId="77777777" w:rsidR="002C2126" w:rsidRPr="002C2126" w:rsidRDefault="002C2126" w:rsidP="002C2126">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La « Banque de données sur les mesures pour la conservation et la gestion des requins » de la FAO et la MOS1 avaient déjà élaboré du matériel à cet égard. En outre, de nombreuses informations pourraient déjà être détenues par les différentes ORGP.</w:t>
            </w:r>
          </w:p>
          <w:p w14:paraId="6B0E7FC1" w14:textId="77777777" w:rsidR="002C2126" w:rsidRPr="002C2126" w:rsidRDefault="002C2126" w:rsidP="002C2126">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r>
      <w:tr w:rsidR="002C2126" w:rsidRPr="002C2126" w14:paraId="0A2A286F"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2153" w:type="pct"/>
            <w:gridSpan w:val="2"/>
          </w:tcPr>
          <w:p w14:paraId="325B8C63" w14:textId="77777777" w:rsidR="002C2126" w:rsidRPr="002C2126" w:rsidRDefault="002C2126" w:rsidP="002C2126">
            <w:pPr>
              <w:widowControl/>
              <w:numPr>
                <w:ilvl w:val="0"/>
                <w:numId w:val="8"/>
              </w:numPr>
              <w:autoSpaceDE/>
              <w:autoSpaceDN/>
              <w:adjustRightInd/>
              <w:spacing w:before="120" w:after="120"/>
              <w:ind w:left="286" w:hanging="304"/>
              <w:contextualSpacing/>
              <w:rPr>
                <w:rFonts w:ascii="Arial" w:hAnsi="Arial" w:cs="Arial"/>
                <w:szCs w:val="20"/>
                <w:lang w:val="fr-FR"/>
              </w:rPr>
            </w:pPr>
            <w:r w:rsidRPr="002C2126">
              <w:rPr>
                <w:rFonts w:ascii="Arial" w:hAnsi="Arial" w:cs="Arial"/>
                <w:szCs w:val="20"/>
                <w:lang w:val="fr-FR"/>
              </w:rPr>
              <w:t>Sensibilisation et communication :</w:t>
            </w:r>
          </w:p>
        </w:tc>
        <w:tc>
          <w:tcPr>
            <w:tcW w:w="874" w:type="pct"/>
          </w:tcPr>
          <w:p w14:paraId="7D256EF4"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655" w:type="pct"/>
          </w:tcPr>
          <w:p w14:paraId="201E814D"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1318" w:type="pct"/>
          </w:tcPr>
          <w:p w14:paraId="4D5327C9"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r>
      <w:tr w:rsidR="002C2126" w:rsidRPr="002C2126" w14:paraId="38B21D58"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0E5DD8B5" w14:textId="77777777" w:rsidR="002C2126" w:rsidRPr="002C2126" w:rsidRDefault="002C2126" w:rsidP="002C2126">
            <w:pPr>
              <w:widowControl/>
              <w:autoSpaceDE/>
              <w:autoSpaceDN/>
              <w:adjustRightInd/>
              <w:spacing w:before="120" w:after="120"/>
              <w:contextualSpacing/>
              <w:rPr>
                <w:rFonts w:ascii="Arial" w:hAnsi="Arial" w:cs="Arial"/>
                <w:szCs w:val="20"/>
                <w:lang w:val="fr-FR"/>
              </w:rPr>
            </w:pPr>
            <w:r w:rsidRPr="002C2126">
              <w:rPr>
                <w:rFonts w:ascii="Arial" w:hAnsi="Arial" w:cs="Arial"/>
                <w:szCs w:val="20"/>
                <w:lang w:val="fr-FR"/>
              </w:rPr>
              <w:t>Élaborer des supports de sensibilisation ou identifier ceux qui existent déjà et les diffuser.</w:t>
            </w:r>
          </w:p>
        </w:tc>
        <w:tc>
          <w:tcPr>
            <w:tcW w:w="695" w:type="pct"/>
          </w:tcPr>
          <w:p w14:paraId="414F5BF0" w14:textId="77777777" w:rsidR="002C2126" w:rsidRPr="002C2126" w:rsidRDefault="002C2126" w:rsidP="002C2126">
            <w:pPr>
              <w:widowControl/>
              <w:numPr>
                <w:ilvl w:val="0"/>
                <w:numId w:val="9"/>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Partenaires de coopération</w:t>
            </w:r>
          </w:p>
          <w:p w14:paraId="1C86EB45" w14:textId="77777777" w:rsidR="002C2126" w:rsidRPr="002C2126" w:rsidRDefault="002C2126" w:rsidP="002C2126">
            <w:pPr>
              <w:widowControl/>
              <w:numPr>
                <w:ilvl w:val="0"/>
                <w:numId w:val="9"/>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Secrétariat</w:t>
            </w:r>
          </w:p>
          <w:p w14:paraId="7EFC6AD0" w14:textId="77777777" w:rsidR="002C2126" w:rsidRPr="002C2126" w:rsidRDefault="002C2126" w:rsidP="002C2126">
            <w:pPr>
              <w:widowControl/>
              <w:numPr>
                <w:ilvl w:val="0"/>
                <w:numId w:val="9"/>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CC</w:t>
            </w:r>
          </w:p>
        </w:tc>
        <w:tc>
          <w:tcPr>
            <w:tcW w:w="874" w:type="pct"/>
          </w:tcPr>
          <w:p w14:paraId="349AA8F8"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shd w:val="clear" w:color="auto" w:fill="FFFFFF"/>
                <w:lang w:val="fr-FR"/>
              </w:rPr>
            </w:pPr>
            <w:r w:rsidRPr="002C2126">
              <w:rPr>
                <w:rFonts w:ascii="Arial" w:hAnsi="Arial" w:cs="Arial"/>
                <w:b/>
                <w:bCs/>
                <w:color w:val="000000"/>
                <w:szCs w:val="20"/>
                <w:shd w:val="clear" w:color="auto" w:fill="FFFFFF"/>
                <w:lang w:val="fr-FR"/>
              </w:rPr>
              <w:t xml:space="preserve">Objectif D : </w:t>
            </w:r>
            <w:r w:rsidRPr="002C2126">
              <w:rPr>
                <w:rFonts w:ascii="Arial" w:hAnsi="Arial" w:cs="Arial"/>
                <w:color w:val="000000"/>
                <w:szCs w:val="20"/>
                <w:shd w:val="clear" w:color="auto" w:fill="FFFFFF"/>
                <w:lang w:val="fr-FR"/>
              </w:rPr>
              <w:t xml:space="preserve">Sensibiliser davantage le public aux menaces qui pèsent sur les requins et leurs habitats et renforcer la participation du public aux activités de conservation. Annexe 3 du </w:t>
            </w:r>
            <w:proofErr w:type="spellStart"/>
            <w:r w:rsidRPr="002C2126">
              <w:rPr>
                <w:rFonts w:ascii="Arial" w:hAnsi="Arial" w:cs="Arial"/>
                <w:color w:val="000000"/>
                <w:szCs w:val="20"/>
                <w:shd w:val="clear" w:color="auto" w:fill="FFFFFF"/>
                <w:lang w:val="fr-FR"/>
              </w:rPr>
              <w:t>MdE</w:t>
            </w:r>
            <w:proofErr w:type="spellEnd"/>
            <w:r w:rsidRPr="002C2126">
              <w:rPr>
                <w:rFonts w:ascii="Arial" w:hAnsi="Arial" w:cs="Arial"/>
                <w:color w:val="000000"/>
                <w:szCs w:val="20"/>
                <w:shd w:val="clear" w:color="auto" w:fill="FFFFFF"/>
                <w:lang w:val="fr-FR"/>
              </w:rPr>
              <w:t>, A 12.1 (P 2), A 13.1 (P 4)</w:t>
            </w:r>
          </w:p>
        </w:tc>
        <w:tc>
          <w:tcPr>
            <w:tcW w:w="655" w:type="pct"/>
          </w:tcPr>
          <w:p w14:paraId="2C51123A"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C2126">
              <w:rPr>
                <w:rFonts w:ascii="Arial" w:hAnsi="Arial" w:cs="Arial"/>
                <w:szCs w:val="20"/>
              </w:rPr>
              <w:t>20XX</w:t>
            </w:r>
          </w:p>
        </w:tc>
        <w:tc>
          <w:tcPr>
            <w:tcW w:w="1318" w:type="pct"/>
          </w:tcPr>
          <w:p w14:paraId="3D3516A2"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Les informations peuvent être déjà disponibles auprès des Signataires ou d'ONG.</w:t>
            </w:r>
          </w:p>
        </w:tc>
      </w:tr>
      <w:tr w:rsidR="002C2126" w:rsidRPr="002C2126" w14:paraId="5EEF665E"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2153" w:type="pct"/>
            <w:gridSpan w:val="2"/>
          </w:tcPr>
          <w:p w14:paraId="241C804D" w14:textId="77777777" w:rsidR="002C2126" w:rsidRPr="002C2126" w:rsidRDefault="002C2126" w:rsidP="002C2126">
            <w:pPr>
              <w:widowControl/>
              <w:numPr>
                <w:ilvl w:val="0"/>
                <w:numId w:val="8"/>
              </w:numPr>
              <w:autoSpaceDE/>
              <w:autoSpaceDN/>
              <w:adjustRightInd/>
              <w:spacing w:before="120" w:after="120"/>
              <w:ind w:left="286" w:hanging="304"/>
              <w:contextualSpacing/>
              <w:rPr>
                <w:rFonts w:ascii="Arial" w:hAnsi="Arial" w:cs="Arial"/>
                <w:szCs w:val="20"/>
                <w:lang w:val="fr-FR"/>
              </w:rPr>
            </w:pPr>
            <w:r w:rsidRPr="002C2126">
              <w:rPr>
                <w:rFonts w:ascii="Arial" w:hAnsi="Arial" w:cs="Arial"/>
                <w:szCs w:val="20"/>
                <w:lang w:val="fr-FR"/>
              </w:rPr>
              <w:t>Coopération avec les autres États de l’aire de répartition :</w:t>
            </w:r>
          </w:p>
        </w:tc>
        <w:tc>
          <w:tcPr>
            <w:tcW w:w="874" w:type="pct"/>
          </w:tcPr>
          <w:p w14:paraId="7472E0D0"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655" w:type="pct"/>
          </w:tcPr>
          <w:p w14:paraId="76277968"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1318" w:type="pct"/>
          </w:tcPr>
          <w:p w14:paraId="63696FB5"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r>
      <w:tr w:rsidR="002C2126" w:rsidRPr="002C2126" w14:paraId="2D66AE20"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21370868" w14:textId="77777777" w:rsidR="002C2126" w:rsidRPr="002C2126" w:rsidRDefault="002C2126" w:rsidP="002C2126">
            <w:pPr>
              <w:widowControl/>
              <w:autoSpaceDE/>
              <w:autoSpaceDN/>
              <w:adjustRightInd/>
              <w:spacing w:before="120" w:after="120"/>
              <w:contextualSpacing/>
              <w:rPr>
                <w:rFonts w:ascii="Arial" w:hAnsi="Arial" w:cs="Arial"/>
                <w:szCs w:val="20"/>
                <w:lang w:val="fr-FR"/>
              </w:rPr>
            </w:pPr>
            <w:r w:rsidRPr="002C2126">
              <w:rPr>
                <w:rFonts w:ascii="Arial" w:hAnsi="Arial" w:cs="Arial"/>
                <w:szCs w:val="20"/>
                <w:lang w:val="fr-FR"/>
              </w:rPr>
              <w:t>Informer les signataires des possibilités de coopération régionale ou internationale, telles que les initiatives, projets ou réunions multinationales.</w:t>
            </w:r>
          </w:p>
        </w:tc>
        <w:tc>
          <w:tcPr>
            <w:tcW w:w="695" w:type="pct"/>
          </w:tcPr>
          <w:p w14:paraId="574A329B" w14:textId="77777777" w:rsidR="002C2126" w:rsidRPr="002C2126" w:rsidRDefault="002C2126" w:rsidP="002C2126">
            <w:pPr>
              <w:widowControl/>
              <w:numPr>
                <w:ilvl w:val="0"/>
                <w:numId w:val="9"/>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Signataires</w:t>
            </w:r>
          </w:p>
          <w:p w14:paraId="54844052" w14:textId="77777777" w:rsidR="002C2126" w:rsidRPr="002C2126" w:rsidRDefault="002C2126" w:rsidP="002C2126">
            <w:pPr>
              <w:widowControl/>
              <w:numPr>
                <w:ilvl w:val="0"/>
                <w:numId w:val="9"/>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Secrétariat</w:t>
            </w:r>
          </w:p>
          <w:p w14:paraId="70A465B9" w14:textId="77777777" w:rsidR="002C2126" w:rsidRPr="002C2126" w:rsidRDefault="002C2126" w:rsidP="002C2126">
            <w:pPr>
              <w:widowControl/>
              <w:numPr>
                <w:ilvl w:val="0"/>
                <w:numId w:val="9"/>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Partenaires de coopération</w:t>
            </w:r>
          </w:p>
        </w:tc>
        <w:tc>
          <w:tcPr>
            <w:tcW w:w="874" w:type="pct"/>
          </w:tcPr>
          <w:p w14:paraId="6DDF6589"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lang w:val="fr-FR"/>
              </w:rPr>
            </w:pPr>
            <w:r w:rsidRPr="002C2126">
              <w:rPr>
                <w:rFonts w:ascii="Arial" w:hAnsi="Arial" w:cs="Arial"/>
                <w:b/>
                <w:bCs/>
                <w:color w:val="000000"/>
                <w:szCs w:val="20"/>
                <w:shd w:val="clear" w:color="auto" w:fill="FFFFFF"/>
                <w:lang w:val="fr-FR"/>
              </w:rPr>
              <w:t xml:space="preserve">Objectif E : </w:t>
            </w:r>
            <w:r w:rsidRPr="002C2126">
              <w:rPr>
                <w:rFonts w:ascii="Arial" w:hAnsi="Arial" w:cs="Arial"/>
                <w:color w:val="000000"/>
                <w:szCs w:val="20"/>
                <w:shd w:val="clear" w:color="auto" w:fill="FFFFFF"/>
                <w:lang w:val="fr-FR"/>
              </w:rPr>
              <w:t xml:space="preserve">Renforcer la coopération nationale, régionale et internationale, Annexe 3 du </w:t>
            </w:r>
            <w:proofErr w:type="spellStart"/>
            <w:r w:rsidRPr="002C2126">
              <w:rPr>
                <w:rFonts w:ascii="Arial" w:hAnsi="Arial" w:cs="Arial"/>
                <w:color w:val="000000"/>
                <w:szCs w:val="20"/>
                <w:shd w:val="clear" w:color="auto" w:fill="FFFFFF"/>
                <w:lang w:val="fr-FR"/>
              </w:rPr>
              <w:t>MdE</w:t>
            </w:r>
            <w:proofErr w:type="spellEnd"/>
            <w:r w:rsidRPr="002C2126">
              <w:rPr>
                <w:rFonts w:ascii="Arial" w:hAnsi="Arial" w:cs="Arial"/>
                <w:color w:val="000000"/>
                <w:szCs w:val="20"/>
                <w:shd w:val="clear" w:color="auto" w:fill="FFFFFF"/>
                <w:lang w:val="fr-FR"/>
              </w:rPr>
              <w:t>, (A 15.1 (P 5))</w:t>
            </w:r>
          </w:p>
        </w:tc>
        <w:tc>
          <w:tcPr>
            <w:tcW w:w="655" w:type="pct"/>
          </w:tcPr>
          <w:p w14:paraId="2E473860"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C2126">
              <w:rPr>
                <w:rFonts w:ascii="Arial" w:hAnsi="Arial" w:cs="Arial"/>
                <w:szCs w:val="20"/>
              </w:rPr>
              <w:t>20XX</w:t>
            </w:r>
          </w:p>
        </w:tc>
        <w:tc>
          <w:tcPr>
            <w:tcW w:w="1318" w:type="pct"/>
          </w:tcPr>
          <w:p w14:paraId="7D4A7B3C"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Cette activité pourrait être réalisée à faible coût.</w:t>
            </w:r>
          </w:p>
        </w:tc>
      </w:tr>
      <w:tr w:rsidR="002C2126" w:rsidRPr="002C2126" w14:paraId="2F6DB560" w14:textId="77777777" w:rsidTr="00287501">
        <w:trPr>
          <w:cantSplit/>
          <w:trHeight w:val="692"/>
        </w:trPr>
        <w:tc>
          <w:tcPr>
            <w:cnfStyle w:val="001000000000" w:firstRow="0" w:lastRow="0" w:firstColumn="1" w:lastColumn="0" w:oddVBand="0" w:evenVBand="0" w:oddHBand="0" w:evenHBand="0" w:firstRowFirstColumn="0" w:firstRowLastColumn="0" w:lastRowFirstColumn="0" w:lastRowLastColumn="0"/>
            <w:tcW w:w="1458" w:type="pct"/>
            <w:tcBorders>
              <w:bottom w:val="nil"/>
            </w:tcBorders>
          </w:tcPr>
          <w:p w14:paraId="5732C8E1" w14:textId="77777777" w:rsidR="002C2126" w:rsidRPr="002C2126" w:rsidRDefault="002C2126" w:rsidP="002C2126">
            <w:pPr>
              <w:widowControl/>
              <w:autoSpaceDE/>
              <w:autoSpaceDN/>
              <w:adjustRightInd/>
              <w:spacing w:before="120" w:after="120"/>
              <w:contextualSpacing/>
              <w:rPr>
                <w:rFonts w:ascii="Arial" w:hAnsi="Arial" w:cs="Arial"/>
                <w:szCs w:val="20"/>
                <w:lang w:val="fr-FR"/>
              </w:rPr>
            </w:pPr>
          </w:p>
        </w:tc>
        <w:tc>
          <w:tcPr>
            <w:tcW w:w="695" w:type="pct"/>
            <w:tcBorders>
              <w:bottom w:val="nil"/>
            </w:tcBorders>
          </w:tcPr>
          <w:p w14:paraId="525155F9" w14:textId="77777777" w:rsidR="002C2126" w:rsidRPr="002C2126" w:rsidRDefault="002C2126" w:rsidP="002C2126">
            <w:pPr>
              <w:widowControl/>
              <w:autoSpaceDE/>
              <w:autoSpaceDN/>
              <w:adjustRightInd/>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874" w:type="pct"/>
            <w:tcBorders>
              <w:bottom w:val="nil"/>
            </w:tcBorders>
          </w:tcPr>
          <w:p w14:paraId="155C236D"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Cs w:val="20"/>
                <w:shd w:val="clear" w:color="auto" w:fill="FFFFFF"/>
                <w:lang w:val="fr-FR"/>
              </w:rPr>
            </w:pPr>
          </w:p>
        </w:tc>
        <w:tc>
          <w:tcPr>
            <w:tcW w:w="655" w:type="pct"/>
            <w:tcBorders>
              <w:bottom w:val="nil"/>
            </w:tcBorders>
          </w:tcPr>
          <w:p w14:paraId="0AC7CAA4"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1318" w:type="pct"/>
            <w:tcBorders>
              <w:bottom w:val="nil"/>
            </w:tcBorders>
          </w:tcPr>
          <w:p w14:paraId="2DB5B857"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r>
      <w:tr w:rsidR="002C2126" w:rsidRPr="002C2126" w14:paraId="3E8029DE"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Borders>
              <w:top w:val="nil"/>
            </w:tcBorders>
          </w:tcPr>
          <w:p w14:paraId="1ED40090" w14:textId="77777777" w:rsidR="002C2126" w:rsidRPr="002C2126" w:rsidRDefault="002C2126" w:rsidP="002C2126">
            <w:pPr>
              <w:widowControl/>
              <w:numPr>
                <w:ilvl w:val="0"/>
                <w:numId w:val="8"/>
              </w:numPr>
              <w:autoSpaceDE/>
              <w:autoSpaceDN/>
              <w:adjustRightInd/>
              <w:spacing w:before="120" w:after="120"/>
              <w:ind w:left="342"/>
              <w:contextualSpacing/>
              <w:rPr>
                <w:rFonts w:ascii="Arial" w:hAnsi="Arial" w:cs="Arial"/>
                <w:szCs w:val="20"/>
                <w:lang w:val="fr-FR"/>
              </w:rPr>
            </w:pPr>
            <w:r w:rsidRPr="002C2126">
              <w:rPr>
                <w:rFonts w:ascii="Arial" w:hAnsi="Arial" w:cs="Arial"/>
                <w:szCs w:val="20"/>
                <w:lang w:val="fr-FR"/>
              </w:rPr>
              <w:lastRenderedPageBreak/>
              <w:t>Financement :</w:t>
            </w:r>
          </w:p>
        </w:tc>
        <w:tc>
          <w:tcPr>
            <w:tcW w:w="695" w:type="pct"/>
            <w:tcBorders>
              <w:top w:val="nil"/>
            </w:tcBorders>
          </w:tcPr>
          <w:p w14:paraId="4626623D"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874" w:type="pct"/>
            <w:tcBorders>
              <w:top w:val="nil"/>
            </w:tcBorders>
          </w:tcPr>
          <w:p w14:paraId="49939467"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655" w:type="pct"/>
            <w:tcBorders>
              <w:top w:val="nil"/>
            </w:tcBorders>
          </w:tcPr>
          <w:p w14:paraId="3DB10FE1"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318" w:type="pct"/>
            <w:tcBorders>
              <w:top w:val="nil"/>
            </w:tcBorders>
          </w:tcPr>
          <w:p w14:paraId="4CBB0A1F" w14:textId="77777777" w:rsidR="002C2126" w:rsidRPr="002C2126" w:rsidRDefault="002C2126" w:rsidP="002C2126">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r>
      <w:tr w:rsidR="002C2126" w:rsidRPr="002C2126" w14:paraId="36DA7E4F"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55D304FC" w14:textId="77777777" w:rsidR="002C2126" w:rsidRPr="002C2126" w:rsidRDefault="002C2126" w:rsidP="002C2126">
            <w:pPr>
              <w:widowControl/>
              <w:autoSpaceDE/>
              <w:autoSpaceDN/>
              <w:adjustRightInd/>
              <w:spacing w:before="120" w:after="120"/>
              <w:contextualSpacing/>
              <w:rPr>
                <w:rFonts w:ascii="Arial" w:hAnsi="Arial" w:cs="Arial"/>
                <w:szCs w:val="20"/>
                <w:lang w:val="fr-FR"/>
              </w:rPr>
            </w:pPr>
            <w:r w:rsidRPr="002C2126">
              <w:rPr>
                <w:rFonts w:ascii="Arial" w:hAnsi="Arial" w:cs="Arial"/>
                <w:szCs w:val="20"/>
                <w:lang w:val="fr-FR"/>
              </w:rPr>
              <w:t>Identifier les fonds appropriés et sensibiliser les Signataires et les États de l’aire de répartition aux possibilités de financement pour la mise en œuvre.</w:t>
            </w:r>
          </w:p>
        </w:tc>
        <w:tc>
          <w:tcPr>
            <w:tcW w:w="695" w:type="pct"/>
          </w:tcPr>
          <w:p w14:paraId="1B73217F" w14:textId="77777777" w:rsidR="002C2126" w:rsidRPr="002C2126" w:rsidRDefault="002C2126" w:rsidP="002C2126">
            <w:pPr>
              <w:widowControl/>
              <w:numPr>
                <w:ilvl w:val="0"/>
                <w:numId w:val="9"/>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Signataires</w:t>
            </w:r>
          </w:p>
          <w:p w14:paraId="2AD8D8D5" w14:textId="77777777" w:rsidR="002C2126" w:rsidRPr="002C2126" w:rsidRDefault="002C2126" w:rsidP="002C2126">
            <w:pPr>
              <w:widowControl/>
              <w:numPr>
                <w:ilvl w:val="0"/>
                <w:numId w:val="9"/>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Secrétariat</w:t>
            </w:r>
          </w:p>
          <w:p w14:paraId="5C033918" w14:textId="77777777" w:rsidR="002C2126" w:rsidRPr="002C2126" w:rsidRDefault="002C2126" w:rsidP="002C2126">
            <w:pPr>
              <w:widowControl/>
              <w:numPr>
                <w:ilvl w:val="0"/>
                <w:numId w:val="9"/>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Partenaires de coopération</w:t>
            </w:r>
          </w:p>
          <w:p w14:paraId="02B24622" w14:textId="77777777" w:rsidR="002C2126" w:rsidRPr="002C2126" w:rsidRDefault="002C2126" w:rsidP="002C2126">
            <w:pPr>
              <w:widowControl/>
              <w:numPr>
                <w:ilvl w:val="0"/>
                <w:numId w:val="9"/>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CC</w:t>
            </w:r>
          </w:p>
        </w:tc>
        <w:tc>
          <w:tcPr>
            <w:tcW w:w="874" w:type="pct"/>
          </w:tcPr>
          <w:p w14:paraId="0C3935DC"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655" w:type="pct"/>
          </w:tcPr>
          <w:p w14:paraId="09D3F28C"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1318" w:type="pct"/>
          </w:tcPr>
          <w:p w14:paraId="230CA31E" w14:textId="77777777" w:rsidR="002C2126" w:rsidRPr="002C2126" w:rsidRDefault="002C2126" w:rsidP="002C2126">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C2126">
              <w:rPr>
                <w:rFonts w:ascii="Arial" w:hAnsi="Arial" w:cs="Arial"/>
                <w:szCs w:val="20"/>
                <w:lang w:val="fr-FR"/>
              </w:rPr>
              <w:t>Les Signataires, les partenaires de coopération et le CC pourraient être en mesure de faire observations.</w:t>
            </w:r>
          </w:p>
        </w:tc>
      </w:tr>
    </w:tbl>
    <w:p w14:paraId="772C696C" w14:textId="77777777" w:rsidR="002C2126" w:rsidRPr="002C2126" w:rsidRDefault="002C2126" w:rsidP="002C2126">
      <w:pPr>
        <w:ind w:right="252"/>
        <w:rPr>
          <w:rFonts w:ascii="Arial" w:hAnsi="Arial" w:cs="Arial"/>
          <w:bCs/>
          <w:iCs/>
          <w:sz w:val="22"/>
          <w:szCs w:val="22"/>
          <w:lang w:val="fr-FR"/>
        </w:rPr>
      </w:pPr>
    </w:p>
    <w:p w14:paraId="7DD5546F" w14:textId="77777777" w:rsidR="002C2126" w:rsidRDefault="002C2126" w:rsidP="00627A42">
      <w:pPr>
        <w:jc w:val="both"/>
        <w:rPr>
          <w:rFonts w:ascii="Arial" w:hAnsi="Arial" w:cs="Arial"/>
          <w:bCs/>
          <w:sz w:val="22"/>
          <w:szCs w:val="22"/>
          <w:lang w:val="fr-FR"/>
        </w:rPr>
        <w:sectPr w:rsidR="002C2126" w:rsidSect="002C2126">
          <w:headerReference w:type="even" r:id="rId15"/>
          <w:headerReference w:type="default" r:id="rId16"/>
          <w:headerReference w:type="first" r:id="rId17"/>
          <w:footerReference w:type="first" r:id="rId18"/>
          <w:pgSz w:w="16838" w:h="11906" w:orient="landscape" w:code="9"/>
          <w:pgMar w:top="1440" w:right="1440" w:bottom="1440" w:left="1440" w:header="720" w:footer="720" w:gutter="0"/>
          <w:cols w:space="720"/>
          <w:titlePg/>
          <w:docGrid w:linePitch="360"/>
        </w:sectPr>
      </w:pPr>
    </w:p>
    <w:p w14:paraId="60BD3B1D" w14:textId="77777777" w:rsidR="002C2126" w:rsidRPr="002C2126" w:rsidRDefault="002C2126" w:rsidP="002C2126">
      <w:pPr>
        <w:ind w:right="252"/>
        <w:jc w:val="right"/>
        <w:rPr>
          <w:rFonts w:ascii="Arial" w:hAnsi="Arial" w:cs="Arial"/>
          <w:b/>
          <w:iCs/>
          <w:sz w:val="22"/>
          <w:szCs w:val="22"/>
          <w:lang w:val="fr-FR"/>
        </w:rPr>
      </w:pPr>
      <w:r w:rsidRPr="002C2126">
        <w:rPr>
          <w:rFonts w:ascii="Arial" w:hAnsi="Arial" w:cs="Arial"/>
          <w:b/>
          <w:iCs/>
          <w:sz w:val="22"/>
          <w:szCs w:val="22"/>
          <w:lang w:val="fr-FR"/>
        </w:rPr>
        <w:lastRenderedPageBreak/>
        <w:t>ANNEXE</w:t>
      </w:r>
    </w:p>
    <w:p w14:paraId="5691AB6A" w14:textId="77777777" w:rsidR="002C2126" w:rsidRPr="002C2126" w:rsidRDefault="002C2126" w:rsidP="002C2126">
      <w:pPr>
        <w:ind w:right="252"/>
        <w:jc w:val="center"/>
        <w:rPr>
          <w:rFonts w:ascii="Arial" w:hAnsi="Arial" w:cs="Arial"/>
          <w:b/>
          <w:iCs/>
          <w:sz w:val="22"/>
          <w:szCs w:val="22"/>
          <w:lang w:val="fr-FR"/>
        </w:rPr>
      </w:pPr>
    </w:p>
    <w:p w14:paraId="2D69E038" w14:textId="77777777" w:rsidR="002C2126" w:rsidRPr="002C2126" w:rsidRDefault="002C2126" w:rsidP="002C2126">
      <w:pPr>
        <w:ind w:right="252"/>
        <w:jc w:val="center"/>
        <w:rPr>
          <w:rFonts w:ascii="Arial" w:hAnsi="Arial" w:cs="Arial"/>
          <w:b/>
          <w:iCs/>
          <w:sz w:val="22"/>
          <w:szCs w:val="22"/>
          <w:lang w:val="fr-FR"/>
        </w:rPr>
      </w:pPr>
      <w:r w:rsidRPr="002C2126">
        <w:rPr>
          <w:rFonts w:ascii="Arial" w:hAnsi="Arial" w:cs="Arial"/>
          <w:b/>
          <w:iCs/>
          <w:sz w:val="22"/>
          <w:szCs w:val="22"/>
          <w:lang w:val="fr-FR"/>
        </w:rPr>
        <w:t>OBSERVATIONS DU SECRÉTARIAT</w:t>
      </w:r>
    </w:p>
    <w:p w14:paraId="51CB8E99" w14:textId="77777777" w:rsidR="002C2126" w:rsidRPr="002C2126" w:rsidRDefault="002C2126" w:rsidP="002C2126">
      <w:pPr>
        <w:ind w:right="252"/>
        <w:jc w:val="center"/>
        <w:rPr>
          <w:rFonts w:ascii="Arial" w:hAnsi="Arial" w:cs="Arial"/>
          <w:b/>
          <w:iCs/>
          <w:sz w:val="22"/>
          <w:szCs w:val="22"/>
          <w:lang w:val="fr-FR"/>
        </w:rPr>
      </w:pPr>
    </w:p>
    <w:p w14:paraId="092A5DA6" w14:textId="77777777" w:rsidR="002C2126" w:rsidRPr="002C2126" w:rsidRDefault="002C2126" w:rsidP="002C2126">
      <w:pPr>
        <w:ind w:right="252"/>
        <w:jc w:val="center"/>
        <w:rPr>
          <w:rFonts w:ascii="Arial" w:hAnsi="Arial" w:cs="Arial"/>
          <w:b/>
          <w:iCs/>
          <w:sz w:val="22"/>
          <w:szCs w:val="22"/>
          <w:lang w:val="fr-FR"/>
        </w:rPr>
      </w:pPr>
    </w:p>
    <w:p w14:paraId="39576985"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Le Secrétariat a examiné la proposition de l’Union européenne (UE) visant à établir un recueil mondial de l’état de conservation et des mesures de gestion des requins et fournit ci-dessous des observations concernant les ressources nécessaires par rapport aux différentes options de mise en œuvre.</w:t>
      </w:r>
    </w:p>
    <w:p w14:paraId="6977E057" w14:textId="77777777" w:rsidR="002C2126" w:rsidRPr="002C2126" w:rsidRDefault="002C2126" w:rsidP="002C2126">
      <w:pPr>
        <w:jc w:val="both"/>
        <w:rPr>
          <w:rFonts w:ascii="Arial" w:hAnsi="Arial" w:cs="Arial"/>
          <w:bCs/>
          <w:iCs/>
          <w:sz w:val="22"/>
          <w:szCs w:val="22"/>
          <w:lang w:val="fr-FR"/>
        </w:rPr>
      </w:pPr>
    </w:p>
    <w:p w14:paraId="36E65F52" w14:textId="77777777" w:rsidR="002C2126" w:rsidRPr="002C2126" w:rsidRDefault="002C2126" w:rsidP="002C2126">
      <w:pPr>
        <w:jc w:val="both"/>
        <w:rPr>
          <w:rFonts w:ascii="Arial" w:hAnsi="Arial" w:cs="Arial"/>
          <w:b/>
          <w:iCs/>
          <w:sz w:val="22"/>
          <w:szCs w:val="22"/>
          <w:lang w:val="fr-FR"/>
        </w:rPr>
      </w:pPr>
      <w:r w:rsidRPr="002C2126">
        <w:rPr>
          <w:rFonts w:ascii="Arial" w:hAnsi="Arial" w:cs="Arial"/>
          <w:b/>
          <w:iCs/>
          <w:sz w:val="22"/>
          <w:szCs w:val="22"/>
          <w:lang w:val="fr-FR"/>
        </w:rPr>
        <w:t>Observations générales</w:t>
      </w:r>
    </w:p>
    <w:p w14:paraId="3EE38DFA" w14:textId="77777777" w:rsidR="002C2126" w:rsidRPr="002C2126" w:rsidRDefault="002C2126" w:rsidP="002C2126">
      <w:pPr>
        <w:jc w:val="both"/>
        <w:rPr>
          <w:rFonts w:ascii="Arial" w:hAnsi="Arial" w:cs="Arial"/>
          <w:bCs/>
          <w:iCs/>
          <w:sz w:val="22"/>
          <w:szCs w:val="22"/>
          <w:lang w:val="fr-FR"/>
        </w:rPr>
      </w:pPr>
    </w:p>
    <w:p w14:paraId="3ACA8AB5"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Le Secrétariat se félicite de cette initiative tout en notant que les activités proposées pourraient être vastes. Nous notons que le recueil mondial proposé dans l’activité 1 b) nécessiterait à la fois un développement initial et des mises à jour régulières. Par conséquent, du personnel permanent supplémentaire ou les services réguliers d’un partenaire de mise en œuvre volontaire seraient nécessaires.</w:t>
      </w:r>
    </w:p>
    <w:p w14:paraId="07382842" w14:textId="77777777" w:rsidR="002C2126" w:rsidRPr="002C2126" w:rsidRDefault="002C2126" w:rsidP="002C2126">
      <w:pPr>
        <w:ind w:left="540"/>
        <w:contextualSpacing/>
        <w:jc w:val="both"/>
        <w:rPr>
          <w:rFonts w:ascii="Arial" w:hAnsi="Arial" w:cs="Arial"/>
          <w:bCs/>
          <w:iCs/>
          <w:sz w:val="22"/>
          <w:szCs w:val="22"/>
          <w:lang w:val="fr-FR"/>
        </w:rPr>
      </w:pPr>
    </w:p>
    <w:p w14:paraId="106D320A"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Il y a lieu de clarifier si toutes ou certaines des informations mentionnées dans les activités 1 à 4 feraient partie du recueil mondial ou si elles constitueraient des activités distinctes.</w:t>
      </w:r>
    </w:p>
    <w:p w14:paraId="482556BD" w14:textId="77777777" w:rsidR="002C2126" w:rsidRPr="002C2126" w:rsidRDefault="002C2126" w:rsidP="002C2126">
      <w:pPr>
        <w:ind w:left="540"/>
        <w:contextualSpacing/>
        <w:jc w:val="both"/>
        <w:rPr>
          <w:rFonts w:ascii="Arial" w:hAnsi="Arial" w:cs="Arial"/>
          <w:bCs/>
          <w:iCs/>
          <w:sz w:val="22"/>
          <w:szCs w:val="22"/>
          <w:lang w:val="fr-FR"/>
        </w:rPr>
      </w:pPr>
    </w:p>
    <w:p w14:paraId="5B7D77D6"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Pour fournir une estimation réaliste des coûts impliqués, des détails supplémentaires seraient nécessaires, tels que des informations sur les résultats attendus et la fréquence des mises à jour, ainsi que la plateforme envisagée pour le recueil.</w:t>
      </w:r>
    </w:p>
    <w:p w14:paraId="776B2B26" w14:textId="77777777" w:rsidR="002C2126" w:rsidRPr="002C2126" w:rsidRDefault="002C2126" w:rsidP="002C2126">
      <w:pPr>
        <w:ind w:left="540"/>
        <w:contextualSpacing/>
        <w:jc w:val="both"/>
        <w:rPr>
          <w:rFonts w:ascii="Arial" w:hAnsi="Arial" w:cs="Arial"/>
          <w:bCs/>
          <w:iCs/>
          <w:sz w:val="22"/>
          <w:szCs w:val="22"/>
          <w:lang w:val="fr-FR"/>
        </w:rPr>
      </w:pPr>
    </w:p>
    <w:p w14:paraId="65634BE9" w14:textId="77777777" w:rsidR="002C2126" w:rsidRPr="002C2126" w:rsidRDefault="002C2126" w:rsidP="002C2126">
      <w:pPr>
        <w:jc w:val="both"/>
        <w:rPr>
          <w:rFonts w:ascii="Arial" w:hAnsi="Arial" w:cs="Arial"/>
          <w:b/>
          <w:iCs/>
          <w:sz w:val="22"/>
          <w:szCs w:val="22"/>
          <w:lang w:val="fr-FR"/>
        </w:rPr>
      </w:pPr>
      <w:r w:rsidRPr="002C2126">
        <w:rPr>
          <w:rFonts w:ascii="Arial" w:hAnsi="Arial" w:cs="Arial"/>
          <w:b/>
          <w:iCs/>
          <w:sz w:val="22"/>
          <w:szCs w:val="22"/>
          <w:lang w:val="fr-FR"/>
        </w:rPr>
        <w:t>Sites web et bases de données existants</w:t>
      </w:r>
    </w:p>
    <w:p w14:paraId="2D641445" w14:textId="77777777" w:rsidR="002C2126" w:rsidRPr="002C2126" w:rsidRDefault="002C2126" w:rsidP="002C2126">
      <w:pPr>
        <w:jc w:val="both"/>
        <w:rPr>
          <w:rFonts w:ascii="Arial" w:hAnsi="Arial" w:cs="Arial"/>
          <w:bCs/>
          <w:iCs/>
          <w:sz w:val="22"/>
          <w:szCs w:val="22"/>
          <w:lang w:val="fr-FR"/>
        </w:rPr>
      </w:pPr>
    </w:p>
    <w:p w14:paraId="736A60BF"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Le Secrétariat note que certaines des informations suggérées sont déjà fournies par d’autres organisations. Par exemple :</w:t>
      </w:r>
    </w:p>
    <w:p w14:paraId="530E7CBE" w14:textId="77777777" w:rsidR="002C2126" w:rsidRPr="002C2126" w:rsidRDefault="002C2126" w:rsidP="002C2126">
      <w:pPr>
        <w:ind w:left="720"/>
        <w:contextualSpacing/>
        <w:rPr>
          <w:rFonts w:ascii="Arial" w:hAnsi="Arial" w:cs="Arial"/>
          <w:bCs/>
          <w:iCs/>
          <w:sz w:val="22"/>
          <w:szCs w:val="22"/>
          <w:lang w:val="fr-FR"/>
        </w:rPr>
      </w:pPr>
    </w:p>
    <w:p w14:paraId="6DD45A84" w14:textId="77777777" w:rsidR="002C2126" w:rsidRPr="002C2126" w:rsidRDefault="002C2126" w:rsidP="002C2126">
      <w:pPr>
        <w:numPr>
          <w:ilvl w:val="1"/>
          <w:numId w:val="10"/>
        </w:numPr>
        <w:ind w:left="1260"/>
        <w:contextualSpacing/>
        <w:jc w:val="both"/>
        <w:rPr>
          <w:rFonts w:ascii="Arial" w:hAnsi="Arial" w:cs="Arial"/>
          <w:bCs/>
          <w:iCs/>
          <w:sz w:val="22"/>
          <w:szCs w:val="22"/>
          <w:lang w:val="fr-FR"/>
        </w:rPr>
      </w:pPr>
      <w:r w:rsidRPr="002C2126">
        <w:rPr>
          <w:rFonts w:ascii="Arial" w:hAnsi="Arial" w:cs="Arial"/>
          <w:bCs/>
          <w:iCs/>
          <w:sz w:val="22"/>
          <w:szCs w:val="22"/>
          <w:lang w:val="fr-FR"/>
        </w:rPr>
        <w:t>L’</w:t>
      </w:r>
      <w:r w:rsidRPr="002C2126">
        <w:rPr>
          <w:rFonts w:ascii="Arial" w:hAnsi="Arial" w:cs="Arial"/>
          <w:b/>
          <w:iCs/>
          <w:sz w:val="22"/>
          <w:szCs w:val="22"/>
          <w:lang w:val="fr-FR"/>
        </w:rPr>
        <w:t>Organisation des Nations Unies pour l’Alimentation et l’Agriculture (FAO)</w:t>
      </w:r>
      <w:r w:rsidRPr="002C2126">
        <w:rPr>
          <w:rFonts w:ascii="Arial" w:hAnsi="Arial" w:cs="Arial"/>
          <w:bCs/>
          <w:iCs/>
          <w:sz w:val="22"/>
          <w:szCs w:val="22"/>
          <w:lang w:val="fr-FR"/>
        </w:rPr>
        <w:t xml:space="preserve">, dans sa « </w:t>
      </w:r>
      <w:hyperlink r:id="rId19" w:history="1">
        <w:r w:rsidRPr="002C2126">
          <w:rPr>
            <w:rFonts w:ascii="Arial" w:hAnsi="Arial" w:cs="Arial"/>
            <w:bCs/>
            <w:iCs/>
            <w:color w:val="0000FF"/>
            <w:sz w:val="22"/>
            <w:szCs w:val="22"/>
            <w:u w:val="single"/>
            <w:lang w:val="fr-FR"/>
          </w:rPr>
          <w:t>Banque de données sur les mesures pour la conservation et la gestion des requins</w:t>
        </w:r>
      </w:hyperlink>
      <w:r w:rsidRPr="002C2126">
        <w:rPr>
          <w:rFonts w:ascii="Arial" w:hAnsi="Arial" w:cs="Arial"/>
          <w:bCs/>
          <w:iCs/>
          <w:sz w:val="22"/>
          <w:szCs w:val="22"/>
          <w:lang w:val="fr-FR"/>
        </w:rPr>
        <w:t xml:space="preserve"> »</w:t>
      </w:r>
      <w:r w:rsidRPr="002C2126">
        <w:rPr>
          <w:rFonts w:ascii="Arial" w:hAnsi="Arial" w:cs="Arial"/>
          <w:bCs/>
          <w:iCs/>
          <w:sz w:val="22"/>
          <w:szCs w:val="22"/>
          <w:vertAlign w:val="superscript"/>
          <w:lang w:val="fr-FR"/>
        </w:rPr>
        <w:footnoteReference w:id="1"/>
      </w:r>
      <w:r w:rsidRPr="002C2126">
        <w:rPr>
          <w:rFonts w:ascii="Arial" w:hAnsi="Arial" w:cs="Arial"/>
          <w:bCs/>
          <w:iCs/>
          <w:sz w:val="22"/>
          <w:szCs w:val="22"/>
          <w:lang w:val="fr-FR"/>
        </w:rPr>
        <w:t>, fournit une liste d’instruments pour la conservation et la gestion des requins.</w:t>
      </w:r>
    </w:p>
    <w:p w14:paraId="06A15D76" w14:textId="77777777" w:rsidR="002C2126" w:rsidRPr="002C2126" w:rsidRDefault="002C2126" w:rsidP="002C2126">
      <w:pPr>
        <w:ind w:left="1260" w:hanging="360"/>
        <w:contextualSpacing/>
        <w:jc w:val="both"/>
        <w:rPr>
          <w:rFonts w:ascii="Arial" w:hAnsi="Arial" w:cs="Arial"/>
          <w:bCs/>
          <w:iCs/>
          <w:sz w:val="22"/>
          <w:szCs w:val="22"/>
          <w:lang w:val="fr-FR"/>
        </w:rPr>
      </w:pPr>
    </w:p>
    <w:p w14:paraId="778B33BB" w14:textId="77777777" w:rsidR="002C2126" w:rsidRPr="002C2126" w:rsidRDefault="002C2126" w:rsidP="002C2126">
      <w:pPr>
        <w:spacing w:after="80"/>
        <w:ind w:left="1267"/>
        <w:jc w:val="both"/>
        <w:rPr>
          <w:rFonts w:ascii="Arial" w:hAnsi="Arial" w:cs="Arial"/>
          <w:bCs/>
          <w:iCs/>
          <w:sz w:val="22"/>
          <w:szCs w:val="22"/>
          <w:lang w:val="fr-FR"/>
        </w:rPr>
      </w:pPr>
      <w:r w:rsidRPr="002C2126">
        <w:rPr>
          <w:rFonts w:ascii="Arial" w:hAnsi="Arial" w:cs="Arial"/>
          <w:bCs/>
          <w:iCs/>
          <w:sz w:val="22"/>
          <w:szCs w:val="22"/>
          <w:lang w:val="fr-FR"/>
        </w:rPr>
        <w:t>Comme expliqué sur le site de la FAO :</w:t>
      </w:r>
    </w:p>
    <w:p w14:paraId="324C9228" w14:textId="77777777" w:rsidR="002C2126" w:rsidRPr="002C2126" w:rsidRDefault="002C2126" w:rsidP="002C2126">
      <w:pPr>
        <w:spacing w:after="80"/>
        <w:ind w:left="1267"/>
        <w:jc w:val="both"/>
        <w:rPr>
          <w:rFonts w:ascii="Arial" w:hAnsi="Arial" w:cs="Arial"/>
          <w:bCs/>
          <w:i/>
          <w:sz w:val="22"/>
          <w:szCs w:val="22"/>
          <w:lang w:val="fr-FR"/>
        </w:rPr>
      </w:pPr>
      <w:r w:rsidRPr="002C2126">
        <w:rPr>
          <w:rFonts w:ascii="Arial" w:hAnsi="Arial" w:cs="Arial"/>
          <w:bCs/>
          <w:i/>
          <w:sz w:val="22"/>
          <w:szCs w:val="22"/>
          <w:lang w:val="fr-FR"/>
        </w:rPr>
        <w:t xml:space="preserve">« Ces outils comprennent des mesures de conservation et de gestion contraignantes et non contraignantes, des plans d’action et législations nationales. Cette base de données a été créée en coopération avec la Convention sur le commerce international des espèces de faune et de flore sauvages menacées d’extinction (CITES) et avec le soutien de l’Union européenne, du Gouvernement japonais et de la National </w:t>
      </w:r>
      <w:proofErr w:type="spellStart"/>
      <w:r w:rsidRPr="002C2126">
        <w:rPr>
          <w:rFonts w:ascii="Arial" w:hAnsi="Arial" w:cs="Arial"/>
          <w:bCs/>
          <w:i/>
          <w:sz w:val="22"/>
          <w:szCs w:val="22"/>
          <w:lang w:val="fr-FR"/>
        </w:rPr>
        <w:t>Oceanographic</w:t>
      </w:r>
      <w:proofErr w:type="spellEnd"/>
      <w:r w:rsidRPr="002C2126">
        <w:rPr>
          <w:rFonts w:ascii="Arial" w:hAnsi="Arial" w:cs="Arial"/>
          <w:bCs/>
          <w:i/>
          <w:sz w:val="22"/>
          <w:szCs w:val="22"/>
          <w:lang w:val="fr-FR"/>
        </w:rPr>
        <w:t xml:space="preserve"> and </w:t>
      </w:r>
      <w:proofErr w:type="spellStart"/>
      <w:r w:rsidRPr="002C2126">
        <w:rPr>
          <w:rFonts w:ascii="Arial" w:hAnsi="Arial" w:cs="Arial"/>
          <w:bCs/>
          <w:i/>
          <w:sz w:val="22"/>
          <w:szCs w:val="22"/>
          <w:lang w:val="fr-FR"/>
        </w:rPr>
        <w:t>Atmospheric</w:t>
      </w:r>
      <w:proofErr w:type="spellEnd"/>
      <w:r w:rsidRPr="002C2126">
        <w:rPr>
          <w:rFonts w:ascii="Arial" w:hAnsi="Arial" w:cs="Arial"/>
          <w:bCs/>
          <w:i/>
          <w:sz w:val="22"/>
          <w:szCs w:val="22"/>
          <w:lang w:val="fr-FR"/>
        </w:rPr>
        <w:t xml:space="preserve"> Administration (NOAA) des États-Unis d’Amérique. Les informations contenues dans la base de données seront vérifiées et mises à jour tous les six mois (...) »</w:t>
      </w:r>
    </w:p>
    <w:p w14:paraId="3E8FE0DF" w14:textId="77777777" w:rsidR="002C2126" w:rsidRPr="002C2126" w:rsidRDefault="002C2126" w:rsidP="002C2126">
      <w:pPr>
        <w:ind w:left="1260"/>
        <w:contextualSpacing/>
        <w:jc w:val="both"/>
        <w:rPr>
          <w:rFonts w:ascii="Arial" w:hAnsi="Arial" w:cs="Arial"/>
          <w:bCs/>
          <w:i/>
          <w:sz w:val="22"/>
          <w:szCs w:val="22"/>
          <w:lang w:val="fr-FR"/>
        </w:rPr>
      </w:pPr>
    </w:p>
    <w:p w14:paraId="30B2AAC5" w14:textId="77777777" w:rsidR="002C2126" w:rsidRPr="002C2126" w:rsidRDefault="002C2126" w:rsidP="002C2126">
      <w:pPr>
        <w:ind w:left="1260"/>
        <w:contextualSpacing/>
        <w:jc w:val="both"/>
        <w:rPr>
          <w:rFonts w:ascii="Arial" w:hAnsi="Arial" w:cs="Arial"/>
          <w:bCs/>
          <w:iCs/>
          <w:sz w:val="22"/>
          <w:szCs w:val="22"/>
          <w:lang w:val="fr-FR"/>
        </w:rPr>
      </w:pPr>
      <w:r w:rsidRPr="002C2126">
        <w:rPr>
          <w:rFonts w:ascii="Arial" w:hAnsi="Arial" w:cs="Arial"/>
          <w:bCs/>
          <w:iCs/>
          <w:sz w:val="22"/>
          <w:szCs w:val="22"/>
          <w:lang w:val="fr-FR"/>
        </w:rPr>
        <w:t xml:space="preserve">Il convient de noter que ces informations sont fournies pour la plupart des espèces inscrites à l’Annexe 1, mais pas toutes. En outre, les informations sur la législation </w:t>
      </w:r>
      <w:r w:rsidRPr="002C2126">
        <w:rPr>
          <w:rFonts w:ascii="Arial" w:hAnsi="Arial" w:cs="Arial"/>
          <w:bCs/>
          <w:iCs/>
          <w:sz w:val="22"/>
          <w:szCs w:val="22"/>
          <w:lang w:val="fr-FR"/>
        </w:rPr>
        <w:lastRenderedPageBreak/>
        <w:t xml:space="preserve">nationale ne sont pas fournies pour tous les signataires du </w:t>
      </w:r>
      <w:proofErr w:type="spellStart"/>
      <w:r w:rsidRPr="002C2126">
        <w:rPr>
          <w:rFonts w:ascii="Arial" w:hAnsi="Arial" w:cs="Arial"/>
          <w:bCs/>
          <w:iCs/>
          <w:sz w:val="22"/>
          <w:szCs w:val="22"/>
          <w:lang w:val="fr-FR"/>
        </w:rPr>
        <w:t>MdE</w:t>
      </w:r>
      <w:proofErr w:type="spellEnd"/>
      <w:r w:rsidRPr="002C2126">
        <w:rPr>
          <w:rFonts w:ascii="Arial" w:hAnsi="Arial" w:cs="Arial"/>
          <w:bCs/>
          <w:iCs/>
          <w:sz w:val="22"/>
          <w:szCs w:val="22"/>
          <w:lang w:val="fr-FR"/>
        </w:rPr>
        <w:t>.</w:t>
      </w:r>
    </w:p>
    <w:p w14:paraId="514E26A6" w14:textId="77777777" w:rsidR="002C2126" w:rsidRPr="002C2126" w:rsidRDefault="002C2126" w:rsidP="002C2126">
      <w:pPr>
        <w:ind w:left="1440"/>
        <w:contextualSpacing/>
        <w:jc w:val="both"/>
        <w:rPr>
          <w:rFonts w:ascii="Arial" w:hAnsi="Arial" w:cs="Arial"/>
          <w:bCs/>
          <w:i/>
          <w:sz w:val="22"/>
          <w:szCs w:val="22"/>
          <w:lang w:val="fr-FR"/>
        </w:rPr>
      </w:pPr>
    </w:p>
    <w:p w14:paraId="3E2D9B67" w14:textId="77777777" w:rsidR="002C2126" w:rsidRPr="002C2126" w:rsidRDefault="002C2126" w:rsidP="002C2126">
      <w:pPr>
        <w:numPr>
          <w:ilvl w:val="1"/>
          <w:numId w:val="10"/>
        </w:numPr>
        <w:contextualSpacing/>
        <w:jc w:val="both"/>
        <w:rPr>
          <w:rFonts w:ascii="Arial" w:hAnsi="Arial" w:cs="Arial"/>
          <w:bCs/>
          <w:iCs/>
          <w:sz w:val="22"/>
          <w:szCs w:val="22"/>
          <w:lang w:val="fr-FR"/>
        </w:rPr>
      </w:pPr>
      <w:r w:rsidRPr="002C2126">
        <w:rPr>
          <w:rFonts w:ascii="Arial" w:hAnsi="Arial" w:cs="Arial"/>
          <w:bCs/>
          <w:iCs/>
          <w:sz w:val="22"/>
          <w:szCs w:val="22"/>
          <w:lang w:val="fr-FR"/>
        </w:rPr>
        <w:t>L’</w:t>
      </w:r>
      <w:r w:rsidRPr="002C2126">
        <w:rPr>
          <w:rFonts w:ascii="Arial" w:hAnsi="Arial" w:cs="Arial"/>
          <w:b/>
          <w:iCs/>
          <w:sz w:val="22"/>
          <w:szCs w:val="22"/>
          <w:lang w:val="fr-FR"/>
        </w:rPr>
        <w:t>Union internationale pour la conservation de la nature (UICN)</w:t>
      </w:r>
      <w:r w:rsidRPr="002C2126">
        <w:rPr>
          <w:rFonts w:ascii="Arial" w:hAnsi="Arial" w:cs="Arial"/>
          <w:bCs/>
          <w:iCs/>
          <w:sz w:val="22"/>
          <w:szCs w:val="22"/>
          <w:lang w:val="fr-FR"/>
        </w:rPr>
        <w:t xml:space="preserve"> fournit des informations sur l’état de conservation de toutes les espèces figurant à l’Annexe 1 de </w:t>
      </w:r>
      <w:hyperlink r:id="rId20" w:history="1">
        <w:r w:rsidRPr="002C2126">
          <w:rPr>
            <w:rFonts w:ascii="Arial" w:hAnsi="Arial" w:cs="Arial"/>
            <w:bCs/>
            <w:iCs/>
            <w:color w:val="0000FF"/>
            <w:sz w:val="22"/>
            <w:szCs w:val="22"/>
            <w:u w:val="single"/>
            <w:lang w:val="fr-FR"/>
          </w:rPr>
          <w:t>La liste rouge des espèces menacées de l’</w:t>
        </w:r>
        <w:proofErr w:type="spellStart"/>
        <w:r w:rsidRPr="002C2126">
          <w:rPr>
            <w:rFonts w:ascii="Arial" w:hAnsi="Arial" w:cs="Arial"/>
            <w:bCs/>
            <w:iCs/>
            <w:color w:val="0000FF"/>
            <w:sz w:val="22"/>
            <w:szCs w:val="22"/>
            <w:u w:val="single"/>
            <w:lang w:val="fr-FR"/>
          </w:rPr>
          <w:t>UICN</w:t>
        </w:r>
        <w:r w:rsidRPr="002C2126">
          <w:rPr>
            <w:rFonts w:ascii="Arial" w:hAnsi="Arial" w:cs="Arial"/>
            <w:bCs/>
            <w:iCs/>
            <w:color w:val="0000FF"/>
            <w:sz w:val="22"/>
            <w:szCs w:val="22"/>
            <w:u w:val="single"/>
            <w:vertAlign w:val="superscript"/>
            <w:lang w:val="fr-FR"/>
          </w:rPr>
          <w:t>TM</w:t>
        </w:r>
      </w:hyperlink>
      <w:r w:rsidRPr="002C2126">
        <w:rPr>
          <w:rFonts w:ascii="Arial" w:hAnsi="Arial" w:cs="Arial"/>
          <w:bCs/>
          <w:iCs/>
          <w:sz w:val="22"/>
          <w:szCs w:val="22"/>
          <w:vertAlign w:val="superscript"/>
          <w:lang w:val="fr-FR"/>
        </w:rPr>
        <w:t>.</w:t>
      </w:r>
      <w:r w:rsidRPr="002C2126">
        <w:rPr>
          <w:rFonts w:ascii="Arial" w:hAnsi="Arial" w:cs="Arial"/>
          <w:bCs/>
          <w:iCs/>
          <w:sz w:val="22"/>
          <w:szCs w:val="22"/>
          <w:lang w:val="fr-FR"/>
        </w:rPr>
        <w:t>En</w:t>
      </w:r>
      <w:proofErr w:type="spellEnd"/>
      <w:r w:rsidRPr="002C2126">
        <w:rPr>
          <w:rFonts w:ascii="Arial" w:hAnsi="Arial" w:cs="Arial"/>
          <w:bCs/>
          <w:iCs/>
          <w:sz w:val="22"/>
          <w:szCs w:val="22"/>
          <w:lang w:val="fr-FR"/>
        </w:rPr>
        <w:t xml:space="preserve"> outre, la liste rouge fournit des informations sur l’aire de répartition de l’espèce, la taille de la population, l’habitat et l’écologie, l’utilisation et/ou le commerce, les menaces et les actions de conservation, afin d’éclairer les décisions nécessaires en matière de conservation.</w:t>
      </w:r>
    </w:p>
    <w:p w14:paraId="76AF83E0" w14:textId="77777777" w:rsidR="002C2126" w:rsidRPr="002C2126" w:rsidRDefault="002C2126" w:rsidP="002C2126">
      <w:pPr>
        <w:ind w:left="1440"/>
        <w:contextualSpacing/>
        <w:jc w:val="both"/>
        <w:rPr>
          <w:rFonts w:ascii="Arial" w:hAnsi="Arial" w:cs="Arial"/>
          <w:bCs/>
          <w:iCs/>
          <w:sz w:val="22"/>
          <w:szCs w:val="22"/>
          <w:lang w:val="fr-FR"/>
        </w:rPr>
      </w:pPr>
    </w:p>
    <w:p w14:paraId="466310D3" w14:textId="77777777" w:rsidR="002C2126" w:rsidRPr="002C2126" w:rsidRDefault="002C2126" w:rsidP="002C2126">
      <w:pPr>
        <w:numPr>
          <w:ilvl w:val="1"/>
          <w:numId w:val="10"/>
        </w:numPr>
        <w:contextualSpacing/>
        <w:jc w:val="both"/>
        <w:rPr>
          <w:rFonts w:ascii="Arial" w:hAnsi="Arial" w:cs="Arial"/>
          <w:bCs/>
          <w:iCs/>
          <w:sz w:val="22"/>
          <w:szCs w:val="22"/>
          <w:lang w:val="fr-FR"/>
        </w:rPr>
      </w:pPr>
      <w:r w:rsidRPr="002C2126">
        <w:rPr>
          <w:rFonts w:ascii="Arial" w:hAnsi="Arial" w:cs="Arial"/>
          <w:bCs/>
          <w:iCs/>
          <w:sz w:val="22"/>
          <w:szCs w:val="22"/>
          <w:lang w:val="fr-FR"/>
        </w:rPr>
        <w:t xml:space="preserve">Le </w:t>
      </w:r>
      <w:r w:rsidRPr="002C2126">
        <w:rPr>
          <w:rFonts w:ascii="Arial" w:hAnsi="Arial" w:cs="Arial"/>
          <w:b/>
          <w:iCs/>
          <w:sz w:val="22"/>
          <w:szCs w:val="22"/>
          <w:lang w:val="fr-FR"/>
        </w:rPr>
        <w:t xml:space="preserve">Groupe de spécialistes des requins de la Commission de la sauvegarde des espèces de l’UICN </w:t>
      </w:r>
      <w:r w:rsidRPr="002C2126">
        <w:rPr>
          <w:rFonts w:ascii="Arial" w:hAnsi="Arial" w:cs="Arial"/>
          <w:bCs/>
          <w:iCs/>
          <w:sz w:val="22"/>
          <w:szCs w:val="22"/>
          <w:lang w:val="fr-FR"/>
        </w:rPr>
        <w:t xml:space="preserve">fournit sur son </w:t>
      </w:r>
      <w:hyperlink r:id="rId21" w:history="1">
        <w:r w:rsidRPr="002C2126">
          <w:rPr>
            <w:rFonts w:ascii="Arial" w:hAnsi="Arial" w:cs="Arial"/>
            <w:bCs/>
            <w:iCs/>
            <w:color w:val="0000FF"/>
            <w:sz w:val="22"/>
            <w:szCs w:val="22"/>
            <w:u w:val="single"/>
            <w:lang w:val="fr-FR"/>
          </w:rPr>
          <w:t>site Web</w:t>
        </w:r>
      </w:hyperlink>
      <w:r w:rsidRPr="002C2126">
        <w:rPr>
          <w:rFonts w:ascii="Arial" w:hAnsi="Arial" w:cs="Arial"/>
          <w:bCs/>
          <w:iCs/>
          <w:sz w:val="22"/>
          <w:szCs w:val="22"/>
          <w:lang w:val="fr-FR"/>
        </w:rPr>
        <w:t xml:space="preserve">, entre autres ressources, un bulletin d’information trimestriel, des références à la littérature scientifique pertinente, des publications relatives à la gestion des pêches, des rapports sur le statut des espèces, des guides d’identification des espèces, ainsi que des informations sur la CITES, la CMS, le </w:t>
      </w:r>
      <w:proofErr w:type="spellStart"/>
      <w:r w:rsidRPr="002C2126">
        <w:rPr>
          <w:rFonts w:ascii="Arial" w:hAnsi="Arial" w:cs="Arial"/>
          <w:bCs/>
          <w:iCs/>
          <w:sz w:val="22"/>
          <w:szCs w:val="22"/>
          <w:lang w:val="fr-FR"/>
        </w:rPr>
        <w:t>MdE</w:t>
      </w:r>
      <w:proofErr w:type="spellEnd"/>
      <w:r w:rsidRPr="002C2126">
        <w:rPr>
          <w:rFonts w:ascii="Arial" w:hAnsi="Arial" w:cs="Arial"/>
          <w:bCs/>
          <w:iCs/>
          <w:sz w:val="22"/>
          <w:szCs w:val="22"/>
          <w:lang w:val="fr-FR"/>
        </w:rPr>
        <w:t xml:space="preserve"> requins et les ORGP.</w:t>
      </w:r>
    </w:p>
    <w:p w14:paraId="61895095" w14:textId="77777777" w:rsidR="002C2126" w:rsidRPr="002C2126" w:rsidRDefault="002C2126" w:rsidP="002C2126">
      <w:pPr>
        <w:ind w:left="720"/>
        <w:contextualSpacing/>
        <w:rPr>
          <w:rFonts w:ascii="Arial" w:hAnsi="Arial" w:cs="Arial"/>
          <w:bCs/>
          <w:iCs/>
          <w:sz w:val="22"/>
          <w:szCs w:val="22"/>
          <w:lang w:val="fr-FR"/>
        </w:rPr>
      </w:pPr>
    </w:p>
    <w:p w14:paraId="6BE54D7A" w14:textId="77777777" w:rsidR="002C2126" w:rsidRPr="002C2126" w:rsidRDefault="002C2126" w:rsidP="002C2126">
      <w:pPr>
        <w:numPr>
          <w:ilvl w:val="1"/>
          <w:numId w:val="10"/>
        </w:numPr>
        <w:contextualSpacing/>
        <w:jc w:val="both"/>
        <w:rPr>
          <w:rFonts w:ascii="Arial" w:hAnsi="Arial" w:cs="Arial"/>
          <w:bCs/>
          <w:iCs/>
          <w:sz w:val="22"/>
          <w:szCs w:val="22"/>
          <w:lang w:val="fr-FR"/>
        </w:rPr>
      </w:pPr>
      <w:r w:rsidRPr="002C2126">
        <w:rPr>
          <w:rFonts w:ascii="Arial" w:hAnsi="Arial" w:cs="Arial"/>
          <w:bCs/>
          <w:iCs/>
          <w:sz w:val="22"/>
          <w:szCs w:val="22"/>
          <w:lang w:val="fr-FR"/>
        </w:rPr>
        <w:t xml:space="preserve">La </w:t>
      </w:r>
      <w:r w:rsidRPr="002C2126">
        <w:rPr>
          <w:rFonts w:ascii="Arial" w:hAnsi="Arial" w:cs="Arial"/>
          <w:b/>
          <w:iCs/>
          <w:sz w:val="22"/>
          <w:szCs w:val="22"/>
          <w:lang w:val="fr-FR"/>
        </w:rPr>
        <w:t>Convention sur le commerce international des espèces de faune et de flore sauvages menacées d’extinction (CITES)</w:t>
      </w:r>
      <w:r w:rsidRPr="002C2126">
        <w:rPr>
          <w:rFonts w:ascii="Arial" w:hAnsi="Arial" w:cs="Arial"/>
          <w:bCs/>
          <w:iCs/>
          <w:sz w:val="22"/>
          <w:szCs w:val="22"/>
          <w:lang w:val="fr-FR"/>
        </w:rPr>
        <w:t xml:space="preserve"> met à disposition sur son site Web (section « </w:t>
      </w:r>
      <w:hyperlink r:id="rId22" w:history="1">
        <w:r w:rsidRPr="002C2126">
          <w:rPr>
            <w:rFonts w:ascii="Arial" w:hAnsi="Arial" w:cs="Arial"/>
            <w:bCs/>
            <w:iCs/>
            <w:color w:val="0000FF"/>
            <w:sz w:val="22"/>
            <w:szCs w:val="22"/>
            <w:u w:val="single"/>
            <w:lang w:val="fr-FR"/>
          </w:rPr>
          <w:t>Requins et raies</w:t>
        </w:r>
      </w:hyperlink>
      <w:r w:rsidRPr="002C2126">
        <w:rPr>
          <w:rFonts w:ascii="Arial" w:hAnsi="Arial" w:cs="Arial"/>
          <w:bCs/>
          <w:iCs/>
          <w:sz w:val="22"/>
          <w:szCs w:val="22"/>
          <w:lang w:val="fr-FR"/>
        </w:rPr>
        <w:t xml:space="preserve"> ») une compilation de guides d’identification des espèces et d’autres supports d’information. </w:t>
      </w:r>
    </w:p>
    <w:p w14:paraId="56DA29FE" w14:textId="77777777" w:rsidR="002C2126" w:rsidRPr="002C2126" w:rsidRDefault="002C2126" w:rsidP="002C2126">
      <w:pPr>
        <w:jc w:val="both"/>
        <w:rPr>
          <w:rFonts w:ascii="Arial" w:hAnsi="Arial" w:cs="Arial"/>
          <w:bCs/>
          <w:iCs/>
          <w:sz w:val="22"/>
          <w:szCs w:val="22"/>
          <w:lang w:val="fr-FR"/>
        </w:rPr>
      </w:pPr>
    </w:p>
    <w:p w14:paraId="0A89EC0A"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Des orientations peuvent être fournies quant à la relation entre ces bases de données et sources d’information existantes et le recueil envisagé, notamment pour créer</w:t>
      </w:r>
      <w:r w:rsidRPr="002C2126">
        <w:rPr>
          <w:rFonts w:ascii="Segoe UI" w:hAnsi="Segoe UI" w:cs="Segoe UI"/>
          <w:sz w:val="22"/>
          <w:szCs w:val="22"/>
          <w:lang w:val="fr-FR"/>
        </w:rPr>
        <w:t xml:space="preserve"> </w:t>
      </w:r>
      <w:r w:rsidRPr="002C2126">
        <w:rPr>
          <w:rFonts w:ascii="Arial" w:hAnsi="Arial" w:cs="Arial"/>
          <w:bCs/>
          <w:iCs/>
          <w:sz w:val="22"/>
          <w:szCs w:val="22"/>
          <w:lang w:val="fr-FR"/>
        </w:rPr>
        <w:t>des synergies possibles.</w:t>
      </w:r>
    </w:p>
    <w:p w14:paraId="6830EB49" w14:textId="77777777" w:rsidR="002C2126" w:rsidRPr="002C2126" w:rsidRDefault="002C2126" w:rsidP="002C2126">
      <w:pPr>
        <w:jc w:val="both"/>
        <w:rPr>
          <w:rFonts w:ascii="Arial" w:hAnsi="Arial" w:cs="Arial"/>
          <w:bCs/>
          <w:iCs/>
          <w:sz w:val="22"/>
          <w:szCs w:val="22"/>
          <w:lang w:val="fr-FR"/>
        </w:rPr>
      </w:pPr>
    </w:p>
    <w:p w14:paraId="37BF3D71" w14:textId="77777777" w:rsidR="002C2126" w:rsidRPr="002C2126" w:rsidRDefault="002C2126" w:rsidP="002C2126">
      <w:pPr>
        <w:jc w:val="both"/>
        <w:rPr>
          <w:rFonts w:ascii="Arial" w:hAnsi="Arial" w:cs="Arial"/>
          <w:b/>
          <w:iCs/>
          <w:sz w:val="22"/>
          <w:szCs w:val="22"/>
          <w:lang w:val="fr-FR"/>
        </w:rPr>
      </w:pPr>
      <w:r w:rsidRPr="002C2126">
        <w:rPr>
          <w:rFonts w:ascii="Arial" w:hAnsi="Arial" w:cs="Arial"/>
          <w:b/>
          <w:iCs/>
          <w:sz w:val="22"/>
          <w:szCs w:val="22"/>
          <w:lang w:val="fr-FR"/>
        </w:rPr>
        <w:t xml:space="preserve">Centre d’information </w:t>
      </w:r>
      <w:proofErr w:type="spellStart"/>
      <w:r w:rsidRPr="002C2126">
        <w:rPr>
          <w:rFonts w:ascii="Arial" w:hAnsi="Arial" w:cs="Arial"/>
          <w:b/>
          <w:iCs/>
          <w:sz w:val="22"/>
          <w:szCs w:val="22"/>
          <w:lang w:val="fr-FR"/>
        </w:rPr>
        <w:t>MdE</w:t>
      </w:r>
      <w:proofErr w:type="spellEnd"/>
      <w:r w:rsidRPr="002C2126">
        <w:rPr>
          <w:rFonts w:ascii="Arial" w:hAnsi="Arial" w:cs="Arial"/>
          <w:b/>
          <w:iCs/>
          <w:sz w:val="22"/>
          <w:szCs w:val="22"/>
          <w:lang w:val="fr-FR"/>
        </w:rPr>
        <w:t xml:space="preserve"> requins de la CMS</w:t>
      </w:r>
    </w:p>
    <w:p w14:paraId="3EA4DD6F" w14:textId="77777777" w:rsidR="002C2126" w:rsidRPr="002C2126" w:rsidRDefault="002C2126" w:rsidP="002C2126">
      <w:pPr>
        <w:jc w:val="both"/>
        <w:rPr>
          <w:rFonts w:ascii="Arial" w:hAnsi="Arial" w:cs="Arial"/>
          <w:bCs/>
          <w:iCs/>
          <w:sz w:val="22"/>
          <w:szCs w:val="22"/>
          <w:lang w:val="fr-FR"/>
        </w:rPr>
      </w:pPr>
    </w:p>
    <w:p w14:paraId="55CFCCCE"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 xml:space="preserve">En 2019, le Secrétariat a mis en place sur son site Web un « </w:t>
      </w:r>
      <w:hyperlink r:id="rId23" w:history="1">
        <w:r w:rsidRPr="002C2126">
          <w:rPr>
            <w:rFonts w:ascii="Arial" w:hAnsi="Arial" w:cs="Arial"/>
            <w:iCs/>
            <w:color w:val="0000FF"/>
            <w:sz w:val="22"/>
            <w:szCs w:val="22"/>
            <w:u w:val="single"/>
            <w:lang w:val="fr-FR"/>
          </w:rPr>
          <w:t>Centre d’information</w:t>
        </w:r>
      </w:hyperlink>
      <w:r w:rsidRPr="002C2126">
        <w:rPr>
          <w:rFonts w:ascii="Arial" w:hAnsi="Arial" w:cs="Arial"/>
          <w:bCs/>
          <w:iCs/>
          <w:sz w:val="22"/>
          <w:szCs w:val="22"/>
          <w:lang w:val="fr-FR"/>
        </w:rPr>
        <w:t xml:space="preserve"> » pour les requins et les raies. On y trouve des documents tels que des guides d’identification des espèces, des documents de politiques, des rapports et évaluations scientifiques, des boîtes à outils et des lignes directrices sur, par exemple, le tourisme responsable, la manipulation et la libération en toute sécurité, et la sensibilisation. </w:t>
      </w:r>
    </w:p>
    <w:p w14:paraId="1FF0E0BE" w14:textId="77777777" w:rsidR="002C2126" w:rsidRPr="002C2126" w:rsidRDefault="002C2126" w:rsidP="002C2126">
      <w:pPr>
        <w:ind w:left="540"/>
        <w:contextualSpacing/>
        <w:jc w:val="both"/>
        <w:rPr>
          <w:rFonts w:ascii="Arial" w:hAnsi="Arial" w:cs="Arial"/>
          <w:bCs/>
          <w:iCs/>
          <w:sz w:val="22"/>
          <w:szCs w:val="22"/>
          <w:lang w:val="fr-FR"/>
        </w:rPr>
      </w:pPr>
    </w:p>
    <w:p w14:paraId="76EA8DB2"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 xml:space="preserve">Pour enrichir ce centre d’informations supplémentaires, le Secrétariat s’appuie sur la permission d’y téléverser des documents. Il le faut pour s’assurer que ces informations restent disponibles. Fournir des liens vers des informations sur d’autres sites Web peut entraîner à court terme l’indisponibilité </w:t>
      </w:r>
      <w:proofErr w:type="gramStart"/>
      <w:r w:rsidRPr="002C2126">
        <w:rPr>
          <w:rFonts w:ascii="Arial" w:hAnsi="Arial" w:cs="Arial"/>
          <w:bCs/>
          <w:iCs/>
          <w:sz w:val="22"/>
          <w:szCs w:val="22"/>
          <w:lang w:val="fr-FR"/>
        </w:rPr>
        <w:t>des information</w:t>
      </w:r>
      <w:proofErr w:type="gramEnd"/>
      <w:r w:rsidRPr="002C2126">
        <w:rPr>
          <w:rFonts w:ascii="Arial" w:hAnsi="Arial" w:cs="Arial"/>
          <w:bCs/>
          <w:iCs/>
          <w:sz w:val="22"/>
          <w:szCs w:val="22"/>
          <w:lang w:val="fr-FR"/>
        </w:rPr>
        <w:t>, car les liens sont souvent modifiés. Il convient de noter que le processus d’identification et de collecte des matériels et l’obtention des autorisations de publication prennent beaucoup de temps. Cela requiert la participation et le soutien actifs des auteurs de ces matériels, y compris les Signataires et les organisations concernées.</w:t>
      </w:r>
    </w:p>
    <w:p w14:paraId="1F4ADA1B" w14:textId="77777777" w:rsidR="002C2126" w:rsidRPr="002C2126" w:rsidRDefault="002C2126" w:rsidP="002C2126">
      <w:pPr>
        <w:jc w:val="both"/>
        <w:rPr>
          <w:rFonts w:ascii="Arial" w:hAnsi="Arial" w:cs="Arial"/>
          <w:bCs/>
          <w:iCs/>
          <w:sz w:val="22"/>
          <w:szCs w:val="22"/>
          <w:lang w:val="fr-FR"/>
        </w:rPr>
      </w:pPr>
    </w:p>
    <w:p w14:paraId="159DFBC7" w14:textId="77777777" w:rsidR="002C2126" w:rsidRPr="002C2126" w:rsidRDefault="002C2126" w:rsidP="002C2126">
      <w:pPr>
        <w:jc w:val="both"/>
        <w:rPr>
          <w:rFonts w:ascii="Arial" w:hAnsi="Arial" w:cs="Arial"/>
          <w:b/>
          <w:iCs/>
          <w:sz w:val="22"/>
          <w:szCs w:val="22"/>
          <w:lang w:val="fr-FR"/>
        </w:rPr>
      </w:pPr>
      <w:r w:rsidRPr="002C2126">
        <w:rPr>
          <w:rFonts w:ascii="Arial" w:hAnsi="Arial" w:cs="Arial"/>
          <w:b/>
          <w:iCs/>
          <w:sz w:val="22"/>
          <w:szCs w:val="22"/>
          <w:lang w:val="fr-FR"/>
        </w:rPr>
        <w:t>Informations sur la législation nationale</w:t>
      </w:r>
    </w:p>
    <w:p w14:paraId="68D0BD15" w14:textId="77777777" w:rsidR="002C2126" w:rsidRPr="002C2126" w:rsidRDefault="002C2126" w:rsidP="002C2126">
      <w:pPr>
        <w:jc w:val="both"/>
        <w:rPr>
          <w:rFonts w:ascii="Arial" w:hAnsi="Arial" w:cs="Arial"/>
          <w:bCs/>
          <w:iCs/>
          <w:sz w:val="22"/>
          <w:szCs w:val="22"/>
          <w:lang w:val="fr-FR"/>
        </w:rPr>
      </w:pPr>
    </w:p>
    <w:p w14:paraId="2AF2CCE2"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 xml:space="preserve">Si les informations sur les réglementations internationales, telles que les mesures de conservation et de gestion convenues par les organisations régionales de gestion des pêches (ORGP), sont accessibles au public, la législation et les politiques nationales ne sont souvent pas publiées en ligne. En outre, même lorsqu’elles sont disponibles en ligne, ces informations sont souvent disponibles dans des formats de fichiers qui ne sont pas lisibles par machine ou dans des langues autres que celles du </w:t>
      </w:r>
      <w:proofErr w:type="spellStart"/>
      <w:r w:rsidRPr="002C2126">
        <w:rPr>
          <w:rFonts w:ascii="Arial" w:hAnsi="Arial" w:cs="Arial"/>
          <w:bCs/>
          <w:iCs/>
          <w:sz w:val="22"/>
          <w:szCs w:val="22"/>
          <w:lang w:val="fr-FR"/>
        </w:rPr>
        <w:t>MdE</w:t>
      </w:r>
      <w:proofErr w:type="spellEnd"/>
      <w:r w:rsidRPr="002C2126">
        <w:rPr>
          <w:rFonts w:ascii="Arial" w:hAnsi="Arial" w:cs="Arial"/>
          <w:bCs/>
          <w:iCs/>
          <w:sz w:val="22"/>
          <w:szCs w:val="22"/>
          <w:lang w:val="fr-FR"/>
        </w:rPr>
        <w:t xml:space="preserve"> requins. Les capacités actuelles du Secrétariat ne suffiraient pas à identifier les informations pertinentes pour tous </w:t>
      </w:r>
      <w:r w:rsidRPr="002C2126">
        <w:rPr>
          <w:rFonts w:ascii="Arial" w:hAnsi="Arial" w:cs="Arial"/>
          <w:bCs/>
          <w:iCs/>
          <w:sz w:val="22"/>
          <w:szCs w:val="22"/>
          <w:lang w:val="fr-FR"/>
        </w:rPr>
        <w:lastRenderedPageBreak/>
        <w:t xml:space="preserve">les Signataires et à les tenir à </w:t>
      </w:r>
      <w:proofErr w:type="spellStart"/>
      <w:proofErr w:type="gramStart"/>
      <w:r w:rsidRPr="002C2126">
        <w:rPr>
          <w:rFonts w:ascii="Arial" w:hAnsi="Arial" w:cs="Arial"/>
          <w:bCs/>
          <w:iCs/>
          <w:sz w:val="22"/>
          <w:szCs w:val="22"/>
          <w:lang w:val="fr-FR"/>
        </w:rPr>
        <w:t>jour.</w:t>
      </w:r>
      <w:r w:rsidRPr="002C2126">
        <w:rPr>
          <w:rFonts w:ascii="Arial" w:hAnsi="Arial" w:cs="Arial"/>
          <w:sz w:val="22"/>
          <w:szCs w:val="22"/>
          <w:lang w:val="fr-FR"/>
        </w:rPr>
        <w:t>L’obtention</w:t>
      </w:r>
      <w:proofErr w:type="spellEnd"/>
      <w:proofErr w:type="gramEnd"/>
      <w:r w:rsidRPr="002C2126">
        <w:rPr>
          <w:rFonts w:ascii="Arial" w:hAnsi="Arial" w:cs="Arial"/>
          <w:sz w:val="22"/>
          <w:szCs w:val="22"/>
          <w:lang w:val="fr-FR"/>
        </w:rPr>
        <w:t xml:space="preserve"> d’informations sur la législation nationale implique une expertise juridique dont le Secrétariat du </w:t>
      </w:r>
      <w:proofErr w:type="spellStart"/>
      <w:r w:rsidRPr="002C2126">
        <w:rPr>
          <w:rFonts w:ascii="Arial" w:hAnsi="Arial" w:cs="Arial"/>
          <w:sz w:val="22"/>
          <w:szCs w:val="22"/>
          <w:lang w:val="fr-FR"/>
        </w:rPr>
        <w:t>MdE</w:t>
      </w:r>
      <w:proofErr w:type="spellEnd"/>
      <w:r w:rsidRPr="002C2126">
        <w:rPr>
          <w:rFonts w:ascii="Arial" w:hAnsi="Arial" w:cs="Arial"/>
          <w:sz w:val="22"/>
          <w:szCs w:val="22"/>
          <w:lang w:val="fr-FR"/>
        </w:rPr>
        <w:t xml:space="preserve"> ne dispose pas.</w:t>
      </w:r>
    </w:p>
    <w:p w14:paraId="7E50887C" w14:textId="77777777" w:rsidR="002C2126" w:rsidRPr="002C2126" w:rsidRDefault="002C2126" w:rsidP="002C2126">
      <w:pPr>
        <w:jc w:val="both"/>
        <w:rPr>
          <w:rFonts w:ascii="Arial" w:hAnsi="Arial" w:cs="Arial"/>
          <w:b/>
          <w:iCs/>
          <w:sz w:val="22"/>
          <w:szCs w:val="22"/>
          <w:lang w:val="fr-FR"/>
        </w:rPr>
      </w:pPr>
    </w:p>
    <w:p w14:paraId="7290FDFF" w14:textId="77777777" w:rsidR="002C2126" w:rsidRPr="002C2126" w:rsidRDefault="002C2126" w:rsidP="002C2126">
      <w:pPr>
        <w:jc w:val="both"/>
        <w:rPr>
          <w:rFonts w:ascii="Arial" w:hAnsi="Arial" w:cs="Arial"/>
          <w:b/>
          <w:iCs/>
          <w:sz w:val="22"/>
          <w:szCs w:val="22"/>
          <w:lang w:val="fr-FR"/>
        </w:rPr>
      </w:pPr>
      <w:r w:rsidRPr="002C2126">
        <w:rPr>
          <w:rFonts w:ascii="Arial" w:hAnsi="Arial" w:cs="Arial"/>
          <w:b/>
          <w:iCs/>
          <w:sz w:val="22"/>
          <w:szCs w:val="22"/>
          <w:lang w:val="fr-FR"/>
        </w:rPr>
        <w:t>Proposition de marche à suivre</w:t>
      </w:r>
    </w:p>
    <w:p w14:paraId="3F6D10B4" w14:textId="77777777" w:rsidR="002C2126" w:rsidRPr="002C2126" w:rsidRDefault="002C2126" w:rsidP="002C2126">
      <w:pPr>
        <w:jc w:val="both"/>
        <w:rPr>
          <w:rFonts w:ascii="Arial" w:hAnsi="Arial" w:cs="Arial"/>
          <w:b/>
          <w:iCs/>
          <w:sz w:val="22"/>
          <w:szCs w:val="22"/>
          <w:lang w:val="fr-FR"/>
        </w:rPr>
      </w:pPr>
    </w:p>
    <w:p w14:paraId="5626A6FA"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Les Signataires doivent se mettre d’accord sur des détails supplémentaires : clarifier le champ d’application du recueil proposé et des autres produits à livrer.</w:t>
      </w:r>
    </w:p>
    <w:p w14:paraId="23E099A4" w14:textId="77777777" w:rsidR="002C2126" w:rsidRPr="002C2126" w:rsidRDefault="002C2126" w:rsidP="002C2126">
      <w:pPr>
        <w:ind w:left="540"/>
        <w:contextualSpacing/>
        <w:jc w:val="both"/>
        <w:rPr>
          <w:rFonts w:ascii="Arial" w:hAnsi="Arial" w:cs="Arial"/>
          <w:bCs/>
          <w:iCs/>
          <w:sz w:val="22"/>
          <w:szCs w:val="22"/>
          <w:lang w:val="fr-FR"/>
        </w:rPr>
      </w:pPr>
    </w:p>
    <w:p w14:paraId="7A72F3BA"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bCs/>
          <w:iCs/>
          <w:sz w:val="22"/>
          <w:szCs w:val="22"/>
          <w:lang w:val="fr-FR"/>
        </w:rPr>
        <w:t>Le Secrétariat pourra alors estimer les coûts initiaux d’établissement ainsi que les coûts permanents de maintenance et de mise à jour des informations. Cela comprendrait à la fois les coûts techniques et les coûts liés au personnel.</w:t>
      </w:r>
    </w:p>
    <w:p w14:paraId="26FD2DE5" w14:textId="77777777" w:rsidR="002C2126" w:rsidRPr="002C2126" w:rsidRDefault="002C2126" w:rsidP="002C2126">
      <w:pPr>
        <w:jc w:val="both"/>
        <w:rPr>
          <w:rFonts w:ascii="Arial" w:hAnsi="Arial" w:cs="Arial"/>
          <w:bCs/>
          <w:iCs/>
          <w:sz w:val="22"/>
          <w:szCs w:val="22"/>
          <w:lang w:val="fr-FR"/>
        </w:rPr>
      </w:pPr>
    </w:p>
    <w:p w14:paraId="59D65F77"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sz w:val="22"/>
          <w:szCs w:val="22"/>
          <w:lang w:val="fr-FR"/>
        </w:rPr>
        <w:t xml:space="preserve">Dans un premier temps, le Secrétariat suggère donc de créer un Groupe de travail de session chargé d’élaborer un document de projet budgétisé pour mettre en place un « Recueil mondial de l’état de conservation et des mesures de gestion des requins » à inclure dans le document </w:t>
      </w:r>
      <w:proofErr w:type="spellStart"/>
      <w:r w:rsidRPr="002C2126">
        <w:rPr>
          <w:rFonts w:ascii="Arial" w:hAnsi="Arial" w:cs="Arial"/>
          <w:sz w:val="22"/>
          <w:szCs w:val="22"/>
          <w:lang w:val="fr-FR"/>
        </w:rPr>
        <w:t>Outcome</w:t>
      </w:r>
      <w:proofErr w:type="spellEnd"/>
      <w:r w:rsidRPr="002C2126">
        <w:rPr>
          <w:rFonts w:ascii="Arial" w:hAnsi="Arial" w:cs="Arial"/>
          <w:sz w:val="22"/>
          <w:szCs w:val="22"/>
          <w:lang w:val="fr-FR"/>
        </w:rPr>
        <w:t xml:space="preserve"> 4.x de cette réunion.</w:t>
      </w:r>
    </w:p>
    <w:p w14:paraId="101937B1" w14:textId="77777777" w:rsidR="002C2126" w:rsidRPr="002C2126" w:rsidRDefault="002C2126" w:rsidP="002C2126">
      <w:pPr>
        <w:ind w:left="540"/>
        <w:contextualSpacing/>
        <w:jc w:val="both"/>
        <w:rPr>
          <w:rFonts w:ascii="Arial" w:hAnsi="Arial" w:cs="Arial"/>
          <w:bCs/>
          <w:iCs/>
          <w:sz w:val="22"/>
          <w:szCs w:val="22"/>
          <w:lang w:val="fr-FR"/>
        </w:rPr>
      </w:pPr>
    </w:p>
    <w:p w14:paraId="327A4483"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sz w:val="22"/>
          <w:szCs w:val="22"/>
          <w:lang w:val="fr-FR"/>
        </w:rPr>
        <w:t>Par la suite, les Signataires peuvent décider d’inclure la mise en œuvre du projet dans le programme de travail (2023-2025), également discuté au point 12 de l’ordre du jour.</w:t>
      </w:r>
    </w:p>
    <w:p w14:paraId="17A32CCF" w14:textId="77777777" w:rsidR="002C2126" w:rsidRPr="002C2126" w:rsidRDefault="002C2126" w:rsidP="002C2126">
      <w:pPr>
        <w:ind w:left="540"/>
        <w:contextualSpacing/>
        <w:jc w:val="both"/>
        <w:rPr>
          <w:rFonts w:ascii="Arial" w:hAnsi="Arial" w:cs="Arial"/>
          <w:bCs/>
          <w:iCs/>
          <w:sz w:val="22"/>
          <w:szCs w:val="22"/>
          <w:lang w:val="fr-FR"/>
        </w:rPr>
      </w:pPr>
    </w:p>
    <w:p w14:paraId="69FAC528" w14:textId="77777777" w:rsidR="002C2126" w:rsidRPr="002C2126" w:rsidRDefault="002C2126" w:rsidP="002C2126">
      <w:pPr>
        <w:numPr>
          <w:ilvl w:val="0"/>
          <w:numId w:val="10"/>
        </w:numPr>
        <w:ind w:left="540" w:hanging="540"/>
        <w:contextualSpacing/>
        <w:jc w:val="both"/>
        <w:rPr>
          <w:rFonts w:ascii="Arial" w:hAnsi="Arial" w:cs="Arial"/>
          <w:bCs/>
          <w:iCs/>
          <w:sz w:val="22"/>
          <w:szCs w:val="22"/>
          <w:lang w:val="fr-FR"/>
        </w:rPr>
      </w:pPr>
      <w:r w:rsidRPr="002C2126">
        <w:rPr>
          <w:rFonts w:ascii="Arial" w:hAnsi="Arial" w:cs="Arial"/>
          <w:sz w:val="22"/>
          <w:szCs w:val="22"/>
          <w:lang w:val="fr-FR"/>
        </w:rPr>
        <w:t>Si le Groupe de travail de session a besoin de plus de temps pour terminer son travail, les Signataires peuvent décider d’établir un Groupe de travail intersession (GTI) pour parachever le document de projet après la MOS4.  Dans ce cas, le mandat pour guider le travail du GTI devra être rédigés pendant cette réunion</w:t>
      </w:r>
    </w:p>
    <w:p w14:paraId="546A8611" w14:textId="77777777" w:rsidR="002C2126" w:rsidRPr="002C2126" w:rsidRDefault="002C2126" w:rsidP="002C2126">
      <w:pPr>
        <w:jc w:val="both"/>
        <w:rPr>
          <w:rFonts w:ascii="Arial" w:hAnsi="Arial" w:cs="Arial"/>
          <w:bCs/>
          <w:iCs/>
          <w:sz w:val="22"/>
          <w:szCs w:val="22"/>
          <w:lang w:val="fr-FR"/>
        </w:rPr>
      </w:pPr>
    </w:p>
    <w:p w14:paraId="15A621A8" w14:textId="77777777" w:rsidR="002C2126" w:rsidRPr="002C2126" w:rsidRDefault="002C2126" w:rsidP="002C2126">
      <w:pPr>
        <w:ind w:right="252"/>
        <w:rPr>
          <w:rFonts w:ascii="Arial" w:hAnsi="Arial" w:cs="Arial"/>
          <w:bCs/>
          <w:iCs/>
          <w:sz w:val="22"/>
          <w:szCs w:val="22"/>
          <w:lang w:val="fr-FR"/>
        </w:rPr>
      </w:pPr>
    </w:p>
    <w:p w14:paraId="40D2035A" w14:textId="77777777" w:rsidR="00627A42" w:rsidRPr="00627A42" w:rsidRDefault="00627A42" w:rsidP="00627A42">
      <w:pPr>
        <w:jc w:val="both"/>
        <w:rPr>
          <w:rFonts w:ascii="Arial" w:hAnsi="Arial" w:cs="Arial"/>
          <w:bCs/>
          <w:sz w:val="22"/>
          <w:szCs w:val="22"/>
          <w:lang w:val="fr-FR"/>
        </w:rPr>
      </w:pPr>
    </w:p>
    <w:sectPr w:rsidR="00627A42" w:rsidRPr="00627A42" w:rsidSect="009062DF">
      <w:headerReference w:type="even" r:id="rId24"/>
      <w:headerReference w:type="default" r:id="rId25"/>
      <w:headerReference w:type="first" r:id="rId26"/>
      <w:pgSz w:w="12240" w:h="15840"/>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05F5B37D" w14:textId="77777777" w:rsidR="00E42B63"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3D57F5A8" w14:textId="77777777" w:rsidR="00627A42"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861449"/>
      <w:docPartObj>
        <w:docPartGallery w:val="Page Numbers (Bottom of Page)"/>
        <w:docPartUnique/>
      </w:docPartObj>
    </w:sdtPr>
    <w:sdtEndPr>
      <w:rPr>
        <w:rFonts w:ascii="Arial" w:hAnsi="Arial" w:cs="Arial"/>
        <w:noProof/>
        <w:sz w:val="18"/>
        <w:szCs w:val="18"/>
      </w:rPr>
    </w:sdtEndPr>
    <w:sdtContent>
      <w:p w14:paraId="38D46E8F" w14:textId="12D31AF1" w:rsidR="002C2126" w:rsidRPr="002C2126" w:rsidRDefault="002C2126">
        <w:pPr>
          <w:pStyle w:val="Footer"/>
          <w:jc w:val="center"/>
          <w:rPr>
            <w:rFonts w:ascii="Arial" w:hAnsi="Arial" w:cs="Arial"/>
            <w:sz w:val="18"/>
            <w:szCs w:val="18"/>
          </w:rPr>
        </w:pPr>
        <w:r w:rsidRPr="002C2126">
          <w:rPr>
            <w:rFonts w:ascii="Arial" w:hAnsi="Arial" w:cs="Arial"/>
            <w:sz w:val="18"/>
            <w:szCs w:val="18"/>
          </w:rPr>
          <w:fldChar w:fldCharType="begin"/>
        </w:r>
        <w:r w:rsidRPr="002C2126">
          <w:rPr>
            <w:rFonts w:ascii="Arial" w:hAnsi="Arial" w:cs="Arial"/>
            <w:sz w:val="18"/>
            <w:szCs w:val="18"/>
          </w:rPr>
          <w:instrText xml:space="preserve"> PAGE   \* MERGEFORMAT </w:instrText>
        </w:r>
        <w:r w:rsidRPr="002C2126">
          <w:rPr>
            <w:rFonts w:ascii="Arial" w:hAnsi="Arial" w:cs="Arial"/>
            <w:sz w:val="18"/>
            <w:szCs w:val="18"/>
          </w:rPr>
          <w:fldChar w:fldCharType="separate"/>
        </w:r>
        <w:r w:rsidRPr="002C2126">
          <w:rPr>
            <w:rFonts w:ascii="Arial" w:hAnsi="Arial" w:cs="Arial"/>
            <w:noProof/>
            <w:sz w:val="18"/>
            <w:szCs w:val="18"/>
          </w:rPr>
          <w:t>2</w:t>
        </w:r>
        <w:r w:rsidRPr="002C2126">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2165D797" w14:textId="77777777" w:rsidR="002C2126" w:rsidRPr="006C5233" w:rsidRDefault="002C2126" w:rsidP="002C2126">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FAO. 2022. Banque de données sur les mesures pour la conservation et la gestion des requins. Dans : Organisation des Nations Unies pour l’alimentation et l’agriculture [en ligne]. Rome. Banque de données version 1-2022.</w:t>
      </w:r>
      <w:hyperlink r:id="rId1" w:history="1">
        <w:r>
          <w:rPr>
            <w:rStyle w:val="Hyperlink"/>
            <w:rFonts w:ascii="Arial" w:hAnsi="Arial" w:cs="Arial"/>
            <w:sz w:val="16"/>
            <w:szCs w:val="16"/>
            <w:lang w:val="fr-FR"/>
          </w:rPr>
          <w:t>www.fao.org/ipoa-sharks/database-of-measures/fr</w:t>
        </w:r>
      </w:hyperlink>
      <w:r>
        <w:rPr>
          <w:rFonts w:ascii="Arial" w:hAnsi="Arial" w:cs="Arial"/>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199" w14:textId="0194A70B" w:rsidR="00E42B63" w:rsidRPr="00627A42" w:rsidRDefault="00627A42" w:rsidP="00F71199">
    <w:pPr>
      <w:pBdr>
        <w:bottom w:val="single" w:sz="4" w:space="1" w:color="auto"/>
      </w:pBdr>
      <w:ind w:left="-36" w:right="-108"/>
      <w:jc w:val="both"/>
      <w:rPr>
        <w:rFonts w:ascii="Arial" w:hAnsi="Arial" w:cs="Arial"/>
        <w:i/>
        <w:sz w:val="18"/>
        <w:szCs w:val="18"/>
      </w:rPr>
    </w:pPr>
    <w:bookmarkStart w:id="0" w:name="_Hlk123652672"/>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w:t>
    </w:r>
    <w:r w:rsidR="002C2126">
      <w:rPr>
        <w:rFonts w:ascii="Arial" w:hAnsi="Arial" w:cs="Arial"/>
        <w:i/>
        <w:sz w:val="18"/>
        <w:szCs w:val="18"/>
      </w:rPr>
      <w:t>11.2</w:t>
    </w:r>
  </w:p>
  <w:bookmarkEnd w:id="0"/>
  <w:p w14:paraId="0A439A74" w14:textId="77777777" w:rsidR="00E42B63" w:rsidRDefault="0028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DD86" w14:textId="32D2E7C1" w:rsidR="00627A42" w:rsidRPr="00627A42" w:rsidRDefault="00627A42"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w:t>
    </w:r>
    <w:proofErr w:type="spellStart"/>
    <w:r>
      <w:rPr>
        <w:rFonts w:ascii="Arial" w:hAnsi="Arial" w:cs="Arial"/>
        <w:i/>
        <w:sz w:val="18"/>
        <w:szCs w:val="18"/>
      </w:rPr>
      <w:t>Doc.XX</w:t>
    </w:r>
    <w:proofErr w:type="spellEnd"/>
  </w:p>
  <w:p w14:paraId="479B4D53" w14:textId="77777777" w:rsidR="00627A42" w:rsidRDefault="00627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A318" w14:textId="77777777" w:rsidR="002C2126" w:rsidRPr="00627A42" w:rsidRDefault="002C2126"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CMS/Sharks/MOS4/Doc.11.2</w:t>
    </w:r>
  </w:p>
  <w:p w14:paraId="42D7B52C" w14:textId="77777777" w:rsidR="002C2126" w:rsidRDefault="002C2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1F26" w14:textId="1AE26283" w:rsidR="002C2126" w:rsidRPr="00627A42" w:rsidRDefault="002C2126"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CMS/Sharks/MOS4/Doc.11.2</w:t>
    </w:r>
  </w:p>
  <w:p w14:paraId="03F1EA39" w14:textId="77777777" w:rsidR="002C2126" w:rsidRDefault="002C21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A4D4" w14:textId="77777777" w:rsidR="002C2126" w:rsidRPr="00627A42" w:rsidRDefault="002C2126" w:rsidP="002C2126">
    <w:pPr>
      <w:pBdr>
        <w:bottom w:val="single" w:sz="4" w:space="1" w:color="auto"/>
      </w:pBdr>
      <w:ind w:left="-36" w:right="-108"/>
      <w:jc w:val="right"/>
      <w:rPr>
        <w:rFonts w:ascii="Arial" w:hAnsi="Arial" w:cs="Arial"/>
        <w:i/>
        <w:sz w:val="18"/>
        <w:szCs w:val="18"/>
      </w:rPr>
    </w:pPr>
    <w:r>
      <w:rPr>
        <w:rFonts w:ascii="Arial" w:hAnsi="Arial" w:cs="Arial"/>
        <w:i/>
        <w:sz w:val="18"/>
        <w:szCs w:val="18"/>
      </w:rPr>
      <w:t>CMS/Sharks/MOS4/Doc.11.2</w:t>
    </w:r>
  </w:p>
  <w:p w14:paraId="6F01B652" w14:textId="77777777" w:rsidR="002C2126" w:rsidRDefault="002C21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801D" w14:textId="62358873" w:rsidR="00B05E2F" w:rsidRPr="009E2F56" w:rsidRDefault="00287501" w:rsidP="009E2F56">
    <w:pPr>
      <w:pStyle w:val="Heading1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CMS/Sharks/MOS4/Doc.11.2/</w:t>
    </w:r>
    <w:proofErr w:type="spellStart"/>
    <w:r>
      <w:rPr>
        <w:rFonts w:ascii="Arial" w:hAnsi="Arial" w:cs="Arial"/>
        <w:i/>
        <w:color w:val="auto"/>
        <w:sz w:val="18"/>
        <w:szCs w:val="18"/>
      </w:rPr>
      <w:t>Annex</w:t>
    </w:r>
    <w:r w:rsidR="002C2126">
      <w:rPr>
        <w:rFonts w:ascii="Arial" w:hAnsi="Arial" w:cs="Arial"/>
        <w:i/>
        <w:color w:val="auto"/>
        <w:sz w:val="18"/>
        <w:szCs w:val="18"/>
      </w:rPr>
      <w:t>e</w:t>
    </w:r>
    <w:proofErr w:type="spellEnd"/>
  </w:p>
  <w:p w14:paraId="099BC496" w14:textId="77777777" w:rsidR="00B05E2F" w:rsidRPr="002C2126" w:rsidRDefault="00287501">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FDAD" w14:textId="233C7A88" w:rsidR="00B05E2F" w:rsidRPr="009E2F56" w:rsidRDefault="00287501" w:rsidP="00D87D1E">
    <w:pPr>
      <w:pStyle w:val="Heading1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CMS/Sharks/MOS4/Doc.11.2/</w:t>
    </w:r>
    <w:proofErr w:type="spellStart"/>
    <w:r>
      <w:rPr>
        <w:rFonts w:ascii="Arial" w:hAnsi="Arial" w:cs="Arial"/>
        <w:i/>
        <w:color w:val="auto"/>
        <w:sz w:val="18"/>
        <w:szCs w:val="18"/>
      </w:rPr>
      <w:t>Annex</w:t>
    </w:r>
    <w:r w:rsidR="002C2126">
      <w:rPr>
        <w:rFonts w:ascii="Arial" w:hAnsi="Arial" w:cs="Arial"/>
        <w:i/>
        <w:color w:val="auto"/>
        <w:sz w:val="18"/>
        <w:szCs w:val="18"/>
      </w:rPr>
      <w:t>e</w:t>
    </w:r>
    <w:proofErr w:type="spellEnd"/>
  </w:p>
  <w:p w14:paraId="5022D8BF" w14:textId="77777777" w:rsidR="00B05E2F" w:rsidRPr="002C2126" w:rsidRDefault="00287501" w:rsidP="00F9613E">
    <w:pPr>
      <w:pStyle w:val="Header"/>
      <w:tabs>
        <w:tab w:val="left" w:pos="2712"/>
      </w:tabs>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FA03" w14:textId="79EA0E88" w:rsidR="009062DF" w:rsidRPr="009E2F56" w:rsidRDefault="00287501" w:rsidP="000F1664">
    <w:pPr>
      <w:pStyle w:val="Heading1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CMS/Sharks/MOS4/Doc.11.2/</w:t>
    </w:r>
    <w:proofErr w:type="spellStart"/>
    <w:r>
      <w:rPr>
        <w:rFonts w:ascii="Arial" w:hAnsi="Arial" w:cs="Arial"/>
        <w:i/>
        <w:color w:val="auto"/>
        <w:sz w:val="18"/>
        <w:szCs w:val="18"/>
      </w:rPr>
      <w:t>Annex</w:t>
    </w:r>
    <w:r w:rsidR="002C2126">
      <w:rPr>
        <w:rFonts w:ascii="Arial" w:hAnsi="Arial" w:cs="Arial"/>
        <w:i/>
        <w:color w:val="auto"/>
        <w:sz w:val="18"/>
        <w:szCs w:val="18"/>
      </w:rPr>
      <w:t>e</w:t>
    </w:r>
    <w:proofErr w:type="spellEnd"/>
  </w:p>
  <w:p w14:paraId="0BCE430C" w14:textId="77777777" w:rsidR="009062DF" w:rsidRPr="002C2126" w:rsidRDefault="00287501" w:rsidP="00F9613E">
    <w:pPr>
      <w:pStyle w:val="Header"/>
      <w:ind w:firstLine="7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6CBC"/>
    <w:multiLevelType w:val="hybridMultilevel"/>
    <w:tmpl w:val="4002E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B5E6235"/>
    <w:multiLevelType w:val="hybridMultilevel"/>
    <w:tmpl w:val="CB5E8B9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23802"/>
    <w:multiLevelType w:val="hybridMultilevel"/>
    <w:tmpl w:val="816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25350"/>
    <w:multiLevelType w:val="hybridMultilevel"/>
    <w:tmpl w:val="BA76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615C0"/>
    <w:multiLevelType w:val="hybridMultilevel"/>
    <w:tmpl w:val="36E2C970"/>
    <w:lvl w:ilvl="0" w:tplc="04090017">
      <w:start w:val="1"/>
      <w:numFmt w:val="lowerLetter"/>
      <w:lvlText w:val="%1)"/>
      <w:lvlJc w:val="left"/>
      <w:pPr>
        <w:ind w:left="720" w:hanging="360"/>
      </w:pPr>
    </w:lvl>
    <w:lvl w:ilvl="1" w:tplc="22289B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52B18"/>
    <w:multiLevelType w:val="hybridMultilevel"/>
    <w:tmpl w:val="BA76EC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qQUAcMOPYiwAAAA="/>
  </w:docVars>
  <w:rsids>
    <w:rsidRoot w:val="00B25614"/>
    <w:rsid w:val="000E249B"/>
    <w:rsid w:val="000F4E00"/>
    <w:rsid w:val="001050B4"/>
    <w:rsid w:val="001B6B92"/>
    <w:rsid w:val="001C7504"/>
    <w:rsid w:val="002620DE"/>
    <w:rsid w:val="00287501"/>
    <w:rsid w:val="002C2126"/>
    <w:rsid w:val="003403BD"/>
    <w:rsid w:val="003853A2"/>
    <w:rsid w:val="003C6B55"/>
    <w:rsid w:val="00451B4C"/>
    <w:rsid w:val="0047009E"/>
    <w:rsid w:val="0048633E"/>
    <w:rsid w:val="00490565"/>
    <w:rsid w:val="0049063C"/>
    <w:rsid w:val="004B1BDD"/>
    <w:rsid w:val="004F27E0"/>
    <w:rsid w:val="00536C33"/>
    <w:rsid w:val="00540C05"/>
    <w:rsid w:val="0061372A"/>
    <w:rsid w:val="00627A42"/>
    <w:rsid w:val="00633185"/>
    <w:rsid w:val="007B4024"/>
    <w:rsid w:val="007E577C"/>
    <w:rsid w:val="00901D65"/>
    <w:rsid w:val="00964545"/>
    <w:rsid w:val="009A4757"/>
    <w:rsid w:val="009B083A"/>
    <w:rsid w:val="009F3112"/>
    <w:rsid w:val="00B134E7"/>
    <w:rsid w:val="00B25614"/>
    <w:rsid w:val="00CC6F9A"/>
    <w:rsid w:val="00CC76F2"/>
    <w:rsid w:val="00CE7534"/>
    <w:rsid w:val="00DA06A7"/>
    <w:rsid w:val="00DD3534"/>
    <w:rsid w:val="00E72512"/>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C2126"/>
    <w:pPr>
      <w:keepNext/>
      <w:keepLines/>
      <w:spacing w:before="240"/>
      <w:outlineLvl w:val="0"/>
    </w:pPr>
    <w:rPr>
      <w:rFonts w:ascii="Calibri Light" w:hAnsi="Calibri Light"/>
      <w:color w:val="2F5496"/>
      <w:sz w:val="32"/>
      <w:szCs w:val="32"/>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table" w:customStyle="1" w:styleId="PlainTable21">
    <w:name w:val="Plain Table 21"/>
    <w:basedOn w:val="TableNormal"/>
    <w:next w:val="PlainTable2"/>
    <w:uiPriority w:val="42"/>
    <w:rsid w:val="002C2126"/>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2C21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2C2126"/>
    <w:rPr>
      <w:szCs w:val="20"/>
    </w:rPr>
  </w:style>
  <w:style w:type="character" w:customStyle="1" w:styleId="FootnoteTextChar">
    <w:name w:val="Footnote Text Char"/>
    <w:basedOn w:val="DefaultParagraphFont"/>
    <w:link w:val="FootnoteText"/>
    <w:uiPriority w:val="99"/>
    <w:semiHidden/>
    <w:rsid w:val="002C2126"/>
    <w:rPr>
      <w:rFonts w:ascii="Times New Roman" w:eastAsia="Times New Roman" w:hAnsi="Times New Roman" w:cs="Times New Roman"/>
      <w:sz w:val="20"/>
      <w:szCs w:val="20"/>
    </w:rPr>
  </w:style>
  <w:style w:type="paragraph" w:customStyle="1" w:styleId="Heading11">
    <w:name w:val="Heading 11"/>
    <w:basedOn w:val="Normal"/>
    <w:next w:val="Normal"/>
    <w:uiPriority w:val="9"/>
    <w:qFormat/>
    <w:rsid w:val="002C2126"/>
    <w:pPr>
      <w:keepNext/>
      <w:keepLines/>
      <w:spacing w:before="240"/>
      <w:outlineLvl w:val="0"/>
    </w:pPr>
    <w:rPr>
      <w:rFonts w:ascii="Calibri Light" w:hAnsi="Calibri Light"/>
      <w:color w:val="2F5496"/>
      <w:sz w:val="32"/>
      <w:szCs w:val="32"/>
    </w:rPr>
  </w:style>
  <w:style w:type="character" w:customStyle="1" w:styleId="Heading1Char">
    <w:name w:val="Heading 1 Char"/>
    <w:basedOn w:val="DefaultParagraphFont"/>
    <w:link w:val="Heading1"/>
    <w:uiPriority w:val="9"/>
    <w:rsid w:val="002C2126"/>
    <w:rPr>
      <w:rFonts w:ascii="Calibri Light" w:eastAsia="Times New Roman" w:hAnsi="Calibri Light" w:cs="Times New Roman"/>
      <w:color w:val="2F5496"/>
      <w:sz w:val="32"/>
      <w:szCs w:val="32"/>
    </w:rPr>
  </w:style>
  <w:style w:type="character" w:styleId="FootnoteReference">
    <w:name w:val="footnote reference"/>
    <w:basedOn w:val="DefaultParagraphFont"/>
    <w:uiPriority w:val="99"/>
    <w:semiHidden/>
    <w:unhideWhenUsed/>
    <w:rsid w:val="002C2126"/>
    <w:rPr>
      <w:vertAlign w:val="superscript"/>
    </w:rPr>
  </w:style>
  <w:style w:type="character" w:customStyle="1" w:styleId="Heading1Char1">
    <w:name w:val="Heading 1 Char1"/>
    <w:basedOn w:val="DefaultParagraphFont"/>
    <w:link w:val="Heading1"/>
    <w:uiPriority w:val="9"/>
    <w:rsid w:val="002C21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iucnssg.org/cite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ucnredlist.or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ms.int/sharks/fr/node/17895"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o.org/ipoa-sharks/database-of-measur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cites.org/fra/prog/shar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ipoa-sharks/database-of-measur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2103</Words>
  <Characters>11383</Characters>
  <Application>Microsoft Office Word</Application>
  <DocSecurity>0</DocSecurity>
  <Lines>392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Ximena Victoria Cancino Ordenes</cp:lastModifiedBy>
  <cp:revision>2</cp:revision>
  <dcterms:created xsi:type="dcterms:W3CDTF">2023-01-03T14:42:00Z</dcterms:created>
  <dcterms:modified xsi:type="dcterms:W3CDTF">2023-01-03T14:42:00Z</dcterms:modified>
</cp:coreProperties>
</file>