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9B053F">
              <w:rPr>
                <w:rFonts w:eastAsia="Times New Roman" w:cs="Arial"/>
              </w:rPr>
              <w:t>26.1.3</w:t>
            </w:r>
          </w:p>
          <w:p w:rsidR="002E0DE9" w:rsidRPr="00EC4F04" w:rsidRDefault="009B053F"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 xml:space="preserve">7 October </w:t>
            </w:r>
            <w:r w:rsidR="002E0DE9" w:rsidRPr="002E0DE9">
              <w:rPr>
                <w:rFonts w:eastAsia="Times New Roman" w:cs="Arial"/>
              </w:rPr>
              <w:t>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Default="002E0DE9" w:rsidP="009B053F">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9B053F">
        <w:rPr>
          <w:rFonts w:eastAsia="Times New Roman" w:cs="Arial"/>
          <w:iCs/>
          <w:lang w:val="pt-PT"/>
        </w:rPr>
        <w:t>26.1</w:t>
      </w:r>
    </w:p>
    <w:p w:rsidR="009B053F" w:rsidRPr="002E0DE9" w:rsidRDefault="009B053F" w:rsidP="009B053F">
      <w:pPr>
        <w:widowControl w:val="0"/>
        <w:tabs>
          <w:tab w:val="left" w:pos="7020"/>
        </w:tabs>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F81B4A" w:rsidRDefault="009B053F" w:rsidP="009B053F">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eastAsia="Times New Roman" w:cs="Arial"/>
          <w:b/>
          <w:bCs/>
        </w:rPr>
      </w:pPr>
      <w:r w:rsidRPr="009B053F">
        <w:rPr>
          <w:rFonts w:eastAsia="Times New Roman" w:cs="Arial"/>
          <w:b/>
          <w:bCs/>
        </w:rPr>
        <w:t xml:space="preserve"> </w:t>
      </w:r>
      <w:r w:rsidRPr="009B053F">
        <w:rPr>
          <w:rFonts w:eastAsia="Times New Roman" w:cs="Arial"/>
          <w:b/>
          <w:bCs/>
        </w:rPr>
        <w:t>PREVENTING POISONING OF MIGRATORY BIRDS</w:t>
      </w:r>
    </w:p>
    <w:p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304666" cy="20859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085975"/>
                        </a:xfrm>
                        <a:prstGeom prst="rect">
                          <a:avLst/>
                        </a:prstGeom>
                        <a:solidFill>
                          <a:srgbClr val="FFFFFF"/>
                        </a:solidFill>
                        <a:ln w="3172">
                          <a:solidFill>
                            <a:srgbClr val="000000"/>
                          </a:solidFill>
                          <a:prstDash val="solid"/>
                        </a:ln>
                      </wps:spPr>
                      <wps:txbx>
                        <w:txbxContent>
                          <w:p w:rsidR="002E0DE9" w:rsidRDefault="002E0DE9" w:rsidP="009B053F">
                            <w:pPr>
                              <w:spacing w:after="0" w:line="240" w:lineRule="auto"/>
                              <w:rPr>
                                <w:rFonts w:cs="Arial"/>
                              </w:rPr>
                            </w:pPr>
                            <w:r>
                              <w:rPr>
                                <w:rFonts w:cs="Arial"/>
                              </w:rPr>
                              <w:t>Summary:</w:t>
                            </w:r>
                          </w:p>
                          <w:p w:rsidR="002E0DE9" w:rsidRDefault="002E0DE9" w:rsidP="009B053F">
                            <w:pPr>
                              <w:spacing w:after="0" w:line="240" w:lineRule="auto"/>
                              <w:rPr>
                                <w:rFonts w:cs="Arial"/>
                              </w:rPr>
                            </w:pPr>
                          </w:p>
                          <w:p w:rsidR="009B053F" w:rsidRPr="009A306F" w:rsidRDefault="009B053F" w:rsidP="009B053F">
                            <w:pPr>
                              <w:spacing w:after="0" w:line="240" w:lineRule="auto"/>
                              <w:jc w:val="both"/>
                              <w:rPr>
                                <w:rFonts w:cs="Arial"/>
                              </w:rPr>
                            </w:pPr>
                            <w:r w:rsidRPr="009B053F">
                              <w:rPr>
                                <w:rFonts w:cs="Arial"/>
                              </w:rPr>
                              <w:t xml:space="preserve">This document reports on progress to implement Resolution 11.15 (Rev.COP12) and the related Decisions 12.18 and 12.19 </w:t>
                            </w:r>
                            <w:r w:rsidRPr="009B053F">
                              <w:rPr>
                                <w:rFonts w:cs="Arial"/>
                                <w:i/>
                              </w:rPr>
                              <w:t>Preventing Poisoning of Migratory Birds</w:t>
                            </w:r>
                            <w:r w:rsidRPr="009B053F">
                              <w:rPr>
                                <w:rFonts w:cs="Arial"/>
                              </w:rPr>
                              <w:t xml:space="preserve">. It includes proposed amendments to the Resolution and Decisions, and a new draft Decision, to </w:t>
                            </w:r>
                            <w:proofErr w:type="gramStart"/>
                            <w:r w:rsidRPr="009B053F">
                              <w:rPr>
                                <w:rFonts w:cs="Arial"/>
                              </w:rPr>
                              <w:t>take into account</w:t>
                            </w:r>
                            <w:proofErr w:type="gramEnd"/>
                            <w:r w:rsidRPr="009B053F">
                              <w:rPr>
                                <w:rFonts w:cs="Arial"/>
                              </w:rPr>
                              <w:t xml:space="preserve"> the development of international processes. The draft Resolution proposes the continuation of the Inter-sessional Working Group on Preventing Poisoning of Migratory Birds.</w:t>
                            </w:r>
                          </w:p>
                          <w:p w:rsidR="009C1079" w:rsidRDefault="009C1079" w:rsidP="009B053F">
                            <w:pPr>
                              <w:spacing w:after="0" w:line="240" w:lineRule="auto"/>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38.95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" strokeweight=".08811mm">
                <v:textbox>
                  <w:txbxContent>
                    <w:p w:rsidR="002E0DE9" w:rsidRDefault="002E0DE9" w:rsidP="009B053F">
                      <w:pPr>
                        <w:spacing w:after="0" w:line="240" w:lineRule="auto"/>
                        <w:rPr>
                          <w:rFonts w:cs="Arial"/>
                        </w:rPr>
                      </w:pPr>
                      <w:r>
                        <w:rPr>
                          <w:rFonts w:cs="Arial"/>
                        </w:rPr>
                        <w:t>Summary:</w:t>
                      </w:r>
                    </w:p>
                    <w:p w:rsidR="002E0DE9" w:rsidRDefault="002E0DE9" w:rsidP="009B053F">
                      <w:pPr>
                        <w:spacing w:after="0" w:line="240" w:lineRule="auto"/>
                        <w:rPr>
                          <w:rFonts w:cs="Arial"/>
                        </w:rPr>
                      </w:pPr>
                    </w:p>
                    <w:p w:rsidR="009B053F" w:rsidRPr="009A306F" w:rsidRDefault="009B053F" w:rsidP="009B053F">
                      <w:pPr>
                        <w:spacing w:after="0" w:line="240" w:lineRule="auto"/>
                        <w:jc w:val="both"/>
                        <w:rPr>
                          <w:rFonts w:cs="Arial"/>
                        </w:rPr>
                      </w:pPr>
                      <w:r w:rsidRPr="009B053F">
                        <w:rPr>
                          <w:rFonts w:cs="Arial"/>
                        </w:rPr>
                        <w:t xml:space="preserve">This document reports on progress to implement Resolution 11.15 (Rev.COP12) and the related Decisions 12.18 and 12.19 </w:t>
                      </w:r>
                      <w:r w:rsidRPr="009B053F">
                        <w:rPr>
                          <w:rFonts w:cs="Arial"/>
                          <w:i/>
                        </w:rPr>
                        <w:t>Preventing Poisoning of Migratory Birds</w:t>
                      </w:r>
                      <w:r w:rsidRPr="009B053F">
                        <w:rPr>
                          <w:rFonts w:cs="Arial"/>
                        </w:rPr>
                        <w:t xml:space="preserve">. It includes proposed amendments to the Resolution and Decisions, and a new draft Decision, to </w:t>
                      </w:r>
                      <w:proofErr w:type="gramStart"/>
                      <w:r w:rsidRPr="009B053F">
                        <w:rPr>
                          <w:rFonts w:cs="Arial"/>
                        </w:rPr>
                        <w:t>take into account</w:t>
                      </w:r>
                      <w:proofErr w:type="gramEnd"/>
                      <w:r w:rsidRPr="009B053F">
                        <w:rPr>
                          <w:rFonts w:cs="Arial"/>
                        </w:rPr>
                        <w:t xml:space="preserve"> the development of international processes. The draft Resolution proposes the continuation of the Inter-sessional Working Group on Preventing Poisoning of Migratory Birds.</w:t>
                      </w:r>
                    </w:p>
                    <w:p w:rsidR="009C1079" w:rsidRDefault="009C1079" w:rsidP="009B053F">
                      <w:pPr>
                        <w:spacing w:after="0" w:line="240" w:lineRule="auto"/>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rsidR="002E0DE9" w:rsidRPr="002E0DE9" w:rsidRDefault="009B053F" w:rsidP="004B7071">
      <w:pPr>
        <w:pStyle w:val="Title1"/>
      </w:pPr>
      <w:r w:rsidRPr="009B053F">
        <w:rPr>
          <w:bCs/>
        </w:rPr>
        <w:t>PREVENTING POISONING OF MIGRATORY BIRDS</w:t>
      </w: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rPr>
      </w:pPr>
    </w:p>
    <w:p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2E0DE9" w:rsidRDefault="002E0DE9" w:rsidP="00EC4F04">
      <w:pPr>
        <w:spacing w:after="0" w:line="240" w:lineRule="auto"/>
      </w:pPr>
    </w:p>
    <w:p w:rsidR="009B053F" w:rsidRPr="009B053F" w:rsidRDefault="009B053F" w:rsidP="009B053F">
      <w:pPr>
        <w:pStyle w:val="Firstnumbering"/>
      </w:pPr>
      <w:r w:rsidRPr="009B053F">
        <w:t>The Conference of the Parties at its 12</w:t>
      </w:r>
      <w:r w:rsidRPr="009B053F">
        <w:rPr>
          <w:vertAlign w:val="superscript"/>
        </w:rPr>
        <w:t>th</w:t>
      </w:r>
      <w:r w:rsidRPr="009B053F">
        <w:t xml:space="preserve"> meeting (COP12, Manila, 2017) adopted Resolution 11.15 (Rev.COP12) </w:t>
      </w:r>
      <w:r w:rsidRPr="009B053F">
        <w:rPr>
          <w:i/>
        </w:rPr>
        <w:t>Preventing Poisoning of Migratory Birds</w:t>
      </w:r>
      <w:r w:rsidRPr="009B053F">
        <w:t xml:space="preserve">, and thereby reaffirmed the </w:t>
      </w:r>
      <w:r w:rsidRPr="009B053F">
        <w:rPr>
          <w:i/>
          <w:iCs/>
        </w:rPr>
        <w:t xml:space="preserve">Guidelines </w:t>
      </w:r>
      <w:r w:rsidRPr="009B053F">
        <w:rPr>
          <w:rFonts w:eastAsia="Times New Roman"/>
          <w:i/>
        </w:rPr>
        <w:t xml:space="preserve">to Prevent the Risk of Poisoning to Migratory Birds </w:t>
      </w:r>
      <w:r w:rsidRPr="009B053F">
        <w:rPr>
          <w:rFonts w:eastAsia="Times New Roman"/>
          <w:iCs/>
        </w:rPr>
        <w:t xml:space="preserve">(‘the </w:t>
      </w:r>
      <w:r w:rsidRPr="009B053F">
        <w:rPr>
          <w:rFonts w:eastAsia="Times New Roman"/>
          <w:i/>
        </w:rPr>
        <w:t>Guidelines</w:t>
      </w:r>
      <w:r w:rsidRPr="009B053F">
        <w:rPr>
          <w:rFonts w:eastAsia="Times New Roman"/>
          <w:iCs/>
        </w:rPr>
        <w:t>’)</w:t>
      </w:r>
      <w:r w:rsidRPr="009B053F">
        <w:rPr>
          <w:rFonts w:eastAsia="Times New Roman"/>
          <w:i/>
        </w:rPr>
        <w:t>,</w:t>
      </w:r>
      <w:r w:rsidRPr="009B053F">
        <w:t xml:space="preserve"> adopted by COP11, called on Parties to implement the </w:t>
      </w:r>
      <w:r w:rsidRPr="009B053F">
        <w:rPr>
          <w:i/>
          <w:iCs/>
        </w:rPr>
        <w:t>Guidelines</w:t>
      </w:r>
      <w:r w:rsidRPr="009B053F">
        <w:t>, and called on the Secretariat to support the work as follows:</w:t>
      </w:r>
    </w:p>
    <w:p w:rsidR="009B053F" w:rsidRPr="009B053F" w:rsidRDefault="009B053F" w:rsidP="009B053F">
      <w:pPr>
        <w:spacing w:after="0"/>
        <w:ind w:left="360"/>
        <w:jc w:val="both"/>
        <w:rPr>
          <w:rFonts w:cs="Arial"/>
        </w:rPr>
      </w:pPr>
    </w:p>
    <w:p w:rsidR="009B053F" w:rsidRPr="009B053F" w:rsidRDefault="009B053F" w:rsidP="009B053F">
      <w:pPr>
        <w:widowControl w:val="0"/>
        <w:autoSpaceDE w:val="0"/>
        <w:adjustRightInd w:val="0"/>
        <w:spacing w:after="0"/>
        <w:ind w:left="851" w:hanging="284"/>
        <w:jc w:val="both"/>
        <w:rPr>
          <w:rFonts w:eastAsia="Times New Roman" w:cs="Arial"/>
          <w:i/>
          <w:sz w:val="20"/>
          <w:szCs w:val="20"/>
        </w:rPr>
      </w:pPr>
      <w:r w:rsidRPr="009B053F">
        <w:rPr>
          <w:rFonts w:eastAsia="Times New Roman" w:cs="Arial"/>
          <w:i/>
          <w:sz w:val="20"/>
          <w:szCs w:val="20"/>
        </w:rPr>
        <w:t>5</w:t>
      </w:r>
      <w:r>
        <w:rPr>
          <w:rFonts w:eastAsia="Times New Roman" w:cs="Arial"/>
          <w:i/>
          <w:sz w:val="20"/>
          <w:szCs w:val="20"/>
        </w:rPr>
        <w:tab/>
      </w:r>
      <w:r w:rsidRPr="009B053F">
        <w:rPr>
          <w:rFonts w:eastAsia="Times New Roman" w:cs="Arial"/>
          <w:i/>
          <w:sz w:val="20"/>
          <w:szCs w:val="20"/>
        </w:rPr>
        <w:t xml:space="preserve">Urges 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 </w:t>
      </w:r>
    </w:p>
    <w:p w:rsidR="009B053F" w:rsidRPr="009B053F" w:rsidRDefault="009B053F" w:rsidP="009B053F">
      <w:pPr>
        <w:widowControl w:val="0"/>
        <w:autoSpaceDE w:val="0"/>
        <w:adjustRightInd w:val="0"/>
        <w:spacing w:after="0"/>
        <w:ind w:left="851" w:hanging="284"/>
        <w:jc w:val="both"/>
        <w:rPr>
          <w:rFonts w:eastAsia="Times New Roman" w:cs="Arial"/>
          <w:i/>
          <w:sz w:val="20"/>
          <w:szCs w:val="20"/>
        </w:rPr>
      </w:pPr>
    </w:p>
    <w:p w:rsidR="009B053F" w:rsidRPr="009B053F" w:rsidRDefault="009B053F" w:rsidP="009B053F">
      <w:pPr>
        <w:widowControl w:val="0"/>
        <w:autoSpaceDE w:val="0"/>
        <w:adjustRightInd w:val="0"/>
        <w:spacing w:after="0"/>
        <w:ind w:left="851" w:hanging="284"/>
        <w:jc w:val="both"/>
        <w:rPr>
          <w:rFonts w:eastAsia="Times New Roman" w:cs="Arial"/>
          <w:i/>
          <w:sz w:val="20"/>
          <w:szCs w:val="20"/>
        </w:rPr>
      </w:pPr>
      <w:r w:rsidRPr="009B053F">
        <w:rPr>
          <w:rFonts w:eastAsia="Times New Roman" w:cs="Arial"/>
          <w:i/>
          <w:sz w:val="20"/>
          <w:szCs w:val="20"/>
        </w:rPr>
        <w:t>8</w:t>
      </w:r>
      <w:r>
        <w:rPr>
          <w:rFonts w:eastAsia="Times New Roman" w:cs="Arial"/>
          <w:i/>
          <w:sz w:val="20"/>
          <w:szCs w:val="20"/>
        </w:rPr>
        <w:tab/>
      </w:r>
      <w:r w:rsidRPr="009B053F">
        <w:rPr>
          <w:rFonts w:eastAsia="Times New Roman" w:cs="Arial"/>
          <w:i/>
          <w:sz w:val="20"/>
          <w:szCs w:val="20"/>
        </w:rPr>
        <w:t>Instructs the Secretariat, in close cooperation with relevant CMS instruments, to liaise with the Bern Convention Secretariat and other relevant international organizations in order to update the Guidelines as necessary, and invites Parties to contribute to the dissemination and updating of the Guidelines;</w:t>
      </w:r>
    </w:p>
    <w:p w:rsidR="009B053F" w:rsidRPr="009B053F" w:rsidRDefault="009B053F" w:rsidP="009B053F">
      <w:pPr>
        <w:spacing w:after="0"/>
        <w:ind w:left="360"/>
        <w:jc w:val="both"/>
        <w:rPr>
          <w:rFonts w:cs="Arial"/>
        </w:rPr>
      </w:pPr>
    </w:p>
    <w:p w:rsidR="009B053F" w:rsidRPr="009B053F" w:rsidRDefault="009B053F" w:rsidP="009B053F">
      <w:pPr>
        <w:pStyle w:val="Firstnumbering"/>
      </w:pPr>
      <w:r w:rsidRPr="009B053F">
        <w:t xml:space="preserve">COP12 also adopted Decisions 12.18 and 12.19 </w:t>
      </w:r>
      <w:r w:rsidRPr="009B053F">
        <w:rPr>
          <w:i/>
        </w:rPr>
        <w:t xml:space="preserve">Preventing Poisoning of Migratory Birds, </w:t>
      </w:r>
      <w:r w:rsidRPr="009B053F">
        <w:t>which read as follows:</w:t>
      </w:r>
    </w:p>
    <w:p w:rsidR="009B053F" w:rsidRPr="009B053F" w:rsidRDefault="009B053F" w:rsidP="009B053F">
      <w:pPr>
        <w:spacing w:after="0"/>
        <w:ind w:left="1134" w:hanging="283"/>
        <w:jc w:val="both"/>
        <w:rPr>
          <w:rFonts w:cs="Arial"/>
          <w:b/>
        </w:rPr>
      </w:pPr>
    </w:p>
    <w:p w:rsidR="009B053F" w:rsidRPr="009B053F" w:rsidRDefault="009B053F" w:rsidP="009B053F">
      <w:pPr>
        <w:spacing w:after="0"/>
        <w:ind w:left="1134" w:hanging="283"/>
        <w:jc w:val="both"/>
        <w:rPr>
          <w:rFonts w:cs="Arial"/>
          <w:b/>
          <w:i/>
          <w:sz w:val="20"/>
          <w:szCs w:val="20"/>
        </w:rPr>
      </w:pPr>
      <w:r w:rsidRPr="009B053F">
        <w:rPr>
          <w:rFonts w:cs="Arial"/>
          <w:b/>
          <w:i/>
          <w:sz w:val="20"/>
          <w:szCs w:val="20"/>
        </w:rPr>
        <w:t>12.18 Directed to Parties, intergovernmental and non-governmental organizations and donors</w:t>
      </w:r>
    </w:p>
    <w:p w:rsidR="009B053F" w:rsidRPr="009B053F" w:rsidRDefault="009B053F" w:rsidP="009B053F">
      <w:pPr>
        <w:spacing w:after="0"/>
        <w:ind w:left="360"/>
        <w:jc w:val="both"/>
        <w:rPr>
          <w:rFonts w:cs="Arial"/>
          <w:i/>
          <w:sz w:val="20"/>
          <w:szCs w:val="20"/>
        </w:rPr>
      </w:pPr>
    </w:p>
    <w:p w:rsidR="009B053F" w:rsidRPr="009B053F" w:rsidRDefault="009B053F" w:rsidP="009B053F">
      <w:pPr>
        <w:spacing w:after="0"/>
        <w:ind w:left="1418"/>
        <w:jc w:val="both"/>
        <w:rPr>
          <w:rFonts w:cs="Arial"/>
          <w:i/>
          <w:sz w:val="20"/>
          <w:szCs w:val="20"/>
        </w:rPr>
      </w:pPr>
      <w:r w:rsidRPr="009B053F">
        <w:rPr>
          <w:rFonts w:cs="Arial"/>
          <w:i/>
          <w:sz w:val="20"/>
          <w:szCs w:val="20"/>
        </w:rPr>
        <w:t>Parties, intergovernmental and non-governmental organizations and donors are encouraged to:</w:t>
      </w:r>
    </w:p>
    <w:p w:rsidR="009B053F" w:rsidRPr="009B053F" w:rsidRDefault="009B053F" w:rsidP="009B053F">
      <w:pPr>
        <w:spacing w:after="0"/>
        <w:ind w:left="360"/>
        <w:jc w:val="both"/>
        <w:rPr>
          <w:rFonts w:cs="Arial"/>
          <w:i/>
          <w:sz w:val="20"/>
          <w:szCs w:val="20"/>
        </w:rPr>
      </w:pPr>
    </w:p>
    <w:p w:rsidR="009B053F" w:rsidRPr="009B053F" w:rsidRDefault="009B053F" w:rsidP="009B053F">
      <w:pPr>
        <w:spacing w:after="0"/>
        <w:ind w:left="1701" w:hanging="283"/>
        <w:jc w:val="both"/>
        <w:rPr>
          <w:rFonts w:cs="Arial"/>
          <w:i/>
          <w:sz w:val="20"/>
          <w:szCs w:val="20"/>
        </w:rPr>
      </w:pPr>
      <w:r w:rsidRPr="009B053F">
        <w:rPr>
          <w:rFonts w:cs="Arial"/>
          <w:i/>
          <w:sz w:val="20"/>
          <w:szCs w:val="20"/>
        </w:rPr>
        <w:t>a) Provide financial and technical support to the Secretariat for the appointment of a Coordinator of the Working Group for the triennium 2017-2020;</w:t>
      </w:r>
    </w:p>
    <w:p w:rsidR="009B053F" w:rsidRPr="009B053F" w:rsidRDefault="009B053F" w:rsidP="009B053F">
      <w:pPr>
        <w:spacing w:after="0"/>
        <w:ind w:left="1701" w:hanging="283"/>
        <w:jc w:val="both"/>
        <w:rPr>
          <w:rFonts w:cs="Arial"/>
          <w:i/>
          <w:sz w:val="20"/>
          <w:szCs w:val="20"/>
        </w:rPr>
      </w:pPr>
    </w:p>
    <w:p w:rsidR="009B053F" w:rsidRPr="009B053F" w:rsidRDefault="009B053F" w:rsidP="009B053F">
      <w:pPr>
        <w:spacing w:after="0"/>
        <w:ind w:left="1701" w:hanging="283"/>
        <w:jc w:val="both"/>
        <w:rPr>
          <w:rFonts w:cs="Arial"/>
          <w:i/>
          <w:sz w:val="20"/>
          <w:szCs w:val="20"/>
        </w:rPr>
      </w:pPr>
      <w:r w:rsidRPr="009B053F">
        <w:rPr>
          <w:rFonts w:cs="Arial"/>
          <w:i/>
          <w:sz w:val="20"/>
          <w:szCs w:val="20"/>
        </w:rPr>
        <w:t xml:space="preserve">b) Provide financial and technical support to the Secretariat for implementing the Programme of Work of the Preventing Poisoning Working Group (PPWG), and particularly for the organization of regional workshops in high risk areas/flyways within the triennium 2017-2020. </w:t>
      </w:r>
    </w:p>
    <w:p w:rsidR="009B053F" w:rsidRPr="009B053F" w:rsidRDefault="009B053F" w:rsidP="009B053F">
      <w:pPr>
        <w:spacing w:after="0"/>
        <w:ind w:left="360"/>
        <w:jc w:val="both"/>
        <w:rPr>
          <w:rFonts w:cs="Arial"/>
          <w:i/>
          <w:sz w:val="20"/>
          <w:szCs w:val="20"/>
        </w:rPr>
      </w:pPr>
    </w:p>
    <w:p w:rsidR="009B053F" w:rsidRPr="009B053F" w:rsidRDefault="009B053F" w:rsidP="009B053F">
      <w:pPr>
        <w:spacing w:after="0"/>
        <w:ind w:left="851"/>
        <w:jc w:val="both"/>
        <w:rPr>
          <w:rFonts w:cs="Arial"/>
          <w:b/>
          <w:i/>
          <w:sz w:val="20"/>
          <w:szCs w:val="20"/>
        </w:rPr>
      </w:pPr>
      <w:r w:rsidRPr="009B053F">
        <w:rPr>
          <w:rFonts w:cs="Arial"/>
          <w:b/>
          <w:i/>
          <w:sz w:val="20"/>
          <w:szCs w:val="20"/>
        </w:rPr>
        <w:t>12.19 Directed to: Secretariat</w:t>
      </w:r>
    </w:p>
    <w:p w:rsidR="009B053F" w:rsidRPr="009B053F" w:rsidRDefault="009B053F" w:rsidP="009B053F">
      <w:pPr>
        <w:spacing w:after="0"/>
        <w:ind w:left="360"/>
        <w:jc w:val="both"/>
        <w:rPr>
          <w:rFonts w:cs="Arial"/>
          <w:i/>
          <w:sz w:val="20"/>
          <w:szCs w:val="20"/>
        </w:rPr>
      </w:pPr>
    </w:p>
    <w:p w:rsidR="009B053F" w:rsidRPr="009B053F" w:rsidRDefault="009B053F" w:rsidP="009B053F">
      <w:pPr>
        <w:spacing w:after="0"/>
        <w:ind w:left="360" w:firstLine="1058"/>
        <w:jc w:val="both"/>
        <w:rPr>
          <w:rFonts w:cs="Arial"/>
          <w:i/>
          <w:sz w:val="20"/>
          <w:szCs w:val="20"/>
        </w:rPr>
      </w:pPr>
      <w:r w:rsidRPr="009B053F">
        <w:rPr>
          <w:rFonts w:cs="Arial"/>
          <w:i/>
          <w:sz w:val="20"/>
          <w:szCs w:val="20"/>
        </w:rPr>
        <w:t>The Secretariat shall, subject to the availability of external resources:</w:t>
      </w:r>
    </w:p>
    <w:p w:rsidR="009B053F" w:rsidRPr="009B053F" w:rsidRDefault="009B053F" w:rsidP="009B053F">
      <w:pPr>
        <w:spacing w:after="0"/>
        <w:ind w:left="360"/>
        <w:jc w:val="both"/>
        <w:rPr>
          <w:rFonts w:cs="Arial"/>
          <w:i/>
          <w:sz w:val="20"/>
          <w:szCs w:val="20"/>
        </w:rPr>
      </w:pPr>
    </w:p>
    <w:p w:rsidR="009B053F" w:rsidRPr="009B053F" w:rsidRDefault="009B053F" w:rsidP="009B053F">
      <w:pPr>
        <w:spacing w:after="0"/>
        <w:ind w:left="1701" w:hanging="283"/>
        <w:jc w:val="both"/>
        <w:rPr>
          <w:rFonts w:cs="Arial"/>
          <w:i/>
          <w:sz w:val="20"/>
          <w:szCs w:val="20"/>
        </w:rPr>
      </w:pPr>
      <w:r w:rsidRPr="009B053F">
        <w:rPr>
          <w:rFonts w:cs="Arial"/>
          <w:i/>
          <w:sz w:val="20"/>
          <w:szCs w:val="20"/>
        </w:rPr>
        <w:t>a) Appoint a Coordinator of the PPWG for the triennium 2017-2020, in collaboration with Parties and the PPWG;</w:t>
      </w:r>
    </w:p>
    <w:p w:rsidR="009B053F" w:rsidRPr="009B053F" w:rsidRDefault="009B053F" w:rsidP="009B053F">
      <w:pPr>
        <w:spacing w:after="0"/>
        <w:ind w:left="1701" w:hanging="283"/>
        <w:jc w:val="both"/>
        <w:rPr>
          <w:rFonts w:cs="Arial"/>
          <w:i/>
          <w:sz w:val="20"/>
          <w:szCs w:val="20"/>
        </w:rPr>
      </w:pPr>
    </w:p>
    <w:p w:rsidR="009B053F" w:rsidRPr="009B053F" w:rsidRDefault="009B053F" w:rsidP="009B053F">
      <w:pPr>
        <w:spacing w:after="0"/>
        <w:ind w:left="1701" w:hanging="283"/>
        <w:jc w:val="both"/>
        <w:rPr>
          <w:rFonts w:cs="Arial"/>
          <w:i/>
          <w:sz w:val="20"/>
          <w:szCs w:val="20"/>
        </w:rPr>
      </w:pPr>
      <w:r w:rsidRPr="009B053F">
        <w:rPr>
          <w:rFonts w:cs="Arial"/>
          <w:i/>
          <w:sz w:val="20"/>
          <w:szCs w:val="20"/>
        </w:rPr>
        <w:t>b) Organize regional workshops in high risk areas/flyways in collaboration with Parties, the PPWG and relevant international organizations, and in accordance with the Programme of Work of the PPWG, within the triennium 2017-2020 to promote the implementation of the Guidelines to Prevent the Risk of Poisoning to Migratory Birds (Annex 2 to document UNEP/CMS/COP11/Doc.23.1.2) and to share best practices and lessons learnt;</w:t>
      </w:r>
    </w:p>
    <w:p w:rsidR="009B053F" w:rsidRPr="009B053F" w:rsidRDefault="009B053F" w:rsidP="009B053F">
      <w:pPr>
        <w:spacing w:after="0"/>
        <w:ind w:left="1701" w:hanging="283"/>
        <w:jc w:val="both"/>
        <w:rPr>
          <w:rFonts w:cs="Arial"/>
          <w:i/>
          <w:sz w:val="20"/>
          <w:szCs w:val="20"/>
        </w:rPr>
      </w:pPr>
    </w:p>
    <w:p w:rsidR="009B053F" w:rsidRPr="009B053F" w:rsidRDefault="009B053F" w:rsidP="009B053F">
      <w:pPr>
        <w:spacing w:after="0"/>
        <w:ind w:left="1701" w:hanging="283"/>
        <w:jc w:val="both"/>
        <w:rPr>
          <w:rFonts w:cs="Arial"/>
          <w:i/>
          <w:sz w:val="20"/>
          <w:szCs w:val="20"/>
        </w:rPr>
      </w:pPr>
      <w:r w:rsidRPr="009B053F">
        <w:rPr>
          <w:rFonts w:cs="Arial"/>
          <w:i/>
          <w:sz w:val="20"/>
          <w:szCs w:val="20"/>
        </w:rPr>
        <w:t>c) Report to the Scientific Council Sessional Committee and the Conference of Parties at its 13</w:t>
      </w:r>
      <w:r w:rsidRPr="009B053F">
        <w:rPr>
          <w:rFonts w:cs="Arial"/>
          <w:i/>
          <w:sz w:val="20"/>
          <w:szCs w:val="20"/>
          <w:vertAlign w:val="superscript"/>
        </w:rPr>
        <w:t>th</w:t>
      </w:r>
      <w:r w:rsidRPr="009B053F">
        <w:rPr>
          <w:rFonts w:cs="Arial"/>
          <w:i/>
          <w:sz w:val="20"/>
          <w:szCs w:val="20"/>
        </w:rPr>
        <w:t xml:space="preserve"> meeting on the progress in implementing these Decisions.</w:t>
      </w:r>
    </w:p>
    <w:p w:rsidR="009B053F" w:rsidRPr="009B053F" w:rsidRDefault="009B053F" w:rsidP="009B053F">
      <w:pPr>
        <w:spacing w:after="0"/>
        <w:jc w:val="both"/>
        <w:rPr>
          <w:rFonts w:cs="Arial"/>
          <w:sz w:val="20"/>
          <w:szCs w:val="20"/>
        </w:rPr>
      </w:pPr>
    </w:p>
    <w:p w:rsidR="009B053F" w:rsidRPr="009B053F" w:rsidRDefault="009B053F" w:rsidP="009B053F">
      <w:pPr>
        <w:spacing w:after="0"/>
        <w:ind w:left="360"/>
        <w:jc w:val="both"/>
        <w:rPr>
          <w:rFonts w:cs="Arial"/>
        </w:rPr>
      </w:pPr>
    </w:p>
    <w:p w:rsidR="009B053F" w:rsidRPr="009B053F" w:rsidRDefault="009B053F" w:rsidP="009B053F">
      <w:pPr>
        <w:pStyle w:val="Firstnumbering"/>
      </w:pPr>
      <w:r w:rsidRPr="009B053F">
        <w:rPr>
          <w:bCs/>
          <w:lang w:val="en"/>
        </w:rPr>
        <w:lastRenderedPageBreak/>
        <w:t>In Resolution 11.15</w:t>
      </w:r>
      <w:r w:rsidRPr="009B053F">
        <w:rPr>
          <w:lang w:val="en"/>
        </w:rPr>
        <w:t xml:space="preserve"> (Rev.COP12)</w:t>
      </w:r>
      <w:r w:rsidRPr="009B053F">
        <w:rPr>
          <w:rStyle w:val="CommentReference"/>
        </w:rPr>
        <w:t>,</w:t>
      </w:r>
      <w:r w:rsidRPr="009B053F">
        <w:rPr>
          <w:lang w:val="en"/>
        </w:rPr>
        <w:t xml:space="preserve"> COP12 mandated the CMS Preventing Poisoning Working Group (PPWG)</w:t>
      </w:r>
      <w:r w:rsidRPr="009B053F">
        <w:rPr>
          <w:rStyle w:val="FootnoteReference"/>
          <w:vertAlign w:val="superscript"/>
          <w:lang w:val="en"/>
        </w:rPr>
        <w:footnoteReference w:id="1"/>
      </w:r>
      <w:r w:rsidRPr="009B053F">
        <w:rPr>
          <w:lang w:val="en"/>
        </w:rPr>
        <w:t xml:space="preserve"> to continue its work under its terms of reference. For background information on the development of the PPWG, its two meetings, and its </w:t>
      </w:r>
      <w:hyperlink r:id="rId9" w:history="1">
        <w:proofErr w:type="spellStart"/>
        <w:r w:rsidRPr="009B053F">
          <w:rPr>
            <w:rStyle w:val="Hyperlink"/>
            <w:rFonts w:cs="Arial"/>
            <w:lang w:val="en"/>
          </w:rPr>
          <w:t>Programme</w:t>
        </w:r>
        <w:proofErr w:type="spellEnd"/>
        <w:r w:rsidRPr="009B053F">
          <w:rPr>
            <w:rStyle w:val="Hyperlink"/>
            <w:rFonts w:cs="Arial"/>
            <w:lang w:val="en"/>
          </w:rPr>
          <w:t xml:space="preserve"> of Work 2017-2020</w:t>
        </w:r>
      </w:hyperlink>
      <w:r w:rsidRPr="009B053F">
        <w:rPr>
          <w:lang w:val="en"/>
        </w:rPr>
        <w:t xml:space="preserve">, see Document </w:t>
      </w:r>
      <w:hyperlink r:id="rId10" w:history="1">
        <w:r w:rsidRPr="009B053F">
          <w:rPr>
            <w:rStyle w:val="Hyperlink"/>
            <w:rFonts w:cs="Arial"/>
            <w:lang w:val="en"/>
          </w:rPr>
          <w:t>UNEP/CMS/COP12/Doc.24.1.3/Rev.1</w:t>
        </w:r>
      </w:hyperlink>
      <w:r w:rsidRPr="009B053F">
        <w:rPr>
          <w:lang w:val="en"/>
        </w:rPr>
        <w:t xml:space="preserve">. The Resolution reaffirmed the </w:t>
      </w:r>
      <w:r w:rsidRPr="009B053F">
        <w:rPr>
          <w:i/>
          <w:lang w:val="en"/>
        </w:rPr>
        <w:t xml:space="preserve">Guidelines to </w:t>
      </w:r>
      <w:r w:rsidRPr="009B053F">
        <w:rPr>
          <w:bCs/>
          <w:i/>
          <w:lang w:val="en"/>
        </w:rPr>
        <w:t>Prevent the Risk of Poisoning to Migratory Birds</w:t>
      </w:r>
      <w:r w:rsidRPr="009B053F">
        <w:rPr>
          <w:lang w:val="en"/>
        </w:rPr>
        <w:t xml:space="preserve"> (the </w:t>
      </w:r>
      <w:r w:rsidRPr="009B053F">
        <w:rPr>
          <w:i/>
          <w:lang w:val="en"/>
        </w:rPr>
        <w:t xml:space="preserve">Guidelines; </w:t>
      </w:r>
      <w:r w:rsidRPr="009B053F">
        <w:rPr>
          <w:lang w:val="en"/>
        </w:rPr>
        <w:t>see</w:t>
      </w:r>
      <w:r w:rsidRPr="009B053F">
        <w:rPr>
          <w:i/>
          <w:lang w:val="en"/>
        </w:rPr>
        <w:t xml:space="preserve"> </w:t>
      </w:r>
      <w:hyperlink r:id="rId11" w:history="1">
        <w:r w:rsidRPr="009B053F">
          <w:rPr>
            <w:rStyle w:val="Hyperlink"/>
            <w:rFonts w:cs="Arial"/>
            <w:bCs/>
            <w:lang w:val="en"/>
          </w:rPr>
          <w:t>UNEP/CMS/COP11/Doc.23.1.2/Annex</w:t>
        </w:r>
        <w:r w:rsidR="00642B8E">
          <w:rPr>
            <w:rStyle w:val="Hyperlink"/>
            <w:rFonts w:cs="Arial"/>
            <w:bCs/>
            <w:lang w:val="en"/>
          </w:rPr>
          <w:t xml:space="preserve"> </w:t>
        </w:r>
        <w:r w:rsidRPr="009B053F">
          <w:rPr>
            <w:rStyle w:val="Hyperlink"/>
            <w:rFonts w:cs="Arial"/>
            <w:bCs/>
            <w:lang w:val="en"/>
          </w:rPr>
          <w:t>2</w:t>
        </w:r>
      </w:hyperlink>
      <w:r w:rsidRPr="009B053F">
        <w:rPr>
          <w:lang w:val="en"/>
        </w:rPr>
        <w:t xml:space="preserve">) and the </w:t>
      </w:r>
      <w:r w:rsidRPr="009B053F">
        <w:rPr>
          <w:i/>
        </w:rPr>
        <w:t>Review of the Ecological Effects of Poisoning on Migratory Birds</w:t>
      </w:r>
      <w:r w:rsidRPr="009B053F">
        <w:t xml:space="preserve"> (</w:t>
      </w:r>
      <w:hyperlink r:id="rId12" w:history="1">
        <w:r w:rsidRPr="009B053F">
          <w:rPr>
            <w:rStyle w:val="Hyperlink"/>
            <w:rFonts w:cs="Arial"/>
          </w:rPr>
          <w:t>UNEP/CMS/COP11/Inf.34</w:t>
        </w:r>
      </w:hyperlink>
      <w:r w:rsidRPr="009B053F">
        <w:t xml:space="preserve">). </w:t>
      </w:r>
      <w:r w:rsidRPr="009B053F">
        <w:rPr>
          <w:lang w:val="en"/>
        </w:rPr>
        <w:t xml:space="preserve">It requested the establishment of task groups, addressing thematic issues (e.g. for different poison types) and geographical regions to progress its work and organize regional workshops in high risk areas or flyways to promote the implementation of the Guidelines. In this connection, COP12 adopted the establishment and terms of reference of a </w:t>
      </w:r>
      <w:r w:rsidRPr="009B053F">
        <w:t>Task Group focusing on the issue of lead poisoning of migratory birds from ammunition, fishing weights and other sources (‘Lead Task Group’), as a sub-group of the PPWG.</w:t>
      </w:r>
    </w:p>
    <w:p w:rsidR="009B053F" w:rsidRPr="009B053F" w:rsidRDefault="009B053F" w:rsidP="009B053F">
      <w:pPr>
        <w:spacing w:after="0"/>
        <w:jc w:val="both"/>
        <w:rPr>
          <w:rFonts w:cs="Arial"/>
          <w:u w:val="single"/>
        </w:rPr>
      </w:pPr>
    </w:p>
    <w:p w:rsidR="009B053F" w:rsidRPr="009B053F" w:rsidRDefault="009B053F" w:rsidP="009B053F">
      <w:pPr>
        <w:spacing w:after="0"/>
        <w:jc w:val="both"/>
        <w:rPr>
          <w:rFonts w:cs="Arial"/>
          <w:u w:val="single"/>
        </w:rPr>
      </w:pPr>
      <w:r w:rsidRPr="009B053F">
        <w:rPr>
          <w:rFonts w:cs="Arial"/>
          <w:u w:val="single"/>
        </w:rPr>
        <w:t xml:space="preserve">Activities to implement Resolution 11.15 (Rev.COP12) and Decisions 12.18 and 12.19 </w:t>
      </w:r>
    </w:p>
    <w:p w:rsidR="009B053F" w:rsidRPr="009B053F" w:rsidRDefault="009B053F" w:rsidP="009B053F">
      <w:pPr>
        <w:spacing w:after="0"/>
        <w:jc w:val="both"/>
        <w:rPr>
          <w:rFonts w:cs="Arial"/>
          <w:u w:val="single"/>
        </w:rPr>
      </w:pPr>
    </w:p>
    <w:p w:rsidR="009B053F" w:rsidRPr="009B053F" w:rsidRDefault="009B053F" w:rsidP="009B053F">
      <w:pPr>
        <w:pStyle w:val="Firstnumbering"/>
      </w:pPr>
      <w:r w:rsidRPr="009B053F">
        <w:t>As instructed by Resolution 11.15 (Rev.COP12), during the intersessional period, the Secretariat consulted regularly with relevant stakeholders and representatives of relevant sectors, in order to monitor the impacts of poisoning on migratory birds and to support the elaboration of national strategies and sectoral implementation plans. In this connection, the Secretariat undertook the activities described below.</w:t>
      </w:r>
    </w:p>
    <w:p w:rsidR="009B053F" w:rsidRPr="009B053F" w:rsidRDefault="009B053F" w:rsidP="009B053F">
      <w:pPr>
        <w:spacing w:after="0"/>
        <w:ind w:left="360"/>
        <w:jc w:val="both"/>
        <w:rPr>
          <w:rFonts w:cs="Arial"/>
        </w:rPr>
      </w:pPr>
    </w:p>
    <w:p w:rsidR="009B053F" w:rsidRPr="009B053F" w:rsidRDefault="009B053F" w:rsidP="009B053F">
      <w:pPr>
        <w:pStyle w:val="Firstnumbering"/>
      </w:pPr>
      <w:r w:rsidRPr="009B053F">
        <w:t xml:space="preserve">Based on the provisions of Resolution 11.15 (Rev.COP12) and the </w:t>
      </w:r>
      <w:r w:rsidRPr="009B053F">
        <w:rPr>
          <w:i/>
        </w:rPr>
        <w:t>Guidelines</w:t>
      </w:r>
      <w:r w:rsidRPr="009B053F">
        <w:t>, the Secretariat provided inputs to the consultation under the European Chemical Agency (ECHA) on a proposal requested by the European Commission regarding a ban of lead shot in EU wetlands. The Secretariat followed the related evaluation process of the European Regulation on Registration, Evaluation, Authorization and Restriction of Chemicals (REACH); EG Nr. 1907/2006.</w:t>
      </w:r>
    </w:p>
    <w:p w:rsidR="009B053F" w:rsidRPr="009B053F" w:rsidRDefault="009B053F" w:rsidP="009B053F">
      <w:pPr>
        <w:spacing w:after="0"/>
        <w:ind w:left="360"/>
        <w:jc w:val="both"/>
        <w:rPr>
          <w:rFonts w:cs="Arial"/>
        </w:rPr>
      </w:pPr>
    </w:p>
    <w:p w:rsidR="009B053F" w:rsidRPr="009B053F" w:rsidRDefault="009B053F" w:rsidP="009B053F">
      <w:pPr>
        <w:pStyle w:val="Firstnumbering"/>
      </w:pPr>
      <w:r w:rsidRPr="009B053F">
        <w:t xml:space="preserve">The Secretariat constituted the membership of the ‘Lead Task Group’ in accordance with the criteria set forth in Resolution 11.15 (Rev.COP12) (annex, paragraph 4). It includes representatives of Parties to CMS and </w:t>
      </w:r>
      <w:r w:rsidRPr="009B053F">
        <w:rPr>
          <w:rFonts w:eastAsia="Times New Roman"/>
        </w:rPr>
        <w:t xml:space="preserve">Agreement on the Conservation of African-Eurasian Migratory </w:t>
      </w:r>
      <w:proofErr w:type="spellStart"/>
      <w:r w:rsidRPr="009B053F">
        <w:rPr>
          <w:rFonts w:eastAsia="Times New Roman"/>
        </w:rPr>
        <w:t>Waterbirds</w:t>
      </w:r>
      <w:proofErr w:type="spellEnd"/>
      <w:r w:rsidRPr="009B053F">
        <w:rPr>
          <w:rFonts w:eastAsia="Times New Roman"/>
        </w:rPr>
        <w:t xml:space="preserve"> </w:t>
      </w:r>
      <w:r w:rsidRPr="009B053F">
        <w:t>and Signatories to the Memorandum of Understanding on the Conservation of Migratory Birds of Prey in Africa and Eurasia; technical bodies of these agreements and their Secretariats; as well as academic institutions, NGOs, industry representatives and other relevant stakeholders.</w:t>
      </w:r>
    </w:p>
    <w:p w:rsidR="009B053F" w:rsidRPr="009B053F" w:rsidRDefault="009B053F" w:rsidP="009B053F">
      <w:pPr>
        <w:spacing w:after="0"/>
        <w:jc w:val="both"/>
        <w:rPr>
          <w:rFonts w:cs="Arial"/>
        </w:rPr>
      </w:pPr>
    </w:p>
    <w:p w:rsidR="009B053F" w:rsidRPr="009B053F" w:rsidRDefault="009B053F" w:rsidP="009B053F">
      <w:pPr>
        <w:pStyle w:val="Firstnumbering"/>
      </w:pPr>
      <w:r w:rsidRPr="009B053F">
        <w:t xml:space="preserve">The Wildlife Toxicology Interest Group of the Society for Environmental Toxicology and Chemicals (SETAC) and the Secretariat co-organized the Symposium </w:t>
      </w:r>
      <w:r w:rsidRPr="009B053F">
        <w:rPr>
          <w:i/>
        </w:rPr>
        <w:t>Migratory Species at Risk, the Role of Pesticides and other Chemicals</w:t>
      </w:r>
      <w:r w:rsidRPr="009B053F">
        <w:t>, which took place on 15 May 2018 in the margins of the 28</w:t>
      </w:r>
      <w:r w:rsidRPr="009B053F">
        <w:rPr>
          <w:vertAlign w:val="superscript"/>
        </w:rPr>
        <w:t>th</w:t>
      </w:r>
      <w:r w:rsidRPr="009B053F">
        <w:t xml:space="preserve"> meeting of the SETAC in Rome, Italy. The symposium showcased the work under the PPWG and the </w:t>
      </w:r>
      <w:r w:rsidRPr="009B053F">
        <w:rPr>
          <w:i/>
        </w:rPr>
        <w:t>Guidelines</w:t>
      </w:r>
      <w:r w:rsidRPr="009B053F">
        <w:t xml:space="preserve">. Presentations and poster sessions were given on the impact of pesticides, rodenticides, lead ammunition, poison baits and veterinary drugs. Views on the need for regulation were expressed by representatives of the European Food and Safety Authority (EFSA) and ECHA, describing the extent to which current regulations </w:t>
      </w:r>
      <w:proofErr w:type="gramStart"/>
      <w:r w:rsidRPr="009B053F">
        <w:t>take into account</w:t>
      </w:r>
      <w:proofErr w:type="gramEnd"/>
      <w:r w:rsidRPr="009B053F">
        <w:t xml:space="preserve"> neighbouring countries and regional use of compounds, how local use might affect migratory birds, and how field data might feed into regulatory processes. Areas for improvement of existing regulations to address these items were discussed among the participants. The establishment of the Lead Task Group by COP12 was provided as an example of cooperation in the efforts to minimize the impact of some of the worst contaminants.</w:t>
      </w:r>
    </w:p>
    <w:p w:rsidR="009B053F" w:rsidRPr="009B053F" w:rsidRDefault="009B053F" w:rsidP="009B053F">
      <w:pPr>
        <w:spacing w:after="0"/>
        <w:ind w:left="360"/>
        <w:jc w:val="both"/>
        <w:rPr>
          <w:rFonts w:cs="Arial"/>
        </w:rPr>
      </w:pPr>
    </w:p>
    <w:p w:rsidR="009B053F" w:rsidRPr="009B053F" w:rsidRDefault="009B053F" w:rsidP="009B053F">
      <w:pPr>
        <w:pStyle w:val="Firstnumbering"/>
      </w:pPr>
      <w:r w:rsidRPr="009B053F">
        <w:t xml:space="preserve">An increase in the use of non-lead ammunition has been illustrated by individuals and organizations, such as agencies managing natural resources, making the </w:t>
      </w:r>
      <w:bookmarkStart w:id="0" w:name="_GoBack"/>
      <w:bookmarkEnd w:id="0"/>
      <w:r w:rsidRPr="009B053F">
        <w:t>transition to non-</w:t>
      </w:r>
      <w:r w:rsidRPr="009B053F">
        <w:lastRenderedPageBreak/>
        <w:t>lead alternatives. This has been driven in part by concerns about lead going into the human food chain and supermarket pressure for safe food.</w:t>
      </w:r>
    </w:p>
    <w:p w:rsidR="009B053F" w:rsidRPr="009B053F" w:rsidRDefault="009B053F" w:rsidP="009B053F">
      <w:pPr>
        <w:spacing w:after="0"/>
        <w:jc w:val="both"/>
        <w:rPr>
          <w:rFonts w:cs="Arial"/>
          <w:u w:val="single"/>
        </w:rPr>
      </w:pPr>
    </w:p>
    <w:p w:rsidR="009B053F" w:rsidRPr="009B053F" w:rsidRDefault="009B053F" w:rsidP="009B053F">
      <w:pPr>
        <w:spacing w:after="0"/>
        <w:jc w:val="both"/>
        <w:rPr>
          <w:rFonts w:cs="Arial"/>
          <w:i/>
        </w:rPr>
      </w:pPr>
      <w:r w:rsidRPr="009B053F">
        <w:rPr>
          <w:rFonts w:cs="Arial"/>
          <w:i/>
        </w:rPr>
        <w:t>Coordination of the Preventing Poisoning Working Group and the Lead Task Group</w:t>
      </w:r>
    </w:p>
    <w:p w:rsidR="009B053F" w:rsidRPr="009B053F" w:rsidRDefault="009B053F" w:rsidP="009B053F">
      <w:pPr>
        <w:spacing w:after="0"/>
        <w:jc w:val="both"/>
        <w:rPr>
          <w:rFonts w:cs="Arial"/>
          <w:u w:val="single"/>
        </w:rPr>
      </w:pPr>
    </w:p>
    <w:p w:rsidR="009B053F" w:rsidRPr="009B053F" w:rsidRDefault="009B053F" w:rsidP="009B053F">
      <w:pPr>
        <w:pStyle w:val="Firstnumbering"/>
      </w:pPr>
      <w:r w:rsidRPr="009B053F">
        <w:t>The main challenge in implementing Resolution 11.15 (Rev.COP12) and the related Decisions 12.18-12.19 is the lack of financial resources to hire a Coordinator, to organize regional workshops to implement the actions identified in the Programme of Work 2017-2020 of the PPWG, and to organize inter-sessional meetings of the working group and the Lead Task Group. Based on the agreed interim coordination arrangement up until COP12, the Spanish Ornithological Society (SEO/</w:t>
      </w:r>
      <w:proofErr w:type="spellStart"/>
      <w:r w:rsidRPr="009B053F">
        <w:t>BirdLife</w:t>
      </w:r>
      <w:proofErr w:type="spellEnd"/>
      <w:r w:rsidRPr="009B053F">
        <w:t xml:space="preserve"> Spain) and the Secretariat continued their efforts to seek funds to organize the 1</w:t>
      </w:r>
      <w:r w:rsidRPr="009B053F">
        <w:rPr>
          <w:vertAlign w:val="superscript"/>
        </w:rPr>
        <w:t>st</w:t>
      </w:r>
      <w:r w:rsidRPr="009B053F">
        <w:t xml:space="preserve"> Meeting of the Lead Task Group back to back with the 3</w:t>
      </w:r>
      <w:r w:rsidRPr="009B053F">
        <w:rPr>
          <w:vertAlign w:val="superscript"/>
        </w:rPr>
        <w:t>rd</w:t>
      </w:r>
      <w:r w:rsidRPr="009B053F">
        <w:t xml:space="preserve"> Meeting of the PPWG, in accordance with Decision 12.19. However, no resources were secured for hiring a Coordinator of the PPWG or for organizing the meetings in the intersessional period between COP12 and COP13.</w:t>
      </w:r>
    </w:p>
    <w:p w:rsidR="009B053F" w:rsidRPr="009B053F" w:rsidRDefault="009B053F" w:rsidP="009B053F">
      <w:pPr>
        <w:spacing w:after="0"/>
        <w:jc w:val="both"/>
        <w:rPr>
          <w:rFonts w:cs="Arial"/>
          <w:u w:val="single"/>
        </w:rPr>
      </w:pPr>
    </w:p>
    <w:p w:rsidR="009B053F" w:rsidRPr="009B053F" w:rsidRDefault="009B053F" w:rsidP="009B053F">
      <w:pPr>
        <w:spacing w:after="0"/>
        <w:jc w:val="both"/>
        <w:rPr>
          <w:rFonts w:cs="Arial"/>
        </w:rPr>
      </w:pPr>
      <w:r w:rsidRPr="009B053F">
        <w:rPr>
          <w:rFonts w:cs="Arial"/>
          <w:u w:val="single"/>
        </w:rPr>
        <w:t>Discussion and Analysis</w:t>
      </w:r>
    </w:p>
    <w:p w:rsidR="009B053F" w:rsidRPr="009B053F" w:rsidRDefault="009B053F" w:rsidP="009B053F">
      <w:pPr>
        <w:spacing w:after="0"/>
        <w:jc w:val="both"/>
        <w:rPr>
          <w:rFonts w:cs="Arial"/>
        </w:rPr>
      </w:pPr>
    </w:p>
    <w:p w:rsidR="009B053F" w:rsidRPr="009B053F" w:rsidRDefault="009B053F" w:rsidP="009B053F">
      <w:pPr>
        <w:pStyle w:val="Firstnumbering"/>
      </w:pPr>
      <w:r w:rsidRPr="009B053F">
        <w:t>Due to the lack of funding to hire a Coordinator of the PPWG and Lead Task Group, the PPWG considered resource-efficient means to implement relevant activities.  One such approach is to seek synergies with other relevant initiatives, namely</w:t>
      </w:r>
      <w:r w:rsidRPr="009B053F">
        <w:rPr>
          <w:rFonts w:eastAsia="Calibri"/>
          <w:i/>
        </w:rPr>
        <w:t xml:space="preserve"> </w:t>
      </w:r>
      <w:r w:rsidRPr="009B053F">
        <w:t>the Vulture Working Group (VWG) and the Intergovernmental Task Force on Illegal Killing, Taking and Trade of Migratory Birds in the Mediterranean (MIKT).</w:t>
      </w:r>
    </w:p>
    <w:p w:rsidR="009B053F" w:rsidRPr="009B053F" w:rsidRDefault="009B053F" w:rsidP="009B053F">
      <w:pPr>
        <w:spacing w:after="0"/>
        <w:jc w:val="both"/>
        <w:rPr>
          <w:rFonts w:cs="Arial"/>
          <w:u w:val="single"/>
        </w:rPr>
      </w:pPr>
    </w:p>
    <w:p w:rsidR="009B053F" w:rsidRPr="009B053F" w:rsidRDefault="009B053F" w:rsidP="009B053F">
      <w:pPr>
        <w:pStyle w:val="Firstnumbering"/>
      </w:pPr>
      <w:r w:rsidRPr="009B053F">
        <w:t xml:space="preserve">Poisoning, in its various forms, is the most significant threat that affects the African-Eurasian vulture species which are the subject of the CMS Multi-species Action Plan to Conserve African-Eurasian Vultures (Vulture </w:t>
      </w:r>
      <w:proofErr w:type="spellStart"/>
      <w:r w:rsidRPr="009B053F">
        <w:t>MsAP</w:t>
      </w:r>
      <w:proofErr w:type="spellEnd"/>
      <w:r w:rsidRPr="009B053F">
        <w:t xml:space="preserve">), adopted </w:t>
      </w:r>
      <w:r w:rsidRPr="009B053F">
        <w:rPr>
          <w:lang w:val="en"/>
        </w:rPr>
        <w:t>by COP12</w:t>
      </w:r>
      <w:r w:rsidRPr="009B053F">
        <w:t>.</w:t>
      </w:r>
    </w:p>
    <w:p w:rsidR="009B053F" w:rsidRPr="009B053F" w:rsidRDefault="009B053F" w:rsidP="009B053F">
      <w:pPr>
        <w:spacing w:after="0"/>
        <w:jc w:val="both"/>
        <w:rPr>
          <w:rFonts w:cs="Arial"/>
        </w:rPr>
      </w:pPr>
    </w:p>
    <w:p w:rsidR="009B053F" w:rsidRPr="009B053F" w:rsidRDefault="009B053F" w:rsidP="009B053F">
      <w:pPr>
        <w:pStyle w:val="Firstnumbering"/>
      </w:pPr>
      <w:r w:rsidRPr="009B053F">
        <w:t xml:space="preserve">Considering the high impact of poisoning on migratory birds, particularly </w:t>
      </w:r>
      <w:proofErr w:type="gramStart"/>
      <w:r w:rsidRPr="009B053F">
        <w:t>with regard to</w:t>
      </w:r>
      <w:proofErr w:type="gramEnd"/>
      <w:r w:rsidRPr="009B053F">
        <w:t xml:space="preserve"> specific poisoning sources and vulnerable bird taxa, e.g. birds of prey, and the insufficient implementation of Resolution 11.15 (Rev.COP12), the </w:t>
      </w:r>
      <w:r w:rsidRPr="009B053F">
        <w:rPr>
          <w:i/>
        </w:rPr>
        <w:t>Guidelines</w:t>
      </w:r>
      <w:r w:rsidRPr="009B053F">
        <w:t xml:space="preserve"> and the PPWG’s Programme of Work 2017-2020, the PPWG has sought to identify synergies with the Vulture Working Group (VWG) and other CMS initiatives. As appropriate, synergies can be developed with the Intergovernmental Task Force on Illegal Killing, Taking and Trade of Migratory Birds in the Mediterranean (MIKT) and related projects and initiatives of MIKT members and observers. The PPWG agreed that the division of labour should be clearly reflected in the Work Programmes of avian working groups and task forces concerned. </w:t>
      </w:r>
    </w:p>
    <w:p w:rsidR="009B053F" w:rsidRPr="009B053F" w:rsidRDefault="009B053F" w:rsidP="009B053F">
      <w:pPr>
        <w:spacing w:after="0"/>
        <w:jc w:val="both"/>
        <w:rPr>
          <w:rFonts w:cs="Arial"/>
        </w:rPr>
      </w:pPr>
    </w:p>
    <w:p w:rsidR="009B053F" w:rsidRPr="009B053F" w:rsidRDefault="009B053F" w:rsidP="009B053F">
      <w:pPr>
        <w:pStyle w:val="Firstnumbering"/>
      </w:pPr>
      <w:r w:rsidRPr="009B053F">
        <w:t xml:space="preserve">Since the initial adoption of Resolution 11.15 (Rev.COP12), a number of important developments have taken place, including the adoption of the United Nations 2030 Agenda for Sustainable Development, and decisions at the fourth meeting of the United Nations Environment Assembly (UNEA), which address the need for an environmentally sound management of chemicals and pollutants, and reduction of their release to air, water and soil. The relevant targets under the Sustainable Development Goals 3 and 12, and the key provisions of UNEA4 under the topic </w:t>
      </w:r>
      <w:r w:rsidRPr="009B053F">
        <w:rPr>
          <w:i/>
        </w:rPr>
        <w:t xml:space="preserve">Towards a </w:t>
      </w:r>
      <w:proofErr w:type="gramStart"/>
      <w:r w:rsidRPr="009B053F">
        <w:rPr>
          <w:i/>
        </w:rPr>
        <w:t>Pollution-free Planet</w:t>
      </w:r>
      <w:r w:rsidRPr="009B053F">
        <w:t xml:space="preserve"> cover substances</w:t>
      </w:r>
      <w:proofErr w:type="gramEnd"/>
      <w:r w:rsidRPr="009B053F">
        <w:t xml:space="preserve"> that are potentially harmful to migratory birds, depending on their management. In line with the remit of the PPWG to report relevant developments and to stimulate communication and exchange of information in support of the implementation of the </w:t>
      </w:r>
      <w:r w:rsidRPr="009B053F">
        <w:rPr>
          <w:i/>
        </w:rPr>
        <w:t>Guidelines</w:t>
      </w:r>
      <w:r w:rsidRPr="009B053F">
        <w:t>, references to these processes have been proposed as updates to Resolution 11.15 (Rev.COP12).</w:t>
      </w:r>
    </w:p>
    <w:p w:rsidR="009B053F" w:rsidRPr="009B053F" w:rsidRDefault="009B053F" w:rsidP="009B053F">
      <w:pPr>
        <w:spacing w:after="0"/>
        <w:jc w:val="both"/>
        <w:rPr>
          <w:rFonts w:cs="Arial"/>
          <w:u w:val="single"/>
        </w:rPr>
      </w:pPr>
    </w:p>
    <w:p w:rsidR="009B053F" w:rsidRPr="009B053F" w:rsidRDefault="009B053F" w:rsidP="009B053F">
      <w:pPr>
        <w:widowControl w:val="0"/>
        <w:autoSpaceDE w:val="0"/>
        <w:adjustRightInd w:val="0"/>
        <w:spacing w:after="0"/>
        <w:rPr>
          <w:rFonts w:eastAsia="Times New Roman" w:cs="Arial"/>
          <w:u w:val="single"/>
        </w:rPr>
      </w:pPr>
      <w:bookmarkStart w:id="1" w:name="_Hlk13229062"/>
      <w:r w:rsidRPr="009B053F">
        <w:rPr>
          <w:rFonts w:eastAsia="Times New Roman" w:cs="Arial"/>
          <w:u w:val="single"/>
        </w:rPr>
        <w:t>Revisions of Resolution 11.15 (Rev.COP12) and Decisions 12.18 and 12.19</w:t>
      </w:r>
    </w:p>
    <w:p w:rsidR="009B053F" w:rsidRPr="009B053F" w:rsidRDefault="009B053F" w:rsidP="009B053F">
      <w:pPr>
        <w:widowControl w:val="0"/>
        <w:autoSpaceDE w:val="0"/>
        <w:adjustRightInd w:val="0"/>
        <w:spacing w:after="0"/>
        <w:rPr>
          <w:rFonts w:eastAsia="Times New Roman" w:cs="Arial"/>
          <w:u w:val="single"/>
        </w:rPr>
      </w:pPr>
    </w:p>
    <w:p w:rsidR="009B053F" w:rsidRPr="009B053F" w:rsidRDefault="009B053F" w:rsidP="009B053F">
      <w:pPr>
        <w:pStyle w:val="Firstnumbering"/>
        <w:rPr>
          <w:u w:val="single"/>
        </w:rPr>
      </w:pPr>
      <w:r w:rsidRPr="009B053F">
        <w:t xml:space="preserve">In line with the process initiated by Resolution 11.6 </w:t>
      </w:r>
      <w:r w:rsidRPr="009B053F">
        <w:rPr>
          <w:i/>
        </w:rPr>
        <w:t>Review of Decisions</w:t>
      </w:r>
      <w:r w:rsidRPr="009B053F">
        <w:t xml:space="preserve">, draft revisions of Resolution </w:t>
      </w:r>
      <w:bookmarkEnd w:id="1"/>
      <w:r w:rsidRPr="009B053F">
        <w:t xml:space="preserve">11.15 (Rev.COP12) and Decisions 12.18 and 12.19 have been prepared, which include amendments proposed by PPWG members. The draft revisions reflect developments under the 2030 Agenda for Sustainable Development, decisions made by UNEA4 under the </w:t>
      </w:r>
      <w:r w:rsidRPr="009B053F">
        <w:lastRenderedPageBreak/>
        <w:t xml:space="preserve">topic </w:t>
      </w:r>
      <w:r w:rsidRPr="009B053F">
        <w:rPr>
          <w:i/>
        </w:rPr>
        <w:t xml:space="preserve">Towards a Pollution-free Planet, </w:t>
      </w:r>
      <w:r w:rsidRPr="009B053F">
        <w:t xml:space="preserve">and activities undertaken by the European Union and the ECHA under the auspices of REACH regarding the use of lead ammunition and fishing weights. </w:t>
      </w:r>
    </w:p>
    <w:p w:rsidR="009B053F" w:rsidRPr="009B053F" w:rsidRDefault="009B053F" w:rsidP="009B053F">
      <w:pPr>
        <w:spacing w:after="0"/>
        <w:ind w:left="360"/>
        <w:jc w:val="both"/>
        <w:rPr>
          <w:rFonts w:cs="Arial"/>
          <w:u w:val="single"/>
        </w:rPr>
      </w:pPr>
    </w:p>
    <w:p w:rsidR="009B053F" w:rsidRPr="009B053F" w:rsidRDefault="009B053F" w:rsidP="009B053F">
      <w:pPr>
        <w:pStyle w:val="Firstnumbering"/>
      </w:pPr>
      <w:r w:rsidRPr="009B053F">
        <w:t xml:space="preserve">Amendments to the terms of reference of the PPWG, annexed to Resolution 11.15 (Rev.COP12) reflect the need for synergies with other CMS initiatives.  </w:t>
      </w:r>
    </w:p>
    <w:p w:rsidR="009B053F" w:rsidRPr="009B053F" w:rsidRDefault="009B053F" w:rsidP="009B053F">
      <w:pPr>
        <w:spacing w:after="0"/>
        <w:jc w:val="both"/>
        <w:rPr>
          <w:rFonts w:cs="Arial"/>
          <w:u w:val="single"/>
        </w:rPr>
      </w:pPr>
    </w:p>
    <w:p w:rsidR="009B053F" w:rsidRPr="009B053F" w:rsidRDefault="009B053F" w:rsidP="009B053F">
      <w:pPr>
        <w:spacing w:after="0"/>
        <w:jc w:val="both"/>
        <w:rPr>
          <w:rFonts w:cs="Arial"/>
          <w:u w:val="single"/>
        </w:rPr>
      </w:pPr>
    </w:p>
    <w:p w:rsidR="009B053F" w:rsidRPr="009B053F" w:rsidRDefault="009B053F" w:rsidP="009B053F">
      <w:pPr>
        <w:spacing w:after="0"/>
        <w:jc w:val="both"/>
        <w:rPr>
          <w:rFonts w:cs="Arial"/>
          <w:u w:val="single"/>
        </w:rPr>
      </w:pPr>
      <w:r w:rsidRPr="009B053F">
        <w:rPr>
          <w:rFonts w:cs="Arial"/>
          <w:u w:val="single"/>
        </w:rPr>
        <w:t>Recommended actions</w:t>
      </w:r>
    </w:p>
    <w:p w:rsidR="009B053F" w:rsidRPr="009B053F" w:rsidRDefault="009B053F" w:rsidP="009B053F">
      <w:pPr>
        <w:spacing w:after="0"/>
        <w:jc w:val="both"/>
        <w:rPr>
          <w:rFonts w:cs="Arial"/>
          <w:u w:val="single"/>
        </w:rPr>
      </w:pPr>
    </w:p>
    <w:p w:rsidR="009B053F" w:rsidRPr="009B053F" w:rsidRDefault="009B053F" w:rsidP="009B053F">
      <w:pPr>
        <w:pStyle w:val="Firstnumbering"/>
      </w:pPr>
      <w:r w:rsidRPr="009B053F">
        <w:t>The Conference of the Parties is recommended to:</w:t>
      </w:r>
    </w:p>
    <w:p w:rsidR="009B053F" w:rsidRPr="009B053F" w:rsidRDefault="009B053F" w:rsidP="009B053F">
      <w:pPr>
        <w:spacing w:after="0"/>
        <w:ind w:left="360"/>
        <w:jc w:val="both"/>
        <w:rPr>
          <w:rFonts w:cs="Arial"/>
          <w:u w:val="single"/>
        </w:rPr>
      </w:pPr>
    </w:p>
    <w:p w:rsidR="009B053F" w:rsidRPr="009B053F" w:rsidRDefault="009B053F" w:rsidP="009B053F">
      <w:pPr>
        <w:pStyle w:val="Secondnumbering"/>
      </w:pPr>
      <w:r w:rsidRPr="009B053F">
        <w:t xml:space="preserve">adopt the draft amendments to Resolution 11.15 (Rev.COP12) contained in Annex </w:t>
      </w:r>
      <w:r w:rsidR="00642B8E">
        <w:t>1</w:t>
      </w:r>
      <w:r w:rsidRPr="009B053F">
        <w:t xml:space="preserve"> of this document;</w:t>
      </w:r>
    </w:p>
    <w:p w:rsidR="009B053F" w:rsidRPr="009B053F" w:rsidRDefault="009B053F" w:rsidP="009B053F">
      <w:pPr>
        <w:pStyle w:val="Secondnumbering"/>
        <w:numPr>
          <w:ilvl w:val="0"/>
          <w:numId w:val="0"/>
        </w:numPr>
        <w:ind w:left="1211"/>
      </w:pPr>
    </w:p>
    <w:p w:rsidR="009B053F" w:rsidRPr="009B053F" w:rsidRDefault="009B053F" w:rsidP="009B053F">
      <w:pPr>
        <w:pStyle w:val="Secondnumbering"/>
      </w:pPr>
      <w:r w:rsidRPr="009B053F">
        <w:t xml:space="preserve">adopt the draft Decisions contained in Annex </w:t>
      </w:r>
      <w:r w:rsidR="00642B8E">
        <w:t>2</w:t>
      </w:r>
      <w:r w:rsidRPr="009B053F">
        <w:t xml:space="preserve"> of this document that amend Decisions 12.18 and 12.19;</w:t>
      </w:r>
    </w:p>
    <w:p w:rsidR="009B053F" w:rsidRPr="009B053F" w:rsidRDefault="009B053F" w:rsidP="009B053F">
      <w:pPr>
        <w:pStyle w:val="ListParagraph"/>
        <w:spacing w:after="0" w:line="240" w:lineRule="auto"/>
        <w:jc w:val="both"/>
        <w:rPr>
          <w:rFonts w:cs="Arial"/>
        </w:rPr>
      </w:pPr>
    </w:p>
    <w:p w:rsidR="00360838" w:rsidRDefault="009B053F" w:rsidP="009B053F">
      <w:pPr>
        <w:pStyle w:val="Secondnumbering"/>
      </w:pPr>
      <w:r w:rsidRPr="009B053F">
        <w:t xml:space="preserve">adopt the draft Decision 13.BB contained in Annex </w:t>
      </w:r>
      <w:r w:rsidR="00642B8E">
        <w:t>2</w:t>
      </w:r>
      <w:r w:rsidRPr="009B053F">
        <w:t xml:space="preserve"> of this document</w:t>
      </w:r>
      <w:r w:rsidR="00642B8E">
        <w:t>.</w:t>
      </w:r>
    </w:p>
    <w:p w:rsidR="00642B8E" w:rsidRDefault="00642B8E" w:rsidP="00642B8E">
      <w:pPr>
        <w:pStyle w:val="ListParagraph"/>
      </w:pPr>
    </w:p>
    <w:p w:rsidR="00642B8E" w:rsidRDefault="00642B8E" w:rsidP="00642B8E">
      <w:pPr>
        <w:pStyle w:val="Secondnumbering"/>
        <w:numPr>
          <w:ilvl w:val="0"/>
          <w:numId w:val="0"/>
        </w:numPr>
        <w:ind w:left="1211" w:hanging="360"/>
        <w:sectPr w:rsidR="00642B8E" w:rsidSect="00642B8E">
          <w:headerReference w:type="even" r:id="rId13"/>
          <w:headerReference w:type="default" r:id="rId14"/>
          <w:footerReference w:type="even" r:id="rId15"/>
          <w:footerReference w:type="default" r:id="rId16"/>
          <w:headerReference w:type="first" r:id="rId17"/>
          <w:pgSz w:w="11906" w:h="16838" w:code="9"/>
          <w:pgMar w:top="1134" w:right="1134" w:bottom="1134" w:left="1134" w:header="720" w:footer="720" w:gutter="0"/>
          <w:cols w:space="720"/>
          <w:titlePg/>
          <w:docGrid w:linePitch="360"/>
        </w:sectPr>
      </w:pPr>
    </w:p>
    <w:p w:rsidR="00642B8E" w:rsidRDefault="00642B8E" w:rsidP="00642B8E">
      <w:pPr>
        <w:spacing w:after="0"/>
        <w:jc w:val="right"/>
        <w:rPr>
          <w:rFonts w:cs="Arial"/>
        </w:rPr>
      </w:pPr>
      <w:r w:rsidRPr="00CD09C0">
        <w:rPr>
          <w:rFonts w:cs="Arial"/>
          <w:b/>
        </w:rPr>
        <w:lastRenderedPageBreak/>
        <w:t xml:space="preserve">ANNEX </w:t>
      </w:r>
      <w:r>
        <w:rPr>
          <w:rFonts w:cs="Arial"/>
          <w:b/>
        </w:rPr>
        <w:t>1</w:t>
      </w:r>
    </w:p>
    <w:p w:rsidR="00642B8E" w:rsidRDefault="00642B8E" w:rsidP="00642B8E">
      <w:pPr>
        <w:spacing w:after="0"/>
        <w:jc w:val="center"/>
        <w:rPr>
          <w:rFonts w:cs="Arial"/>
        </w:rPr>
      </w:pPr>
    </w:p>
    <w:p w:rsidR="00642B8E" w:rsidRDefault="00642B8E" w:rsidP="00642B8E">
      <w:pPr>
        <w:spacing w:after="0"/>
        <w:jc w:val="center"/>
        <w:rPr>
          <w:rFonts w:cs="Arial"/>
        </w:rPr>
      </w:pPr>
      <w:bookmarkStart w:id="2" w:name="_Hlk17986496"/>
      <w:r w:rsidRPr="00642B8E">
        <w:rPr>
          <w:rFonts w:cs="Arial"/>
        </w:rPr>
        <w:t>PROPOSED AMENDMENTS TO RESOLUTION 11.15 (Rev.COP12)</w:t>
      </w:r>
    </w:p>
    <w:p w:rsidR="00642B8E" w:rsidRDefault="00642B8E" w:rsidP="00642B8E">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rPr>
      </w:pPr>
    </w:p>
    <w:p w:rsidR="00642B8E" w:rsidRPr="00765716" w:rsidRDefault="00642B8E" w:rsidP="00642B8E">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rPr>
      </w:pPr>
      <w:bookmarkStart w:id="3" w:name="_Hlk19959495"/>
      <w:r w:rsidRPr="00765716">
        <w:rPr>
          <w:rFonts w:eastAsia="Times New Roman" w:cs="Arial"/>
          <w:b/>
          <w:caps/>
        </w:rPr>
        <w:t>PREVENTING POISONING OF MIGRATORY BIRDS</w:t>
      </w:r>
    </w:p>
    <w:bookmarkEnd w:id="2"/>
    <w:p w:rsidR="00642B8E" w:rsidRPr="00765716" w:rsidRDefault="00642B8E" w:rsidP="00642B8E">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rPr>
      </w:pPr>
    </w:p>
    <w:p w:rsidR="00642B8E" w:rsidRPr="005A0E84" w:rsidRDefault="00642B8E" w:rsidP="00642B8E">
      <w:pPr>
        <w:widowControl w:val="0"/>
        <w:pBdr>
          <w:top w:val="single" w:sz="6" w:space="0" w:color="FFFFFF"/>
          <w:left w:val="single" w:sz="6" w:space="0" w:color="FFFFFF"/>
          <w:bottom w:val="single" w:sz="6" w:space="0" w:color="FFFFFF"/>
          <w:right w:val="single" w:sz="6" w:space="0" w:color="FFFFFF"/>
        </w:pBdr>
        <w:autoSpaceDE w:val="0"/>
        <w:adjustRightInd w:val="0"/>
        <w:spacing w:after="0"/>
        <w:jc w:val="both"/>
        <w:outlineLvl w:val="1"/>
        <w:rPr>
          <w:rFonts w:eastAsia="Times New Roman" w:cs="Arial"/>
          <w:i/>
          <w:caps/>
        </w:rPr>
      </w:pPr>
      <w:r w:rsidRPr="005A0E84">
        <w:rPr>
          <w:rFonts w:eastAsia="Times New Roman" w:cs="Arial"/>
          <w:i/>
        </w:rPr>
        <w:t xml:space="preserve">NB: Proposed new text to the resolution is </w:t>
      </w:r>
      <w:r w:rsidRPr="00E83CE8">
        <w:rPr>
          <w:rFonts w:eastAsia="Times New Roman" w:cs="Arial"/>
          <w:i/>
          <w:u w:val="single"/>
        </w:rPr>
        <w:t>underlined</w:t>
      </w:r>
      <w:r w:rsidRPr="005A0E84">
        <w:rPr>
          <w:rFonts w:eastAsia="Times New Roman" w:cs="Arial"/>
          <w:i/>
        </w:rPr>
        <w:t xml:space="preserve">. Text to be deleted is </w:t>
      </w:r>
      <w:r w:rsidRPr="005A0E84">
        <w:rPr>
          <w:rFonts w:eastAsia="Times New Roman" w:cs="Arial"/>
          <w:i/>
          <w:strike/>
        </w:rPr>
        <w:t>crossed out</w:t>
      </w:r>
      <w:r w:rsidRPr="005A0E84">
        <w:rPr>
          <w:rFonts w:eastAsia="Times New Roman" w:cs="Arial"/>
          <w:i/>
        </w:rPr>
        <w:t>.</w:t>
      </w:r>
    </w:p>
    <w:bookmarkEnd w:id="3"/>
    <w:p w:rsidR="00642B8E" w:rsidRPr="00765716" w:rsidRDefault="00642B8E" w:rsidP="00642B8E">
      <w:pPr>
        <w:widowControl w:val="0"/>
        <w:pBdr>
          <w:top w:val="single" w:sz="6" w:space="0" w:color="FFFFFF"/>
          <w:left w:val="single" w:sz="6" w:space="0" w:color="FFFFFF"/>
          <w:bottom w:val="single" w:sz="6" w:space="0" w:color="FFFFFF"/>
          <w:right w:val="single" w:sz="6" w:space="0" w:color="FFFFFF"/>
        </w:pBdr>
        <w:autoSpaceDE w:val="0"/>
        <w:adjustRightInd w:val="0"/>
        <w:spacing w:after="0"/>
        <w:jc w:val="center"/>
        <w:outlineLvl w:val="1"/>
        <w:rPr>
          <w:rFonts w:eastAsia="Times New Roman" w:cs="Arial"/>
          <w:b/>
          <w:caps/>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Recognizing</w:t>
      </w:r>
      <w:r w:rsidRPr="00765716">
        <w:rPr>
          <w:rFonts w:eastAsia="Times New Roman" w:cs="Arial"/>
        </w:rPr>
        <w:t xml:space="preserve"> that Article III (4)(b) of the Convention requires Parties that are Range States of migratory species listed in Appendix I to endeavour “</w:t>
      </w:r>
      <w:r w:rsidRPr="00765716">
        <w:rPr>
          <w:rFonts w:eastAsia="Times New Roman" w:cs="Arial"/>
          <w:i/>
        </w:rPr>
        <w:t>to prevent, remove, compensate for or minimize, as appropriate, the adverse effects of activities or obstacles that seriously impede or prevent the migration of the species</w:t>
      </w: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 xml:space="preserve">Recognizing </w:t>
      </w:r>
      <w:r w:rsidRPr="00765716">
        <w:rPr>
          <w:rFonts w:eastAsia="Times New Roman" w:cs="Arial"/>
        </w:rPr>
        <w:t>that Article III (4)(c) of the Convention requires such Parties to endeavour, “</w:t>
      </w:r>
      <w:r w:rsidRPr="00765716">
        <w:rPr>
          <w:rFonts w:eastAsia="Times New Roman" w:cs="Arial"/>
          <w:i/>
        </w:rPr>
        <w:t>to the extent feasible and appropriate, to prevent, reduce or control factors that are endangering or are likely to further endanger such species</w:t>
      </w: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Concerned</w:t>
      </w:r>
      <w:r w:rsidRPr="00765716">
        <w:rPr>
          <w:rFonts w:eastAsia="Times New Roman" w:cs="Arial"/>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Highlighting</w:t>
      </w:r>
      <w:r w:rsidRPr="00765716">
        <w:rPr>
          <w:rFonts w:eastAsia="Times New Roman" w:cs="Arial"/>
        </w:rPr>
        <w:t xml:space="preserve"> the need to provide practical guidance on preventing, reducing or controlling poisoning from, inter alia, agriculture pesticides, poison bait, veterinary pharmaceutical treatments and use of lead for hunting and fishing, and potential synergistic effects of different poisons through ingestion from various food sources such as prey species,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Aware</w:t>
      </w:r>
      <w:r w:rsidRPr="00765716">
        <w:rPr>
          <w:rFonts w:eastAsia="Times New Roman" w:cs="Arial"/>
        </w:rPr>
        <w:t xml:space="preserve"> that international measures and concerted actions to address migratory bird poisoning are urgently needed and should involve CMS Parties, Range States, international and national organizations, the private sector and relevant stakeholders,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Further aware</w:t>
      </w:r>
      <w:r w:rsidRPr="00765716">
        <w:rPr>
          <w:rFonts w:eastAsia="Times New Roman" w:cs="Arial"/>
        </w:rPr>
        <w:t xml:space="preserve"> of the important role of industries involved in the manufacture of substances which can result in the poisoning of migratory birds; organizations involved in their sale and distribution; and representational bodies of those whose use of such substances can result in migratory bird mortality or morbidity,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Recalling</w:t>
      </w:r>
      <w:r w:rsidRPr="00765716">
        <w:rPr>
          <w:rFonts w:eastAsia="Times New Roman" w:cs="Arial"/>
        </w:rPr>
        <w:t xml:space="preserve"> Resolution 10.26</w:t>
      </w:r>
      <w:r w:rsidRPr="00765716">
        <w:rPr>
          <w:rFonts w:eastAsia="Times New Roman"/>
          <w:color w:val="000000"/>
          <w:vertAlign w:val="superscript"/>
        </w:rPr>
        <w:footnoteReference w:id="2"/>
      </w:r>
      <w:r w:rsidRPr="00765716">
        <w:rPr>
          <w:rFonts w:eastAsia="Times New Roman" w:cs="Arial"/>
        </w:rPr>
        <w:t xml:space="preserve">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Acknowledging</w:t>
      </w:r>
      <w:r w:rsidRPr="00765716">
        <w:rPr>
          <w:rFonts w:eastAsia="Times New Roman" w:cs="Arial"/>
        </w:rPr>
        <w:t xml:space="preserve"> the positive actions undertaken by some Parties to the Agreement on the Conservation of African-Eurasian Migratory </w:t>
      </w:r>
      <w:proofErr w:type="spellStart"/>
      <w:r w:rsidRPr="00765716">
        <w:rPr>
          <w:rFonts w:eastAsia="Times New Roman" w:cs="Arial"/>
        </w:rPr>
        <w:t>Waterbirds</w:t>
      </w:r>
      <w:proofErr w:type="spellEnd"/>
      <w:r w:rsidRPr="00765716">
        <w:rPr>
          <w:rFonts w:eastAsia="Times New Roman" w:cs="Arial"/>
        </w:rPr>
        <w:t xml:space="preserve"> (AEWA) to phase out the use of lead shot for hunting in wetlands,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Further recalling</w:t>
      </w:r>
      <w:r w:rsidRPr="00765716">
        <w:rPr>
          <w:rFonts w:eastAsia="Times New Roman" w:cs="Arial"/>
        </w:rPr>
        <w:t xml:space="preserve"> that the Memorandum of Understanding on the Conservation of Migratory Birds of Prey in Africa and Eurasia highlights the many African-Eurasian migratory raptors with an </w:t>
      </w:r>
      <w:r w:rsidRPr="00765716">
        <w:rPr>
          <w:rFonts w:eastAsia="Times New Roman" w:cs="Arial"/>
        </w:rPr>
        <w:lastRenderedPageBreak/>
        <w:t>unfavourable conservation status at a regional and/or global level as a result of poisoning,</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Acknowledging</w:t>
      </w:r>
      <w:r w:rsidRPr="00765716">
        <w:rPr>
          <w:rFonts w:eastAsia="Times New Roman" w:cs="Arial"/>
        </w:rPr>
        <w:t xml:space="preserve"> the work of the Vulture Working Group and the development of the CMS Multi-species Action Plan to Conserve African-Eurasian Vultures (Vulture </w:t>
      </w:r>
      <w:proofErr w:type="spellStart"/>
      <w:r w:rsidRPr="00765716">
        <w:rPr>
          <w:rFonts w:eastAsia="Times New Roman" w:cs="Arial"/>
        </w:rPr>
        <w:t>MsAP</w:t>
      </w:r>
      <w:proofErr w:type="spellEnd"/>
      <w:r w:rsidRPr="00765716">
        <w:rPr>
          <w:rFonts w:eastAsia="Times New Roman" w:cs="Arial"/>
        </w:rPr>
        <w:t xml:space="preserve">), adopted by Resolution 12.10, which provides a comprehensive strategic conservation Action Plan covering the geographic ranges of all 15 migratory Old World vulture species and to promote concerted, collaborative and coordinated international actions towards the recovery of these populations to a favourable conservation status by 2029,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Noting</w:t>
      </w:r>
      <w:r w:rsidRPr="00765716">
        <w:rPr>
          <w:rFonts w:eastAsia="Times New Roman" w:cs="Arial"/>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Noting with satisfaction</w:t>
      </w:r>
      <w:r w:rsidRPr="00765716">
        <w:rPr>
          <w:rFonts w:eastAsia="Times New Roman" w:cs="Arial"/>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a strengthened cooperation to enhance national and international actions to eliminate this damaging practice,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Acknowledging</w:t>
      </w:r>
      <w:r w:rsidRPr="00765716">
        <w:rPr>
          <w:rFonts w:eastAsia="Times New Roman" w:cs="Arial"/>
        </w:rPr>
        <w:t xml:space="preserve"> the Ramsar Convention’s Resolution XI.12 on ecosystem approaches to wetlands and health which recognizes the interactions between disease - including poisoning - in wildlife, human and domestic animals, which stressed the urgent need to ensure that policy responses are better integrated in a ‘One Health’ approach across these sectors for most effective outcomes, </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Acknowledging</w:t>
      </w:r>
      <w:r w:rsidRPr="00765716">
        <w:rPr>
          <w:rFonts w:eastAsia="Times New Roman" w:cs="Arial"/>
        </w:rPr>
        <w:t xml:space="preserve"> also the Resolutions of the International Union for Conservation of Nature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 </w:t>
      </w:r>
    </w:p>
    <w:p w:rsidR="00642B8E" w:rsidRPr="00765716" w:rsidRDefault="00642B8E" w:rsidP="00642B8E">
      <w:pPr>
        <w:widowControl w:val="0"/>
        <w:autoSpaceDE w:val="0"/>
        <w:adjustRightInd w:val="0"/>
        <w:spacing w:after="0"/>
        <w:jc w:val="both"/>
        <w:rPr>
          <w:rFonts w:eastAsia="Times New Roman" w:cs="Arial"/>
          <w:i/>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Noting</w:t>
      </w:r>
      <w:r w:rsidRPr="00765716">
        <w:rPr>
          <w:rFonts w:eastAsia="Times New Roman" w:cs="Arial"/>
        </w:rPr>
        <w:t xml:space="preserve"> that poisoning is a problem affecting other taxa than birds as well, and </w:t>
      </w:r>
      <w:r w:rsidRPr="00765716">
        <w:rPr>
          <w:rFonts w:eastAsia="Times New Roman" w:cs="Arial"/>
          <w:i/>
        </w:rPr>
        <w:t>highlighting</w:t>
      </w:r>
      <w:r w:rsidRPr="00765716">
        <w:rPr>
          <w:rFonts w:eastAsia="Times New Roman" w:cs="Arial"/>
        </w:rPr>
        <w:t xml:space="preserve"> the importance of a global analysis of the impact of this cause of mortality for wildlife,</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Recognizing</w:t>
      </w:r>
      <w:r w:rsidRPr="00765716">
        <w:rPr>
          <w:rFonts w:eastAsia="Times New Roman" w:cs="Arial"/>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bCs/>
        </w:rPr>
      </w:pPr>
      <w:r w:rsidRPr="00765716">
        <w:rPr>
          <w:rFonts w:eastAsia="Times New Roman" w:cs="Arial"/>
          <w:i/>
        </w:rPr>
        <w:t>Noting</w:t>
      </w:r>
      <w:r w:rsidRPr="00765716">
        <w:rPr>
          <w:rFonts w:eastAsia="Times New Roman" w:cs="Arial"/>
        </w:rPr>
        <w:t xml:space="preserve"> the </w:t>
      </w:r>
      <w:r w:rsidRPr="00765716">
        <w:rPr>
          <w:rFonts w:eastAsia="Times New Roman" w:cs="Arial"/>
          <w:bCs/>
        </w:rPr>
        <w:t>Report of the Special Rapporteur on the right to food transmitted to the Human Rights Council of the United Nations General Assembly (A/HRC/34/48), which highlights  the adverse impacts of pesticides used in agriculture on human rights, the negative consequences of pesticide practices on human health, environment and society, which were underreported and monitored in the shadow of a prevailing and narrow focus on “food security”; and its recommendations on the regulation of hazardous pesticides and promotion of agroecology as an alternative to the extensive use of pesticides,</w:t>
      </w:r>
    </w:p>
    <w:p w:rsidR="00642B8E" w:rsidRDefault="00642B8E" w:rsidP="00642B8E">
      <w:pPr>
        <w:widowControl w:val="0"/>
        <w:autoSpaceDE w:val="0"/>
        <w:adjustRightInd w:val="0"/>
        <w:spacing w:after="0"/>
        <w:jc w:val="both"/>
        <w:rPr>
          <w:rFonts w:eastAsia="Times New Roman" w:cs="Arial"/>
          <w:i/>
        </w:rPr>
      </w:pPr>
    </w:p>
    <w:p w:rsidR="00642B8E" w:rsidRPr="00642B8E" w:rsidRDefault="00642B8E" w:rsidP="00642B8E">
      <w:pPr>
        <w:widowControl w:val="0"/>
        <w:autoSpaceDE w:val="0"/>
        <w:adjustRightInd w:val="0"/>
        <w:spacing w:after="0"/>
        <w:jc w:val="both"/>
        <w:rPr>
          <w:rFonts w:eastAsia="Times New Roman" w:cs="Arial"/>
          <w:u w:val="single"/>
        </w:rPr>
      </w:pPr>
      <w:r w:rsidRPr="00642B8E">
        <w:rPr>
          <w:rFonts w:eastAsia="Times New Roman" w:cs="Arial"/>
          <w:i/>
          <w:u w:val="single"/>
        </w:rPr>
        <w:t>Recalling</w:t>
      </w:r>
      <w:r w:rsidRPr="00642B8E">
        <w:rPr>
          <w:rFonts w:eastAsia="Times New Roman" w:cs="Arial"/>
          <w:u w:val="single"/>
        </w:rPr>
        <w:t xml:space="preserve"> that the 2030 Agenda for Sustainable Development and targets, in particular Target 3.9 calls for the substantial reduction of the number of human deaths and illnesses from (a) hazardous chemicals and (b) air, water and soil pollution and contamination by 2030, and Target 12.4 calls for the environmentally sound management of chemicals and all wastes throughout their life cycle, and the significant reduction of their release into the air, water and soil in order to minimize their adverse impacts on human health and the environment by 2020,</w:t>
      </w:r>
    </w:p>
    <w:p w:rsidR="00642B8E" w:rsidRPr="00642B8E" w:rsidRDefault="00642B8E" w:rsidP="00642B8E">
      <w:pPr>
        <w:widowControl w:val="0"/>
        <w:autoSpaceDE w:val="0"/>
        <w:adjustRightInd w:val="0"/>
        <w:spacing w:after="0"/>
        <w:jc w:val="both"/>
        <w:rPr>
          <w:rFonts w:eastAsia="Times New Roman" w:cs="Arial"/>
          <w:i/>
        </w:rPr>
      </w:pPr>
    </w:p>
    <w:p w:rsidR="00642B8E" w:rsidRPr="00642B8E" w:rsidRDefault="00642B8E" w:rsidP="00642B8E">
      <w:pPr>
        <w:widowControl w:val="0"/>
        <w:autoSpaceDE w:val="0"/>
        <w:adjustRightInd w:val="0"/>
        <w:spacing w:after="0"/>
        <w:jc w:val="both"/>
        <w:rPr>
          <w:rFonts w:eastAsia="Times New Roman" w:cs="Arial"/>
          <w:u w:val="single"/>
        </w:rPr>
      </w:pPr>
      <w:r w:rsidRPr="00642B8E">
        <w:rPr>
          <w:rFonts w:eastAsia="Times New Roman" w:cs="Arial"/>
          <w:i/>
          <w:u w:val="single"/>
        </w:rPr>
        <w:t>Noting</w:t>
      </w:r>
      <w:r w:rsidRPr="00642B8E">
        <w:rPr>
          <w:rFonts w:eastAsia="Times New Roman" w:cs="Arial"/>
          <w:u w:val="single"/>
        </w:rPr>
        <w:t xml:space="preserve"> that UNEP/EA.3/Resolution 4 </w:t>
      </w:r>
      <w:r w:rsidRPr="00642B8E">
        <w:rPr>
          <w:rFonts w:eastAsia="Times New Roman" w:cs="Arial"/>
          <w:i/>
          <w:u w:val="single"/>
        </w:rPr>
        <w:t>Environment and Health</w:t>
      </w:r>
      <w:r w:rsidRPr="00642B8E">
        <w:rPr>
          <w:rFonts w:eastAsia="Times New Roman" w:cs="Arial"/>
          <w:u w:val="single"/>
        </w:rPr>
        <w:t xml:space="preserve"> and UNEP.EA.4/3 Implementation Plan </w:t>
      </w:r>
      <w:r w:rsidRPr="00642B8E">
        <w:rPr>
          <w:rFonts w:eastAsia="Times New Roman" w:cs="Arial"/>
          <w:i/>
          <w:u w:val="single"/>
        </w:rPr>
        <w:t>Towards a Pollution-free Planet</w:t>
      </w:r>
      <w:r w:rsidRPr="00642B8E">
        <w:rPr>
          <w:rFonts w:eastAsia="Times New Roman" w:cs="Arial"/>
          <w:u w:val="single"/>
        </w:rPr>
        <w:t xml:space="preserve"> encourage Member States and the Executive Director, in cooperation with all relevant stakeholders, to raise awareness of [..] the dangers to the environment of lead in ammunition, and to encourage research regarding alternatives to such chemicals and drugs that are toxic to wildlife, as well as safety testing thereof,</w:t>
      </w:r>
    </w:p>
    <w:p w:rsidR="00642B8E" w:rsidRPr="00642B8E" w:rsidRDefault="00642B8E" w:rsidP="00642B8E">
      <w:pPr>
        <w:widowControl w:val="0"/>
        <w:autoSpaceDE w:val="0"/>
        <w:adjustRightInd w:val="0"/>
        <w:spacing w:after="0"/>
        <w:jc w:val="both"/>
        <w:rPr>
          <w:rFonts w:eastAsia="Times New Roman" w:cs="Arial"/>
          <w:u w:val="single"/>
        </w:rPr>
      </w:pPr>
    </w:p>
    <w:p w:rsidR="00642B8E" w:rsidRPr="00642B8E" w:rsidRDefault="00642B8E" w:rsidP="00642B8E">
      <w:pPr>
        <w:widowControl w:val="0"/>
        <w:autoSpaceDE w:val="0"/>
        <w:adjustRightInd w:val="0"/>
        <w:spacing w:after="0"/>
        <w:jc w:val="both"/>
        <w:rPr>
          <w:rFonts w:eastAsia="Times New Roman" w:cs="Arial"/>
          <w:u w:val="single"/>
        </w:rPr>
      </w:pPr>
      <w:r w:rsidRPr="00642B8E">
        <w:rPr>
          <w:rFonts w:eastAsia="Times New Roman" w:cs="Arial"/>
          <w:i/>
          <w:u w:val="single"/>
        </w:rPr>
        <w:t>Welcoming</w:t>
      </w:r>
      <w:r w:rsidRPr="00642B8E">
        <w:rPr>
          <w:rFonts w:eastAsia="Times New Roman" w:cs="Arial"/>
          <w:u w:val="single"/>
        </w:rPr>
        <w:t xml:space="preserve"> the process within the European Union to introduce a coherent Union-wide ban on the use of lead shot in wetlands under the REACH regulation (Registration, Evaluation, Authorization and Restriction of Chemicals; </w:t>
      </w:r>
      <w:r w:rsidRPr="00642B8E">
        <w:rPr>
          <w:rFonts w:cs="Arial"/>
          <w:u w:val="single"/>
        </w:rPr>
        <w:t>(EG Nr. 1907/2006</w:t>
      </w:r>
      <w:r w:rsidRPr="00642B8E">
        <w:rPr>
          <w:rFonts w:eastAsia="Times New Roman" w:cs="Arial"/>
          <w:u w:val="single"/>
        </w:rPr>
        <w:t xml:space="preserve">)) to address the estimated 1 million </w:t>
      </w:r>
      <w:proofErr w:type="spellStart"/>
      <w:r w:rsidRPr="00642B8E">
        <w:rPr>
          <w:rFonts w:eastAsia="Times New Roman" w:cs="Arial"/>
          <w:u w:val="single"/>
        </w:rPr>
        <w:t>waterbirds</w:t>
      </w:r>
      <w:proofErr w:type="spellEnd"/>
      <w:r w:rsidRPr="00642B8E">
        <w:rPr>
          <w:rFonts w:eastAsia="Times New Roman" w:cs="Arial"/>
          <w:u w:val="single"/>
        </w:rPr>
        <w:t xml:space="preserve"> that succumb annually to lead poisoning within the EU,</w:t>
      </w:r>
    </w:p>
    <w:p w:rsidR="00642B8E" w:rsidRPr="00642B8E" w:rsidRDefault="00642B8E" w:rsidP="00642B8E">
      <w:pPr>
        <w:widowControl w:val="0"/>
        <w:autoSpaceDE w:val="0"/>
        <w:adjustRightInd w:val="0"/>
        <w:spacing w:after="0"/>
        <w:jc w:val="both"/>
        <w:rPr>
          <w:rFonts w:eastAsia="Times New Roman" w:cs="Arial"/>
          <w:i/>
        </w:rPr>
      </w:pPr>
    </w:p>
    <w:p w:rsidR="00642B8E" w:rsidRPr="00642B8E" w:rsidRDefault="00642B8E" w:rsidP="00642B8E">
      <w:pPr>
        <w:widowControl w:val="0"/>
        <w:autoSpaceDE w:val="0"/>
        <w:adjustRightInd w:val="0"/>
        <w:spacing w:after="0"/>
        <w:jc w:val="both"/>
        <w:rPr>
          <w:rFonts w:eastAsia="Times New Roman" w:cs="Arial"/>
          <w:i/>
          <w:u w:val="single"/>
        </w:rPr>
      </w:pPr>
      <w:r w:rsidRPr="00642B8E">
        <w:rPr>
          <w:rFonts w:eastAsia="Times New Roman" w:cs="Arial"/>
          <w:i/>
          <w:u w:val="single"/>
        </w:rPr>
        <w:t>Welcoming</w:t>
      </w:r>
      <w:r w:rsidRPr="00642B8E">
        <w:rPr>
          <w:rFonts w:eastAsia="Times New Roman" w:cs="Arial"/>
          <w:u w:val="single"/>
        </w:rPr>
        <w:t xml:space="preserve"> the restriction proposal initiatives undertaken by the European Union and its European Chemicals Agency (ECHA) under the auspices of REACH</w:t>
      </w:r>
      <w:r w:rsidRPr="00642B8E">
        <w:rPr>
          <w:rFonts w:cs="Arial"/>
          <w:u w:val="single"/>
        </w:rPr>
        <w:t xml:space="preserve"> in relation to use of lead ammunition and fishing weights,</w:t>
      </w:r>
    </w:p>
    <w:p w:rsidR="00642B8E" w:rsidRPr="00642B8E" w:rsidRDefault="00642B8E" w:rsidP="00642B8E">
      <w:pPr>
        <w:widowControl w:val="0"/>
        <w:autoSpaceDE w:val="0"/>
        <w:adjustRightInd w:val="0"/>
        <w:spacing w:after="0"/>
        <w:jc w:val="both"/>
        <w:rPr>
          <w:rFonts w:eastAsia="Times New Roman" w:cs="Arial"/>
          <w:i/>
        </w:rPr>
      </w:pP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i/>
        </w:rPr>
        <w:t>Recognizing</w:t>
      </w:r>
      <w:r w:rsidRPr="00642B8E">
        <w:rPr>
          <w:rFonts w:eastAsia="Times New Roman" w:cs="Arial"/>
        </w:rPr>
        <w:t xml:space="preserve"> that under strictly supervised conditions and on a selective basis, the legal and regulated use of poison baits can have important conservation benefits through the control of alien invasive species,</w:t>
      </w:r>
    </w:p>
    <w:p w:rsidR="00642B8E" w:rsidRPr="00642B8E" w:rsidRDefault="00642B8E" w:rsidP="00642B8E">
      <w:pPr>
        <w:widowControl w:val="0"/>
        <w:autoSpaceDE w:val="0"/>
        <w:adjustRightInd w:val="0"/>
        <w:spacing w:after="0"/>
        <w:jc w:val="both"/>
        <w:rPr>
          <w:rFonts w:eastAsia="Times New Roman" w:cs="Arial"/>
        </w:rPr>
      </w:pP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i/>
        </w:rPr>
        <w:t xml:space="preserve">Concerned </w:t>
      </w:r>
      <w:r w:rsidRPr="00642B8E">
        <w:rPr>
          <w:rFonts w:eastAsia="Times New Roman" w:cs="Arial"/>
        </w:rPr>
        <w:t xml:space="preserve">that there is a serious geographical bias in relevant research and knowledge, and </w:t>
      </w:r>
      <w:r w:rsidRPr="00642B8E">
        <w:rPr>
          <w:rFonts w:eastAsia="Times New Roman" w:cs="Arial"/>
          <w:i/>
        </w:rPr>
        <w:t>emphasizing</w:t>
      </w:r>
      <w:r w:rsidRPr="00642B8E">
        <w:rPr>
          <w:rFonts w:eastAsia="Times New Roman" w:cs="Arial"/>
        </w:rPr>
        <w:t xml:space="preserve"> that further research on and monitoring of migratory birds and sources of poisoning are urgently required for some poisoning sources, and that studies should be designed </w:t>
      </w:r>
      <w:proofErr w:type="gramStart"/>
      <w:r w:rsidRPr="00642B8E">
        <w:rPr>
          <w:rFonts w:eastAsia="Times New Roman" w:cs="Arial"/>
        </w:rPr>
        <w:t>so as to</w:t>
      </w:r>
      <w:proofErr w:type="gramEnd"/>
      <w:r w:rsidRPr="00642B8E">
        <w:rPr>
          <w:rFonts w:eastAsia="Times New Roman" w:cs="Arial"/>
        </w:rPr>
        <w:t xml:space="preserve"> better assist in formulating and monitoring policy,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i/>
        </w:rPr>
        <w:t>Acknowledging</w:t>
      </w:r>
      <w:r w:rsidRPr="00642B8E">
        <w:rPr>
          <w:rFonts w:eastAsia="Times New Roman" w:cs="Arial"/>
        </w:rPr>
        <w:t xml:space="preserve"> that </w:t>
      </w:r>
      <w:proofErr w:type="gramStart"/>
      <w:r w:rsidRPr="00642B8E">
        <w:rPr>
          <w:rFonts w:eastAsia="Times New Roman" w:cs="Arial"/>
        </w:rPr>
        <w:t>a number of</w:t>
      </w:r>
      <w:proofErr w:type="gramEnd"/>
      <w:r w:rsidRPr="00642B8E">
        <w:rPr>
          <w:rFonts w:eastAsia="Times New Roman" w:cs="Arial"/>
        </w:rPr>
        <w:t xml:space="preserve"> Parties are already applying relevant policies, for example, removal of certain toxic agricultural insecticides from the market, implementing programmes of Integrated Pest Management, and promoting the use of non-toxic ammunition for hunting, and</w:t>
      </w:r>
      <w:r w:rsidRPr="00642B8E">
        <w:rPr>
          <w:rFonts w:eastAsia="Times New Roman" w:cs="Arial"/>
          <w:i/>
        </w:rPr>
        <w:t xml:space="preserve"> commending</w:t>
      </w:r>
      <w:r w:rsidRPr="00642B8E">
        <w:rPr>
          <w:rFonts w:eastAsia="Times New Roman" w:cs="Arial"/>
        </w:rPr>
        <w:t xml:space="preserve"> those Parties for such actions,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i/>
        </w:rPr>
        <w:t xml:space="preserve">Noting </w:t>
      </w:r>
      <w:r w:rsidRPr="00642B8E">
        <w:rPr>
          <w:rFonts w:eastAsia="Times New Roman" w:cs="Arial"/>
        </w:rPr>
        <w:t xml:space="preserve">the United Nations Development Programme/Global Environment Facility (UNDP/GEF) 'Migratory Soaring Birds Project' implemented by </w:t>
      </w:r>
      <w:proofErr w:type="spellStart"/>
      <w:r w:rsidRPr="00642B8E">
        <w:rPr>
          <w:rFonts w:eastAsia="Times New Roman" w:cs="Arial"/>
        </w:rPr>
        <w:t>BirdLife</w:t>
      </w:r>
      <w:proofErr w:type="spellEnd"/>
      <w:r w:rsidRPr="00642B8E">
        <w:rPr>
          <w:rFonts w:eastAsia="Times New Roman" w:cs="Arial"/>
        </w:rPr>
        <w:t xml:space="preserve"> International, and its document “Preventing the Risk to Migratory Birds from Poisoning by Agricultural Chemicals: Guidance for Countries on the Rift Valley/Red Sea Flyway”, which aims to ensure that the conservation needs of migratory soaring birds are addressed by industry, including the agriculture sector, along the Red Sea/Rift Valley Flyway, and </w:t>
      </w:r>
      <w:r w:rsidRPr="00642B8E">
        <w:rPr>
          <w:rFonts w:eastAsia="Times New Roman" w:cs="Arial"/>
          <w:i/>
        </w:rPr>
        <w:t>recognizing</w:t>
      </w:r>
      <w:r w:rsidRPr="00642B8E">
        <w:rPr>
          <w:rFonts w:eastAsia="Times New Roman" w:cs="Arial"/>
        </w:rPr>
        <w:t xml:space="preserve"> the potential this project has to promote the implementation of this Resolution and the associated “Guidelines to Prevent the Risk of Poisoning to Migratory Birds” nationally and locally,</w:t>
      </w:r>
    </w:p>
    <w:p w:rsidR="00642B8E" w:rsidRPr="00642B8E" w:rsidRDefault="00642B8E" w:rsidP="00642B8E">
      <w:pPr>
        <w:widowControl w:val="0"/>
        <w:autoSpaceDE w:val="0"/>
        <w:adjustRightInd w:val="0"/>
        <w:spacing w:after="0"/>
        <w:jc w:val="both"/>
        <w:rPr>
          <w:rFonts w:eastAsia="Times New Roman" w:cs="Arial"/>
        </w:rPr>
      </w:pPr>
    </w:p>
    <w:p w:rsidR="00642B8E" w:rsidRPr="00642B8E" w:rsidRDefault="00642B8E" w:rsidP="00642B8E">
      <w:pPr>
        <w:widowControl w:val="0"/>
        <w:autoSpaceDE w:val="0"/>
        <w:adjustRightInd w:val="0"/>
        <w:spacing w:after="0"/>
        <w:jc w:val="both"/>
        <w:rPr>
          <w:rFonts w:eastAsia="Times New Roman" w:cs="Arial"/>
          <w:u w:val="single"/>
        </w:rPr>
      </w:pPr>
      <w:r w:rsidRPr="00642B8E">
        <w:rPr>
          <w:rFonts w:eastAsia="Times New Roman" w:cs="Arial"/>
          <w:i/>
          <w:u w:val="single"/>
        </w:rPr>
        <w:t>Further noting</w:t>
      </w:r>
      <w:r w:rsidRPr="00642B8E">
        <w:rPr>
          <w:rFonts w:eastAsia="Times New Roman" w:cs="Arial"/>
          <w:u w:val="single"/>
        </w:rPr>
        <w:t xml:space="preserve"> the Sub-regional Implementation Plan to Prevent Poisoning of Migratory Birds in Southern African Countries 2017-2020, developed at the Regional Workshop on Preventing Poisoning of Migratory Birds, held in Cape Town, South Africa, on 24 August 2015,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642B8E">
        <w:rPr>
          <w:rFonts w:eastAsia="Times New Roman" w:cs="Arial"/>
          <w:i/>
        </w:rPr>
        <w:t>Further noting</w:t>
      </w:r>
      <w:r w:rsidRPr="00642B8E">
        <w:rPr>
          <w:rFonts w:eastAsia="Times New Roman" w:cs="Arial"/>
        </w:rPr>
        <w:t xml:space="preserve"> the European Action Plan to Prevent Risk from Poison-Baits of the ‘European Network on Environmental Crime’ (ENEC), funded by the Criminal Justice Support Programme of the European Union to improve the implementation and application of the Directive 2008/99/EC on the protection of the environment through criminal law,</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Stressing</w:t>
      </w:r>
      <w:r w:rsidRPr="00765716">
        <w:rPr>
          <w:rFonts w:eastAsia="Times New Roman" w:cs="Arial"/>
        </w:rPr>
        <w:t xml:space="preserve"> that capacity-building at national and regional level is of fundamental importance for the effective implementation of this Resolution,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i/>
        </w:rPr>
        <w:t>Noting</w:t>
      </w:r>
      <w:r w:rsidRPr="00765716">
        <w:rPr>
          <w:rFonts w:eastAsia="Times New Roman" w:cs="Arial"/>
        </w:rPr>
        <w:t xml:space="preserve"> the Report of the 2</w:t>
      </w:r>
      <w:r w:rsidRPr="00765716">
        <w:rPr>
          <w:rFonts w:eastAsia="Times New Roman" w:cs="Arial"/>
          <w:vertAlign w:val="superscript"/>
        </w:rPr>
        <w:t>nd</w:t>
      </w:r>
      <w:r w:rsidRPr="00765716">
        <w:rPr>
          <w:rFonts w:eastAsia="Times New Roman" w:cs="Arial"/>
        </w:rPr>
        <w:t xml:space="preserve"> Meeting of the Preventing Poisoning Working Group (UNEP/CMS/COP12/Inf.8) and its Programme of Work (POW; UNEP/CMS/COP12/Inf.9),</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autoSpaceDE w:val="0"/>
        <w:adjustRightInd w:val="0"/>
        <w:spacing w:after="0"/>
        <w:jc w:val="center"/>
        <w:rPr>
          <w:rFonts w:eastAsia="Times New Roman" w:cs="Arial"/>
          <w:i/>
        </w:rPr>
      </w:pPr>
      <w:r w:rsidRPr="00765716">
        <w:rPr>
          <w:rFonts w:eastAsia="Times New Roman" w:cs="Arial"/>
          <w:i/>
        </w:rPr>
        <w:t>The Conference of the Parties to the</w:t>
      </w:r>
    </w:p>
    <w:p w:rsidR="00642B8E" w:rsidRPr="00765716" w:rsidRDefault="00642B8E" w:rsidP="00642B8E">
      <w:pPr>
        <w:widowControl w:val="0"/>
        <w:autoSpaceDE w:val="0"/>
        <w:adjustRightInd w:val="0"/>
        <w:spacing w:after="0"/>
        <w:jc w:val="center"/>
        <w:rPr>
          <w:rFonts w:eastAsia="Times New Roman" w:cs="Arial"/>
          <w:i/>
        </w:rPr>
      </w:pPr>
      <w:r w:rsidRPr="00765716">
        <w:rPr>
          <w:rFonts w:eastAsia="Times New Roman" w:cs="Arial"/>
          <w:i/>
        </w:rPr>
        <w:t>Convention on the Conservation of Migratory Species of Wild Animals</w:t>
      </w:r>
    </w:p>
    <w:p w:rsidR="00642B8E" w:rsidRPr="00765716" w:rsidRDefault="00642B8E" w:rsidP="00642B8E">
      <w:pPr>
        <w:widowControl w:val="0"/>
        <w:autoSpaceDE w:val="0"/>
        <w:adjustRightInd w:val="0"/>
        <w:spacing w:after="0"/>
        <w:jc w:val="both"/>
        <w:rPr>
          <w:rFonts w:eastAsia="Times New Roman" w:cs="Arial"/>
        </w:rPr>
      </w:pPr>
    </w:p>
    <w:p w:rsidR="00642B8E" w:rsidRPr="00765716" w:rsidRDefault="00642B8E" w:rsidP="00642B8E">
      <w:pPr>
        <w:widowControl w:val="0"/>
        <w:numPr>
          <w:ilvl w:val="0"/>
          <w:numId w:val="9"/>
        </w:numPr>
        <w:autoSpaceDE w:val="0"/>
        <w:autoSpaceDN w:val="0"/>
        <w:adjustRightInd w:val="0"/>
        <w:spacing w:after="0" w:line="240" w:lineRule="auto"/>
        <w:jc w:val="both"/>
        <w:rPr>
          <w:rFonts w:eastAsia="Times New Roman" w:cs="Arial"/>
          <w:i/>
        </w:rPr>
      </w:pPr>
      <w:bookmarkStart w:id="4" w:name="_Hlk498683907"/>
      <w:r w:rsidRPr="001515B9">
        <w:rPr>
          <w:rFonts w:eastAsia="Times New Roman" w:cs="Arial"/>
          <w:i/>
        </w:rPr>
        <w:t>Adopts</w:t>
      </w:r>
      <w:r w:rsidRPr="00765716">
        <w:rPr>
          <w:rFonts w:eastAsia="Times New Roman" w:cs="Arial"/>
        </w:rPr>
        <w:t xml:space="preserve"> the </w:t>
      </w:r>
      <w:r w:rsidRPr="00E83CE8">
        <w:rPr>
          <w:rFonts w:eastAsia="Times New Roman" w:cs="Arial"/>
          <w:i/>
        </w:rPr>
        <w:t>Guidelines to Prevent the Risk of Poisoning to Migratory Birds</w:t>
      </w:r>
      <w:r w:rsidRPr="00765716">
        <w:rPr>
          <w:rFonts w:eastAsia="Times New Roman" w:cs="Arial"/>
        </w:rPr>
        <w:t xml:space="preserve"> (the </w:t>
      </w:r>
      <w:r w:rsidRPr="00E83CE8">
        <w:rPr>
          <w:rFonts w:eastAsia="Times New Roman" w:cs="Arial"/>
          <w:i/>
        </w:rPr>
        <w:t>Guidelines</w:t>
      </w:r>
      <w:r w:rsidRPr="00765716">
        <w:rPr>
          <w:rFonts w:eastAsia="Times New Roman" w:cs="Arial"/>
        </w:rPr>
        <w:t>) Annex 2 to document UNEP/CMS/COP11/Doc.23.1.2, agreeing that it is for each Party to determine whether or how to implement the recommended actions, considering the extent and type of poisoning risk, whilst having regard to their international obligations and commitments, including those under the Convention;</w:t>
      </w:r>
    </w:p>
    <w:p w:rsidR="00642B8E" w:rsidRPr="00765716" w:rsidRDefault="00642B8E" w:rsidP="00642B8E">
      <w:pPr>
        <w:widowControl w:val="0"/>
        <w:autoSpaceDE w:val="0"/>
        <w:adjustRightInd w:val="0"/>
        <w:spacing w:after="0"/>
        <w:jc w:val="both"/>
        <w:rPr>
          <w:rFonts w:eastAsia="Times New Roman" w:cs="Arial"/>
          <w:i/>
        </w:rPr>
      </w:pPr>
    </w:p>
    <w:p w:rsidR="00642B8E" w:rsidRPr="00765716"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765716">
        <w:rPr>
          <w:rFonts w:eastAsia="Times New Roman" w:cs="Arial"/>
          <w:i/>
        </w:rPr>
        <w:t>Invites</w:t>
      </w:r>
      <w:r w:rsidRPr="00765716">
        <w:rPr>
          <w:rFonts w:eastAsia="Times New Roman" w:cs="Arial"/>
        </w:rPr>
        <w:t xml:space="preserve"> the United Nations Environment Programme to further discuss this issue at </w:t>
      </w:r>
      <w:r w:rsidRPr="00F5169E">
        <w:rPr>
          <w:rFonts w:eastAsia="Times New Roman" w:cs="Arial"/>
          <w:strike/>
        </w:rPr>
        <w:t>third</w:t>
      </w:r>
      <w:r>
        <w:rPr>
          <w:rFonts w:eastAsia="Times New Roman" w:cs="Arial"/>
        </w:rPr>
        <w:t xml:space="preserve"> </w:t>
      </w:r>
      <w:r w:rsidRPr="00765716">
        <w:rPr>
          <w:rFonts w:eastAsia="Times New Roman" w:cs="Arial"/>
        </w:rPr>
        <w:t xml:space="preserve">the </w:t>
      </w:r>
      <w:r w:rsidRPr="001515B9">
        <w:rPr>
          <w:rFonts w:eastAsia="Times New Roman" w:cs="Arial"/>
        </w:rPr>
        <w:t>Meeting</w:t>
      </w:r>
      <w:r w:rsidRPr="00D95943">
        <w:rPr>
          <w:rFonts w:eastAsia="Times New Roman" w:cs="Arial"/>
          <w:u w:val="single"/>
        </w:rPr>
        <w:t>s</w:t>
      </w:r>
      <w:r w:rsidRPr="00765716">
        <w:rPr>
          <w:rFonts w:eastAsia="Times New Roman" w:cs="Arial"/>
        </w:rPr>
        <w:t xml:space="preserve"> of the United Nations Environment Assembly, recognizing that this is an issue which has wider environmental impacts;</w:t>
      </w:r>
    </w:p>
    <w:p w:rsidR="00642B8E" w:rsidRPr="00765716" w:rsidRDefault="00642B8E" w:rsidP="00642B8E">
      <w:pPr>
        <w:widowControl w:val="0"/>
        <w:autoSpaceDE w:val="0"/>
        <w:adjustRightInd w:val="0"/>
        <w:spacing w:after="0"/>
        <w:jc w:val="both"/>
        <w:rPr>
          <w:rFonts w:eastAsia="Times New Roman" w:cs="Arial"/>
          <w:i/>
        </w:rPr>
      </w:pPr>
    </w:p>
    <w:p w:rsidR="00642B8E" w:rsidRPr="00765716"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765716">
        <w:rPr>
          <w:rFonts w:eastAsia="Times New Roman" w:cs="Arial"/>
          <w:i/>
        </w:rPr>
        <w:t>Urges</w:t>
      </w:r>
      <w:r w:rsidRPr="00765716">
        <w:rPr>
          <w:rFonts w:eastAsia="Times New Roman" w:cs="Arial"/>
        </w:rPr>
        <w:t xml:space="preserve"> Parties and </w:t>
      </w:r>
      <w:r w:rsidRPr="00765716">
        <w:rPr>
          <w:rFonts w:eastAsia="Times New Roman" w:cs="Arial"/>
          <w:i/>
        </w:rPr>
        <w:t>encourages</w:t>
      </w:r>
      <w:r w:rsidRPr="00765716">
        <w:rPr>
          <w:rFonts w:eastAsia="Times New Roman" w:cs="Arial"/>
        </w:rPr>
        <w:t xml:space="preserve"> non-Parties to disseminate and implement the Guidelines, as appropriate, across all flyways, where necessary translating the Guidelines into different languages for their wider dissemination and use;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765716"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765716">
        <w:rPr>
          <w:rFonts w:eastAsia="Times New Roman" w:cs="Arial"/>
          <w:i/>
        </w:rPr>
        <w:t>Encourages</w:t>
      </w:r>
      <w:r w:rsidRPr="00765716">
        <w:rPr>
          <w:rFonts w:eastAsia="Times New Roman" w:cs="Arial"/>
        </w:rPr>
        <w:t xml:space="preserve"> CMS Parties and </w:t>
      </w:r>
      <w:r w:rsidRPr="00765716">
        <w:rPr>
          <w:rFonts w:eastAsia="Times New Roman" w:cs="Arial"/>
          <w:i/>
        </w:rPr>
        <w:t xml:space="preserve">invites </w:t>
      </w:r>
      <w:r w:rsidRPr="00765716">
        <w:rPr>
          <w:rFonts w:eastAsia="Times New Roman" w:cs="Arial"/>
        </w:rPr>
        <w:t xml:space="preserve">Parties and Signatories of CMS Family instruments to identify within flyways, those geographical areas where poisoning is causing significant mortality or morbidity in migratory birds, and address these as a matter of priority applying the Guidelines as appropriate; </w:t>
      </w:r>
    </w:p>
    <w:p w:rsidR="00642B8E" w:rsidRPr="00765716" w:rsidRDefault="00642B8E" w:rsidP="00642B8E">
      <w:pPr>
        <w:widowControl w:val="0"/>
        <w:autoSpaceDE w:val="0"/>
        <w:adjustRightInd w:val="0"/>
        <w:spacing w:after="0"/>
        <w:jc w:val="both"/>
        <w:rPr>
          <w:rFonts w:eastAsia="Times New Roman" w:cs="Arial"/>
        </w:rPr>
      </w:pPr>
      <w:r w:rsidRPr="00765716">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765716">
        <w:rPr>
          <w:rFonts w:eastAsia="Times New Roman" w:cs="Arial"/>
          <w:i/>
        </w:rPr>
        <w:t xml:space="preserve">Urges </w:t>
      </w:r>
      <w:r w:rsidRPr="00765716">
        <w:rPr>
          <w:rFonts w:eastAsia="Times New Roman" w:cs="Arial"/>
        </w:rPr>
        <w:t>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w:t>
      </w:r>
      <w:r w:rsidRPr="00D95943">
        <w:rPr>
          <w:rFonts w:eastAsia="Times New Roman" w:cs="Arial"/>
          <w:u w:val="single"/>
        </w:rPr>
        <w:t xml:space="preserve"> </w:t>
      </w:r>
      <w:r w:rsidRPr="00642B8E">
        <w:rPr>
          <w:rFonts w:eastAsia="Times New Roman" w:cs="Arial"/>
          <w:u w:val="single"/>
        </w:rPr>
        <w:t>to minimize detrimental impacts</w:t>
      </w:r>
      <w:r w:rsidRPr="00642B8E">
        <w:rPr>
          <w:rFonts w:eastAsia="Times New Roman" w:cs="Arial"/>
        </w:rPr>
        <w:t xml:space="preserve">;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 xml:space="preserve">Encourages </w:t>
      </w:r>
      <w:r w:rsidRPr="00642B8E">
        <w:rPr>
          <w:rFonts w:eastAsia="Times New Roman" w:cs="Arial"/>
        </w:rPr>
        <w:t xml:space="preserve">CMS Parties to monitor and evaluate the impact of poisoning on migratory bird species regularly at national level, as well as the effectiveness of measures put in place to prevent, minimize, reduce, or control poisoning impacts, as appropriate;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 xml:space="preserve">Calls on </w:t>
      </w:r>
      <w:r w:rsidRPr="00642B8E">
        <w:rPr>
          <w:rFonts w:eastAsia="Times New Roman" w:cs="Arial"/>
        </w:rPr>
        <w:t xml:space="preserve">Parties and non-Parties, including inter-governmental organizations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reduce or control the impact of poisoning on migratory bird species;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Instructs</w:t>
      </w:r>
      <w:r w:rsidRPr="00642B8E">
        <w:rPr>
          <w:rFonts w:eastAsia="Times New Roman" w:cs="Arial"/>
        </w:rPr>
        <w:t xml:space="preserve"> the Secretariat, in close cooperation with relevant CMS instruments, to liaise with the Bern Convention Secretariat and other relevant international organizations in order to update the Guidelines as necessary, and </w:t>
      </w:r>
      <w:r w:rsidRPr="00642B8E">
        <w:rPr>
          <w:rFonts w:eastAsia="Times New Roman" w:cs="Arial"/>
          <w:i/>
        </w:rPr>
        <w:t>invites</w:t>
      </w:r>
      <w:r w:rsidRPr="00642B8E">
        <w:rPr>
          <w:rFonts w:eastAsia="Times New Roman" w:cs="Arial"/>
        </w:rPr>
        <w:t xml:space="preserve"> Parties to contribute to the dissemination and updating of the Guidelines;</w:t>
      </w:r>
    </w:p>
    <w:p w:rsidR="00642B8E" w:rsidRPr="00642B8E" w:rsidRDefault="00642B8E" w:rsidP="00642B8E">
      <w:pPr>
        <w:widowControl w:val="0"/>
        <w:autoSpaceDE w:val="0"/>
        <w:adjustRightInd w:val="0"/>
        <w:spacing w:after="0"/>
        <w:jc w:val="both"/>
        <w:rPr>
          <w:rFonts w:eastAsia="Times New Roman" w:cs="Arial"/>
        </w:rPr>
      </w:pP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Invites</w:t>
      </w:r>
      <w:r w:rsidRPr="00642B8E">
        <w:rPr>
          <w:rFonts w:eastAsia="Times New Roman" w:cs="Arial"/>
        </w:rPr>
        <w:t xml:space="preserve"> the IUCN and its Species Survival Commission (SSC) to cooperate actively with CMS and the Preventing Poisoning Working Group (PPWG) on a global analysis of the impact of poisoning on wildlife, resources permitting;</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Invites</w:t>
      </w:r>
      <w:r w:rsidRPr="00642B8E">
        <w:rPr>
          <w:rFonts w:eastAsia="Times New Roman" w:cs="Arial"/>
        </w:rPr>
        <w:t xml:space="preserve"> the Rotterdam Convention on the Prior Informed Consent for Certain Hazardous Chemicals and Pesticides in International Trade to cooperate actively with CMS on matters related to poisoning of migratory birds, and </w:t>
      </w:r>
      <w:proofErr w:type="gramStart"/>
      <w:r w:rsidRPr="00642B8E">
        <w:rPr>
          <w:rFonts w:eastAsia="Times New Roman" w:cs="Arial"/>
        </w:rPr>
        <w:t>in particular on</w:t>
      </w:r>
      <w:proofErr w:type="gramEnd"/>
      <w:r w:rsidRPr="00642B8E">
        <w:rPr>
          <w:rFonts w:eastAsia="Times New Roman" w:cs="Arial"/>
        </w:rPr>
        <w:t xml:space="preserve"> the question of clarifying existing guidelines used in decision-making processes under that Convention as appropriate;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Invites</w:t>
      </w:r>
      <w:r w:rsidRPr="00642B8E">
        <w:rPr>
          <w:rFonts w:eastAsia="Times New Roman" w:cs="Arial"/>
        </w:rPr>
        <w:t xml:space="preserve"> the International Cooperation on Harmonization of Technical Requirements for Registration of Veterinary Medicinal Products (VICH) and the Organization for Economic Cooperation and Development (OECD) to consider conducting an evaluation of the risk that </w:t>
      </w:r>
      <w:r w:rsidRPr="00642B8E">
        <w:rPr>
          <w:rFonts w:eastAsia="Times New Roman" w:cs="Arial"/>
        </w:rPr>
        <w:lastRenderedPageBreak/>
        <w:t xml:space="preserve">veterinary medicinal products pose to scavenging migratory bird species through either lethal or sub-lethal impacts, and using the results to provide guidance to the veterinary sector;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 xml:space="preserve">Encourages </w:t>
      </w:r>
      <w:r w:rsidRPr="00642B8E">
        <w:rPr>
          <w:rFonts w:eastAsia="Times New Roman" w:cs="Arial"/>
        </w:rPr>
        <w:t xml:space="preserve">all those concerned with preventing poisoning of migratory birds to engage with such groups and create active partnerships – at appropriate scales – as a priority in implementing the Guidelines;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 xml:space="preserve">Invites </w:t>
      </w:r>
      <w:r w:rsidRPr="00642B8E">
        <w:rPr>
          <w:rFonts w:eastAsia="Times New Roman" w:cs="Arial"/>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rsidR="00642B8E" w:rsidRPr="00642B8E" w:rsidRDefault="00642B8E" w:rsidP="00642B8E">
      <w:pPr>
        <w:widowControl w:val="0"/>
        <w:autoSpaceDE w:val="0"/>
        <w:adjustRightInd w:val="0"/>
        <w:spacing w:after="0"/>
        <w:jc w:val="both"/>
        <w:rPr>
          <w:rFonts w:eastAsia="Times New Roman" w:cs="Arial"/>
        </w:rPr>
      </w:pPr>
      <w:r w:rsidRPr="00642B8E">
        <w:rPr>
          <w:rFonts w:eastAsia="Times New Roman" w:cs="Arial"/>
        </w:rPr>
        <w:t xml:space="preserve"> </w:t>
      </w: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Calls on</w:t>
      </w:r>
      <w:r w:rsidRPr="00642B8E">
        <w:rPr>
          <w:rFonts w:eastAsia="Times New Roman" w:cs="Arial"/>
        </w:rPr>
        <w:t xml:space="preserve"> Parties and </w:t>
      </w:r>
      <w:r w:rsidRPr="00642B8E">
        <w:rPr>
          <w:rFonts w:eastAsia="Times New Roman" w:cs="Arial"/>
          <w:i/>
        </w:rPr>
        <w:t>invites</w:t>
      </w:r>
      <w:r w:rsidRPr="00642B8E">
        <w:rPr>
          <w:rFonts w:eastAsia="Times New Roman" w:cs="Arial"/>
        </w:rPr>
        <w:t xml:space="preserve"> non-Parties and stakeholders, with the support of the Secretariat, to strengthen national and local capacity for the implementation of this Resolution including, </w:t>
      </w:r>
      <w:r w:rsidRPr="00642B8E">
        <w:rPr>
          <w:rFonts w:eastAsia="Times New Roman" w:cs="Arial"/>
          <w:i/>
        </w:rPr>
        <w:t>inter alia</w:t>
      </w:r>
      <w:r w:rsidRPr="00642B8E">
        <w:rPr>
          <w:rFonts w:eastAsia="Times New Roman" w:cs="Arial"/>
        </w:rPr>
        <w:t>, by developing training courses, translating and disseminating examples of best practice, sharing protocols</w:t>
      </w:r>
      <w:r w:rsidRPr="00642B8E">
        <w:rPr>
          <w:rFonts w:eastAsia="Times New Roman" w:cs="Arial"/>
          <w:u w:val="single"/>
        </w:rPr>
        <w:t>, experiences</w:t>
      </w:r>
      <w:r w:rsidRPr="00642B8E">
        <w:rPr>
          <w:rFonts w:eastAsia="Times New Roman" w:cs="Arial"/>
        </w:rPr>
        <w:t xml:space="preserve"> and regulations, transferring technology, and promoting the use of online tools to address specific issues that are relevant to prevent, reduce, or control poisoning of migratory birds protected under the Convention; </w:t>
      </w:r>
    </w:p>
    <w:p w:rsidR="00642B8E" w:rsidRPr="00642B8E" w:rsidRDefault="00642B8E" w:rsidP="00642B8E">
      <w:pPr>
        <w:widowControl w:val="0"/>
        <w:autoSpaceDE w:val="0"/>
        <w:adjustRightInd w:val="0"/>
        <w:spacing w:after="0"/>
        <w:jc w:val="both"/>
        <w:rPr>
          <w:rFonts w:eastAsia="Times New Roman" w:cs="Arial"/>
        </w:rPr>
      </w:pP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Urges</w:t>
      </w:r>
      <w:r w:rsidRPr="00642B8E">
        <w:rPr>
          <w:rFonts w:eastAsia="Times New Roman" w:cs="Arial"/>
        </w:rPr>
        <w:t xml:space="preserve"> Parties, the United Nations Environment Programme and other relevant international organizations, as well as the industry, bilateral and multilateral donors and others, to consider supporting financially the implementation of this Resolution and the Guidelines, including through the coordination provided by the PPWG, support of regional workshops, and the provision of financial assistance to developing countries for relevant capacity-building; </w:t>
      </w:r>
    </w:p>
    <w:p w:rsidR="00642B8E" w:rsidRPr="00642B8E" w:rsidRDefault="00642B8E" w:rsidP="00642B8E">
      <w:pPr>
        <w:widowControl w:val="0"/>
        <w:autoSpaceDE w:val="0"/>
        <w:adjustRightInd w:val="0"/>
        <w:spacing w:after="0"/>
        <w:jc w:val="both"/>
        <w:rPr>
          <w:rFonts w:eastAsia="Times New Roman" w:cs="Arial"/>
        </w:rPr>
      </w:pPr>
    </w:p>
    <w:p w:rsidR="00642B8E" w:rsidRP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 xml:space="preserve">Proposes </w:t>
      </w:r>
      <w:r w:rsidRPr="00642B8E">
        <w:rPr>
          <w:rFonts w:eastAsia="Times New Roman" w:cs="Arial"/>
        </w:rPr>
        <w:t xml:space="preserve">the continuation of the open-ended PPWG until </w:t>
      </w:r>
      <w:r w:rsidRPr="00642B8E">
        <w:rPr>
          <w:rFonts w:eastAsia="Times New Roman" w:cs="Arial"/>
          <w:u w:val="single"/>
        </w:rPr>
        <w:t>decided otherwise at any meeting of the Conference of the Parties</w:t>
      </w:r>
      <w:r w:rsidRPr="00642B8E">
        <w:rPr>
          <w:rFonts w:eastAsia="Times New Roman" w:cs="Arial"/>
          <w:strike/>
          <w:u w:val="single"/>
        </w:rPr>
        <w:t>COP13</w:t>
      </w:r>
      <w:r w:rsidRPr="00642B8E">
        <w:rPr>
          <w:rFonts w:eastAsia="Times New Roman" w:cs="Arial"/>
        </w:rPr>
        <w:t xml:space="preserve"> under the Terms of Reference annexed to this Resolution, which </w:t>
      </w:r>
      <w:r w:rsidRPr="00642B8E">
        <w:rPr>
          <w:rFonts w:eastAsia="Times New Roman" w:cs="Arial"/>
          <w:strike/>
        </w:rPr>
        <w:t xml:space="preserve">now </w:t>
      </w:r>
      <w:r w:rsidRPr="00642B8E">
        <w:rPr>
          <w:rFonts w:eastAsia="Times New Roman" w:cs="Arial"/>
        </w:rPr>
        <w:t xml:space="preserve">includes a </w:t>
      </w:r>
      <w:r w:rsidRPr="00642B8E">
        <w:rPr>
          <w:rFonts w:eastAsia="Times New Roman" w:cs="Arial"/>
          <w:strike/>
        </w:rPr>
        <w:t>new</w:t>
      </w:r>
      <w:r w:rsidRPr="00642B8E">
        <w:rPr>
          <w:rFonts w:eastAsia="Times New Roman" w:cs="Arial"/>
        </w:rPr>
        <w:t xml:space="preserve"> Task Group addressing the issues of lead poisoning, renewing its membership to incorporate expertise from geographical regions currently absent as well as representatives of industry and governments, to address the impact of other sources of poisoning, and geographic gaps, and to monitor the implementation of the Guidelines; and </w:t>
      </w:r>
    </w:p>
    <w:p w:rsidR="00642B8E" w:rsidRPr="00642B8E" w:rsidRDefault="00642B8E" w:rsidP="00642B8E">
      <w:pPr>
        <w:widowControl w:val="0"/>
        <w:autoSpaceDE w:val="0"/>
        <w:adjustRightInd w:val="0"/>
        <w:spacing w:after="0"/>
        <w:ind w:left="370"/>
        <w:jc w:val="both"/>
        <w:rPr>
          <w:rFonts w:eastAsia="Times New Roman" w:cs="Arial"/>
        </w:rPr>
      </w:pPr>
    </w:p>
    <w:p w:rsidR="00642B8E" w:rsidRDefault="00642B8E" w:rsidP="00642B8E">
      <w:pPr>
        <w:widowControl w:val="0"/>
        <w:numPr>
          <w:ilvl w:val="0"/>
          <w:numId w:val="9"/>
        </w:numPr>
        <w:autoSpaceDE w:val="0"/>
        <w:autoSpaceDN w:val="0"/>
        <w:adjustRightInd w:val="0"/>
        <w:spacing w:after="0" w:line="240" w:lineRule="auto"/>
        <w:jc w:val="both"/>
        <w:rPr>
          <w:rFonts w:eastAsia="Times New Roman" w:cs="Arial"/>
        </w:rPr>
      </w:pPr>
      <w:r w:rsidRPr="00642B8E">
        <w:rPr>
          <w:rFonts w:eastAsia="Times New Roman" w:cs="Arial"/>
          <w:i/>
        </w:rPr>
        <w:t>Calls on</w:t>
      </w:r>
      <w:r w:rsidRPr="00642B8E">
        <w:rPr>
          <w:rFonts w:eastAsia="Times New Roman" w:cs="Arial"/>
        </w:rPr>
        <w:t xml:space="preserve"> Parties to report progress in implementing actions taken under this Resolution, and results achieved to future COPs through</w:t>
      </w:r>
      <w:r w:rsidRPr="00765716">
        <w:rPr>
          <w:rFonts w:eastAsia="Times New Roman" w:cs="Arial"/>
        </w:rPr>
        <w:t xml:space="preserve"> their National Reports</w:t>
      </w:r>
      <w:r>
        <w:rPr>
          <w:rFonts w:eastAsia="Times New Roman" w:cs="Arial"/>
          <w:u w:val="single"/>
        </w:rPr>
        <w:t>.</w:t>
      </w:r>
      <w:bookmarkEnd w:id="4"/>
    </w:p>
    <w:p w:rsidR="00642B8E" w:rsidRDefault="00642B8E" w:rsidP="00642B8E">
      <w:pPr>
        <w:widowControl w:val="0"/>
        <w:autoSpaceDE w:val="0"/>
        <w:adjustRightInd w:val="0"/>
        <w:spacing w:after="0"/>
        <w:ind w:left="370"/>
        <w:jc w:val="both"/>
        <w:rPr>
          <w:rFonts w:eastAsia="Times New Roman" w:cs="Arial"/>
        </w:rPr>
      </w:pPr>
    </w:p>
    <w:p w:rsidR="00642B8E" w:rsidRDefault="00642B8E" w:rsidP="00642B8E">
      <w:pPr>
        <w:rPr>
          <w:rFonts w:cs="Arial"/>
        </w:rPr>
      </w:pPr>
      <w:r>
        <w:rPr>
          <w:rFonts w:cs="Arial"/>
        </w:rPr>
        <w:br w:type="page"/>
      </w:r>
    </w:p>
    <w:p w:rsidR="00642B8E" w:rsidRPr="00BC6081" w:rsidRDefault="00642B8E" w:rsidP="00642B8E">
      <w:pPr>
        <w:spacing w:after="0"/>
        <w:jc w:val="right"/>
        <w:rPr>
          <w:rFonts w:cs="Arial"/>
          <w:b/>
        </w:rPr>
      </w:pPr>
      <w:bookmarkStart w:id="5" w:name="_Hlk498684478"/>
      <w:r w:rsidRPr="00BC6081">
        <w:rPr>
          <w:rFonts w:cs="Arial"/>
          <w:b/>
        </w:rPr>
        <w:lastRenderedPageBreak/>
        <w:t>Annex to Resolution 11.15 (Rev.COP12)</w:t>
      </w:r>
    </w:p>
    <w:p w:rsidR="00642B8E" w:rsidRPr="00BC6081" w:rsidRDefault="00642B8E" w:rsidP="00642B8E">
      <w:pPr>
        <w:spacing w:after="0"/>
        <w:jc w:val="right"/>
        <w:rPr>
          <w:rFonts w:cs="Arial"/>
        </w:rPr>
      </w:pPr>
    </w:p>
    <w:p w:rsidR="00642B8E" w:rsidRPr="00BC6081" w:rsidRDefault="00642B8E" w:rsidP="00642B8E">
      <w:pPr>
        <w:spacing w:after="0"/>
        <w:jc w:val="center"/>
        <w:rPr>
          <w:rFonts w:cs="Arial"/>
          <w:b/>
          <w:bCs/>
        </w:rPr>
      </w:pPr>
      <w:r w:rsidRPr="00BC6081">
        <w:rPr>
          <w:rFonts w:cs="Arial"/>
          <w:b/>
          <w:bCs/>
        </w:rPr>
        <w:t>TERMS OF REFERENCE OF THE PREVENTING POISONING WORKING GROUP</w:t>
      </w:r>
    </w:p>
    <w:p w:rsidR="00642B8E" w:rsidRPr="00BC6081" w:rsidRDefault="00642B8E" w:rsidP="00642B8E">
      <w:pPr>
        <w:spacing w:after="0"/>
        <w:jc w:val="center"/>
        <w:rPr>
          <w:rFonts w:cs="Arial"/>
          <w:i/>
          <w:iCs/>
        </w:rPr>
      </w:pPr>
    </w:p>
    <w:p w:rsidR="00642B8E" w:rsidRPr="00BC6081" w:rsidRDefault="00642B8E" w:rsidP="00642B8E">
      <w:pPr>
        <w:spacing w:after="0"/>
        <w:jc w:val="center"/>
        <w:rPr>
          <w:rFonts w:cs="Arial"/>
          <w:i/>
          <w:iCs/>
        </w:rPr>
      </w:pPr>
      <w:r w:rsidRPr="00BC6081">
        <w:rPr>
          <w:rFonts w:cs="Arial"/>
          <w:bCs/>
          <w:lang w:val="et-EE"/>
        </w:rPr>
        <w:t xml:space="preserve">(for the intersessional period until </w:t>
      </w:r>
      <w:r w:rsidRPr="00BC6081">
        <w:rPr>
          <w:rFonts w:cs="Arial"/>
          <w:bCs/>
          <w:strike/>
          <w:lang w:val="et-EE"/>
        </w:rPr>
        <w:t>COP13</w:t>
      </w:r>
      <w:r w:rsidRPr="00BC6081">
        <w:rPr>
          <w:rFonts w:cs="Arial"/>
          <w:bCs/>
          <w:u w:val="single"/>
          <w:lang w:val="et-EE"/>
        </w:rPr>
        <w:t>COP14</w:t>
      </w:r>
      <w:r w:rsidRPr="00BC6081">
        <w:rPr>
          <w:rFonts w:cs="Arial"/>
          <w:bCs/>
          <w:lang w:val="et-EE"/>
        </w:rPr>
        <w:t>)</w:t>
      </w:r>
    </w:p>
    <w:p w:rsidR="00642B8E" w:rsidRPr="00BC6081" w:rsidRDefault="00642B8E" w:rsidP="00642B8E">
      <w:pPr>
        <w:spacing w:after="0"/>
        <w:jc w:val="both"/>
        <w:rPr>
          <w:rFonts w:cs="Arial"/>
          <w:i/>
          <w:iCs/>
        </w:rPr>
      </w:pPr>
    </w:p>
    <w:p w:rsidR="00642B8E" w:rsidRPr="00BC6081" w:rsidRDefault="00642B8E" w:rsidP="00642B8E">
      <w:pPr>
        <w:spacing w:after="0"/>
        <w:jc w:val="both"/>
        <w:rPr>
          <w:rFonts w:cs="Arial"/>
          <w:b/>
          <w:bCs/>
        </w:rPr>
      </w:pPr>
      <w:r w:rsidRPr="00BC6081">
        <w:rPr>
          <w:rFonts w:cs="Arial"/>
          <w:b/>
          <w:bCs/>
        </w:rPr>
        <w:t>1. Background and purpose</w:t>
      </w:r>
    </w:p>
    <w:p w:rsidR="00642B8E" w:rsidRPr="00BC6081" w:rsidRDefault="00642B8E" w:rsidP="00642B8E">
      <w:pPr>
        <w:spacing w:after="0"/>
        <w:jc w:val="both"/>
        <w:rPr>
          <w:rFonts w:cs="Arial"/>
        </w:rPr>
      </w:pPr>
      <w:r w:rsidRPr="00BC6081">
        <w:rPr>
          <w:rFonts w:cs="Arial"/>
        </w:rPr>
        <w:t>This Working Group was established by Resolution 10.26</w:t>
      </w:r>
      <w:r w:rsidRPr="00BC6081">
        <w:rPr>
          <w:rFonts w:cs="Arial"/>
          <w:vertAlign w:val="superscript"/>
        </w:rPr>
        <w:t>,</w:t>
      </w:r>
      <w:r w:rsidRPr="00BC6081">
        <w:rPr>
          <w:rFonts w:cs="Arial"/>
          <w:vertAlign w:val="superscript"/>
        </w:rPr>
        <w:footnoteReference w:id="3"/>
      </w:r>
      <w:r w:rsidRPr="00BC6081">
        <w:rPr>
          <w:rFonts w:cs="Arial"/>
        </w:rPr>
        <w:t xml:space="preserve"> to assist the Parties to the Convention on Migratory Species (CMS) and its associated instruments, </w:t>
      </w:r>
      <w:r w:rsidRPr="00642B8E">
        <w:rPr>
          <w:rFonts w:cs="Arial"/>
        </w:rPr>
        <w:t xml:space="preserve">relevant </w:t>
      </w:r>
      <w:r w:rsidRPr="00642B8E">
        <w:rPr>
          <w:rFonts w:cs="Arial"/>
          <w:u w:val="single"/>
        </w:rPr>
        <w:t>Multilateral Environmental Agreements (MEAs)</w:t>
      </w:r>
      <w:r w:rsidRPr="00642B8E">
        <w:rPr>
          <w:rFonts w:cs="Arial"/>
        </w:rPr>
        <w:t xml:space="preserve"> and Conventions to review the caus</w:t>
      </w:r>
      <w:r w:rsidRPr="00BC6081">
        <w:rPr>
          <w:rFonts w:cs="Arial"/>
        </w:rPr>
        <w:t>es and consequences of poisoning of migratory birds, and to recommend suitable responses to address the problems.</w:t>
      </w:r>
    </w:p>
    <w:p w:rsidR="00642B8E" w:rsidRPr="00BC6081" w:rsidRDefault="00642B8E" w:rsidP="00642B8E">
      <w:pPr>
        <w:spacing w:after="0"/>
        <w:jc w:val="both"/>
        <w:rPr>
          <w:rFonts w:cs="Arial"/>
        </w:rPr>
      </w:pPr>
    </w:p>
    <w:p w:rsidR="00642B8E" w:rsidRPr="00BC6081" w:rsidRDefault="00642B8E" w:rsidP="00642B8E">
      <w:pPr>
        <w:spacing w:after="0"/>
        <w:jc w:val="both"/>
        <w:rPr>
          <w:rFonts w:cs="Arial"/>
          <w:b/>
          <w:bCs/>
        </w:rPr>
      </w:pPr>
      <w:r w:rsidRPr="00BC6081">
        <w:rPr>
          <w:rFonts w:cs="Arial"/>
          <w:b/>
          <w:bCs/>
        </w:rPr>
        <w:t>2. Role and Scope</w:t>
      </w:r>
    </w:p>
    <w:p w:rsidR="00642B8E" w:rsidRPr="00BC6081" w:rsidRDefault="00642B8E" w:rsidP="00642B8E">
      <w:pPr>
        <w:spacing w:after="0"/>
        <w:jc w:val="both"/>
        <w:rPr>
          <w:rFonts w:cs="Arial"/>
        </w:rPr>
      </w:pPr>
      <w:r w:rsidRPr="00BC6081">
        <w:rPr>
          <w:rFonts w:cs="Arial"/>
        </w:rPr>
        <w:t>The role of the Working Group is to facilitate concerted efforts, actions and procedures to prevent poisoning of migratory birds. Its geographical scope is global. The Working Group will cover all migratory bird taxa as identified by CMS and its relevant associated instruments.</w:t>
      </w:r>
    </w:p>
    <w:p w:rsidR="00642B8E" w:rsidRPr="00BC6081" w:rsidRDefault="00642B8E" w:rsidP="00642B8E">
      <w:pPr>
        <w:spacing w:after="0"/>
        <w:jc w:val="both"/>
        <w:rPr>
          <w:rFonts w:cs="Arial"/>
        </w:rPr>
      </w:pPr>
    </w:p>
    <w:p w:rsidR="00642B8E" w:rsidRPr="00BC6081" w:rsidRDefault="00642B8E" w:rsidP="00642B8E">
      <w:pPr>
        <w:spacing w:after="0"/>
        <w:jc w:val="both"/>
        <w:rPr>
          <w:rFonts w:cs="Arial"/>
        </w:rPr>
      </w:pPr>
      <w:r w:rsidRPr="00BC6081">
        <w:rPr>
          <w:rFonts w:cs="Arial"/>
          <w:bCs/>
        </w:rPr>
        <w:t xml:space="preserve">The Working Group, resources permitting, must report </w:t>
      </w:r>
      <w:proofErr w:type="gramStart"/>
      <w:r w:rsidRPr="00BC6081">
        <w:rPr>
          <w:rFonts w:cs="Arial"/>
          <w:bCs/>
        </w:rPr>
        <w:t>taking into account</w:t>
      </w:r>
      <w:proofErr w:type="gramEnd"/>
      <w:r w:rsidRPr="00BC6081">
        <w:rPr>
          <w:rFonts w:cs="Arial"/>
          <w:bCs/>
        </w:rPr>
        <w:t xml:space="preserve"> the regional aspects.</w:t>
      </w:r>
    </w:p>
    <w:p w:rsidR="00642B8E" w:rsidRPr="00BC6081" w:rsidRDefault="00642B8E" w:rsidP="00642B8E">
      <w:pPr>
        <w:spacing w:after="0"/>
        <w:jc w:val="both"/>
        <w:rPr>
          <w:rFonts w:cs="Arial"/>
        </w:rPr>
      </w:pPr>
    </w:p>
    <w:p w:rsidR="00642B8E" w:rsidRPr="00BC6081" w:rsidRDefault="00642B8E" w:rsidP="00642B8E">
      <w:pPr>
        <w:spacing w:after="0"/>
        <w:jc w:val="both"/>
        <w:rPr>
          <w:rFonts w:cs="Arial"/>
          <w:b/>
          <w:bCs/>
        </w:rPr>
      </w:pPr>
      <w:r w:rsidRPr="00BC6081">
        <w:rPr>
          <w:rFonts w:cs="Arial"/>
          <w:b/>
          <w:bCs/>
        </w:rPr>
        <w:t>3. Remit</w:t>
      </w:r>
    </w:p>
    <w:p w:rsidR="00642B8E" w:rsidRPr="00BC6081" w:rsidRDefault="00642B8E" w:rsidP="00642B8E">
      <w:pPr>
        <w:spacing w:after="0"/>
        <w:jc w:val="both"/>
        <w:rPr>
          <w:rFonts w:cs="Arial"/>
        </w:rPr>
      </w:pPr>
      <w:r w:rsidRPr="00BC6081">
        <w:rPr>
          <w:rFonts w:cs="Arial"/>
        </w:rPr>
        <w:t>The Working Group will:</w:t>
      </w:r>
    </w:p>
    <w:p w:rsidR="00642B8E" w:rsidRPr="00BC6081" w:rsidRDefault="00642B8E" w:rsidP="00642B8E">
      <w:pPr>
        <w:spacing w:after="0"/>
        <w:jc w:val="both"/>
        <w:rPr>
          <w:rFonts w:cs="Arial"/>
        </w:rPr>
      </w:pPr>
    </w:p>
    <w:p w:rsidR="00642B8E" w:rsidRPr="00BC6081" w:rsidRDefault="00642B8E" w:rsidP="00642B8E">
      <w:pPr>
        <w:spacing w:after="0"/>
        <w:jc w:val="both"/>
        <w:rPr>
          <w:rFonts w:cs="Arial"/>
          <w:b/>
        </w:rPr>
      </w:pPr>
      <w:bookmarkStart w:id="6" w:name="_Hlk21078329"/>
      <w:r w:rsidRPr="00BC6081">
        <w:rPr>
          <w:rFonts w:cs="Arial"/>
          <w:b/>
        </w:rPr>
        <w:t>Support implementation of the Preventing Poisoning Guidelines</w:t>
      </w:r>
      <w:bookmarkEnd w:id="6"/>
    </w:p>
    <w:p w:rsidR="00642B8E" w:rsidRPr="00BC6081" w:rsidRDefault="00642B8E" w:rsidP="00642B8E">
      <w:pPr>
        <w:spacing w:after="0" w:line="240" w:lineRule="auto"/>
        <w:jc w:val="both"/>
        <w:rPr>
          <w:rFonts w:cs="Arial"/>
          <w:b/>
        </w:rPr>
      </w:pPr>
    </w:p>
    <w:p w:rsidR="00642B8E" w:rsidRPr="00BC6081" w:rsidRDefault="00642B8E" w:rsidP="00642B8E">
      <w:pPr>
        <w:numPr>
          <w:ilvl w:val="0"/>
          <w:numId w:val="11"/>
        </w:numPr>
        <w:suppressAutoHyphens/>
        <w:autoSpaceDN w:val="0"/>
        <w:spacing w:after="0" w:line="240" w:lineRule="auto"/>
        <w:jc w:val="both"/>
        <w:textAlignment w:val="baseline"/>
        <w:rPr>
          <w:rFonts w:cs="Arial"/>
        </w:rPr>
      </w:pPr>
      <w:r>
        <w:rPr>
          <w:rFonts w:cs="Arial"/>
        </w:rPr>
        <w:t>f</w:t>
      </w:r>
      <w:r w:rsidRPr="00BC6081">
        <w:rPr>
          <w:rFonts w:cs="Arial"/>
        </w:rPr>
        <w:t>acilitate implementation of the Preventing Poisoning Guidelines and other relevant Resolutions adopted by COP11 as well as other relevant frameworks for action;</w:t>
      </w:r>
    </w:p>
    <w:p w:rsidR="00642B8E" w:rsidRPr="00BC6081" w:rsidRDefault="00642B8E" w:rsidP="00642B8E">
      <w:pPr>
        <w:spacing w:after="0" w:line="240" w:lineRule="auto"/>
        <w:jc w:val="both"/>
        <w:rPr>
          <w:rFonts w:cs="Arial"/>
        </w:rPr>
      </w:pPr>
    </w:p>
    <w:p w:rsidR="00642B8E" w:rsidRPr="00BC6081" w:rsidRDefault="00642B8E" w:rsidP="00642B8E">
      <w:pPr>
        <w:numPr>
          <w:ilvl w:val="0"/>
          <w:numId w:val="11"/>
        </w:numPr>
        <w:suppressAutoHyphens/>
        <w:autoSpaceDN w:val="0"/>
        <w:spacing w:after="0" w:line="240" w:lineRule="auto"/>
        <w:jc w:val="both"/>
        <w:textAlignment w:val="baseline"/>
        <w:rPr>
          <w:rFonts w:cs="Arial"/>
        </w:rPr>
      </w:pPr>
      <w:r>
        <w:rPr>
          <w:rFonts w:cs="Arial"/>
        </w:rPr>
        <w:t>s</w:t>
      </w:r>
      <w:r w:rsidRPr="00BC6081">
        <w:rPr>
          <w:rFonts w:cs="Arial"/>
        </w:rPr>
        <w:t>et and implement priorities for its work;</w:t>
      </w:r>
    </w:p>
    <w:p w:rsidR="00642B8E" w:rsidRPr="00BC6081" w:rsidRDefault="00642B8E" w:rsidP="00642B8E">
      <w:pPr>
        <w:spacing w:after="0" w:line="240" w:lineRule="auto"/>
        <w:jc w:val="both"/>
        <w:rPr>
          <w:rFonts w:cs="Arial"/>
        </w:rPr>
      </w:pPr>
    </w:p>
    <w:p w:rsidR="00642B8E" w:rsidRPr="00BC6081" w:rsidRDefault="00642B8E" w:rsidP="00642B8E">
      <w:pPr>
        <w:numPr>
          <w:ilvl w:val="0"/>
          <w:numId w:val="11"/>
        </w:numPr>
        <w:suppressAutoHyphens/>
        <w:autoSpaceDN w:val="0"/>
        <w:spacing w:after="0" w:line="240" w:lineRule="auto"/>
        <w:jc w:val="both"/>
        <w:textAlignment w:val="baseline"/>
        <w:rPr>
          <w:rFonts w:cs="Arial"/>
        </w:rPr>
      </w:pPr>
      <w:r>
        <w:rPr>
          <w:rFonts w:cs="Arial"/>
        </w:rPr>
        <w:t>k</w:t>
      </w:r>
      <w:r w:rsidRPr="00BC6081">
        <w:rPr>
          <w:rFonts w:cs="Arial"/>
        </w:rPr>
        <w:t>eep the Guidelines actively under review in the light of developing research findings and other relevant information and report relevant developments to the Scientific Council;</w:t>
      </w:r>
    </w:p>
    <w:p w:rsidR="00642B8E" w:rsidRPr="00BC6081" w:rsidRDefault="00642B8E" w:rsidP="00642B8E">
      <w:pPr>
        <w:spacing w:after="0" w:line="240" w:lineRule="auto"/>
        <w:jc w:val="both"/>
        <w:rPr>
          <w:rFonts w:cs="Arial"/>
        </w:rPr>
      </w:pPr>
    </w:p>
    <w:p w:rsidR="00642B8E" w:rsidRPr="00642B8E" w:rsidRDefault="00642B8E" w:rsidP="00642B8E">
      <w:pPr>
        <w:numPr>
          <w:ilvl w:val="0"/>
          <w:numId w:val="11"/>
        </w:numPr>
        <w:suppressAutoHyphens/>
        <w:autoSpaceDN w:val="0"/>
        <w:spacing w:after="0" w:line="240" w:lineRule="auto"/>
        <w:jc w:val="both"/>
        <w:textAlignment w:val="baseline"/>
        <w:rPr>
          <w:rFonts w:cs="Arial"/>
        </w:rPr>
      </w:pPr>
      <w:r>
        <w:rPr>
          <w:rFonts w:cs="Arial"/>
        </w:rPr>
        <w:t>a</w:t>
      </w:r>
      <w:r w:rsidRPr="00BC6081">
        <w:rPr>
          <w:rFonts w:cs="Arial"/>
        </w:rPr>
        <w:t xml:space="preserve">ssist in resource mobilization for priority </w:t>
      </w:r>
      <w:r w:rsidRPr="00642B8E">
        <w:rPr>
          <w:rFonts w:cs="Arial"/>
        </w:rPr>
        <w:t>actions</w:t>
      </w:r>
      <w:r w:rsidRPr="00642B8E">
        <w:rPr>
          <w:rFonts w:cs="Arial"/>
          <w:u w:val="single"/>
        </w:rPr>
        <w:t xml:space="preserve">, in collaboration and through the creation of synergies with other initiatives such as the Intergovernmental Task Force on Illegal Killing, Taking and Trade of Migratory Birds in the Mediterranean, the Vulture Working Group, and the </w:t>
      </w:r>
      <w:proofErr w:type="spellStart"/>
      <w:r w:rsidRPr="00642B8E">
        <w:rPr>
          <w:rFonts w:cs="Arial"/>
          <w:u w:val="single"/>
        </w:rPr>
        <w:t>Landbirds</w:t>
      </w:r>
      <w:proofErr w:type="spellEnd"/>
      <w:r w:rsidRPr="00642B8E">
        <w:rPr>
          <w:rFonts w:cs="Arial"/>
          <w:u w:val="single"/>
        </w:rPr>
        <w:t xml:space="preserve"> Working Group</w:t>
      </w:r>
      <w:r w:rsidRPr="00642B8E">
        <w:rPr>
          <w:rFonts w:cs="Arial"/>
        </w:rPr>
        <w:t>;</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a</w:t>
      </w:r>
      <w:r w:rsidRPr="00596DA1">
        <w:rPr>
          <w:rFonts w:cs="Arial"/>
        </w:rPr>
        <w:t>ctively seek engagement from and with relevant agrochemical, veterinary pharmaceutical industries, and companies manufacturing lead ammunition or fishing weights;</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r</w:t>
      </w:r>
      <w:r w:rsidRPr="00596DA1">
        <w:rPr>
          <w:rFonts w:cs="Arial"/>
        </w:rPr>
        <w:t>eview, take account of, and communicate best practice when poisons are used as management tools in the protection of migratory birds and other biodiversity;</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e</w:t>
      </w:r>
      <w:r w:rsidRPr="00596DA1">
        <w:rPr>
          <w:rFonts w:cs="Arial"/>
        </w:rPr>
        <w:t>ncourage the translation and dissemination of the Guidelines widely within relevant networks, as well as to end-users and others;</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m</w:t>
      </w:r>
      <w:r w:rsidRPr="00596DA1">
        <w:rPr>
          <w:rFonts w:cs="Arial"/>
        </w:rPr>
        <w:t>onitor the implementation of the relevant decisions and plans and their effectiveness and submit progress reports to the governing bodies of the participating MEAs;</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s</w:t>
      </w:r>
      <w:r w:rsidRPr="00596DA1">
        <w:rPr>
          <w:rFonts w:cs="Arial"/>
        </w:rPr>
        <w:t>timulate internal and external communication and exchange of information, experience, best practice and know-how;</w:t>
      </w:r>
    </w:p>
    <w:p w:rsidR="00642B8E" w:rsidRPr="00596DA1" w:rsidRDefault="00642B8E" w:rsidP="00642B8E">
      <w:pPr>
        <w:spacing w:after="0"/>
        <w:jc w:val="both"/>
        <w:rPr>
          <w:rFonts w:cs="Arial"/>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lastRenderedPageBreak/>
        <w:t>s</w:t>
      </w:r>
      <w:r w:rsidRPr="00596DA1">
        <w:rPr>
          <w:rFonts w:cs="Arial"/>
        </w:rPr>
        <w:t>trengthen relevant regional and international networks; and</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b/>
        </w:rPr>
      </w:pPr>
      <w:r w:rsidRPr="00596DA1">
        <w:rPr>
          <w:rFonts w:cs="Arial"/>
          <w:b/>
        </w:rPr>
        <w:t>Assess other causes of migratory bird poisoning</w:t>
      </w:r>
    </w:p>
    <w:p w:rsidR="00642B8E" w:rsidRPr="00596DA1" w:rsidRDefault="00642B8E" w:rsidP="00642B8E">
      <w:pPr>
        <w:spacing w:after="0"/>
        <w:jc w:val="both"/>
        <w:rPr>
          <w:rFonts w:cs="Arial"/>
          <w:b/>
        </w:rPr>
      </w:pPr>
    </w:p>
    <w:p w:rsidR="00642B8E" w:rsidRPr="00596DA1" w:rsidRDefault="00642B8E" w:rsidP="00642B8E">
      <w:pPr>
        <w:numPr>
          <w:ilvl w:val="0"/>
          <w:numId w:val="11"/>
        </w:numPr>
        <w:suppressAutoHyphens/>
        <w:autoSpaceDN w:val="0"/>
        <w:spacing w:after="0" w:line="240" w:lineRule="auto"/>
        <w:jc w:val="both"/>
        <w:textAlignment w:val="baseline"/>
        <w:rPr>
          <w:rFonts w:cs="Arial"/>
        </w:rPr>
      </w:pPr>
      <w:r>
        <w:rPr>
          <w:rFonts w:cs="Arial"/>
        </w:rPr>
        <w:t>r</w:t>
      </w:r>
      <w:r w:rsidRPr="00596DA1">
        <w:rPr>
          <w:rFonts w:cs="Arial"/>
        </w:rPr>
        <w:t>esources permitting, consider the need for additional guidance for preventing impacts on migratory birds from other types of poison (for example pheromone-type substances) and geographic gaps, and how these might be developed.</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For effective working, the Working Group will establish task groups addressing either thematic issues (e.g., for different poison types) and/or geographical regions to progress its work.</w:t>
      </w:r>
    </w:p>
    <w:p w:rsidR="00642B8E" w:rsidRPr="00596DA1" w:rsidRDefault="00642B8E" w:rsidP="00642B8E">
      <w:pPr>
        <w:spacing w:after="0"/>
        <w:jc w:val="both"/>
        <w:rPr>
          <w:rFonts w:cs="Arial"/>
        </w:rPr>
      </w:pPr>
    </w:p>
    <w:p w:rsidR="00642B8E" w:rsidRDefault="00642B8E" w:rsidP="00642B8E">
      <w:pPr>
        <w:spacing w:after="0"/>
        <w:jc w:val="both"/>
        <w:rPr>
          <w:rFonts w:cs="Arial"/>
          <w:b/>
          <w:bCs/>
        </w:rPr>
      </w:pPr>
      <w:r w:rsidRPr="00596DA1">
        <w:rPr>
          <w:rFonts w:cs="Arial"/>
          <w:b/>
          <w:bCs/>
        </w:rPr>
        <w:t>4. Membership</w:t>
      </w:r>
    </w:p>
    <w:p w:rsidR="00642B8E" w:rsidRPr="00596DA1" w:rsidRDefault="00642B8E" w:rsidP="00642B8E">
      <w:pPr>
        <w:spacing w:after="0"/>
        <w:jc w:val="both"/>
        <w:rPr>
          <w:rFonts w:cs="Arial"/>
        </w:rPr>
      </w:pPr>
      <w:r w:rsidRPr="00596DA1">
        <w:rPr>
          <w:rFonts w:cs="Arial"/>
        </w:rPr>
        <w:t xml:space="preserve">The membership of the Working Group will comprise the Secretariats of the participating MEAs, as well as academic institutions, </w:t>
      </w:r>
      <w:r>
        <w:rPr>
          <w:rFonts w:cs="Arial"/>
        </w:rPr>
        <w:t xml:space="preserve">non-governmental organizations </w:t>
      </w:r>
      <w:r w:rsidRPr="00596DA1">
        <w:rPr>
          <w:rFonts w:cs="Arial"/>
        </w:rPr>
        <w:t>and other stakeholders, as appropriate.</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The following representatives will also be invited to contribute to the Working Group:</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Representatives of CMS Parties;</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 xml:space="preserve">Representatives of the CMS Scientific Council, </w:t>
      </w:r>
      <w:r w:rsidRPr="00C605C9">
        <w:rPr>
          <w:rFonts w:cs="Arial"/>
          <w:u w:val="single"/>
        </w:rPr>
        <w:t>the</w:t>
      </w:r>
      <w:r>
        <w:rPr>
          <w:rFonts w:cs="Arial"/>
        </w:rPr>
        <w:t xml:space="preserve"> </w:t>
      </w:r>
      <w:r w:rsidRPr="00596DA1">
        <w:rPr>
          <w:rFonts w:cs="Arial"/>
        </w:rPr>
        <w:t>Technical Committee</w:t>
      </w:r>
      <w:r>
        <w:rPr>
          <w:rFonts w:cs="Arial"/>
        </w:rPr>
        <w:t xml:space="preserve"> </w:t>
      </w:r>
      <w:r w:rsidRPr="00642B8E">
        <w:rPr>
          <w:rFonts w:cs="Arial"/>
          <w:u w:val="single"/>
        </w:rPr>
        <w:t xml:space="preserve">of the </w:t>
      </w:r>
      <w:r w:rsidRPr="00642B8E">
        <w:rPr>
          <w:rFonts w:eastAsia="Times New Roman" w:cs="Arial"/>
          <w:u w:val="single"/>
        </w:rPr>
        <w:t xml:space="preserve">Agreement on the Conservation of African-Eurasian Migratory </w:t>
      </w:r>
      <w:proofErr w:type="spellStart"/>
      <w:r w:rsidRPr="00642B8E">
        <w:rPr>
          <w:rFonts w:eastAsia="Times New Roman" w:cs="Arial"/>
          <w:u w:val="single"/>
        </w:rPr>
        <w:t>Waterbirds</w:t>
      </w:r>
      <w:proofErr w:type="spellEnd"/>
      <w:r w:rsidRPr="00642B8E">
        <w:rPr>
          <w:rFonts w:eastAsia="Times New Roman" w:cs="Arial"/>
          <w:u w:val="single"/>
        </w:rPr>
        <w:t xml:space="preserve"> (AEWA)</w:t>
      </w:r>
      <w:r w:rsidRPr="00642B8E">
        <w:rPr>
          <w:rFonts w:cs="Arial"/>
        </w:rPr>
        <w:t xml:space="preserve">, </w:t>
      </w:r>
      <w:r w:rsidRPr="00642B8E">
        <w:rPr>
          <w:rFonts w:cs="Arial"/>
          <w:u w:val="single"/>
        </w:rPr>
        <w:t>Technical Advisory Group of the Memorandum of Understanding on the Conservation of Migratory Birds of Prey in Africa and Eurasia (Raptor MOU)</w:t>
      </w:r>
      <w:r w:rsidRPr="00642B8E">
        <w:rPr>
          <w:rFonts w:cs="Arial"/>
        </w:rPr>
        <w:t>, Bern Convention Expert Group on Birds</w:t>
      </w:r>
      <w:r w:rsidRPr="00596DA1">
        <w:rPr>
          <w:rFonts w:cs="Arial"/>
        </w:rPr>
        <w:t>;</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 xml:space="preserve">Representatives of the CMS Mediterranean Illegal Killing, Taking and Trade Task Force, African-Eurasian Migratory </w:t>
      </w:r>
      <w:proofErr w:type="spellStart"/>
      <w:r w:rsidRPr="00596DA1">
        <w:rPr>
          <w:rFonts w:cs="Arial"/>
        </w:rPr>
        <w:t>Landbird</w:t>
      </w:r>
      <w:proofErr w:type="spellEnd"/>
      <w:r w:rsidRPr="00596DA1">
        <w:rPr>
          <w:rFonts w:cs="Arial"/>
        </w:rPr>
        <w:t xml:space="preserve"> Working Group and Flyways Working Group; and</w:t>
      </w:r>
    </w:p>
    <w:p w:rsidR="00642B8E" w:rsidRPr="00596DA1" w:rsidRDefault="00642B8E" w:rsidP="00642B8E">
      <w:pPr>
        <w:spacing w:after="0" w:line="240" w:lineRule="auto"/>
        <w:jc w:val="both"/>
        <w:rPr>
          <w:rFonts w:cs="Arial"/>
        </w:rPr>
      </w:pP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Independent experts on an ad hoc basis as necessary and appropriate.</w:t>
      </w:r>
    </w:p>
    <w:p w:rsidR="00642B8E" w:rsidRPr="00596DA1" w:rsidRDefault="00642B8E" w:rsidP="00642B8E">
      <w:pPr>
        <w:spacing w:after="0" w:line="240" w:lineRule="auto"/>
        <w:jc w:val="both"/>
        <w:rPr>
          <w:rFonts w:cs="Arial"/>
        </w:rPr>
      </w:pPr>
    </w:p>
    <w:p w:rsidR="00642B8E" w:rsidRPr="00596DA1" w:rsidRDefault="00642B8E" w:rsidP="00642B8E">
      <w:pPr>
        <w:spacing w:after="0"/>
        <w:jc w:val="both"/>
        <w:rPr>
          <w:rFonts w:cs="Arial"/>
        </w:rPr>
      </w:pPr>
      <w:r w:rsidRPr="00596DA1">
        <w:rPr>
          <w:rFonts w:cs="Arial"/>
        </w:rPr>
        <w:t>The Lead Task Group will invite:</w:t>
      </w:r>
    </w:p>
    <w:p w:rsidR="00642B8E" w:rsidRPr="00596DA1" w:rsidRDefault="00642B8E" w:rsidP="00642B8E">
      <w:pPr>
        <w:spacing w:after="0"/>
        <w:jc w:val="both"/>
        <w:rPr>
          <w:rFonts w:cs="Arial"/>
        </w:rPr>
      </w:pP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communications expert</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An expert on soil remediation of polluted environments</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 xml:space="preserve">An international hunting body representative </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An ammunition trade manufacturing stakeholder</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firearms trade/manufacturing stakeholder</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technical shooting/ballistic expert</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member of the CMS Scientific Council</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member of the AEWA Technical Committee</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member of the Raptor MOU Technical Advisory Group</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representative of the United Nations Environment Programme</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representative of the IUCN</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representative of an international NGO</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 xml:space="preserve">A lead poisoning scientist/technical expert </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wildlife management stakeholder</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An international angling body representative</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A representative of the Intergovernmental Task Force to Address Illegal Hunting, Taking and Trade of Migratory Birds in the East Asian-Australasian Flyway (ITTEA)</w:t>
      </w:r>
    </w:p>
    <w:p w:rsidR="00642B8E" w:rsidRPr="00596DA1" w:rsidRDefault="00642B8E" w:rsidP="00642B8E">
      <w:pPr>
        <w:numPr>
          <w:ilvl w:val="0"/>
          <w:numId w:val="12"/>
        </w:numPr>
        <w:suppressAutoHyphens/>
        <w:autoSpaceDN w:val="0"/>
        <w:spacing w:after="0" w:line="240" w:lineRule="auto"/>
        <w:jc w:val="both"/>
        <w:textAlignment w:val="baseline"/>
        <w:rPr>
          <w:rFonts w:cs="Arial"/>
        </w:rPr>
      </w:pPr>
      <w:r w:rsidRPr="00596DA1">
        <w:rPr>
          <w:rFonts w:cs="Arial"/>
        </w:rPr>
        <w:t xml:space="preserve">Up to three invited experts on an ad hoc basis, as necessary and appropriate – noting that additional observers/experts could be asked to contribute to </w:t>
      </w:r>
      <w:proofErr w:type="gramStart"/>
      <w:r w:rsidRPr="00596DA1">
        <w:rPr>
          <w:rFonts w:cs="Arial"/>
        </w:rPr>
        <w:t>particular meetings</w:t>
      </w:r>
      <w:proofErr w:type="gramEnd"/>
      <w:r w:rsidRPr="00596DA1">
        <w:rPr>
          <w:rFonts w:cs="Arial"/>
        </w:rPr>
        <w:t xml:space="preserve"> or pieces of work as non-permanent members.</w:t>
      </w:r>
    </w:p>
    <w:p w:rsidR="00642B8E" w:rsidRPr="00596DA1" w:rsidRDefault="00642B8E" w:rsidP="00642B8E">
      <w:pPr>
        <w:spacing w:after="0"/>
        <w:jc w:val="both"/>
        <w:rPr>
          <w:rFonts w:cs="Arial"/>
          <w:i/>
          <w:iCs/>
        </w:rPr>
      </w:pPr>
    </w:p>
    <w:p w:rsidR="00642B8E" w:rsidRDefault="00642B8E">
      <w:pPr>
        <w:rPr>
          <w:rFonts w:cs="Arial"/>
          <w:b/>
          <w:bCs/>
        </w:rPr>
      </w:pPr>
      <w:r>
        <w:rPr>
          <w:rFonts w:cs="Arial"/>
          <w:b/>
          <w:bCs/>
        </w:rPr>
        <w:br w:type="page"/>
      </w:r>
    </w:p>
    <w:p w:rsidR="00642B8E" w:rsidRPr="00596DA1" w:rsidRDefault="00642B8E" w:rsidP="00642B8E">
      <w:pPr>
        <w:spacing w:after="0"/>
        <w:jc w:val="both"/>
        <w:rPr>
          <w:rFonts w:cs="Arial"/>
        </w:rPr>
      </w:pPr>
      <w:r w:rsidRPr="00596DA1">
        <w:rPr>
          <w:rFonts w:cs="Arial"/>
          <w:b/>
          <w:bCs/>
        </w:rPr>
        <w:lastRenderedPageBreak/>
        <w:t>5. Governance</w:t>
      </w:r>
    </w:p>
    <w:p w:rsidR="00642B8E" w:rsidRPr="00596DA1" w:rsidRDefault="00642B8E" w:rsidP="00642B8E">
      <w:pPr>
        <w:spacing w:after="0"/>
        <w:jc w:val="both"/>
        <w:rPr>
          <w:rFonts w:cs="Arial"/>
        </w:rPr>
      </w:pPr>
      <w:r w:rsidRPr="00596DA1">
        <w:rPr>
          <w:rFonts w:cs="Arial"/>
        </w:rPr>
        <w:t>The Working Group will elect a Chair and a Vice-Chair from amongst its members and will operate by seeking consensus among the Group. The Working Group will report to the Scientific Council on its actions, membership and other related issues.</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b/>
          <w:bCs/>
        </w:rPr>
        <w:t>6. Operation</w:t>
      </w:r>
    </w:p>
    <w:p w:rsidR="00642B8E" w:rsidRPr="00596DA1" w:rsidRDefault="00642B8E" w:rsidP="00642B8E">
      <w:pPr>
        <w:spacing w:after="0"/>
        <w:jc w:val="both"/>
        <w:rPr>
          <w:rFonts w:cs="Arial"/>
        </w:rPr>
      </w:pPr>
      <w:r w:rsidRPr="00596DA1">
        <w:rPr>
          <w:rFonts w:cs="Arial"/>
        </w:rPr>
        <w:t>Funding permitting, a coordinator will be appointed with the following functions:</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 xml:space="preserve">- </w:t>
      </w:r>
      <w:r w:rsidRPr="00596DA1">
        <w:rPr>
          <w:rFonts w:cs="Arial"/>
        </w:rPr>
        <w:tab/>
        <w:t>organizing the meetings of the Working Group and prepare the background documents;</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 xml:space="preserve">- </w:t>
      </w:r>
      <w:r w:rsidRPr="00596DA1">
        <w:rPr>
          <w:rFonts w:cs="Arial"/>
        </w:rPr>
        <w:tab/>
        <w:t>maintaining and moderating the Working Group’s communications;</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 xml:space="preserve">- </w:t>
      </w:r>
      <w:r w:rsidRPr="00596DA1">
        <w:rPr>
          <w:rFonts w:cs="Arial"/>
        </w:rPr>
        <w:tab/>
        <w:t>facilitating fundraising and resource mobilization; and</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 xml:space="preserve">- </w:t>
      </w:r>
      <w:r w:rsidRPr="00596DA1">
        <w:rPr>
          <w:rFonts w:cs="Arial"/>
        </w:rPr>
        <w:tab/>
        <w:t>facilitating engagement with stakeholders within and beyond the Working Group.</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Meetings of the Working Group will be convened at appropriate intervals, as considered necessary and funding permitting. Between meetings, business will be conducted electronically which will provide the primary mode of communication.</w:t>
      </w:r>
    </w:p>
    <w:p w:rsidR="00642B8E" w:rsidRPr="00596DA1" w:rsidRDefault="00642B8E" w:rsidP="00642B8E">
      <w:pPr>
        <w:spacing w:after="0"/>
        <w:jc w:val="both"/>
        <w:rPr>
          <w:rFonts w:cs="Arial"/>
        </w:rPr>
      </w:pPr>
    </w:p>
    <w:p w:rsidR="00642B8E" w:rsidRPr="00596DA1" w:rsidRDefault="00642B8E" w:rsidP="00642B8E">
      <w:pPr>
        <w:spacing w:after="0"/>
        <w:jc w:val="both"/>
        <w:rPr>
          <w:rFonts w:cs="Arial"/>
        </w:rPr>
      </w:pPr>
      <w:r w:rsidRPr="00596DA1">
        <w:rPr>
          <w:rFonts w:cs="Arial"/>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p>
    <w:p w:rsidR="00642B8E" w:rsidRPr="00596DA1" w:rsidRDefault="00642B8E" w:rsidP="00642B8E">
      <w:pPr>
        <w:spacing w:after="0"/>
        <w:jc w:val="both"/>
        <w:rPr>
          <w:rFonts w:cs="Arial"/>
          <w:i/>
          <w:iCs/>
        </w:rPr>
      </w:pPr>
    </w:p>
    <w:p w:rsidR="00642B8E" w:rsidRPr="00596DA1" w:rsidRDefault="00642B8E" w:rsidP="00642B8E">
      <w:pPr>
        <w:spacing w:after="0"/>
        <w:jc w:val="both"/>
        <w:rPr>
          <w:rFonts w:cs="Arial"/>
          <w:b/>
        </w:rPr>
      </w:pPr>
      <w:r w:rsidRPr="00596DA1">
        <w:rPr>
          <w:rFonts w:cs="Arial"/>
          <w:b/>
        </w:rPr>
        <w:t>7. Lead Task Group</w:t>
      </w:r>
    </w:p>
    <w:p w:rsidR="00642B8E" w:rsidRPr="00596DA1" w:rsidRDefault="00642B8E" w:rsidP="00642B8E">
      <w:pPr>
        <w:spacing w:after="0"/>
        <w:jc w:val="both"/>
        <w:rPr>
          <w:rFonts w:cs="Arial"/>
          <w:iCs/>
        </w:rPr>
      </w:pPr>
      <w:r w:rsidRPr="00596DA1">
        <w:rPr>
          <w:rFonts w:cs="Arial"/>
          <w:iCs/>
        </w:rPr>
        <w:t xml:space="preserve">The role of the Lead Task Group is to facilitate concerted efforts, knowledge and information sharing, including communication, education and public awareness raising to minimize poisoning of migratory birds from anthropogenic environmental sources of lead prioritizing ammunition and fishing weights </w:t>
      </w:r>
      <w:proofErr w:type="gramStart"/>
      <w:r w:rsidRPr="00596DA1">
        <w:rPr>
          <w:rFonts w:cs="Arial"/>
          <w:iCs/>
        </w:rPr>
        <w:t>and also</w:t>
      </w:r>
      <w:proofErr w:type="gramEnd"/>
      <w:r w:rsidRPr="00596DA1">
        <w:rPr>
          <w:rFonts w:cs="Arial"/>
          <w:iCs/>
        </w:rPr>
        <w:t xml:space="preserve"> those identified in the Guidelines: leaded paint, discarded lead and that from industrial mining and smelting processes. It will:</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 xml:space="preserve">Facilitate understanding and offer technical advice and support to Contracting Parties on the Guidelines as they relate to lead poisoning as well as provision of information on other relevant frameworks for action; </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Keep the Guidelines, as they relate to lead actively under review in the light of developing research findings and other relevant information and report to the Preventing Poisoning Working Group.</w:t>
      </w:r>
    </w:p>
    <w:p w:rsidR="00642B8E" w:rsidRPr="00596DA1" w:rsidRDefault="00642B8E" w:rsidP="00642B8E">
      <w:pPr>
        <w:spacing w:after="0"/>
        <w:jc w:val="both"/>
        <w:rPr>
          <w:rFonts w:cs="Arial"/>
          <w:iCs/>
        </w:rPr>
      </w:pPr>
      <w:r w:rsidRPr="00596DA1">
        <w:rPr>
          <w:rFonts w:cs="Arial"/>
          <w:iCs/>
        </w:rPr>
        <w:t xml:space="preserve"> </w:t>
      </w: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Assist in resource mobilization for priority work;</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Actively seek engagement from and with relevant industries, organizations and companies manufacturing lead ammunition or fishing weights;</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 xml:space="preserve">Encourage the dissemination of the Guidelines, and other relevant resources as they relate to lead, widely within relevant networks, as well as to end-users and others; </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Stimulate internal and external communication and exchange of information, alternatives, experience, best practice and know-how; and</w:t>
      </w:r>
    </w:p>
    <w:p w:rsidR="00642B8E" w:rsidRPr="00596DA1" w:rsidRDefault="00642B8E" w:rsidP="00642B8E">
      <w:pPr>
        <w:spacing w:after="0"/>
        <w:jc w:val="both"/>
        <w:rPr>
          <w:rFonts w:cs="Arial"/>
          <w:iCs/>
        </w:rPr>
      </w:pPr>
    </w:p>
    <w:p w:rsidR="00642B8E" w:rsidRPr="00596DA1" w:rsidRDefault="00642B8E" w:rsidP="00642B8E">
      <w:pPr>
        <w:numPr>
          <w:ilvl w:val="0"/>
          <w:numId w:val="13"/>
        </w:numPr>
        <w:suppressAutoHyphens/>
        <w:autoSpaceDN w:val="0"/>
        <w:spacing w:after="0" w:line="240" w:lineRule="auto"/>
        <w:jc w:val="both"/>
        <w:textAlignment w:val="baseline"/>
        <w:rPr>
          <w:rFonts w:cs="Arial"/>
          <w:iCs/>
        </w:rPr>
      </w:pPr>
      <w:r w:rsidRPr="00596DA1">
        <w:rPr>
          <w:rFonts w:cs="Arial"/>
          <w:iCs/>
        </w:rPr>
        <w:t xml:space="preserve">Strengthen relevant regional and international networks.  </w:t>
      </w:r>
    </w:p>
    <w:p w:rsidR="00642B8E" w:rsidRPr="00596DA1" w:rsidRDefault="00642B8E" w:rsidP="00642B8E">
      <w:pPr>
        <w:spacing w:after="0"/>
        <w:jc w:val="both"/>
        <w:rPr>
          <w:rFonts w:cs="Arial"/>
          <w:iCs/>
        </w:rPr>
      </w:pPr>
    </w:p>
    <w:p w:rsidR="00642B8E" w:rsidRPr="00596DA1" w:rsidRDefault="00642B8E" w:rsidP="00642B8E">
      <w:pPr>
        <w:spacing w:after="0"/>
        <w:jc w:val="both"/>
        <w:rPr>
          <w:rFonts w:cs="Arial"/>
          <w:iCs/>
        </w:rPr>
        <w:sectPr w:rsidR="00642B8E" w:rsidRPr="00596DA1" w:rsidSect="00642B8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5" w:h="16837" w:code="9"/>
          <w:pgMar w:top="1134" w:right="1134" w:bottom="1134" w:left="1134" w:header="432" w:footer="432" w:gutter="0"/>
          <w:pgNumType w:start="6"/>
          <w:cols w:space="720"/>
          <w:noEndnote/>
          <w:docGrid w:linePitch="272"/>
        </w:sectPr>
      </w:pPr>
    </w:p>
    <w:p w:rsidR="00642B8E" w:rsidRPr="00596DA1" w:rsidRDefault="00642B8E" w:rsidP="00642B8E">
      <w:pPr>
        <w:spacing w:after="0"/>
        <w:jc w:val="both"/>
        <w:rPr>
          <w:rFonts w:cs="Arial"/>
          <w:b/>
          <w:i/>
          <w:iCs/>
        </w:rPr>
      </w:pPr>
      <w:r w:rsidRPr="00596DA1">
        <w:rPr>
          <w:rFonts w:cs="Arial"/>
          <w:b/>
          <w:iCs/>
        </w:rPr>
        <w:lastRenderedPageBreak/>
        <w:t xml:space="preserve">Appendix 1  </w:t>
      </w:r>
    </w:p>
    <w:p w:rsidR="00642B8E" w:rsidRPr="00596DA1" w:rsidRDefault="00642B8E" w:rsidP="00642B8E">
      <w:pPr>
        <w:spacing w:after="0"/>
        <w:jc w:val="both"/>
        <w:rPr>
          <w:rFonts w:cs="Arial"/>
          <w:b/>
          <w:iCs/>
        </w:rPr>
      </w:pPr>
    </w:p>
    <w:p w:rsidR="00642B8E" w:rsidRPr="00596DA1" w:rsidRDefault="00642B8E" w:rsidP="00642B8E">
      <w:pPr>
        <w:spacing w:after="0"/>
        <w:jc w:val="both"/>
        <w:rPr>
          <w:rFonts w:cs="Arial"/>
          <w:b/>
          <w:iCs/>
        </w:rPr>
      </w:pPr>
      <w:r w:rsidRPr="00596DA1">
        <w:rPr>
          <w:rFonts w:cs="Arial"/>
          <w:b/>
          <w:iCs/>
        </w:rPr>
        <w:t xml:space="preserve">CMS and AEWA Resolutions and adopted guidance that address issues relating to lead poisoning from ammunition or fishing weights and other sources </w:t>
      </w:r>
    </w:p>
    <w:p w:rsidR="00642B8E" w:rsidRPr="00596DA1" w:rsidRDefault="00642B8E" w:rsidP="00642B8E">
      <w:pPr>
        <w:spacing w:after="0"/>
        <w:jc w:val="both"/>
        <w:rPr>
          <w:rFonts w:cs="Arial"/>
          <w:b/>
          <w:iCs/>
        </w:rPr>
      </w:pPr>
    </w:p>
    <w:p w:rsidR="00642B8E" w:rsidRPr="00596DA1" w:rsidRDefault="00642B8E" w:rsidP="00642B8E">
      <w:pPr>
        <w:spacing w:after="0"/>
        <w:jc w:val="both"/>
        <w:rPr>
          <w:rFonts w:cs="Arial"/>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214"/>
        <w:gridCol w:w="2214"/>
        <w:gridCol w:w="2987"/>
      </w:tblGrid>
      <w:tr w:rsidR="00642B8E" w:rsidRPr="00596DA1" w:rsidTr="0027143C">
        <w:trPr>
          <w:tblHeader/>
        </w:trPr>
        <w:tc>
          <w:tcPr>
            <w:tcW w:w="1149" w:type="pct"/>
            <w:shd w:val="clear" w:color="auto" w:fill="EEECE1"/>
          </w:tcPr>
          <w:p w:rsidR="00642B8E" w:rsidRPr="00596DA1" w:rsidRDefault="00642B8E" w:rsidP="0027143C">
            <w:pPr>
              <w:spacing w:after="0"/>
              <w:jc w:val="both"/>
              <w:rPr>
                <w:rFonts w:cs="Arial"/>
                <w:b/>
                <w:iCs/>
              </w:rPr>
            </w:pPr>
            <w:r w:rsidRPr="00596DA1">
              <w:rPr>
                <w:rFonts w:cs="Arial"/>
                <w:b/>
                <w:iCs/>
              </w:rPr>
              <w:t>Cause of additional unnecessary mortality</w:t>
            </w:r>
          </w:p>
        </w:tc>
        <w:tc>
          <w:tcPr>
            <w:tcW w:w="1150" w:type="pct"/>
            <w:shd w:val="clear" w:color="auto" w:fill="EEECE1"/>
          </w:tcPr>
          <w:p w:rsidR="00642B8E" w:rsidRPr="00596DA1" w:rsidRDefault="00642B8E" w:rsidP="0027143C">
            <w:pPr>
              <w:spacing w:after="0"/>
              <w:jc w:val="both"/>
              <w:rPr>
                <w:rFonts w:cs="Arial"/>
                <w:b/>
                <w:iCs/>
              </w:rPr>
            </w:pPr>
            <w:r w:rsidRPr="00596DA1">
              <w:rPr>
                <w:rFonts w:cs="Arial"/>
                <w:b/>
                <w:iCs/>
              </w:rPr>
              <w:t>Strategic guidance and objectives agreed by AEWA Parties</w:t>
            </w:r>
          </w:p>
        </w:tc>
        <w:tc>
          <w:tcPr>
            <w:tcW w:w="1150" w:type="pct"/>
            <w:shd w:val="clear" w:color="auto" w:fill="EEECE1"/>
          </w:tcPr>
          <w:p w:rsidR="00642B8E" w:rsidRPr="00596DA1" w:rsidRDefault="00642B8E" w:rsidP="0027143C">
            <w:pPr>
              <w:spacing w:after="0"/>
              <w:jc w:val="both"/>
              <w:rPr>
                <w:rFonts w:cs="Arial"/>
                <w:b/>
                <w:iCs/>
              </w:rPr>
            </w:pPr>
            <w:r w:rsidRPr="00596DA1">
              <w:rPr>
                <w:rFonts w:cs="Arial"/>
                <w:b/>
                <w:iCs/>
              </w:rPr>
              <w:t>Relevant AEWA &amp; CMS Resolutions</w:t>
            </w:r>
          </w:p>
        </w:tc>
        <w:tc>
          <w:tcPr>
            <w:tcW w:w="1552" w:type="pct"/>
            <w:shd w:val="clear" w:color="auto" w:fill="EEECE1"/>
          </w:tcPr>
          <w:p w:rsidR="00642B8E" w:rsidRPr="00596DA1" w:rsidRDefault="00642B8E" w:rsidP="0027143C">
            <w:pPr>
              <w:spacing w:after="0"/>
              <w:jc w:val="both"/>
              <w:rPr>
                <w:rFonts w:cs="Arial"/>
                <w:b/>
                <w:iCs/>
              </w:rPr>
            </w:pPr>
            <w:r w:rsidRPr="00596DA1">
              <w:rPr>
                <w:rFonts w:cs="Arial"/>
                <w:b/>
                <w:iCs/>
              </w:rPr>
              <w:t>Relevant AEWA &amp; CMS Guidance</w:t>
            </w:r>
          </w:p>
        </w:tc>
      </w:tr>
      <w:tr w:rsidR="00642B8E" w:rsidRPr="00596DA1" w:rsidTr="0027143C">
        <w:tc>
          <w:tcPr>
            <w:tcW w:w="1149" w:type="pct"/>
          </w:tcPr>
          <w:p w:rsidR="00642B8E" w:rsidRPr="00596DA1" w:rsidRDefault="00642B8E" w:rsidP="0027143C">
            <w:pPr>
              <w:spacing w:after="0"/>
              <w:jc w:val="both"/>
              <w:rPr>
                <w:rFonts w:cs="Arial"/>
                <w:iCs/>
              </w:rPr>
            </w:pPr>
            <w:r w:rsidRPr="00596DA1">
              <w:rPr>
                <w:rFonts w:cs="Arial"/>
                <w:iCs/>
              </w:rPr>
              <w:t xml:space="preserve">Poisoning </w:t>
            </w:r>
            <w:proofErr w:type="gramStart"/>
            <w:r w:rsidRPr="00596DA1">
              <w:rPr>
                <w:rFonts w:cs="Arial"/>
                <w:iCs/>
              </w:rPr>
              <w:t>through the use of</w:t>
            </w:r>
            <w:proofErr w:type="gramEnd"/>
            <w:r w:rsidRPr="00596DA1">
              <w:rPr>
                <w:rFonts w:cs="Arial"/>
                <w:iCs/>
              </w:rPr>
              <w:t xml:space="preserve"> lead ammunition </w:t>
            </w:r>
          </w:p>
        </w:tc>
        <w:tc>
          <w:tcPr>
            <w:tcW w:w="1150" w:type="pct"/>
          </w:tcPr>
          <w:p w:rsidR="00642B8E" w:rsidRPr="000372DA" w:rsidRDefault="00642B8E" w:rsidP="0027143C">
            <w:pPr>
              <w:spacing w:after="0"/>
              <w:jc w:val="both"/>
              <w:rPr>
                <w:rFonts w:cs="Arial"/>
                <w:iCs/>
              </w:rPr>
            </w:pPr>
            <w:r w:rsidRPr="000372DA">
              <w:rPr>
                <w:rFonts w:cs="Arial"/>
                <w:iCs/>
              </w:rPr>
              <w:t>AEWA Action Plan para 4.1.4</w:t>
            </w:r>
          </w:p>
          <w:p w:rsidR="00642B8E" w:rsidRPr="000372DA" w:rsidRDefault="00642B8E" w:rsidP="0027143C">
            <w:pPr>
              <w:spacing w:after="0"/>
              <w:jc w:val="both"/>
              <w:rPr>
                <w:rFonts w:cs="Arial"/>
                <w:iCs/>
                <w:strike/>
              </w:rPr>
            </w:pPr>
            <w:r w:rsidRPr="000372DA">
              <w:rPr>
                <w:rFonts w:cs="Arial"/>
                <w:iCs/>
                <w:strike/>
              </w:rPr>
              <w:t>Strategic Plan 2.1: “By 2017 the use of lead shot for hunting in wetlands is phased out by all Contracting Parties.”</w:t>
            </w:r>
          </w:p>
          <w:p w:rsidR="00642B8E" w:rsidRPr="000372DA" w:rsidRDefault="00642B8E" w:rsidP="0027143C">
            <w:pPr>
              <w:spacing w:after="0"/>
              <w:rPr>
                <w:rFonts w:cs="Arial"/>
                <w:iCs/>
                <w:u w:val="single"/>
              </w:rPr>
            </w:pPr>
            <w:r w:rsidRPr="000372DA">
              <w:rPr>
                <w:rFonts w:cs="Arial"/>
                <w:iCs/>
                <w:u w:val="single"/>
              </w:rPr>
              <w:t>Strategic Plan 2.2. d: “By MOP8, Parties that have not</w:t>
            </w:r>
          </w:p>
          <w:p w:rsidR="00642B8E" w:rsidRPr="000372DA" w:rsidRDefault="00642B8E" w:rsidP="0027143C">
            <w:pPr>
              <w:spacing w:after="0"/>
              <w:rPr>
                <w:rFonts w:cs="Arial"/>
                <w:iCs/>
                <w:u w:val="single"/>
              </w:rPr>
            </w:pPr>
            <w:r w:rsidRPr="000372DA">
              <w:rPr>
                <w:rFonts w:cs="Arial"/>
                <w:iCs/>
                <w:u w:val="single"/>
              </w:rPr>
              <w:t>already done so phase out the use of</w:t>
            </w:r>
          </w:p>
          <w:p w:rsidR="00642B8E" w:rsidRPr="000372DA" w:rsidRDefault="00642B8E" w:rsidP="0027143C">
            <w:pPr>
              <w:spacing w:after="0"/>
              <w:jc w:val="both"/>
              <w:rPr>
                <w:rFonts w:cs="Arial"/>
                <w:iCs/>
                <w:strike/>
              </w:rPr>
            </w:pPr>
            <w:r w:rsidRPr="000372DA">
              <w:rPr>
                <w:rFonts w:cs="Arial"/>
                <w:iCs/>
                <w:u w:val="single"/>
              </w:rPr>
              <w:t>lead shot in wetlands”</w:t>
            </w:r>
          </w:p>
        </w:tc>
        <w:tc>
          <w:tcPr>
            <w:tcW w:w="1150" w:type="pct"/>
          </w:tcPr>
          <w:p w:rsidR="00642B8E" w:rsidRPr="000372DA" w:rsidRDefault="00642B8E" w:rsidP="0027143C">
            <w:pPr>
              <w:spacing w:after="0"/>
              <w:jc w:val="both"/>
              <w:rPr>
                <w:rFonts w:cs="Arial"/>
                <w:iCs/>
              </w:rPr>
            </w:pPr>
            <w:r w:rsidRPr="000372DA">
              <w:rPr>
                <w:rFonts w:cs="Arial"/>
                <w:iCs/>
              </w:rPr>
              <w:t xml:space="preserve">AEWA Res 1.14 </w:t>
            </w:r>
            <w:r w:rsidRPr="000372DA">
              <w:rPr>
                <w:rFonts w:cs="Arial"/>
                <w:i/>
                <w:iCs/>
              </w:rPr>
              <w:t>Phasing out of lead shot in wetlands</w:t>
            </w:r>
          </w:p>
          <w:p w:rsidR="00642B8E" w:rsidRPr="000372DA" w:rsidRDefault="00642B8E" w:rsidP="0027143C">
            <w:pPr>
              <w:spacing w:after="0"/>
              <w:jc w:val="both"/>
              <w:rPr>
                <w:rFonts w:cs="Arial"/>
                <w:iCs/>
              </w:rPr>
            </w:pPr>
            <w:r w:rsidRPr="000372DA">
              <w:rPr>
                <w:rFonts w:cs="Arial"/>
                <w:iCs/>
              </w:rPr>
              <w:t xml:space="preserve">AEWA Res. 2.2 </w:t>
            </w:r>
            <w:r w:rsidRPr="000372DA">
              <w:rPr>
                <w:rFonts w:cs="Arial"/>
                <w:i/>
                <w:iCs/>
              </w:rPr>
              <w:t>Phasing out lead shot for hunting in wetlands</w:t>
            </w:r>
          </w:p>
          <w:p w:rsidR="00642B8E" w:rsidRPr="000372DA" w:rsidRDefault="00642B8E" w:rsidP="0027143C">
            <w:pPr>
              <w:spacing w:after="0"/>
              <w:jc w:val="both"/>
              <w:rPr>
                <w:rFonts w:cs="Arial"/>
                <w:iCs/>
              </w:rPr>
            </w:pPr>
            <w:r w:rsidRPr="000372DA">
              <w:rPr>
                <w:rFonts w:cs="Arial"/>
                <w:iCs/>
              </w:rPr>
              <w:t xml:space="preserve">AEWA Res. 3.4 </w:t>
            </w:r>
            <w:r w:rsidRPr="000372DA">
              <w:rPr>
                <w:rFonts w:cs="Arial"/>
                <w:i/>
                <w:iCs/>
              </w:rPr>
              <w:t>Submission of national reports to MOP3 and MOP4 and reports on the phase out of lead shot in wetlands</w:t>
            </w:r>
          </w:p>
          <w:p w:rsidR="00642B8E" w:rsidRPr="000372DA" w:rsidRDefault="00642B8E" w:rsidP="0027143C">
            <w:pPr>
              <w:spacing w:after="0"/>
              <w:jc w:val="both"/>
              <w:rPr>
                <w:rFonts w:cs="Arial"/>
                <w:iCs/>
              </w:rPr>
            </w:pPr>
            <w:r w:rsidRPr="000372DA">
              <w:rPr>
                <w:rFonts w:cs="Arial"/>
                <w:iCs/>
              </w:rPr>
              <w:t xml:space="preserve">AEWA Res. 4.1 </w:t>
            </w:r>
            <w:r w:rsidRPr="000372DA">
              <w:rPr>
                <w:rFonts w:cs="Arial"/>
                <w:i/>
                <w:iCs/>
              </w:rPr>
              <w:t>Phasing out lead shot for hunting in wetlands</w:t>
            </w:r>
          </w:p>
          <w:p w:rsidR="00642B8E" w:rsidRPr="000372DA" w:rsidRDefault="00642B8E" w:rsidP="0027143C">
            <w:pPr>
              <w:spacing w:after="0"/>
              <w:jc w:val="both"/>
              <w:rPr>
                <w:rFonts w:cs="Arial"/>
                <w:i/>
                <w:iCs/>
              </w:rPr>
            </w:pPr>
            <w:r w:rsidRPr="000372DA">
              <w:rPr>
                <w:rFonts w:cs="Arial"/>
                <w:iCs/>
              </w:rPr>
              <w:t xml:space="preserve">AEWA Res. 5.23 </w:t>
            </w:r>
            <w:r w:rsidRPr="000372DA">
              <w:rPr>
                <w:rFonts w:cs="Arial"/>
                <w:i/>
                <w:iCs/>
              </w:rPr>
              <w:t>AEWA’s contribution to delivering the Aichi 2020 biodiversity targets</w:t>
            </w:r>
          </w:p>
          <w:p w:rsidR="00642B8E" w:rsidRPr="000372DA" w:rsidRDefault="00642B8E" w:rsidP="0027143C">
            <w:pPr>
              <w:spacing w:after="0"/>
              <w:jc w:val="both"/>
              <w:rPr>
                <w:rFonts w:cs="Arial"/>
                <w:iCs/>
              </w:rPr>
            </w:pPr>
            <w:r w:rsidRPr="000372DA">
              <w:rPr>
                <w:rFonts w:cs="Arial"/>
                <w:iCs/>
              </w:rPr>
              <w:t xml:space="preserve">AEWA Res. 6.4 </w:t>
            </w:r>
            <w:r w:rsidRPr="000372DA">
              <w:rPr>
                <w:rFonts w:cs="Arial"/>
                <w:i/>
                <w:iCs/>
              </w:rPr>
              <w:t xml:space="preserve">Conservation and sustainable use of migratory </w:t>
            </w:r>
            <w:proofErr w:type="spellStart"/>
            <w:r w:rsidRPr="000372DA">
              <w:rPr>
                <w:rFonts w:cs="Arial"/>
                <w:i/>
                <w:iCs/>
              </w:rPr>
              <w:t>waterbirds</w:t>
            </w:r>
            <w:proofErr w:type="spellEnd"/>
          </w:p>
          <w:p w:rsidR="00642B8E" w:rsidRPr="000372DA" w:rsidRDefault="00642B8E" w:rsidP="0027143C">
            <w:pPr>
              <w:spacing w:after="0"/>
              <w:jc w:val="both"/>
              <w:rPr>
                <w:rFonts w:cs="Arial"/>
                <w:iCs/>
              </w:rPr>
            </w:pPr>
            <w:r w:rsidRPr="000372DA">
              <w:rPr>
                <w:rFonts w:cs="Arial"/>
                <w:iCs/>
              </w:rPr>
              <w:t xml:space="preserve">AEWA Res. 6.12 </w:t>
            </w:r>
            <w:r w:rsidRPr="000372DA">
              <w:rPr>
                <w:rFonts w:cs="Arial"/>
                <w:bCs/>
                <w:i/>
                <w:iCs/>
              </w:rPr>
              <w:t xml:space="preserve">Avoiding additional and unnecessary mortality for migratory </w:t>
            </w:r>
            <w:proofErr w:type="spellStart"/>
            <w:r w:rsidRPr="000372DA">
              <w:rPr>
                <w:rFonts w:cs="Arial"/>
                <w:bCs/>
                <w:i/>
                <w:iCs/>
              </w:rPr>
              <w:t>waterbirds</w:t>
            </w:r>
            <w:proofErr w:type="spellEnd"/>
          </w:p>
          <w:p w:rsidR="00642B8E" w:rsidRPr="000372DA" w:rsidRDefault="00642B8E" w:rsidP="0027143C">
            <w:pPr>
              <w:spacing w:after="0"/>
              <w:jc w:val="both"/>
              <w:rPr>
                <w:rFonts w:cs="Arial"/>
                <w:iCs/>
              </w:rPr>
            </w:pPr>
            <w:r w:rsidRPr="000372DA">
              <w:rPr>
                <w:rFonts w:cs="Arial"/>
                <w:iCs/>
              </w:rPr>
              <w:t xml:space="preserve">CMS Res. 11.15 (Rev.COP12) </w:t>
            </w:r>
            <w:r w:rsidRPr="000372DA">
              <w:rPr>
                <w:rFonts w:cs="Arial"/>
                <w:i/>
                <w:iCs/>
              </w:rPr>
              <w:t>Preventing poisoning of migratory birds</w:t>
            </w:r>
          </w:p>
          <w:p w:rsidR="00642B8E" w:rsidRPr="000372DA" w:rsidRDefault="00642B8E" w:rsidP="0027143C">
            <w:pPr>
              <w:spacing w:after="0"/>
              <w:jc w:val="both"/>
              <w:rPr>
                <w:rFonts w:cs="Arial"/>
                <w:iCs/>
              </w:rPr>
            </w:pPr>
          </w:p>
          <w:p w:rsidR="00642B8E" w:rsidRPr="000372DA" w:rsidRDefault="00642B8E" w:rsidP="0027143C">
            <w:pPr>
              <w:spacing w:after="0"/>
              <w:jc w:val="both"/>
              <w:rPr>
                <w:rFonts w:cs="Arial"/>
                <w:iCs/>
              </w:rPr>
            </w:pPr>
          </w:p>
          <w:p w:rsidR="00642B8E" w:rsidRPr="000372DA" w:rsidRDefault="00642B8E" w:rsidP="0027143C">
            <w:pPr>
              <w:spacing w:after="0"/>
              <w:jc w:val="both"/>
              <w:rPr>
                <w:rFonts w:cs="Arial"/>
                <w:iCs/>
              </w:rPr>
            </w:pPr>
          </w:p>
        </w:tc>
        <w:tc>
          <w:tcPr>
            <w:tcW w:w="1552" w:type="pct"/>
          </w:tcPr>
          <w:p w:rsidR="00642B8E" w:rsidRPr="000372DA" w:rsidRDefault="00642B8E" w:rsidP="0027143C">
            <w:pPr>
              <w:spacing w:after="0"/>
              <w:jc w:val="both"/>
              <w:rPr>
                <w:rFonts w:cs="Arial"/>
                <w:iCs/>
              </w:rPr>
            </w:pPr>
            <w:r w:rsidRPr="000372DA">
              <w:rPr>
                <w:rFonts w:cs="Arial"/>
                <w:iCs/>
              </w:rPr>
              <w:t xml:space="preserve">AEWA </w:t>
            </w:r>
            <w:r w:rsidRPr="000372DA">
              <w:rPr>
                <w:rFonts w:cs="Arial"/>
                <w:i/>
                <w:iCs/>
              </w:rPr>
              <w:t xml:space="preserve">Conservation Guidelines (No. 5) on sustainable harvest of migratory </w:t>
            </w:r>
            <w:proofErr w:type="spellStart"/>
            <w:r w:rsidRPr="000372DA">
              <w:rPr>
                <w:rFonts w:cs="Arial"/>
                <w:i/>
                <w:iCs/>
              </w:rPr>
              <w:t>waterbirds</w:t>
            </w:r>
            <w:proofErr w:type="spellEnd"/>
            <w:r w:rsidRPr="000372DA">
              <w:rPr>
                <w:rFonts w:cs="Arial"/>
                <w:iCs/>
              </w:rPr>
              <w:t xml:space="preserve"> (</w:t>
            </w:r>
            <w:r w:rsidRPr="000372DA">
              <w:rPr>
                <w:rFonts w:cs="Arial"/>
                <w:iCs/>
                <w:strike/>
              </w:rPr>
              <w:t>document AEWA/MOP 6.36</w:t>
            </w:r>
            <w:r w:rsidRPr="000372DA">
              <w:rPr>
                <w:rFonts w:cs="Arial"/>
                <w:iCs/>
              </w:rPr>
              <w:t xml:space="preserve"> </w:t>
            </w:r>
            <w:r w:rsidRPr="000372DA">
              <w:rPr>
                <w:rFonts w:cs="Arial"/>
                <w:iCs/>
                <w:u w:val="single"/>
              </w:rPr>
              <w:t xml:space="preserve">AEWA </w:t>
            </w:r>
            <w:r w:rsidRPr="000372DA">
              <w:rPr>
                <w:rFonts w:cs="Arial"/>
                <w:i/>
                <w:iCs/>
                <w:u w:val="single"/>
              </w:rPr>
              <w:t>Technical Series No. 62</w:t>
            </w:r>
            <w:r w:rsidRPr="000372DA">
              <w:rPr>
                <w:rFonts w:cs="Arial"/>
                <w:iCs/>
              </w:rPr>
              <w:t>)</w:t>
            </w:r>
          </w:p>
          <w:p w:rsidR="00642B8E" w:rsidRPr="000372DA" w:rsidRDefault="00642B8E" w:rsidP="0027143C">
            <w:pPr>
              <w:spacing w:after="0"/>
              <w:jc w:val="both"/>
              <w:rPr>
                <w:rFonts w:cs="Arial"/>
                <w:iCs/>
              </w:rPr>
            </w:pPr>
            <w:r w:rsidRPr="000372DA">
              <w:rPr>
                <w:rFonts w:cs="Arial"/>
                <w:iCs/>
              </w:rPr>
              <w:t xml:space="preserve">AEWA 2009.  </w:t>
            </w:r>
            <w:r w:rsidRPr="000372DA">
              <w:rPr>
                <w:rFonts w:cs="Arial"/>
                <w:i/>
                <w:iCs/>
              </w:rPr>
              <w:t xml:space="preserve">Non-toxic shot.  A pathway towards sustainable use of the </w:t>
            </w:r>
            <w:proofErr w:type="spellStart"/>
            <w:r w:rsidRPr="000372DA">
              <w:rPr>
                <w:rFonts w:cs="Arial"/>
                <w:i/>
                <w:iCs/>
              </w:rPr>
              <w:t>waterbird</w:t>
            </w:r>
            <w:proofErr w:type="spellEnd"/>
            <w:r w:rsidRPr="000372DA">
              <w:rPr>
                <w:rFonts w:cs="Arial"/>
                <w:i/>
                <w:iCs/>
              </w:rPr>
              <w:t xml:space="preserve"> resource.</w:t>
            </w:r>
            <w:r w:rsidRPr="000372DA">
              <w:rPr>
                <w:rFonts w:cs="Arial"/>
                <w:iCs/>
              </w:rPr>
              <w:t xml:space="preserve">  AEWA </w:t>
            </w:r>
            <w:r w:rsidRPr="000372DA">
              <w:rPr>
                <w:rFonts w:cs="Arial"/>
                <w:i/>
                <w:iCs/>
              </w:rPr>
              <w:t>Technical Series No. 3</w:t>
            </w:r>
          </w:p>
          <w:p w:rsidR="00642B8E" w:rsidRPr="000372DA" w:rsidRDefault="00642B8E" w:rsidP="0027143C">
            <w:pPr>
              <w:spacing w:after="0"/>
              <w:jc w:val="both"/>
              <w:rPr>
                <w:rFonts w:cs="Arial"/>
                <w:iCs/>
              </w:rPr>
            </w:pPr>
            <w:r w:rsidRPr="000372DA">
              <w:rPr>
                <w:rFonts w:cs="Arial"/>
                <w:iCs/>
              </w:rPr>
              <w:t xml:space="preserve">AEWA 2009.  </w:t>
            </w:r>
            <w:r w:rsidRPr="000372DA">
              <w:rPr>
                <w:rFonts w:cs="Arial"/>
                <w:i/>
                <w:iCs/>
              </w:rPr>
              <w:t>Phasing out the use of lead shot for hunting in wetlands.  Experiences made and lessons learned by AEWA Range States.</w:t>
            </w:r>
            <w:r w:rsidRPr="000372DA">
              <w:rPr>
                <w:rFonts w:cs="Arial"/>
                <w:iCs/>
              </w:rPr>
              <w:t xml:space="preserve">  30 pp.</w:t>
            </w:r>
          </w:p>
          <w:p w:rsidR="00642B8E" w:rsidRPr="000372DA" w:rsidRDefault="00642B8E" w:rsidP="0027143C">
            <w:pPr>
              <w:spacing w:after="0"/>
              <w:jc w:val="both"/>
              <w:rPr>
                <w:rFonts w:cs="Arial"/>
                <w:iCs/>
              </w:rPr>
            </w:pPr>
            <w:r w:rsidRPr="000372DA">
              <w:rPr>
                <w:rFonts w:cs="Arial"/>
                <w:iCs/>
              </w:rPr>
              <w:t xml:space="preserve">CMS Res. 11.15 (Rev.COP12) </w:t>
            </w:r>
            <w:r w:rsidRPr="000372DA">
              <w:rPr>
                <w:rFonts w:cs="Arial"/>
                <w:i/>
                <w:iCs/>
              </w:rPr>
              <w:t>Guidelines to prevent the risk of poisoning to migratory birds</w:t>
            </w:r>
          </w:p>
          <w:p w:rsidR="00642B8E" w:rsidRPr="000372DA" w:rsidRDefault="00642B8E" w:rsidP="00642B8E">
            <w:pPr>
              <w:numPr>
                <w:ilvl w:val="0"/>
                <w:numId w:val="10"/>
              </w:numPr>
              <w:suppressAutoHyphens/>
              <w:autoSpaceDN w:val="0"/>
              <w:spacing w:after="0" w:line="240" w:lineRule="auto"/>
              <w:jc w:val="both"/>
              <w:textAlignment w:val="baseline"/>
              <w:rPr>
                <w:rFonts w:cs="Arial"/>
                <w:iCs/>
              </w:rPr>
            </w:pPr>
            <w:r w:rsidRPr="000372DA">
              <w:rPr>
                <w:rFonts w:cs="Arial"/>
                <w:iCs/>
              </w:rPr>
              <w:t xml:space="preserve">Recommendations to prevent risk from lead ammunition </w:t>
            </w:r>
          </w:p>
        </w:tc>
      </w:tr>
      <w:tr w:rsidR="00642B8E" w:rsidRPr="00596DA1" w:rsidTr="0027143C">
        <w:tc>
          <w:tcPr>
            <w:tcW w:w="1149" w:type="pct"/>
          </w:tcPr>
          <w:p w:rsidR="00642B8E" w:rsidRPr="00596DA1" w:rsidRDefault="00642B8E" w:rsidP="0027143C">
            <w:pPr>
              <w:spacing w:after="0"/>
              <w:jc w:val="both"/>
              <w:rPr>
                <w:rFonts w:cs="Arial"/>
                <w:iCs/>
              </w:rPr>
            </w:pPr>
            <w:r w:rsidRPr="00596DA1">
              <w:rPr>
                <w:rFonts w:cs="Arial"/>
                <w:iCs/>
              </w:rPr>
              <w:lastRenderedPageBreak/>
              <w:t xml:space="preserve">Poisoning </w:t>
            </w:r>
            <w:proofErr w:type="gramStart"/>
            <w:r w:rsidRPr="00596DA1">
              <w:rPr>
                <w:rFonts w:cs="Arial"/>
                <w:iCs/>
              </w:rPr>
              <w:t>through the use of</w:t>
            </w:r>
            <w:proofErr w:type="gramEnd"/>
            <w:r w:rsidRPr="00596DA1">
              <w:rPr>
                <w:rFonts w:cs="Arial"/>
                <w:iCs/>
              </w:rPr>
              <w:t xml:space="preserve"> lead fishing weights</w:t>
            </w:r>
          </w:p>
        </w:tc>
        <w:tc>
          <w:tcPr>
            <w:tcW w:w="1150" w:type="pct"/>
          </w:tcPr>
          <w:p w:rsidR="00642B8E" w:rsidRPr="00596DA1" w:rsidRDefault="00642B8E" w:rsidP="0027143C">
            <w:pPr>
              <w:spacing w:after="0"/>
              <w:jc w:val="both"/>
              <w:rPr>
                <w:rFonts w:cs="Arial"/>
                <w:iCs/>
              </w:rPr>
            </w:pPr>
            <w:r w:rsidRPr="00596DA1">
              <w:rPr>
                <w:rFonts w:cs="Arial"/>
                <w:iCs/>
              </w:rPr>
              <w:t>AEWA Action Plan para 4.3.12</w:t>
            </w:r>
          </w:p>
          <w:p w:rsidR="00642B8E" w:rsidRPr="00596DA1" w:rsidRDefault="00642B8E" w:rsidP="0027143C">
            <w:pPr>
              <w:spacing w:after="0"/>
              <w:jc w:val="both"/>
              <w:rPr>
                <w:rFonts w:cs="Arial"/>
                <w:iCs/>
              </w:rPr>
            </w:pPr>
          </w:p>
        </w:tc>
        <w:tc>
          <w:tcPr>
            <w:tcW w:w="1150" w:type="pct"/>
          </w:tcPr>
          <w:p w:rsidR="00642B8E" w:rsidRPr="00596DA1" w:rsidRDefault="00642B8E" w:rsidP="0027143C">
            <w:pPr>
              <w:spacing w:after="0"/>
              <w:jc w:val="both"/>
              <w:rPr>
                <w:rFonts w:cs="Arial"/>
                <w:iCs/>
              </w:rPr>
            </w:pPr>
            <w:r w:rsidRPr="00596DA1">
              <w:rPr>
                <w:rFonts w:cs="Arial"/>
                <w:iCs/>
              </w:rPr>
              <w:t>CMS Res. 11.15</w:t>
            </w:r>
            <w:r>
              <w:rPr>
                <w:rFonts w:cs="Arial"/>
                <w:iCs/>
              </w:rPr>
              <w:t xml:space="preserve"> (Rev.COP12)</w:t>
            </w:r>
            <w:r w:rsidRPr="00596DA1">
              <w:rPr>
                <w:rFonts w:cs="Arial"/>
                <w:iCs/>
              </w:rPr>
              <w:t xml:space="preserve"> </w:t>
            </w:r>
            <w:r w:rsidRPr="00E83CE8">
              <w:rPr>
                <w:rFonts w:cs="Arial"/>
                <w:i/>
                <w:iCs/>
              </w:rPr>
              <w:t>Preventing poisoning of migratory birds</w:t>
            </w:r>
          </w:p>
        </w:tc>
        <w:tc>
          <w:tcPr>
            <w:tcW w:w="1552" w:type="pct"/>
          </w:tcPr>
          <w:p w:rsidR="00642B8E" w:rsidRPr="00596DA1" w:rsidRDefault="00642B8E" w:rsidP="0027143C">
            <w:pPr>
              <w:spacing w:after="0"/>
              <w:jc w:val="both"/>
              <w:rPr>
                <w:rFonts w:cs="Arial"/>
                <w:iCs/>
              </w:rPr>
            </w:pPr>
            <w:r w:rsidRPr="00596DA1">
              <w:rPr>
                <w:rFonts w:cs="Arial"/>
                <w:iCs/>
              </w:rPr>
              <w:t xml:space="preserve">CMS Res. 11.15 </w:t>
            </w:r>
            <w:r w:rsidRPr="002210CF">
              <w:rPr>
                <w:rFonts w:cs="Arial"/>
                <w:iCs/>
              </w:rPr>
              <w:t xml:space="preserve">(Rev.COP12) </w:t>
            </w:r>
            <w:r w:rsidRPr="00E83CE8">
              <w:rPr>
                <w:rFonts w:cs="Arial"/>
                <w:i/>
                <w:iCs/>
              </w:rPr>
              <w:t>Guidelines to prevent the risk of poisoning to migratory birds</w:t>
            </w:r>
          </w:p>
          <w:p w:rsidR="00642B8E" w:rsidRPr="00596DA1" w:rsidRDefault="00642B8E" w:rsidP="00642B8E">
            <w:pPr>
              <w:numPr>
                <w:ilvl w:val="0"/>
                <w:numId w:val="10"/>
              </w:numPr>
              <w:suppressAutoHyphens/>
              <w:autoSpaceDN w:val="0"/>
              <w:spacing w:after="0" w:line="240" w:lineRule="auto"/>
              <w:jc w:val="both"/>
              <w:textAlignment w:val="baseline"/>
              <w:rPr>
                <w:rFonts w:cs="Arial"/>
                <w:iCs/>
              </w:rPr>
            </w:pPr>
            <w:r w:rsidRPr="00596DA1">
              <w:rPr>
                <w:rFonts w:cs="Arial"/>
                <w:iCs/>
              </w:rPr>
              <w:t>Recommendations to prevent risk from lead fishing weights</w:t>
            </w:r>
          </w:p>
          <w:p w:rsidR="00642B8E" w:rsidRPr="00596DA1" w:rsidRDefault="00642B8E" w:rsidP="0027143C">
            <w:pPr>
              <w:spacing w:after="0"/>
              <w:jc w:val="both"/>
              <w:rPr>
                <w:rFonts w:cs="Arial"/>
                <w:iCs/>
              </w:rPr>
            </w:pPr>
          </w:p>
          <w:p w:rsidR="00642B8E" w:rsidRPr="00596DA1" w:rsidRDefault="00642B8E" w:rsidP="0027143C">
            <w:pPr>
              <w:spacing w:after="0"/>
              <w:jc w:val="both"/>
              <w:rPr>
                <w:rFonts w:cs="Arial"/>
                <w:iCs/>
              </w:rPr>
            </w:pPr>
          </w:p>
        </w:tc>
      </w:tr>
      <w:tr w:rsidR="00642B8E" w:rsidRPr="00596DA1" w:rsidTr="0027143C">
        <w:tc>
          <w:tcPr>
            <w:tcW w:w="1149" w:type="pct"/>
          </w:tcPr>
          <w:p w:rsidR="00642B8E" w:rsidRPr="00596DA1" w:rsidRDefault="00642B8E" w:rsidP="0027143C">
            <w:pPr>
              <w:spacing w:after="0"/>
              <w:jc w:val="both"/>
              <w:rPr>
                <w:rFonts w:cs="Arial"/>
                <w:iCs/>
              </w:rPr>
            </w:pPr>
            <w:r w:rsidRPr="00596DA1">
              <w:rPr>
                <w:rFonts w:cs="Arial"/>
                <w:iCs/>
              </w:rPr>
              <w:t>Poisoning through other sources of lead</w:t>
            </w:r>
          </w:p>
        </w:tc>
        <w:tc>
          <w:tcPr>
            <w:tcW w:w="1150" w:type="pct"/>
          </w:tcPr>
          <w:p w:rsidR="00642B8E" w:rsidRPr="00596DA1" w:rsidRDefault="00642B8E" w:rsidP="0027143C">
            <w:pPr>
              <w:spacing w:after="0"/>
              <w:jc w:val="both"/>
              <w:rPr>
                <w:rFonts w:cs="Arial"/>
                <w:iCs/>
              </w:rPr>
            </w:pPr>
          </w:p>
        </w:tc>
        <w:tc>
          <w:tcPr>
            <w:tcW w:w="1150" w:type="pct"/>
          </w:tcPr>
          <w:p w:rsidR="00642B8E" w:rsidRPr="00596DA1" w:rsidRDefault="00642B8E" w:rsidP="0027143C">
            <w:pPr>
              <w:spacing w:after="0"/>
              <w:jc w:val="both"/>
              <w:rPr>
                <w:rFonts w:cs="Arial"/>
                <w:iCs/>
              </w:rPr>
            </w:pPr>
            <w:r w:rsidRPr="00596DA1">
              <w:rPr>
                <w:rFonts w:cs="Arial"/>
                <w:iCs/>
              </w:rPr>
              <w:t>CMS Res. 11.15</w:t>
            </w:r>
            <w:r>
              <w:rPr>
                <w:rFonts w:cs="Arial"/>
                <w:iCs/>
              </w:rPr>
              <w:t xml:space="preserve"> (Rev.COP12)</w:t>
            </w:r>
            <w:r w:rsidRPr="00596DA1">
              <w:rPr>
                <w:rFonts w:cs="Arial"/>
                <w:iCs/>
              </w:rPr>
              <w:t xml:space="preserve"> </w:t>
            </w:r>
            <w:r w:rsidRPr="00E83CE8">
              <w:rPr>
                <w:rFonts w:cs="Arial"/>
                <w:i/>
                <w:iCs/>
              </w:rPr>
              <w:t>Preventing poisoning of migratory birds</w:t>
            </w:r>
          </w:p>
        </w:tc>
        <w:tc>
          <w:tcPr>
            <w:tcW w:w="1552" w:type="pct"/>
          </w:tcPr>
          <w:p w:rsidR="00642B8E" w:rsidRPr="00596DA1" w:rsidRDefault="00642B8E" w:rsidP="0027143C">
            <w:pPr>
              <w:spacing w:after="0"/>
              <w:jc w:val="both"/>
              <w:rPr>
                <w:rFonts w:cs="Arial"/>
                <w:iCs/>
              </w:rPr>
            </w:pPr>
            <w:r w:rsidRPr="00596DA1">
              <w:rPr>
                <w:rFonts w:cs="Arial"/>
                <w:iCs/>
              </w:rPr>
              <w:t xml:space="preserve">CMS Res. 11.15 </w:t>
            </w:r>
            <w:r w:rsidRPr="002210CF">
              <w:rPr>
                <w:rFonts w:cs="Arial"/>
                <w:iCs/>
              </w:rPr>
              <w:t xml:space="preserve">(Rev.COP12) </w:t>
            </w:r>
            <w:r w:rsidRPr="00E83CE8">
              <w:rPr>
                <w:rFonts w:cs="Arial"/>
                <w:i/>
                <w:iCs/>
              </w:rPr>
              <w:t>Guidelines to prevent the risk of poisoning to migratory birds</w:t>
            </w:r>
          </w:p>
          <w:p w:rsidR="00642B8E" w:rsidRPr="00596DA1" w:rsidRDefault="00642B8E" w:rsidP="00642B8E">
            <w:pPr>
              <w:numPr>
                <w:ilvl w:val="0"/>
                <w:numId w:val="10"/>
              </w:numPr>
              <w:suppressAutoHyphens/>
              <w:autoSpaceDN w:val="0"/>
              <w:spacing w:after="0" w:line="240" w:lineRule="auto"/>
              <w:jc w:val="both"/>
              <w:textAlignment w:val="baseline"/>
              <w:rPr>
                <w:rFonts w:cs="Arial"/>
                <w:iCs/>
              </w:rPr>
            </w:pPr>
            <w:r w:rsidRPr="00596DA1">
              <w:rPr>
                <w:rFonts w:cs="Arial"/>
                <w:iCs/>
              </w:rPr>
              <w:t>Recommendations to prevent risk from other sources of lead (industrial pollution, leaded paint and discarded lead)</w:t>
            </w:r>
          </w:p>
          <w:p w:rsidR="00642B8E" w:rsidRPr="00596DA1" w:rsidRDefault="00642B8E" w:rsidP="0027143C">
            <w:pPr>
              <w:spacing w:after="0"/>
              <w:jc w:val="both"/>
              <w:rPr>
                <w:rFonts w:cs="Arial"/>
                <w:iCs/>
              </w:rPr>
            </w:pPr>
          </w:p>
        </w:tc>
      </w:tr>
      <w:bookmarkEnd w:id="5"/>
    </w:tbl>
    <w:p w:rsidR="000372DA" w:rsidRDefault="000372DA" w:rsidP="00642B8E">
      <w:pPr>
        <w:pStyle w:val="Secondnumbering"/>
        <w:numPr>
          <w:ilvl w:val="0"/>
          <w:numId w:val="0"/>
        </w:numPr>
        <w:ind w:left="1211" w:hanging="360"/>
        <w:sectPr w:rsidR="000372DA" w:rsidSect="00642B8E">
          <w:headerReference w:type="default" r:id="rId24"/>
          <w:headerReference w:type="first" r:id="rId25"/>
          <w:footerReference w:type="first" r:id="rId26"/>
          <w:pgSz w:w="11906" w:h="16838" w:code="9"/>
          <w:pgMar w:top="1134" w:right="1134" w:bottom="1134" w:left="1134" w:header="720" w:footer="720" w:gutter="0"/>
          <w:cols w:space="720"/>
          <w:titlePg/>
          <w:docGrid w:linePitch="360"/>
        </w:sectPr>
      </w:pPr>
    </w:p>
    <w:p w:rsidR="000372DA" w:rsidRDefault="000372DA" w:rsidP="000372DA">
      <w:pPr>
        <w:widowControl w:val="0"/>
        <w:autoSpaceDE w:val="0"/>
        <w:adjustRightInd w:val="0"/>
        <w:spacing w:after="0"/>
        <w:ind w:left="360"/>
        <w:contextualSpacing/>
        <w:jc w:val="right"/>
        <w:rPr>
          <w:rFonts w:cs="Arial"/>
        </w:rPr>
      </w:pPr>
      <w:r w:rsidRPr="00F43A59">
        <w:rPr>
          <w:rFonts w:cs="Arial"/>
          <w:b/>
        </w:rPr>
        <w:lastRenderedPageBreak/>
        <w:t>ANNEX</w:t>
      </w:r>
      <w:r>
        <w:rPr>
          <w:rFonts w:cs="Arial"/>
          <w:b/>
        </w:rPr>
        <w:t xml:space="preserve"> </w:t>
      </w:r>
      <w:r>
        <w:rPr>
          <w:rFonts w:cs="Arial"/>
          <w:b/>
        </w:rPr>
        <w:t>2</w:t>
      </w:r>
    </w:p>
    <w:p w:rsidR="000372DA" w:rsidRDefault="000372DA" w:rsidP="000372DA">
      <w:pPr>
        <w:widowControl w:val="0"/>
        <w:autoSpaceDE w:val="0"/>
        <w:adjustRightInd w:val="0"/>
        <w:spacing w:after="0"/>
        <w:ind w:left="360"/>
        <w:contextualSpacing/>
        <w:jc w:val="center"/>
        <w:rPr>
          <w:rFonts w:cs="Arial"/>
        </w:rPr>
      </w:pPr>
    </w:p>
    <w:p w:rsidR="000372DA" w:rsidRDefault="000372DA" w:rsidP="000372DA">
      <w:pPr>
        <w:widowControl w:val="0"/>
        <w:autoSpaceDE w:val="0"/>
        <w:adjustRightInd w:val="0"/>
        <w:spacing w:after="0"/>
        <w:ind w:left="360"/>
        <w:contextualSpacing/>
        <w:jc w:val="center"/>
        <w:rPr>
          <w:rFonts w:cs="Arial"/>
        </w:rPr>
      </w:pPr>
      <w:r>
        <w:rPr>
          <w:rFonts w:cs="Arial"/>
        </w:rPr>
        <w:t>DRAFT DECISIONS</w:t>
      </w:r>
    </w:p>
    <w:p w:rsidR="000372DA" w:rsidRDefault="000372DA" w:rsidP="000372DA">
      <w:pPr>
        <w:widowControl w:val="0"/>
        <w:autoSpaceDE w:val="0"/>
        <w:adjustRightInd w:val="0"/>
        <w:spacing w:after="0"/>
        <w:ind w:left="360"/>
        <w:contextualSpacing/>
        <w:jc w:val="center"/>
        <w:rPr>
          <w:rFonts w:cs="Arial"/>
        </w:rPr>
      </w:pPr>
    </w:p>
    <w:p w:rsidR="000372DA" w:rsidRPr="00EB48FE" w:rsidRDefault="000372DA" w:rsidP="000372DA">
      <w:pPr>
        <w:widowControl w:val="0"/>
        <w:autoSpaceDE w:val="0"/>
        <w:adjustRightInd w:val="0"/>
        <w:spacing w:after="0"/>
        <w:jc w:val="center"/>
        <w:rPr>
          <w:rFonts w:eastAsia="Times New Roman" w:cs="Arial"/>
          <w:b/>
        </w:rPr>
      </w:pPr>
      <w:r w:rsidRPr="00EB48FE">
        <w:rPr>
          <w:rFonts w:eastAsia="Times New Roman" w:cs="Arial"/>
          <w:b/>
        </w:rPr>
        <w:t>PREVENTING POISONING OF MIGRATORY BIRDS</w:t>
      </w:r>
    </w:p>
    <w:p w:rsidR="000372DA" w:rsidRPr="00EB48FE" w:rsidRDefault="000372DA" w:rsidP="000372DA">
      <w:pPr>
        <w:widowControl w:val="0"/>
        <w:autoSpaceDE w:val="0"/>
        <w:adjustRightInd w:val="0"/>
        <w:spacing w:after="0"/>
        <w:jc w:val="center"/>
        <w:rPr>
          <w:rFonts w:eastAsia="Times New Roman" w:cs="Arial"/>
          <w:b/>
        </w:rPr>
      </w:pPr>
    </w:p>
    <w:p w:rsidR="000372DA" w:rsidRDefault="000372DA" w:rsidP="000372DA">
      <w:pPr>
        <w:widowControl w:val="0"/>
        <w:autoSpaceDE w:val="0"/>
        <w:adjustRightInd w:val="0"/>
        <w:spacing w:after="0"/>
        <w:jc w:val="center"/>
        <w:rPr>
          <w:rFonts w:eastAsia="Times New Roman" w:cs="Arial"/>
          <w:i/>
        </w:rPr>
      </w:pPr>
      <w:r w:rsidRPr="00AB225E">
        <w:rPr>
          <w:rFonts w:eastAsia="Times New Roman" w:cs="Arial"/>
          <w:i/>
          <w:iCs/>
        </w:rPr>
        <w:t xml:space="preserve">NB: Proposed </w:t>
      </w:r>
      <w:r>
        <w:rPr>
          <w:rFonts w:eastAsia="Times New Roman" w:cs="Arial"/>
          <w:i/>
          <w:iCs/>
        </w:rPr>
        <w:t xml:space="preserve">new text to Decisions </w:t>
      </w:r>
      <w:r>
        <w:rPr>
          <w:rFonts w:cs="Arial"/>
          <w:i/>
          <w:iCs/>
          <w:sz w:val="21"/>
          <w:szCs w:val="21"/>
        </w:rPr>
        <w:t xml:space="preserve">originating from COP12 </w:t>
      </w:r>
      <w:r w:rsidRPr="00AB225E">
        <w:rPr>
          <w:rFonts w:eastAsia="Times New Roman" w:cs="Arial"/>
          <w:i/>
          <w:iCs/>
        </w:rPr>
        <w:t xml:space="preserve">is </w:t>
      </w:r>
      <w:r w:rsidRPr="00AB225E">
        <w:rPr>
          <w:rFonts w:eastAsia="Times New Roman" w:cs="Arial"/>
          <w:i/>
          <w:iCs/>
          <w:u w:val="single"/>
        </w:rPr>
        <w:t>underlined.</w:t>
      </w:r>
      <w:r w:rsidRPr="00AB225E">
        <w:rPr>
          <w:rFonts w:eastAsia="Times New Roman" w:cs="Arial"/>
          <w:i/>
          <w:iCs/>
        </w:rPr>
        <w:t xml:space="preserve"> Text to be deleted is </w:t>
      </w:r>
      <w:r w:rsidRPr="00AB225E">
        <w:rPr>
          <w:rFonts w:eastAsia="Times New Roman" w:cs="Arial"/>
          <w:i/>
          <w:iCs/>
          <w:strike/>
        </w:rPr>
        <w:t>crossed out</w:t>
      </w:r>
      <w:r w:rsidRPr="00AB225E">
        <w:rPr>
          <w:rFonts w:eastAsia="Times New Roman" w:cs="Arial"/>
          <w:i/>
          <w:iCs/>
        </w:rPr>
        <w:t>.</w:t>
      </w:r>
    </w:p>
    <w:p w:rsidR="000372DA" w:rsidRDefault="000372DA" w:rsidP="000372DA">
      <w:pPr>
        <w:widowControl w:val="0"/>
        <w:autoSpaceDE w:val="0"/>
        <w:adjustRightInd w:val="0"/>
        <w:spacing w:after="0"/>
        <w:rPr>
          <w:rFonts w:eastAsia="Times New Roman" w:cs="Arial"/>
        </w:rPr>
      </w:pPr>
    </w:p>
    <w:p w:rsidR="000372DA" w:rsidRPr="00E83CE8" w:rsidRDefault="000372DA" w:rsidP="000372DA">
      <w:pPr>
        <w:widowControl w:val="0"/>
        <w:autoSpaceDE w:val="0"/>
        <w:adjustRightInd w:val="0"/>
        <w:spacing w:after="0"/>
        <w:jc w:val="both"/>
        <w:rPr>
          <w:rFonts w:eastAsia="Times New Roman" w:cs="Arial"/>
          <w:b/>
          <w:i/>
        </w:rPr>
      </w:pPr>
      <w:r w:rsidRPr="00E83CE8">
        <w:rPr>
          <w:rFonts w:eastAsia="Times New Roman" w:cs="Arial"/>
          <w:b/>
          <w:i/>
        </w:rPr>
        <w:t>Directed to Parties, intergovernmental and non-governmental organizations and donors</w:t>
      </w:r>
    </w:p>
    <w:p w:rsidR="000372DA" w:rsidRDefault="000372DA" w:rsidP="000372DA">
      <w:pPr>
        <w:widowControl w:val="0"/>
        <w:autoSpaceDE w:val="0"/>
        <w:adjustRightInd w:val="0"/>
        <w:spacing w:after="0"/>
        <w:jc w:val="both"/>
        <w:rPr>
          <w:rFonts w:eastAsia="Times New Roman" w:cs="Arial"/>
        </w:rPr>
      </w:pPr>
    </w:p>
    <w:p w:rsidR="000372DA" w:rsidRDefault="000372DA" w:rsidP="000372DA">
      <w:pPr>
        <w:widowControl w:val="0"/>
        <w:autoSpaceDE w:val="0"/>
        <w:adjustRightInd w:val="0"/>
        <w:spacing w:after="0"/>
        <w:ind w:left="1560" w:hanging="1560"/>
        <w:jc w:val="both"/>
        <w:rPr>
          <w:rFonts w:eastAsia="Times New Roman" w:cs="Arial"/>
        </w:rPr>
      </w:pPr>
      <w:r>
        <w:rPr>
          <w:rFonts w:eastAsia="Times New Roman" w:cs="Arial"/>
        </w:rPr>
        <w:t xml:space="preserve">13.AA </w:t>
      </w:r>
      <w:r w:rsidRPr="004012D2">
        <w:rPr>
          <w:rFonts w:eastAsia="Times New Roman" w:cs="Arial"/>
        </w:rPr>
        <w:t>(12.18)</w:t>
      </w:r>
      <w:r>
        <w:rPr>
          <w:rFonts w:eastAsia="Times New Roman" w:cs="Arial"/>
        </w:rPr>
        <w:tab/>
      </w:r>
      <w:r w:rsidRPr="003D18AF">
        <w:rPr>
          <w:rFonts w:eastAsia="Times New Roman" w:cs="Arial"/>
        </w:rPr>
        <w:t>Parties, intergovernmental and non-governmental organizations and donors are encouraged to:</w:t>
      </w:r>
    </w:p>
    <w:p w:rsidR="000372DA" w:rsidRPr="003D18AF" w:rsidRDefault="000372DA" w:rsidP="000372DA">
      <w:pPr>
        <w:widowControl w:val="0"/>
        <w:autoSpaceDE w:val="0"/>
        <w:adjustRightInd w:val="0"/>
        <w:spacing w:after="0"/>
        <w:jc w:val="both"/>
        <w:rPr>
          <w:rFonts w:eastAsia="Times New Roman" w:cs="Arial"/>
        </w:rPr>
      </w:pPr>
    </w:p>
    <w:p w:rsidR="000372DA" w:rsidRDefault="000372DA" w:rsidP="000372DA">
      <w:pPr>
        <w:widowControl w:val="0"/>
        <w:numPr>
          <w:ilvl w:val="0"/>
          <w:numId w:val="14"/>
        </w:numPr>
        <w:autoSpaceDE w:val="0"/>
        <w:autoSpaceDN w:val="0"/>
        <w:adjustRightInd w:val="0"/>
        <w:spacing w:after="0" w:line="240" w:lineRule="auto"/>
        <w:ind w:left="1985" w:hanging="425"/>
        <w:jc w:val="both"/>
        <w:rPr>
          <w:rFonts w:eastAsia="Times New Roman" w:cs="Arial"/>
        </w:rPr>
      </w:pPr>
      <w:r>
        <w:rPr>
          <w:rFonts w:eastAsia="Times New Roman" w:cs="Arial"/>
        </w:rPr>
        <w:t>p</w:t>
      </w:r>
      <w:r w:rsidRPr="003D18AF">
        <w:rPr>
          <w:rFonts w:eastAsia="Times New Roman" w:cs="Arial"/>
        </w:rPr>
        <w:t xml:space="preserve">rovide financial and technical support to the Secretariat for the appointment of a Coordinator of the Working Group for the triennium </w:t>
      </w:r>
      <w:r w:rsidRPr="001F131C">
        <w:rPr>
          <w:rFonts w:eastAsia="Times New Roman" w:cs="Arial"/>
          <w:strike/>
        </w:rPr>
        <w:t>2017-</w:t>
      </w:r>
      <w:r w:rsidRPr="003D18AF">
        <w:rPr>
          <w:rFonts w:eastAsia="Times New Roman" w:cs="Arial"/>
        </w:rPr>
        <w:t>2020</w:t>
      </w:r>
      <w:r w:rsidRPr="001F131C">
        <w:rPr>
          <w:rFonts w:eastAsia="Times New Roman" w:cs="Arial"/>
          <w:u w:val="single"/>
        </w:rPr>
        <w:t>-2023</w:t>
      </w:r>
      <w:r w:rsidRPr="003D18AF">
        <w:rPr>
          <w:rFonts w:eastAsia="Times New Roman" w:cs="Arial"/>
        </w:rPr>
        <w:t xml:space="preserve">; </w:t>
      </w:r>
    </w:p>
    <w:p w:rsidR="000372DA" w:rsidRPr="003D18AF" w:rsidRDefault="000372DA" w:rsidP="000372DA">
      <w:pPr>
        <w:widowControl w:val="0"/>
        <w:autoSpaceDE w:val="0"/>
        <w:adjustRightInd w:val="0"/>
        <w:spacing w:after="0"/>
        <w:ind w:left="1985" w:hanging="425"/>
        <w:jc w:val="both"/>
        <w:rPr>
          <w:rFonts w:eastAsia="Times New Roman" w:cs="Arial"/>
        </w:rPr>
      </w:pPr>
    </w:p>
    <w:p w:rsidR="000372DA" w:rsidRDefault="000372DA" w:rsidP="000372DA">
      <w:pPr>
        <w:widowControl w:val="0"/>
        <w:numPr>
          <w:ilvl w:val="0"/>
          <w:numId w:val="14"/>
        </w:numPr>
        <w:autoSpaceDE w:val="0"/>
        <w:autoSpaceDN w:val="0"/>
        <w:adjustRightInd w:val="0"/>
        <w:spacing w:after="0" w:line="240" w:lineRule="auto"/>
        <w:ind w:left="1985" w:hanging="425"/>
        <w:jc w:val="both"/>
        <w:rPr>
          <w:rFonts w:eastAsia="Times New Roman" w:cs="Arial"/>
        </w:rPr>
      </w:pPr>
      <w:r>
        <w:rPr>
          <w:rFonts w:eastAsia="Times New Roman" w:cs="Arial"/>
        </w:rPr>
        <w:t>p</w:t>
      </w:r>
      <w:r w:rsidRPr="003D18AF">
        <w:rPr>
          <w:rFonts w:eastAsia="Times New Roman" w:cs="Arial"/>
        </w:rPr>
        <w:t xml:space="preserve">rovide financial and technical support to the Secretariat for implementing the Programme of Work of the Preventing Poisoning Working Group (PPWG), and particularly for the organization of regional workshops in high risk areas/flyways within the triennium </w:t>
      </w:r>
      <w:r w:rsidRPr="001F131C">
        <w:rPr>
          <w:rFonts w:eastAsia="Times New Roman" w:cs="Arial"/>
          <w:strike/>
        </w:rPr>
        <w:t>2017-</w:t>
      </w:r>
      <w:r w:rsidRPr="003D18AF">
        <w:rPr>
          <w:rFonts w:eastAsia="Times New Roman" w:cs="Arial"/>
        </w:rPr>
        <w:t>2020</w:t>
      </w:r>
      <w:r w:rsidRPr="001F131C">
        <w:rPr>
          <w:rFonts w:eastAsia="Times New Roman" w:cs="Arial"/>
          <w:u w:val="single"/>
        </w:rPr>
        <w:t>-2023</w:t>
      </w:r>
      <w:r w:rsidRPr="003D18AF">
        <w:rPr>
          <w:rFonts w:eastAsia="Times New Roman" w:cs="Arial"/>
        </w:rPr>
        <w:t>.</w:t>
      </w:r>
    </w:p>
    <w:p w:rsidR="000372DA" w:rsidRDefault="000372DA" w:rsidP="000372DA">
      <w:pPr>
        <w:widowControl w:val="0"/>
        <w:autoSpaceDE w:val="0"/>
        <w:adjustRightInd w:val="0"/>
        <w:spacing w:after="0"/>
        <w:ind w:left="1440"/>
        <w:jc w:val="both"/>
        <w:rPr>
          <w:rFonts w:eastAsia="Times New Roman" w:cs="Arial"/>
        </w:rPr>
      </w:pPr>
    </w:p>
    <w:p w:rsidR="000372DA" w:rsidRDefault="000372DA" w:rsidP="000372DA">
      <w:pPr>
        <w:widowControl w:val="0"/>
        <w:autoSpaceDE w:val="0"/>
        <w:adjustRightInd w:val="0"/>
        <w:spacing w:after="0"/>
        <w:jc w:val="both"/>
        <w:rPr>
          <w:rFonts w:eastAsia="Times New Roman" w:cs="Arial"/>
          <w:b/>
          <w:i/>
        </w:rPr>
      </w:pPr>
      <w:r>
        <w:rPr>
          <w:rFonts w:eastAsia="Times New Roman" w:cs="Arial"/>
          <w:b/>
          <w:i/>
        </w:rPr>
        <w:t xml:space="preserve">Directed to the </w:t>
      </w:r>
      <w:r w:rsidRPr="00DA1558">
        <w:rPr>
          <w:rFonts w:eastAsia="Times New Roman" w:cs="Arial"/>
          <w:b/>
          <w:i/>
        </w:rPr>
        <w:t>European Union and its Member States</w:t>
      </w:r>
      <w:r>
        <w:rPr>
          <w:rFonts w:eastAsia="Times New Roman" w:cs="Arial"/>
          <w:b/>
          <w:i/>
        </w:rPr>
        <w:t xml:space="preserve"> </w:t>
      </w:r>
    </w:p>
    <w:p w:rsidR="000372DA" w:rsidRDefault="000372DA" w:rsidP="000372DA">
      <w:pPr>
        <w:widowControl w:val="0"/>
        <w:autoSpaceDE w:val="0"/>
        <w:adjustRightInd w:val="0"/>
        <w:spacing w:after="0"/>
        <w:jc w:val="both"/>
        <w:rPr>
          <w:rFonts w:eastAsia="Times New Roman" w:cs="Arial"/>
          <w:b/>
          <w:i/>
        </w:rPr>
      </w:pPr>
    </w:p>
    <w:p w:rsidR="000372DA" w:rsidRPr="004A1638" w:rsidRDefault="000372DA" w:rsidP="000372DA">
      <w:pPr>
        <w:widowControl w:val="0"/>
        <w:autoSpaceDE w:val="0"/>
        <w:adjustRightInd w:val="0"/>
        <w:spacing w:after="0"/>
        <w:ind w:left="1560" w:hanging="1560"/>
        <w:jc w:val="both"/>
        <w:rPr>
          <w:rFonts w:cs="Arial"/>
        </w:rPr>
      </w:pPr>
      <w:r w:rsidRPr="000372DA">
        <w:rPr>
          <w:rFonts w:eastAsia="Times New Roman" w:cs="Arial"/>
        </w:rPr>
        <w:t>13.BB</w:t>
      </w:r>
      <w:r>
        <w:rPr>
          <w:rFonts w:eastAsia="Times New Roman" w:cs="Arial"/>
        </w:rPr>
        <w:tab/>
      </w:r>
      <w:proofErr w:type="gramStart"/>
      <w:r w:rsidRPr="000372DA">
        <w:rPr>
          <w:rFonts w:eastAsia="Times New Roman" w:cs="Arial"/>
        </w:rPr>
        <w:t>The</w:t>
      </w:r>
      <w:proofErr w:type="gramEnd"/>
      <w:r w:rsidRPr="000372DA">
        <w:rPr>
          <w:rFonts w:eastAsia="Times New Roman" w:cs="Arial"/>
        </w:rPr>
        <w:t xml:space="preserve"> European Union and its Member States are encouraged to</w:t>
      </w:r>
      <w:r w:rsidRPr="000372DA">
        <w:rPr>
          <w:rFonts w:cs="Arial"/>
        </w:rPr>
        <w:t xml:space="preserve"> complete their process under the REACH regulation </w:t>
      </w:r>
      <w:r w:rsidRPr="000372DA">
        <w:rPr>
          <w:rFonts w:eastAsia="Times New Roman" w:cs="Arial"/>
        </w:rPr>
        <w:t xml:space="preserve">(Registration, Evaluation, Authorization and Restriction of Chemicals; </w:t>
      </w:r>
      <w:r w:rsidRPr="000372DA">
        <w:rPr>
          <w:rFonts w:cs="Arial"/>
        </w:rPr>
        <w:t>(EG Nr. 1907/2006</w:t>
      </w:r>
      <w:r w:rsidRPr="000372DA">
        <w:rPr>
          <w:rFonts w:eastAsia="Times New Roman" w:cs="Arial"/>
        </w:rPr>
        <w:t xml:space="preserve">)) </w:t>
      </w:r>
      <w:r w:rsidRPr="000372DA">
        <w:rPr>
          <w:rFonts w:cs="Arial"/>
        </w:rPr>
        <w:t xml:space="preserve">to ban the use of lead shot in wetlands and support the restriction proposal in the form proposed by the </w:t>
      </w:r>
      <w:r w:rsidRPr="000372DA">
        <w:rPr>
          <w:rFonts w:eastAsia="Times New Roman" w:cs="Arial"/>
        </w:rPr>
        <w:t>European Chemicals Agency</w:t>
      </w:r>
      <w:r w:rsidRPr="000372DA">
        <w:rPr>
          <w:rFonts w:cs="Arial"/>
        </w:rPr>
        <w:t xml:space="preserve"> (ECHA) which harmonizes restrictions across all wetlands in Europe.</w:t>
      </w:r>
    </w:p>
    <w:p w:rsidR="000372DA" w:rsidRPr="00C605C9" w:rsidRDefault="000372DA" w:rsidP="000372DA">
      <w:pPr>
        <w:widowControl w:val="0"/>
        <w:autoSpaceDE w:val="0"/>
        <w:adjustRightInd w:val="0"/>
        <w:spacing w:after="0"/>
        <w:jc w:val="both"/>
        <w:rPr>
          <w:rFonts w:eastAsia="Times New Roman" w:cs="Arial"/>
          <w:b/>
          <w:i/>
        </w:rPr>
      </w:pPr>
    </w:p>
    <w:p w:rsidR="000372DA" w:rsidRPr="00E83CE8" w:rsidRDefault="000372DA" w:rsidP="000372DA">
      <w:pPr>
        <w:widowControl w:val="0"/>
        <w:autoSpaceDE w:val="0"/>
        <w:adjustRightInd w:val="0"/>
        <w:spacing w:after="0"/>
        <w:jc w:val="both"/>
        <w:rPr>
          <w:rFonts w:eastAsia="Times New Roman" w:cs="Arial"/>
          <w:b/>
          <w:i/>
        </w:rPr>
      </w:pPr>
      <w:r w:rsidRPr="00E83CE8">
        <w:rPr>
          <w:rFonts w:eastAsia="Times New Roman" w:cs="Arial"/>
          <w:b/>
          <w:i/>
        </w:rPr>
        <w:t>Directed to the Secretariat</w:t>
      </w:r>
    </w:p>
    <w:p w:rsidR="000372DA" w:rsidRDefault="000372DA" w:rsidP="000372DA">
      <w:pPr>
        <w:widowControl w:val="0"/>
        <w:autoSpaceDE w:val="0"/>
        <w:adjustRightInd w:val="0"/>
        <w:spacing w:after="0"/>
        <w:jc w:val="both"/>
        <w:rPr>
          <w:rFonts w:eastAsia="Times New Roman" w:cs="Arial"/>
        </w:rPr>
      </w:pPr>
    </w:p>
    <w:p w:rsidR="000372DA" w:rsidRDefault="000372DA" w:rsidP="000372DA">
      <w:pPr>
        <w:widowControl w:val="0"/>
        <w:autoSpaceDE w:val="0"/>
        <w:adjustRightInd w:val="0"/>
        <w:spacing w:after="0"/>
        <w:jc w:val="both"/>
        <w:rPr>
          <w:rFonts w:eastAsia="Times New Roman" w:cs="Arial"/>
        </w:rPr>
      </w:pPr>
      <w:r>
        <w:rPr>
          <w:rFonts w:eastAsia="Times New Roman" w:cs="Arial"/>
        </w:rPr>
        <w:t xml:space="preserve">13.CC </w:t>
      </w:r>
      <w:r w:rsidRPr="004012D2">
        <w:rPr>
          <w:rFonts w:eastAsia="Times New Roman" w:cs="Arial"/>
        </w:rPr>
        <w:t>(12.19)</w:t>
      </w:r>
      <w:r>
        <w:rPr>
          <w:rFonts w:eastAsia="Times New Roman" w:cs="Arial"/>
        </w:rPr>
        <w:tab/>
      </w:r>
      <w:r w:rsidRPr="003D18AF">
        <w:rPr>
          <w:rFonts w:eastAsia="Times New Roman" w:cs="Arial"/>
        </w:rPr>
        <w:t>The Secretariat shall, subject to the availability of external resources:</w:t>
      </w:r>
    </w:p>
    <w:p w:rsidR="000372DA" w:rsidRPr="003D18AF" w:rsidRDefault="000372DA" w:rsidP="000372DA">
      <w:pPr>
        <w:widowControl w:val="0"/>
        <w:autoSpaceDE w:val="0"/>
        <w:adjustRightInd w:val="0"/>
        <w:spacing w:after="0"/>
        <w:jc w:val="both"/>
        <w:rPr>
          <w:rFonts w:eastAsia="Times New Roman" w:cs="Arial"/>
        </w:rPr>
      </w:pPr>
    </w:p>
    <w:p w:rsidR="000372DA" w:rsidRDefault="000372DA" w:rsidP="000372DA">
      <w:pPr>
        <w:widowControl w:val="0"/>
        <w:numPr>
          <w:ilvl w:val="0"/>
          <w:numId w:val="15"/>
        </w:numPr>
        <w:autoSpaceDE w:val="0"/>
        <w:autoSpaceDN w:val="0"/>
        <w:adjustRightInd w:val="0"/>
        <w:spacing w:after="0" w:line="240" w:lineRule="auto"/>
        <w:ind w:left="1985" w:hanging="425"/>
        <w:jc w:val="both"/>
        <w:rPr>
          <w:rFonts w:eastAsia="Times New Roman" w:cs="Arial"/>
        </w:rPr>
      </w:pPr>
      <w:r>
        <w:rPr>
          <w:rFonts w:eastAsia="Times New Roman" w:cs="Arial"/>
        </w:rPr>
        <w:t>a</w:t>
      </w:r>
      <w:r w:rsidRPr="003D18AF">
        <w:rPr>
          <w:rFonts w:eastAsia="Times New Roman" w:cs="Arial"/>
        </w:rPr>
        <w:t xml:space="preserve">ppoint a Coordinator of the PPWG for the triennium </w:t>
      </w:r>
      <w:r w:rsidRPr="001F131C">
        <w:rPr>
          <w:rFonts w:eastAsia="Times New Roman" w:cs="Arial"/>
          <w:strike/>
        </w:rPr>
        <w:t>2017-</w:t>
      </w:r>
      <w:r w:rsidRPr="003D18AF">
        <w:rPr>
          <w:rFonts w:eastAsia="Times New Roman" w:cs="Arial"/>
        </w:rPr>
        <w:t>2020</w:t>
      </w:r>
      <w:r w:rsidRPr="001F131C">
        <w:rPr>
          <w:rFonts w:eastAsia="Times New Roman" w:cs="Arial"/>
          <w:u w:val="single"/>
        </w:rPr>
        <w:t>-2023</w:t>
      </w:r>
      <w:r w:rsidRPr="003D18AF">
        <w:rPr>
          <w:rFonts w:eastAsia="Times New Roman" w:cs="Arial"/>
        </w:rPr>
        <w:t>, in collaboration with Parties and the PPWG;</w:t>
      </w:r>
    </w:p>
    <w:p w:rsidR="000372DA" w:rsidRPr="003D18AF" w:rsidRDefault="000372DA" w:rsidP="000372DA">
      <w:pPr>
        <w:widowControl w:val="0"/>
        <w:autoSpaceDE w:val="0"/>
        <w:adjustRightInd w:val="0"/>
        <w:spacing w:after="0"/>
        <w:ind w:left="1985" w:hanging="425"/>
        <w:jc w:val="both"/>
        <w:rPr>
          <w:rFonts w:eastAsia="Times New Roman" w:cs="Arial"/>
        </w:rPr>
      </w:pPr>
    </w:p>
    <w:p w:rsidR="000372DA" w:rsidRDefault="000372DA" w:rsidP="000372DA">
      <w:pPr>
        <w:widowControl w:val="0"/>
        <w:numPr>
          <w:ilvl w:val="0"/>
          <w:numId w:val="15"/>
        </w:numPr>
        <w:autoSpaceDE w:val="0"/>
        <w:autoSpaceDN w:val="0"/>
        <w:adjustRightInd w:val="0"/>
        <w:spacing w:after="0" w:line="240" w:lineRule="auto"/>
        <w:ind w:left="1985" w:hanging="425"/>
        <w:jc w:val="both"/>
        <w:rPr>
          <w:rFonts w:eastAsia="Times New Roman" w:cs="Arial"/>
        </w:rPr>
      </w:pPr>
      <w:r>
        <w:rPr>
          <w:rFonts w:eastAsia="Times New Roman" w:cs="Arial"/>
        </w:rPr>
        <w:t>o</w:t>
      </w:r>
      <w:r w:rsidRPr="003D18AF">
        <w:rPr>
          <w:rFonts w:eastAsia="Times New Roman" w:cs="Arial"/>
        </w:rPr>
        <w:t xml:space="preserve">rganize regional workshops in high risk areas/flyways in collaboration with Parties, the PPWG and relevant international organizations, and in accordance with the Programme of Work of the PPWG, within the triennium </w:t>
      </w:r>
      <w:r w:rsidRPr="001F131C">
        <w:rPr>
          <w:rFonts w:eastAsia="Times New Roman" w:cs="Arial"/>
          <w:strike/>
        </w:rPr>
        <w:t>2017-</w:t>
      </w:r>
      <w:r w:rsidRPr="003D18AF">
        <w:rPr>
          <w:rFonts w:eastAsia="Times New Roman" w:cs="Arial"/>
        </w:rPr>
        <w:t>2020</w:t>
      </w:r>
      <w:r w:rsidRPr="001F131C">
        <w:rPr>
          <w:rFonts w:eastAsia="Times New Roman" w:cs="Arial"/>
          <w:u w:val="single"/>
        </w:rPr>
        <w:t>-2023</w:t>
      </w:r>
      <w:r w:rsidRPr="003D18AF">
        <w:rPr>
          <w:rFonts w:eastAsia="Times New Roman" w:cs="Arial"/>
        </w:rPr>
        <w:t xml:space="preserve"> to promote the implementation of the Guidelines to Prevent the Risk of Poisoning to Migratory Birds (Annex 2 to document UNEP/CMS/COP11/Doc.23.1.2) and to share best practices and lessons learnt;</w:t>
      </w:r>
    </w:p>
    <w:p w:rsidR="000372DA" w:rsidRDefault="000372DA" w:rsidP="000372DA">
      <w:pPr>
        <w:widowControl w:val="0"/>
        <w:autoSpaceDE w:val="0"/>
        <w:adjustRightInd w:val="0"/>
        <w:spacing w:after="0"/>
        <w:ind w:left="1985" w:hanging="425"/>
        <w:jc w:val="both"/>
        <w:rPr>
          <w:rFonts w:eastAsia="Times New Roman" w:cs="Arial"/>
        </w:rPr>
      </w:pPr>
    </w:p>
    <w:p w:rsidR="000372DA" w:rsidRPr="000372DA" w:rsidRDefault="000372DA" w:rsidP="000372DA">
      <w:pPr>
        <w:widowControl w:val="0"/>
        <w:numPr>
          <w:ilvl w:val="0"/>
          <w:numId w:val="15"/>
        </w:numPr>
        <w:autoSpaceDE w:val="0"/>
        <w:autoSpaceDN w:val="0"/>
        <w:adjustRightInd w:val="0"/>
        <w:spacing w:after="0" w:line="240" w:lineRule="auto"/>
        <w:ind w:left="1985" w:hanging="425"/>
        <w:jc w:val="both"/>
        <w:rPr>
          <w:rFonts w:eastAsia="Times New Roman" w:cs="Arial"/>
        </w:rPr>
      </w:pPr>
      <w:r w:rsidRPr="000372DA">
        <w:rPr>
          <w:rFonts w:eastAsia="Times New Roman" w:cs="Arial"/>
        </w:rPr>
        <w:t xml:space="preserve">report to the </w:t>
      </w:r>
      <w:r w:rsidRPr="000372DA">
        <w:rPr>
          <w:rFonts w:eastAsia="Times New Roman" w:cs="Arial"/>
          <w:u w:val="single"/>
        </w:rPr>
        <w:t>Sessional Committee of the</w:t>
      </w:r>
      <w:r w:rsidRPr="000372DA">
        <w:rPr>
          <w:rFonts w:eastAsia="Times New Roman" w:cs="Arial"/>
        </w:rPr>
        <w:t xml:space="preserve"> Scientific Council </w:t>
      </w:r>
      <w:r w:rsidRPr="000372DA">
        <w:rPr>
          <w:rFonts w:eastAsia="Times New Roman" w:cs="Arial"/>
          <w:u w:val="single"/>
        </w:rPr>
        <w:t>at its meeting before the 14</w:t>
      </w:r>
      <w:r w:rsidRPr="000372DA">
        <w:rPr>
          <w:rFonts w:eastAsia="Times New Roman" w:cs="Arial"/>
          <w:u w:val="single"/>
          <w:vertAlign w:val="superscript"/>
        </w:rPr>
        <w:t>th</w:t>
      </w:r>
      <w:r w:rsidRPr="000372DA">
        <w:rPr>
          <w:rFonts w:eastAsia="Times New Roman" w:cs="Arial"/>
          <w:u w:val="single"/>
        </w:rPr>
        <w:t xml:space="preserve"> meeting of the Conference of the Parties </w:t>
      </w:r>
      <w:r w:rsidRPr="000372DA">
        <w:rPr>
          <w:rFonts w:eastAsia="Times New Roman" w:cs="Arial"/>
        </w:rPr>
        <w:t xml:space="preserve">and </w:t>
      </w:r>
      <w:r w:rsidRPr="000372DA">
        <w:rPr>
          <w:rFonts w:eastAsia="Times New Roman" w:cs="Arial"/>
          <w:u w:val="single"/>
        </w:rPr>
        <w:t>to</w:t>
      </w:r>
      <w:r w:rsidRPr="000372DA">
        <w:rPr>
          <w:rFonts w:eastAsia="Times New Roman" w:cs="Arial"/>
        </w:rPr>
        <w:t xml:space="preserve"> the Conference of Parties at its </w:t>
      </w:r>
      <w:r w:rsidRPr="000372DA">
        <w:rPr>
          <w:rFonts w:eastAsia="Times New Roman" w:cs="Arial"/>
          <w:strike/>
        </w:rPr>
        <w:t>13</w:t>
      </w:r>
      <w:r w:rsidRPr="000372DA">
        <w:rPr>
          <w:rFonts w:eastAsia="Times New Roman" w:cs="Arial"/>
          <w:u w:val="single"/>
        </w:rPr>
        <w:t>14</w:t>
      </w:r>
      <w:r w:rsidRPr="000372DA">
        <w:rPr>
          <w:rFonts w:eastAsia="Times New Roman" w:cs="Arial"/>
          <w:vertAlign w:val="superscript"/>
        </w:rPr>
        <w:t>th</w:t>
      </w:r>
      <w:r w:rsidRPr="000372DA">
        <w:rPr>
          <w:rFonts w:eastAsia="Times New Roman" w:cs="Arial"/>
        </w:rPr>
        <w:t xml:space="preserve"> meeting on the progress in implementing these Decisions.</w:t>
      </w:r>
    </w:p>
    <w:p w:rsidR="00642B8E" w:rsidRPr="00360838" w:rsidRDefault="00642B8E" w:rsidP="00642B8E">
      <w:pPr>
        <w:pStyle w:val="Secondnumbering"/>
        <w:numPr>
          <w:ilvl w:val="0"/>
          <w:numId w:val="0"/>
        </w:numPr>
        <w:ind w:left="1211" w:hanging="360"/>
      </w:pPr>
    </w:p>
    <w:sectPr w:rsidR="00642B8E" w:rsidRPr="00360838">
      <w:headerReference w:type="default" r:id="rId27"/>
      <w:footerReference w:type="default" r:id="rId28"/>
      <w:headerReference w:type="first" r:id="rId29"/>
      <w:footerReference w:type="first" r:id="rId30"/>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928887"/>
      <w:docPartObj>
        <w:docPartGallery w:val="Page Numbers (Bottom of Page)"/>
        <w:docPartUnique/>
      </w:docPartObj>
    </w:sdtPr>
    <w:sdtEndPr>
      <w:rPr>
        <w:noProof/>
        <w:sz w:val="18"/>
        <w:szCs w:val="18"/>
      </w:rPr>
    </w:sdtEndPr>
    <w:sdtContent>
      <w:p w:rsidR="009B053F" w:rsidRPr="009B053F" w:rsidRDefault="009B053F">
        <w:pPr>
          <w:pStyle w:val="Footer"/>
          <w:jc w:val="center"/>
          <w:rPr>
            <w:sz w:val="18"/>
            <w:szCs w:val="18"/>
          </w:rPr>
        </w:pPr>
        <w:r w:rsidRPr="009B053F">
          <w:rPr>
            <w:sz w:val="18"/>
            <w:szCs w:val="18"/>
          </w:rPr>
          <w:fldChar w:fldCharType="begin"/>
        </w:r>
        <w:r w:rsidRPr="009B053F">
          <w:rPr>
            <w:sz w:val="18"/>
            <w:szCs w:val="18"/>
          </w:rPr>
          <w:instrText xml:space="preserve"> PAGE   \* MERGEFORMAT </w:instrText>
        </w:r>
        <w:r w:rsidRPr="009B053F">
          <w:rPr>
            <w:sz w:val="18"/>
            <w:szCs w:val="18"/>
          </w:rPr>
          <w:fldChar w:fldCharType="separate"/>
        </w:r>
        <w:r w:rsidRPr="009B053F">
          <w:rPr>
            <w:noProof/>
            <w:sz w:val="18"/>
            <w:szCs w:val="18"/>
          </w:rPr>
          <w:t>2</w:t>
        </w:r>
        <w:r w:rsidRPr="009B053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00072"/>
      <w:docPartObj>
        <w:docPartGallery w:val="Page Numbers (Bottom of Page)"/>
        <w:docPartUnique/>
      </w:docPartObj>
    </w:sdtPr>
    <w:sdtEndPr>
      <w:rPr>
        <w:noProof/>
        <w:sz w:val="18"/>
        <w:szCs w:val="18"/>
      </w:rPr>
    </w:sdtEndPr>
    <w:sdtContent>
      <w:p w:rsidR="00642B8E" w:rsidRPr="00642B8E" w:rsidRDefault="00642B8E" w:rsidP="002518E1">
        <w:pPr>
          <w:pStyle w:val="Footer"/>
          <w:jc w:val="center"/>
          <w:rPr>
            <w:sz w:val="18"/>
            <w:szCs w:val="18"/>
          </w:rPr>
        </w:pPr>
        <w:r w:rsidRPr="00642B8E">
          <w:rPr>
            <w:sz w:val="18"/>
            <w:szCs w:val="18"/>
          </w:rPr>
          <w:fldChar w:fldCharType="begin"/>
        </w:r>
        <w:r w:rsidRPr="00642B8E">
          <w:rPr>
            <w:sz w:val="18"/>
            <w:szCs w:val="18"/>
          </w:rPr>
          <w:instrText xml:space="preserve"> PAGE   \* MERGEFORMAT </w:instrText>
        </w:r>
        <w:r w:rsidRPr="00642B8E">
          <w:rPr>
            <w:sz w:val="18"/>
            <w:szCs w:val="18"/>
          </w:rPr>
          <w:fldChar w:fldCharType="separate"/>
        </w:r>
        <w:r w:rsidRPr="00642B8E">
          <w:rPr>
            <w:noProof/>
            <w:sz w:val="18"/>
            <w:szCs w:val="18"/>
          </w:rPr>
          <w:t>8</w:t>
        </w:r>
        <w:r w:rsidRPr="00642B8E">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370499772"/>
      <w:docPartObj>
        <w:docPartGallery w:val="Page Numbers (Bottom of Page)"/>
        <w:docPartUnique/>
      </w:docPartObj>
    </w:sdtPr>
    <w:sdtEndPr>
      <w:rPr>
        <w:rFonts w:cs="Arial"/>
        <w:noProof/>
        <w:sz w:val="18"/>
      </w:rPr>
    </w:sdtEndPr>
    <w:sdtContent>
      <w:p w:rsidR="00642B8E" w:rsidRPr="00642B8E" w:rsidRDefault="00642B8E" w:rsidP="002518E1">
        <w:pPr>
          <w:pStyle w:val="Footer"/>
          <w:jc w:val="center"/>
          <w:rPr>
            <w:rFonts w:cs="Arial"/>
            <w:sz w:val="18"/>
            <w:szCs w:val="18"/>
          </w:rPr>
        </w:pPr>
        <w:r w:rsidRPr="00642B8E">
          <w:rPr>
            <w:rFonts w:cs="Arial"/>
            <w:sz w:val="18"/>
            <w:szCs w:val="18"/>
          </w:rPr>
          <w:fldChar w:fldCharType="begin"/>
        </w:r>
        <w:r w:rsidRPr="00642B8E">
          <w:rPr>
            <w:rFonts w:cs="Arial"/>
            <w:sz w:val="18"/>
            <w:szCs w:val="18"/>
          </w:rPr>
          <w:instrText xml:space="preserve"> PAGE   \* MERGEFORMAT </w:instrText>
        </w:r>
        <w:r w:rsidRPr="00642B8E">
          <w:rPr>
            <w:rFonts w:cs="Arial"/>
            <w:sz w:val="18"/>
            <w:szCs w:val="18"/>
          </w:rPr>
          <w:fldChar w:fldCharType="separate"/>
        </w:r>
        <w:r w:rsidRPr="00642B8E">
          <w:rPr>
            <w:rFonts w:cs="Arial"/>
            <w:noProof/>
            <w:sz w:val="18"/>
            <w:szCs w:val="18"/>
          </w:rPr>
          <w:t>7</w:t>
        </w:r>
        <w:r w:rsidRPr="00642B8E">
          <w:rPr>
            <w:rFonts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734220"/>
      <w:docPartObj>
        <w:docPartGallery w:val="Page Numbers (Bottom of Page)"/>
        <w:docPartUnique/>
      </w:docPartObj>
    </w:sdtPr>
    <w:sdtEndPr>
      <w:rPr>
        <w:rFonts w:cs="Arial"/>
        <w:noProof/>
        <w:szCs w:val="18"/>
      </w:rPr>
    </w:sdtEndPr>
    <w:sdtContent>
      <w:p w:rsidR="00642B8E" w:rsidRPr="00370338" w:rsidRDefault="00642B8E">
        <w:pPr>
          <w:pStyle w:val="Footer"/>
          <w:jc w:val="center"/>
          <w:rPr>
            <w:rFonts w:cs="Arial"/>
            <w:szCs w:val="18"/>
          </w:rPr>
        </w:pPr>
        <w:r w:rsidRPr="00370338">
          <w:rPr>
            <w:rFonts w:cs="Arial"/>
            <w:szCs w:val="18"/>
          </w:rPr>
          <w:fldChar w:fldCharType="begin"/>
        </w:r>
        <w:r w:rsidRPr="00370338">
          <w:rPr>
            <w:rFonts w:cs="Arial"/>
            <w:szCs w:val="18"/>
          </w:rPr>
          <w:instrText xml:space="preserve"> PAGE   \* MERGEFORMAT </w:instrText>
        </w:r>
        <w:r w:rsidRPr="00370338">
          <w:rPr>
            <w:rFonts w:cs="Arial"/>
            <w:szCs w:val="18"/>
          </w:rPr>
          <w:fldChar w:fldCharType="separate"/>
        </w:r>
        <w:r>
          <w:rPr>
            <w:rFonts w:cs="Arial"/>
            <w:noProof/>
            <w:szCs w:val="18"/>
          </w:rPr>
          <w:t>9</w:t>
        </w:r>
        <w:r w:rsidRPr="00370338">
          <w:rPr>
            <w:rFonts w:cs="Arial"/>
            <w:noProof/>
            <w:szCs w:val="18"/>
          </w:rPr>
          <w:fldChar w:fldCharType="end"/>
        </w:r>
      </w:p>
    </w:sdtContent>
  </w:sdt>
  <w:p w:rsidR="00642B8E" w:rsidRPr="00D605A4" w:rsidRDefault="00642B8E" w:rsidP="002518E1">
    <w:pPr>
      <w:pStyle w:val="Footer"/>
      <w:tabs>
        <w:tab w:val="right" w:pos="908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24675"/>
      <w:docPartObj>
        <w:docPartGallery w:val="Page Numbers (Bottom of Page)"/>
        <w:docPartUnique/>
      </w:docPartObj>
    </w:sdtPr>
    <w:sdtEndPr>
      <w:rPr>
        <w:rFonts w:cs="Arial"/>
        <w:noProof/>
        <w:sz w:val="18"/>
        <w:szCs w:val="18"/>
      </w:rPr>
    </w:sdtEndPr>
    <w:sdtContent>
      <w:p w:rsidR="000372DA" w:rsidRPr="000372DA" w:rsidRDefault="000372DA">
        <w:pPr>
          <w:pStyle w:val="Footer"/>
          <w:jc w:val="center"/>
          <w:rPr>
            <w:rFonts w:cs="Arial"/>
            <w:sz w:val="18"/>
            <w:szCs w:val="18"/>
          </w:rPr>
        </w:pPr>
        <w:r w:rsidRPr="000372DA">
          <w:rPr>
            <w:rFonts w:cs="Arial"/>
            <w:sz w:val="18"/>
            <w:szCs w:val="18"/>
          </w:rPr>
          <w:fldChar w:fldCharType="begin"/>
        </w:r>
        <w:r w:rsidRPr="000372DA">
          <w:rPr>
            <w:rFonts w:cs="Arial"/>
            <w:sz w:val="18"/>
            <w:szCs w:val="18"/>
          </w:rPr>
          <w:instrText xml:space="preserve"> PAGE   \* MERGEFORMAT </w:instrText>
        </w:r>
        <w:r w:rsidRPr="000372DA">
          <w:rPr>
            <w:rFonts w:cs="Arial"/>
            <w:sz w:val="18"/>
            <w:szCs w:val="18"/>
          </w:rPr>
          <w:fldChar w:fldCharType="separate"/>
        </w:r>
        <w:r w:rsidRPr="000372DA">
          <w:rPr>
            <w:rFonts w:cs="Arial"/>
            <w:noProof/>
            <w:sz w:val="18"/>
            <w:szCs w:val="18"/>
          </w:rPr>
          <w:t>9</w:t>
        </w:r>
        <w:r w:rsidRPr="000372DA">
          <w:rPr>
            <w:rFonts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88" w:rsidRDefault="000372DA">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88" w:rsidRPr="000372DA" w:rsidRDefault="000372DA">
    <w:pPr>
      <w:pStyle w:val="Footer"/>
      <w:jc w:val="center"/>
      <w:rPr>
        <w:sz w:val="18"/>
        <w:szCs w:val="18"/>
      </w:rPr>
    </w:pPr>
    <w:r w:rsidRPr="000372DA">
      <w:rPr>
        <w:sz w:val="18"/>
        <w:szCs w:val="18"/>
      </w:rPr>
      <w:fldChar w:fldCharType="begin"/>
    </w:r>
    <w:r w:rsidRPr="000372DA">
      <w:rPr>
        <w:sz w:val="18"/>
        <w:szCs w:val="18"/>
      </w:rPr>
      <w:instrText xml:space="preserve"> PAGE </w:instrText>
    </w:r>
    <w:r w:rsidRPr="000372DA">
      <w:rPr>
        <w:sz w:val="18"/>
        <w:szCs w:val="18"/>
      </w:rPr>
      <w:fldChar w:fldCharType="separate"/>
    </w:r>
    <w:r w:rsidRPr="000372DA">
      <w:rPr>
        <w:sz w:val="18"/>
        <w:szCs w:val="18"/>
      </w:rPr>
      <w:t>2</w:t>
    </w:r>
    <w:r w:rsidRPr="000372D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 w:id="1">
    <w:p w:rsidR="009B053F" w:rsidRPr="000372DA" w:rsidRDefault="009B053F" w:rsidP="000372DA">
      <w:pPr>
        <w:pStyle w:val="FootnoteText"/>
        <w:ind w:left="142" w:hanging="142"/>
        <w:rPr>
          <w:rFonts w:ascii="Arial" w:hAnsi="Arial" w:cs="Arial"/>
          <w:sz w:val="16"/>
          <w:szCs w:val="16"/>
          <w:lang w:val="en-GB"/>
        </w:rPr>
      </w:pPr>
      <w:r w:rsidRPr="000372DA">
        <w:rPr>
          <w:rStyle w:val="FootnoteReference"/>
          <w:rFonts w:ascii="Arial" w:hAnsi="Arial" w:cs="Arial"/>
          <w:sz w:val="16"/>
          <w:szCs w:val="16"/>
          <w:vertAlign w:val="superscript"/>
        </w:rPr>
        <w:footnoteRef/>
      </w:r>
      <w:r w:rsidRPr="000372DA">
        <w:rPr>
          <w:rFonts w:ascii="Arial" w:hAnsi="Arial" w:cs="Arial"/>
          <w:sz w:val="16"/>
          <w:szCs w:val="16"/>
        </w:rPr>
        <w:t xml:space="preserve"> Established pursuant to Resolution 10.26, which was superseded by Resolution 11.15 (Rev.COP12) </w:t>
      </w:r>
      <w:r w:rsidRPr="000372DA">
        <w:rPr>
          <w:rFonts w:ascii="Arial" w:hAnsi="Arial" w:cs="Arial"/>
          <w:i/>
          <w:sz w:val="16"/>
          <w:szCs w:val="16"/>
        </w:rPr>
        <w:t>Preventing Poisoning of Migratory Birds</w:t>
      </w:r>
    </w:p>
  </w:footnote>
  <w:footnote w:id="2">
    <w:p w:rsidR="00642B8E" w:rsidRPr="00765716" w:rsidRDefault="00642B8E" w:rsidP="00642B8E">
      <w:pPr>
        <w:pStyle w:val="FootnoteText"/>
        <w:rPr>
          <w:rFonts w:ascii="Arial" w:hAnsi="Arial" w:cs="Arial"/>
          <w:sz w:val="18"/>
          <w:szCs w:val="18"/>
        </w:rPr>
      </w:pPr>
      <w:r w:rsidRPr="00765716">
        <w:rPr>
          <w:rStyle w:val="FootnoteReference"/>
          <w:rFonts w:ascii="Arial" w:hAnsi="Arial" w:cs="Arial"/>
          <w:sz w:val="18"/>
          <w:szCs w:val="18"/>
          <w:vertAlign w:val="superscript"/>
        </w:rPr>
        <w:footnoteRef/>
      </w:r>
      <w:r w:rsidRPr="00765716">
        <w:rPr>
          <w:rFonts w:ascii="Arial" w:hAnsi="Arial" w:cs="Arial"/>
          <w:sz w:val="18"/>
          <w:szCs w:val="18"/>
        </w:rPr>
        <w:t xml:space="preserve"> Superseded by Resolution 11.15</w:t>
      </w:r>
      <w:r w:rsidRPr="005A0E84">
        <w:rPr>
          <w:rFonts w:ascii="Arial" w:hAnsi="Arial" w:cs="Arial"/>
          <w:sz w:val="18"/>
          <w:szCs w:val="18"/>
          <w:u w:val="single"/>
        </w:rPr>
        <w:t xml:space="preserve"> (Rev.COP12)</w:t>
      </w:r>
      <w:r w:rsidRPr="00765716">
        <w:rPr>
          <w:rFonts w:ascii="Arial" w:hAnsi="Arial" w:cs="Arial"/>
          <w:sz w:val="18"/>
          <w:szCs w:val="18"/>
        </w:rPr>
        <w:t xml:space="preserve"> </w:t>
      </w:r>
      <w:r w:rsidRPr="00B36CDA">
        <w:rPr>
          <w:rFonts w:ascii="Arial" w:hAnsi="Arial" w:cs="Arial"/>
          <w:i/>
          <w:sz w:val="18"/>
          <w:szCs w:val="18"/>
        </w:rPr>
        <w:t>Preventing Poisoning of Migratory Birds</w:t>
      </w:r>
    </w:p>
    <w:p w:rsidR="00642B8E" w:rsidRPr="008F077C" w:rsidRDefault="00642B8E" w:rsidP="00642B8E">
      <w:pPr>
        <w:pStyle w:val="FootnoteText"/>
      </w:pPr>
    </w:p>
  </w:footnote>
  <w:footnote w:id="3">
    <w:p w:rsidR="00642B8E" w:rsidRPr="00757AE7" w:rsidRDefault="00642B8E" w:rsidP="00642B8E">
      <w:pPr>
        <w:pStyle w:val="FootnoteText"/>
        <w:tabs>
          <w:tab w:val="left" w:pos="284"/>
        </w:tabs>
        <w:rPr>
          <w:rFonts w:cs="Arial"/>
          <w:szCs w:val="18"/>
        </w:rPr>
      </w:pPr>
      <w:r w:rsidRPr="00757AE7">
        <w:rPr>
          <w:rStyle w:val="FootnoteReference"/>
          <w:rFonts w:cs="Arial"/>
          <w:vertAlign w:val="superscript"/>
        </w:rPr>
        <w:footnoteRef/>
      </w:r>
      <w:r w:rsidRPr="00757AE7">
        <w:rPr>
          <w:rFonts w:cs="Arial"/>
          <w:szCs w:val="18"/>
        </w:rPr>
        <w:t xml:space="preserve"> </w:t>
      </w:r>
      <w:r w:rsidRPr="00757AE7">
        <w:rPr>
          <w:rFonts w:cs="Arial"/>
          <w:szCs w:val="18"/>
        </w:rPr>
        <w:tab/>
      </w:r>
      <w:r w:rsidRPr="00B36CDA">
        <w:rPr>
          <w:rFonts w:ascii="Arial" w:hAnsi="Arial" w:cs="Arial"/>
          <w:sz w:val="16"/>
          <w:szCs w:val="16"/>
          <w:lang w:val="en-GB"/>
        </w:rPr>
        <w:t>Under the name Minimising the Risk of Poisoning to Migratory Birds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9B053F">
      <w:rPr>
        <w:rFonts w:eastAsia="Times New Roman" w:cs="Arial"/>
        <w:i/>
        <w:sz w:val="18"/>
        <w:szCs w:val="18"/>
      </w:rPr>
      <w:t>26.1.3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2DA" w:rsidRPr="002E0DE9" w:rsidRDefault="000372DA" w:rsidP="000372DA">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 xml:space="preserve">26.1.3/Annex </w:t>
    </w:r>
    <w:r>
      <w:rPr>
        <w:rFonts w:eastAsia="Times New Roman" w:cs="Arial"/>
        <w:i/>
        <w:sz w:val="18"/>
        <w:szCs w:val="18"/>
      </w:rPr>
      <w:t>2</w:t>
    </w:r>
  </w:p>
  <w:p w:rsidR="00E12288" w:rsidRPr="000372DA" w:rsidRDefault="000372DA" w:rsidP="0003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9B053F">
    <w:pPr>
      <w:pStyle w:val="Header"/>
      <w:pBdr>
        <w:bottom w:val="single" w:sz="4" w:space="1" w:color="auto"/>
      </w:pBdr>
      <w:jc w:val="right"/>
      <w:rPr>
        <w:i/>
        <w:sz w:val="18"/>
        <w:szCs w:val="18"/>
      </w:rPr>
    </w:pPr>
    <w:r w:rsidRPr="002E0DE9">
      <w:rPr>
        <w:rFonts w:eastAsia="Times New Roman" w:cs="Arial"/>
        <w:i/>
        <w:sz w:val="18"/>
        <w:szCs w:val="18"/>
      </w:rPr>
      <w:t>UNEP/CMS/COP13/Doc.</w:t>
    </w:r>
    <w:r w:rsidR="009B053F">
      <w:rPr>
        <w:rFonts w:eastAsia="Times New Roman" w:cs="Arial"/>
        <w:i/>
        <w:sz w:val="18"/>
        <w:szCs w:val="18"/>
      </w:rPr>
      <w:t>26.1.3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B8E" w:rsidRPr="002E0DE9" w:rsidRDefault="00642B8E" w:rsidP="00642B8E">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26.1.3</w:t>
    </w:r>
    <w:r>
      <w:rPr>
        <w:rFonts w:eastAsia="Times New Roman" w:cs="Arial"/>
        <w:i/>
        <w:sz w:val="18"/>
        <w:szCs w:val="18"/>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B8E" w:rsidRPr="002E0DE9" w:rsidRDefault="00642B8E" w:rsidP="00642B8E">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26.1.3/Annex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B8E" w:rsidRDefault="00642B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2DA" w:rsidRPr="002E0DE9" w:rsidRDefault="000372DA" w:rsidP="00642B8E">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26.1.3/Annex 1</w:t>
    </w:r>
  </w:p>
  <w:p w:rsidR="000372DA" w:rsidRPr="00642B8E" w:rsidRDefault="000372DA" w:rsidP="00642B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B8E" w:rsidRPr="002E0DE9" w:rsidRDefault="00642B8E" w:rsidP="00642B8E">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26.1.3</w:t>
    </w:r>
    <w:r w:rsidR="000372DA">
      <w:rPr>
        <w:rFonts w:eastAsia="Times New Roman" w:cs="Arial"/>
        <w:i/>
        <w:sz w:val="18"/>
        <w:szCs w:val="18"/>
      </w:rPr>
      <w:t>/Annex 1</w:t>
    </w:r>
  </w:p>
  <w:p w:rsidR="00642B8E" w:rsidRDefault="00642B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88" w:rsidRDefault="000372DA" w:rsidP="003B0A20">
    <w:pPr>
      <w:pStyle w:val="Header"/>
      <w:pBdr>
        <w:bottom w:val="single" w:sz="4" w:space="1" w:color="000000"/>
      </w:pBdr>
    </w:pPr>
    <w:r>
      <w:rPr>
        <w:rFonts w:cs="Arial"/>
        <w:i/>
        <w:sz w:val="18"/>
        <w:szCs w:val="18"/>
        <w:lang w:val="de-DE"/>
      </w:rPr>
      <w:t>UNEP/CMS/COP13/Doc.</w:t>
    </w:r>
    <w:r>
      <w:rPr>
        <w:rFonts w:cs="Arial"/>
        <w:i/>
        <w:sz w:val="18"/>
        <w:szCs w:val="18"/>
        <w:shd w:val="clear" w:color="auto" w:fill="FFFF00"/>
        <w:lang w:val="de-DE"/>
      </w:rPr>
      <w:t>26.1.3</w:t>
    </w:r>
  </w:p>
  <w:p w:rsidR="00E12288" w:rsidRDefault="000372DA">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ABE3998"/>
    <w:multiLevelType w:val="hybridMultilevel"/>
    <w:tmpl w:val="79BC9E50"/>
    <w:lvl w:ilvl="0" w:tplc="110A2A36">
      <w:start w:val="1"/>
      <w:numFmt w:val="decimal"/>
      <w:lvlText w:val="%1."/>
      <w:lvlJc w:val="left"/>
      <w:pPr>
        <w:ind w:left="601" w:hanging="360"/>
      </w:pPr>
      <w:rPr>
        <w:rFonts w:ascii="Arial" w:eastAsia="Arial" w:hAnsi="Arial" w:cs="Arial" w:hint="default"/>
        <w:spacing w:val="-1"/>
        <w:w w:val="100"/>
        <w:sz w:val="22"/>
        <w:szCs w:val="22"/>
        <w:lang w:val="en-US" w:eastAsia="en-US" w:bidi="en-US"/>
      </w:rPr>
    </w:lvl>
    <w:lvl w:ilvl="1" w:tplc="A93E5B30">
      <w:numFmt w:val="bullet"/>
      <w:lvlText w:val="•"/>
      <w:lvlJc w:val="left"/>
      <w:pPr>
        <w:ind w:left="1518" w:hanging="360"/>
      </w:pPr>
      <w:rPr>
        <w:lang w:val="en-US" w:eastAsia="en-US" w:bidi="en-US"/>
      </w:rPr>
    </w:lvl>
    <w:lvl w:ilvl="2" w:tplc="BAECA618">
      <w:numFmt w:val="bullet"/>
      <w:lvlText w:val="•"/>
      <w:lvlJc w:val="left"/>
      <w:pPr>
        <w:ind w:left="2436" w:hanging="360"/>
      </w:pPr>
      <w:rPr>
        <w:lang w:val="en-US" w:eastAsia="en-US" w:bidi="en-US"/>
      </w:rPr>
    </w:lvl>
    <w:lvl w:ilvl="3" w:tplc="96D62BB6">
      <w:numFmt w:val="bullet"/>
      <w:lvlText w:val="•"/>
      <w:lvlJc w:val="left"/>
      <w:pPr>
        <w:ind w:left="3355" w:hanging="360"/>
      </w:pPr>
      <w:rPr>
        <w:lang w:val="en-US" w:eastAsia="en-US" w:bidi="en-US"/>
      </w:rPr>
    </w:lvl>
    <w:lvl w:ilvl="4" w:tplc="662039E8">
      <w:numFmt w:val="bullet"/>
      <w:lvlText w:val="•"/>
      <w:lvlJc w:val="left"/>
      <w:pPr>
        <w:ind w:left="4273" w:hanging="360"/>
      </w:pPr>
      <w:rPr>
        <w:lang w:val="en-US" w:eastAsia="en-US" w:bidi="en-US"/>
      </w:rPr>
    </w:lvl>
    <w:lvl w:ilvl="5" w:tplc="EE5A82C0">
      <w:numFmt w:val="bullet"/>
      <w:lvlText w:val="•"/>
      <w:lvlJc w:val="left"/>
      <w:pPr>
        <w:ind w:left="5192" w:hanging="360"/>
      </w:pPr>
      <w:rPr>
        <w:lang w:val="en-US" w:eastAsia="en-US" w:bidi="en-US"/>
      </w:rPr>
    </w:lvl>
    <w:lvl w:ilvl="6" w:tplc="7488DF62">
      <w:numFmt w:val="bullet"/>
      <w:lvlText w:val="•"/>
      <w:lvlJc w:val="left"/>
      <w:pPr>
        <w:ind w:left="6110" w:hanging="360"/>
      </w:pPr>
      <w:rPr>
        <w:lang w:val="en-US" w:eastAsia="en-US" w:bidi="en-US"/>
      </w:rPr>
    </w:lvl>
    <w:lvl w:ilvl="7" w:tplc="66ECF85C">
      <w:numFmt w:val="bullet"/>
      <w:lvlText w:val="•"/>
      <w:lvlJc w:val="left"/>
      <w:pPr>
        <w:ind w:left="7028" w:hanging="360"/>
      </w:pPr>
      <w:rPr>
        <w:lang w:val="en-US" w:eastAsia="en-US" w:bidi="en-US"/>
      </w:rPr>
    </w:lvl>
    <w:lvl w:ilvl="8" w:tplc="9CBA0BF4">
      <w:numFmt w:val="bullet"/>
      <w:lvlText w:val="•"/>
      <w:lvlJc w:val="left"/>
      <w:pPr>
        <w:ind w:left="7947" w:hanging="360"/>
      </w:pPr>
      <w:rPr>
        <w:lang w:val="en-US" w:eastAsia="en-US" w:bidi="en-US"/>
      </w:rPr>
    </w:lvl>
  </w:abstractNum>
  <w:abstractNum w:abstractNumId="2"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17AC"/>
    <w:multiLevelType w:val="hybridMultilevel"/>
    <w:tmpl w:val="B200329E"/>
    <w:lvl w:ilvl="0" w:tplc="35600096">
      <w:start w:val="1"/>
      <w:numFmt w:val="decimal"/>
      <w:lvlText w:val="%1."/>
      <w:lvlJc w:val="left"/>
      <w:pPr>
        <w:ind w:left="36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23DF48E4"/>
    <w:multiLevelType w:val="hybridMultilevel"/>
    <w:tmpl w:val="4EC0A936"/>
    <w:lvl w:ilvl="0" w:tplc="9128402C">
      <w:start w:val="1"/>
      <w:numFmt w:val="lowerLetter"/>
      <w:pStyle w:val="Secondnumbering"/>
      <w:lvlText w:val="%1)"/>
      <w:lvlJc w:val="right"/>
      <w:pPr>
        <w:ind w:left="1211"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0FE4FB2"/>
    <w:multiLevelType w:val="hybridMultilevel"/>
    <w:tmpl w:val="A5C4DCC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E1AF6"/>
    <w:multiLevelType w:val="hybridMultilevel"/>
    <w:tmpl w:val="A5C4DCC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902B12"/>
    <w:multiLevelType w:val="hybridMultilevel"/>
    <w:tmpl w:val="26CCC2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3"/>
    <w:multiLevelType w:val="hybridMultilevel"/>
    <w:tmpl w:val="141617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33519"/>
    <w:multiLevelType w:val="hybridMultilevel"/>
    <w:tmpl w:val="67F47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0"/>
  </w:num>
  <w:num w:numId="5">
    <w:abstractNumId w:val="0"/>
  </w:num>
  <w:num w:numId="6">
    <w:abstractNumId w:val="12"/>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3"/>
  </w:num>
  <w:num w:numId="10">
    <w:abstractNumId w:val="2"/>
  </w:num>
  <w:num w:numId="11">
    <w:abstractNumId w:val="6"/>
  </w:num>
  <w:num w:numId="12">
    <w:abstractNumId w:val="7"/>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372DA"/>
    <w:rsid w:val="0017266D"/>
    <w:rsid w:val="002E0DE9"/>
    <w:rsid w:val="00360838"/>
    <w:rsid w:val="00383651"/>
    <w:rsid w:val="004B7071"/>
    <w:rsid w:val="005330F7"/>
    <w:rsid w:val="00563598"/>
    <w:rsid w:val="005C47BF"/>
    <w:rsid w:val="00642B8E"/>
    <w:rsid w:val="0069797E"/>
    <w:rsid w:val="008156DF"/>
    <w:rsid w:val="008226C3"/>
    <w:rsid w:val="008B0AC3"/>
    <w:rsid w:val="008C3546"/>
    <w:rsid w:val="008D66E6"/>
    <w:rsid w:val="009B053F"/>
    <w:rsid w:val="009C1079"/>
    <w:rsid w:val="00A34291"/>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57FD"/>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rsid w:val="002E0DE9"/>
  </w:style>
  <w:style w:type="paragraph" w:styleId="Footer">
    <w:name w:val="footer"/>
    <w:basedOn w:val="Normal"/>
    <w:link w:val="FooterChar"/>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9B053F"/>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9B053F"/>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9B053F"/>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FootnoteText">
    <w:name w:val="footnote text"/>
    <w:basedOn w:val="Normal"/>
    <w:link w:val="FootnoteTextChar"/>
    <w:uiPriority w:val="99"/>
    <w:semiHidden/>
    <w:unhideWhenUsed/>
    <w:rsid w:val="009B053F"/>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B053F"/>
    <w:rPr>
      <w:rFonts w:ascii="Calibri" w:eastAsia="Calibri" w:hAnsi="Calibri" w:cs="Times New Roman"/>
      <w:sz w:val="20"/>
      <w:szCs w:val="20"/>
    </w:rPr>
  </w:style>
  <w:style w:type="character" w:styleId="FootnoteReference">
    <w:name w:val="footnote reference"/>
    <w:uiPriority w:val="99"/>
    <w:semiHidden/>
    <w:rsid w:val="009B053F"/>
    <w:rPr>
      <w:rFonts w:cs="Times New Roman"/>
    </w:rPr>
  </w:style>
  <w:style w:type="character" w:styleId="CommentReference">
    <w:name w:val="annotation reference"/>
    <w:basedOn w:val="DefaultParagraphFont"/>
    <w:uiPriority w:val="99"/>
    <w:semiHidden/>
    <w:unhideWhenUsed/>
    <w:rsid w:val="009B053F"/>
    <w:rPr>
      <w:sz w:val="16"/>
      <w:szCs w:val="16"/>
    </w:rPr>
  </w:style>
  <w:style w:type="paragraph" w:styleId="CommentText">
    <w:name w:val="annotation text"/>
    <w:basedOn w:val="Normal"/>
    <w:link w:val="CommentTextChar"/>
    <w:uiPriority w:val="99"/>
    <w:semiHidden/>
    <w:unhideWhenUsed/>
    <w:rsid w:val="009B053F"/>
    <w:pPr>
      <w:spacing w:line="240" w:lineRule="auto"/>
    </w:pPr>
    <w:rPr>
      <w:sz w:val="20"/>
      <w:szCs w:val="20"/>
    </w:rPr>
  </w:style>
  <w:style w:type="character" w:customStyle="1" w:styleId="CommentTextChar">
    <w:name w:val="Comment Text Char"/>
    <w:basedOn w:val="DefaultParagraphFont"/>
    <w:link w:val="CommentText"/>
    <w:uiPriority w:val="99"/>
    <w:semiHidden/>
    <w:rsid w:val="009B053F"/>
    <w:rPr>
      <w:sz w:val="20"/>
      <w:szCs w:val="20"/>
      <w:lang w:val="en-GB"/>
    </w:rPr>
  </w:style>
  <w:style w:type="paragraph" w:styleId="CommentSubject">
    <w:name w:val="annotation subject"/>
    <w:basedOn w:val="CommentText"/>
    <w:next w:val="CommentText"/>
    <w:link w:val="CommentSubjectChar"/>
    <w:uiPriority w:val="99"/>
    <w:semiHidden/>
    <w:unhideWhenUsed/>
    <w:rsid w:val="009B053F"/>
    <w:pPr>
      <w:suppressAutoHyphens/>
      <w:autoSpaceDN w:val="0"/>
      <w:textAlignment w:val="baseline"/>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9B053F"/>
    <w:rPr>
      <w:rFonts w:ascii="Calibri" w:eastAsia="Calibri" w:hAnsi="Calibri" w:cs="Times New Roman"/>
      <w:b/>
      <w:bCs/>
      <w:sz w:val="20"/>
      <w:szCs w:val="20"/>
      <w:lang w:val="en-GB"/>
    </w:rPr>
  </w:style>
  <w:style w:type="character" w:styleId="Hyperlink">
    <w:name w:val="Hyperlink"/>
    <w:basedOn w:val="DefaultParagraphFont"/>
    <w:uiPriority w:val="99"/>
    <w:unhideWhenUsed/>
    <w:rsid w:val="009B0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ms.int/en/document/review-ecological-effects-poisoning-migratory-birds-0"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guidelines-prevent-risk-poisoning-migratory-birds-unepcmscop11doc2312annex2"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https://www.cms.int/en/document/prevention-bird-poisoning"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en/document/programme-work-2017-2020-cms-preventing-poisoning-working-group"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35E2-2473-4EB0-B8A8-436F5F2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2019-10-08T08:45:00Z</dcterms:created>
  <dcterms:modified xsi:type="dcterms:W3CDTF">2019-10-08T08:45:00Z</dcterms:modified>
</cp:coreProperties>
</file>