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58" w:rsidRPr="00EC2A58" w:rsidRDefault="00EC2A58" w:rsidP="00D71837">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EC2A58" w:rsidTr="00561DAF">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56D14EA9" wp14:editId="36C396A4">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A02506" w:rsidRDefault="00EC2A5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sidRPr="00EC2A58">
              <w:rPr>
                <w:rFonts w:eastAsia="Arial" w:cs="Arial"/>
                <w:lang w:val="fr-FR"/>
              </w:rPr>
              <w:t>UNEP/CMS/COP13/Doc.</w:t>
            </w:r>
            <w:r w:rsidR="000A7D2C">
              <w:rPr>
                <w:rFonts w:eastAsia="Arial" w:cs="Arial"/>
                <w:lang w:val="fr-FR"/>
              </w:rPr>
              <w:t>13.1</w:t>
            </w:r>
          </w:p>
          <w:p w:rsidR="00EC2A58" w:rsidRPr="00A02506" w:rsidRDefault="000A7D2C"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Arial" w:cs="Arial"/>
                <w:lang w:val="fr-FR"/>
              </w:rPr>
            </w:pPr>
            <w:r>
              <w:rPr>
                <w:rFonts w:eastAsia="Arial" w:cs="Arial"/>
                <w:lang w:val="fr-FR"/>
              </w:rPr>
              <w:t>16 décembre</w:t>
            </w:r>
            <w:r w:rsidR="00EC2A58" w:rsidRPr="00A02506">
              <w:rPr>
                <w:rFonts w:eastAsia="Arial" w:cs="Arial"/>
                <w:lang w:val="fr-FR"/>
              </w:rPr>
              <w:t xml:space="preserve"> 2019</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Français</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Original : Anglais</w: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sz w:val="12"/>
                <w:szCs w:val="12"/>
                <w:lang w:val="fr-FR"/>
              </w:rPr>
            </w:pPr>
          </w:p>
        </w:tc>
      </w:tr>
    </w:tbl>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13</w:t>
      </w:r>
      <w:r w:rsidRPr="00EC2A58">
        <w:rPr>
          <w:rFonts w:eastAsia="Arial" w:cs="Arial"/>
          <w:vertAlign w:val="superscript"/>
          <w:lang w:val="fr-FR"/>
        </w:rPr>
        <w:t>ème</w:t>
      </w:r>
      <w:r w:rsidRPr="00EC2A58">
        <w:rPr>
          <w:rFonts w:eastAsia="Arial" w:cs="Arial"/>
          <w:lang w:val="fr-FR"/>
        </w:rPr>
        <w:t xml:space="preserve"> SESSION DE LA CONFÉRENCE DES PARTIES</w:t>
      </w:r>
    </w:p>
    <w:p w:rsidR="00EC2A58" w:rsidRPr="00EC2A58" w:rsidRDefault="00EC2A58"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fr-FR"/>
        </w:rPr>
      </w:pPr>
      <w:proofErr w:type="spellStart"/>
      <w:r w:rsidRPr="00EC2A58">
        <w:rPr>
          <w:rFonts w:eastAsia="Arial" w:cs="Arial"/>
          <w:bCs/>
          <w:lang w:val="fr-FR"/>
        </w:rPr>
        <w:t>Gand</w:t>
      </w:r>
      <w:r w:rsidR="008C067D">
        <w:rPr>
          <w:rFonts w:eastAsia="Arial" w:cs="Arial"/>
          <w:bCs/>
          <w:lang w:val="fr-FR"/>
        </w:rPr>
        <w:t>h</w:t>
      </w:r>
      <w:r w:rsidRPr="00EC2A58">
        <w:rPr>
          <w:rFonts w:eastAsia="Arial" w:cs="Arial"/>
          <w:bCs/>
          <w:lang w:val="fr-FR"/>
        </w:rPr>
        <w:t>inagar</w:t>
      </w:r>
      <w:proofErr w:type="spellEnd"/>
      <w:r w:rsidRPr="00EC2A58">
        <w:rPr>
          <w:rFonts w:eastAsia="Arial" w:cs="Arial"/>
          <w:bCs/>
          <w:lang w:val="fr-FR"/>
        </w:rPr>
        <w:t>, Inde, 17 – 22 février 2020</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iCs/>
          <w:lang w:val="fr-FR"/>
        </w:rPr>
        <w:t xml:space="preserve">Point </w:t>
      </w:r>
      <w:r w:rsidR="000A7D2C">
        <w:rPr>
          <w:rFonts w:eastAsia="Arial" w:cs="Arial"/>
          <w:iCs/>
          <w:lang w:val="fr-FR"/>
        </w:rPr>
        <w:t>13</w:t>
      </w:r>
      <w:r w:rsidRPr="00EC2A58">
        <w:rPr>
          <w:rFonts w:eastAsia="Arial" w:cs="Arial"/>
          <w:iCs/>
          <w:lang w:val="fr-FR"/>
        </w:rPr>
        <w:t xml:space="preserve"> de l’ordre du jour</w:t>
      </w: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EC2A58" w:rsidRDefault="000A7D2C"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rFonts w:eastAsia="Arial" w:cs="Arial"/>
          <w:b/>
          <w:bCs/>
          <w:caps/>
          <w:lang w:val="fr-FR"/>
        </w:rPr>
      </w:pPr>
      <w:r>
        <w:rPr>
          <w:rFonts w:eastAsia="Arial" w:cs="Arial"/>
          <w:b/>
          <w:bCs/>
          <w:caps/>
          <w:lang w:val="fr-FR"/>
        </w:rPr>
        <w:t>EXÉCUTION DU BUDGET DE LA CMS 2018 - 2020</w:t>
      </w:r>
    </w:p>
    <w:p w:rsidR="00EC2A58" w:rsidRPr="00EC2A58" w:rsidRDefault="00EC2A58" w:rsidP="00D71837">
      <w:pPr>
        <w:widowControl w:val="0"/>
        <w:suppressAutoHyphens/>
        <w:autoSpaceDE w:val="0"/>
        <w:autoSpaceDN w:val="0"/>
        <w:spacing w:after="0" w:line="240" w:lineRule="auto"/>
        <w:jc w:val="center"/>
        <w:textAlignment w:val="baseline"/>
        <w:rPr>
          <w:rFonts w:eastAsia="Times New Roman" w:cs="Times New Roman"/>
          <w:lang w:val="fr-FR"/>
        </w:rPr>
      </w:pPr>
      <w:r w:rsidRPr="00EC2A58">
        <w:rPr>
          <w:rFonts w:eastAsia="Arial" w:cs="Arial"/>
          <w:i/>
          <w:iCs/>
          <w:lang w:val="fr-FR"/>
        </w:rPr>
        <w:t>(</w:t>
      </w:r>
      <w:r w:rsidR="000A7D2C">
        <w:rPr>
          <w:rFonts w:eastAsia="Arial" w:cs="Arial"/>
          <w:i/>
          <w:iCs/>
          <w:lang w:val="fr-FR"/>
        </w:rPr>
        <w:t xml:space="preserve">au 30 novembre 2019 / </w:t>
      </w:r>
      <w:r w:rsidRPr="00EC2A58">
        <w:rPr>
          <w:rFonts w:eastAsia="Arial" w:cs="Arial"/>
          <w:i/>
          <w:iCs/>
          <w:lang w:val="fr-FR"/>
        </w:rPr>
        <w:t xml:space="preserve">Préparé par le Secrétariat) </w:t>
      </w:r>
    </w:p>
    <w:p w:rsidR="00EC2A58" w:rsidRPr="00EC2A58" w:rsidRDefault="00EC2A58" w:rsidP="00D71837">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0876E4FA" wp14:editId="543B04AA">
                <wp:simplePos x="0" y="0"/>
                <wp:positionH relativeFrom="column">
                  <wp:posOffset>780412</wp:posOffset>
                </wp:positionH>
                <wp:positionV relativeFrom="paragraph">
                  <wp:posOffset>145417</wp:posOffset>
                </wp:positionV>
                <wp:extent cx="4304666" cy="1952628"/>
                <wp:effectExtent l="0" t="0" r="19684" b="28572"/>
                <wp:wrapNone/>
                <wp:docPr id="5" name="Text Box 4"/>
                <wp:cNvGraphicFramePr/>
                <a:graphic xmlns:a="http://schemas.openxmlformats.org/drawingml/2006/main">
                  <a:graphicData uri="http://schemas.microsoft.com/office/word/2010/wordprocessingShape">
                    <wps:wsp>
                      <wps:cNvSpPr txBox="1"/>
                      <wps:spPr>
                        <a:xfrm>
                          <a:off x="0" y="0"/>
                          <a:ext cx="4304666" cy="1952628"/>
                        </a:xfrm>
                        <a:prstGeom prst="rect">
                          <a:avLst/>
                        </a:prstGeom>
                        <a:solidFill>
                          <a:srgbClr val="FFFFFF"/>
                        </a:solidFill>
                        <a:ln w="3172">
                          <a:solidFill>
                            <a:srgbClr val="000000"/>
                          </a:solidFill>
                          <a:prstDash val="solid"/>
                        </a:ln>
                      </wps:spPr>
                      <wps:txbx>
                        <w:txbxContent>
                          <w:p w:rsidR="00B74011" w:rsidRDefault="00B74011" w:rsidP="0026594E">
                            <w:pPr>
                              <w:spacing w:after="0" w:line="240" w:lineRule="auto"/>
                            </w:pPr>
                            <w:r>
                              <w:rPr>
                                <w:rFonts w:eastAsia="Arial" w:cs="Arial"/>
                                <w:lang w:val="fr-FR"/>
                              </w:rPr>
                              <w:t>Résumé:</w:t>
                            </w:r>
                          </w:p>
                          <w:p w:rsidR="00B74011" w:rsidRDefault="00B74011" w:rsidP="0026594E">
                            <w:pPr>
                              <w:spacing w:after="0" w:line="240" w:lineRule="auto"/>
                              <w:rPr>
                                <w:rFonts w:cs="Arial"/>
                                <w:lang w:val="fr-FR"/>
                              </w:rPr>
                            </w:pPr>
                          </w:p>
                          <w:p w:rsidR="00B74011" w:rsidRPr="00991170" w:rsidRDefault="00B74011" w:rsidP="000A7D2C">
                            <w:pPr>
                              <w:jc w:val="both"/>
                              <w:rPr>
                                <w:lang w:val="fr-FR"/>
                              </w:rPr>
                            </w:pPr>
                            <w:r w:rsidRPr="00991170">
                              <w:rPr>
                                <w:lang w:val="fr-FR"/>
                              </w:rPr>
                              <w:t xml:space="preserve">Le présent document rend </w:t>
                            </w:r>
                            <w:r w:rsidRPr="00991170">
                              <w:rPr>
                                <w:rFonts w:cs="Arial"/>
                                <w:lang w:val="fr-FR"/>
                              </w:rPr>
                              <w:t xml:space="preserve">compte de l’état des contributions au Fonds d’affectation spéciale au </w:t>
                            </w:r>
                            <w:r>
                              <w:rPr>
                                <w:rFonts w:cs="Arial"/>
                                <w:lang w:val="fr-FR"/>
                              </w:rPr>
                              <w:t>30 novembre</w:t>
                            </w:r>
                            <w:r w:rsidRPr="00991170">
                              <w:rPr>
                                <w:rFonts w:cs="Arial"/>
                                <w:lang w:val="fr-FR"/>
                              </w:rPr>
                              <w:t xml:space="preserve"> 2019. En outre, il donne un aperçu de l’exécution du budget de la C</w:t>
                            </w:r>
                            <w:r>
                              <w:rPr>
                                <w:rFonts w:cs="Arial"/>
                                <w:lang w:val="fr-FR"/>
                              </w:rPr>
                              <w:t>MS</w:t>
                            </w:r>
                            <w:r w:rsidRPr="00991170">
                              <w:rPr>
                                <w:rFonts w:cs="Arial"/>
                                <w:lang w:val="fr-FR"/>
                              </w:rPr>
                              <w:t xml:space="preserve"> pour 2018 et pour la période allant de janvier à </w:t>
                            </w:r>
                            <w:r>
                              <w:rPr>
                                <w:rFonts w:cs="Arial"/>
                                <w:lang w:val="fr-FR"/>
                              </w:rPr>
                              <w:t>novembre</w:t>
                            </w:r>
                            <w:r w:rsidRPr="00991170">
                              <w:rPr>
                                <w:rFonts w:cs="Arial"/>
                                <w:lang w:val="fr-FR"/>
                              </w:rPr>
                              <w:t xml:space="preserve"> 2019, avec les dépenses prévues jusqu’à la fin de décembre 2019, </w:t>
                            </w:r>
                            <w:r w:rsidRPr="00991170">
                              <w:rPr>
                                <w:lang w:val="fr-FR"/>
                              </w:rPr>
                              <w:t xml:space="preserve">comme demandé dans la </w:t>
                            </w:r>
                            <w:r>
                              <w:rPr>
                                <w:lang w:val="fr-FR"/>
                              </w:rPr>
                              <w:t>R</w:t>
                            </w:r>
                            <w:r w:rsidRPr="00991170">
                              <w:rPr>
                                <w:lang w:val="fr-FR"/>
                              </w:rPr>
                              <w:t xml:space="preserve">ésolution 12.2 </w:t>
                            </w:r>
                            <w:r w:rsidRPr="00991170">
                              <w:rPr>
                                <w:i/>
                                <w:lang w:val="fr-FR"/>
                              </w:rPr>
                              <w:t>Questions financières et administratives</w:t>
                            </w:r>
                            <w:r w:rsidRPr="00991170">
                              <w:rPr>
                                <w:lang w:val="fr-FR"/>
                              </w:rPr>
                              <w:t xml:space="preserve">. </w:t>
                            </w:r>
                          </w:p>
                          <w:p w:rsidR="00B74011" w:rsidRDefault="00B74011" w:rsidP="0026594E">
                            <w:pPr>
                              <w:spacing w:after="0" w:line="240" w:lineRule="auto"/>
                              <w:rPr>
                                <w:rFonts w:cs="Arial"/>
                                <w:lang w:val="fr-FR"/>
                              </w:rPr>
                            </w:pPr>
                          </w:p>
                        </w:txbxContent>
                      </wps:txbx>
                      <wps:bodyPr vert="horz" wrap="square" lIns="91440" tIns="45720" rIns="91440" bIns="45720" anchor="t" anchorCtr="0" compatLnSpc="0">
                        <a:noAutofit/>
                      </wps:bodyPr>
                    </wps:wsp>
                  </a:graphicData>
                </a:graphic>
              </wp:anchor>
            </w:drawing>
          </mc:Choice>
          <mc:Fallback>
            <w:pict>
              <v:shapetype w14:anchorId="0876E4FA" id="_x0000_t202" coordsize="21600,21600" o:spt="202" path="m,l,21600r21600,l21600,xe">
                <v:stroke joinstyle="miter"/>
                <v:path gradientshapeok="t" o:connecttype="rect"/>
              </v:shapetype>
              <v:shape id="Text Box 4" o:spid="_x0000_s1026" type="#_x0000_t202" style="position:absolute;margin-left:61.45pt;margin-top:11.45pt;width:338.95pt;height:15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" strokeweight=".08811mm">
                <v:textbox>
                  <w:txbxContent>
                    <w:p w:rsidR="00B74011" w:rsidRDefault="00B74011" w:rsidP="0026594E">
                      <w:pPr>
                        <w:spacing w:after="0" w:line="240" w:lineRule="auto"/>
                      </w:pPr>
                      <w:r>
                        <w:rPr>
                          <w:rFonts w:eastAsia="Arial" w:cs="Arial"/>
                          <w:lang w:val="fr-FR"/>
                        </w:rPr>
                        <w:t>Résumé:</w:t>
                      </w:r>
                    </w:p>
                    <w:p w:rsidR="00B74011" w:rsidRDefault="00B74011" w:rsidP="0026594E">
                      <w:pPr>
                        <w:spacing w:after="0" w:line="240" w:lineRule="auto"/>
                        <w:rPr>
                          <w:rFonts w:cs="Arial"/>
                          <w:lang w:val="fr-FR"/>
                        </w:rPr>
                      </w:pPr>
                    </w:p>
                    <w:p w:rsidR="00B74011" w:rsidRPr="00991170" w:rsidRDefault="00B74011" w:rsidP="000A7D2C">
                      <w:pPr>
                        <w:jc w:val="both"/>
                        <w:rPr>
                          <w:lang w:val="fr-FR"/>
                        </w:rPr>
                      </w:pPr>
                      <w:r w:rsidRPr="00991170">
                        <w:rPr>
                          <w:lang w:val="fr-FR"/>
                        </w:rPr>
                        <w:t xml:space="preserve">Le présent document rend </w:t>
                      </w:r>
                      <w:r w:rsidRPr="00991170">
                        <w:rPr>
                          <w:rFonts w:cs="Arial"/>
                          <w:lang w:val="fr-FR"/>
                        </w:rPr>
                        <w:t xml:space="preserve">compte de l’état des contributions au Fonds d’affectation spéciale au </w:t>
                      </w:r>
                      <w:r>
                        <w:rPr>
                          <w:rFonts w:cs="Arial"/>
                          <w:lang w:val="fr-FR"/>
                        </w:rPr>
                        <w:t>30 novembre</w:t>
                      </w:r>
                      <w:r w:rsidRPr="00991170">
                        <w:rPr>
                          <w:rFonts w:cs="Arial"/>
                          <w:lang w:val="fr-FR"/>
                        </w:rPr>
                        <w:t xml:space="preserve"> 2019. En outre, il donne un aperçu de l’exécution du budget de la C</w:t>
                      </w:r>
                      <w:r>
                        <w:rPr>
                          <w:rFonts w:cs="Arial"/>
                          <w:lang w:val="fr-FR"/>
                        </w:rPr>
                        <w:t>MS</w:t>
                      </w:r>
                      <w:r w:rsidRPr="00991170">
                        <w:rPr>
                          <w:rFonts w:cs="Arial"/>
                          <w:lang w:val="fr-FR"/>
                        </w:rPr>
                        <w:t xml:space="preserve"> pour 2018 et pour la période allant de janvier à </w:t>
                      </w:r>
                      <w:r>
                        <w:rPr>
                          <w:rFonts w:cs="Arial"/>
                          <w:lang w:val="fr-FR"/>
                        </w:rPr>
                        <w:t>novembre</w:t>
                      </w:r>
                      <w:r w:rsidRPr="00991170">
                        <w:rPr>
                          <w:rFonts w:cs="Arial"/>
                          <w:lang w:val="fr-FR"/>
                        </w:rPr>
                        <w:t xml:space="preserve"> 2019, avec les dépenses prévues jusqu’à la fin de décembre 2019, </w:t>
                      </w:r>
                      <w:r w:rsidRPr="00991170">
                        <w:rPr>
                          <w:lang w:val="fr-FR"/>
                        </w:rPr>
                        <w:t xml:space="preserve">comme demandé dans la </w:t>
                      </w:r>
                      <w:r>
                        <w:rPr>
                          <w:lang w:val="fr-FR"/>
                        </w:rPr>
                        <w:t>R</w:t>
                      </w:r>
                      <w:r w:rsidRPr="00991170">
                        <w:rPr>
                          <w:lang w:val="fr-FR"/>
                        </w:rPr>
                        <w:t xml:space="preserve">ésolution 12.2 </w:t>
                      </w:r>
                      <w:r w:rsidRPr="00991170">
                        <w:rPr>
                          <w:i/>
                          <w:lang w:val="fr-FR"/>
                        </w:rPr>
                        <w:t>Questions financières et administratives</w:t>
                      </w:r>
                      <w:r w:rsidRPr="00991170">
                        <w:rPr>
                          <w:lang w:val="fr-FR"/>
                        </w:rPr>
                        <w:t xml:space="preserve">. </w:t>
                      </w:r>
                    </w:p>
                    <w:p w:rsidR="00B74011" w:rsidRDefault="00B74011" w:rsidP="0026594E">
                      <w:pPr>
                        <w:spacing w:after="0" w:line="240" w:lineRule="auto"/>
                        <w:rPr>
                          <w:rFonts w:cs="Arial"/>
                          <w:lang w:val="fr-FR"/>
                        </w:rPr>
                      </w:pPr>
                    </w:p>
                  </w:txbxContent>
                </v:textbox>
              </v:shape>
            </w:pict>
          </mc:Fallback>
        </mc:AlternateConten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5330F7" w:rsidRPr="00EC2A58" w:rsidRDefault="005330F7"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4D2819" w:rsidRDefault="004D2819" w:rsidP="00D71837">
      <w:pPr>
        <w:spacing w:after="0" w:line="240" w:lineRule="auto"/>
        <w:rPr>
          <w:lang w:val="fr-FR"/>
        </w:rPr>
      </w:pPr>
    </w:p>
    <w:p w:rsidR="004D2819" w:rsidRDefault="004D2819" w:rsidP="00D71837">
      <w:pPr>
        <w:spacing w:after="0" w:line="240" w:lineRule="auto"/>
        <w:rPr>
          <w:lang w:val="fr-FR"/>
        </w:rPr>
      </w:pPr>
    </w:p>
    <w:p w:rsidR="00D71837" w:rsidRDefault="00D71837" w:rsidP="00D71837">
      <w:pPr>
        <w:spacing w:after="0" w:line="240" w:lineRule="auto"/>
        <w:rPr>
          <w:lang w:val="fr-FR"/>
        </w:rPr>
      </w:pPr>
    </w:p>
    <w:p w:rsidR="00896FBB" w:rsidRDefault="000A7D2C" w:rsidP="000A7D2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Arial" w:cs="Arial"/>
          <w:b/>
          <w:bCs/>
          <w:caps/>
          <w:lang w:val="fr-FR"/>
        </w:rPr>
      </w:pPr>
      <w:r>
        <w:rPr>
          <w:rFonts w:eastAsia="Arial" w:cs="Arial"/>
          <w:b/>
          <w:bCs/>
          <w:caps/>
          <w:lang w:val="fr-FR"/>
        </w:rPr>
        <w:lastRenderedPageBreak/>
        <w:t>EXÉCUTION DU BUDGET DE LA CMS POUR LA PÉRIODE TRIENNALE 2018 – 2020</w:t>
      </w:r>
    </w:p>
    <w:p w:rsidR="000A7D2C" w:rsidRDefault="000A7D2C" w:rsidP="000A7D2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Arial" w:cs="Arial"/>
          <w:b/>
          <w:bCs/>
          <w:caps/>
          <w:lang w:val="fr-FR"/>
        </w:rPr>
      </w:pPr>
    </w:p>
    <w:p w:rsidR="000A7D2C" w:rsidRPr="000A7D2C" w:rsidRDefault="000A7D2C" w:rsidP="000A7D2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Arial" w:cs="Arial"/>
          <w:b/>
          <w:bCs/>
          <w:caps/>
          <w:lang w:val="fr-FR"/>
        </w:rPr>
      </w:pPr>
    </w:p>
    <w:p w:rsidR="000A7D2C" w:rsidRDefault="000A7D2C" w:rsidP="000A7D2C">
      <w:pPr>
        <w:pStyle w:val="ListParagraph"/>
        <w:ind w:left="0"/>
        <w:jc w:val="both"/>
        <w:rPr>
          <w:rFonts w:cs="Arial"/>
          <w:u w:val="single"/>
        </w:rPr>
      </w:pPr>
      <w:proofErr w:type="spellStart"/>
      <w:r>
        <w:rPr>
          <w:rFonts w:cs="Arial"/>
          <w:u w:val="single"/>
        </w:rPr>
        <w:t>Contexte</w:t>
      </w:r>
      <w:proofErr w:type="spellEnd"/>
    </w:p>
    <w:p w:rsidR="000A7D2C" w:rsidRDefault="000A7D2C" w:rsidP="000A7D2C">
      <w:pPr>
        <w:pStyle w:val="ListParagraph"/>
        <w:ind w:left="0"/>
        <w:jc w:val="both"/>
        <w:rPr>
          <w:rFonts w:cs="Arial"/>
        </w:rPr>
      </w:pPr>
    </w:p>
    <w:p w:rsidR="000A7D2C" w:rsidRPr="00991170" w:rsidRDefault="000A7D2C" w:rsidP="000A7D2C">
      <w:pPr>
        <w:pStyle w:val="ListParagraph"/>
        <w:widowControl w:val="0"/>
        <w:numPr>
          <w:ilvl w:val="0"/>
          <w:numId w:val="8"/>
        </w:numPr>
        <w:autoSpaceDE w:val="0"/>
        <w:autoSpaceDN w:val="0"/>
        <w:adjustRightInd w:val="0"/>
        <w:spacing w:after="0" w:line="240" w:lineRule="auto"/>
        <w:ind w:left="567" w:hanging="567"/>
        <w:jc w:val="both"/>
        <w:rPr>
          <w:lang w:val="fr-FR"/>
        </w:rPr>
      </w:pPr>
      <w:r w:rsidRPr="00991170">
        <w:rPr>
          <w:rFonts w:cs="Arial"/>
          <w:lang w:val="fr-FR"/>
        </w:rPr>
        <w:t xml:space="preserve">Lors de sa douzième réunion (COP12, Manille, 2017), la Conférence des Parties a adopté le budget de la Convention pour la période triennale 2018-2020 par le biais de la </w:t>
      </w:r>
      <w:r>
        <w:rPr>
          <w:rFonts w:cs="Arial"/>
          <w:lang w:val="fr-FR"/>
        </w:rPr>
        <w:t>R</w:t>
      </w:r>
      <w:r w:rsidRPr="00991170">
        <w:rPr>
          <w:rFonts w:cs="Arial"/>
          <w:lang w:val="fr-FR"/>
        </w:rPr>
        <w:t xml:space="preserve">ésolution 12.2 </w:t>
      </w:r>
      <w:r w:rsidRPr="00991170">
        <w:rPr>
          <w:rFonts w:cs="Arial"/>
          <w:i/>
          <w:lang w:val="fr-FR"/>
        </w:rPr>
        <w:t>Questions financières et administratives</w:t>
      </w:r>
      <w:r w:rsidRPr="00991170">
        <w:rPr>
          <w:rFonts w:cs="Arial"/>
          <w:lang w:val="fr-FR"/>
        </w:rPr>
        <w:t>. Le présent rapport fournit au Comité permanent des informations détaillées sur l’état des contributions au Fonds d’affectation spéciale au </w:t>
      </w:r>
      <w:r>
        <w:rPr>
          <w:rFonts w:cs="Arial"/>
          <w:lang w:val="fr-FR"/>
        </w:rPr>
        <w:t>30 novembre</w:t>
      </w:r>
      <w:r w:rsidRPr="00991170">
        <w:rPr>
          <w:rFonts w:cs="Arial"/>
          <w:lang w:val="fr-FR"/>
        </w:rPr>
        <w:t xml:space="preserve"> 2019. Il fournit également un aperçu de l’exécution du budget pour l’exercice 2018 et la période allant de janvier à </w:t>
      </w:r>
      <w:r>
        <w:rPr>
          <w:rFonts w:cs="Arial"/>
          <w:lang w:val="fr-FR"/>
        </w:rPr>
        <w:t xml:space="preserve">novembre </w:t>
      </w:r>
      <w:r w:rsidRPr="00991170">
        <w:rPr>
          <w:rFonts w:cs="Arial"/>
          <w:lang w:val="fr-FR"/>
        </w:rPr>
        <w:t xml:space="preserve">2019, avec les dépenses prévues jusqu’à la fin décembre 2019.  </w:t>
      </w:r>
    </w:p>
    <w:p w:rsidR="000A7D2C" w:rsidRPr="00991170" w:rsidRDefault="000A7D2C" w:rsidP="000A7D2C">
      <w:pPr>
        <w:widowControl w:val="0"/>
        <w:autoSpaceDE w:val="0"/>
        <w:autoSpaceDN w:val="0"/>
        <w:adjustRightInd w:val="0"/>
        <w:ind w:left="567" w:hanging="567"/>
        <w:contextualSpacing/>
        <w:jc w:val="both"/>
        <w:rPr>
          <w:lang w:val="fr-FR"/>
        </w:rPr>
      </w:pPr>
    </w:p>
    <w:p w:rsidR="000A7D2C" w:rsidRDefault="000A7D2C" w:rsidP="000A7D2C">
      <w:pPr>
        <w:widowControl w:val="0"/>
        <w:numPr>
          <w:ilvl w:val="0"/>
          <w:numId w:val="8"/>
        </w:numPr>
        <w:autoSpaceDE w:val="0"/>
        <w:autoSpaceDN w:val="0"/>
        <w:adjustRightInd w:val="0"/>
        <w:spacing w:after="0" w:line="240" w:lineRule="auto"/>
        <w:ind w:left="567" w:hanging="567"/>
        <w:contextualSpacing/>
        <w:jc w:val="both"/>
        <w:rPr>
          <w:lang w:val="fr-FR"/>
        </w:rPr>
      </w:pPr>
      <w:r w:rsidRPr="000A7D2C">
        <w:rPr>
          <w:lang w:val="fr-FR"/>
        </w:rPr>
        <w:t>L’aperçu montre que les dépenses globales sont sur la bonne voie. Toutefois, il y a d'importants arriérés de contributions imputables à l'exercice budgétaire précédent.</w:t>
      </w:r>
    </w:p>
    <w:p w:rsidR="000A7D2C" w:rsidRPr="000A7D2C" w:rsidRDefault="000A7D2C" w:rsidP="000A7D2C">
      <w:pPr>
        <w:widowControl w:val="0"/>
        <w:autoSpaceDE w:val="0"/>
        <w:autoSpaceDN w:val="0"/>
        <w:adjustRightInd w:val="0"/>
        <w:spacing w:after="0" w:line="240" w:lineRule="auto"/>
        <w:ind w:left="567"/>
        <w:contextualSpacing/>
        <w:jc w:val="both"/>
        <w:rPr>
          <w:lang w:val="fr-FR"/>
        </w:rPr>
      </w:pPr>
    </w:p>
    <w:p w:rsidR="000A7D2C" w:rsidRPr="00991170" w:rsidRDefault="000A7D2C" w:rsidP="000A7D2C">
      <w:pPr>
        <w:pStyle w:val="ListParagraph"/>
        <w:widowControl w:val="0"/>
        <w:numPr>
          <w:ilvl w:val="0"/>
          <w:numId w:val="8"/>
        </w:numPr>
        <w:autoSpaceDE w:val="0"/>
        <w:autoSpaceDN w:val="0"/>
        <w:adjustRightInd w:val="0"/>
        <w:spacing w:after="0" w:line="240" w:lineRule="auto"/>
        <w:ind w:left="567" w:hanging="567"/>
        <w:jc w:val="both"/>
        <w:rPr>
          <w:lang w:val="fr-FR"/>
        </w:rPr>
      </w:pPr>
      <w:r w:rsidRPr="00991170">
        <w:rPr>
          <w:lang w:val="fr-FR"/>
        </w:rPr>
        <w:t>Le Secrétariat suit de près les dépenses pour s’assurer qu’elles sont contenues dans les limites des ressources disponibles</w:t>
      </w:r>
      <w:r>
        <w:rPr>
          <w:lang w:val="fr-FR"/>
        </w:rPr>
        <w:t xml:space="preserve">. Le Secrétariat a également </w:t>
      </w:r>
      <w:r w:rsidRPr="0086095A">
        <w:rPr>
          <w:lang w:val="fr-FR"/>
        </w:rPr>
        <w:t>pris des mesures, notamment pour pourvoir les postes vacants, conformément à une approche plus prudente en matière de dépenses.</w:t>
      </w:r>
    </w:p>
    <w:p w:rsidR="000A7D2C" w:rsidRPr="00991170" w:rsidRDefault="000A7D2C" w:rsidP="000A7D2C">
      <w:pPr>
        <w:pStyle w:val="ListParagraph"/>
        <w:jc w:val="both"/>
        <w:rPr>
          <w:rFonts w:cs="Arial"/>
          <w:lang w:val="fr-FR"/>
        </w:rPr>
      </w:pPr>
    </w:p>
    <w:p w:rsidR="000A7D2C" w:rsidRPr="00991170" w:rsidRDefault="000A7D2C" w:rsidP="000A7D2C">
      <w:pPr>
        <w:pStyle w:val="ListParagraph"/>
        <w:ind w:left="0"/>
        <w:jc w:val="both"/>
        <w:rPr>
          <w:rFonts w:cs="Arial"/>
          <w:u w:val="single"/>
          <w:lang w:val="fr-FR"/>
        </w:rPr>
      </w:pPr>
      <w:r w:rsidRPr="00991170">
        <w:rPr>
          <w:rFonts w:cs="Arial"/>
          <w:u w:val="single"/>
          <w:lang w:val="fr-FR"/>
        </w:rPr>
        <w:t xml:space="preserve">État du Fonds d’affectation spéciale pour les contributions mises en recouvrement </w:t>
      </w:r>
    </w:p>
    <w:p w:rsidR="000A7D2C" w:rsidRPr="00991170" w:rsidRDefault="000A7D2C" w:rsidP="000A7D2C">
      <w:pPr>
        <w:pStyle w:val="ListParagraph"/>
        <w:spacing w:after="0" w:line="240" w:lineRule="auto"/>
        <w:ind w:left="0"/>
        <w:jc w:val="both"/>
        <w:rPr>
          <w:lang w:val="fr-FR"/>
        </w:rPr>
      </w:pPr>
    </w:p>
    <w:p w:rsidR="000A7D2C" w:rsidRPr="00991170" w:rsidRDefault="000A7D2C" w:rsidP="000A7D2C">
      <w:pPr>
        <w:widowControl w:val="0"/>
        <w:numPr>
          <w:ilvl w:val="0"/>
          <w:numId w:val="8"/>
        </w:numPr>
        <w:autoSpaceDE w:val="0"/>
        <w:autoSpaceDN w:val="0"/>
        <w:adjustRightInd w:val="0"/>
        <w:spacing w:after="0" w:line="240" w:lineRule="auto"/>
        <w:ind w:left="567" w:hanging="567"/>
        <w:contextualSpacing/>
        <w:jc w:val="both"/>
        <w:rPr>
          <w:lang w:val="fr-FR"/>
        </w:rPr>
      </w:pPr>
      <w:r w:rsidRPr="00991170">
        <w:rPr>
          <w:lang w:val="fr-FR"/>
        </w:rPr>
        <w:t xml:space="preserve">En vertu du paragraphe 4 de l’article VII de la Convention, chaque Partie est tenue de contribuer au budget adopté par la Conférence des Parties pour un exercice financier donné selon le barème des quotes-parts des Nations Unies. Conformément à la Résolution 12.2, les contributions mises en recouvrement approuvées par la COP12 pour 2018 et 2019 s’élèvent à 2 559 888 € et 2 611 087 €, respectivement. </w:t>
      </w:r>
    </w:p>
    <w:p w:rsidR="000A7D2C" w:rsidRPr="00991170" w:rsidRDefault="000A7D2C" w:rsidP="000A7D2C">
      <w:pPr>
        <w:pStyle w:val="ListParagraph"/>
        <w:spacing w:after="0" w:line="240" w:lineRule="auto"/>
        <w:ind w:left="567" w:hanging="567"/>
        <w:jc w:val="both"/>
        <w:rPr>
          <w:lang w:val="fr-FR"/>
        </w:rPr>
      </w:pPr>
    </w:p>
    <w:p w:rsidR="000A7D2C" w:rsidRDefault="000A7D2C" w:rsidP="000A7D2C">
      <w:pPr>
        <w:widowControl w:val="0"/>
        <w:numPr>
          <w:ilvl w:val="0"/>
          <w:numId w:val="8"/>
        </w:numPr>
        <w:autoSpaceDE w:val="0"/>
        <w:autoSpaceDN w:val="0"/>
        <w:adjustRightInd w:val="0"/>
        <w:spacing w:after="0" w:line="240" w:lineRule="auto"/>
        <w:ind w:left="567" w:hanging="567"/>
        <w:contextualSpacing/>
        <w:jc w:val="both"/>
        <w:rPr>
          <w:lang w:val="fr-FR"/>
        </w:rPr>
      </w:pPr>
      <w:r w:rsidRPr="00991170">
        <w:rPr>
          <w:lang w:val="fr-FR"/>
        </w:rPr>
        <w:t>Au 3</w:t>
      </w:r>
      <w:r>
        <w:rPr>
          <w:lang w:val="fr-FR"/>
        </w:rPr>
        <w:t>0 novembre</w:t>
      </w:r>
      <w:r w:rsidRPr="00991170">
        <w:rPr>
          <w:lang w:val="fr-FR"/>
        </w:rPr>
        <w:t xml:space="preserve"> 2019, </w:t>
      </w:r>
      <w:r>
        <w:rPr>
          <w:lang w:val="fr-FR"/>
        </w:rPr>
        <w:t>81,4 pour cent</w:t>
      </w:r>
      <w:r w:rsidRPr="00991170">
        <w:rPr>
          <w:lang w:val="fr-FR"/>
        </w:rPr>
        <w:t xml:space="preserve"> des contributions mises en recouvrement pour 2019, soit </w:t>
      </w:r>
      <w:r>
        <w:rPr>
          <w:lang w:val="fr-FR"/>
        </w:rPr>
        <w:t xml:space="preserve">2 125 476 </w:t>
      </w:r>
      <w:r w:rsidRPr="00991170">
        <w:rPr>
          <w:lang w:val="fr-FR"/>
        </w:rPr>
        <w:t>€ versés par 6</w:t>
      </w:r>
      <w:r>
        <w:rPr>
          <w:lang w:val="fr-FR"/>
        </w:rPr>
        <w:t>2</w:t>
      </w:r>
      <w:r w:rsidRPr="00991170">
        <w:rPr>
          <w:lang w:val="fr-FR"/>
        </w:rPr>
        <w:t xml:space="preserve"> des 126 Parties, ont été versées. Le total des contributions non versées au 3</w:t>
      </w:r>
      <w:r>
        <w:rPr>
          <w:lang w:val="fr-FR"/>
        </w:rPr>
        <w:t>0 novembre</w:t>
      </w:r>
      <w:r w:rsidRPr="00991170">
        <w:rPr>
          <w:lang w:val="fr-FR"/>
        </w:rPr>
        <w:t xml:space="preserve"> 2019 s’élève à 1 </w:t>
      </w:r>
      <w:r>
        <w:rPr>
          <w:lang w:val="fr-FR"/>
        </w:rPr>
        <w:t xml:space="preserve">167 365 </w:t>
      </w:r>
      <w:r w:rsidRPr="00991170">
        <w:rPr>
          <w:lang w:val="fr-FR"/>
        </w:rPr>
        <w:t>€ (</w:t>
      </w:r>
      <w:r>
        <w:rPr>
          <w:lang w:val="fr-FR"/>
        </w:rPr>
        <w:t>485 611</w:t>
      </w:r>
      <w:r w:rsidRPr="00991170">
        <w:rPr>
          <w:lang w:val="fr-FR"/>
        </w:rPr>
        <w:t> € pour 2019, 3</w:t>
      </w:r>
      <w:r>
        <w:rPr>
          <w:lang w:val="fr-FR"/>
        </w:rPr>
        <w:t>91 866</w:t>
      </w:r>
      <w:r w:rsidRPr="00991170">
        <w:rPr>
          <w:lang w:val="fr-FR"/>
        </w:rPr>
        <w:t xml:space="preserve"> € pour 2018, </w:t>
      </w:r>
      <w:r w:rsidR="00DC42A6">
        <w:rPr>
          <w:lang w:val="fr-FR"/>
        </w:rPr>
        <w:t>206 675</w:t>
      </w:r>
      <w:r w:rsidRPr="00991170">
        <w:rPr>
          <w:lang w:val="fr-FR"/>
        </w:rPr>
        <w:t xml:space="preserve"> euros pour la période triennale précédente 2015-2017 et 83 213 € pour les années précédentes). Comme le montre le tableau de l’Annexe 1, sur un total de 126 Parties, </w:t>
      </w:r>
      <w:r w:rsidR="00DC42A6">
        <w:rPr>
          <w:lang w:val="fr-FR"/>
        </w:rPr>
        <w:t>45</w:t>
      </w:r>
      <w:r w:rsidRPr="00991170">
        <w:rPr>
          <w:lang w:val="fr-FR"/>
        </w:rPr>
        <w:t xml:space="preserve"> n’ont pas versé l’intégralité de leurs contributions au Fonds d’affectation spéciale pour </w:t>
      </w:r>
      <w:r w:rsidR="00DC42A6">
        <w:rPr>
          <w:lang w:val="fr-FR"/>
        </w:rPr>
        <w:t xml:space="preserve">2018 et 30 Parties </w:t>
      </w:r>
      <w:r w:rsidR="00DC42A6" w:rsidRPr="00DC42A6">
        <w:rPr>
          <w:lang w:val="fr-FR"/>
        </w:rPr>
        <w:t>sont tenu</w:t>
      </w:r>
      <w:r w:rsidR="00DC42A6">
        <w:rPr>
          <w:lang w:val="fr-FR"/>
        </w:rPr>
        <w:t>e</w:t>
      </w:r>
      <w:r w:rsidR="00DC42A6" w:rsidRPr="00DC42A6">
        <w:rPr>
          <w:lang w:val="fr-FR"/>
        </w:rPr>
        <w:t xml:space="preserve">s de payer leurs contributions au titre de la période triennale </w:t>
      </w:r>
      <w:r w:rsidRPr="00991170">
        <w:rPr>
          <w:lang w:val="fr-FR"/>
        </w:rPr>
        <w:t xml:space="preserve">2015-2017 précédente et </w:t>
      </w:r>
      <w:r w:rsidR="00DC42A6">
        <w:rPr>
          <w:lang w:val="fr-FR"/>
        </w:rPr>
        <w:t>quatorze</w:t>
      </w:r>
      <w:r w:rsidRPr="00991170">
        <w:rPr>
          <w:lang w:val="fr-FR"/>
        </w:rPr>
        <w:t xml:space="preserve"> Parties ont encore des contributions non acquittées pour la période antérieure à 2015. </w:t>
      </w:r>
    </w:p>
    <w:p w:rsidR="00DC42A6" w:rsidRDefault="00DC42A6" w:rsidP="00DC42A6">
      <w:pPr>
        <w:widowControl w:val="0"/>
        <w:autoSpaceDE w:val="0"/>
        <w:autoSpaceDN w:val="0"/>
        <w:adjustRightInd w:val="0"/>
        <w:spacing w:after="0" w:line="240" w:lineRule="auto"/>
        <w:ind w:left="567"/>
        <w:contextualSpacing/>
        <w:jc w:val="both"/>
        <w:rPr>
          <w:lang w:val="fr-FR"/>
        </w:rPr>
      </w:pPr>
    </w:p>
    <w:p w:rsidR="00DC42A6" w:rsidRDefault="00DC42A6" w:rsidP="000A7D2C">
      <w:pPr>
        <w:widowControl w:val="0"/>
        <w:numPr>
          <w:ilvl w:val="0"/>
          <w:numId w:val="8"/>
        </w:numPr>
        <w:autoSpaceDE w:val="0"/>
        <w:autoSpaceDN w:val="0"/>
        <w:adjustRightInd w:val="0"/>
        <w:spacing w:after="0" w:line="240" w:lineRule="auto"/>
        <w:ind w:left="567" w:hanging="567"/>
        <w:contextualSpacing/>
        <w:jc w:val="both"/>
        <w:rPr>
          <w:lang w:val="fr-FR"/>
        </w:rPr>
      </w:pPr>
      <w:r w:rsidRPr="00DC42A6">
        <w:rPr>
          <w:lang w:val="fr-FR"/>
        </w:rPr>
        <w:t>Outre la contribution annuelle mise en recouvrement pour 2019, le Gouvernement norvégien a versé une contribution supplémentaire d'un montant de 14 855,90 € au Fonds d'affectation spéciale de la CMS en 2019.</w:t>
      </w:r>
    </w:p>
    <w:p w:rsidR="00DC42A6" w:rsidRPr="00DC42A6" w:rsidRDefault="00DC42A6" w:rsidP="00DC42A6">
      <w:pPr>
        <w:widowControl w:val="0"/>
        <w:autoSpaceDE w:val="0"/>
        <w:autoSpaceDN w:val="0"/>
        <w:adjustRightInd w:val="0"/>
        <w:spacing w:after="0" w:line="240" w:lineRule="auto"/>
        <w:ind w:left="567"/>
        <w:contextualSpacing/>
        <w:jc w:val="both"/>
        <w:rPr>
          <w:lang w:val="fr-FR"/>
        </w:rPr>
      </w:pPr>
    </w:p>
    <w:p w:rsidR="000A7D2C" w:rsidRPr="00991170" w:rsidRDefault="00DC42A6" w:rsidP="000A7D2C">
      <w:pPr>
        <w:widowControl w:val="0"/>
        <w:numPr>
          <w:ilvl w:val="0"/>
          <w:numId w:val="8"/>
        </w:numPr>
        <w:autoSpaceDE w:val="0"/>
        <w:autoSpaceDN w:val="0"/>
        <w:adjustRightInd w:val="0"/>
        <w:spacing w:after="0" w:line="240" w:lineRule="auto"/>
        <w:ind w:left="567" w:hanging="567"/>
        <w:contextualSpacing/>
        <w:jc w:val="both"/>
        <w:rPr>
          <w:lang w:val="fr-FR"/>
        </w:rPr>
      </w:pPr>
      <w:r>
        <w:rPr>
          <w:lang w:val="fr-FR"/>
        </w:rPr>
        <w:t>Quatre</w:t>
      </w:r>
      <w:r w:rsidR="000A7D2C" w:rsidRPr="00991170">
        <w:rPr>
          <w:lang w:val="fr-FR"/>
        </w:rPr>
        <w:t xml:space="preserve"> nouvelles Parties (Trinité-et-Tobago en décembre 2018, le Liban en juin 2019</w:t>
      </w:r>
      <w:r>
        <w:rPr>
          <w:lang w:val="fr-FR"/>
        </w:rPr>
        <w:t xml:space="preserve">, </w:t>
      </w:r>
      <w:r w:rsidR="000A7D2C" w:rsidRPr="00991170">
        <w:rPr>
          <w:lang w:val="fr-FR"/>
        </w:rPr>
        <w:t>le Malawi en septembre 2019</w:t>
      </w:r>
      <w:r>
        <w:rPr>
          <w:lang w:val="fr-FR"/>
        </w:rPr>
        <w:t xml:space="preserve"> et les Maldives en novembre 2019</w:t>
      </w:r>
      <w:r w:rsidR="000A7D2C" w:rsidRPr="00991170">
        <w:rPr>
          <w:lang w:val="fr-FR"/>
        </w:rPr>
        <w:t xml:space="preserve">) ont adhéré à la Convention pendant la période 2018-2019. Le montant total des nouvelles contributions mises en recouvrement imputable aux </w:t>
      </w:r>
      <w:r>
        <w:rPr>
          <w:lang w:val="fr-FR"/>
        </w:rPr>
        <w:t>quatre</w:t>
      </w:r>
      <w:r w:rsidR="000A7D2C" w:rsidRPr="00991170">
        <w:rPr>
          <w:lang w:val="fr-FR"/>
        </w:rPr>
        <w:t xml:space="preserve"> nouvelles Parties s’élève à 3 5</w:t>
      </w:r>
      <w:r>
        <w:rPr>
          <w:lang w:val="fr-FR"/>
        </w:rPr>
        <w:t>56</w:t>
      </w:r>
      <w:r w:rsidR="000A7D2C" w:rsidRPr="00991170">
        <w:rPr>
          <w:lang w:val="fr-FR"/>
        </w:rPr>
        <w:t xml:space="preserve">€ pour la période 2018-2019. </w:t>
      </w:r>
    </w:p>
    <w:p w:rsidR="000A7D2C" w:rsidRPr="00991170" w:rsidRDefault="000A7D2C" w:rsidP="000A7D2C">
      <w:pPr>
        <w:widowControl w:val="0"/>
        <w:autoSpaceDE w:val="0"/>
        <w:autoSpaceDN w:val="0"/>
        <w:adjustRightInd w:val="0"/>
        <w:spacing w:after="0" w:line="240" w:lineRule="auto"/>
        <w:ind w:left="567" w:hanging="567"/>
        <w:contextualSpacing/>
        <w:jc w:val="both"/>
        <w:rPr>
          <w:lang w:val="fr-FR"/>
        </w:rPr>
      </w:pPr>
      <w:r>
        <w:rPr>
          <w:lang w:val="fr-FR"/>
        </w:rPr>
        <w:br w:type="page"/>
      </w:r>
    </w:p>
    <w:p w:rsidR="000A7D2C" w:rsidRPr="00991170" w:rsidRDefault="000A7D2C" w:rsidP="000A7D2C">
      <w:pPr>
        <w:widowControl w:val="0"/>
        <w:numPr>
          <w:ilvl w:val="0"/>
          <w:numId w:val="8"/>
        </w:numPr>
        <w:autoSpaceDE w:val="0"/>
        <w:autoSpaceDN w:val="0"/>
        <w:adjustRightInd w:val="0"/>
        <w:spacing w:after="0" w:line="240" w:lineRule="auto"/>
        <w:ind w:left="567" w:hanging="567"/>
        <w:contextualSpacing/>
        <w:jc w:val="both"/>
        <w:rPr>
          <w:lang w:val="fr-FR"/>
        </w:rPr>
      </w:pPr>
      <w:r w:rsidRPr="00991170">
        <w:rPr>
          <w:lang w:val="fr-FR"/>
        </w:rPr>
        <w:lastRenderedPageBreak/>
        <w:t xml:space="preserve">Afin de régler les arriérés, le Secrétariat a envoyé </w:t>
      </w:r>
      <w:r>
        <w:rPr>
          <w:lang w:val="fr-FR"/>
        </w:rPr>
        <w:t xml:space="preserve">des </w:t>
      </w:r>
      <w:r w:rsidRPr="00991170">
        <w:rPr>
          <w:lang w:val="fr-FR"/>
        </w:rPr>
        <w:t xml:space="preserve">lettres personnalisées en septembre 2019 aux Parties ayant des arriérés de contributions à ce moment-là. Le Secrétariat a envoyé des rappels séparés à 24 Parties ayant des arriérés de plus de trois ans, attirant leur attention sur le paragraphe 9 de la </w:t>
      </w:r>
      <w:r w:rsidR="0074459A">
        <w:rPr>
          <w:lang w:val="fr-FR"/>
        </w:rPr>
        <w:t>R</w:t>
      </w:r>
      <w:r w:rsidRPr="00991170">
        <w:rPr>
          <w:lang w:val="fr-FR"/>
        </w:rPr>
        <w:t>ésolution 12.2, qui stipule qu’elles ne pourr</w:t>
      </w:r>
      <w:r>
        <w:rPr>
          <w:lang w:val="fr-FR"/>
        </w:rPr>
        <w:t>aient</w:t>
      </w:r>
      <w:r w:rsidRPr="00991170">
        <w:rPr>
          <w:lang w:val="fr-FR"/>
        </w:rPr>
        <w:t xml:space="preserve"> voter à la 13e réunion de la Conférence des Parties et </w:t>
      </w:r>
      <w:r w:rsidRPr="00991170">
        <w:rPr>
          <w:rFonts w:cs="Arial"/>
          <w:lang w:val="fr-FR"/>
        </w:rPr>
        <w:t>ne pourr</w:t>
      </w:r>
      <w:r>
        <w:rPr>
          <w:rFonts w:cs="Arial"/>
          <w:lang w:val="fr-FR"/>
        </w:rPr>
        <w:t>aie</w:t>
      </w:r>
      <w:r w:rsidRPr="00991170">
        <w:rPr>
          <w:rFonts w:cs="Arial"/>
          <w:lang w:val="fr-FR"/>
        </w:rPr>
        <w:t>nt être en fonction dans aucun organe de la Convention</w:t>
      </w:r>
      <w:r w:rsidRPr="00991170">
        <w:rPr>
          <w:lang w:val="fr-FR"/>
        </w:rPr>
        <w:t xml:space="preserve"> si les contributions ne sont pas reçues. Conformément aux directives de la 48</w:t>
      </w:r>
      <w:r w:rsidRPr="00991170">
        <w:rPr>
          <w:vertAlign w:val="superscript"/>
          <w:lang w:val="fr-FR"/>
        </w:rPr>
        <w:t>e</w:t>
      </w:r>
      <w:r w:rsidRPr="00991170">
        <w:rPr>
          <w:lang w:val="fr-FR"/>
        </w:rPr>
        <w:t xml:space="preserve"> réunion du Comité permanent, le Secrétariat a informé ces 24 Parties qu’un plan de paiement pourrait être élaboré si la Partie n’était pas en mesure de payer le total de ses contributions impayées en un seul règlement.   </w:t>
      </w:r>
    </w:p>
    <w:p w:rsidR="000A7D2C" w:rsidRPr="00991170" w:rsidRDefault="000A7D2C" w:rsidP="000A7D2C">
      <w:pPr>
        <w:pStyle w:val="ListParagraph"/>
        <w:spacing w:after="0" w:line="240" w:lineRule="auto"/>
        <w:ind w:left="0"/>
        <w:jc w:val="both"/>
        <w:rPr>
          <w:rFonts w:cs="Arial"/>
          <w:u w:val="single"/>
          <w:lang w:val="fr-FR"/>
        </w:rPr>
      </w:pPr>
    </w:p>
    <w:p w:rsidR="000A7D2C" w:rsidRPr="00991170" w:rsidRDefault="000A7D2C" w:rsidP="000A7D2C">
      <w:pPr>
        <w:pStyle w:val="ListParagraph"/>
        <w:spacing w:after="0" w:line="240" w:lineRule="auto"/>
        <w:ind w:left="0"/>
        <w:jc w:val="both"/>
        <w:rPr>
          <w:rFonts w:cs="Arial"/>
          <w:u w:val="single"/>
          <w:lang w:val="fr-FR"/>
        </w:rPr>
      </w:pPr>
      <w:r w:rsidRPr="00991170">
        <w:rPr>
          <w:rFonts w:cs="Arial"/>
          <w:u w:val="single"/>
          <w:lang w:val="fr-FR"/>
        </w:rPr>
        <w:t>Exécution budgétaire pour la période 2018-2019</w:t>
      </w:r>
    </w:p>
    <w:p w:rsidR="000A7D2C" w:rsidRPr="00991170" w:rsidRDefault="000A7D2C" w:rsidP="000A7D2C">
      <w:pPr>
        <w:widowControl w:val="0"/>
        <w:autoSpaceDE w:val="0"/>
        <w:autoSpaceDN w:val="0"/>
        <w:adjustRightInd w:val="0"/>
        <w:spacing w:after="0" w:line="240" w:lineRule="auto"/>
        <w:jc w:val="both"/>
        <w:rPr>
          <w:lang w:val="fr-FR"/>
        </w:rPr>
      </w:pPr>
    </w:p>
    <w:p w:rsidR="000A7D2C" w:rsidRPr="00991170" w:rsidRDefault="000A7D2C" w:rsidP="000A7D2C">
      <w:pPr>
        <w:widowControl w:val="0"/>
        <w:numPr>
          <w:ilvl w:val="0"/>
          <w:numId w:val="8"/>
        </w:numPr>
        <w:autoSpaceDE w:val="0"/>
        <w:autoSpaceDN w:val="0"/>
        <w:adjustRightInd w:val="0"/>
        <w:spacing w:after="0" w:line="240" w:lineRule="auto"/>
        <w:ind w:left="567" w:hanging="567"/>
        <w:contextualSpacing/>
        <w:jc w:val="both"/>
        <w:rPr>
          <w:lang w:val="fr-FR"/>
        </w:rPr>
      </w:pPr>
      <w:r w:rsidRPr="00991170">
        <w:rPr>
          <w:lang w:val="fr-FR"/>
        </w:rPr>
        <w:t xml:space="preserve">COP12 a adopté le budget s’élevant à 2 559 888 € pour 2018, y compris les dépenses d’appui au programme (Programme Support </w:t>
      </w:r>
      <w:proofErr w:type="spellStart"/>
      <w:r w:rsidRPr="00991170">
        <w:rPr>
          <w:lang w:val="fr-FR"/>
        </w:rPr>
        <w:t>Costs</w:t>
      </w:r>
      <w:proofErr w:type="spellEnd"/>
      <w:r w:rsidRPr="00991170">
        <w:rPr>
          <w:lang w:val="fr-FR"/>
        </w:rPr>
        <w:t xml:space="preserve">, PSC) de 13 pour cent. Le Président du Comité permanent a autorisé le Secrétariat en avril 2018 à augmenter le budget 2018 pour le développement du personnel de 14 085 € de 2019 à 2020, sans dépasser son budget global pour la période triennale. Cela porte le budget total de l’année 2018 à 2 573 973 €, PSC compris. </w:t>
      </w:r>
    </w:p>
    <w:p w:rsidR="000A7D2C" w:rsidRPr="00991170" w:rsidRDefault="000A7D2C" w:rsidP="000A7D2C">
      <w:pPr>
        <w:widowControl w:val="0"/>
        <w:autoSpaceDE w:val="0"/>
        <w:autoSpaceDN w:val="0"/>
        <w:adjustRightInd w:val="0"/>
        <w:spacing w:after="0" w:line="240" w:lineRule="auto"/>
        <w:ind w:left="567" w:hanging="567"/>
        <w:contextualSpacing/>
        <w:jc w:val="both"/>
        <w:rPr>
          <w:lang w:val="fr-FR"/>
        </w:rPr>
      </w:pPr>
    </w:p>
    <w:p w:rsidR="000A7D2C" w:rsidRPr="00991170" w:rsidRDefault="000A7D2C" w:rsidP="000A7D2C">
      <w:pPr>
        <w:widowControl w:val="0"/>
        <w:numPr>
          <w:ilvl w:val="0"/>
          <w:numId w:val="8"/>
        </w:numPr>
        <w:autoSpaceDE w:val="0"/>
        <w:autoSpaceDN w:val="0"/>
        <w:adjustRightInd w:val="0"/>
        <w:spacing w:after="0" w:line="240" w:lineRule="auto"/>
        <w:ind w:left="567" w:hanging="567"/>
        <w:contextualSpacing/>
        <w:jc w:val="both"/>
        <w:rPr>
          <w:lang w:val="fr-FR"/>
        </w:rPr>
      </w:pPr>
      <w:r w:rsidRPr="00991170">
        <w:rPr>
          <w:lang w:val="fr-FR"/>
        </w:rPr>
        <w:t xml:space="preserve">Pour 2019, la COP12 a adopté un budget d’un montant de </w:t>
      </w:r>
      <w:bookmarkStart w:id="0" w:name="_Hlk21592472"/>
      <w:r w:rsidRPr="00991170">
        <w:rPr>
          <w:lang w:val="fr-FR"/>
        </w:rPr>
        <w:t>2 611 087 €, PSC inclus</w:t>
      </w:r>
      <w:bookmarkEnd w:id="0"/>
      <w:r w:rsidRPr="00991170">
        <w:rPr>
          <w:lang w:val="fr-FR"/>
        </w:rPr>
        <w:t xml:space="preserve">. Après le redéploiement susmentionné des fonds de 11 758 € de 2019 à 2018 pour le perfectionnement du personnel, le budget 2019 a été réduit à 2 599 329 €, PSC compris. En raison de la décision de tenir la COP13 en février 2020, le Président du Comité permanent a autorisé le Secrétariat en septembre 2019 à augmenter le budget 2019 pour l’engagement financier lié au service de la COP13 de 113 000 € du budget 2020. Cela porte le budget total de l’année 2019 à 2 712 329 €, PSC compris. </w:t>
      </w:r>
    </w:p>
    <w:p w:rsidR="000A7D2C" w:rsidRPr="00991170" w:rsidRDefault="000A7D2C" w:rsidP="000A7D2C">
      <w:pPr>
        <w:widowControl w:val="0"/>
        <w:autoSpaceDE w:val="0"/>
        <w:autoSpaceDN w:val="0"/>
        <w:adjustRightInd w:val="0"/>
        <w:spacing w:after="0" w:line="240" w:lineRule="auto"/>
        <w:ind w:left="567" w:hanging="567"/>
        <w:contextualSpacing/>
        <w:jc w:val="both"/>
        <w:rPr>
          <w:lang w:val="fr-FR"/>
        </w:rPr>
      </w:pPr>
    </w:p>
    <w:p w:rsidR="000A7D2C" w:rsidRDefault="000A7D2C" w:rsidP="000A7D2C">
      <w:pPr>
        <w:widowControl w:val="0"/>
        <w:numPr>
          <w:ilvl w:val="0"/>
          <w:numId w:val="8"/>
        </w:numPr>
        <w:autoSpaceDE w:val="0"/>
        <w:autoSpaceDN w:val="0"/>
        <w:adjustRightInd w:val="0"/>
        <w:spacing w:after="0" w:line="240" w:lineRule="auto"/>
        <w:ind w:left="567" w:hanging="567"/>
        <w:contextualSpacing/>
        <w:jc w:val="both"/>
        <w:rPr>
          <w:lang w:val="fr-FR"/>
        </w:rPr>
      </w:pPr>
      <w:r w:rsidRPr="00991170">
        <w:rPr>
          <w:lang w:val="fr-FR"/>
        </w:rPr>
        <w:t>Le tableau de l’</w:t>
      </w:r>
      <w:r>
        <w:rPr>
          <w:lang w:val="fr-FR"/>
        </w:rPr>
        <w:t>A</w:t>
      </w:r>
      <w:r w:rsidRPr="00991170">
        <w:rPr>
          <w:lang w:val="fr-FR"/>
        </w:rPr>
        <w:t xml:space="preserve">nnexe 2 présente des informations détaillées sur les dépenses engagées en 2018 et au cours de la période allant de janvier à </w:t>
      </w:r>
      <w:r w:rsidR="000F31D8">
        <w:rPr>
          <w:lang w:val="fr-FR"/>
        </w:rPr>
        <w:t>décembre</w:t>
      </w:r>
      <w:r w:rsidRPr="00991170">
        <w:rPr>
          <w:lang w:val="fr-FR"/>
        </w:rPr>
        <w:t xml:space="preserve"> 2019 et les dépenses prévues </w:t>
      </w:r>
      <w:r w:rsidR="000F31D8">
        <w:rPr>
          <w:lang w:val="fr-FR"/>
        </w:rPr>
        <w:t xml:space="preserve">pour </w:t>
      </w:r>
      <w:r w:rsidRPr="00991170">
        <w:rPr>
          <w:lang w:val="fr-FR"/>
        </w:rPr>
        <w:t xml:space="preserve">décembre 2019. </w:t>
      </w:r>
    </w:p>
    <w:p w:rsidR="00DC42A6" w:rsidRDefault="00DC42A6" w:rsidP="00DC42A6">
      <w:pPr>
        <w:widowControl w:val="0"/>
        <w:autoSpaceDE w:val="0"/>
        <w:autoSpaceDN w:val="0"/>
        <w:adjustRightInd w:val="0"/>
        <w:spacing w:after="0" w:line="240" w:lineRule="auto"/>
        <w:ind w:left="567"/>
        <w:contextualSpacing/>
        <w:jc w:val="both"/>
        <w:rPr>
          <w:lang w:val="fr-FR"/>
        </w:rPr>
      </w:pPr>
    </w:p>
    <w:p w:rsidR="00DC42A6" w:rsidRDefault="00DC42A6" w:rsidP="00DC42A6">
      <w:pPr>
        <w:widowControl w:val="0"/>
        <w:numPr>
          <w:ilvl w:val="0"/>
          <w:numId w:val="8"/>
        </w:numPr>
        <w:autoSpaceDE w:val="0"/>
        <w:autoSpaceDN w:val="0"/>
        <w:adjustRightInd w:val="0"/>
        <w:spacing w:after="0" w:line="240" w:lineRule="auto"/>
        <w:ind w:left="567" w:hanging="567"/>
        <w:contextualSpacing/>
        <w:jc w:val="both"/>
        <w:rPr>
          <w:lang w:val="fr-FR"/>
        </w:rPr>
      </w:pPr>
      <w:r w:rsidRPr="00DC42A6">
        <w:rPr>
          <w:lang w:val="fr-FR"/>
        </w:rPr>
        <w:t xml:space="preserve">En 2018, les dépenses totales du Secrétariat se sont élevées à 2 067 590 euros (soit un taux d'exécution de 80 </w:t>
      </w:r>
      <w:r>
        <w:rPr>
          <w:lang w:val="fr-FR"/>
        </w:rPr>
        <w:t>pour cent</w:t>
      </w:r>
      <w:r w:rsidRPr="00DC42A6">
        <w:rPr>
          <w:lang w:val="fr-FR"/>
        </w:rPr>
        <w:t xml:space="preserve">), ce qui représente des économies estimées à </w:t>
      </w:r>
    </w:p>
    <w:p w:rsidR="00DC42A6" w:rsidRPr="00DC42A6" w:rsidRDefault="00DC42A6" w:rsidP="00DC42A6">
      <w:pPr>
        <w:widowControl w:val="0"/>
        <w:autoSpaceDE w:val="0"/>
        <w:autoSpaceDN w:val="0"/>
        <w:adjustRightInd w:val="0"/>
        <w:spacing w:after="0" w:line="240" w:lineRule="auto"/>
        <w:ind w:left="567"/>
        <w:contextualSpacing/>
        <w:jc w:val="both"/>
        <w:rPr>
          <w:lang w:val="fr-FR"/>
        </w:rPr>
      </w:pPr>
      <w:r w:rsidRPr="00DC42A6">
        <w:rPr>
          <w:lang w:val="fr-FR"/>
        </w:rPr>
        <w:t xml:space="preserve">506 383 euros, PSC compris, par rapport au budget total approuvé par la COP12 avec redéploiement des fonds pour le </w:t>
      </w:r>
      <w:r>
        <w:rPr>
          <w:lang w:val="fr-FR"/>
        </w:rPr>
        <w:t>développement</w:t>
      </w:r>
      <w:r w:rsidRPr="00DC42A6">
        <w:rPr>
          <w:lang w:val="fr-FR"/>
        </w:rPr>
        <w:t xml:space="preserve"> du personnel. Cet objectif a été atteint principalement grâce à :</w:t>
      </w:r>
    </w:p>
    <w:p w:rsidR="00DC42A6" w:rsidRPr="00DC42A6" w:rsidRDefault="00DC42A6" w:rsidP="00DC42A6">
      <w:pPr>
        <w:widowControl w:val="0"/>
        <w:autoSpaceDE w:val="0"/>
        <w:autoSpaceDN w:val="0"/>
        <w:adjustRightInd w:val="0"/>
        <w:spacing w:after="0" w:line="240" w:lineRule="auto"/>
        <w:ind w:left="360"/>
        <w:contextualSpacing/>
        <w:jc w:val="both"/>
        <w:rPr>
          <w:lang w:val="fr-FR"/>
        </w:rPr>
      </w:pPr>
    </w:p>
    <w:p w:rsidR="00DC42A6" w:rsidRPr="00DC42A6" w:rsidRDefault="00DC42A6" w:rsidP="00BB40EC">
      <w:pPr>
        <w:widowControl w:val="0"/>
        <w:autoSpaceDE w:val="0"/>
        <w:autoSpaceDN w:val="0"/>
        <w:adjustRightInd w:val="0"/>
        <w:spacing w:after="0" w:line="240" w:lineRule="auto"/>
        <w:ind w:left="1134" w:hanging="567"/>
        <w:contextualSpacing/>
        <w:jc w:val="both"/>
        <w:rPr>
          <w:lang w:val="fr-FR"/>
        </w:rPr>
      </w:pPr>
      <w:r w:rsidRPr="00DC42A6">
        <w:rPr>
          <w:lang w:val="fr-FR"/>
        </w:rPr>
        <w:t xml:space="preserve">- </w:t>
      </w:r>
      <w:r w:rsidR="00BB40EC">
        <w:rPr>
          <w:lang w:val="fr-FR"/>
        </w:rPr>
        <w:tab/>
      </w:r>
      <w:r w:rsidRPr="00DC42A6">
        <w:rPr>
          <w:lang w:val="fr-FR"/>
        </w:rPr>
        <w:t xml:space="preserve">Des économies de 417 216 euros au titre des dépenses de personnel dues à la vacance du poste de Secrétaire exécutif adjoint et au recrutement retardé d'un spécialiste du renforcement des capacités ainsi que d'administrateurs de programme associés du Secrétariat. </w:t>
      </w:r>
    </w:p>
    <w:p w:rsidR="00DC42A6" w:rsidRPr="00DC42A6" w:rsidRDefault="00DC42A6" w:rsidP="00BB40EC">
      <w:pPr>
        <w:widowControl w:val="0"/>
        <w:autoSpaceDE w:val="0"/>
        <w:autoSpaceDN w:val="0"/>
        <w:adjustRightInd w:val="0"/>
        <w:spacing w:after="0" w:line="240" w:lineRule="auto"/>
        <w:ind w:left="1134" w:hanging="567"/>
        <w:contextualSpacing/>
        <w:jc w:val="both"/>
        <w:rPr>
          <w:lang w:val="fr-FR"/>
        </w:rPr>
      </w:pPr>
      <w:r w:rsidRPr="00DC42A6">
        <w:rPr>
          <w:lang w:val="fr-FR"/>
        </w:rPr>
        <w:t xml:space="preserve">- </w:t>
      </w:r>
      <w:r w:rsidR="00BB40EC">
        <w:rPr>
          <w:lang w:val="fr-FR"/>
        </w:rPr>
        <w:tab/>
      </w:r>
      <w:r w:rsidRPr="00DC42A6">
        <w:rPr>
          <w:lang w:val="fr-FR"/>
        </w:rPr>
        <w:t xml:space="preserve">Des économies supplémentaires d'un montant de 43 430 euros ont été réalisées au titre des dépenses de fonctionnement du Secrétariat en raison a) de la réduction du nombre d'impressions en couleur ; b) de l'utilisation efficace des services de messagerie et c) de l'utilisation du solde de l'année précédente pour les services de communication rendus en 2018. </w:t>
      </w:r>
    </w:p>
    <w:p w:rsidR="00DC42A6" w:rsidRDefault="00DC42A6" w:rsidP="00BB40EC">
      <w:pPr>
        <w:widowControl w:val="0"/>
        <w:autoSpaceDE w:val="0"/>
        <w:autoSpaceDN w:val="0"/>
        <w:adjustRightInd w:val="0"/>
        <w:spacing w:after="0" w:line="240" w:lineRule="auto"/>
        <w:ind w:left="1134" w:hanging="567"/>
        <w:contextualSpacing/>
        <w:jc w:val="both"/>
        <w:rPr>
          <w:lang w:val="fr-FR"/>
        </w:rPr>
      </w:pPr>
      <w:r w:rsidRPr="00DC42A6">
        <w:rPr>
          <w:lang w:val="fr-FR"/>
        </w:rPr>
        <w:t xml:space="preserve">- </w:t>
      </w:r>
      <w:r w:rsidR="00BB40EC">
        <w:rPr>
          <w:lang w:val="fr-FR"/>
        </w:rPr>
        <w:tab/>
      </w:r>
      <w:r w:rsidRPr="00DC42A6">
        <w:rPr>
          <w:lang w:val="fr-FR"/>
        </w:rPr>
        <w:t xml:space="preserve">Dans la catégorie des voyages, y compris les voyages du personnel, le Secrétariat a économisé au total 22 042 euros en 2018 en organisant à temps les voyages des participants financés aux réunions des organes directeurs tenues en 2018.En outre, le coût des missions officielles du personnel du Secrétariat a été réduit grâce à une bonne planification préalable des missions, ce qui a permis de réduire le coût des billets et à l'utilisation d'autres moyens de communication comme les téléconférences et les appels Skype plutôt que les missions. </w:t>
      </w:r>
    </w:p>
    <w:p w:rsidR="00BB40EC" w:rsidRPr="00DC42A6" w:rsidRDefault="00BB40EC" w:rsidP="00BB40EC">
      <w:pPr>
        <w:widowControl w:val="0"/>
        <w:autoSpaceDE w:val="0"/>
        <w:autoSpaceDN w:val="0"/>
        <w:adjustRightInd w:val="0"/>
        <w:spacing w:after="0" w:line="240" w:lineRule="auto"/>
        <w:ind w:left="1134" w:hanging="567"/>
        <w:contextualSpacing/>
        <w:jc w:val="both"/>
        <w:rPr>
          <w:lang w:val="fr-FR"/>
        </w:rPr>
      </w:pPr>
    </w:p>
    <w:p w:rsidR="00DC42A6" w:rsidRPr="00DC42A6" w:rsidRDefault="00DC42A6" w:rsidP="00BB40EC">
      <w:pPr>
        <w:widowControl w:val="0"/>
        <w:autoSpaceDE w:val="0"/>
        <w:autoSpaceDN w:val="0"/>
        <w:adjustRightInd w:val="0"/>
        <w:spacing w:after="0" w:line="240" w:lineRule="auto"/>
        <w:ind w:left="1134" w:hanging="567"/>
        <w:contextualSpacing/>
        <w:jc w:val="both"/>
        <w:rPr>
          <w:lang w:val="fr-FR"/>
        </w:rPr>
      </w:pPr>
      <w:r w:rsidRPr="00DC42A6">
        <w:rPr>
          <w:lang w:val="fr-FR"/>
        </w:rPr>
        <w:lastRenderedPageBreak/>
        <w:t xml:space="preserve">- </w:t>
      </w:r>
      <w:r w:rsidR="00BB40EC">
        <w:rPr>
          <w:lang w:val="fr-FR"/>
        </w:rPr>
        <w:tab/>
      </w:r>
      <w:r w:rsidRPr="00DC42A6">
        <w:rPr>
          <w:lang w:val="fr-FR"/>
        </w:rPr>
        <w:t xml:space="preserve">Toutefois, les dépenses afférentes aux services contractuels destinés à soutenir les activités du conseiller scientifique ont dépassé de 34 560 € le budget alloué, ce qui a été couvert par les économies susmentionnées au titre des dépenses de personnel de 2018. </w:t>
      </w:r>
    </w:p>
    <w:p w:rsidR="000A7D2C" w:rsidRPr="00991170" w:rsidRDefault="000A7D2C" w:rsidP="000A7D2C">
      <w:pPr>
        <w:widowControl w:val="0"/>
        <w:autoSpaceDE w:val="0"/>
        <w:autoSpaceDN w:val="0"/>
        <w:adjustRightInd w:val="0"/>
        <w:ind w:left="567" w:hanging="567"/>
        <w:contextualSpacing/>
        <w:jc w:val="both"/>
        <w:rPr>
          <w:lang w:val="fr-FR"/>
        </w:rPr>
      </w:pPr>
    </w:p>
    <w:p w:rsidR="000A7D2C" w:rsidRPr="00991170" w:rsidRDefault="000A7D2C" w:rsidP="000A7D2C">
      <w:pPr>
        <w:widowControl w:val="0"/>
        <w:numPr>
          <w:ilvl w:val="0"/>
          <w:numId w:val="8"/>
        </w:numPr>
        <w:autoSpaceDE w:val="0"/>
        <w:autoSpaceDN w:val="0"/>
        <w:adjustRightInd w:val="0"/>
        <w:spacing w:after="0" w:line="240" w:lineRule="auto"/>
        <w:ind w:left="567" w:hanging="567"/>
        <w:contextualSpacing/>
        <w:jc w:val="both"/>
        <w:rPr>
          <w:lang w:val="fr-FR"/>
        </w:rPr>
      </w:pPr>
      <w:r w:rsidRPr="00991170">
        <w:rPr>
          <w:lang w:val="fr-FR"/>
        </w:rPr>
        <w:t>Au cours de</w:t>
      </w:r>
      <w:r w:rsidR="00BB40EC">
        <w:rPr>
          <w:lang w:val="fr-FR"/>
        </w:rPr>
        <w:t xml:space="preserve"> la période de janvier à novembre</w:t>
      </w:r>
      <w:r w:rsidRPr="00991170">
        <w:rPr>
          <w:lang w:val="fr-FR"/>
        </w:rPr>
        <w:t xml:space="preserve"> 2019, les dépenses totales représentaient </w:t>
      </w:r>
      <w:r w:rsidR="00BB40EC">
        <w:rPr>
          <w:lang w:val="fr-FR"/>
        </w:rPr>
        <w:t>7</w:t>
      </w:r>
      <w:r w:rsidRPr="00991170">
        <w:rPr>
          <w:lang w:val="fr-FR"/>
        </w:rPr>
        <w:t>5 </w:t>
      </w:r>
      <w:r>
        <w:rPr>
          <w:lang w:val="fr-FR"/>
        </w:rPr>
        <w:t>pour cent</w:t>
      </w:r>
      <w:r w:rsidRPr="00991170">
        <w:rPr>
          <w:lang w:val="fr-FR"/>
        </w:rPr>
        <w:t xml:space="preserve"> du budget total, correspondant à </w:t>
      </w:r>
      <w:r w:rsidR="00BB40EC">
        <w:rPr>
          <w:lang w:val="fr-FR"/>
        </w:rPr>
        <w:t>2 050 993</w:t>
      </w:r>
      <w:r w:rsidRPr="00991170">
        <w:rPr>
          <w:lang w:val="fr-FR"/>
        </w:rPr>
        <w:t> €</w:t>
      </w:r>
      <w:r w:rsidR="00BB40EC">
        <w:rPr>
          <w:lang w:val="fr-FR"/>
        </w:rPr>
        <w:t>, PSC compris</w:t>
      </w:r>
      <w:r w:rsidRPr="00991170">
        <w:rPr>
          <w:lang w:val="fr-FR"/>
        </w:rPr>
        <w:t xml:space="preserve">. La répartition est la suivante : </w:t>
      </w:r>
    </w:p>
    <w:p w:rsidR="000A7D2C" w:rsidRPr="00991170" w:rsidRDefault="000A7D2C" w:rsidP="000A7D2C">
      <w:pPr>
        <w:pStyle w:val="ListParagraph"/>
        <w:widowControl w:val="0"/>
        <w:numPr>
          <w:ilvl w:val="0"/>
          <w:numId w:val="9"/>
        </w:numPr>
        <w:autoSpaceDE w:val="0"/>
        <w:autoSpaceDN w:val="0"/>
        <w:adjustRightInd w:val="0"/>
        <w:spacing w:before="120" w:after="0" w:line="240" w:lineRule="auto"/>
        <w:ind w:left="1134" w:hanging="567"/>
        <w:jc w:val="both"/>
        <w:rPr>
          <w:lang w:val="fr-FR"/>
        </w:rPr>
      </w:pPr>
      <w:r w:rsidRPr="00991170">
        <w:rPr>
          <w:lang w:val="fr-FR"/>
        </w:rPr>
        <w:t>Les dépenses de personnel (administrateurs et personnel d’appui général) se sont élevées à 1 </w:t>
      </w:r>
      <w:r w:rsidR="00BB40EC">
        <w:rPr>
          <w:lang w:val="fr-FR"/>
        </w:rPr>
        <w:t>436 651</w:t>
      </w:r>
      <w:r w:rsidRPr="00991170">
        <w:rPr>
          <w:lang w:val="fr-FR"/>
        </w:rPr>
        <w:t xml:space="preserve"> €, contre un budget de 1 923 096 €, soit un taux d’exécution de </w:t>
      </w:r>
      <w:r w:rsidR="00BB40EC">
        <w:rPr>
          <w:lang w:val="fr-FR"/>
        </w:rPr>
        <w:t>7</w:t>
      </w:r>
      <w:r w:rsidRPr="00991170">
        <w:rPr>
          <w:lang w:val="fr-FR"/>
        </w:rPr>
        <w:t>5 pour cent ;</w:t>
      </w:r>
    </w:p>
    <w:p w:rsidR="000A7D2C" w:rsidRPr="00991170" w:rsidRDefault="000A7D2C" w:rsidP="000A7D2C">
      <w:pPr>
        <w:pStyle w:val="ListParagraph"/>
        <w:widowControl w:val="0"/>
        <w:numPr>
          <w:ilvl w:val="0"/>
          <w:numId w:val="9"/>
        </w:numPr>
        <w:autoSpaceDE w:val="0"/>
        <w:autoSpaceDN w:val="0"/>
        <w:adjustRightInd w:val="0"/>
        <w:spacing w:before="120" w:after="0" w:line="240" w:lineRule="auto"/>
        <w:ind w:left="1134" w:hanging="567"/>
        <w:jc w:val="both"/>
        <w:rPr>
          <w:lang w:val="fr-FR"/>
        </w:rPr>
      </w:pPr>
      <w:r w:rsidRPr="00991170">
        <w:rPr>
          <w:lang w:val="fr-FR"/>
        </w:rPr>
        <w:t xml:space="preserve">Les dépenses au titre des services contractuels se sont élevées à </w:t>
      </w:r>
      <w:r w:rsidR="00BB40EC">
        <w:rPr>
          <w:lang w:val="fr-FR"/>
        </w:rPr>
        <w:t>146 702</w:t>
      </w:r>
      <w:r w:rsidRPr="00991170">
        <w:rPr>
          <w:lang w:val="fr-FR"/>
        </w:rPr>
        <w:t> €, couvrant tous les engagements contractuels liés à la traduction et à la rédaction des rapports des documents de séance ainsi qu’à la correspondance officielle du Secrétariat, soit un taux d’exécution de 7</w:t>
      </w:r>
      <w:r w:rsidR="00BB40EC">
        <w:rPr>
          <w:lang w:val="fr-FR"/>
        </w:rPr>
        <w:t>2</w:t>
      </w:r>
      <w:r w:rsidRPr="00991170">
        <w:rPr>
          <w:lang w:val="fr-FR"/>
        </w:rPr>
        <w:t> pour cent ;</w:t>
      </w:r>
    </w:p>
    <w:p w:rsidR="000A7D2C" w:rsidRPr="00991170" w:rsidRDefault="000A7D2C" w:rsidP="000A7D2C">
      <w:pPr>
        <w:pStyle w:val="ListParagraph"/>
        <w:widowControl w:val="0"/>
        <w:numPr>
          <w:ilvl w:val="0"/>
          <w:numId w:val="9"/>
        </w:numPr>
        <w:autoSpaceDE w:val="0"/>
        <w:autoSpaceDN w:val="0"/>
        <w:adjustRightInd w:val="0"/>
        <w:spacing w:before="120" w:after="0" w:line="240" w:lineRule="auto"/>
        <w:ind w:left="1134" w:hanging="567"/>
        <w:jc w:val="both"/>
        <w:rPr>
          <w:lang w:val="fr-FR"/>
        </w:rPr>
      </w:pPr>
      <w:r w:rsidRPr="00991170">
        <w:rPr>
          <w:lang w:val="fr-FR"/>
        </w:rPr>
        <w:t>Les dépenses pour les coûts opérationnels se sont élevées à 9</w:t>
      </w:r>
      <w:r w:rsidR="00BB40EC">
        <w:rPr>
          <w:lang w:val="fr-FR"/>
        </w:rPr>
        <w:t>2 679</w:t>
      </w:r>
      <w:r w:rsidRPr="00991170">
        <w:rPr>
          <w:lang w:val="fr-FR"/>
        </w:rPr>
        <w:t xml:space="preserve"> €, sur une période allant de janvier à </w:t>
      </w:r>
      <w:r w:rsidR="00BB40EC">
        <w:rPr>
          <w:lang w:val="fr-FR"/>
        </w:rPr>
        <w:t>novembre</w:t>
      </w:r>
      <w:r w:rsidRPr="00991170">
        <w:rPr>
          <w:lang w:val="fr-FR"/>
        </w:rPr>
        <w:t xml:space="preserve"> 2019. Ce montant couvrait principalement le coût annuel en 2019 des services informatiques fournis par les Volontaires des Nations Unies, ainsi que les contrats de location de quatre imprimantes multifonctions. En outre, cela inclut les coûts de communication du Secrétariat et de maintenance du site Web de la Convention de Bonn. En outre, le Secrétariat a acheté du matériel de bureau pour un montant de 26</w:t>
      </w:r>
      <w:r w:rsidR="00BB40EC">
        <w:rPr>
          <w:lang w:val="fr-FR"/>
        </w:rPr>
        <w:t>9</w:t>
      </w:r>
      <w:r w:rsidRPr="00991170">
        <w:rPr>
          <w:lang w:val="fr-FR"/>
        </w:rPr>
        <w:t xml:space="preserve"> € sur cette période.   </w:t>
      </w:r>
    </w:p>
    <w:p w:rsidR="009B2192" w:rsidRPr="009B2192" w:rsidRDefault="000A7D2C" w:rsidP="000A7D2C">
      <w:pPr>
        <w:pStyle w:val="ListParagraph"/>
        <w:widowControl w:val="0"/>
        <w:numPr>
          <w:ilvl w:val="0"/>
          <w:numId w:val="9"/>
        </w:numPr>
        <w:autoSpaceDE w:val="0"/>
        <w:autoSpaceDN w:val="0"/>
        <w:adjustRightInd w:val="0"/>
        <w:spacing w:before="120" w:after="0" w:line="240" w:lineRule="auto"/>
        <w:ind w:left="1134" w:hanging="567"/>
        <w:jc w:val="both"/>
        <w:rPr>
          <w:lang w:val="fr-FR"/>
        </w:rPr>
      </w:pPr>
      <w:r w:rsidRPr="009B2192">
        <w:rPr>
          <w:rFonts w:cs="Arial"/>
          <w:shd w:val="clear" w:color="auto" w:fill="FFFFFF"/>
          <w:lang w:val="fr-FR"/>
        </w:rPr>
        <w:t xml:space="preserve">De janvier à </w:t>
      </w:r>
      <w:r w:rsidR="00BB40EC" w:rsidRPr="009B2192">
        <w:rPr>
          <w:rFonts w:cs="Arial"/>
          <w:shd w:val="clear" w:color="auto" w:fill="FFFFFF"/>
          <w:lang w:val="fr-FR"/>
        </w:rPr>
        <w:t>novembre</w:t>
      </w:r>
      <w:r w:rsidRPr="009B2192">
        <w:rPr>
          <w:rFonts w:cs="Arial"/>
          <w:shd w:val="clear" w:color="auto" w:fill="FFFFFF"/>
          <w:lang w:val="fr-FR"/>
        </w:rPr>
        <w:t xml:space="preserve"> 2019, les dépenses de voyages se sont élevées à</w:t>
      </w:r>
      <w:r w:rsidR="009B2192" w:rsidRPr="009B2192">
        <w:rPr>
          <w:rFonts w:cs="Arial"/>
          <w:shd w:val="clear" w:color="auto" w:fill="FFFFFF"/>
          <w:lang w:val="fr-FR"/>
        </w:rPr>
        <w:t xml:space="preserve"> </w:t>
      </w:r>
    </w:p>
    <w:p w:rsidR="000A7D2C" w:rsidRPr="00991170" w:rsidRDefault="009B2192" w:rsidP="009B2192">
      <w:pPr>
        <w:pStyle w:val="ListParagraph"/>
        <w:widowControl w:val="0"/>
        <w:autoSpaceDE w:val="0"/>
        <w:autoSpaceDN w:val="0"/>
        <w:adjustRightInd w:val="0"/>
        <w:spacing w:after="0" w:line="240" w:lineRule="auto"/>
        <w:ind w:left="1134"/>
        <w:jc w:val="both"/>
        <w:rPr>
          <w:lang w:val="fr-FR"/>
        </w:rPr>
      </w:pPr>
      <w:r w:rsidRPr="009B2192">
        <w:rPr>
          <w:rFonts w:cs="Arial"/>
          <w:shd w:val="clear" w:color="auto" w:fill="FFFFFF"/>
          <w:lang w:val="fr-FR"/>
        </w:rPr>
        <w:t>138 737</w:t>
      </w:r>
      <w:r w:rsidR="000A7D2C" w:rsidRPr="009B2192">
        <w:rPr>
          <w:lang w:val="fr-FR"/>
        </w:rPr>
        <w:t xml:space="preserve"> € au sein d’un budget s’élevant à 143 170 €. Ce montant couvre en grande partie les frais de voyage du personnel du Secrétariat, </w:t>
      </w:r>
      <w:r w:rsidRPr="009B2192">
        <w:rPr>
          <w:lang w:val="fr-FR"/>
        </w:rPr>
        <w:t xml:space="preserve">en plus des frais de voyage des participants à la 49e réunion du Comité permanent et à la </w:t>
      </w:r>
      <w:r>
        <w:rPr>
          <w:lang w:val="fr-FR"/>
        </w:rPr>
        <w:t>4</w:t>
      </w:r>
      <w:r w:rsidRPr="009B2192">
        <w:rPr>
          <w:lang w:val="fr-FR"/>
        </w:rPr>
        <w:t>e réunion du Comité de session du Conseil scientifique, qui se sont tenues en novembre 2019</w:t>
      </w:r>
      <w:r>
        <w:rPr>
          <w:lang w:val="fr-FR"/>
        </w:rPr>
        <w:t xml:space="preserve">. Il inclut également les frais de voyages </w:t>
      </w:r>
      <w:r w:rsidR="000A7D2C" w:rsidRPr="009B2192">
        <w:rPr>
          <w:lang w:val="fr-FR"/>
        </w:rPr>
        <w:t xml:space="preserve">du Président du Conseil scientifique et du Conseiller </w:t>
      </w:r>
      <w:r>
        <w:rPr>
          <w:lang w:val="fr-FR"/>
        </w:rPr>
        <w:t>nommé</w:t>
      </w:r>
      <w:r w:rsidRPr="009B2192">
        <w:rPr>
          <w:lang w:val="fr-FR"/>
        </w:rPr>
        <w:t xml:space="preserve"> par </w:t>
      </w:r>
      <w:r w:rsidRPr="00991170">
        <w:rPr>
          <w:lang w:val="fr-FR"/>
        </w:rPr>
        <w:t>la COP</w:t>
      </w:r>
      <w:r w:rsidRPr="009B2192">
        <w:rPr>
          <w:lang w:val="fr-FR"/>
        </w:rPr>
        <w:t xml:space="preserve"> </w:t>
      </w:r>
      <w:r w:rsidR="000A7D2C" w:rsidRPr="009B2192">
        <w:rPr>
          <w:lang w:val="fr-FR"/>
        </w:rPr>
        <w:t>pour les prises acc</w:t>
      </w:r>
      <w:r>
        <w:rPr>
          <w:lang w:val="fr-FR"/>
        </w:rPr>
        <w:t>identelles</w:t>
      </w:r>
      <w:r w:rsidR="000A7D2C" w:rsidRPr="009B2192">
        <w:rPr>
          <w:lang w:val="fr-FR"/>
        </w:rPr>
        <w:t xml:space="preserve"> </w:t>
      </w:r>
      <w:r w:rsidR="000A7D2C" w:rsidRPr="00991170">
        <w:rPr>
          <w:lang w:val="fr-FR"/>
        </w:rPr>
        <w:t>pour représenter le Secrétariat</w:t>
      </w:r>
      <w:r>
        <w:rPr>
          <w:lang w:val="fr-FR"/>
        </w:rPr>
        <w:t>.</w:t>
      </w:r>
    </w:p>
    <w:p w:rsidR="000A7D2C" w:rsidRPr="00991170" w:rsidRDefault="000A7D2C" w:rsidP="009B2192">
      <w:pPr>
        <w:spacing w:after="0" w:line="240" w:lineRule="auto"/>
        <w:ind w:left="567" w:hanging="567"/>
        <w:jc w:val="both"/>
        <w:rPr>
          <w:lang w:val="fr-FR"/>
        </w:rPr>
      </w:pPr>
    </w:p>
    <w:p w:rsidR="009B2192" w:rsidRDefault="000A7D2C" w:rsidP="009B2192">
      <w:pPr>
        <w:widowControl w:val="0"/>
        <w:numPr>
          <w:ilvl w:val="0"/>
          <w:numId w:val="8"/>
        </w:numPr>
        <w:autoSpaceDE w:val="0"/>
        <w:autoSpaceDN w:val="0"/>
        <w:adjustRightInd w:val="0"/>
        <w:spacing w:after="0" w:line="240" w:lineRule="auto"/>
        <w:ind w:left="567" w:hanging="567"/>
        <w:contextualSpacing/>
        <w:jc w:val="both"/>
        <w:rPr>
          <w:lang w:val="fr-FR"/>
        </w:rPr>
      </w:pPr>
      <w:r w:rsidRPr="00991170">
        <w:rPr>
          <w:lang w:val="fr-FR"/>
        </w:rPr>
        <w:t>Pour l</w:t>
      </w:r>
      <w:r w:rsidR="009B2192">
        <w:rPr>
          <w:lang w:val="fr-FR"/>
        </w:rPr>
        <w:t>e mois de décembre 2019</w:t>
      </w:r>
      <w:r w:rsidRPr="00991170">
        <w:rPr>
          <w:lang w:val="fr-FR"/>
        </w:rPr>
        <w:t xml:space="preserve">, les dépenses de personnel devraient s’élever à </w:t>
      </w:r>
    </w:p>
    <w:p w:rsidR="009B2192" w:rsidRDefault="009B2192" w:rsidP="009B2192">
      <w:pPr>
        <w:widowControl w:val="0"/>
        <w:autoSpaceDE w:val="0"/>
        <w:autoSpaceDN w:val="0"/>
        <w:adjustRightInd w:val="0"/>
        <w:spacing w:after="0" w:line="240" w:lineRule="auto"/>
        <w:ind w:left="567"/>
        <w:contextualSpacing/>
        <w:jc w:val="both"/>
        <w:rPr>
          <w:lang w:val="fr-FR"/>
        </w:rPr>
      </w:pPr>
      <w:r>
        <w:rPr>
          <w:lang w:val="fr-FR"/>
        </w:rPr>
        <w:t>152 891</w:t>
      </w:r>
      <w:r w:rsidR="000A7D2C" w:rsidRPr="00991170">
        <w:rPr>
          <w:lang w:val="fr-FR"/>
        </w:rPr>
        <w:t> €. Des économies estimées à 3</w:t>
      </w:r>
      <w:r>
        <w:rPr>
          <w:lang w:val="fr-FR"/>
        </w:rPr>
        <w:t>33 554</w:t>
      </w:r>
      <w:r w:rsidR="000A7D2C" w:rsidRPr="00991170">
        <w:rPr>
          <w:lang w:val="fr-FR"/>
        </w:rPr>
        <w:t> € devraient être réalisées à la fin de décembre 2019 en raison des postes vacants du Secrétariat</w:t>
      </w:r>
      <w:r>
        <w:rPr>
          <w:lang w:val="fr-FR"/>
        </w:rPr>
        <w:t xml:space="preserve"> </w:t>
      </w:r>
      <w:r w:rsidRPr="009B2192">
        <w:rPr>
          <w:lang w:val="fr-FR"/>
        </w:rPr>
        <w:t xml:space="preserve">tels que le chef de l'équipe chargée des espèces aviaires et </w:t>
      </w:r>
      <w:r>
        <w:rPr>
          <w:lang w:val="fr-FR"/>
        </w:rPr>
        <w:t>l’</w:t>
      </w:r>
      <w:r w:rsidRPr="009B2192">
        <w:rPr>
          <w:lang w:val="fr-FR"/>
        </w:rPr>
        <w:t>assistant</w:t>
      </w:r>
      <w:r>
        <w:rPr>
          <w:lang w:val="fr-FR"/>
        </w:rPr>
        <w:t>e</w:t>
      </w:r>
      <w:r w:rsidRPr="009B2192">
        <w:rPr>
          <w:lang w:val="fr-FR"/>
        </w:rPr>
        <w:t xml:space="preserve"> </w:t>
      </w:r>
      <w:r>
        <w:rPr>
          <w:lang w:val="fr-FR"/>
        </w:rPr>
        <w:t>personnelle</w:t>
      </w:r>
      <w:r w:rsidRPr="009B2192">
        <w:rPr>
          <w:lang w:val="fr-FR"/>
        </w:rPr>
        <w:t xml:space="preserve"> du Secrétaire exécutif</w:t>
      </w:r>
      <w:r>
        <w:rPr>
          <w:lang w:val="fr-FR"/>
        </w:rPr>
        <w:t xml:space="preserve"> ainsi</w:t>
      </w:r>
      <w:r w:rsidR="000A7D2C" w:rsidRPr="009B2192">
        <w:rPr>
          <w:lang w:val="fr-FR"/>
        </w:rPr>
        <w:t xml:space="preserve"> </w:t>
      </w:r>
      <w:r>
        <w:rPr>
          <w:lang w:val="fr-FR"/>
        </w:rPr>
        <w:t xml:space="preserve">que </w:t>
      </w:r>
      <w:r w:rsidR="000A7D2C" w:rsidRPr="009B2192">
        <w:rPr>
          <w:lang w:val="fr-FR"/>
        </w:rPr>
        <w:t xml:space="preserve">de la réduction du nombre de postes occupés par les membres du personnel du Secrétariat. </w:t>
      </w:r>
    </w:p>
    <w:p w:rsidR="009B2192" w:rsidRDefault="009B2192" w:rsidP="009B2192">
      <w:pPr>
        <w:widowControl w:val="0"/>
        <w:autoSpaceDE w:val="0"/>
        <w:autoSpaceDN w:val="0"/>
        <w:adjustRightInd w:val="0"/>
        <w:spacing w:after="0" w:line="240" w:lineRule="auto"/>
        <w:ind w:left="567"/>
        <w:contextualSpacing/>
        <w:jc w:val="both"/>
        <w:rPr>
          <w:lang w:val="fr-FR"/>
        </w:rPr>
      </w:pPr>
    </w:p>
    <w:p w:rsidR="000A7D2C" w:rsidRPr="009B2192" w:rsidRDefault="009B2192" w:rsidP="009B2192">
      <w:pPr>
        <w:widowControl w:val="0"/>
        <w:numPr>
          <w:ilvl w:val="0"/>
          <w:numId w:val="8"/>
        </w:numPr>
        <w:autoSpaceDE w:val="0"/>
        <w:autoSpaceDN w:val="0"/>
        <w:adjustRightInd w:val="0"/>
        <w:spacing w:after="0" w:line="240" w:lineRule="auto"/>
        <w:ind w:left="567" w:hanging="567"/>
        <w:contextualSpacing/>
        <w:jc w:val="both"/>
        <w:rPr>
          <w:lang w:val="fr-FR"/>
        </w:rPr>
      </w:pPr>
      <w:r w:rsidRPr="009B2192">
        <w:rPr>
          <w:lang w:val="fr-FR"/>
        </w:rPr>
        <w:t>Pour les postes hors personnel, il est prévu que 13 855 euros seront engagés en décembre 2019, soit un solde estimé à 84 953 euros. Cela porte le total des économies estimées à la fin décembre 2019 à 472 913 €, PSC compris.</w:t>
      </w:r>
    </w:p>
    <w:p w:rsidR="000A7D2C" w:rsidRDefault="000A7D2C" w:rsidP="009B2192">
      <w:pPr>
        <w:widowControl w:val="0"/>
        <w:autoSpaceDE w:val="0"/>
        <w:autoSpaceDN w:val="0"/>
        <w:adjustRightInd w:val="0"/>
        <w:spacing w:after="0" w:line="240" w:lineRule="auto"/>
        <w:ind w:left="567"/>
        <w:contextualSpacing/>
        <w:jc w:val="both"/>
        <w:rPr>
          <w:lang w:val="fr-FR"/>
        </w:rPr>
      </w:pPr>
    </w:p>
    <w:p w:rsidR="000A7D2C" w:rsidRPr="00991170" w:rsidRDefault="000A7D2C" w:rsidP="009B2192">
      <w:pPr>
        <w:widowControl w:val="0"/>
        <w:numPr>
          <w:ilvl w:val="0"/>
          <w:numId w:val="8"/>
        </w:numPr>
        <w:autoSpaceDE w:val="0"/>
        <w:autoSpaceDN w:val="0"/>
        <w:adjustRightInd w:val="0"/>
        <w:spacing w:after="0" w:line="240" w:lineRule="auto"/>
        <w:ind w:left="567" w:hanging="567"/>
        <w:contextualSpacing/>
        <w:jc w:val="both"/>
        <w:rPr>
          <w:lang w:val="fr-FR"/>
        </w:rPr>
      </w:pPr>
      <w:r w:rsidRPr="0086095A">
        <w:rPr>
          <w:lang w:val="fr-FR"/>
        </w:rPr>
        <w:t xml:space="preserve">Compte tenu de la situation actuelle </w:t>
      </w:r>
      <w:r>
        <w:rPr>
          <w:lang w:val="fr-FR"/>
        </w:rPr>
        <w:t>relative aux</w:t>
      </w:r>
      <w:r w:rsidRPr="0086095A">
        <w:rPr>
          <w:lang w:val="fr-FR"/>
        </w:rPr>
        <w:t xml:space="preserve"> arriérés, le Secrétariat n'a pas progressé dans le recrutement pour un certain nombre de postes clés vacants, y compris le poste P-4 de fonctionnaire </w:t>
      </w:r>
      <w:r w:rsidR="00FC16D8">
        <w:rPr>
          <w:lang w:val="fr-FR"/>
        </w:rPr>
        <w:t xml:space="preserve">en chef </w:t>
      </w:r>
      <w:r w:rsidRPr="0086095A">
        <w:rPr>
          <w:lang w:val="fr-FR"/>
        </w:rPr>
        <w:t>chargé des espèces aviaires. Le Secrétariat continue de surveiller avec prudence les dépenses et d'assurer le suivi auprès des Parties en retard dans le paiement de leurs contributions.</w:t>
      </w:r>
    </w:p>
    <w:p w:rsidR="00FC16D8" w:rsidRDefault="00FC16D8" w:rsidP="00FC16D8">
      <w:pPr>
        <w:pStyle w:val="ListParagraph"/>
        <w:spacing w:after="0" w:line="240" w:lineRule="auto"/>
        <w:jc w:val="both"/>
        <w:rPr>
          <w:rFonts w:cs="Arial"/>
          <w:u w:val="single"/>
          <w:lang w:val="fr-FR"/>
        </w:rPr>
      </w:pPr>
      <w:r>
        <w:rPr>
          <w:rFonts w:cs="Arial"/>
          <w:u w:val="single"/>
          <w:lang w:val="fr-FR"/>
        </w:rPr>
        <w:br w:type="page"/>
      </w:r>
    </w:p>
    <w:p w:rsidR="00FC16D8" w:rsidRPr="00FC16D8" w:rsidRDefault="00FC16D8" w:rsidP="00FC16D8">
      <w:pPr>
        <w:pStyle w:val="ListParagraph"/>
        <w:spacing w:after="0" w:line="240" w:lineRule="auto"/>
        <w:ind w:left="0"/>
        <w:jc w:val="both"/>
        <w:rPr>
          <w:rFonts w:cs="Arial"/>
          <w:u w:val="single"/>
          <w:lang w:val="fr-FR"/>
        </w:rPr>
      </w:pPr>
      <w:r w:rsidRPr="00FC16D8">
        <w:rPr>
          <w:rFonts w:cs="Arial"/>
          <w:u w:val="single"/>
          <w:lang w:val="fr-FR"/>
        </w:rPr>
        <w:lastRenderedPageBreak/>
        <w:t xml:space="preserve">État du solde du Fonds d'affectation spéciale </w:t>
      </w:r>
    </w:p>
    <w:p w:rsidR="00FC16D8" w:rsidRPr="00FC16D8" w:rsidRDefault="00FC16D8" w:rsidP="00FC16D8">
      <w:pPr>
        <w:pStyle w:val="ListParagraph"/>
        <w:spacing w:after="0" w:line="240" w:lineRule="auto"/>
        <w:jc w:val="both"/>
        <w:rPr>
          <w:rFonts w:cs="Arial"/>
          <w:lang w:val="fr-FR"/>
        </w:rPr>
      </w:pPr>
    </w:p>
    <w:p w:rsidR="00FC16D8" w:rsidRDefault="00FC16D8" w:rsidP="00FC16D8">
      <w:pPr>
        <w:pStyle w:val="ListParagraph"/>
        <w:spacing w:after="0" w:line="240" w:lineRule="auto"/>
        <w:ind w:left="567" w:hanging="567"/>
        <w:jc w:val="both"/>
        <w:rPr>
          <w:rFonts w:cs="Arial"/>
          <w:lang w:val="fr-FR"/>
        </w:rPr>
      </w:pPr>
      <w:r w:rsidRPr="00FC16D8">
        <w:rPr>
          <w:rFonts w:cs="Arial"/>
          <w:lang w:val="fr-FR"/>
        </w:rPr>
        <w:t>17.</w:t>
      </w:r>
      <w:r w:rsidRPr="00FC16D8">
        <w:rPr>
          <w:rFonts w:cs="Arial"/>
          <w:lang w:val="fr-FR"/>
        </w:rPr>
        <w:tab/>
        <w:t>A la clôture des comptes du PNUE au 31 décembre 2017, le solde total du Fonds d'affectation spéciale de la CMS pour les contributions mises en recouvrement s'élevait à 592 344 €, à l'exclusion d'une réserve opérationnelle de 418 500 €</w:t>
      </w:r>
      <w:r>
        <w:rPr>
          <w:rFonts w:cs="Arial"/>
          <w:lang w:val="fr-FR"/>
        </w:rPr>
        <w:t xml:space="preserve"> </w:t>
      </w:r>
      <w:r w:rsidRPr="00E32AFC">
        <w:rPr>
          <w:vertAlign w:val="superscript"/>
        </w:rPr>
        <w:footnoteReference w:id="1"/>
      </w:r>
      <w:r w:rsidRPr="00FC16D8">
        <w:rPr>
          <w:lang w:val="fr-FR"/>
        </w:rPr>
        <w:t xml:space="preserve"> </w:t>
      </w:r>
      <w:r w:rsidRPr="00FC16D8">
        <w:rPr>
          <w:rFonts w:cs="Arial"/>
          <w:lang w:val="fr-FR"/>
        </w:rPr>
        <w:t xml:space="preserve"> et des contributions payées d'avance pour les années futures. </w:t>
      </w:r>
    </w:p>
    <w:p w:rsidR="00FC16D8" w:rsidRPr="00FC16D8" w:rsidRDefault="00FC16D8" w:rsidP="00FC16D8">
      <w:pPr>
        <w:pStyle w:val="ListParagraph"/>
        <w:spacing w:after="0" w:line="240" w:lineRule="auto"/>
        <w:ind w:left="567" w:hanging="567"/>
        <w:jc w:val="both"/>
        <w:rPr>
          <w:rFonts w:cs="Arial"/>
          <w:lang w:val="fr-FR"/>
        </w:rPr>
      </w:pPr>
    </w:p>
    <w:p w:rsidR="00FC16D8" w:rsidRDefault="00FC16D8" w:rsidP="00FC16D8">
      <w:pPr>
        <w:pStyle w:val="ListParagraph"/>
        <w:spacing w:after="0" w:line="240" w:lineRule="auto"/>
        <w:ind w:left="567" w:hanging="567"/>
        <w:jc w:val="both"/>
        <w:rPr>
          <w:rFonts w:cs="Arial"/>
          <w:lang w:val="fr-FR"/>
        </w:rPr>
      </w:pPr>
      <w:r w:rsidRPr="00FC16D8">
        <w:rPr>
          <w:rFonts w:cs="Arial"/>
          <w:lang w:val="fr-FR"/>
        </w:rPr>
        <w:t>18.</w:t>
      </w:r>
      <w:r w:rsidRPr="00FC16D8">
        <w:rPr>
          <w:rFonts w:cs="Arial"/>
          <w:lang w:val="fr-FR"/>
        </w:rPr>
        <w:tab/>
        <w:t xml:space="preserve">Compte tenu des contributions versées et dues au 30 novembre 2019 et des dépenses prévues pour l'exercice biennal 2018-2019, le solde du fonds d'affectation spéciale à la fin de décembre 2019 devrait s'élever à 910 971 euros, comme indiqué dans le </w:t>
      </w:r>
    </w:p>
    <w:p w:rsidR="00FC16D8" w:rsidRPr="00FC16D8" w:rsidRDefault="00FC16D8" w:rsidP="00FC16D8">
      <w:pPr>
        <w:pStyle w:val="ListParagraph"/>
        <w:spacing w:after="0" w:line="240" w:lineRule="auto"/>
        <w:ind w:left="567" w:hanging="567"/>
        <w:jc w:val="both"/>
        <w:rPr>
          <w:rFonts w:cs="Arial"/>
          <w:lang w:val="fr-FR"/>
        </w:rPr>
      </w:pPr>
      <w:r>
        <w:rPr>
          <w:rFonts w:cs="Arial"/>
          <w:lang w:val="fr-FR"/>
        </w:rPr>
        <w:tab/>
      </w:r>
      <w:r w:rsidRPr="00FC16D8">
        <w:rPr>
          <w:rFonts w:cs="Arial"/>
          <w:lang w:val="fr-FR"/>
        </w:rPr>
        <w:t>tableau 1.</w:t>
      </w:r>
    </w:p>
    <w:p w:rsidR="00FC16D8" w:rsidRPr="00FC16D8" w:rsidRDefault="00FC16D8" w:rsidP="00FC16D8">
      <w:pPr>
        <w:pStyle w:val="ListParagraph"/>
        <w:spacing w:after="0" w:line="240" w:lineRule="auto"/>
        <w:jc w:val="both"/>
        <w:rPr>
          <w:rFonts w:cs="Arial"/>
          <w:lang w:val="fr-FR"/>
        </w:rPr>
      </w:pPr>
    </w:p>
    <w:tbl>
      <w:tblPr>
        <w:tblW w:w="5398" w:type="pct"/>
        <w:tblInd w:w="-426" w:type="dxa"/>
        <w:tblLayout w:type="fixed"/>
        <w:tblLook w:val="04A0" w:firstRow="1" w:lastRow="0" w:firstColumn="1" w:lastColumn="0" w:noHBand="0" w:noVBand="1"/>
      </w:tblPr>
      <w:tblGrid>
        <w:gridCol w:w="8505"/>
        <w:gridCol w:w="1239"/>
      </w:tblGrid>
      <w:tr w:rsidR="00FC16D8" w:rsidRPr="00E32AFC" w:rsidTr="008219FB">
        <w:trPr>
          <w:trHeight w:val="95"/>
        </w:trPr>
        <w:tc>
          <w:tcPr>
            <w:tcW w:w="4364" w:type="pct"/>
            <w:tcBorders>
              <w:top w:val="nil"/>
              <w:left w:val="nil"/>
              <w:bottom w:val="nil"/>
              <w:right w:val="nil"/>
            </w:tcBorders>
            <w:shd w:val="clear" w:color="auto" w:fill="auto"/>
            <w:noWrap/>
            <w:vAlign w:val="center"/>
            <w:hideMark/>
          </w:tcPr>
          <w:p w:rsidR="00FC16D8" w:rsidRPr="00FC16D8" w:rsidRDefault="00FC16D8" w:rsidP="00561DAF">
            <w:pPr>
              <w:spacing w:after="0" w:line="240" w:lineRule="auto"/>
              <w:rPr>
                <w:rFonts w:ascii="Times New Roman" w:eastAsia="Times New Roman" w:hAnsi="Times New Roman" w:cs="Times New Roman"/>
                <w:sz w:val="24"/>
                <w:szCs w:val="24"/>
                <w:lang w:val="fr-FR"/>
              </w:rPr>
            </w:pPr>
            <w:r w:rsidRPr="00B74011">
              <w:rPr>
                <w:rFonts w:cs="Arial"/>
                <w:b/>
                <w:sz w:val="20"/>
                <w:szCs w:val="20"/>
                <w:lang w:val="fr-FR"/>
              </w:rPr>
              <w:t xml:space="preserve">Tableau 1. </w:t>
            </w:r>
            <w:r w:rsidRPr="00FC16D8">
              <w:rPr>
                <w:rFonts w:cs="Arial"/>
                <w:b/>
                <w:sz w:val="20"/>
                <w:szCs w:val="20"/>
                <w:lang w:val="fr-FR"/>
              </w:rPr>
              <w:t>État du Fonds d’affectation spéciale au 31 décembre 2019</w:t>
            </w:r>
          </w:p>
        </w:tc>
        <w:tc>
          <w:tcPr>
            <w:tcW w:w="636" w:type="pct"/>
            <w:tcBorders>
              <w:top w:val="nil"/>
              <w:left w:val="nil"/>
              <w:bottom w:val="nil"/>
              <w:right w:val="nil"/>
            </w:tcBorders>
            <w:shd w:val="clear" w:color="auto" w:fill="auto"/>
            <w:noWrap/>
            <w:vAlign w:val="center"/>
            <w:hideMark/>
          </w:tcPr>
          <w:p w:rsidR="00FC16D8" w:rsidRPr="00E32AFC" w:rsidRDefault="00FC16D8" w:rsidP="00561DAF">
            <w:pPr>
              <w:spacing w:after="0" w:line="240" w:lineRule="auto"/>
              <w:jc w:val="right"/>
              <w:rPr>
                <w:rFonts w:eastAsia="Times New Roman" w:cs="Arial"/>
                <w:b/>
                <w:bCs/>
                <w:color w:val="000000"/>
                <w:sz w:val="20"/>
                <w:szCs w:val="20"/>
              </w:rPr>
            </w:pPr>
            <w:r w:rsidRPr="00E32AFC">
              <w:rPr>
                <w:rFonts w:eastAsia="Times New Roman" w:cs="Arial"/>
                <w:b/>
                <w:bCs/>
                <w:color w:val="000000"/>
                <w:sz w:val="20"/>
                <w:szCs w:val="20"/>
              </w:rPr>
              <w:t>EUR</w:t>
            </w:r>
          </w:p>
        </w:tc>
      </w:tr>
      <w:tr w:rsidR="00FC16D8" w:rsidRPr="00E32AFC" w:rsidTr="008219FB">
        <w:trPr>
          <w:trHeight w:val="556"/>
        </w:trPr>
        <w:tc>
          <w:tcPr>
            <w:tcW w:w="4364" w:type="pct"/>
            <w:tcBorders>
              <w:top w:val="single" w:sz="4" w:space="0" w:color="auto"/>
              <w:left w:val="nil"/>
              <w:bottom w:val="single" w:sz="4" w:space="0" w:color="auto"/>
              <w:right w:val="nil"/>
            </w:tcBorders>
            <w:shd w:val="clear" w:color="000000" w:fill="DDEBF7"/>
            <w:noWrap/>
            <w:vAlign w:val="center"/>
            <w:hideMark/>
          </w:tcPr>
          <w:p w:rsidR="00FC16D8" w:rsidRPr="00FC16D8" w:rsidRDefault="00FC16D8" w:rsidP="00561DAF">
            <w:pPr>
              <w:spacing w:after="0" w:line="240" w:lineRule="auto"/>
              <w:rPr>
                <w:rFonts w:eastAsia="Times New Roman" w:cs="Arial"/>
                <w:b/>
                <w:bCs/>
                <w:color w:val="000000"/>
                <w:sz w:val="20"/>
                <w:szCs w:val="20"/>
                <w:lang w:val="fr-FR"/>
              </w:rPr>
            </w:pPr>
            <w:r w:rsidRPr="00FC16D8">
              <w:rPr>
                <w:rFonts w:eastAsia="Times New Roman" w:cs="Arial"/>
                <w:b/>
                <w:bCs/>
                <w:color w:val="000000"/>
                <w:sz w:val="20"/>
                <w:szCs w:val="20"/>
                <w:lang w:val="fr-FR"/>
              </w:rPr>
              <w:t>Solde d'ouverture du fonds d'affectation spéciale au 1er janvier 2018</w:t>
            </w:r>
          </w:p>
        </w:tc>
        <w:tc>
          <w:tcPr>
            <w:tcW w:w="636" w:type="pct"/>
            <w:tcBorders>
              <w:top w:val="single" w:sz="4" w:space="0" w:color="auto"/>
              <w:left w:val="nil"/>
              <w:bottom w:val="single" w:sz="4" w:space="0" w:color="auto"/>
              <w:right w:val="nil"/>
            </w:tcBorders>
            <w:shd w:val="clear" w:color="000000" w:fill="DDEBF7"/>
            <w:noWrap/>
            <w:vAlign w:val="center"/>
            <w:hideMark/>
          </w:tcPr>
          <w:p w:rsidR="00FC16D8" w:rsidRPr="00E32AFC" w:rsidRDefault="00FC16D8" w:rsidP="00561DAF">
            <w:pPr>
              <w:spacing w:after="0" w:line="240" w:lineRule="auto"/>
              <w:jc w:val="right"/>
              <w:rPr>
                <w:rFonts w:eastAsia="Times New Roman" w:cs="Arial"/>
                <w:b/>
                <w:bCs/>
                <w:color w:val="000000"/>
                <w:sz w:val="20"/>
                <w:szCs w:val="20"/>
              </w:rPr>
            </w:pPr>
            <w:r w:rsidRPr="00E32AFC">
              <w:rPr>
                <w:rFonts w:eastAsia="Times New Roman" w:cs="Arial"/>
                <w:b/>
                <w:bCs/>
                <w:color w:val="000000"/>
                <w:sz w:val="20"/>
                <w:szCs w:val="20"/>
              </w:rPr>
              <w:t>592,</w:t>
            </w:r>
            <w:r>
              <w:rPr>
                <w:rFonts w:eastAsia="Times New Roman" w:cs="Arial"/>
                <w:b/>
                <w:bCs/>
                <w:color w:val="000000"/>
                <w:sz w:val="20"/>
                <w:szCs w:val="20"/>
              </w:rPr>
              <w:t xml:space="preserve"> </w:t>
            </w:r>
            <w:r w:rsidRPr="00E32AFC">
              <w:rPr>
                <w:rFonts w:eastAsia="Times New Roman" w:cs="Arial"/>
                <w:b/>
                <w:bCs/>
                <w:color w:val="000000"/>
                <w:sz w:val="20"/>
                <w:szCs w:val="20"/>
              </w:rPr>
              <w:t>44</w:t>
            </w:r>
          </w:p>
        </w:tc>
      </w:tr>
      <w:tr w:rsidR="00FC16D8" w:rsidRPr="00E32AFC" w:rsidTr="008219FB">
        <w:trPr>
          <w:trHeight w:val="443"/>
        </w:trPr>
        <w:tc>
          <w:tcPr>
            <w:tcW w:w="4364" w:type="pct"/>
            <w:tcBorders>
              <w:top w:val="nil"/>
              <w:left w:val="nil"/>
              <w:bottom w:val="nil"/>
              <w:right w:val="nil"/>
            </w:tcBorders>
            <w:shd w:val="clear" w:color="auto" w:fill="auto"/>
            <w:noWrap/>
            <w:vAlign w:val="center"/>
            <w:hideMark/>
          </w:tcPr>
          <w:p w:rsidR="00FC16D8" w:rsidRPr="00FC16D8" w:rsidRDefault="00FC16D8" w:rsidP="00561DAF">
            <w:pPr>
              <w:spacing w:after="0" w:line="240" w:lineRule="auto"/>
              <w:rPr>
                <w:rFonts w:eastAsia="Times New Roman" w:cs="Arial"/>
                <w:color w:val="000000"/>
                <w:sz w:val="20"/>
                <w:szCs w:val="20"/>
                <w:lang w:val="fr-FR"/>
              </w:rPr>
            </w:pPr>
            <w:r w:rsidRPr="00FC16D8">
              <w:rPr>
                <w:rFonts w:eastAsia="Times New Roman" w:cs="Arial"/>
                <w:color w:val="000000"/>
                <w:sz w:val="20"/>
                <w:szCs w:val="20"/>
                <w:lang w:val="fr-FR"/>
              </w:rPr>
              <w:t>Contributions pour la ou les périodes triennales précédentes versées en 2018 - 2019</w:t>
            </w:r>
          </w:p>
        </w:tc>
        <w:tc>
          <w:tcPr>
            <w:tcW w:w="636" w:type="pct"/>
            <w:tcBorders>
              <w:top w:val="nil"/>
              <w:left w:val="nil"/>
              <w:bottom w:val="nil"/>
              <w:right w:val="nil"/>
            </w:tcBorders>
            <w:shd w:val="clear" w:color="auto" w:fill="auto"/>
            <w:noWrap/>
            <w:vAlign w:val="center"/>
            <w:hideMark/>
          </w:tcPr>
          <w:p w:rsidR="00FC16D8" w:rsidRPr="00E32AFC" w:rsidRDefault="00FC16D8" w:rsidP="00561DAF">
            <w:pPr>
              <w:spacing w:after="0" w:line="240" w:lineRule="auto"/>
              <w:jc w:val="right"/>
              <w:rPr>
                <w:rFonts w:eastAsia="Times New Roman" w:cs="Arial"/>
                <w:color w:val="000000"/>
                <w:sz w:val="20"/>
                <w:szCs w:val="20"/>
              </w:rPr>
            </w:pPr>
            <w:r w:rsidRPr="00E32AFC">
              <w:rPr>
                <w:rFonts w:eastAsia="Times New Roman" w:cs="Arial"/>
                <w:color w:val="000000"/>
                <w:sz w:val="20"/>
                <w:szCs w:val="20"/>
              </w:rPr>
              <w:t>355</w:t>
            </w:r>
            <w:r>
              <w:rPr>
                <w:rFonts w:eastAsia="Times New Roman" w:cs="Arial"/>
                <w:color w:val="000000"/>
                <w:sz w:val="20"/>
                <w:szCs w:val="20"/>
              </w:rPr>
              <w:t xml:space="preserve"> </w:t>
            </w:r>
            <w:r w:rsidRPr="00E32AFC">
              <w:rPr>
                <w:rFonts w:eastAsia="Times New Roman" w:cs="Arial"/>
                <w:color w:val="000000"/>
                <w:sz w:val="20"/>
                <w:szCs w:val="20"/>
              </w:rPr>
              <w:t>346</w:t>
            </w:r>
          </w:p>
        </w:tc>
      </w:tr>
      <w:tr w:rsidR="00FC16D8" w:rsidRPr="00E32AFC" w:rsidTr="008219FB">
        <w:trPr>
          <w:trHeight w:val="443"/>
        </w:trPr>
        <w:tc>
          <w:tcPr>
            <w:tcW w:w="4364" w:type="pct"/>
            <w:tcBorders>
              <w:top w:val="nil"/>
              <w:left w:val="nil"/>
              <w:bottom w:val="nil"/>
              <w:right w:val="nil"/>
            </w:tcBorders>
            <w:shd w:val="clear" w:color="auto" w:fill="auto"/>
            <w:noWrap/>
            <w:vAlign w:val="center"/>
            <w:hideMark/>
          </w:tcPr>
          <w:p w:rsidR="00FC16D8" w:rsidRPr="00FC16D8" w:rsidRDefault="00FC16D8" w:rsidP="00561DAF">
            <w:pPr>
              <w:spacing w:after="0" w:line="240" w:lineRule="auto"/>
              <w:rPr>
                <w:rFonts w:eastAsia="Times New Roman" w:cs="Arial"/>
                <w:color w:val="000000"/>
                <w:sz w:val="20"/>
                <w:szCs w:val="20"/>
                <w:lang w:val="fr-FR"/>
              </w:rPr>
            </w:pPr>
            <w:r w:rsidRPr="00FC16D8">
              <w:rPr>
                <w:rFonts w:eastAsia="Times New Roman" w:cs="Arial"/>
                <w:color w:val="000000"/>
                <w:sz w:val="20"/>
                <w:szCs w:val="20"/>
                <w:lang w:val="fr-FR"/>
              </w:rPr>
              <w:t>Contributions versées pour l'exercice biennal 2018-2019 (par. 5 et annexe 1)</w:t>
            </w:r>
          </w:p>
        </w:tc>
        <w:tc>
          <w:tcPr>
            <w:tcW w:w="636" w:type="pct"/>
            <w:tcBorders>
              <w:top w:val="nil"/>
              <w:left w:val="nil"/>
              <w:bottom w:val="nil"/>
              <w:right w:val="nil"/>
            </w:tcBorders>
            <w:shd w:val="clear" w:color="auto" w:fill="auto"/>
            <w:noWrap/>
            <w:vAlign w:val="center"/>
            <w:hideMark/>
          </w:tcPr>
          <w:p w:rsidR="00FC16D8" w:rsidRPr="00E32AFC" w:rsidRDefault="00FC16D8" w:rsidP="00561DAF">
            <w:pPr>
              <w:spacing w:after="0" w:line="240" w:lineRule="auto"/>
              <w:jc w:val="right"/>
              <w:rPr>
                <w:rFonts w:eastAsia="Times New Roman" w:cs="Arial"/>
                <w:color w:val="000000"/>
                <w:sz w:val="20"/>
                <w:szCs w:val="20"/>
              </w:rPr>
            </w:pPr>
            <w:r w:rsidRPr="00E32AFC">
              <w:rPr>
                <w:rFonts w:eastAsia="Times New Roman" w:cs="Arial"/>
                <w:color w:val="000000"/>
                <w:sz w:val="20"/>
                <w:szCs w:val="20"/>
              </w:rPr>
              <w:t>4</w:t>
            </w:r>
            <w:r>
              <w:rPr>
                <w:rFonts w:eastAsia="Times New Roman" w:cs="Arial"/>
                <w:color w:val="000000"/>
                <w:sz w:val="20"/>
                <w:szCs w:val="20"/>
              </w:rPr>
              <w:t xml:space="preserve"> </w:t>
            </w:r>
            <w:r w:rsidRPr="00E32AFC">
              <w:rPr>
                <w:rFonts w:eastAsia="Times New Roman" w:cs="Arial"/>
                <w:color w:val="000000"/>
                <w:sz w:val="20"/>
                <w:szCs w:val="20"/>
              </w:rPr>
              <w:t>293</w:t>
            </w:r>
            <w:r>
              <w:rPr>
                <w:rFonts w:eastAsia="Times New Roman" w:cs="Arial"/>
                <w:color w:val="000000"/>
                <w:sz w:val="20"/>
                <w:szCs w:val="20"/>
              </w:rPr>
              <w:t xml:space="preserve"> </w:t>
            </w:r>
            <w:r w:rsidRPr="00E32AFC">
              <w:rPr>
                <w:rFonts w:eastAsia="Times New Roman" w:cs="Arial"/>
                <w:color w:val="000000"/>
                <w:sz w:val="20"/>
                <w:szCs w:val="20"/>
              </w:rPr>
              <w:t>498</w:t>
            </w:r>
          </w:p>
        </w:tc>
      </w:tr>
      <w:tr w:rsidR="00FC16D8" w:rsidRPr="00E32AFC" w:rsidTr="008219FB">
        <w:trPr>
          <w:trHeight w:val="443"/>
        </w:trPr>
        <w:tc>
          <w:tcPr>
            <w:tcW w:w="4364" w:type="pct"/>
            <w:tcBorders>
              <w:top w:val="nil"/>
              <w:left w:val="nil"/>
              <w:bottom w:val="nil"/>
              <w:right w:val="nil"/>
            </w:tcBorders>
            <w:shd w:val="clear" w:color="auto" w:fill="auto"/>
            <w:noWrap/>
            <w:vAlign w:val="center"/>
            <w:hideMark/>
          </w:tcPr>
          <w:p w:rsidR="00FC16D8" w:rsidRPr="00FC16D8" w:rsidRDefault="00FC16D8" w:rsidP="00561DAF">
            <w:pPr>
              <w:spacing w:after="0" w:line="240" w:lineRule="auto"/>
              <w:rPr>
                <w:rFonts w:eastAsia="Times New Roman" w:cs="Arial"/>
                <w:color w:val="000000"/>
                <w:sz w:val="20"/>
                <w:szCs w:val="20"/>
                <w:lang w:val="fr-FR"/>
              </w:rPr>
            </w:pPr>
            <w:r w:rsidRPr="00FC16D8">
              <w:rPr>
                <w:rFonts w:eastAsia="Times New Roman" w:cs="Arial"/>
                <w:color w:val="000000"/>
                <w:sz w:val="20"/>
                <w:szCs w:val="20"/>
                <w:lang w:val="fr-FR"/>
              </w:rPr>
              <w:t>Contribution supplémentaire du Gouvernement norvégien (paragraphe 6)</w:t>
            </w:r>
          </w:p>
        </w:tc>
        <w:tc>
          <w:tcPr>
            <w:tcW w:w="636" w:type="pct"/>
            <w:tcBorders>
              <w:top w:val="nil"/>
              <w:left w:val="nil"/>
              <w:bottom w:val="nil"/>
              <w:right w:val="nil"/>
            </w:tcBorders>
            <w:shd w:val="clear" w:color="auto" w:fill="auto"/>
            <w:noWrap/>
            <w:vAlign w:val="center"/>
            <w:hideMark/>
          </w:tcPr>
          <w:p w:rsidR="00FC16D8" w:rsidRPr="00E32AFC" w:rsidRDefault="00FC16D8" w:rsidP="00561DAF">
            <w:pPr>
              <w:spacing w:after="0" w:line="240" w:lineRule="auto"/>
              <w:jc w:val="right"/>
              <w:rPr>
                <w:rFonts w:eastAsia="Times New Roman" w:cs="Arial"/>
                <w:color w:val="000000"/>
                <w:sz w:val="20"/>
                <w:szCs w:val="20"/>
              </w:rPr>
            </w:pPr>
            <w:r w:rsidRPr="00E32AFC">
              <w:rPr>
                <w:rFonts w:eastAsia="Times New Roman" w:cs="Arial"/>
                <w:color w:val="000000"/>
                <w:sz w:val="20"/>
                <w:szCs w:val="20"/>
              </w:rPr>
              <w:t>14</w:t>
            </w:r>
            <w:r>
              <w:rPr>
                <w:rFonts w:eastAsia="Times New Roman" w:cs="Arial"/>
                <w:color w:val="000000"/>
                <w:sz w:val="20"/>
                <w:szCs w:val="20"/>
              </w:rPr>
              <w:t xml:space="preserve"> </w:t>
            </w:r>
            <w:r w:rsidRPr="00E32AFC">
              <w:rPr>
                <w:rFonts w:eastAsia="Times New Roman" w:cs="Arial"/>
                <w:color w:val="000000"/>
                <w:sz w:val="20"/>
                <w:szCs w:val="20"/>
              </w:rPr>
              <w:t>856</w:t>
            </w:r>
          </w:p>
        </w:tc>
      </w:tr>
      <w:tr w:rsidR="00FC16D8" w:rsidRPr="00E32AFC" w:rsidTr="008219FB">
        <w:trPr>
          <w:trHeight w:val="443"/>
        </w:trPr>
        <w:tc>
          <w:tcPr>
            <w:tcW w:w="4364" w:type="pct"/>
            <w:tcBorders>
              <w:top w:val="nil"/>
              <w:left w:val="nil"/>
              <w:bottom w:val="nil"/>
              <w:right w:val="nil"/>
            </w:tcBorders>
            <w:shd w:val="clear" w:color="auto" w:fill="auto"/>
            <w:noWrap/>
            <w:vAlign w:val="center"/>
            <w:hideMark/>
          </w:tcPr>
          <w:p w:rsidR="00FC16D8" w:rsidRPr="00FC16D8" w:rsidRDefault="00FC16D8" w:rsidP="00561DAF">
            <w:pPr>
              <w:spacing w:after="0" w:line="240" w:lineRule="auto"/>
              <w:rPr>
                <w:rFonts w:eastAsia="Times New Roman" w:cs="Arial"/>
                <w:color w:val="000000"/>
                <w:sz w:val="20"/>
                <w:szCs w:val="20"/>
                <w:lang w:val="fr-FR"/>
              </w:rPr>
            </w:pPr>
            <w:r w:rsidRPr="00FC16D8">
              <w:rPr>
                <w:rFonts w:eastAsia="Times New Roman" w:cs="Arial"/>
                <w:color w:val="000000"/>
                <w:sz w:val="20"/>
                <w:szCs w:val="20"/>
                <w:lang w:val="fr-FR"/>
              </w:rPr>
              <w:t>Contributions dont on peut raisonnablement s'attendre à ce qu'elles soient reçues en décembre 2019</w:t>
            </w:r>
          </w:p>
        </w:tc>
        <w:tc>
          <w:tcPr>
            <w:tcW w:w="636" w:type="pct"/>
            <w:tcBorders>
              <w:top w:val="nil"/>
              <w:left w:val="nil"/>
              <w:bottom w:val="nil"/>
              <w:right w:val="nil"/>
            </w:tcBorders>
            <w:shd w:val="clear" w:color="auto" w:fill="auto"/>
            <w:noWrap/>
            <w:vAlign w:val="center"/>
            <w:hideMark/>
          </w:tcPr>
          <w:p w:rsidR="00FC16D8" w:rsidRPr="00E32AFC" w:rsidRDefault="00FC16D8" w:rsidP="00561DAF">
            <w:pPr>
              <w:spacing w:after="0" w:line="240" w:lineRule="auto"/>
              <w:jc w:val="right"/>
              <w:rPr>
                <w:rFonts w:eastAsia="Times New Roman" w:cs="Arial"/>
                <w:color w:val="000000"/>
                <w:sz w:val="20"/>
                <w:szCs w:val="20"/>
              </w:rPr>
            </w:pPr>
            <w:r w:rsidRPr="00E32AFC">
              <w:rPr>
                <w:rFonts w:eastAsia="Times New Roman" w:cs="Arial"/>
                <w:color w:val="000000"/>
                <w:sz w:val="20"/>
                <w:szCs w:val="20"/>
              </w:rPr>
              <w:t>37</w:t>
            </w:r>
            <w:r>
              <w:rPr>
                <w:rFonts w:eastAsia="Times New Roman" w:cs="Arial"/>
                <w:color w:val="000000"/>
                <w:sz w:val="20"/>
                <w:szCs w:val="20"/>
              </w:rPr>
              <w:t xml:space="preserve"> </w:t>
            </w:r>
            <w:r w:rsidRPr="00E32AFC">
              <w:rPr>
                <w:rFonts w:eastAsia="Times New Roman" w:cs="Arial"/>
                <w:color w:val="000000"/>
                <w:sz w:val="20"/>
                <w:szCs w:val="20"/>
              </w:rPr>
              <w:t>642</w:t>
            </w:r>
          </w:p>
        </w:tc>
      </w:tr>
      <w:tr w:rsidR="00FC16D8" w:rsidRPr="00E32AFC" w:rsidTr="008219FB">
        <w:trPr>
          <w:trHeight w:val="443"/>
        </w:trPr>
        <w:tc>
          <w:tcPr>
            <w:tcW w:w="4364" w:type="pct"/>
            <w:tcBorders>
              <w:top w:val="nil"/>
              <w:left w:val="nil"/>
              <w:bottom w:val="nil"/>
              <w:right w:val="nil"/>
            </w:tcBorders>
            <w:shd w:val="clear" w:color="auto" w:fill="auto"/>
            <w:noWrap/>
            <w:vAlign w:val="center"/>
            <w:hideMark/>
          </w:tcPr>
          <w:p w:rsidR="00FC16D8" w:rsidRPr="00FC16D8" w:rsidRDefault="00FC16D8" w:rsidP="00561DAF">
            <w:pPr>
              <w:spacing w:after="0" w:line="240" w:lineRule="auto"/>
              <w:rPr>
                <w:rFonts w:eastAsia="Times New Roman" w:cs="Arial"/>
                <w:color w:val="000000"/>
                <w:sz w:val="20"/>
                <w:szCs w:val="20"/>
                <w:lang w:val="fr-FR"/>
              </w:rPr>
            </w:pPr>
            <w:r w:rsidRPr="00FC16D8">
              <w:rPr>
                <w:rFonts w:eastAsia="Times New Roman" w:cs="Arial"/>
                <w:color w:val="000000"/>
                <w:sz w:val="20"/>
                <w:szCs w:val="20"/>
                <w:lang w:val="fr-FR"/>
              </w:rPr>
              <w:t>Prévisions de dépenses pour l'exercice biennal 2018-2019 (annexe 2)</w:t>
            </w:r>
          </w:p>
        </w:tc>
        <w:tc>
          <w:tcPr>
            <w:tcW w:w="636" w:type="pct"/>
            <w:tcBorders>
              <w:top w:val="nil"/>
              <w:left w:val="nil"/>
              <w:bottom w:val="nil"/>
              <w:right w:val="nil"/>
            </w:tcBorders>
            <w:shd w:val="clear" w:color="auto" w:fill="auto"/>
            <w:noWrap/>
            <w:vAlign w:val="center"/>
            <w:hideMark/>
          </w:tcPr>
          <w:p w:rsidR="00FC16D8" w:rsidRPr="00E32AFC" w:rsidRDefault="00FC16D8" w:rsidP="00561DAF">
            <w:pPr>
              <w:spacing w:after="0" w:line="240" w:lineRule="auto"/>
              <w:jc w:val="right"/>
              <w:rPr>
                <w:rFonts w:eastAsia="Times New Roman" w:cs="Arial"/>
                <w:color w:val="000000"/>
                <w:sz w:val="20"/>
                <w:szCs w:val="20"/>
              </w:rPr>
            </w:pPr>
            <w:r w:rsidRPr="00E32AFC">
              <w:rPr>
                <w:rFonts w:eastAsia="Times New Roman" w:cs="Arial"/>
                <w:color w:val="000000"/>
                <w:sz w:val="20"/>
                <w:szCs w:val="20"/>
              </w:rPr>
              <w:t>(4</w:t>
            </w:r>
            <w:r>
              <w:rPr>
                <w:rFonts w:eastAsia="Times New Roman" w:cs="Arial"/>
                <w:color w:val="000000"/>
                <w:sz w:val="20"/>
                <w:szCs w:val="20"/>
              </w:rPr>
              <w:t xml:space="preserve"> </w:t>
            </w:r>
            <w:r w:rsidRPr="00E32AFC">
              <w:rPr>
                <w:rFonts w:eastAsia="Times New Roman" w:cs="Arial"/>
                <w:color w:val="000000"/>
                <w:sz w:val="20"/>
                <w:szCs w:val="20"/>
              </w:rPr>
              <w:t>307</w:t>
            </w:r>
            <w:r>
              <w:rPr>
                <w:rFonts w:eastAsia="Times New Roman" w:cs="Arial"/>
                <w:color w:val="000000"/>
                <w:sz w:val="20"/>
                <w:szCs w:val="20"/>
              </w:rPr>
              <w:t xml:space="preserve"> </w:t>
            </w:r>
            <w:r w:rsidRPr="00E32AFC">
              <w:rPr>
                <w:rFonts w:eastAsia="Times New Roman" w:cs="Arial"/>
                <w:color w:val="000000"/>
                <w:sz w:val="20"/>
                <w:szCs w:val="20"/>
              </w:rPr>
              <w:t>006)</w:t>
            </w:r>
          </w:p>
        </w:tc>
      </w:tr>
      <w:tr w:rsidR="00FC16D8" w:rsidRPr="00E32AFC" w:rsidTr="008219FB">
        <w:trPr>
          <w:trHeight w:val="443"/>
        </w:trPr>
        <w:tc>
          <w:tcPr>
            <w:tcW w:w="4364" w:type="pct"/>
            <w:tcBorders>
              <w:top w:val="nil"/>
              <w:left w:val="nil"/>
              <w:bottom w:val="nil"/>
              <w:right w:val="nil"/>
            </w:tcBorders>
            <w:shd w:val="clear" w:color="auto" w:fill="auto"/>
            <w:noWrap/>
            <w:vAlign w:val="center"/>
            <w:hideMark/>
          </w:tcPr>
          <w:p w:rsidR="00FC16D8" w:rsidRPr="008219FB" w:rsidRDefault="008219FB" w:rsidP="00561DAF">
            <w:pPr>
              <w:spacing w:after="0" w:line="240" w:lineRule="auto"/>
              <w:rPr>
                <w:rFonts w:eastAsia="Times New Roman" w:cs="Arial"/>
                <w:color w:val="000000"/>
                <w:sz w:val="20"/>
                <w:szCs w:val="20"/>
                <w:lang w:val="fr-FR"/>
              </w:rPr>
            </w:pPr>
            <w:r w:rsidRPr="008219FB">
              <w:rPr>
                <w:rFonts w:eastAsia="Times New Roman" w:cs="Arial"/>
                <w:color w:val="000000"/>
                <w:sz w:val="20"/>
                <w:szCs w:val="20"/>
                <w:lang w:val="fr-FR"/>
              </w:rPr>
              <w:t>Provision pour fluctuation des taux de change</w:t>
            </w:r>
          </w:p>
        </w:tc>
        <w:tc>
          <w:tcPr>
            <w:tcW w:w="636" w:type="pct"/>
            <w:tcBorders>
              <w:top w:val="nil"/>
              <w:left w:val="nil"/>
              <w:bottom w:val="nil"/>
              <w:right w:val="nil"/>
            </w:tcBorders>
            <w:shd w:val="clear" w:color="auto" w:fill="auto"/>
            <w:noWrap/>
            <w:vAlign w:val="center"/>
            <w:hideMark/>
          </w:tcPr>
          <w:p w:rsidR="00FC16D8" w:rsidRPr="00E32AFC" w:rsidRDefault="00FC16D8" w:rsidP="00561DAF">
            <w:pPr>
              <w:spacing w:after="0" w:line="240" w:lineRule="auto"/>
              <w:jc w:val="right"/>
              <w:rPr>
                <w:rFonts w:eastAsia="Times New Roman" w:cs="Arial"/>
                <w:color w:val="000000"/>
                <w:sz w:val="20"/>
                <w:szCs w:val="20"/>
              </w:rPr>
            </w:pPr>
            <w:r w:rsidRPr="00E32AFC">
              <w:rPr>
                <w:rFonts w:eastAsia="Times New Roman" w:cs="Arial"/>
                <w:color w:val="000000"/>
                <w:sz w:val="20"/>
                <w:szCs w:val="20"/>
              </w:rPr>
              <w:t>(75</w:t>
            </w:r>
            <w:r>
              <w:rPr>
                <w:rFonts w:eastAsia="Times New Roman" w:cs="Arial"/>
                <w:color w:val="000000"/>
                <w:sz w:val="20"/>
                <w:szCs w:val="20"/>
              </w:rPr>
              <w:t xml:space="preserve"> </w:t>
            </w:r>
            <w:r w:rsidRPr="00E32AFC">
              <w:rPr>
                <w:rFonts w:eastAsia="Times New Roman" w:cs="Arial"/>
                <w:color w:val="000000"/>
                <w:sz w:val="20"/>
                <w:szCs w:val="20"/>
              </w:rPr>
              <w:t>709)</w:t>
            </w:r>
          </w:p>
        </w:tc>
      </w:tr>
      <w:tr w:rsidR="00FC16D8" w:rsidRPr="00E32AFC" w:rsidTr="008219FB">
        <w:trPr>
          <w:trHeight w:val="464"/>
        </w:trPr>
        <w:tc>
          <w:tcPr>
            <w:tcW w:w="4364" w:type="pct"/>
            <w:tcBorders>
              <w:top w:val="single" w:sz="4" w:space="0" w:color="auto"/>
              <w:left w:val="nil"/>
              <w:bottom w:val="single" w:sz="8" w:space="0" w:color="auto"/>
              <w:right w:val="nil"/>
            </w:tcBorders>
            <w:shd w:val="clear" w:color="000000" w:fill="DDEBF7"/>
            <w:noWrap/>
            <w:vAlign w:val="center"/>
            <w:hideMark/>
          </w:tcPr>
          <w:p w:rsidR="00FC16D8" w:rsidRPr="008219FB" w:rsidRDefault="008219FB" w:rsidP="00561DAF">
            <w:pPr>
              <w:spacing w:after="0" w:line="240" w:lineRule="auto"/>
              <w:rPr>
                <w:rFonts w:eastAsia="Times New Roman" w:cs="Arial"/>
                <w:b/>
                <w:bCs/>
                <w:color w:val="000000"/>
                <w:sz w:val="20"/>
                <w:szCs w:val="20"/>
                <w:lang w:val="fr-FR"/>
              </w:rPr>
            </w:pPr>
            <w:r w:rsidRPr="008219FB">
              <w:rPr>
                <w:rFonts w:eastAsia="Times New Roman" w:cs="Arial"/>
                <w:b/>
                <w:bCs/>
                <w:color w:val="000000"/>
                <w:sz w:val="20"/>
                <w:szCs w:val="20"/>
                <w:lang w:val="fr-FR"/>
              </w:rPr>
              <w:t>Montant estimatif du solde du Fonds d'affectation spéciale au 31 décembre 2019</w:t>
            </w:r>
          </w:p>
        </w:tc>
        <w:tc>
          <w:tcPr>
            <w:tcW w:w="636" w:type="pct"/>
            <w:tcBorders>
              <w:top w:val="single" w:sz="4" w:space="0" w:color="auto"/>
              <w:left w:val="nil"/>
              <w:bottom w:val="single" w:sz="8" w:space="0" w:color="auto"/>
              <w:right w:val="nil"/>
            </w:tcBorders>
            <w:shd w:val="clear" w:color="000000" w:fill="DDEBF7"/>
            <w:noWrap/>
            <w:vAlign w:val="center"/>
            <w:hideMark/>
          </w:tcPr>
          <w:p w:rsidR="00FC16D8" w:rsidRPr="00E32AFC" w:rsidRDefault="00FC16D8" w:rsidP="00561DAF">
            <w:pPr>
              <w:spacing w:after="0" w:line="240" w:lineRule="auto"/>
              <w:jc w:val="right"/>
              <w:rPr>
                <w:rFonts w:eastAsia="Times New Roman" w:cs="Arial"/>
                <w:b/>
                <w:bCs/>
                <w:color w:val="000000"/>
                <w:sz w:val="20"/>
                <w:szCs w:val="20"/>
              </w:rPr>
            </w:pPr>
            <w:r w:rsidRPr="00E32AFC">
              <w:rPr>
                <w:rFonts w:eastAsia="Times New Roman" w:cs="Arial"/>
                <w:b/>
                <w:bCs/>
                <w:color w:val="000000"/>
                <w:sz w:val="20"/>
                <w:szCs w:val="20"/>
              </w:rPr>
              <w:t>910</w:t>
            </w:r>
            <w:r>
              <w:rPr>
                <w:rFonts w:eastAsia="Times New Roman" w:cs="Arial"/>
                <w:b/>
                <w:bCs/>
                <w:color w:val="000000"/>
                <w:sz w:val="20"/>
                <w:szCs w:val="20"/>
              </w:rPr>
              <w:t xml:space="preserve"> </w:t>
            </w:r>
            <w:r w:rsidRPr="00E32AFC">
              <w:rPr>
                <w:rFonts w:eastAsia="Times New Roman" w:cs="Arial"/>
                <w:b/>
                <w:bCs/>
                <w:color w:val="000000"/>
                <w:sz w:val="20"/>
                <w:szCs w:val="20"/>
              </w:rPr>
              <w:t>971</w:t>
            </w:r>
          </w:p>
        </w:tc>
      </w:tr>
    </w:tbl>
    <w:p w:rsidR="00FC16D8" w:rsidRDefault="00FC16D8" w:rsidP="00FC16D8">
      <w:pPr>
        <w:pStyle w:val="ListParagraph"/>
        <w:spacing w:after="0" w:line="240" w:lineRule="auto"/>
        <w:jc w:val="both"/>
        <w:rPr>
          <w:rFonts w:cs="Arial"/>
          <w:lang w:val="fr-FR"/>
        </w:rPr>
      </w:pPr>
    </w:p>
    <w:p w:rsidR="00FC16D8" w:rsidRDefault="00561DAF" w:rsidP="00561DAF">
      <w:pPr>
        <w:pStyle w:val="ListParagraph"/>
        <w:numPr>
          <w:ilvl w:val="0"/>
          <w:numId w:val="12"/>
        </w:numPr>
        <w:spacing w:after="0" w:line="240" w:lineRule="auto"/>
        <w:ind w:left="567" w:hanging="567"/>
        <w:jc w:val="both"/>
        <w:rPr>
          <w:rFonts w:cs="Arial"/>
          <w:lang w:val="fr-FR"/>
        </w:rPr>
      </w:pPr>
      <w:r w:rsidRPr="00561DAF">
        <w:rPr>
          <w:rFonts w:cs="Arial"/>
          <w:lang w:val="fr-FR"/>
        </w:rPr>
        <w:t>Toutefois, au 30 novembre 2019, le Fonds d'affectation spéciale ne disposait toujours pas de contributions impayées s'élevant à 1 167 365 euros. Avec la mise en œuvre d'</w:t>
      </w:r>
      <w:proofErr w:type="spellStart"/>
      <w:r w:rsidRPr="00561DAF">
        <w:rPr>
          <w:rFonts w:cs="Arial"/>
          <w:lang w:val="fr-FR"/>
        </w:rPr>
        <w:t>Umoja</w:t>
      </w:r>
      <w:proofErr w:type="spellEnd"/>
      <w:r w:rsidRPr="00561DAF">
        <w:rPr>
          <w:rFonts w:cs="Arial"/>
          <w:lang w:val="fr-FR"/>
        </w:rPr>
        <w:t xml:space="preserve"> depuis 2015, des fonds d'affectation spéciale financiers sains sont devenus des conditions préalables à la poursuite des activités du Secrétariat. Par conséquent, le Secrétariat tient à exhorter les Parties ayant des arriérés de contributions à régler leurs contributions sans plus tarder.</w:t>
      </w:r>
    </w:p>
    <w:p w:rsidR="00FC16D8" w:rsidRPr="00FC16D8" w:rsidRDefault="00FC16D8" w:rsidP="00FC16D8">
      <w:pPr>
        <w:pStyle w:val="ListParagraph"/>
        <w:spacing w:after="0" w:line="240" w:lineRule="auto"/>
        <w:jc w:val="both"/>
        <w:rPr>
          <w:rFonts w:cs="Arial"/>
          <w:lang w:val="fr-FR"/>
        </w:rPr>
      </w:pPr>
    </w:p>
    <w:p w:rsidR="000A7D2C" w:rsidRDefault="000A7D2C" w:rsidP="00561DAF">
      <w:pPr>
        <w:pStyle w:val="ListParagraph"/>
        <w:ind w:left="0"/>
        <w:jc w:val="both"/>
        <w:rPr>
          <w:rFonts w:cs="Arial"/>
          <w:u w:val="single"/>
          <w:lang w:val="fr-FR"/>
        </w:rPr>
      </w:pPr>
      <w:r w:rsidRPr="00991170">
        <w:rPr>
          <w:rFonts w:cs="Arial"/>
          <w:u w:val="single"/>
          <w:lang w:val="fr-FR"/>
        </w:rPr>
        <w:t>Action re</w:t>
      </w:r>
      <w:r w:rsidR="000F31D8">
        <w:rPr>
          <w:rFonts w:cs="Arial"/>
          <w:u w:val="single"/>
          <w:lang w:val="fr-FR"/>
        </w:rPr>
        <w:t>commandée</w:t>
      </w:r>
    </w:p>
    <w:p w:rsidR="00561DAF" w:rsidRPr="00561DAF" w:rsidRDefault="00561DAF" w:rsidP="00561DAF">
      <w:pPr>
        <w:pStyle w:val="ListParagraph"/>
        <w:ind w:left="0"/>
        <w:jc w:val="both"/>
        <w:rPr>
          <w:rFonts w:cs="Arial"/>
          <w:u w:val="single"/>
          <w:lang w:val="fr-FR"/>
        </w:rPr>
      </w:pPr>
    </w:p>
    <w:p w:rsidR="000A7D2C" w:rsidRPr="00561DAF" w:rsidRDefault="000A7D2C" w:rsidP="000A7D2C">
      <w:pPr>
        <w:pStyle w:val="ListParagraph"/>
        <w:widowControl w:val="0"/>
        <w:numPr>
          <w:ilvl w:val="0"/>
          <w:numId w:val="13"/>
        </w:numPr>
        <w:autoSpaceDE w:val="0"/>
        <w:autoSpaceDN w:val="0"/>
        <w:adjustRightInd w:val="0"/>
        <w:spacing w:after="0" w:line="240" w:lineRule="auto"/>
        <w:ind w:left="567" w:hanging="567"/>
        <w:jc w:val="both"/>
        <w:rPr>
          <w:lang w:val="fr-FR"/>
        </w:rPr>
        <w:sectPr w:rsidR="000A7D2C" w:rsidRPr="00561DAF" w:rsidSect="00561DAF">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cols w:space="720"/>
          <w:titlePg/>
          <w:docGrid w:linePitch="360"/>
        </w:sectPr>
      </w:pPr>
      <w:r w:rsidRPr="008A3F5F">
        <w:rPr>
          <w:lang w:val="fr-FR"/>
        </w:rPr>
        <w:t>L</w:t>
      </w:r>
      <w:r w:rsidR="00561DAF">
        <w:rPr>
          <w:lang w:val="fr-FR"/>
        </w:rPr>
        <w:t>a Conférence des Parties est invitée</w:t>
      </w:r>
      <w:r w:rsidRPr="008A3F5F">
        <w:rPr>
          <w:lang w:val="fr-FR"/>
        </w:rPr>
        <w:t xml:space="preserve"> à prendre note de ce document et à fournir au Secrétariat des commentaires et des orientations si nécessaire.  </w:t>
      </w:r>
    </w:p>
    <w:p w:rsidR="00561DAF" w:rsidRDefault="00561DAF" w:rsidP="000F31D8">
      <w:pPr>
        <w:pStyle w:val="FourthnumberingA"/>
        <w:numPr>
          <w:ilvl w:val="0"/>
          <w:numId w:val="0"/>
        </w:numPr>
        <w:jc w:val="right"/>
        <w:rPr>
          <w:b/>
        </w:rPr>
      </w:pPr>
      <w:r w:rsidRPr="00561DAF">
        <w:rPr>
          <w:b/>
        </w:rPr>
        <w:lastRenderedPageBreak/>
        <w:t>ANNEXE 1</w:t>
      </w:r>
    </w:p>
    <w:p w:rsidR="000F31D8" w:rsidRDefault="000F31D8" w:rsidP="00561DAF">
      <w:pPr>
        <w:widowControl w:val="0"/>
        <w:autoSpaceDE w:val="0"/>
        <w:autoSpaceDN w:val="0"/>
        <w:adjustRightInd w:val="0"/>
        <w:spacing w:after="0" w:line="240" w:lineRule="auto"/>
        <w:jc w:val="center"/>
        <w:rPr>
          <w:b/>
          <w:lang w:val="fr-FR"/>
        </w:rPr>
      </w:pPr>
    </w:p>
    <w:p w:rsidR="00561DAF" w:rsidRDefault="00561DAF" w:rsidP="00561DAF">
      <w:pPr>
        <w:widowControl w:val="0"/>
        <w:autoSpaceDE w:val="0"/>
        <w:autoSpaceDN w:val="0"/>
        <w:adjustRightInd w:val="0"/>
        <w:spacing w:after="0" w:line="240" w:lineRule="auto"/>
        <w:jc w:val="center"/>
        <w:rPr>
          <w:lang w:val="fr-FR"/>
        </w:rPr>
      </w:pPr>
      <w:bookmarkStart w:id="1" w:name="_GoBack"/>
      <w:bookmarkEnd w:id="1"/>
      <w:r w:rsidRPr="00745C63">
        <w:rPr>
          <w:b/>
          <w:lang w:val="fr-FR"/>
        </w:rPr>
        <w:t>Fonds d’affectation spéciale pour la Convention sur la conservation des espèces migratrices appartenant à la faune sauvage</w:t>
      </w:r>
    </w:p>
    <w:p w:rsidR="00561DAF" w:rsidRPr="00561DAF" w:rsidRDefault="00561DAF" w:rsidP="00561DAF">
      <w:pPr>
        <w:widowControl w:val="0"/>
        <w:autoSpaceDE w:val="0"/>
        <w:autoSpaceDN w:val="0"/>
        <w:adjustRightInd w:val="0"/>
        <w:jc w:val="center"/>
        <w:rPr>
          <w:lang w:val="fr-FR"/>
        </w:rPr>
      </w:pPr>
      <w:r w:rsidRPr="00561DAF">
        <w:rPr>
          <w:b/>
          <w:lang w:val="fr-FR"/>
        </w:rPr>
        <w:t xml:space="preserve">État des contributions au 30 </w:t>
      </w:r>
      <w:proofErr w:type="spellStart"/>
      <w:r w:rsidRPr="00561DAF">
        <w:rPr>
          <w:b/>
          <w:lang w:val="fr-FR"/>
        </w:rPr>
        <w:t>november</w:t>
      </w:r>
      <w:proofErr w:type="spellEnd"/>
      <w:r w:rsidRPr="00561DAF">
        <w:rPr>
          <w:b/>
          <w:lang w:val="fr-FR"/>
        </w:rPr>
        <w:t xml:space="preserve"> 2019 (en euros)</w:t>
      </w:r>
    </w:p>
    <w:p w:rsidR="00561DAF" w:rsidRPr="00561DAF" w:rsidRDefault="00561DAF" w:rsidP="00561DAF">
      <w:pPr>
        <w:widowControl w:val="0"/>
        <w:autoSpaceDE w:val="0"/>
        <w:autoSpaceDN w:val="0"/>
        <w:adjustRightInd w:val="0"/>
        <w:contextualSpacing/>
        <w:jc w:val="both"/>
        <w:rPr>
          <w:rFonts w:cs="Arial"/>
          <w:i/>
          <w:lang w:val="fr-FR"/>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4009"/>
        <w:gridCol w:w="1198"/>
        <w:gridCol w:w="917"/>
        <w:gridCol w:w="1134"/>
        <w:gridCol w:w="1267"/>
        <w:gridCol w:w="1267"/>
        <w:gridCol w:w="1267"/>
        <w:gridCol w:w="1134"/>
        <w:gridCol w:w="1134"/>
        <w:gridCol w:w="917"/>
      </w:tblGrid>
      <w:tr w:rsidR="00561DAF" w:rsidRPr="00561DAF" w:rsidTr="00B74011">
        <w:trPr>
          <w:trHeight w:val="962"/>
          <w:tblHeader/>
        </w:trPr>
        <w:tc>
          <w:tcPr>
            <w:tcW w:w="174" w:type="pct"/>
            <w:vMerge w:val="restart"/>
            <w:shd w:val="clear" w:color="auto" w:fill="BDD6EE" w:themeFill="accent5" w:themeFillTint="66"/>
            <w:vAlign w:val="bottom"/>
            <w:hideMark/>
          </w:tcPr>
          <w:p w:rsidR="00561DAF" w:rsidRPr="00E32AFC" w:rsidRDefault="00561DAF" w:rsidP="00561DAF">
            <w:pPr>
              <w:tabs>
                <w:tab w:val="left" w:pos="8370"/>
              </w:tabs>
              <w:rPr>
                <w:rFonts w:cs="Arial"/>
                <w:b/>
                <w:bCs/>
                <w:sz w:val="18"/>
                <w:szCs w:val="18"/>
              </w:rPr>
            </w:pPr>
            <w:r w:rsidRPr="00E32AFC">
              <w:rPr>
                <w:rFonts w:cs="Arial"/>
                <w:b/>
                <w:bCs/>
                <w:sz w:val="18"/>
                <w:szCs w:val="18"/>
              </w:rPr>
              <w:t>No</w:t>
            </w:r>
          </w:p>
        </w:tc>
        <w:tc>
          <w:tcPr>
            <w:tcW w:w="1344" w:type="pct"/>
            <w:vMerge w:val="restart"/>
            <w:shd w:val="clear" w:color="auto" w:fill="BDD6EE" w:themeFill="accent5" w:themeFillTint="66"/>
            <w:vAlign w:val="bottom"/>
            <w:hideMark/>
          </w:tcPr>
          <w:p w:rsidR="00561DAF" w:rsidRPr="00E32AFC" w:rsidRDefault="00561DAF" w:rsidP="00561DAF">
            <w:pPr>
              <w:tabs>
                <w:tab w:val="left" w:pos="8370"/>
              </w:tabs>
              <w:rPr>
                <w:rFonts w:cs="Arial"/>
                <w:b/>
                <w:bCs/>
                <w:sz w:val="18"/>
                <w:szCs w:val="18"/>
              </w:rPr>
            </w:pPr>
            <w:proofErr w:type="spellStart"/>
            <w:r w:rsidRPr="00E32AFC">
              <w:rPr>
                <w:rFonts w:cs="Arial"/>
                <w:b/>
                <w:bCs/>
                <w:sz w:val="18"/>
                <w:szCs w:val="18"/>
              </w:rPr>
              <w:t>Part</w:t>
            </w:r>
            <w:r>
              <w:rPr>
                <w:rFonts w:cs="Arial"/>
                <w:b/>
                <w:bCs/>
                <w:sz w:val="18"/>
                <w:szCs w:val="18"/>
              </w:rPr>
              <w:t>ie</w:t>
            </w:r>
            <w:proofErr w:type="spellEnd"/>
          </w:p>
        </w:tc>
        <w:tc>
          <w:tcPr>
            <w:tcW w:w="449" w:type="pct"/>
            <w:shd w:val="clear" w:color="auto" w:fill="BDD6EE" w:themeFill="accent5" w:themeFillTint="66"/>
            <w:hideMark/>
          </w:tcPr>
          <w:p w:rsidR="00561DAF" w:rsidRPr="00561DAF" w:rsidRDefault="00561DAF" w:rsidP="00561DAF">
            <w:pPr>
              <w:tabs>
                <w:tab w:val="left" w:pos="8370"/>
              </w:tabs>
              <w:jc w:val="center"/>
              <w:rPr>
                <w:rFonts w:cs="Arial"/>
                <w:b/>
                <w:bCs/>
                <w:sz w:val="14"/>
                <w:szCs w:val="14"/>
                <w:lang w:val="fr-FR"/>
              </w:rPr>
            </w:pPr>
            <w:r w:rsidRPr="00561DAF">
              <w:rPr>
                <w:b/>
                <w:bCs/>
                <w:color w:val="000000"/>
                <w:sz w:val="14"/>
                <w:szCs w:val="14"/>
                <w:lang w:val="fr-FR"/>
              </w:rPr>
              <w:t>Engagements non honorés pour 2018 et les années antérieures</w:t>
            </w:r>
          </w:p>
        </w:tc>
        <w:tc>
          <w:tcPr>
            <w:tcW w:w="308" w:type="pct"/>
            <w:shd w:val="clear" w:color="auto" w:fill="BDD6EE" w:themeFill="accent5" w:themeFillTint="66"/>
            <w:hideMark/>
          </w:tcPr>
          <w:p w:rsidR="00561DAF" w:rsidRPr="00561DAF" w:rsidRDefault="00561DAF" w:rsidP="00561DAF">
            <w:pPr>
              <w:tabs>
                <w:tab w:val="left" w:pos="8370"/>
              </w:tabs>
              <w:jc w:val="center"/>
              <w:rPr>
                <w:rFonts w:cs="Arial"/>
                <w:b/>
                <w:bCs/>
                <w:sz w:val="14"/>
                <w:szCs w:val="14"/>
                <w:lang w:val="fr-FR"/>
              </w:rPr>
            </w:pPr>
            <w:r w:rsidRPr="00561DAF">
              <w:rPr>
                <w:b/>
                <w:bCs/>
                <w:color w:val="000000"/>
                <w:sz w:val="14"/>
                <w:szCs w:val="14"/>
                <w:lang w:val="fr-FR"/>
              </w:rPr>
              <w:t>Paiements anticipés pour les années futures</w:t>
            </w:r>
          </w:p>
        </w:tc>
        <w:tc>
          <w:tcPr>
            <w:tcW w:w="381" w:type="pct"/>
            <w:shd w:val="clear" w:color="auto" w:fill="BDD6EE" w:themeFill="accent5" w:themeFillTint="66"/>
            <w:hideMark/>
          </w:tcPr>
          <w:p w:rsidR="00561DAF" w:rsidRPr="00561DAF" w:rsidRDefault="00561DAF" w:rsidP="00561DAF">
            <w:pPr>
              <w:tabs>
                <w:tab w:val="left" w:pos="8370"/>
              </w:tabs>
              <w:jc w:val="center"/>
              <w:rPr>
                <w:rFonts w:cs="Arial"/>
                <w:b/>
                <w:bCs/>
                <w:sz w:val="14"/>
                <w:szCs w:val="14"/>
              </w:rPr>
            </w:pPr>
            <w:r w:rsidRPr="00561DAF">
              <w:rPr>
                <w:b/>
                <w:bCs/>
                <w:color w:val="000000"/>
                <w:sz w:val="14"/>
                <w:szCs w:val="14"/>
              </w:rPr>
              <w:t>Engagements pour 2019</w:t>
            </w:r>
          </w:p>
        </w:tc>
        <w:tc>
          <w:tcPr>
            <w:tcW w:w="425" w:type="pct"/>
            <w:shd w:val="clear" w:color="auto" w:fill="BDD6EE" w:themeFill="accent5" w:themeFillTint="66"/>
            <w:hideMark/>
          </w:tcPr>
          <w:p w:rsidR="00561DAF" w:rsidRPr="00561DAF" w:rsidRDefault="00561DAF" w:rsidP="00561DAF">
            <w:pPr>
              <w:tabs>
                <w:tab w:val="left" w:pos="8370"/>
              </w:tabs>
              <w:jc w:val="center"/>
              <w:rPr>
                <w:rFonts w:cs="Arial"/>
                <w:b/>
                <w:bCs/>
                <w:sz w:val="14"/>
                <w:szCs w:val="14"/>
                <w:lang w:val="fr-FR"/>
              </w:rPr>
            </w:pPr>
            <w:r w:rsidRPr="00561DAF">
              <w:rPr>
                <w:b/>
                <w:bCs/>
                <w:color w:val="000000"/>
                <w:sz w:val="14"/>
                <w:szCs w:val="14"/>
                <w:lang w:val="fr-FR"/>
              </w:rPr>
              <w:t>Recouvrements en 2019 pour 2018 et les années antérieures</w:t>
            </w:r>
          </w:p>
        </w:tc>
        <w:tc>
          <w:tcPr>
            <w:tcW w:w="425" w:type="pct"/>
            <w:shd w:val="clear" w:color="auto" w:fill="BDD6EE" w:themeFill="accent5" w:themeFillTint="66"/>
            <w:hideMark/>
          </w:tcPr>
          <w:p w:rsidR="00561DAF" w:rsidRPr="00561DAF" w:rsidRDefault="00561DAF" w:rsidP="00561DAF">
            <w:pPr>
              <w:tabs>
                <w:tab w:val="left" w:pos="8370"/>
              </w:tabs>
              <w:jc w:val="center"/>
              <w:rPr>
                <w:rFonts w:cs="Arial"/>
                <w:b/>
                <w:bCs/>
                <w:sz w:val="14"/>
                <w:szCs w:val="14"/>
              </w:rPr>
            </w:pPr>
            <w:proofErr w:type="spellStart"/>
            <w:r w:rsidRPr="00561DAF">
              <w:rPr>
                <w:b/>
                <w:bCs/>
                <w:color w:val="000000"/>
                <w:sz w:val="14"/>
                <w:szCs w:val="14"/>
              </w:rPr>
              <w:t>Recouvrements</w:t>
            </w:r>
            <w:proofErr w:type="spellEnd"/>
            <w:r w:rsidRPr="00561DAF">
              <w:rPr>
                <w:b/>
                <w:bCs/>
                <w:color w:val="000000"/>
                <w:sz w:val="14"/>
                <w:szCs w:val="14"/>
              </w:rPr>
              <w:t xml:space="preserve"> en 2019 pour 2019</w:t>
            </w:r>
          </w:p>
        </w:tc>
        <w:tc>
          <w:tcPr>
            <w:tcW w:w="425" w:type="pct"/>
            <w:shd w:val="clear" w:color="auto" w:fill="BDD6EE" w:themeFill="accent5" w:themeFillTint="66"/>
            <w:vAlign w:val="center"/>
            <w:hideMark/>
          </w:tcPr>
          <w:p w:rsidR="00561DAF" w:rsidRPr="00561DAF" w:rsidRDefault="00561DAF" w:rsidP="00561DAF">
            <w:pPr>
              <w:tabs>
                <w:tab w:val="left" w:pos="8370"/>
              </w:tabs>
              <w:jc w:val="center"/>
              <w:rPr>
                <w:rFonts w:cs="Arial"/>
                <w:b/>
                <w:bCs/>
                <w:sz w:val="14"/>
                <w:szCs w:val="14"/>
                <w:lang w:val="fr-FR"/>
              </w:rPr>
            </w:pPr>
            <w:r w:rsidRPr="00561DAF">
              <w:rPr>
                <w:b/>
                <w:bCs/>
                <w:color w:val="000000"/>
                <w:sz w:val="14"/>
                <w:szCs w:val="14"/>
                <w:lang w:val="fr-FR"/>
              </w:rPr>
              <w:t>Recouvrements en 2019 pour les années futures</w:t>
            </w:r>
          </w:p>
        </w:tc>
        <w:tc>
          <w:tcPr>
            <w:tcW w:w="381" w:type="pct"/>
            <w:shd w:val="clear" w:color="auto" w:fill="BDD6EE" w:themeFill="accent5" w:themeFillTint="66"/>
            <w:vAlign w:val="center"/>
            <w:hideMark/>
          </w:tcPr>
          <w:p w:rsidR="00561DAF" w:rsidRPr="00561DAF" w:rsidRDefault="00561DAF" w:rsidP="00561DAF">
            <w:pPr>
              <w:tabs>
                <w:tab w:val="left" w:pos="8370"/>
              </w:tabs>
              <w:jc w:val="center"/>
              <w:rPr>
                <w:rFonts w:cs="Arial"/>
                <w:b/>
                <w:bCs/>
                <w:sz w:val="14"/>
                <w:szCs w:val="14"/>
                <w:lang w:val="fr-FR"/>
              </w:rPr>
            </w:pPr>
            <w:r w:rsidRPr="00561DAF">
              <w:rPr>
                <w:b/>
                <w:bCs/>
                <w:color w:val="000000"/>
                <w:sz w:val="14"/>
                <w:szCs w:val="14"/>
                <w:lang w:val="fr-FR"/>
              </w:rPr>
              <w:t>Engagements non honorés pour 2018 et les années antérieures</w:t>
            </w:r>
          </w:p>
        </w:tc>
        <w:tc>
          <w:tcPr>
            <w:tcW w:w="381" w:type="pct"/>
            <w:shd w:val="clear" w:color="auto" w:fill="BDD6EE" w:themeFill="accent5" w:themeFillTint="66"/>
            <w:vAlign w:val="center"/>
            <w:hideMark/>
          </w:tcPr>
          <w:p w:rsidR="00561DAF" w:rsidRPr="00561DAF" w:rsidRDefault="00561DAF" w:rsidP="00561DAF">
            <w:pPr>
              <w:tabs>
                <w:tab w:val="left" w:pos="8370"/>
              </w:tabs>
              <w:jc w:val="center"/>
              <w:rPr>
                <w:rFonts w:cs="Arial"/>
                <w:b/>
                <w:bCs/>
                <w:sz w:val="14"/>
                <w:szCs w:val="14"/>
              </w:rPr>
            </w:pPr>
            <w:r w:rsidRPr="00561DAF">
              <w:rPr>
                <w:b/>
                <w:bCs/>
                <w:color w:val="000000"/>
                <w:sz w:val="14"/>
                <w:szCs w:val="14"/>
              </w:rPr>
              <w:t xml:space="preserve">Engagements non </w:t>
            </w:r>
            <w:proofErr w:type="spellStart"/>
            <w:r w:rsidRPr="00561DAF">
              <w:rPr>
                <w:b/>
                <w:bCs/>
                <w:color w:val="000000"/>
                <w:sz w:val="14"/>
                <w:szCs w:val="14"/>
              </w:rPr>
              <w:t>honorés</w:t>
            </w:r>
            <w:proofErr w:type="spellEnd"/>
            <w:r w:rsidRPr="00561DAF">
              <w:rPr>
                <w:b/>
                <w:bCs/>
                <w:color w:val="000000"/>
                <w:sz w:val="14"/>
                <w:szCs w:val="14"/>
              </w:rPr>
              <w:t xml:space="preserve"> pour 2019</w:t>
            </w:r>
          </w:p>
        </w:tc>
        <w:tc>
          <w:tcPr>
            <w:tcW w:w="308" w:type="pct"/>
            <w:shd w:val="clear" w:color="auto" w:fill="BDD6EE" w:themeFill="accent5" w:themeFillTint="66"/>
            <w:vAlign w:val="center"/>
            <w:hideMark/>
          </w:tcPr>
          <w:p w:rsidR="00561DAF" w:rsidRPr="00561DAF" w:rsidRDefault="00561DAF" w:rsidP="00561DAF">
            <w:pPr>
              <w:tabs>
                <w:tab w:val="left" w:pos="8370"/>
              </w:tabs>
              <w:jc w:val="center"/>
              <w:rPr>
                <w:rFonts w:cs="Arial"/>
                <w:b/>
                <w:bCs/>
                <w:sz w:val="14"/>
                <w:szCs w:val="14"/>
                <w:lang w:val="fr-FR"/>
              </w:rPr>
            </w:pPr>
            <w:r w:rsidRPr="00561DAF">
              <w:rPr>
                <w:b/>
                <w:bCs/>
                <w:color w:val="000000"/>
                <w:sz w:val="14"/>
                <w:szCs w:val="14"/>
                <w:lang w:val="fr-FR"/>
              </w:rPr>
              <w:t>Paiements anticipés pour les années futures</w:t>
            </w:r>
          </w:p>
        </w:tc>
      </w:tr>
      <w:tr w:rsidR="00561DAF" w:rsidRPr="00E32AFC" w:rsidTr="00B74011">
        <w:trPr>
          <w:trHeight w:val="305"/>
          <w:tblHeader/>
        </w:trPr>
        <w:tc>
          <w:tcPr>
            <w:tcW w:w="174" w:type="pct"/>
            <w:vMerge/>
            <w:tcBorders>
              <w:bottom w:val="single" w:sz="4" w:space="0" w:color="auto"/>
            </w:tcBorders>
            <w:shd w:val="clear" w:color="auto" w:fill="BDD6EE" w:themeFill="accent5" w:themeFillTint="66"/>
            <w:vAlign w:val="center"/>
            <w:hideMark/>
          </w:tcPr>
          <w:p w:rsidR="00561DAF" w:rsidRPr="00561DAF" w:rsidRDefault="00561DAF" w:rsidP="00561DAF">
            <w:pPr>
              <w:tabs>
                <w:tab w:val="left" w:pos="8370"/>
              </w:tabs>
              <w:rPr>
                <w:rFonts w:cs="Arial"/>
                <w:b/>
                <w:bCs/>
                <w:sz w:val="18"/>
                <w:szCs w:val="18"/>
                <w:lang w:val="fr-FR"/>
              </w:rPr>
            </w:pPr>
          </w:p>
        </w:tc>
        <w:tc>
          <w:tcPr>
            <w:tcW w:w="1344" w:type="pct"/>
            <w:vMerge/>
            <w:tcBorders>
              <w:bottom w:val="single" w:sz="4" w:space="0" w:color="auto"/>
            </w:tcBorders>
            <w:shd w:val="clear" w:color="auto" w:fill="BDD6EE" w:themeFill="accent5" w:themeFillTint="66"/>
            <w:vAlign w:val="center"/>
            <w:hideMark/>
          </w:tcPr>
          <w:p w:rsidR="00561DAF" w:rsidRPr="00561DAF" w:rsidRDefault="00561DAF" w:rsidP="00561DAF">
            <w:pPr>
              <w:tabs>
                <w:tab w:val="left" w:pos="8370"/>
              </w:tabs>
              <w:rPr>
                <w:rFonts w:cs="Arial"/>
                <w:b/>
                <w:bCs/>
                <w:sz w:val="18"/>
                <w:szCs w:val="18"/>
                <w:lang w:val="fr-FR"/>
              </w:rPr>
            </w:pPr>
          </w:p>
        </w:tc>
        <w:tc>
          <w:tcPr>
            <w:tcW w:w="449" w:type="pct"/>
            <w:tcBorders>
              <w:bottom w:val="single" w:sz="4" w:space="0" w:color="auto"/>
            </w:tcBorders>
            <w:shd w:val="clear" w:color="auto" w:fill="BDD6EE" w:themeFill="accent5" w:themeFillTint="66"/>
            <w:vAlign w:val="center"/>
            <w:hideMark/>
          </w:tcPr>
          <w:p w:rsidR="00561DAF" w:rsidRPr="00E32AFC" w:rsidRDefault="00561DAF" w:rsidP="00561DAF">
            <w:pPr>
              <w:tabs>
                <w:tab w:val="left" w:pos="8370"/>
              </w:tabs>
              <w:jc w:val="center"/>
              <w:rPr>
                <w:rFonts w:cs="Arial"/>
                <w:b/>
                <w:bCs/>
                <w:sz w:val="18"/>
                <w:szCs w:val="18"/>
              </w:rPr>
            </w:pPr>
            <w:r w:rsidRPr="00E32AFC">
              <w:rPr>
                <w:rFonts w:cs="Arial"/>
                <w:b/>
                <w:bCs/>
                <w:sz w:val="18"/>
                <w:szCs w:val="18"/>
              </w:rPr>
              <w:t>EUR</w:t>
            </w:r>
          </w:p>
        </w:tc>
        <w:tc>
          <w:tcPr>
            <w:tcW w:w="308" w:type="pct"/>
            <w:tcBorders>
              <w:bottom w:val="single" w:sz="4" w:space="0" w:color="auto"/>
            </w:tcBorders>
            <w:shd w:val="clear" w:color="auto" w:fill="BDD6EE" w:themeFill="accent5" w:themeFillTint="66"/>
            <w:vAlign w:val="center"/>
            <w:hideMark/>
          </w:tcPr>
          <w:p w:rsidR="00561DAF" w:rsidRPr="00E32AFC" w:rsidRDefault="00561DAF" w:rsidP="00561DAF">
            <w:pPr>
              <w:tabs>
                <w:tab w:val="left" w:pos="8370"/>
              </w:tabs>
              <w:jc w:val="center"/>
              <w:rPr>
                <w:rFonts w:cs="Arial"/>
                <w:b/>
                <w:bCs/>
                <w:sz w:val="18"/>
                <w:szCs w:val="18"/>
              </w:rPr>
            </w:pPr>
            <w:r w:rsidRPr="00E32AFC">
              <w:rPr>
                <w:rFonts w:cs="Arial"/>
                <w:b/>
                <w:bCs/>
                <w:sz w:val="18"/>
                <w:szCs w:val="18"/>
              </w:rPr>
              <w:t>EUR</w:t>
            </w:r>
          </w:p>
        </w:tc>
        <w:tc>
          <w:tcPr>
            <w:tcW w:w="381" w:type="pct"/>
            <w:tcBorders>
              <w:bottom w:val="single" w:sz="4" w:space="0" w:color="auto"/>
            </w:tcBorders>
            <w:shd w:val="clear" w:color="auto" w:fill="BDD6EE" w:themeFill="accent5" w:themeFillTint="66"/>
            <w:vAlign w:val="center"/>
            <w:hideMark/>
          </w:tcPr>
          <w:p w:rsidR="00561DAF" w:rsidRPr="00E32AFC" w:rsidRDefault="00561DAF" w:rsidP="00561DAF">
            <w:pPr>
              <w:tabs>
                <w:tab w:val="left" w:pos="8370"/>
              </w:tabs>
              <w:jc w:val="center"/>
              <w:rPr>
                <w:rFonts w:cs="Arial"/>
                <w:b/>
                <w:bCs/>
                <w:sz w:val="18"/>
                <w:szCs w:val="18"/>
              </w:rPr>
            </w:pPr>
            <w:r w:rsidRPr="00E32AFC">
              <w:rPr>
                <w:rFonts w:cs="Arial"/>
                <w:b/>
                <w:bCs/>
                <w:sz w:val="18"/>
                <w:szCs w:val="18"/>
              </w:rPr>
              <w:t>EUR</w:t>
            </w:r>
          </w:p>
        </w:tc>
        <w:tc>
          <w:tcPr>
            <w:tcW w:w="425" w:type="pct"/>
            <w:tcBorders>
              <w:bottom w:val="single" w:sz="4" w:space="0" w:color="auto"/>
            </w:tcBorders>
            <w:shd w:val="clear" w:color="auto" w:fill="BDD6EE" w:themeFill="accent5" w:themeFillTint="66"/>
            <w:vAlign w:val="center"/>
            <w:hideMark/>
          </w:tcPr>
          <w:p w:rsidR="00561DAF" w:rsidRPr="00E32AFC" w:rsidRDefault="00561DAF" w:rsidP="00561DAF">
            <w:pPr>
              <w:tabs>
                <w:tab w:val="left" w:pos="8370"/>
              </w:tabs>
              <w:jc w:val="center"/>
              <w:rPr>
                <w:rFonts w:cs="Arial"/>
                <w:b/>
                <w:bCs/>
                <w:sz w:val="18"/>
                <w:szCs w:val="18"/>
              </w:rPr>
            </w:pPr>
            <w:r w:rsidRPr="00E32AFC">
              <w:rPr>
                <w:rFonts w:cs="Arial"/>
                <w:b/>
                <w:bCs/>
                <w:sz w:val="18"/>
                <w:szCs w:val="18"/>
              </w:rPr>
              <w:t>EUR</w:t>
            </w:r>
          </w:p>
        </w:tc>
        <w:tc>
          <w:tcPr>
            <w:tcW w:w="425" w:type="pct"/>
            <w:tcBorders>
              <w:bottom w:val="single" w:sz="4" w:space="0" w:color="auto"/>
            </w:tcBorders>
            <w:shd w:val="clear" w:color="auto" w:fill="BDD6EE" w:themeFill="accent5" w:themeFillTint="66"/>
            <w:vAlign w:val="center"/>
            <w:hideMark/>
          </w:tcPr>
          <w:p w:rsidR="00561DAF" w:rsidRPr="00E32AFC" w:rsidRDefault="00561DAF" w:rsidP="00561DAF">
            <w:pPr>
              <w:tabs>
                <w:tab w:val="left" w:pos="8370"/>
              </w:tabs>
              <w:jc w:val="center"/>
              <w:rPr>
                <w:rFonts w:cs="Arial"/>
                <w:b/>
                <w:bCs/>
                <w:sz w:val="18"/>
                <w:szCs w:val="18"/>
              </w:rPr>
            </w:pPr>
            <w:r w:rsidRPr="00E32AFC">
              <w:rPr>
                <w:rFonts w:cs="Arial"/>
                <w:b/>
                <w:bCs/>
                <w:sz w:val="18"/>
                <w:szCs w:val="18"/>
              </w:rPr>
              <w:t>EUR</w:t>
            </w:r>
          </w:p>
        </w:tc>
        <w:tc>
          <w:tcPr>
            <w:tcW w:w="425" w:type="pct"/>
            <w:tcBorders>
              <w:bottom w:val="single" w:sz="4" w:space="0" w:color="auto"/>
            </w:tcBorders>
            <w:shd w:val="clear" w:color="auto" w:fill="BDD6EE" w:themeFill="accent5" w:themeFillTint="66"/>
            <w:vAlign w:val="center"/>
            <w:hideMark/>
          </w:tcPr>
          <w:p w:rsidR="00561DAF" w:rsidRPr="00E32AFC" w:rsidRDefault="00561DAF" w:rsidP="00561DAF">
            <w:pPr>
              <w:tabs>
                <w:tab w:val="left" w:pos="8370"/>
              </w:tabs>
              <w:jc w:val="center"/>
              <w:rPr>
                <w:rFonts w:cs="Arial"/>
                <w:b/>
                <w:bCs/>
                <w:sz w:val="18"/>
                <w:szCs w:val="18"/>
              </w:rPr>
            </w:pPr>
            <w:r w:rsidRPr="00E32AFC">
              <w:rPr>
                <w:rFonts w:cs="Arial"/>
                <w:b/>
                <w:bCs/>
                <w:sz w:val="18"/>
                <w:szCs w:val="18"/>
              </w:rPr>
              <w:t>EUR</w:t>
            </w:r>
          </w:p>
        </w:tc>
        <w:tc>
          <w:tcPr>
            <w:tcW w:w="381" w:type="pct"/>
            <w:tcBorders>
              <w:bottom w:val="single" w:sz="4" w:space="0" w:color="auto"/>
            </w:tcBorders>
            <w:shd w:val="clear" w:color="auto" w:fill="BDD6EE" w:themeFill="accent5" w:themeFillTint="66"/>
            <w:vAlign w:val="center"/>
            <w:hideMark/>
          </w:tcPr>
          <w:p w:rsidR="00561DAF" w:rsidRPr="00E32AFC" w:rsidRDefault="00561DAF" w:rsidP="00561DAF">
            <w:pPr>
              <w:tabs>
                <w:tab w:val="left" w:pos="8370"/>
              </w:tabs>
              <w:jc w:val="center"/>
              <w:rPr>
                <w:rFonts w:cs="Arial"/>
                <w:b/>
                <w:bCs/>
                <w:sz w:val="18"/>
                <w:szCs w:val="18"/>
              </w:rPr>
            </w:pPr>
            <w:r w:rsidRPr="00E32AFC">
              <w:rPr>
                <w:rFonts w:cs="Arial"/>
                <w:b/>
                <w:bCs/>
                <w:sz w:val="18"/>
                <w:szCs w:val="18"/>
              </w:rPr>
              <w:t>EUR</w:t>
            </w:r>
          </w:p>
        </w:tc>
        <w:tc>
          <w:tcPr>
            <w:tcW w:w="381" w:type="pct"/>
            <w:tcBorders>
              <w:bottom w:val="single" w:sz="4" w:space="0" w:color="auto"/>
            </w:tcBorders>
            <w:shd w:val="clear" w:color="auto" w:fill="BDD6EE" w:themeFill="accent5" w:themeFillTint="66"/>
            <w:vAlign w:val="center"/>
            <w:hideMark/>
          </w:tcPr>
          <w:p w:rsidR="00561DAF" w:rsidRPr="00E32AFC" w:rsidRDefault="00561DAF" w:rsidP="00561DAF">
            <w:pPr>
              <w:tabs>
                <w:tab w:val="left" w:pos="8370"/>
              </w:tabs>
              <w:jc w:val="center"/>
              <w:rPr>
                <w:rFonts w:cs="Arial"/>
                <w:b/>
                <w:bCs/>
                <w:sz w:val="18"/>
                <w:szCs w:val="18"/>
              </w:rPr>
            </w:pPr>
            <w:r w:rsidRPr="00E32AFC">
              <w:rPr>
                <w:rFonts w:cs="Arial"/>
                <w:b/>
                <w:bCs/>
                <w:sz w:val="18"/>
                <w:szCs w:val="18"/>
              </w:rPr>
              <w:t>EUR</w:t>
            </w:r>
          </w:p>
        </w:tc>
        <w:tc>
          <w:tcPr>
            <w:tcW w:w="308" w:type="pct"/>
            <w:tcBorders>
              <w:bottom w:val="single" w:sz="4" w:space="0" w:color="auto"/>
            </w:tcBorders>
            <w:shd w:val="clear" w:color="auto" w:fill="BDD6EE" w:themeFill="accent5" w:themeFillTint="66"/>
            <w:vAlign w:val="center"/>
            <w:hideMark/>
          </w:tcPr>
          <w:p w:rsidR="00561DAF" w:rsidRPr="00E32AFC" w:rsidRDefault="00561DAF" w:rsidP="00561DAF">
            <w:pPr>
              <w:tabs>
                <w:tab w:val="left" w:pos="8370"/>
              </w:tabs>
              <w:jc w:val="center"/>
              <w:rPr>
                <w:rFonts w:cs="Arial"/>
                <w:b/>
                <w:bCs/>
                <w:sz w:val="18"/>
                <w:szCs w:val="18"/>
              </w:rPr>
            </w:pPr>
            <w:r w:rsidRPr="00E32AFC">
              <w:rPr>
                <w:rFonts w:cs="Arial"/>
                <w:b/>
                <w:bCs/>
                <w:sz w:val="18"/>
                <w:szCs w:val="18"/>
              </w:rPr>
              <w:t>EUR</w:t>
            </w:r>
          </w:p>
        </w:tc>
      </w:tr>
      <w:tr w:rsidR="00561DAF" w:rsidRPr="00E32AFC" w:rsidTr="00B74011">
        <w:trPr>
          <w:trHeight w:val="256"/>
        </w:trPr>
        <w:tc>
          <w:tcPr>
            <w:tcW w:w="174" w:type="pct"/>
            <w:tcBorders>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Pr>
                <w:rFonts w:cs="Arial"/>
                <w:sz w:val="18"/>
                <w:szCs w:val="18"/>
              </w:rPr>
              <w:t>1</w:t>
            </w:r>
          </w:p>
        </w:tc>
        <w:tc>
          <w:tcPr>
            <w:tcW w:w="1344" w:type="pct"/>
            <w:tcBorders>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r w:rsidRPr="00E32AFC">
              <w:rPr>
                <w:rFonts w:cs="Arial"/>
                <w:sz w:val="18"/>
                <w:szCs w:val="18"/>
              </w:rPr>
              <w:t>Afghanistan</w:t>
            </w:r>
          </w:p>
        </w:tc>
        <w:tc>
          <w:tcPr>
            <w:tcW w:w="449" w:type="pct"/>
            <w:tcBorders>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330</w:t>
            </w:r>
          </w:p>
        </w:tc>
        <w:tc>
          <w:tcPr>
            <w:tcW w:w="425" w:type="pct"/>
            <w:tcBorders>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330</w:t>
            </w:r>
          </w:p>
        </w:tc>
        <w:tc>
          <w:tcPr>
            <w:tcW w:w="308" w:type="pct"/>
            <w:tcBorders>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proofErr w:type="spellStart"/>
            <w:r w:rsidRPr="00E32AFC">
              <w:rPr>
                <w:rFonts w:cs="Arial"/>
                <w:sz w:val="18"/>
                <w:szCs w:val="18"/>
              </w:rPr>
              <w:t>Albani</w:t>
            </w:r>
            <w:r w:rsidR="00B74011">
              <w:rPr>
                <w:rFonts w:cs="Arial"/>
                <w:sz w:val="18"/>
                <w:szCs w:val="18"/>
              </w:rPr>
              <w:t>e</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440</w:t>
            </w:r>
          </w:p>
        </w:tc>
        <w:tc>
          <w:tcPr>
            <w:tcW w:w="425"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440</w:t>
            </w:r>
          </w:p>
        </w:tc>
        <w:tc>
          <w:tcPr>
            <w:tcW w:w="425"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3</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proofErr w:type="spellStart"/>
            <w:r w:rsidRPr="00E32AFC">
              <w:rPr>
                <w:rFonts w:cs="Arial"/>
                <w:sz w:val="18"/>
                <w:szCs w:val="18"/>
              </w:rPr>
              <w:t>Alg</w:t>
            </w:r>
            <w:r w:rsidR="00B74011">
              <w:rPr>
                <w:rFonts w:cs="Arial"/>
                <w:sz w:val="18"/>
                <w:szCs w:val="18"/>
              </w:rPr>
              <w:t>érie</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8</w:t>
            </w:r>
            <w:r w:rsidR="00B74011">
              <w:rPr>
                <w:rFonts w:cs="Arial"/>
                <w:sz w:val="18"/>
                <w:szCs w:val="18"/>
              </w:rPr>
              <w:t xml:space="preserve"> </w:t>
            </w:r>
            <w:r w:rsidRPr="00E32AFC">
              <w:rPr>
                <w:rFonts w:cs="Arial"/>
                <w:sz w:val="18"/>
                <w:szCs w:val="18"/>
              </w:rPr>
              <w:t>687</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8</w:t>
            </w:r>
            <w:r w:rsidR="00B74011">
              <w:rPr>
                <w:rFonts w:cs="Arial"/>
                <w:sz w:val="18"/>
                <w:szCs w:val="18"/>
              </w:rPr>
              <w:t xml:space="preserve"> </w:t>
            </w:r>
            <w:r w:rsidRPr="00E32AFC">
              <w:rPr>
                <w:rFonts w:cs="Arial"/>
                <w:sz w:val="18"/>
                <w:szCs w:val="18"/>
              </w:rPr>
              <w:t>861</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8</w:t>
            </w:r>
            <w:r w:rsidR="00B74011">
              <w:rPr>
                <w:rFonts w:cs="Arial"/>
                <w:sz w:val="18"/>
                <w:szCs w:val="18"/>
              </w:rPr>
              <w:t xml:space="preserve"> </w:t>
            </w:r>
            <w:r w:rsidRPr="00E32AFC">
              <w:rPr>
                <w:rFonts w:cs="Arial"/>
                <w:sz w:val="18"/>
                <w:szCs w:val="18"/>
              </w:rPr>
              <w:t>687</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8</w:t>
            </w:r>
            <w:r w:rsidR="00B74011">
              <w:rPr>
                <w:rFonts w:cs="Arial"/>
                <w:sz w:val="18"/>
                <w:szCs w:val="18"/>
              </w:rPr>
              <w:t xml:space="preserve"> </w:t>
            </w:r>
            <w:r w:rsidRPr="00E32AFC">
              <w:rPr>
                <w:rFonts w:cs="Arial"/>
                <w:sz w:val="18"/>
                <w:szCs w:val="18"/>
              </w:rPr>
              <w:t>861</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4</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r w:rsidRPr="00E32AFC">
              <w:rPr>
                <w:rFonts w:cs="Arial"/>
                <w:sz w:val="18"/>
                <w:szCs w:val="18"/>
              </w:rPr>
              <w:t>Angola</w:t>
            </w:r>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27</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550</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523</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r w:rsidRPr="00E32AFC">
              <w:rPr>
                <w:rFonts w:cs="Arial"/>
                <w:sz w:val="18"/>
                <w:szCs w:val="18"/>
              </w:rPr>
              <w:t>Antigua &amp; Barbuda</w:t>
            </w:r>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265</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110</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265</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110</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6</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r w:rsidRPr="00E32AFC">
              <w:rPr>
                <w:rFonts w:cs="Arial"/>
                <w:sz w:val="18"/>
                <w:szCs w:val="18"/>
              </w:rPr>
              <w:t>Argentin</w:t>
            </w:r>
            <w:r w:rsidR="00B74011">
              <w:rPr>
                <w:rFonts w:cs="Arial"/>
                <w:sz w:val="18"/>
                <w:szCs w:val="18"/>
              </w:rPr>
              <w:t>e</w:t>
            </w:r>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48</w:t>
            </w:r>
            <w:r w:rsidR="00B74011">
              <w:rPr>
                <w:rFonts w:cs="Arial"/>
                <w:sz w:val="18"/>
                <w:szCs w:val="18"/>
              </w:rPr>
              <w:t xml:space="preserve"> </w:t>
            </w:r>
            <w:r w:rsidRPr="00E32AFC">
              <w:rPr>
                <w:rFonts w:cs="Arial"/>
                <w:sz w:val="18"/>
                <w:szCs w:val="18"/>
              </w:rPr>
              <w:t>130</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49</w:t>
            </w:r>
            <w:r w:rsidR="00B74011">
              <w:rPr>
                <w:rFonts w:cs="Arial"/>
                <w:sz w:val="18"/>
                <w:szCs w:val="18"/>
              </w:rPr>
              <w:t xml:space="preserve"> </w:t>
            </w:r>
            <w:r w:rsidRPr="00E32AFC">
              <w:rPr>
                <w:rFonts w:cs="Arial"/>
                <w:sz w:val="18"/>
                <w:szCs w:val="18"/>
              </w:rPr>
              <w:t>092</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48</w:t>
            </w:r>
            <w:r w:rsidR="00B74011">
              <w:rPr>
                <w:rFonts w:cs="Arial"/>
                <w:sz w:val="18"/>
                <w:szCs w:val="18"/>
              </w:rPr>
              <w:t xml:space="preserve"> </w:t>
            </w:r>
            <w:r w:rsidRPr="00E32AFC">
              <w:rPr>
                <w:rFonts w:cs="Arial"/>
                <w:sz w:val="18"/>
                <w:szCs w:val="18"/>
              </w:rPr>
              <w:t>130</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49</w:t>
            </w:r>
            <w:r w:rsidR="00B74011">
              <w:rPr>
                <w:rFonts w:cs="Arial"/>
                <w:sz w:val="18"/>
                <w:szCs w:val="18"/>
              </w:rPr>
              <w:t xml:space="preserve"> </w:t>
            </w:r>
            <w:r w:rsidRPr="00E32AFC">
              <w:rPr>
                <w:rFonts w:cs="Arial"/>
                <w:sz w:val="18"/>
                <w:szCs w:val="18"/>
              </w:rPr>
              <w:t>092</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7</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proofErr w:type="spellStart"/>
            <w:r w:rsidRPr="00E32AFC">
              <w:rPr>
                <w:rFonts w:cs="Arial"/>
                <w:sz w:val="18"/>
                <w:szCs w:val="18"/>
              </w:rPr>
              <w:t>Arm</w:t>
            </w:r>
            <w:r w:rsidR="00B74011">
              <w:rPr>
                <w:rFonts w:cs="Arial"/>
                <w:sz w:val="18"/>
                <w:szCs w:val="18"/>
              </w:rPr>
              <w:t>é</w:t>
            </w:r>
            <w:r w:rsidRPr="00E32AFC">
              <w:rPr>
                <w:rFonts w:cs="Arial"/>
                <w:sz w:val="18"/>
                <w:szCs w:val="18"/>
              </w:rPr>
              <w:t>ni</w:t>
            </w:r>
            <w:r w:rsidR="00B74011">
              <w:rPr>
                <w:rFonts w:cs="Arial"/>
                <w:sz w:val="18"/>
                <w:szCs w:val="18"/>
              </w:rPr>
              <w:t>e</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330</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330</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8</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proofErr w:type="spellStart"/>
            <w:r w:rsidRPr="00E32AFC">
              <w:rPr>
                <w:rFonts w:cs="Arial"/>
                <w:sz w:val="18"/>
                <w:szCs w:val="18"/>
              </w:rPr>
              <w:t>Australi</w:t>
            </w:r>
            <w:r w:rsidR="00B74011">
              <w:rPr>
                <w:rFonts w:cs="Arial"/>
                <w:sz w:val="18"/>
                <w:szCs w:val="18"/>
              </w:rPr>
              <w:t>e</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128</w:t>
            </w:r>
            <w:r w:rsidR="00B74011">
              <w:rPr>
                <w:rFonts w:cs="Arial"/>
                <w:sz w:val="18"/>
                <w:szCs w:val="18"/>
              </w:rPr>
              <w:t xml:space="preserve"> </w:t>
            </w:r>
            <w:r w:rsidRPr="00E32AFC">
              <w:rPr>
                <w:rFonts w:cs="Arial"/>
                <w:sz w:val="18"/>
                <w:szCs w:val="18"/>
              </w:rPr>
              <w:t>620</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128</w:t>
            </w:r>
            <w:r w:rsidR="00B74011">
              <w:rPr>
                <w:rFonts w:cs="Arial"/>
                <w:sz w:val="18"/>
                <w:szCs w:val="18"/>
              </w:rPr>
              <w:t xml:space="preserve"> </w:t>
            </w:r>
            <w:r w:rsidRPr="00E32AFC">
              <w:rPr>
                <w:rFonts w:cs="Arial"/>
                <w:sz w:val="18"/>
                <w:szCs w:val="18"/>
              </w:rPr>
              <w:t>620</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147</w:t>
            </w:r>
            <w:r w:rsidR="00B74011">
              <w:rPr>
                <w:rFonts w:cs="Arial"/>
                <w:sz w:val="18"/>
                <w:szCs w:val="18"/>
              </w:rPr>
              <w:t xml:space="preserve"> </w:t>
            </w:r>
            <w:r w:rsidRPr="00E32AFC">
              <w:rPr>
                <w:rFonts w:cs="Arial"/>
                <w:sz w:val="18"/>
                <w:szCs w:val="18"/>
              </w:rPr>
              <w:t>049</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147</w:t>
            </w:r>
            <w:r w:rsidR="00B74011">
              <w:rPr>
                <w:rFonts w:cs="Arial"/>
                <w:sz w:val="18"/>
                <w:szCs w:val="18"/>
              </w:rPr>
              <w:t xml:space="preserve"> </w:t>
            </w:r>
            <w:r w:rsidRPr="00E32AFC">
              <w:rPr>
                <w:rFonts w:cs="Arial"/>
                <w:sz w:val="18"/>
                <w:szCs w:val="18"/>
              </w:rPr>
              <w:t>049</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9</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proofErr w:type="spellStart"/>
            <w:r w:rsidRPr="00E32AFC">
              <w:rPr>
                <w:rFonts w:cs="Arial"/>
                <w:sz w:val="18"/>
                <w:szCs w:val="18"/>
              </w:rPr>
              <w:t>Au</w:t>
            </w:r>
            <w:r w:rsidR="00B74011">
              <w:rPr>
                <w:rFonts w:cs="Arial"/>
                <w:sz w:val="18"/>
                <w:szCs w:val="18"/>
              </w:rPr>
              <w:t>triche</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39</w:t>
            </w:r>
            <w:r w:rsidR="00B74011">
              <w:rPr>
                <w:rFonts w:cs="Arial"/>
                <w:sz w:val="18"/>
                <w:szCs w:val="18"/>
              </w:rPr>
              <w:t xml:space="preserve"> </w:t>
            </w:r>
            <w:r w:rsidRPr="00E32AFC">
              <w:rPr>
                <w:rFonts w:cs="Arial"/>
                <w:sz w:val="18"/>
                <w:szCs w:val="18"/>
              </w:rPr>
              <w:t>626</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39</w:t>
            </w:r>
            <w:r w:rsidR="00B74011">
              <w:rPr>
                <w:rFonts w:cs="Arial"/>
                <w:sz w:val="18"/>
                <w:szCs w:val="18"/>
              </w:rPr>
              <w:t xml:space="preserve"> </w:t>
            </w:r>
            <w:r w:rsidRPr="00E32AFC">
              <w:rPr>
                <w:rFonts w:cs="Arial"/>
                <w:sz w:val="18"/>
                <w:szCs w:val="18"/>
              </w:rPr>
              <w:t>626</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10</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r w:rsidRPr="00E32AFC">
              <w:rPr>
                <w:rFonts w:cs="Arial"/>
                <w:sz w:val="18"/>
                <w:szCs w:val="18"/>
              </w:rPr>
              <w:t>Bangladesh</w:t>
            </w:r>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550</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550</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11</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proofErr w:type="spellStart"/>
            <w:r w:rsidRPr="00E32AFC">
              <w:rPr>
                <w:rFonts w:cs="Arial"/>
                <w:sz w:val="18"/>
                <w:szCs w:val="18"/>
              </w:rPr>
              <w:t>B</w:t>
            </w:r>
            <w:r w:rsidR="00B74011">
              <w:rPr>
                <w:rFonts w:cs="Arial"/>
                <w:sz w:val="18"/>
                <w:szCs w:val="18"/>
              </w:rPr>
              <w:t>é</w:t>
            </w:r>
            <w:r w:rsidRPr="00E32AFC">
              <w:rPr>
                <w:rFonts w:cs="Arial"/>
                <w:sz w:val="18"/>
                <w:szCs w:val="18"/>
              </w:rPr>
              <w:t>larus</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3</w:t>
            </w:r>
            <w:r w:rsidR="00B74011">
              <w:rPr>
                <w:rFonts w:cs="Arial"/>
                <w:sz w:val="18"/>
                <w:szCs w:val="18"/>
              </w:rPr>
              <w:t xml:space="preserve"> </w:t>
            </w:r>
            <w:r w:rsidRPr="00E32AFC">
              <w:rPr>
                <w:rFonts w:cs="Arial"/>
                <w:sz w:val="18"/>
                <w:szCs w:val="18"/>
              </w:rPr>
              <w:t>082</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3</w:t>
            </w:r>
            <w:r w:rsidR="00B74011">
              <w:rPr>
                <w:rFonts w:cs="Arial"/>
                <w:sz w:val="18"/>
                <w:szCs w:val="18"/>
              </w:rPr>
              <w:t xml:space="preserve"> </w:t>
            </w:r>
            <w:r w:rsidRPr="00E32AFC">
              <w:rPr>
                <w:rFonts w:cs="Arial"/>
                <w:sz w:val="18"/>
                <w:szCs w:val="18"/>
              </w:rPr>
              <w:t>082</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12</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proofErr w:type="spellStart"/>
            <w:r w:rsidRPr="00E32AFC">
              <w:rPr>
                <w:rFonts w:cs="Arial"/>
                <w:sz w:val="18"/>
                <w:szCs w:val="18"/>
              </w:rPr>
              <w:t>Belgi</w:t>
            </w:r>
            <w:r w:rsidR="00B74011">
              <w:rPr>
                <w:rFonts w:cs="Arial"/>
                <w:sz w:val="18"/>
                <w:szCs w:val="18"/>
              </w:rPr>
              <w:t>que</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12</w:t>
            </w:r>
            <w:r w:rsidR="00B74011">
              <w:rPr>
                <w:rFonts w:cs="Arial"/>
                <w:sz w:val="18"/>
                <w:szCs w:val="18"/>
              </w:rPr>
              <w:t xml:space="preserve"> </w:t>
            </w:r>
            <w:r w:rsidRPr="00E32AFC">
              <w:rPr>
                <w:rFonts w:cs="Arial"/>
                <w:sz w:val="18"/>
                <w:szCs w:val="18"/>
              </w:rPr>
              <w:t>007</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48</w:t>
            </w:r>
            <w:r w:rsidR="00B74011">
              <w:rPr>
                <w:rFonts w:cs="Arial"/>
                <w:sz w:val="18"/>
                <w:szCs w:val="18"/>
              </w:rPr>
              <w:t xml:space="preserve"> </w:t>
            </w:r>
            <w:r w:rsidRPr="00E32AFC">
              <w:rPr>
                <w:rFonts w:cs="Arial"/>
                <w:sz w:val="18"/>
                <w:szCs w:val="18"/>
              </w:rPr>
              <w:t>707</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48</w:t>
            </w:r>
            <w:r w:rsidR="00B74011">
              <w:rPr>
                <w:rFonts w:cs="Arial"/>
                <w:sz w:val="18"/>
                <w:szCs w:val="18"/>
              </w:rPr>
              <w:t xml:space="preserve"> </w:t>
            </w:r>
            <w:r w:rsidRPr="00E32AFC">
              <w:rPr>
                <w:rFonts w:cs="Arial"/>
                <w:sz w:val="18"/>
                <w:szCs w:val="18"/>
              </w:rPr>
              <w:t>707</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12</w:t>
            </w:r>
            <w:r w:rsidR="00B74011">
              <w:rPr>
                <w:rFonts w:cs="Arial"/>
                <w:sz w:val="18"/>
                <w:szCs w:val="18"/>
              </w:rPr>
              <w:t xml:space="preserve"> </w:t>
            </w:r>
            <w:r w:rsidRPr="00E32AFC">
              <w:rPr>
                <w:rFonts w:cs="Arial"/>
                <w:sz w:val="18"/>
                <w:szCs w:val="18"/>
              </w:rPr>
              <w:t>007</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13</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proofErr w:type="spellStart"/>
            <w:r w:rsidRPr="00E32AFC">
              <w:rPr>
                <w:rFonts w:cs="Arial"/>
                <w:sz w:val="18"/>
                <w:szCs w:val="18"/>
              </w:rPr>
              <w:t>B</w:t>
            </w:r>
            <w:r w:rsidR="00B74011">
              <w:rPr>
                <w:rFonts w:cs="Arial"/>
                <w:sz w:val="18"/>
                <w:szCs w:val="18"/>
              </w:rPr>
              <w:t>é</w:t>
            </w:r>
            <w:r w:rsidRPr="00E32AFC">
              <w:rPr>
                <w:rFonts w:cs="Arial"/>
                <w:sz w:val="18"/>
                <w:szCs w:val="18"/>
              </w:rPr>
              <w:t>nin</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198</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165</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198</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165</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14</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B74011" w:rsidP="00561DAF">
            <w:pPr>
              <w:tabs>
                <w:tab w:val="left" w:pos="8370"/>
              </w:tabs>
              <w:spacing w:after="0" w:line="240" w:lineRule="auto"/>
              <w:rPr>
                <w:rFonts w:cs="Arial"/>
                <w:sz w:val="18"/>
                <w:szCs w:val="18"/>
              </w:rPr>
            </w:pPr>
            <w:proofErr w:type="spellStart"/>
            <w:r w:rsidRPr="0086095A">
              <w:rPr>
                <w:rFonts w:cs="Arial"/>
                <w:sz w:val="18"/>
                <w:szCs w:val="20"/>
              </w:rPr>
              <w:t>Bolivi</w:t>
            </w:r>
            <w:r>
              <w:rPr>
                <w:rFonts w:cs="Arial"/>
                <w:sz w:val="18"/>
                <w:szCs w:val="20"/>
              </w:rPr>
              <w:t>e</w:t>
            </w:r>
            <w:proofErr w:type="spellEnd"/>
            <w:r w:rsidRPr="0086095A">
              <w:rPr>
                <w:rFonts w:cs="Arial"/>
                <w:sz w:val="18"/>
                <w:szCs w:val="20"/>
              </w:rPr>
              <w:t xml:space="preserve"> (</w:t>
            </w:r>
            <w:r>
              <w:rPr>
                <w:rFonts w:cs="Arial"/>
                <w:sz w:val="18"/>
                <w:szCs w:val="20"/>
              </w:rPr>
              <w:t xml:space="preserve">État </w:t>
            </w:r>
            <w:proofErr w:type="spellStart"/>
            <w:r w:rsidRPr="0086095A">
              <w:rPr>
                <w:rFonts w:cs="Arial"/>
                <w:sz w:val="18"/>
                <w:szCs w:val="20"/>
              </w:rPr>
              <w:t>Plurinational</w:t>
            </w:r>
            <w:proofErr w:type="spellEnd"/>
            <w:r w:rsidRPr="0086095A">
              <w:rPr>
                <w:rFonts w:cs="Arial"/>
                <w:sz w:val="18"/>
                <w:szCs w:val="20"/>
              </w:rPr>
              <w:t xml:space="preserve"> </w:t>
            </w:r>
            <w:r>
              <w:rPr>
                <w:rFonts w:cs="Arial"/>
                <w:sz w:val="18"/>
                <w:szCs w:val="20"/>
              </w:rPr>
              <w:t>de</w:t>
            </w:r>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647</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661</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647</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661</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15</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proofErr w:type="spellStart"/>
            <w:r w:rsidRPr="00E32AFC">
              <w:rPr>
                <w:rFonts w:cs="Arial"/>
                <w:sz w:val="18"/>
                <w:szCs w:val="18"/>
              </w:rPr>
              <w:t>Bosni</w:t>
            </w:r>
            <w:r w:rsidR="00B74011">
              <w:rPr>
                <w:rFonts w:cs="Arial"/>
                <w:sz w:val="18"/>
                <w:szCs w:val="18"/>
              </w:rPr>
              <w:t>e</w:t>
            </w:r>
            <w:proofErr w:type="spellEnd"/>
            <w:r w:rsidR="00B74011">
              <w:rPr>
                <w:rFonts w:cs="Arial"/>
                <w:sz w:val="18"/>
                <w:szCs w:val="18"/>
              </w:rPr>
              <w:t>-</w:t>
            </w:r>
            <w:r w:rsidRPr="00E32AFC">
              <w:rPr>
                <w:rFonts w:cs="Arial"/>
                <w:sz w:val="18"/>
                <w:szCs w:val="18"/>
              </w:rPr>
              <w:t xml:space="preserve"> </w:t>
            </w:r>
            <w:proofErr w:type="spellStart"/>
            <w:r w:rsidRPr="00E32AFC">
              <w:rPr>
                <w:rFonts w:cs="Arial"/>
                <w:sz w:val="18"/>
                <w:szCs w:val="18"/>
              </w:rPr>
              <w:t>Herz</w:t>
            </w:r>
            <w:r w:rsidR="00B74011">
              <w:rPr>
                <w:rFonts w:cs="Arial"/>
                <w:sz w:val="18"/>
                <w:szCs w:val="18"/>
              </w:rPr>
              <w:t>é</w:t>
            </w:r>
            <w:r w:rsidRPr="00E32AFC">
              <w:rPr>
                <w:rFonts w:cs="Arial"/>
                <w:sz w:val="18"/>
                <w:szCs w:val="18"/>
              </w:rPr>
              <w:t>govin</w:t>
            </w:r>
            <w:r w:rsidR="00B74011">
              <w:rPr>
                <w:rFonts w:cs="Arial"/>
                <w:sz w:val="18"/>
                <w:szCs w:val="18"/>
              </w:rPr>
              <w:t>e</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785</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715</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785</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715</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16</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proofErr w:type="spellStart"/>
            <w:r w:rsidRPr="00E32AFC">
              <w:rPr>
                <w:rFonts w:cs="Arial"/>
                <w:sz w:val="18"/>
                <w:szCs w:val="18"/>
              </w:rPr>
              <w:t>Br</w:t>
            </w:r>
            <w:r w:rsidR="00B74011">
              <w:rPr>
                <w:rFonts w:cs="Arial"/>
                <w:sz w:val="18"/>
                <w:szCs w:val="18"/>
              </w:rPr>
              <w:t>ésil</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531</w:t>
            </w:r>
            <w:r w:rsidR="00B74011">
              <w:rPr>
                <w:rFonts w:cs="Arial"/>
                <w:sz w:val="18"/>
                <w:szCs w:val="18"/>
              </w:rPr>
              <w:t xml:space="preserve"> </w:t>
            </w:r>
            <w:r w:rsidRPr="00E32AFC">
              <w:rPr>
                <w:rFonts w:cs="Arial"/>
                <w:sz w:val="18"/>
                <w:szCs w:val="18"/>
              </w:rPr>
              <w:t>517</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210</w:t>
            </w:r>
            <w:r w:rsidR="00B74011">
              <w:rPr>
                <w:rFonts w:cs="Arial"/>
                <w:sz w:val="18"/>
                <w:szCs w:val="18"/>
              </w:rPr>
              <w:t xml:space="preserve"> </w:t>
            </w:r>
            <w:r w:rsidRPr="00E32AFC">
              <w:rPr>
                <w:rFonts w:cs="Arial"/>
                <w:sz w:val="18"/>
                <w:szCs w:val="18"/>
              </w:rPr>
              <w:t>404</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222</w:t>
            </w:r>
            <w:r w:rsidR="00B74011">
              <w:rPr>
                <w:rFonts w:cs="Arial"/>
                <w:sz w:val="18"/>
                <w:szCs w:val="18"/>
              </w:rPr>
              <w:t xml:space="preserve"> </w:t>
            </w:r>
            <w:r w:rsidRPr="00E32AFC">
              <w:rPr>
                <w:rFonts w:cs="Arial"/>
                <w:sz w:val="18"/>
                <w:szCs w:val="18"/>
              </w:rPr>
              <w:t>165</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309</w:t>
            </w:r>
            <w:r w:rsidR="00B74011">
              <w:rPr>
                <w:rFonts w:cs="Arial"/>
                <w:sz w:val="18"/>
                <w:szCs w:val="18"/>
              </w:rPr>
              <w:t xml:space="preserve"> </w:t>
            </w:r>
            <w:r w:rsidRPr="00E32AFC">
              <w:rPr>
                <w:rFonts w:cs="Arial"/>
                <w:sz w:val="18"/>
                <w:szCs w:val="18"/>
              </w:rPr>
              <w:t>352</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210</w:t>
            </w:r>
            <w:r w:rsidR="00B74011">
              <w:rPr>
                <w:rFonts w:cs="Arial"/>
                <w:sz w:val="18"/>
                <w:szCs w:val="18"/>
              </w:rPr>
              <w:t xml:space="preserve"> </w:t>
            </w:r>
            <w:r w:rsidRPr="00E32AFC">
              <w:rPr>
                <w:rFonts w:cs="Arial"/>
                <w:sz w:val="18"/>
                <w:szCs w:val="18"/>
              </w:rPr>
              <w:t>404</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17</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proofErr w:type="spellStart"/>
            <w:r w:rsidRPr="00E32AFC">
              <w:rPr>
                <w:rFonts w:cs="Arial"/>
                <w:sz w:val="18"/>
                <w:szCs w:val="18"/>
              </w:rPr>
              <w:t>Bulgari</w:t>
            </w:r>
            <w:r w:rsidR="00B74011">
              <w:rPr>
                <w:rFonts w:cs="Arial"/>
                <w:sz w:val="18"/>
                <w:szCs w:val="18"/>
              </w:rPr>
              <w:t>e</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w:t>
            </w:r>
            <w:r w:rsidR="00B74011">
              <w:rPr>
                <w:rFonts w:cs="Arial"/>
                <w:sz w:val="18"/>
                <w:szCs w:val="18"/>
              </w:rPr>
              <w:t xml:space="preserve"> </w:t>
            </w:r>
            <w:r w:rsidRPr="00E32AFC">
              <w:rPr>
                <w:rFonts w:cs="Arial"/>
                <w:sz w:val="18"/>
                <w:szCs w:val="18"/>
              </w:rPr>
              <w:t>477</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w:t>
            </w:r>
            <w:r w:rsidR="00B74011">
              <w:rPr>
                <w:rFonts w:cs="Arial"/>
                <w:sz w:val="18"/>
                <w:szCs w:val="18"/>
              </w:rPr>
              <w:t xml:space="preserve"> </w:t>
            </w:r>
            <w:r w:rsidRPr="00E32AFC">
              <w:rPr>
                <w:rFonts w:cs="Arial"/>
                <w:sz w:val="18"/>
                <w:szCs w:val="18"/>
              </w:rPr>
              <w:t>477</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18</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r w:rsidRPr="00E32AFC">
              <w:rPr>
                <w:rFonts w:cs="Arial"/>
                <w:sz w:val="18"/>
                <w:szCs w:val="18"/>
              </w:rPr>
              <w:t>Burkina Faso</w:t>
            </w:r>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610</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220</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610</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220</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19</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r w:rsidRPr="00E32AFC">
              <w:rPr>
                <w:rFonts w:cs="Arial"/>
                <w:sz w:val="18"/>
                <w:szCs w:val="18"/>
              </w:rPr>
              <w:t>Burundi</w:t>
            </w:r>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257</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55</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202</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20</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r w:rsidRPr="00E32AFC">
              <w:rPr>
                <w:rFonts w:cs="Arial"/>
                <w:sz w:val="18"/>
                <w:szCs w:val="18"/>
              </w:rPr>
              <w:t>Cabo Verde</w:t>
            </w:r>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137</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55</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82</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21</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r w:rsidRPr="00E32AFC">
              <w:rPr>
                <w:rFonts w:cs="Arial"/>
                <w:sz w:val="18"/>
                <w:szCs w:val="18"/>
              </w:rPr>
              <w:t>Camero</w:t>
            </w:r>
            <w:r w:rsidR="00B74011">
              <w:rPr>
                <w:rFonts w:cs="Arial"/>
                <w:sz w:val="18"/>
                <w:szCs w:val="18"/>
              </w:rPr>
              <w:t>u</w:t>
            </w:r>
            <w:r w:rsidRPr="00E32AFC">
              <w:rPr>
                <w:rFonts w:cs="Arial"/>
                <w:sz w:val="18"/>
                <w:szCs w:val="18"/>
              </w:rPr>
              <w:t>n</w:t>
            </w:r>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w:t>
            </w:r>
            <w:r w:rsidR="00B74011">
              <w:rPr>
                <w:rFonts w:cs="Arial"/>
                <w:sz w:val="18"/>
                <w:szCs w:val="18"/>
              </w:rPr>
              <w:t xml:space="preserve"> </w:t>
            </w:r>
            <w:r w:rsidRPr="00E32AFC">
              <w:rPr>
                <w:rFonts w:cs="Arial"/>
                <w:sz w:val="18"/>
                <w:szCs w:val="18"/>
              </w:rPr>
              <w:t>498</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550</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w:t>
            </w:r>
            <w:r w:rsidR="00B74011">
              <w:rPr>
                <w:rFonts w:cs="Arial"/>
                <w:sz w:val="18"/>
                <w:szCs w:val="18"/>
              </w:rPr>
              <w:t xml:space="preserve"> </w:t>
            </w:r>
            <w:r w:rsidRPr="00E32AFC">
              <w:rPr>
                <w:rFonts w:cs="Arial"/>
                <w:sz w:val="18"/>
                <w:szCs w:val="18"/>
              </w:rPr>
              <w:t>498</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550</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22</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B74011" w:rsidP="00561DAF">
            <w:pPr>
              <w:tabs>
                <w:tab w:val="left" w:pos="8370"/>
              </w:tabs>
              <w:spacing w:after="0" w:line="240" w:lineRule="auto"/>
              <w:rPr>
                <w:rFonts w:cs="Arial"/>
                <w:sz w:val="18"/>
                <w:szCs w:val="18"/>
              </w:rPr>
            </w:pPr>
            <w:proofErr w:type="spellStart"/>
            <w:r>
              <w:rPr>
                <w:rFonts w:cs="Arial"/>
                <w:sz w:val="18"/>
                <w:szCs w:val="18"/>
              </w:rPr>
              <w:t>Tc</w:t>
            </w:r>
            <w:r w:rsidR="00561DAF" w:rsidRPr="00E32AFC">
              <w:rPr>
                <w:rFonts w:cs="Arial"/>
                <w:sz w:val="18"/>
                <w:szCs w:val="18"/>
              </w:rPr>
              <w:t>had</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w:t>
            </w:r>
            <w:r w:rsidR="00B74011">
              <w:rPr>
                <w:rFonts w:cs="Arial"/>
                <w:sz w:val="18"/>
                <w:szCs w:val="18"/>
              </w:rPr>
              <w:t xml:space="preserve"> </w:t>
            </w:r>
            <w:r w:rsidRPr="00E32AFC">
              <w:rPr>
                <w:rFonts w:cs="Arial"/>
                <w:sz w:val="18"/>
                <w:szCs w:val="18"/>
              </w:rPr>
              <w:t>708</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275</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w:t>
            </w:r>
            <w:r w:rsidR="00B74011">
              <w:rPr>
                <w:rFonts w:cs="Arial"/>
                <w:sz w:val="18"/>
                <w:szCs w:val="18"/>
              </w:rPr>
              <w:t xml:space="preserve"> </w:t>
            </w:r>
            <w:r w:rsidRPr="00E32AFC">
              <w:rPr>
                <w:rFonts w:cs="Arial"/>
                <w:sz w:val="18"/>
                <w:szCs w:val="18"/>
              </w:rPr>
              <w:t>708</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275</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23</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r w:rsidRPr="00E32AFC">
              <w:rPr>
                <w:rFonts w:cs="Arial"/>
                <w:sz w:val="18"/>
                <w:szCs w:val="18"/>
              </w:rPr>
              <w:t>Chil</w:t>
            </w:r>
            <w:r w:rsidR="00B74011">
              <w:rPr>
                <w:rFonts w:cs="Arial"/>
                <w:sz w:val="18"/>
                <w:szCs w:val="18"/>
              </w:rPr>
              <w:t>i</w:t>
            </w:r>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3</w:t>
            </w:r>
            <w:r w:rsidR="00B74011">
              <w:rPr>
                <w:rFonts w:cs="Arial"/>
                <w:sz w:val="18"/>
                <w:szCs w:val="18"/>
              </w:rPr>
              <w:t xml:space="preserve"> </w:t>
            </w:r>
            <w:r w:rsidRPr="00E32AFC">
              <w:rPr>
                <w:rFonts w:cs="Arial"/>
                <w:sz w:val="18"/>
                <w:szCs w:val="18"/>
              </w:rPr>
              <w:t>276</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21</w:t>
            </w:r>
            <w:r w:rsidR="00B74011">
              <w:rPr>
                <w:rFonts w:cs="Arial"/>
                <w:sz w:val="18"/>
                <w:szCs w:val="18"/>
              </w:rPr>
              <w:t xml:space="preserve"> </w:t>
            </w:r>
            <w:r w:rsidRPr="00E32AFC">
              <w:rPr>
                <w:rFonts w:cs="Arial"/>
                <w:sz w:val="18"/>
                <w:szCs w:val="18"/>
              </w:rPr>
              <w:t>959</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3</w:t>
            </w:r>
            <w:r w:rsidR="00B74011">
              <w:rPr>
                <w:rFonts w:cs="Arial"/>
                <w:sz w:val="18"/>
                <w:szCs w:val="18"/>
              </w:rPr>
              <w:t xml:space="preserve"> </w:t>
            </w:r>
            <w:r w:rsidRPr="00E32AFC">
              <w:rPr>
                <w:rFonts w:cs="Arial"/>
                <w:sz w:val="18"/>
                <w:szCs w:val="18"/>
              </w:rPr>
              <w:t>276</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(0)</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21</w:t>
            </w:r>
            <w:r w:rsidR="00B74011">
              <w:rPr>
                <w:rFonts w:cs="Arial"/>
                <w:sz w:val="18"/>
                <w:szCs w:val="18"/>
              </w:rPr>
              <w:t xml:space="preserve"> </w:t>
            </w:r>
            <w:r w:rsidRPr="00E32AFC">
              <w:rPr>
                <w:rFonts w:cs="Arial"/>
                <w:sz w:val="18"/>
                <w:szCs w:val="18"/>
              </w:rPr>
              <w:t>959</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24</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r w:rsidRPr="00E32AFC">
              <w:rPr>
                <w:rFonts w:cs="Arial"/>
                <w:sz w:val="18"/>
                <w:szCs w:val="18"/>
              </w:rPr>
              <w:t>Congo (Brazzaville)</w:t>
            </w:r>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324</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330</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324</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330</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25</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B74011" w:rsidP="00561DAF">
            <w:pPr>
              <w:tabs>
                <w:tab w:val="left" w:pos="8370"/>
              </w:tabs>
              <w:spacing w:after="0" w:line="240" w:lineRule="auto"/>
              <w:rPr>
                <w:rFonts w:cs="Arial"/>
                <w:sz w:val="18"/>
                <w:szCs w:val="18"/>
              </w:rPr>
            </w:pPr>
            <w:r>
              <w:rPr>
                <w:rFonts w:cs="Arial"/>
                <w:sz w:val="18"/>
                <w:szCs w:val="18"/>
              </w:rPr>
              <w:t xml:space="preserve">Iles </w:t>
            </w:r>
            <w:r w:rsidR="00561DAF" w:rsidRPr="00E32AFC">
              <w:rPr>
                <w:rFonts w:cs="Arial"/>
                <w:sz w:val="18"/>
                <w:szCs w:val="18"/>
              </w:rPr>
              <w:t xml:space="preserve">Cook </w:t>
            </w:r>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55</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37</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18</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lastRenderedPageBreak/>
              <w:t>26</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r w:rsidRPr="00E32AFC">
              <w:rPr>
                <w:rFonts w:cs="Arial"/>
                <w:sz w:val="18"/>
                <w:szCs w:val="18"/>
              </w:rPr>
              <w:t>Costa Rica</w:t>
            </w:r>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w:t>
            </w:r>
            <w:r w:rsidR="00B74011">
              <w:rPr>
                <w:rFonts w:cs="Arial"/>
                <w:sz w:val="18"/>
                <w:szCs w:val="18"/>
              </w:rPr>
              <w:t xml:space="preserve"> </w:t>
            </w:r>
            <w:r w:rsidRPr="00E32AFC">
              <w:rPr>
                <w:rFonts w:cs="Arial"/>
                <w:sz w:val="18"/>
                <w:szCs w:val="18"/>
              </w:rPr>
              <w:t>454</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w:t>
            </w:r>
            <w:r w:rsidR="00B74011">
              <w:rPr>
                <w:rFonts w:cs="Arial"/>
                <w:sz w:val="18"/>
                <w:szCs w:val="18"/>
              </w:rPr>
              <w:t xml:space="preserve"> </w:t>
            </w:r>
            <w:r w:rsidRPr="00E32AFC">
              <w:rPr>
                <w:rFonts w:cs="Arial"/>
                <w:sz w:val="18"/>
                <w:szCs w:val="18"/>
              </w:rPr>
              <w:t>587</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w:t>
            </w:r>
            <w:r w:rsidR="00B74011">
              <w:rPr>
                <w:rFonts w:cs="Arial"/>
                <w:sz w:val="18"/>
                <w:szCs w:val="18"/>
              </w:rPr>
              <w:t xml:space="preserve"> </w:t>
            </w:r>
            <w:r w:rsidRPr="00E32AFC">
              <w:rPr>
                <w:rFonts w:cs="Arial"/>
                <w:sz w:val="18"/>
                <w:szCs w:val="18"/>
              </w:rPr>
              <w:t>454</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w:t>
            </w:r>
            <w:r w:rsidR="00B74011">
              <w:rPr>
                <w:rFonts w:cs="Arial"/>
                <w:sz w:val="18"/>
                <w:szCs w:val="18"/>
              </w:rPr>
              <w:t xml:space="preserve"> </w:t>
            </w:r>
            <w:r w:rsidRPr="00E32AFC">
              <w:rPr>
                <w:rFonts w:cs="Arial"/>
                <w:sz w:val="18"/>
                <w:szCs w:val="18"/>
              </w:rPr>
              <w:t>262</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w:t>
            </w:r>
            <w:r w:rsidR="00B74011">
              <w:rPr>
                <w:rFonts w:cs="Arial"/>
                <w:sz w:val="18"/>
                <w:szCs w:val="18"/>
              </w:rPr>
              <w:t xml:space="preserve"> </w:t>
            </w:r>
            <w:r w:rsidRPr="00E32AFC">
              <w:rPr>
                <w:rFonts w:cs="Arial"/>
                <w:sz w:val="18"/>
                <w:szCs w:val="18"/>
              </w:rPr>
              <w:t>325</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27</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r w:rsidRPr="00E32AFC">
              <w:rPr>
                <w:rFonts w:cs="Arial"/>
                <w:sz w:val="18"/>
                <w:szCs w:val="18"/>
              </w:rPr>
              <w:t>Côte d’Ivoire</w:t>
            </w:r>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21</w:t>
            </w:r>
            <w:r w:rsidR="00B74011">
              <w:rPr>
                <w:rFonts w:cs="Arial"/>
                <w:sz w:val="18"/>
                <w:szCs w:val="18"/>
              </w:rPr>
              <w:t xml:space="preserve"> </w:t>
            </w:r>
            <w:r w:rsidRPr="00E32AFC">
              <w:rPr>
                <w:rFonts w:cs="Arial"/>
                <w:sz w:val="18"/>
                <w:szCs w:val="18"/>
              </w:rPr>
              <w:t>652</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495</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21</w:t>
            </w:r>
            <w:r w:rsidR="00B74011">
              <w:rPr>
                <w:rFonts w:cs="Arial"/>
                <w:sz w:val="18"/>
                <w:szCs w:val="18"/>
              </w:rPr>
              <w:t xml:space="preserve"> </w:t>
            </w:r>
            <w:r w:rsidRPr="00E32AFC">
              <w:rPr>
                <w:rFonts w:cs="Arial"/>
                <w:sz w:val="18"/>
                <w:szCs w:val="18"/>
              </w:rPr>
              <w:t>157</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28</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proofErr w:type="spellStart"/>
            <w:r w:rsidRPr="00E32AFC">
              <w:rPr>
                <w:rFonts w:cs="Arial"/>
                <w:sz w:val="18"/>
                <w:szCs w:val="18"/>
              </w:rPr>
              <w:t>Croati</w:t>
            </w:r>
            <w:r w:rsidR="00B74011">
              <w:rPr>
                <w:rFonts w:cs="Arial"/>
                <w:sz w:val="18"/>
                <w:szCs w:val="18"/>
              </w:rPr>
              <w:t>e</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w:t>
            </w:r>
            <w:r w:rsidR="00B74011">
              <w:rPr>
                <w:rFonts w:cs="Arial"/>
                <w:sz w:val="18"/>
                <w:szCs w:val="18"/>
              </w:rPr>
              <w:t xml:space="preserve"> </w:t>
            </w:r>
            <w:r w:rsidRPr="00E32AFC">
              <w:rPr>
                <w:rFonts w:cs="Arial"/>
                <w:sz w:val="18"/>
                <w:szCs w:val="18"/>
              </w:rPr>
              <w:t>449</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w:t>
            </w:r>
            <w:r w:rsidR="00B74011">
              <w:rPr>
                <w:rFonts w:cs="Arial"/>
                <w:sz w:val="18"/>
                <w:szCs w:val="18"/>
              </w:rPr>
              <w:t xml:space="preserve"> </w:t>
            </w:r>
            <w:r w:rsidRPr="00E32AFC">
              <w:rPr>
                <w:rFonts w:cs="Arial"/>
                <w:sz w:val="18"/>
                <w:szCs w:val="18"/>
              </w:rPr>
              <w:t>449</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29</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r w:rsidRPr="00E32AFC">
              <w:rPr>
                <w:rFonts w:cs="Arial"/>
                <w:sz w:val="18"/>
                <w:szCs w:val="18"/>
              </w:rPr>
              <w:t>Cuba</w:t>
            </w:r>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20</w:t>
            </w:r>
            <w:r w:rsidR="00B74011">
              <w:rPr>
                <w:rFonts w:cs="Arial"/>
                <w:sz w:val="18"/>
                <w:szCs w:val="18"/>
              </w:rPr>
              <w:t xml:space="preserve"> </w:t>
            </w:r>
            <w:r w:rsidRPr="00E32AFC">
              <w:rPr>
                <w:rFonts w:cs="Arial"/>
                <w:sz w:val="18"/>
                <w:szCs w:val="18"/>
              </w:rPr>
              <w:t>177</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3</w:t>
            </w:r>
            <w:r w:rsidR="00B74011">
              <w:rPr>
                <w:rFonts w:cs="Arial"/>
                <w:sz w:val="18"/>
                <w:szCs w:val="18"/>
              </w:rPr>
              <w:t xml:space="preserve"> </w:t>
            </w:r>
            <w:r w:rsidRPr="00E32AFC">
              <w:rPr>
                <w:rFonts w:cs="Arial"/>
                <w:sz w:val="18"/>
                <w:szCs w:val="18"/>
              </w:rPr>
              <w:t>577</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20</w:t>
            </w:r>
            <w:r w:rsidR="00B74011">
              <w:rPr>
                <w:rFonts w:cs="Arial"/>
                <w:sz w:val="18"/>
                <w:szCs w:val="18"/>
              </w:rPr>
              <w:t xml:space="preserve"> </w:t>
            </w:r>
            <w:r w:rsidRPr="00E32AFC">
              <w:rPr>
                <w:rFonts w:cs="Arial"/>
                <w:sz w:val="18"/>
                <w:szCs w:val="18"/>
              </w:rPr>
              <w:t>177</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3</w:t>
            </w:r>
            <w:r w:rsidR="00B74011">
              <w:rPr>
                <w:rFonts w:cs="Arial"/>
                <w:sz w:val="18"/>
                <w:szCs w:val="18"/>
              </w:rPr>
              <w:t xml:space="preserve"> </w:t>
            </w:r>
            <w:r w:rsidRPr="00E32AFC">
              <w:rPr>
                <w:rFonts w:cs="Arial"/>
                <w:sz w:val="18"/>
                <w:szCs w:val="18"/>
              </w:rPr>
              <w:t>577</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30</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r w:rsidRPr="00E32AFC">
              <w:rPr>
                <w:rFonts w:cs="Arial"/>
                <w:sz w:val="18"/>
                <w:szCs w:val="18"/>
              </w:rPr>
              <w:t>C</w:t>
            </w:r>
            <w:r w:rsidR="00B74011">
              <w:rPr>
                <w:rFonts w:cs="Arial"/>
                <w:sz w:val="18"/>
                <w:szCs w:val="18"/>
              </w:rPr>
              <w:t>hypre</w:t>
            </w:r>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w:t>
            </w:r>
            <w:r w:rsidR="00B74011">
              <w:rPr>
                <w:rFonts w:cs="Arial"/>
                <w:sz w:val="18"/>
                <w:szCs w:val="18"/>
              </w:rPr>
              <w:t xml:space="preserve"> </w:t>
            </w:r>
            <w:r w:rsidRPr="00E32AFC">
              <w:rPr>
                <w:rFonts w:cs="Arial"/>
                <w:sz w:val="18"/>
                <w:szCs w:val="18"/>
              </w:rPr>
              <w:t>367</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w:t>
            </w:r>
            <w:r w:rsidR="00B74011">
              <w:rPr>
                <w:rFonts w:cs="Arial"/>
                <w:sz w:val="18"/>
                <w:szCs w:val="18"/>
              </w:rPr>
              <w:t xml:space="preserve"> </w:t>
            </w:r>
            <w:r w:rsidRPr="00E32AFC">
              <w:rPr>
                <w:rFonts w:cs="Arial"/>
                <w:sz w:val="18"/>
                <w:szCs w:val="18"/>
              </w:rPr>
              <w:t>367</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31</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proofErr w:type="spellStart"/>
            <w:r w:rsidRPr="00E32AFC">
              <w:rPr>
                <w:rFonts w:cs="Arial"/>
                <w:sz w:val="18"/>
                <w:szCs w:val="18"/>
              </w:rPr>
              <w:t>R</w:t>
            </w:r>
            <w:r w:rsidR="00B74011">
              <w:rPr>
                <w:rFonts w:cs="Arial"/>
                <w:sz w:val="18"/>
                <w:szCs w:val="18"/>
              </w:rPr>
              <w:t>é</w:t>
            </w:r>
            <w:r w:rsidRPr="00E32AFC">
              <w:rPr>
                <w:rFonts w:cs="Arial"/>
                <w:sz w:val="18"/>
                <w:szCs w:val="18"/>
              </w:rPr>
              <w:t>publi</w:t>
            </w:r>
            <w:r w:rsidR="00B74011">
              <w:rPr>
                <w:rFonts w:cs="Arial"/>
                <w:sz w:val="18"/>
                <w:szCs w:val="18"/>
              </w:rPr>
              <w:t>que</w:t>
            </w:r>
            <w:proofErr w:type="spellEnd"/>
            <w:r w:rsidR="00B74011">
              <w:rPr>
                <w:rFonts w:cs="Arial"/>
                <w:sz w:val="18"/>
                <w:szCs w:val="18"/>
              </w:rPr>
              <w:t xml:space="preserve"> </w:t>
            </w:r>
            <w:proofErr w:type="spellStart"/>
            <w:r w:rsidR="00B74011">
              <w:rPr>
                <w:rFonts w:cs="Arial"/>
                <w:sz w:val="18"/>
                <w:szCs w:val="18"/>
              </w:rPr>
              <w:t>tchèque</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18</w:t>
            </w:r>
            <w:r w:rsidR="00B74011">
              <w:rPr>
                <w:rFonts w:cs="Arial"/>
                <w:sz w:val="18"/>
                <w:szCs w:val="18"/>
              </w:rPr>
              <w:t xml:space="preserve"> </w:t>
            </w:r>
            <w:r w:rsidRPr="00E32AFC">
              <w:rPr>
                <w:rFonts w:cs="Arial"/>
                <w:sz w:val="18"/>
                <w:szCs w:val="18"/>
              </w:rPr>
              <w:t>932</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18</w:t>
            </w:r>
            <w:r w:rsidR="00B74011">
              <w:rPr>
                <w:rFonts w:cs="Arial"/>
                <w:sz w:val="18"/>
                <w:szCs w:val="18"/>
              </w:rPr>
              <w:t xml:space="preserve"> </w:t>
            </w:r>
            <w:r w:rsidRPr="00E32AFC">
              <w:rPr>
                <w:rFonts w:cs="Arial"/>
                <w:sz w:val="18"/>
                <w:szCs w:val="18"/>
              </w:rPr>
              <w:t>932</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32</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B74011" w:rsidRDefault="00B74011" w:rsidP="00561DAF">
            <w:pPr>
              <w:tabs>
                <w:tab w:val="left" w:pos="8370"/>
              </w:tabs>
              <w:spacing w:after="0" w:line="240" w:lineRule="auto"/>
              <w:rPr>
                <w:rFonts w:cs="Arial"/>
                <w:sz w:val="18"/>
                <w:szCs w:val="18"/>
                <w:lang w:val="fr-FR"/>
              </w:rPr>
            </w:pPr>
            <w:proofErr w:type="spellStart"/>
            <w:r w:rsidRPr="00745C63">
              <w:rPr>
                <w:rFonts w:cs="Arial"/>
                <w:sz w:val="18"/>
                <w:szCs w:val="20"/>
                <w:lang w:val="fr-FR"/>
              </w:rPr>
              <w:t>Republique</w:t>
            </w:r>
            <w:proofErr w:type="spellEnd"/>
            <w:r w:rsidRPr="00745C63">
              <w:rPr>
                <w:rFonts w:cs="Arial"/>
                <w:sz w:val="18"/>
                <w:szCs w:val="20"/>
                <w:lang w:val="fr-FR"/>
              </w:rPr>
              <w:t xml:space="preserve"> démocratique du Congo (Kinshasa)</w:t>
            </w:r>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4</w:t>
            </w:r>
            <w:r w:rsidR="00B74011">
              <w:rPr>
                <w:rFonts w:cs="Arial"/>
                <w:sz w:val="18"/>
                <w:szCs w:val="18"/>
              </w:rPr>
              <w:t xml:space="preserve"> </w:t>
            </w:r>
            <w:r w:rsidRPr="00E32AFC">
              <w:rPr>
                <w:rFonts w:cs="Arial"/>
                <w:sz w:val="18"/>
                <w:szCs w:val="18"/>
              </w:rPr>
              <w:t>057</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440</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4</w:t>
            </w:r>
            <w:r w:rsidR="00B74011">
              <w:rPr>
                <w:rFonts w:cs="Arial"/>
                <w:sz w:val="18"/>
                <w:szCs w:val="18"/>
              </w:rPr>
              <w:t xml:space="preserve"> </w:t>
            </w:r>
            <w:r w:rsidRPr="00E32AFC">
              <w:rPr>
                <w:rFonts w:cs="Arial"/>
                <w:sz w:val="18"/>
                <w:szCs w:val="18"/>
              </w:rPr>
              <w:t>057</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440</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33</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proofErr w:type="spellStart"/>
            <w:r w:rsidRPr="00E32AFC">
              <w:rPr>
                <w:rFonts w:cs="Arial"/>
                <w:sz w:val="18"/>
                <w:szCs w:val="18"/>
              </w:rPr>
              <w:t>D</w:t>
            </w:r>
            <w:r w:rsidR="00B74011">
              <w:rPr>
                <w:rFonts w:cs="Arial"/>
                <w:sz w:val="18"/>
                <w:szCs w:val="18"/>
              </w:rPr>
              <w:t>ane</w:t>
            </w:r>
            <w:r w:rsidRPr="00E32AFC">
              <w:rPr>
                <w:rFonts w:cs="Arial"/>
                <w:sz w:val="18"/>
                <w:szCs w:val="18"/>
              </w:rPr>
              <w:t>mark</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3</w:t>
            </w:r>
            <w:r w:rsidR="00B74011">
              <w:rPr>
                <w:rFonts w:cs="Arial"/>
                <w:sz w:val="18"/>
                <w:szCs w:val="18"/>
              </w:rPr>
              <w:t xml:space="preserve"> </w:t>
            </w:r>
            <w:r w:rsidRPr="00E32AFC">
              <w:rPr>
                <w:rFonts w:cs="Arial"/>
                <w:sz w:val="18"/>
                <w:szCs w:val="18"/>
              </w:rPr>
              <w:t>569</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32</w:t>
            </w:r>
            <w:r w:rsidR="00B74011">
              <w:rPr>
                <w:rFonts w:cs="Arial"/>
                <w:sz w:val="18"/>
                <w:szCs w:val="18"/>
              </w:rPr>
              <w:t xml:space="preserve"> </w:t>
            </w:r>
            <w:r w:rsidRPr="00E32AFC">
              <w:rPr>
                <w:rFonts w:cs="Arial"/>
                <w:sz w:val="18"/>
                <w:szCs w:val="18"/>
              </w:rPr>
              <w:t>141</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28</w:t>
            </w:r>
            <w:r w:rsidR="00B74011">
              <w:rPr>
                <w:rFonts w:cs="Arial"/>
                <w:sz w:val="18"/>
                <w:szCs w:val="18"/>
              </w:rPr>
              <w:t xml:space="preserve"> </w:t>
            </w:r>
            <w:r w:rsidRPr="00E32AFC">
              <w:rPr>
                <w:rFonts w:cs="Arial"/>
                <w:sz w:val="18"/>
                <w:szCs w:val="18"/>
              </w:rPr>
              <w:t>572</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34</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r w:rsidRPr="00E32AFC">
              <w:rPr>
                <w:rFonts w:cs="Arial"/>
                <w:sz w:val="18"/>
                <w:szCs w:val="18"/>
              </w:rPr>
              <w:t>Djibouti</w:t>
            </w:r>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671</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55</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671</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55</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35</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proofErr w:type="spellStart"/>
            <w:r w:rsidRPr="00E32AFC">
              <w:rPr>
                <w:rFonts w:cs="Arial"/>
                <w:sz w:val="18"/>
                <w:szCs w:val="18"/>
              </w:rPr>
              <w:t>R</w:t>
            </w:r>
            <w:r w:rsidR="00B74011">
              <w:rPr>
                <w:rFonts w:cs="Arial"/>
                <w:sz w:val="18"/>
                <w:szCs w:val="18"/>
              </w:rPr>
              <w:t>é</w:t>
            </w:r>
            <w:r w:rsidRPr="00E32AFC">
              <w:rPr>
                <w:rFonts w:cs="Arial"/>
                <w:sz w:val="18"/>
                <w:szCs w:val="18"/>
              </w:rPr>
              <w:t>publi</w:t>
            </w:r>
            <w:r w:rsidR="00B74011">
              <w:rPr>
                <w:rFonts w:cs="Arial"/>
                <w:sz w:val="18"/>
                <w:szCs w:val="18"/>
              </w:rPr>
              <w:t>que</w:t>
            </w:r>
            <w:proofErr w:type="spellEnd"/>
            <w:r w:rsidR="00B74011">
              <w:rPr>
                <w:rFonts w:cs="Arial"/>
                <w:sz w:val="18"/>
                <w:szCs w:val="18"/>
              </w:rPr>
              <w:t xml:space="preserve"> </w:t>
            </w:r>
            <w:proofErr w:type="spellStart"/>
            <w:r w:rsidR="00B74011">
              <w:rPr>
                <w:rFonts w:cs="Arial"/>
                <w:sz w:val="18"/>
                <w:szCs w:val="18"/>
              </w:rPr>
              <w:t>dominicaine</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w:t>
            </w:r>
            <w:r w:rsidR="00B74011">
              <w:rPr>
                <w:rFonts w:cs="Arial"/>
                <w:sz w:val="18"/>
                <w:szCs w:val="18"/>
              </w:rPr>
              <w:t xml:space="preserve"> </w:t>
            </w:r>
            <w:r w:rsidRPr="00E32AFC">
              <w:rPr>
                <w:rFonts w:cs="Arial"/>
                <w:sz w:val="18"/>
                <w:szCs w:val="18"/>
              </w:rPr>
              <w:t>927</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w:t>
            </w:r>
            <w:r w:rsidR="00B74011">
              <w:rPr>
                <w:rFonts w:cs="Arial"/>
                <w:sz w:val="18"/>
                <w:szCs w:val="18"/>
              </w:rPr>
              <w:t xml:space="preserve"> </w:t>
            </w:r>
            <w:r w:rsidRPr="00E32AFC">
              <w:rPr>
                <w:rFonts w:cs="Arial"/>
                <w:sz w:val="18"/>
                <w:szCs w:val="18"/>
              </w:rPr>
              <w:t>532</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w:t>
            </w:r>
            <w:r w:rsidR="00B74011">
              <w:rPr>
                <w:rFonts w:cs="Arial"/>
                <w:sz w:val="18"/>
                <w:szCs w:val="18"/>
              </w:rPr>
              <w:t xml:space="preserve"> </w:t>
            </w:r>
            <w:r w:rsidRPr="00E32AFC">
              <w:rPr>
                <w:rFonts w:cs="Arial"/>
                <w:sz w:val="18"/>
                <w:szCs w:val="18"/>
              </w:rPr>
              <w:t>927</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w:t>
            </w:r>
            <w:r w:rsidR="00B74011">
              <w:rPr>
                <w:rFonts w:cs="Arial"/>
                <w:sz w:val="18"/>
                <w:szCs w:val="18"/>
              </w:rPr>
              <w:t xml:space="preserve"> </w:t>
            </w:r>
            <w:r w:rsidRPr="00E32AFC">
              <w:rPr>
                <w:rFonts w:cs="Arial"/>
                <w:sz w:val="18"/>
                <w:szCs w:val="18"/>
              </w:rPr>
              <w:t>532</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36</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r w:rsidRPr="00E32AFC">
              <w:rPr>
                <w:rFonts w:cs="Arial"/>
                <w:sz w:val="18"/>
                <w:szCs w:val="18"/>
              </w:rPr>
              <w:t>E</w:t>
            </w:r>
            <w:r w:rsidR="00B74011">
              <w:rPr>
                <w:rFonts w:cs="Arial"/>
                <w:sz w:val="18"/>
                <w:szCs w:val="18"/>
              </w:rPr>
              <w:t>quateur</w:t>
            </w:r>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8</w:t>
            </w:r>
            <w:r w:rsidR="00B74011">
              <w:rPr>
                <w:rFonts w:cs="Arial"/>
                <w:sz w:val="18"/>
                <w:szCs w:val="18"/>
              </w:rPr>
              <w:t xml:space="preserve"> </w:t>
            </w:r>
            <w:r w:rsidRPr="00E32AFC">
              <w:rPr>
                <w:rFonts w:cs="Arial"/>
                <w:sz w:val="18"/>
                <w:szCs w:val="18"/>
              </w:rPr>
              <w:t>406</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3</w:t>
            </w:r>
            <w:r w:rsidR="00B74011">
              <w:rPr>
                <w:rFonts w:cs="Arial"/>
                <w:sz w:val="18"/>
                <w:szCs w:val="18"/>
              </w:rPr>
              <w:t xml:space="preserve"> </w:t>
            </w:r>
            <w:r w:rsidRPr="00E32AFC">
              <w:rPr>
                <w:rFonts w:cs="Arial"/>
                <w:sz w:val="18"/>
                <w:szCs w:val="18"/>
              </w:rPr>
              <w:t>687</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w:t>
            </w:r>
            <w:r w:rsidR="00B74011">
              <w:rPr>
                <w:rFonts w:cs="Arial"/>
                <w:sz w:val="18"/>
                <w:szCs w:val="18"/>
              </w:rPr>
              <w:t xml:space="preserve"> </w:t>
            </w:r>
            <w:r w:rsidRPr="00E32AFC">
              <w:rPr>
                <w:rFonts w:cs="Arial"/>
                <w:sz w:val="18"/>
                <w:szCs w:val="18"/>
              </w:rPr>
              <w:t>226</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6</w:t>
            </w:r>
            <w:r w:rsidR="00B74011">
              <w:rPr>
                <w:rFonts w:cs="Arial"/>
                <w:sz w:val="18"/>
                <w:szCs w:val="18"/>
              </w:rPr>
              <w:t xml:space="preserve"> </w:t>
            </w:r>
            <w:r w:rsidRPr="00E32AFC">
              <w:rPr>
                <w:rFonts w:cs="Arial"/>
                <w:sz w:val="18"/>
                <w:szCs w:val="18"/>
              </w:rPr>
              <w:t>180</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3</w:t>
            </w:r>
            <w:r w:rsidR="00B74011">
              <w:rPr>
                <w:rFonts w:cs="Arial"/>
                <w:sz w:val="18"/>
                <w:szCs w:val="18"/>
              </w:rPr>
              <w:t xml:space="preserve"> </w:t>
            </w:r>
            <w:r w:rsidRPr="00E32AFC">
              <w:rPr>
                <w:rFonts w:cs="Arial"/>
                <w:sz w:val="18"/>
                <w:szCs w:val="18"/>
              </w:rPr>
              <w:t>687</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37</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B74011" w:rsidP="00561DAF">
            <w:pPr>
              <w:tabs>
                <w:tab w:val="left" w:pos="8370"/>
              </w:tabs>
              <w:spacing w:after="0" w:line="240" w:lineRule="auto"/>
              <w:rPr>
                <w:rFonts w:cs="Arial"/>
                <w:sz w:val="18"/>
                <w:szCs w:val="18"/>
              </w:rPr>
            </w:pPr>
            <w:proofErr w:type="spellStart"/>
            <w:r>
              <w:rPr>
                <w:rFonts w:cs="Arial"/>
                <w:sz w:val="18"/>
                <w:szCs w:val="18"/>
              </w:rPr>
              <w:t>É</w:t>
            </w:r>
            <w:r w:rsidR="00561DAF" w:rsidRPr="00E32AFC">
              <w:rPr>
                <w:rFonts w:cs="Arial"/>
                <w:sz w:val="18"/>
                <w:szCs w:val="18"/>
              </w:rPr>
              <w:t>gypt</w:t>
            </w:r>
            <w:r>
              <w:rPr>
                <w:rFonts w:cs="Arial"/>
                <w:sz w:val="18"/>
                <w:szCs w:val="18"/>
              </w:rPr>
              <w:t>e</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23</w:t>
            </w:r>
            <w:r w:rsidR="00B74011">
              <w:rPr>
                <w:rFonts w:cs="Arial"/>
                <w:sz w:val="18"/>
                <w:szCs w:val="18"/>
              </w:rPr>
              <w:t xml:space="preserve"> </w:t>
            </w:r>
            <w:r w:rsidRPr="00E32AFC">
              <w:rPr>
                <w:rFonts w:cs="Arial"/>
                <w:sz w:val="18"/>
                <w:szCs w:val="18"/>
              </w:rPr>
              <w:t>058</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8</w:t>
            </w:r>
            <w:r w:rsidR="00B74011">
              <w:rPr>
                <w:rFonts w:cs="Arial"/>
                <w:sz w:val="18"/>
                <w:szCs w:val="18"/>
              </w:rPr>
              <w:t xml:space="preserve"> </w:t>
            </w:r>
            <w:r w:rsidRPr="00E32AFC">
              <w:rPr>
                <w:rFonts w:cs="Arial"/>
                <w:sz w:val="18"/>
                <w:szCs w:val="18"/>
              </w:rPr>
              <w:t>366</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23</w:t>
            </w:r>
            <w:r w:rsidR="00B74011">
              <w:rPr>
                <w:rFonts w:cs="Arial"/>
                <w:sz w:val="18"/>
                <w:szCs w:val="18"/>
              </w:rPr>
              <w:t xml:space="preserve"> </w:t>
            </w:r>
            <w:r w:rsidRPr="00E32AFC">
              <w:rPr>
                <w:rFonts w:cs="Arial"/>
                <w:sz w:val="18"/>
                <w:szCs w:val="18"/>
              </w:rPr>
              <w:t>058</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8</w:t>
            </w:r>
            <w:r w:rsidR="00B74011">
              <w:rPr>
                <w:rFonts w:cs="Arial"/>
                <w:sz w:val="18"/>
                <w:szCs w:val="18"/>
              </w:rPr>
              <w:t xml:space="preserve"> </w:t>
            </w:r>
            <w:r w:rsidRPr="00E32AFC">
              <w:rPr>
                <w:rFonts w:cs="Arial"/>
                <w:sz w:val="18"/>
                <w:szCs w:val="18"/>
              </w:rPr>
              <w:t>366</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38</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proofErr w:type="spellStart"/>
            <w:r w:rsidRPr="00E32AFC">
              <w:rPr>
                <w:rFonts w:cs="Arial"/>
                <w:sz w:val="18"/>
                <w:szCs w:val="18"/>
              </w:rPr>
              <w:t>Guin</w:t>
            </w:r>
            <w:r w:rsidR="00B74011">
              <w:rPr>
                <w:rFonts w:cs="Arial"/>
                <w:sz w:val="18"/>
                <w:szCs w:val="18"/>
              </w:rPr>
              <w:t>é</w:t>
            </w:r>
            <w:proofErr w:type="spellEnd"/>
            <w:r w:rsidR="00B74011">
              <w:rPr>
                <w:rFonts w:cs="Arial"/>
                <w:sz w:val="18"/>
                <w:szCs w:val="18"/>
              </w:rPr>
              <w:t xml:space="preserve"> </w:t>
            </w:r>
            <w:proofErr w:type="spellStart"/>
            <w:r w:rsidR="00B74011">
              <w:rPr>
                <w:rFonts w:cs="Arial"/>
                <w:sz w:val="18"/>
                <w:szCs w:val="18"/>
              </w:rPr>
              <w:t>équatoriale</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3</w:t>
            </w:r>
            <w:r w:rsidR="00B74011">
              <w:rPr>
                <w:rFonts w:cs="Arial"/>
                <w:sz w:val="18"/>
                <w:szCs w:val="18"/>
              </w:rPr>
              <w:t xml:space="preserve"> </w:t>
            </w:r>
            <w:r w:rsidRPr="00E32AFC">
              <w:rPr>
                <w:rFonts w:cs="Arial"/>
                <w:sz w:val="18"/>
                <w:szCs w:val="18"/>
              </w:rPr>
              <w:t>446</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550</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3</w:t>
            </w:r>
            <w:r w:rsidR="00B74011">
              <w:rPr>
                <w:rFonts w:cs="Arial"/>
                <w:sz w:val="18"/>
                <w:szCs w:val="18"/>
              </w:rPr>
              <w:t xml:space="preserve"> </w:t>
            </w:r>
            <w:r w:rsidRPr="00E32AFC">
              <w:rPr>
                <w:rFonts w:cs="Arial"/>
                <w:sz w:val="18"/>
                <w:szCs w:val="18"/>
              </w:rPr>
              <w:t>446</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550</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39</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proofErr w:type="spellStart"/>
            <w:r w:rsidRPr="00E32AFC">
              <w:rPr>
                <w:rFonts w:cs="Arial"/>
                <w:sz w:val="18"/>
                <w:szCs w:val="18"/>
              </w:rPr>
              <w:t>Erit</w:t>
            </w:r>
            <w:r w:rsidR="00B74011">
              <w:rPr>
                <w:rFonts w:cs="Arial"/>
                <w:sz w:val="18"/>
                <w:szCs w:val="18"/>
              </w:rPr>
              <w:t>hrée</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110</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55</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55</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40</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proofErr w:type="spellStart"/>
            <w:r w:rsidRPr="00E32AFC">
              <w:rPr>
                <w:rFonts w:cs="Arial"/>
                <w:sz w:val="18"/>
                <w:szCs w:val="18"/>
              </w:rPr>
              <w:t>Estoni</w:t>
            </w:r>
            <w:r w:rsidR="00B74011">
              <w:rPr>
                <w:rFonts w:cs="Arial"/>
                <w:sz w:val="18"/>
                <w:szCs w:val="18"/>
              </w:rPr>
              <w:t>e</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w:t>
            </w:r>
            <w:r w:rsidR="00B74011">
              <w:rPr>
                <w:rFonts w:cs="Arial"/>
                <w:sz w:val="18"/>
                <w:szCs w:val="18"/>
              </w:rPr>
              <w:t xml:space="preserve"> </w:t>
            </w:r>
            <w:r w:rsidRPr="00E32AFC">
              <w:rPr>
                <w:rFonts w:cs="Arial"/>
                <w:sz w:val="18"/>
                <w:szCs w:val="18"/>
              </w:rPr>
              <w:t>091</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w:t>
            </w:r>
            <w:r w:rsidR="00B74011">
              <w:rPr>
                <w:rFonts w:cs="Arial"/>
                <w:sz w:val="18"/>
                <w:szCs w:val="18"/>
              </w:rPr>
              <w:t xml:space="preserve"> </w:t>
            </w:r>
            <w:r w:rsidRPr="00E32AFC">
              <w:rPr>
                <w:rFonts w:cs="Arial"/>
                <w:sz w:val="18"/>
                <w:szCs w:val="18"/>
              </w:rPr>
              <w:t>091</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41</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r w:rsidRPr="00E32AFC">
              <w:rPr>
                <w:rFonts w:cs="Arial"/>
                <w:sz w:val="18"/>
                <w:szCs w:val="18"/>
              </w:rPr>
              <w:t>Eswatini</w:t>
            </w:r>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599</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110</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599</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110</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42</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proofErr w:type="spellStart"/>
            <w:r w:rsidRPr="00E32AFC">
              <w:rPr>
                <w:rFonts w:cs="Arial"/>
                <w:sz w:val="18"/>
                <w:szCs w:val="18"/>
              </w:rPr>
              <w:t>Ethiopi</w:t>
            </w:r>
            <w:r w:rsidR="00B74011">
              <w:rPr>
                <w:rFonts w:cs="Arial"/>
                <w:sz w:val="18"/>
                <w:szCs w:val="18"/>
              </w:rPr>
              <w:t>e</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550</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550</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43</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r w:rsidRPr="00E32AFC">
              <w:rPr>
                <w:rFonts w:cs="Arial"/>
                <w:sz w:val="18"/>
                <w:szCs w:val="18"/>
              </w:rPr>
              <w:t>Union</w:t>
            </w:r>
            <w:r w:rsidR="00B74011">
              <w:rPr>
                <w:rFonts w:cs="Arial"/>
                <w:sz w:val="18"/>
                <w:szCs w:val="18"/>
              </w:rPr>
              <w:t xml:space="preserve"> </w:t>
            </w:r>
            <w:proofErr w:type="spellStart"/>
            <w:r w:rsidR="00B74011">
              <w:rPr>
                <w:rFonts w:cs="Arial"/>
                <w:sz w:val="18"/>
                <w:szCs w:val="18"/>
              </w:rPr>
              <w:t>europénne</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65</w:t>
            </w:r>
            <w:r w:rsidR="00B74011">
              <w:rPr>
                <w:rFonts w:cs="Arial"/>
                <w:sz w:val="18"/>
                <w:szCs w:val="18"/>
              </w:rPr>
              <w:t xml:space="preserve"> </w:t>
            </w:r>
            <w:r w:rsidRPr="00E32AFC">
              <w:rPr>
                <w:rFonts w:cs="Arial"/>
                <w:sz w:val="18"/>
                <w:szCs w:val="18"/>
              </w:rPr>
              <w:t>277</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65</w:t>
            </w:r>
            <w:r w:rsidR="00B74011">
              <w:rPr>
                <w:rFonts w:cs="Arial"/>
                <w:sz w:val="18"/>
                <w:szCs w:val="18"/>
              </w:rPr>
              <w:t xml:space="preserve"> </w:t>
            </w:r>
            <w:r w:rsidRPr="00E32AFC">
              <w:rPr>
                <w:rFonts w:cs="Arial"/>
                <w:sz w:val="18"/>
                <w:szCs w:val="18"/>
              </w:rPr>
              <w:t>277</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44</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r w:rsidRPr="00E32AFC">
              <w:rPr>
                <w:rFonts w:cs="Arial"/>
                <w:sz w:val="18"/>
                <w:szCs w:val="18"/>
              </w:rPr>
              <w:t>Fiji</w:t>
            </w:r>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162</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165</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162</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165</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45</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proofErr w:type="spellStart"/>
            <w:r w:rsidRPr="00E32AFC">
              <w:rPr>
                <w:rFonts w:cs="Arial"/>
                <w:sz w:val="18"/>
                <w:szCs w:val="18"/>
              </w:rPr>
              <w:t>Finland</w:t>
            </w:r>
            <w:r w:rsidR="00B74011">
              <w:rPr>
                <w:rFonts w:cs="Arial"/>
                <w:sz w:val="18"/>
                <w:szCs w:val="18"/>
              </w:rPr>
              <w:t>e</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25</w:t>
            </w:r>
            <w:r w:rsidR="00B74011">
              <w:rPr>
                <w:rFonts w:cs="Arial"/>
                <w:sz w:val="18"/>
                <w:szCs w:val="18"/>
              </w:rPr>
              <w:t xml:space="preserve"> </w:t>
            </w:r>
            <w:r w:rsidRPr="00E32AFC">
              <w:rPr>
                <w:rFonts w:cs="Arial"/>
                <w:sz w:val="18"/>
                <w:szCs w:val="18"/>
              </w:rPr>
              <w:t>097</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25</w:t>
            </w:r>
            <w:r w:rsidR="00B74011">
              <w:rPr>
                <w:rFonts w:cs="Arial"/>
                <w:sz w:val="18"/>
                <w:szCs w:val="18"/>
              </w:rPr>
              <w:t xml:space="preserve"> </w:t>
            </w:r>
            <w:r w:rsidRPr="00E32AFC">
              <w:rPr>
                <w:rFonts w:cs="Arial"/>
                <w:sz w:val="18"/>
                <w:szCs w:val="18"/>
              </w:rPr>
              <w:t>097</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46</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r w:rsidRPr="00E32AFC">
              <w:rPr>
                <w:rFonts w:cs="Arial"/>
                <w:sz w:val="18"/>
                <w:szCs w:val="18"/>
              </w:rPr>
              <w:t>France</w:t>
            </w:r>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267</w:t>
            </w:r>
            <w:r w:rsidR="00B74011">
              <w:rPr>
                <w:rFonts w:cs="Arial"/>
                <w:sz w:val="18"/>
                <w:szCs w:val="18"/>
              </w:rPr>
              <w:t xml:space="preserve"> </w:t>
            </w:r>
            <w:r w:rsidRPr="00E32AFC">
              <w:rPr>
                <w:rFonts w:cs="Arial"/>
                <w:sz w:val="18"/>
                <w:szCs w:val="18"/>
              </w:rPr>
              <w:t>421</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267</w:t>
            </w:r>
            <w:r w:rsidR="00B74011">
              <w:rPr>
                <w:rFonts w:cs="Arial"/>
                <w:sz w:val="18"/>
                <w:szCs w:val="18"/>
              </w:rPr>
              <w:t xml:space="preserve"> </w:t>
            </w:r>
            <w:r w:rsidRPr="00E32AFC">
              <w:rPr>
                <w:rFonts w:cs="Arial"/>
                <w:sz w:val="18"/>
                <w:szCs w:val="18"/>
              </w:rPr>
              <w:t>421</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47</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r w:rsidRPr="00E32AFC">
              <w:rPr>
                <w:rFonts w:cs="Arial"/>
                <w:sz w:val="18"/>
                <w:szCs w:val="18"/>
              </w:rPr>
              <w:t>Gabon</w:t>
            </w:r>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7</w:t>
            </w:r>
            <w:r w:rsidR="00B74011">
              <w:rPr>
                <w:rFonts w:cs="Arial"/>
                <w:sz w:val="18"/>
                <w:szCs w:val="18"/>
              </w:rPr>
              <w:t xml:space="preserve"> </w:t>
            </w:r>
            <w:r w:rsidRPr="00E32AFC">
              <w:rPr>
                <w:rFonts w:cs="Arial"/>
                <w:sz w:val="18"/>
                <w:szCs w:val="18"/>
              </w:rPr>
              <w:t>462</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936</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7</w:t>
            </w:r>
            <w:r w:rsidR="00B74011">
              <w:rPr>
                <w:rFonts w:cs="Arial"/>
                <w:sz w:val="18"/>
                <w:szCs w:val="18"/>
              </w:rPr>
              <w:t xml:space="preserve"> </w:t>
            </w:r>
            <w:r w:rsidRPr="00E32AFC">
              <w:rPr>
                <w:rFonts w:cs="Arial"/>
                <w:sz w:val="18"/>
                <w:szCs w:val="18"/>
              </w:rPr>
              <w:t>462</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936</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48</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proofErr w:type="spellStart"/>
            <w:r w:rsidRPr="00E32AFC">
              <w:rPr>
                <w:rFonts w:cs="Arial"/>
                <w:sz w:val="18"/>
                <w:szCs w:val="18"/>
              </w:rPr>
              <w:t>Gambi</w:t>
            </w:r>
            <w:r w:rsidR="00B74011">
              <w:rPr>
                <w:rFonts w:cs="Arial"/>
                <w:sz w:val="18"/>
                <w:szCs w:val="18"/>
              </w:rPr>
              <w:t>e</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69</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55</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69</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55</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49</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r w:rsidRPr="00E32AFC">
              <w:rPr>
                <w:rFonts w:cs="Arial"/>
                <w:sz w:val="18"/>
                <w:szCs w:val="18"/>
              </w:rPr>
              <w:t>Georgi</w:t>
            </w:r>
            <w:r w:rsidR="00B74011">
              <w:rPr>
                <w:rFonts w:cs="Arial"/>
                <w:sz w:val="18"/>
                <w:szCs w:val="18"/>
              </w:rPr>
              <w:t>e</w:t>
            </w:r>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440</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440</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50</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B74011" w:rsidP="00561DAF">
            <w:pPr>
              <w:tabs>
                <w:tab w:val="left" w:pos="8370"/>
              </w:tabs>
              <w:spacing w:after="0" w:line="240" w:lineRule="auto"/>
              <w:rPr>
                <w:rFonts w:cs="Arial"/>
                <w:sz w:val="18"/>
                <w:szCs w:val="18"/>
              </w:rPr>
            </w:pPr>
            <w:proofErr w:type="spellStart"/>
            <w:r>
              <w:rPr>
                <w:rFonts w:cs="Arial"/>
                <w:sz w:val="18"/>
                <w:szCs w:val="18"/>
              </w:rPr>
              <w:t>Allemagne</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351</w:t>
            </w:r>
            <w:r w:rsidR="00B74011">
              <w:rPr>
                <w:rFonts w:cs="Arial"/>
                <w:sz w:val="18"/>
                <w:szCs w:val="18"/>
              </w:rPr>
              <w:t xml:space="preserve"> </w:t>
            </w:r>
            <w:r w:rsidRPr="00E32AFC">
              <w:rPr>
                <w:rFonts w:cs="Arial"/>
                <w:sz w:val="18"/>
                <w:szCs w:val="18"/>
              </w:rPr>
              <w:t>626</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351</w:t>
            </w:r>
            <w:r w:rsidR="00B74011">
              <w:rPr>
                <w:rFonts w:cs="Arial"/>
                <w:sz w:val="18"/>
                <w:szCs w:val="18"/>
              </w:rPr>
              <w:t xml:space="preserve"> </w:t>
            </w:r>
            <w:r w:rsidRPr="00E32AFC">
              <w:rPr>
                <w:rFonts w:cs="Arial"/>
                <w:sz w:val="18"/>
                <w:szCs w:val="18"/>
              </w:rPr>
              <w:t>626</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51</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r w:rsidRPr="00E32AFC">
              <w:rPr>
                <w:rFonts w:cs="Arial"/>
                <w:sz w:val="18"/>
                <w:szCs w:val="18"/>
              </w:rPr>
              <w:t>Ghana</w:t>
            </w:r>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881</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881</w:t>
            </w:r>
          </w:p>
        </w:tc>
        <w:tc>
          <w:tcPr>
            <w:tcW w:w="425"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w:t>
            </w:r>
            <w:r w:rsidR="00B74011">
              <w:rPr>
                <w:rFonts w:cs="Arial"/>
                <w:sz w:val="18"/>
                <w:szCs w:val="18"/>
              </w:rPr>
              <w:t xml:space="preserve"> </w:t>
            </w:r>
            <w:r w:rsidRPr="00E32AFC">
              <w:rPr>
                <w:rFonts w:cs="Arial"/>
                <w:sz w:val="18"/>
                <w:szCs w:val="18"/>
              </w:rPr>
              <w:t>396</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w:t>
            </w:r>
            <w:r w:rsidR="00B74011">
              <w:rPr>
                <w:rFonts w:cs="Arial"/>
                <w:sz w:val="18"/>
                <w:szCs w:val="18"/>
              </w:rPr>
              <w:t xml:space="preserve"> </w:t>
            </w:r>
            <w:r w:rsidRPr="00E32AFC">
              <w:rPr>
                <w:rFonts w:cs="Arial"/>
                <w:sz w:val="18"/>
                <w:szCs w:val="18"/>
              </w:rPr>
              <w:t>396</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52</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proofErr w:type="spellStart"/>
            <w:r w:rsidRPr="00E32AFC">
              <w:rPr>
                <w:rFonts w:cs="Arial"/>
                <w:sz w:val="18"/>
                <w:szCs w:val="18"/>
              </w:rPr>
              <w:t>Gr</w:t>
            </w:r>
            <w:r w:rsidR="00B74011">
              <w:rPr>
                <w:rFonts w:cs="Arial"/>
                <w:sz w:val="18"/>
                <w:szCs w:val="18"/>
              </w:rPr>
              <w:t>èce</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25</w:t>
            </w:r>
            <w:r w:rsidR="00B74011">
              <w:rPr>
                <w:rFonts w:cs="Arial"/>
                <w:sz w:val="18"/>
                <w:szCs w:val="18"/>
              </w:rPr>
              <w:t xml:space="preserve"> </w:t>
            </w:r>
            <w:r w:rsidRPr="00E32AFC">
              <w:rPr>
                <w:rFonts w:cs="Arial"/>
                <w:sz w:val="18"/>
                <w:szCs w:val="18"/>
              </w:rPr>
              <w:t>414</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25</w:t>
            </w:r>
            <w:r w:rsidR="00B74011">
              <w:rPr>
                <w:rFonts w:cs="Arial"/>
                <w:sz w:val="18"/>
                <w:szCs w:val="18"/>
              </w:rPr>
              <w:t xml:space="preserve"> </w:t>
            </w:r>
            <w:r w:rsidRPr="00E32AFC">
              <w:rPr>
                <w:rFonts w:cs="Arial"/>
                <w:sz w:val="18"/>
                <w:szCs w:val="18"/>
              </w:rPr>
              <w:t>922</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25</w:t>
            </w:r>
            <w:r w:rsidR="00B74011">
              <w:rPr>
                <w:rFonts w:cs="Arial"/>
                <w:sz w:val="18"/>
                <w:szCs w:val="18"/>
              </w:rPr>
              <w:t xml:space="preserve"> </w:t>
            </w:r>
            <w:r w:rsidRPr="00E32AFC">
              <w:rPr>
                <w:rFonts w:cs="Arial"/>
                <w:sz w:val="18"/>
                <w:szCs w:val="18"/>
              </w:rPr>
              <w:t>922</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25</w:t>
            </w:r>
            <w:r w:rsidR="00B74011">
              <w:rPr>
                <w:rFonts w:cs="Arial"/>
                <w:sz w:val="18"/>
                <w:szCs w:val="18"/>
              </w:rPr>
              <w:t xml:space="preserve"> </w:t>
            </w:r>
            <w:r w:rsidRPr="00E32AFC">
              <w:rPr>
                <w:rFonts w:cs="Arial"/>
                <w:sz w:val="18"/>
                <w:szCs w:val="18"/>
              </w:rPr>
              <w:t>414</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53</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proofErr w:type="spellStart"/>
            <w:r w:rsidRPr="00E32AFC">
              <w:rPr>
                <w:rFonts w:cs="Arial"/>
                <w:sz w:val="18"/>
                <w:szCs w:val="18"/>
              </w:rPr>
              <w:t>Guin</w:t>
            </w:r>
            <w:r w:rsidR="00B74011">
              <w:rPr>
                <w:rFonts w:cs="Arial"/>
                <w:sz w:val="18"/>
                <w:szCs w:val="18"/>
              </w:rPr>
              <w:t>ée</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108</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110</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108</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110</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54</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proofErr w:type="spellStart"/>
            <w:r w:rsidRPr="00E32AFC">
              <w:rPr>
                <w:rFonts w:cs="Arial"/>
                <w:sz w:val="18"/>
                <w:szCs w:val="18"/>
              </w:rPr>
              <w:t>Guin</w:t>
            </w:r>
            <w:r w:rsidR="00B74011">
              <w:rPr>
                <w:rFonts w:cs="Arial"/>
                <w:sz w:val="18"/>
                <w:szCs w:val="18"/>
              </w:rPr>
              <w:t>ée</w:t>
            </w:r>
            <w:proofErr w:type="spellEnd"/>
            <w:r w:rsidRPr="00E32AFC">
              <w:rPr>
                <w:rFonts w:cs="Arial"/>
                <w:sz w:val="18"/>
                <w:szCs w:val="18"/>
              </w:rPr>
              <w:t>-Bissau</w:t>
            </w:r>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w:t>
            </w:r>
            <w:r w:rsidR="00B74011">
              <w:rPr>
                <w:rFonts w:cs="Arial"/>
                <w:sz w:val="18"/>
                <w:szCs w:val="18"/>
              </w:rPr>
              <w:t xml:space="preserve"> </w:t>
            </w:r>
            <w:r w:rsidRPr="00E32AFC">
              <w:rPr>
                <w:rFonts w:cs="Arial"/>
                <w:sz w:val="18"/>
                <w:szCs w:val="18"/>
              </w:rPr>
              <w:t>954</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55</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w:t>
            </w:r>
            <w:r w:rsidR="00B74011">
              <w:rPr>
                <w:rFonts w:cs="Arial"/>
                <w:sz w:val="18"/>
                <w:szCs w:val="18"/>
              </w:rPr>
              <w:t xml:space="preserve"> </w:t>
            </w:r>
            <w:r w:rsidRPr="00E32AFC">
              <w:rPr>
                <w:rFonts w:cs="Arial"/>
                <w:sz w:val="18"/>
                <w:szCs w:val="18"/>
              </w:rPr>
              <w:t>954</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55</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55</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r w:rsidRPr="00E32AFC">
              <w:rPr>
                <w:rFonts w:cs="Arial"/>
                <w:sz w:val="18"/>
                <w:szCs w:val="18"/>
              </w:rPr>
              <w:t>Honduras</w:t>
            </w:r>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20</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440</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20</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440</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lastRenderedPageBreak/>
              <w:t>56</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proofErr w:type="spellStart"/>
            <w:r w:rsidRPr="00E32AFC">
              <w:rPr>
                <w:rFonts w:cs="Arial"/>
                <w:sz w:val="18"/>
                <w:szCs w:val="18"/>
              </w:rPr>
              <w:t>H</w:t>
            </w:r>
            <w:r w:rsidR="00B74011">
              <w:rPr>
                <w:rFonts w:cs="Arial"/>
                <w:sz w:val="18"/>
                <w:szCs w:val="18"/>
              </w:rPr>
              <w:t>ongrie</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8</w:t>
            </w:r>
            <w:r w:rsidR="00B74011">
              <w:rPr>
                <w:rFonts w:cs="Arial"/>
                <w:sz w:val="18"/>
                <w:szCs w:val="18"/>
              </w:rPr>
              <w:t xml:space="preserve"> </w:t>
            </w:r>
            <w:r w:rsidRPr="00E32AFC">
              <w:rPr>
                <w:rFonts w:cs="Arial"/>
                <w:sz w:val="18"/>
                <w:szCs w:val="18"/>
              </w:rPr>
              <w:t>861</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8</w:t>
            </w:r>
            <w:r w:rsidR="00B74011">
              <w:rPr>
                <w:rFonts w:cs="Arial"/>
                <w:sz w:val="18"/>
                <w:szCs w:val="18"/>
              </w:rPr>
              <w:t xml:space="preserve"> </w:t>
            </w:r>
            <w:r w:rsidRPr="00E32AFC">
              <w:rPr>
                <w:rFonts w:cs="Arial"/>
                <w:sz w:val="18"/>
                <w:szCs w:val="18"/>
              </w:rPr>
              <w:t>861</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57</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proofErr w:type="spellStart"/>
            <w:r w:rsidRPr="00E32AFC">
              <w:rPr>
                <w:rFonts w:cs="Arial"/>
                <w:sz w:val="18"/>
                <w:szCs w:val="18"/>
              </w:rPr>
              <w:t>Ind</w:t>
            </w:r>
            <w:r w:rsidR="00B74011">
              <w:rPr>
                <w:rFonts w:cs="Arial"/>
                <w:sz w:val="18"/>
                <w:szCs w:val="18"/>
              </w:rPr>
              <w:t>e</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39</w:t>
            </w:r>
            <w:r w:rsidR="00B74011">
              <w:rPr>
                <w:rFonts w:cs="Arial"/>
                <w:sz w:val="18"/>
                <w:szCs w:val="18"/>
              </w:rPr>
              <w:t xml:space="preserve"> </w:t>
            </w:r>
            <w:r w:rsidRPr="00E32AFC">
              <w:rPr>
                <w:rFonts w:cs="Arial"/>
                <w:sz w:val="18"/>
                <w:szCs w:val="18"/>
              </w:rPr>
              <w:t>766</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40</w:t>
            </w:r>
            <w:r w:rsidR="00B74011">
              <w:rPr>
                <w:rFonts w:cs="Arial"/>
                <w:sz w:val="18"/>
                <w:szCs w:val="18"/>
              </w:rPr>
              <w:t xml:space="preserve"> </w:t>
            </w:r>
            <w:r w:rsidRPr="00E32AFC">
              <w:rPr>
                <w:rFonts w:cs="Arial"/>
                <w:sz w:val="18"/>
                <w:szCs w:val="18"/>
              </w:rPr>
              <w:t>562</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39</w:t>
            </w:r>
            <w:r w:rsidR="00B74011">
              <w:rPr>
                <w:rFonts w:cs="Arial"/>
                <w:sz w:val="18"/>
                <w:szCs w:val="18"/>
              </w:rPr>
              <w:t xml:space="preserve"> </w:t>
            </w:r>
            <w:r w:rsidRPr="00E32AFC">
              <w:rPr>
                <w:rFonts w:cs="Arial"/>
                <w:sz w:val="18"/>
                <w:szCs w:val="18"/>
              </w:rPr>
              <w:t>766</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40</w:t>
            </w:r>
            <w:r w:rsidR="00B74011">
              <w:rPr>
                <w:rFonts w:cs="Arial"/>
                <w:sz w:val="18"/>
                <w:szCs w:val="18"/>
              </w:rPr>
              <w:t xml:space="preserve"> </w:t>
            </w:r>
            <w:r w:rsidRPr="00E32AFC">
              <w:rPr>
                <w:rFonts w:cs="Arial"/>
                <w:sz w:val="18"/>
                <w:szCs w:val="18"/>
              </w:rPr>
              <w:t>562</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58</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r w:rsidRPr="00E32AFC">
              <w:rPr>
                <w:rFonts w:cs="Arial"/>
                <w:sz w:val="18"/>
                <w:szCs w:val="18"/>
              </w:rPr>
              <w:t>Iran (</w:t>
            </w:r>
            <w:proofErr w:type="spellStart"/>
            <w:r w:rsidR="00B74011">
              <w:rPr>
                <w:rFonts w:cs="Arial"/>
                <w:sz w:val="18"/>
                <w:szCs w:val="18"/>
              </w:rPr>
              <w:t>Républque</w:t>
            </w:r>
            <w:proofErr w:type="spellEnd"/>
            <w:r w:rsidR="00B74011">
              <w:rPr>
                <w:rFonts w:cs="Arial"/>
                <w:sz w:val="18"/>
                <w:szCs w:val="18"/>
              </w:rPr>
              <w:t xml:space="preserve"> </w:t>
            </w:r>
            <w:proofErr w:type="spellStart"/>
            <w:r w:rsidR="00B74011">
              <w:rPr>
                <w:rFonts w:cs="Arial"/>
                <w:sz w:val="18"/>
                <w:szCs w:val="18"/>
              </w:rPr>
              <w:t>islamique</w:t>
            </w:r>
            <w:proofErr w:type="spellEnd"/>
            <w:r w:rsidR="00B74011">
              <w:rPr>
                <w:rFonts w:cs="Arial"/>
                <w:sz w:val="18"/>
                <w:szCs w:val="18"/>
              </w:rPr>
              <w:t xml:space="preserve"> d’</w:t>
            </w:r>
            <w:r w:rsidRPr="00E32AFC">
              <w:rPr>
                <w:rFonts w:cs="Arial"/>
                <w:sz w:val="18"/>
                <w:szCs w:val="18"/>
              </w:rPr>
              <w:t>)</w:t>
            </w:r>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46</w:t>
            </w:r>
            <w:r w:rsidR="00B74011">
              <w:rPr>
                <w:rFonts w:cs="Arial"/>
                <w:sz w:val="18"/>
                <w:szCs w:val="18"/>
              </w:rPr>
              <w:t xml:space="preserve"> </w:t>
            </w:r>
            <w:r w:rsidRPr="00E32AFC">
              <w:rPr>
                <w:rFonts w:cs="Arial"/>
                <w:sz w:val="18"/>
                <w:szCs w:val="18"/>
              </w:rPr>
              <w:t>419</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25</w:t>
            </w:r>
            <w:r w:rsidR="00B74011">
              <w:rPr>
                <w:rFonts w:cs="Arial"/>
                <w:sz w:val="18"/>
                <w:szCs w:val="18"/>
              </w:rPr>
              <w:t xml:space="preserve"> </w:t>
            </w:r>
            <w:r w:rsidRPr="00E32AFC">
              <w:rPr>
                <w:rFonts w:cs="Arial"/>
                <w:sz w:val="18"/>
                <w:szCs w:val="18"/>
              </w:rPr>
              <w:t>922</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26</w:t>
            </w:r>
            <w:r w:rsidR="00B74011">
              <w:rPr>
                <w:rFonts w:cs="Arial"/>
                <w:sz w:val="18"/>
                <w:szCs w:val="18"/>
              </w:rPr>
              <w:t xml:space="preserve"> </w:t>
            </w:r>
            <w:r w:rsidRPr="00E32AFC">
              <w:rPr>
                <w:rFonts w:cs="Arial"/>
                <w:sz w:val="18"/>
                <w:szCs w:val="18"/>
              </w:rPr>
              <w:t>067</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20</w:t>
            </w:r>
            <w:r w:rsidR="00B74011">
              <w:rPr>
                <w:rFonts w:cs="Arial"/>
                <w:sz w:val="18"/>
                <w:szCs w:val="18"/>
              </w:rPr>
              <w:t xml:space="preserve"> </w:t>
            </w:r>
            <w:r w:rsidRPr="00E32AFC">
              <w:rPr>
                <w:rFonts w:cs="Arial"/>
                <w:sz w:val="18"/>
                <w:szCs w:val="18"/>
              </w:rPr>
              <w:t>352</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25</w:t>
            </w:r>
            <w:r w:rsidR="00B74011">
              <w:rPr>
                <w:rFonts w:cs="Arial"/>
                <w:sz w:val="18"/>
                <w:szCs w:val="18"/>
              </w:rPr>
              <w:t xml:space="preserve"> </w:t>
            </w:r>
            <w:r w:rsidRPr="00E32AFC">
              <w:rPr>
                <w:rFonts w:cs="Arial"/>
                <w:sz w:val="18"/>
                <w:szCs w:val="18"/>
              </w:rPr>
              <w:t>922</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59</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r w:rsidRPr="00E32AFC">
              <w:rPr>
                <w:rFonts w:cs="Arial"/>
                <w:sz w:val="18"/>
                <w:szCs w:val="18"/>
              </w:rPr>
              <w:t>Iraq</w:t>
            </w:r>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12</w:t>
            </w:r>
            <w:r w:rsidR="00B74011">
              <w:rPr>
                <w:rFonts w:cs="Arial"/>
                <w:sz w:val="18"/>
                <w:szCs w:val="18"/>
              </w:rPr>
              <w:t xml:space="preserve"> </w:t>
            </w:r>
            <w:r w:rsidRPr="00E32AFC">
              <w:rPr>
                <w:rFonts w:cs="Arial"/>
                <w:sz w:val="18"/>
                <w:szCs w:val="18"/>
              </w:rPr>
              <w:t>457</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7</w:t>
            </w:r>
            <w:r w:rsidR="00B74011">
              <w:rPr>
                <w:rFonts w:cs="Arial"/>
                <w:sz w:val="18"/>
                <w:szCs w:val="18"/>
              </w:rPr>
              <w:t xml:space="preserve"> </w:t>
            </w:r>
            <w:r w:rsidRPr="00E32AFC">
              <w:rPr>
                <w:rFonts w:cs="Arial"/>
                <w:sz w:val="18"/>
                <w:szCs w:val="18"/>
              </w:rPr>
              <w:t>100</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12</w:t>
            </w:r>
            <w:r w:rsidR="00B74011">
              <w:rPr>
                <w:rFonts w:cs="Arial"/>
                <w:sz w:val="18"/>
                <w:szCs w:val="18"/>
              </w:rPr>
              <w:t xml:space="preserve"> </w:t>
            </w:r>
            <w:r w:rsidRPr="00E32AFC">
              <w:rPr>
                <w:rFonts w:cs="Arial"/>
                <w:sz w:val="18"/>
                <w:szCs w:val="18"/>
              </w:rPr>
              <w:t>457</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7</w:t>
            </w:r>
            <w:r w:rsidR="00B74011">
              <w:rPr>
                <w:rFonts w:cs="Arial"/>
                <w:sz w:val="18"/>
                <w:szCs w:val="18"/>
              </w:rPr>
              <w:t xml:space="preserve"> </w:t>
            </w:r>
            <w:r w:rsidRPr="00E32AFC">
              <w:rPr>
                <w:rFonts w:cs="Arial"/>
                <w:sz w:val="18"/>
                <w:szCs w:val="18"/>
              </w:rPr>
              <w:t>100</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60</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proofErr w:type="spellStart"/>
            <w:r w:rsidRPr="00E32AFC">
              <w:rPr>
                <w:rFonts w:cs="Arial"/>
                <w:sz w:val="18"/>
                <w:szCs w:val="18"/>
              </w:rPr>
              <w:t>Irland</w:t>
            </w:r>
            <w:r w:rsidR="00B74011">
              <w:rPr>
                <w:rFonts w:cs="Arial"/>
                <w:sz w:val="18"/>
                <w:szCs w:val="18"/>
              </w:rPr>
              <w:t>e</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18</w:t>
            </w:r>
            <w:r w:rsidR="00B74011">
              <w:rPr>
                <w:rFonts w:cs="Arial"/>
                <w:sz w:val="18"/>
                <w:szCs w:val="18"/>
              </w:rPr>
              <w:t xml:space="preserve"> </w:t>
            </w:r>
            <w:r w:rsidRPr="00E32AFC">
              <w:rPr>
                <w:rFonts w:cs="Arial"/>
                <w:sz w:val="18"/>
                <w:szCs w:val="18"/>
              </w:rPr>
              <w:t>437</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18</w:t>
            </w:r>
            <w:r w:rsidR="00B74011">
              <w:rPr>
                <w:rFonts w:cs="Arial"/>
                <w:sz w:val="18"/>
                <w:szCs w:val="18"/>
              </w:rPr>
              <w:t xml:space="preserve"> </w:t>
            </w:r>
            <w:r w:rsidRPr="00E32AFC">
              <w:rPr>
                <w:rFonts w:cs="Arial"/>
                <w:sz w:val="18"/>
                <w:szCs w:val="18"/>
              </w:rPr>
              <w:t>437</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61</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r w:rsidRPr="00E32AFC">
              <w:rPr>
                <w:rFonts w:cs="Arial"/>
                <w:sz w:val="18"/>
                <w:szCs w:val="18"/>
              </w:rPr>
              <w:t>Israel</w:t>
            </w:r>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23</w:t>
            </w:r>
            <w:r w:rsidR="00B74011">
              <w:rPr>
                <w:rFonts w:cs="Arial"/>
                <w:sz w:val="18"/>
                <w:szCs w:val="18"/>
              </w:rPr>
              <w:t xml:space="preserve"> </w:t>
            </w:r>
            <w:r w:rsidRPr="00E32AFC">
              <w:rPr>
                <w:rFonts w:cs="Arial"/>
                <w:sz w:val="18"/>
                <w:szCs w:val="18"/>
              </w:rPr>
              <w:t>201</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23</w:t>
            </w:r>
            <w:r w:rsidR="00B74011">
              <w:rPr>
                <w:rFonts w:cs="Arial"/>
                <w:sz w:val="18"/>
                <w:szCs w:val="18"/>
              </w:rPr>
              <w:t xml:space="preserve"> </w:t>
            </w:r>
            <w:r w:rsidRPr="00E32AFC">
              <w:rPr>
                <w:rFonts w:cs="Arial"/>
                <w:sz w:val="18"/>
                <w:szCs w:val="18"/>
              </w:rPr>
              <w:t>666</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23</w:t>
            </w:r>
            <w:r w:rsidR="00B74011">
              <w:rPr>
                <w:rFonts w:cs="Arial"/>
                <w:sz w:val="18"/>
                <w:szCs w:val="18"/>
              </w:rPr>
              <w:t xml:space="preserve"> </w:t>
            </w:r>
            <w:r w:rsidRPr="00E32AFC">
              <w:rPr>
                <w:rFonts w:cs="Arial"/>
                <w:sz w:val="18"/>
                <w:szCs w:val="18"/>
              </w:rPr>
              <w:t>201</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23</w:t>
            </w:r>
            <w:r w:rsidR="00B74011">
              <w:rPr>
                <w:rFonts w:cs="Arial"/>
                <w:sz w:val="18"/>
                <w:szCs w:val="18"/>
              </w:rPr>
              <w:t xml:space="preserve"> </w:t>
            </w:r>
            <w:r w:rsidRPr="00E32AFC">
              <w:rPr>
                <w:rFonts w:cs="Arial"/>
                <w:sz w:val="18"/>
                <w:szCs w:val="18"/>
              </w:rPr>
              <w:t>666</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62</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proofErr w:type="spellStart"/>
            <w:r w:rsidRPr="00E32AFC">
              <w:rPr>
                <w:rFonts w:cs="Arial"/>
                <w:sz w:val="18"/>
                <w:szCs w:val="18"/>
              </w:rPr>
              <w:t>Ital</w:t>
            </w:r>
            <w:r w:rsidR="00B74011">
              <w:rPr>
                <w:rFonts w:cs="Arial"/>
                <w:sz w:val="18"/>
                <w:szCs w:val="18"/>
              </w:rPr>
              <w:t>ie</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206</w:t>
            </w:r>
            <w:r w:rsidR="00B74011">
              <w:rPr>
                <w:rFonts w:cs="Arial"/>
                <w:sz w:val="18"/>
                <w:szCs w:val="18"/>
              </w:rPr>
              <w:t xml:space="preserve"> </w:t>
            </w:r>
            <w:r w:rsidRPr="00E32AFC">
              <w:rPr>
                <w:rFonts w:cs="Arial"/>
                <w:sz w:val="18"/>
                <w:szCs w:val="18"/>
              </w:rPr>
              <w:t>276</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206</w:t>
            </w:r>
            <w:r w:rsidR="00B74011">
              <w:rPr>
                <w:rFonts w:cs="Arial"/>
                <w:sz w:val="18"/>
                <w:szCs w:val="18"/>
              </w:rPr>
              <w:t xml:space="preserve"> </w:t>
            </w:r>
            <w:r w:rsidRPr="00E32AFC">
              <w:rPr>
                <w:rFonts w:cs="Arial"/>
                <w:sz w:val="18"/>
                <w:szCs w:val="18"/>
              </w:rPr>
              <w:t>276</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63</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proofErr w:type="spellStart"/>
            <w:r w:rsidRPr="00E32AFC">
              <w:rPr>
                <w:rFonts w:cs="Arial"/>
                <w:sz w:val="18"/>
                <w:szCs w:val="18"/>
              </w:rPr>
              <w:t>Jordan</w:t>
            </w:r>
            <w:r w:rsidR="00B74011">
              <w:rPr>
                <w:rFonts w:cs="Arial"/>
                <w:sz w:val="18"/>
                <w:szCs w:val="18"/>
              </w:rPr>
              <w:t>ie</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w:t>
            </w:r>
            <w:r w:rsidR="00B74011">
              <w:rPr>
                <w:rFonts w:cs="Arial"/>
                <w:sz w:val="18"/>
                <w:szCs w:val="18"/>
              </w:rPr>
              <w:t xml:space="preserve"> </w:t>
            </w:r>
            <w:r w:rsidRPr="00E32AFC">
              <w:rPr>
                <w:rFonts w:cs="Arial"/>
                <w:sz w:val="18"/>
                <w:szCs w:val="18"/>
              </w:rPr>
              <w:t>951</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w:t>
            </w:r>
            <w:r w:rsidR="00B74011">
              <w:rPr>
                <w:rFonts w:cs="Arial"/>
                <w:sz w:val="18"/>
                <w:szCs w:val="18"/>
              </w:rPr>
              <w:t xml:space="preserve"> </w:t>
            </w:r>
            <w:r w:rsidRPr="00E32AFC">
              <w:rPr>
                <w:rFonts w:cs="Arial"/>
                <w:sz w:val="18"/>
                <w:szCs w:val="18"/>
              </w:rPr>
              <w:t>101</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w:t>
            </w:r>
            <w:r w:rsidR="00B74011">
              <w:rPr>
                <w:rFonts w:cs="Arial"/>
                <w:sz w:val="18"/>
                <w:szCs w:val="18"/>
              </w:rPr>
              <w:t xml:space="preserve"> </w:t>
            </w:r>
            <w:r w:rsidRPr="00E32AFC">
              <w:rPr>
                <w:rFonts w:cs="Arial"/>
                <w:sz w:val="18"/>
                <w:szCs w:val="18"/>
              </w:rPr>
              <w:t>951</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w:t>
            </w:r>
            <w:r w:rsidR="00B74011">
              <w:rPr>
                <w:rFonts w:cs="Arial"/>
                <w:sz w:val="18"/>
                <w:szCs w:val="18"/>
              </w:rPr>
              <w:t xml:space="preserve"> </w:t>
            </w:r>
            <w:r w:rsidRPr="00E32AFC">
              <w:rPr>
                <w:rFonts w:cs="Arial"/>
                <w:sz w:val="18"/>
                <w:szCs w:val="18"/>
              </w:rPr>
              <w:t>101</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64</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r w:rsidRPr="00E32AFC">
              <w:rPr>
                <w:rFonts w:cs="Arial"/>
                <w:sz w:val="18"/>
                <w:szCs w:val="18"/>
              </w:rPr>
              <w:t>Kazakhstan</w:t>
            </w:r>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10</w:t>
            </w:r>
            <w:r w:rsidR="00B74011">
              <w:rPr>
                <w:rFonts w:cs="Arial"/>
                <w:sz w:val="18"/>
                <w:szCs w:val="18"/>
              </w:rPr>
              <w:t xml:space="preserve"> </w:t>
            </w:r>
            <w:r w:rsidRPr="00E32AFC">
              <w:rPr>
                <w:rFonts w:cs="Arial"/>
                <w:sz w:val="18"/>
                <w:szCs w:val="18"/>
              </w:rPr>
              <w:t>512</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10</w:t>
            </w:r>
            <w:r w:rsidR="00B74011">
              <w:rPr>
                <w:rFonts w:cs="Arial"/>
                <w:sz w:val="18"/>
                <w:szCs w:val="18"/>
              </w:rPr>
              <w:t xml:space="preserve"> </w:t>
            </w:r>
            <w:r w:rsidRPr="00E32AFC">
              <w:rPr>
                <w:rFonts w:cs="Arial"/>
                <w:sz w:val="18"/>
                <w:szCs w:val="18"/>
              </w:rPr>
              <w:t>512</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65</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r w:rsidRPr="00E32AFC">
              <w:rPr>
                <w:rFonts w:cs="Arial"/>
                <w:sz w:val="18"/>
                <w:szCs w:val="18"/>
              </w:rPr>
              <w:t>Kenya</w:t>
            </w:r>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971</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991</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971</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991</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66</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B74011" w:rsidP="00561DAF">
            <w:pPr>
              <w:tabs>
                <w:tab w:val="left" w:pos="8370"/>
              </w:tabs>
              <w:spacing w:after="0" w:line="240" w:lineRule="auto"/>
              <w:rPr>
                <w:rFonts w:cs="Arial"/>
                <w:sz w:val="18"/>
                <w:szCs w:val="18"/>
              </w:rPr>
            </w:pPr>
            <w:proofErr w:type="spellStart"/>
            <w:r w:rsidRPr="0086095A">
              <w:rPr>
                <w:rFonts w:cs="Arial"/>
                <w:sz w:val="18"/>
                <w:szCs w:val="20"/>
              </w:rPr>
              <w:t>K</w:t>
            </w:r>
            <w:r>
              <w:rPr>
                <w:rFonts w:cs="Arial"/>
                <w:sz w:val="18"/>
                <w:szCs w:val="20"/>
              </w:rPr>
              <w:t>i</w:t>
            </w:r>
            <w:r w:rsidRPr="0086095A">
              <w:rPr>
                <w:rFonts w:cs="Arial"/>
                <w:sz w:val="18"/>
                <w:szCs w:val="20"/>
              </w:rPr>
              <w:t>rg</w:t>
            </w:r>
            <w:r>
              <w:rPr>
                <w:rFonts w:cs="Arial"/>
                <w:sz w:val="18"/>
                <w:szCs w:val="20"/>
              </w:rPr>
              <w:t>hizistan</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11</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110</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99</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67</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proofErr w:type="spellStart"/>
            <w:r w:rsidRPr="00E32AFC">
              <w:rPr>
                <w:rFonts w:cs="Arial"/>
                <w:sz w:val="18"/>
                <w:szCs w:val="18"/>
              </w:rPr>
              <w:t>L</w:t>
            </w:r>
            <w:r w:rsidR="00B74011">
              <w:rPr>
                <w:rFonts w:cs="Arial"/>
                <w:sz w:val="18"/>
                <w:szCs w:val="18"/>
              </w:rPr>
              <w:t>ettonie</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w:t>
            </w:r>
            <w:r w:rsidR="00B74011">
              <w:rPr>
                <w:rFonts w:cs="Arial"/>
                <w:sz w:val="18"/>
                <w:szCs w:val="18"/>
              </w:rPr>
              <w:t xml:space="preserve"> </w:t>
            </w:r>
            <w:r w:rsidRPr="00E32AFC">
              <w:rPr>
                <w:rFonts w:cs="Arial"/>
                <w:sz w:val="18"/>
                <w:szCs w:val="18"/>
              </w:rPr>
              <w:t>752</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w:t>
            </w:r>
            <w:r w:rsidR="00B74011">
              <w:rPr>
                <w:rFonts w:cs="Arial"/>
                <w:sz w:val="18"/>
                <w:szCs w:val="18"/>
              </w:rPr>
              <w:t xml:space="preserve"> </w:t>
            </w:r>
            <w:r w:rsidRPr="00E32AFC">
              <w:rPr>
                <w:rFonts w:cs="Arial"/>
                <w:sz w:val="18"/>
                <w:szCs w:val="18"/>
              </w:rPr>
              <w:t>752</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68</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proofErr w:type="spellStart"/>
            <w:r w:rsidRPr="00E32AFC">
              <w:rPr>
                <w:rFonts w:cs="Arial"/>
                <w:sz w:val="18"/>
                <w:szCs w:val="18"/>
              </w:rPr>
              <w:t>Lib</w:t>
            </w:r>
            <w:r w:rsidR="00B74011">
              <w:rPr>
                <w:rFonts w:cs="Arial"/>
                <w:sz w:val="18"/>
                <w:szCs w:val="18"/>
              </w:rPr>
              <w:t>é</w:t>
            </w:r>
            <w:r w:rsidRPr="00E32AFC">
              <w:rPr>
                <w:rFonts w:cs="Arial"/>
                <w:sz w:val="18"/>
                <w:szCs w:val="18"/>
              </w:rPr>
              <w:t>ria</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20</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55</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20</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55</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69</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proofErr w:type="spellStart"/>
            <w:r w:rsidRPr="00E32AFC">
              <w:rPr>
                <w:rFonts w:cs="Arial"/>
                <w:sz w:val="18"/>
                <w:szCs w:val="18"/>
              </w:rPr>
              <w:t>Liby</w:t>
            </w:r>
            <w:r w:rsidR="00B74011">
              <w:rPr>
                <w:rFonts w:cs="Arial"/>
                <w:sz w:val="18"/>
                <w:szCs w:val="18"/>
              </w:rPr>
              <w:t>e</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81</w:t>
            </w:r>
            <w:r w:rsidR="00B74011">
              <w:rPr>
                <w:rFonts w:cs="Arial"/>
                <w:sz w:val="18"/>
                <w:szCs w:val="18"/>
              </w:rPr>
              <w:t xml:space="preserve"> </w:t>
            </w:r>
            <w:r w:rsidRPr="00E32AFC">
              <w:rPr>
                <w:rFonts w:cs="Arial"/>
                <w:sz w:val="18"/>
                <w:szCs w:val="18"/>
              </w:rPr>
              <w:t>211</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6</w:t>
            </w:r>
            <w:r w:rsidR="00B74011">
              <w:rPr>
                <w:rFonts w:cs="Arial"/>
                <w:sz w:val="18"/>
                <w:szCs w:val="18"/>
              </w:rPr>
              <w:t xml:space="preserve"> </w:t>
            </w:r>
            <w:r w:rsidRPr="00E32AFC">
              <w:rPr>
                <w:rFonts w:cs="Arial"/>
                <w:sz w:val="18"/>
                <w:szCs w:val="18"/>
              </w:rPr>
              <w:t>880</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81</w:t>
            </w:r>
            <w:r w:rsidR="00B74011">
              <w:rPr>
                <w:rFonts w:cs="Arial"/>
                <w:sz w:val="18"/>
                <w:szCs w:val="18"/>
              </w:rPr>
              <w:t xml:space="preserve"> </w:t>
            </w:r>
            <w:r w:rsidRPr="00E32AFC">
              <w:rPr>
                <w:rFonts w:cs="Arial"/>
                <w:sz w:val="18"/>
                <w:szCs w:val="18"/>
              </w:rPr>
              <w:t>211</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6</w:t>
            </w:r>
            <w:r w:rsidR="00B74011">
              <w:rPr>
                <w:rFonts w:cs="Arial"/>
                <w:sz w:val="18"/>
                <w:szCs w:val="18"/>
              </w:rPr>
              <w:t xml:space="preserve"> </w:t>
            </w:r>
            <w:r w:rsidRPr="00E32AFC">
              <w:rPr>
                <w:rFonts w:cs="Arial"/>
                <w:sz w:val="18"/>
                <w:szCs w:val="18"/>
              </w:rPr>
              <w:t>880</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70</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r w:rsidRPr="00E32AFC">
              <w:rPr>
                <w:rFonts w:cs="Arial"/>
                <w:sz w:val="18"/>
                <w:szCs w:val="18"/>
              </w:rPr>
              <w:t>Liechtenstein</w:t>
            </w:r>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385</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385</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71</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proofErr w:type="spellStart"/>
            <w:r w:rsidRPr="00E32AFC">
              <w:rPr>
                <w:rFonts w:cs="Arial"/>
                <w:sz w:val="18"/>
                <w:szCs w:val="18"/>
              </w:rPr>
              <w:t>Lituani</w:t>
            </w:r>
            <w:r w:rsidR="00B74011">
              <w:rPr>
                <w:rFonts w:cs="Arial"/>
                <w:sz w:val="18"/>
                <w:szCs w:val="18"/>
              </w:rPr>
              <w:t>e</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3</w:t>
            </w:r>
            <w:r w:rsidR="00B74011">
              <w:rPr>
                <w:rFonts w:cs="Arial"/>
                <w:sz w:val="18"/>
                <w:szCs w:val="18"/>
              </w:rPr>
              <w:t xml:space="preserve"> </w:t>
            </w:r>
            <w:r w:rsidRPr="00E32AFC">
              <w:rPr>
                <w:rFonts w:cs="Arial"/>
                <w:sz w:val="18"/>
                <w:szCs w:val="18"/>
              </w:rPr>
              <w:t>963</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3</w:t>
            </w:r>
            <w:r w:rsidR="00B74011">
              <w:rPr>
                <w:rFonts w:cs="Arial"/>
                <w:sz w:val="18"/>
                <w:szCs w:val="18"/>
              </w:rPr>
              <w:t xml:space="preserve"> </w:t>
            </w:r>
            <w:r w:rsidRPr="00E32AFC">
              <w:rPr>
                <w:rFonts w:cs="Arial"/>
                <w:sz w:val="18"/>
                <w:szCs w:val="18"/>
              </w:rPr>
              <w:t>963</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72</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r w:rsidRPr="00E32AFC">
              <w:rPr>
                <w:rFonts w:cs="Arial"/>
                <w:sz w:val="18"/>
                <w:szCs w:val="18"/>
              </w:rPr>
              <w:t>Luxembourg</w:t>
            </w:r>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3</w:t>
            </w:r>
            <w:r w:rsidR="00B74011">
              <w:rPr>
                <w:rFonts w:cs="Arial"/>
                <w:sz w:val="18"/>
                <w:szCs w:val="18"/>
              </w:rPr>
              <w:t xml:space="preserve"> </w:t>
            </w:r>
            <w:r w:rsidRPr="00E32AFC">
              <w:rPr>
                <w:rFonts w:cs="Arial"/>
                <w:sz w:val="18"/>
                <w:szCs w:val="18"/>
              </w:rPr>
              <w:t>522</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3</w:t>
            </w:r>
            <w:r w:rsidR="00B74011">
              <w:rPr>
                <w:rFonts w:cs="Arial"/>
                <w:sz w:val="18"/>
                <w:szCs w:val="18"/>
              </w:rPr>
              <w:t xml:space="preserve"> </w:t>
            </w:r>
            <w:r w:rsidRPr="00E32AFC">
              <w:rPr>
                <w:rFonts w:cs="Arial"/>
                <w:sz w:val="18"/>
                <w:szCs w:val="18"/>
              </w:rPr>
              <w:t>522</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73</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r w:rsidRPr="00E32AFC">
              <w:rPr>
                <w:rFonts w:cs="Arial"/>
                <w:sz w:val="18"/>
                <w:szCs w:val="18"/>
              </w:rPr>
              <w:t>Madagascar</w:t>
            </w:r>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142</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165</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142</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165</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74</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r w:rsidRPr="00E32AFC">
              <w:rPr>
                <w:rFonts w:cs="Arial"/>
                <w:sz w:val="18"/>
                <w:szCs w:val="18"/>
              </w:rPr>
              <w:t>Mali</w:t>
            </w:r>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162</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165</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162</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165</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75</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r w:rsidRPr="00E32AFC">
              <w:rPr>
                <w:rFonts w:cs="Arial"/>
                <w:sz w:val="18"/>
                <w:szCs w:val="18"/>
              </w:rPr>
              <w:t>Malt</w:t>
            </w:r>
            <w:r w:rsidR="00B74011">
              <w:rPr>
                <w:rFonts w:cs="Arial"/>
                <w:sz w:val="18"/>
                <w:szCs w:val="18"/>
              </w:rPr>
              <w:t>e</w:t>
            </w:r>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881</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881</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76</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proofErr w:type="spellStart"/>
            <w:r w:rsidRPr="00E32AFC">
              <w:rPr>
                <w:rFonts w:cs="Arial"/>
                <w:sz w:val="18"/>
                <w:szCs w:val="18"/>
              </w:rPr>
              <w:t>Mauritani</w:t>
            </w:r>
            <w:r w:rsidR="00B74011">
              <w:rPr>
                <w:rFonts w:cs="Arial"/>
                <w:sz w:val="18"/>
                <w:szCs w:val="18"/>
              </w:rPr>
              <w:t>e</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130</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110</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130</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110</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77</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r w:rsidRPr="00E32AFC">
              <w:rPr>
                <w:rFonts w:cs="Arial"/>
                <w:sz w:val="18"/>
                <w:szCs w:val="18"/>
              </w:rPr>
              <w:t>Mauri</w:t>
            </w:r>
            <w:r w:rsidR="00B74011">
              <w:rPr>
                <w:rFonts w:cs="Arial"/>
                <w:sz w:val="18"/>
                <w:szCs w:val="18"/>
              </w:rPr>
              <w:t>ce</w:t>
            </w:r>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661</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661</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78</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r w:rsidRPr="00E32AFC">
              <w:rPr>
                <w:rFonts w:cs="Arial"/>
                <w:sz w:val="18"/>
                <w:szCs w:val="18"/>
              </w:rPr>
              <w:t>Monaco</w:t>
            </w:r>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550</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550</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79</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proofErr w:type="spellStart"/>
            <w:r w:rsidRPr="00E32AFC">
              <w:rPr>
                <w:rFonts w:cs="Arial"/>
                <w:sz w:val="18"/>
                <w:szCs w:val="18"/>
              </w:rPr>
              <w:t>Mongoli</w:t>
            </w:r>
            <w:r w:rsidR="00B74011">
              <w:rPr>
                <w:rFonts w:cs="Arial"/>
                <w:sz w:val="18"/>
                <w:szCs w:val="18"/>
              </w:rPr>
              <w:t>e</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275</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265</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10</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80</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proofErr w:type="spellStart"/>
            <w:r w:rsidRPr="00E32AFC">
              <w:rPr>
                <w:rFonts w:cs="Arial"/>
                <w:sz w:val="18"/>
                <w:szCs w:val="18"/>
              </w:rPr>
              <w:t>Mont</w:t>
            </w:r>
            <w:r w:rsidR="00B74011">
              <w:rPr>
                <w:rFonts w:cs="Arial"/>
                <w:sz w:val="18"/>
                <w:szCs w:val="18"/>
              </w:rPr>
              <w:t>é</w:t>
            </w:r>
            <w:r w:rsidRPr="00E32AFC">
              <w:rPr>
                <w:rFonts w:cs="Arial"/>
                <w:sz w:val="18"/>
                <w:szCs w:val="18"/>
              </w:rPr>
              <w:t>n</w:t>
            </w:r>
            <w:r w:rsidR="00B74011">
              <w:rPr>
                <w:rFonts w:cs="Arial"/>
                <w:sz w:val="18"/>
                <w:szCs w:val="18"/>
              </w:rPr>
              <w:t>é</w:t>
            </w:r>
            <w:r w:rsidRPr="00E32AFC">
              <w:rPr>
                <w:rFonts w:cs="Arial"/>
                <w:sz w:val="18"/>
                <w:szCs w:val="18"/>
              </w:rPr>
              <w:t>gro</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220</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220</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81</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proofErr w:type="spellStart"/>
            <w:r w:rsidRPr="00E32AFC">
              <w:rPr>
                <w:rFonts w:cs="Arial"/>
                <w:sz w:val="18"/>
                <w:szCs w:val="18"/>
              </w:rPr>
              <w:t>M</w:t>
            </w:r>
            <w:r w:rsidR="00B74011">
              <w:rPr>
                <w:rFonts w:cs="Arial"/>
                <w:sz w:val="18"/>
                <w:szCs w:val="18"/>
              </w:rPr>
              <w:t>aroc</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w:t>
            </w:r>
            <w:r w:rsidR="00B74011">
              <w:rPr>
                <w:rFonts w:cs="Arial"/>
                <w:sz w:val="18"/>
                <w:szCs w:val="18"/>
              </w:rPr>
              <w:t xml:space="preserve"> </w:t>
            </w:r>
            <w:r w:rsidRPr="00E32AFC">
              <w:rPr>
                <w:rFonts w:cs="Arial"/>
                <w:sz w:val="18"/>
                <w:szCs w:val="18"/>
              </w:rPr>
              <w:t>972</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w:t>
            </w:r>
            <w:r w:rsidR="00B74011">
              <w:rPr>
                <w:rFonts w:cs="Arial"/>
                <w:sz w:val="18"/>
                <w:szCs w:val="18"/>
              </w:rPr>
              <w:t xml:space="preserve"> </w:t>
            </w:r>
            <w:r w:rsidRPr="00E32AFC">
              <w:rPr>
                <w:rFonts w:cs="Arial"/>
                <w:sz w:val="18"/>
                <w:szCs w:val="18"/>
              </w:rPr>
              <w:t>972</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82</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r w:rsidRPr="00E32AFC">
              <w:rPr>
                <w:rFonts w:cs="Arial"/>
                <w:sz w:val="18"/>
                <w:szCs w:val="18"/>
              </w:rPr>
              <w:t>Mozambique</w:t>
            </w:r>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220</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220</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83</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B74011" w:rsidP="00561DAF">
            <w:pPr>
              <w:tabs>
                <w:tab w:val="left" w:pos="8370"/>
              </w:tabs>
              <w:spacing w:after="0" w:line="240" w:lineRule="auto"/>
              <w:rPr>
                <w:rFonts w:cs="Arial"/>
                <w:sz w:val="18"/>
                <w:szCs w:val="18"/>
              </w:rPr>
            </w:pPr>
            <w:r>
              <w:rPr>
                <w:rFonts w:cs="Arial"/>
                <w:sz w:val="18"/>
                <w:szCs w:val="18"/>
              </w:rPr>
              <w:t>Pays bas</w:t>
            </w:r>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81</w:t>
            </w:r>
            <w:r w:rsidR="00B74011">
              <w:rPr>
                <w:rFonts w:cs="Arial"/>
                <w:sz w:val="18"/>
                <w:szCs w:val="18"/>
              </w:rPr>
              <w:t xml:space="preserve"> </w:t>
            </w:r>
            <w:r w:rsidRPr="00E32AFC">
              <w:rPr>
                <w:rFonts w:cs="Arial"/>
                <w:sz w:val="18"/>
                <w:szCs w:val="18"/>
              </w:rPr>
              <w:t>564</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81</w:t>
            </w:r>
            <w:r w:rsidR="00B74011">
              <w:rPr>
                <w:rFonts w:cs="Arial"/>
                <w:sz w:val="18"/>
                <w:szCs w:val="18"/>
              </w:rPr>
              <w:t xml:space="preserve"> </w:t>
            </w:r>
            <w:r w:rsidRPr="00E32AFC">
              <w:rPr>
                <w:rFonts w:cs="Arial"/>
                <w:sz w:val="18"/>
                <w:szCs w:val="18"/>
              </w:rPr>
              <w:t>564</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84</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r w:rsidRPr="00E32AFC">
              <w:rPr>
                <w:rFonts w:cs="Arial"/>
                <w:sz w:val="18"/>
                <w:szCs w:val="18"/>
              </w:rPr>
              <w:t>N</w:t>
            </w:r>
            <w:r w:rsidR="00B74011">
              <w:rPr>
                <w:rFonts w:cs="Arial"/>
                <w:sz w:val="18"/>
                <w:szCs w:val="18"/>
              </w:rPr>
              <w:t xml:space="preserve">ouvelle </w:t>
            </w:r>
            <w:proofErr w:type="spellStart"/>
            <w:r w:rsidR="00B74011">
              <w:rPr>
                <w:rFonts w:cs="Arial"/>
                <w:sz w:val="18"/>
                <w:szCs w:val="18"/>
              </w:rPr>
              <w:t>Zélande</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14</w:t>
            </w:r>
            <w:r w:rsidR="00B74011">
              <w:rPr>
                <w:rFonts w:cs="Arial"/>
                <w:sz w:val="18"/>
                <w:szCs w:val="18"/>
              </w:rPr>
              <w:t xml:space="preserve"> </w:t>
            </w:r>
            <w:r w:rsidRPr="00E32AFC">
              <w:rPr>
                <w:rFonts w:cs="Arial"/>
                <w:sz w:val="18"/>
                <w:szCs w:val="18"/>
              </w:rPr>
              <w:t>750</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14</w:t>
            </w:r>
            <w:r w:rsidR="00B74011">
              <w:rPr>
                <w:rFonts w:cs="Arial"/>
                <w:sz w:val="18"/>
                <w:szCs w:val="18"/>
              </w:rPr>
              <w:t xml:space="preserve"> </w:t>
            </w:r>
            <w:r w:rsidRPr="00E32AFC">
              <w:rPr>
                <w:rFonts w:cs="Arial"/>
                <w:sz w:val="18"/>
                <w:szCs w:val="18"/>
              </w:rPr>
              <w:t>750</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85</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r w:rsidRPr="00E32AFC">
              <w:rPr>
                <w:rFonts w:cs="Arial"/>
                <w:sz w:val="18"/>
                <w:szCs w:val="18"/>
              </w:rPr>
              <w:t>Niger</w:t>
            </w:r>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w:t>
            </w:r>
            <w:r w:rsidR="00B74011">
              <w:rPr>
                <w:rFonts w:cs="Arial"/>
                <w:sz w:val="18"/>
                <w:szCs w:val="18"/>
              </w:rPr>
              <w:t xml:space="preserve"> </w:t>
            </w:r>
            <w:r w:rsidRPr="00E32AFC">
              <w:rPr>
                <w:rFonts w:cs="Arial"/>
                <w:sz w:val="18"/>
                <w:szCs w:val="18"/>
              </w:rPr>
              <w:t>332</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110</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w:t>
            </w:r>
            <w:r w:rsidR="00B74011">
              <w:rPr>
                <w:rFonts w:cs="Arial"/>
                <w:sz w:val="18"/>
                <w:szCs w:val="18"/>
              </w:rPr>
              <w:t xml:space="preserve"> </w:t>
            </w:r>
            <w:r w:rsidRPr="00E32AFC">
              <w:rPr>
                <w:rFonts w:cs="Arial"/>
                <w:sz w:val="18"/>
                <w:szCs w:val="18"/>
              </w:rPr>
              <w:t>332</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110</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lastRenderedPageBreak/>
              <w:t>86</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proofErr w:type="spellStart"/>
            <w:r w:rsidRPr="00E32AFC">
              <w:rPr>
                <w:rFonts w:cs="Arial"/>
                <w:sz w:val="18"/>
                <w:szCs w:val="18"/>
              </w:rPr>
              <w:t>Nig</w:t>
            </w:r>
            <w:r w:rsidR="00B74011">
              <w:rPr>
                <w:rFonts w:cs="Arial"/>
                <w:sz w:val="18"/>
                <w:szCs w:val="18"/>
              </w:rPr>
              <w:t>é</w:t>
            </w:r>
            <w:r w:rsidRPr="00E32AFC">
              <w:rPr>
                <w:rFonts w:cs="Arial"/>
                <w:sz w:val="18"/>
                <w:szCs w:val="18"/>
              </w:rPr>
              <w:t>ria</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25</w:t>
            </w:r>
            <w:r w:rsidR="00B74011">
              <w:rPr>
                <w:rFonts w:cs="Arial"/>
                <w:sz w:val="18"/>
                <w:szCs w:val="18"/>
              </w:rPr>
              <w:t xml:space="preserve"> </w:t>
            </w:r>
            <w:r w:rsidRPr="00E32AFC">
              <w:rPr>
                <w:rFonts w:cs="Arial"/>
                <w:sz w:val="18"/>
                <w:szCs w:val="18"/>
              </w:rPr>
              <w:t>930</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11</w:t>
            </w:r>
            <w:r w:rsidR="00B74011">
              <w:rPr>
                <w:rFonts w:cs="Arial"/>
                <w:sz w:val="18"/>
                <w:szCs w:val="18"/>
              </w:rPr>
              <w:t xml:space="preserve"> </w:t>
            </w:r>
            <w:r w:rsidRPr="00E32AFC">
              <w:rPr>
                <w:rFonts w:cs="Arial"/>
                <w:sz w:val="18"/>
                <w:szCs w:val="18"/>
              </w:rPr>
              <w:t>503</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25</w:t>
            </w:r>
            <w:r w:rsidR="00B74011">
              <w:rPr>
                <w:rFonts w:cs="Arial"/>
                <w:sz w:val="18"/>
                <w:szCs w:val="18"/>
              </w:rPr>
              <w:t xml:space="preserve"> </w:t>
            </w:r>
            <w:r w:rsidRPr="00E32AFC">
              <w:rPr>
                <w:rFonts w:cs="Arial"/>
                <w:sz w:val="18"/>
                <w:szCs w:val="18"/>
              </w:rPr>
              <w:t>930</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11</w:t>
            </w:r>
            <w:r w:rsidR="00B74011">
              <w:rPr>
                <w:rFonts w:cs="Arial"/>
                <w:sz w:val="18"/>
                <w:szCs w:val="18"/>
              </w:rPr>
              <w:t xml:space="preserve"> </w:t>
            </w:r>
            <w:r w:rsidRPr="00E32AFC">
              <w:rPr>
                <w:rFonts w:cs="Arial"/>
                <w:sz w:val="18"/>
                <w:szCs w:val="18"/>
              </w:rPr>
              <w:t>503</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87</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proofErr w:type="spellStart"/>
            <w:r w:rsidRPr="00E32AFC">
              <w:rPr>
                <w:rFonts w:cs="Arial"/>
                <w:sz w:val="18"/>
                <w:szCs w:val="18"/>
              </w:rPr>
              <w:t>Mac</w:t>
            </w:r>
            <w:r w:rsidR="00B74011">
              <w:rPr>
                <w:rFonts w:cs="Arial"/>
                <w:sz w:val="18"/>
                <w:szCs w:val="18"/>
              </w:rPr>
              <w:t>é</w:t>
            </w:r>
            <w:r w:rsidRPr="00E32AFC">
              <w:rPr>
                <w:rFonts w:cs="Arial"/>
                <w:sz w:val="18"/>
                <w:szCs w:val="18"/>
              </w:rPr>
              <w:t>do</w:t>
            </w:r>
            <w:r w:rsidR="00B74011">
              <w:rPr>
                <w:rFonts w:cs="Arial"/>
                <w:sz w:val="18"/>
                <w:szCs w:val="18"/>
              </w:rPr>
              <w:t>ine</w:t>
            </w:r>
            <w:proofErr w:type="spellEnd"/>
            <w:r w:rsidR="00B74011">
              <w:rPr>
                <w:rFonts w:cs="Arial"/>
                <w:sz w:val="18"/>
                <w:szCs w:val="18"/>
              </w:rPr>
              <w:t xml:space="preserve"> du Nord</w:t>
            </w:r>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378</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385</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378</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385</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88</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proofErr w:type="spellStart"/>
            <w:r w:rsidRPr="00E32AFC">
              <w:rPr>
                <w:rFonts w:cs="Arial"/>
                <w:sz w:val="18"/>
                <w:szCs w:val="18"/>
              </w:rPr>
              <w:t>Nor</w:t>
            </w:r>
            <w:r w:rsidR="00B74011">
              <w:rPr>
                <w:rFonts w:cs="Arial"/>
                <w:sz w:val="18"/>
                <w:szCs w:val="18"/>
              </w:rPr>
              <w:t>vège</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46</w:t>
            </w:r>
            <w:r w:rsidR="00B74011">
              <w:rPr>
                <w:rFonts w:cs="Arial"/>
                <w:sz w:val="18"/>
                <w:szCs w:val="18"/>
              </w:rPr>
              <w:t xml:space="preserve"> </w:t>
            </w:r>
            <w:r w:rsidRPr="00E32AFC">
              <w:rPr>
                <w:rFonts w:cs="Arial"/>
                <w:sz w:val="18"/>
                <w:szCs w:val="18"/>
              </w:rPr>
              <w:t>726</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46</w:t>
            </w:r>
            <w:r w:rsidR="00B74011">
              <w:rPr>
                <w:rFonts w:cs="Arial"/>
                <w:sz w:val="18"/>
                <w:szCs w:val="18"/>
              </w:rPr>
              <w:t xml:space="preserve"> </w:t>
            </w:r>
            <w:r w:rsidRPr="00E32AFC">
              <w:rPr>
                <w:rFonts w:cs="Arial"/>
                <w:sz w:val="18"/>
                <w:szCs w:val="18"/>
              </w:rPr>
              <w:t>726</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89</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r w:rsidRPr="00E32AFC">
              <w:rPr>
                <w:rFonts w:cs="Arial"/>
                <w:sz w:val="18"/>
                <w:szCs w:val="18"/>
              </w:rPr>
              <w:t>Pakistan</w:t>
            </w:r>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w:t>
            </w:r>
            <w:r w:rsidR="00B74011">
              <w:rPr>
                <w:rFonts w:cs="Arial"/>
                <w:sz w:val="18"/>
                <w:szCs w:val="18"/>
              </w:rPr>
              <w:t xml:space="preserve"> </w:t>
            </w:r>
            <w:r w:rsidRPr="00E32AFC">
              <w:rPr>
                <w:rFonts w:cs="Arial"/>
                <w:sz w:val="18"/>
                <w:szCs w:val="18"/>
              </w:rPr>
              <w:t>018</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w:t>
            </w:r>
            <w:r w:rsidR="00B74011">
              <w:rPr>
                <w:rFonts w:cs="Arial"/>
                <w:sz w:val="18"/>
                <w:szCs w:val="18"/>
              </w:rPr>
              <w:t xml:space="preserve"> </w:t>
            </w:r>
            <w:r w:rsidRPr="00E32AFC">
              <w:rPr>
                <w:rFonts w:cs="Arial"/>
                <w:sz w:val="18"/>
                <w:szCs w:val="18"/>
              </w:rPr>
              <w:t>118</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3</w:t>
            </w:r>
            <w:r w:rsidR="00B74011">
              <w:rPr>
                <w:rFonts w:cs="Arial"/>
                <w:sz w:val="18"/>
                <w:szCs w:val="18"/>
              </w:rPr>
              <w:t xml:space="preserve"> </w:t>
            </w:r>
            <w:r w:rsidRPr="00E32AFC">
              <w:rPr>
                <w:rFonts w:cs="Arial"/>
                <w:sz w:val="18"/>
                <w:szCs w:val="18"/>
              </w:rPr>
              <w:t>091</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w:t>
            </w:r>
            <w:r w:rsidR="00B74011">
              <w:rPr>
                <w:rFonts w:cs="Arial"/>
                <w:sz w:val="18"/>
                <w:szCs w:val="18"/>
              </w:rPr>
              <w:t xml:space="preserve"> </w:t>
            </w:r>
            <w:r w:rsidRPr="00E32AFC">
              <w:rPr>
                <w:rFonts w:cs="Arial"/>
                <w:sz w:val="18"/>
                <w:szCs w:val="18"/>
              </w:rPr>
              <w:t>927</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w:t>
            </w:r>
            <w:r w:rsidR="00B74011">
              <w:rPr>
                <w:rFonts w:cs="Arial"/>
                <w:sz w:val="18"/>
                <w:szCs w:val="18"/>
              </w:rPr>
              <w:t xml:space="preserve"> </w:t>
            </w:r>
            <w:r w:rsidRPr="00E32AFC">
              <w:rPr>
                <w:rFonts w:cs="Arial"/>
                <w:sz w:val="18"/>
                <w:szCs w:val="18"/>
              </w:rPr>
              <w:t>118</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90</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proofErr w:type="spellStart"/>
            <w:r w:rsidRPr="00E32AFC">
              <w:rPr>
                <w:rFonts w:cs="Arial"/>
                <w:sz w:val="18"/>
                <w:szCs w:val="18"/>
              </w:rPr>
              <w:t>Pala</w:t>
            </w:r>
            <w:r w:rsidR="00B74011">
              <w:rPr>
                <w:rFonts w:cs="Arial"/>
                <w:sz w:val="18"/>
                <w:szCs w:val="18"/>
              </w:rPr>
              <w:t>os</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4</w:t>
            </w:r>
            <w:r w:rsidR="00B74011">
              <w:rPr>
                <w:rFonts w:cs="Arial"/>
                <w:sz w:val="18"/>
                <w:szCs w:val="18"/>
              </w:rPr>
              <w:t xml:space="preserve"> </w:t>
            </w:r>
            <w:r w:rsidRPr="00E32AFC">
              <w:rPr>
                <w:rFonts w:cs="Arial"/>
                <w:sz w:val="18"/>
                <w:szCs w:val="18"/>
              </w:rPr>
              <w:t>266</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55</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4</w:t>
            </w:r>
            <w:r w:rsidR="00B74011">
              <w:rPr>
                <w:rFonts w:cs="Arial"/>
                <w:sz w:val="18"/>
                <w:szCs w:val="18"/>
              </w:rPr>
              <w:t xml:space="preserve"> </w:t>
            </w:r>
            <w:r w:rsidRPr="00E32AFC">
              <w:rPr>
                <w:rFonts w:cs="Arial"/>
                <w:sz w:val="18"/>
                <w:szCs w:val="18"/>
              </w:rPr>
              <w:t>211</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91</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r w:rsidRPr="00E32AFC">
              <w:rPr>
                <w:rFonts w:cs="Arial"/>
                <w:sz w:val="18"/>
                <w:szCs w:val="18"/>
              </w:rPr>
              <w:t>Panama</w:t>
            </w:r>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w:t>
            </w:r>
            <w:r w:rsidR="00B74011">
              <w:rPr>
                <w:rFonts w:cs="Arial"/>
                <w:sz w:val="18"/>
                <w:szCs w:val="18"/>
              </w:rPr>
              <w:t xml:space="preserve"> </w:t>
            </w:r>
            <w:r w:rsidRPr="00E32AFC">
              <w:rPr>
                <w:rFonts w:cs="Arial"/>
                <w:sz w:val="18"/>
                <w:szCs w:val="18"/>
              </w:rPr>
              <w:t>871</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w:t>
            </w:r>
            <w:r w:rsidR="00B74011">
              <w:rPr>
                <w:rFonts w:cs="Arial"/>
                <w:sz w:val="18"/>
                <w:szCs w:val="18"/>
              </w:rPr>
              <w:t xml:space="preserve"> </w:t>
            </w:r>
            <w:r w:rsidRPr="00E32AFC">
              <w:rPr>
                <w:rFonts w:cs="Arial"/>
                <w:sz w:val="18"/>
                <w:szCs w:val="18"/>
              </w:rPr>
              <w:t>871</w:t>
            </w:r>
          </w:p>
        </w:tc>
        <w:tc>
          <w:tcPr>
            <w:tcW w:w="425"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92</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r w:rsidRPr="00E32AFC">
              <w:rPr>
                <w:rFonts w:cs="Arial"/>
                <w:sz w:val="18"/>
                <w:szCs w:val="18"/>
              </w:rPr>
              <w:t>Paraguay</w:t>
            </w:r>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771</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771</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93</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proofErr w:type="spellStart"/>
            <w:r w:rsidRPr="00E32AFC">
              <w:rPr>
                <w:rFonts w:cs="Arial"/>
                <w:sz w:val="18"/>
                <w:szCs w:val="18"/>
              </w:rPr>
              <w:t>P</w:t>
            </w:r>
            <w:r w:rsidR="00B74011">
              <w:rPr>
                <w:rFonts w:cs="Arial"/>
                <w:sz w:val="18"/>
                <w:szCs w:val="18"/>
              </w:rPr>
              <w:t>é</w:t>
            </w:r>
            <w:r w:rsidRPr="00E32AFC">
              <w:rPr>
                <w:rFonts w:cs="Arial"/>
                <w:sz w:val="18"/>
                <w:szCs w:val="18"/>
              </w:rPr>
              <w:t>r</w:t>
            </w:r>
            <w:r w:rsidR="00B74011">
              <w:rPr>
                <w:rFonts w:cs="Arial"/>
                <w:sz w:val="18"/>
                <w:szCs w:val="18"/>
              </w:rPr>
              <w:t>o</w:t>
            </w:r>
            <w:r w:rsidRPr="00E32AFC">
              <w:rPr>
                <w:rFonts w:cs="Arial"/>
                <w:sz w:val="18"/>
                <w:szCs w:val="18"/>
              </w:rPr>
              <w:t>u</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7</w:t>
            </w:r>
            <w:r w:rsidR="00B74011">
              <w:rPr>
                <w:rFonts w:cs="Arial"/>
                <w:sz w:val="18"/>
                <w:szCs w:val="18"/>
              </w:rPr>
              <w:t xml:space="preserve"> </w:t>
            </w:r>
            <w:r w:rsidRPr="00E32AFC">
              <w:rPr>
                <w:rFonts w:cs="Arial"/>
                <w:sz w:val="18"/>
                <w:szCs w:val="18"/>
              </w:rPr>
              <w:t>485</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4</w:t>
            </w:r>
            <w:r w:rsidR="00B74011">
              <w:rPr>
                <w:rFonts w:cs="Arial"/>
                <w:sz w:val="18"/>
                <w:szCs w:val="18"/>
              </w:rPr>
              <w:t xml:space="preserve"> </w:t>
            </w:r>
            <w:r w:rsidRPr="00E32AFC">
              <w:rPr>
                <w:rFonts w:cs="Arial"/>
                <w:sz w:val="18"/>
                <w:szCs w:val="18"/>
              </w:rPr>
              <w:t>242</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3</w:t>
            </w:r>
            <w:r w:rsidR="00B74011">
              <w:rPr>
                <w:rFonts w:cs="Arial"/>
                <w:sz w:val="18"/>
                <w:szCs w:val="18"/>
              </w:rPr>
              <w:t xml:space="preserve"> </w:t>
            </w:r>
            <w:r w:rsidRPr="00E32AFC">
              <w:rPr>
                <w:rFonts w:cs="Arial"/>
                <w:sz w:val="18"/>
                <w:szCs w:val="18"/>
              </w:rPr>
              <w:t>243</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94</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r w:rsidRPr="00E32AFC">
              <w:rPr>
                <w:rFonts w:cs="Arial"/>
                <w:sz w:val="18"/>
                <w:szCs w:val="18"/>
              </w:rPr>
              <w:t>Philippines</w:t>
            </w:r>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6</w:t>
            </w:r>
            <w:r w:rsidR="00B74011">
              <w:rPr>
                <w:rFonts w:cs="Arial"/>
                <w:sz w:val="18"/>
                <w:szCs w:val="18"/>
              </w:rPr>
              <w:t xml:space="preserve"> </w:t>
            </w:r>
            <w:r w:rsidRPr="00E32AFC">
              <w:rPr>
                <w:rFonts w:cs="Arial"/>
                <w:sz w:val="18"/>
                <w:szCs w:val="18"/>
              </w:rPr>
              <w:t>182</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9</w:t>
            </w:r>
            <w:r w:rsidR="00B74011">
              <w:rPr>
                <w:rFonts w:cs="Arial"/>
                <w:sz w:val="18"/>
                <w:szCs w:val="18"/>
              </w:rPr>
              <w:t xml:space="preserve"> </w:t>
            </w:r>
            <w:r w:rsidRPr="00E32AFC">
              <w:rPr>
                <w:rFonts w:cs="Arial"/>
                <w:sz w:val="18"/>
                <w:szCs w:val="18"/>
              </w:rPr>
              <w:t>081</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9</w:t>
            </w:r>
            <w:r w:rsidR="00B74011">
              <w:rPr>
                <w:rFonts w:cs="Arial"/>
                <w:sz w:val="18"/>
                <w:szCs w:val="18"/>
              </w:rPr>
              <w:t xml:space="preserve"> </w:t>
            </w:r>
            <w:r w:rsidRPr="00E32AFC">
              <w:rPr>
                <w:rFonts w:cs="Arial"/>
                <w:sz w:val="18"/>
                <w:szCs w:val="18"/>
              </w:rPr>
              <w:t>081</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6</w:t>
            </w:r>
            <w:r w:rsidR="00B74011">
              <w:rPr>
                <w:rFonts w:cs="Arial"/>
                <w:sz w:val="18"/>
                <w:szCs w:val="18"/>
              </w:rPr>
              <w:t xml:space="preserve"> </w:t>
            </w:r>
            <w:r w:rsidRPr="00E32AFC">
              <w:rPr>
                <w:rFonts w:cs="Arial"/>
                <w:sz w:val="18"/>
                <w:szCs w:val="18"/>
              </w:rPr>
              <w:t>182</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95</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proofErr w:type="spellStart"/>
            <w:r w:rsidRPr="00E32AFC">
              <w:rPr>
                <w:rFonts w:cs="Arial"/>
                <w:sz w:val="18"/>
                <w:szCs w:val="18"/>
              </w:rPr>
              <w:t>Pol</w:t>
            </w:r>
            <w:r w:rsidR="00B74011">
              <w:rPr>
                <w:rFonts w:cs="Arial"/>
                <w:sz w:val="18"/>
                <w:szCs w:val="18"/>
              </w:rPr>
              <w:t>ogne</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46</w:t>
            </w:r>
            <w:r w:rsidR="00B74011">
              <w:rPr>
                <w:rFonts w:cs="Arial"/>
                <w:sz w:val="18"/>
                <w:szCs w:val="18"/>
              </w:rPr>
              <w:t xml:space="preserve"> </w:t>
            </w:r>
            <w:r w:rsidRPr="00E32AFC">
              <w:rPr>
                <w:rFonts w:cs="Arial"/>
                <w:sz w:val="18"/>
                <w:szCs w:val="18"/>
              </w:rPr>
              <w:t>285</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46</w:t>
            </w:r>
            <w:r w:rsidR="00B74011">
              <w:rPr>
                <w:rFonts w:cs="Arial"/>
                <w:sz w:val="18"/>
                <w:szCs w:val="18"/>
              </w:rPr>
              <w:t xml:space="preserve"> </w:t>
            </w:r>
            <w:r w:rsidRPr="00E32AFC">
              <w:rPr>
                <w:rFonts w:cs="Arial"/>
                <w:sz w:val="18"/>
                <w:szCs w:val="18"/>
              </w:rPr>
              <w:t>285</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96</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r w:rsidRPr="00E32AFC">
              <w:rPr>
                <w:rFonts w:cs="Arial"/>
                <w:sz w:val="18"/>
                <w:szCs w:val="18"/>
              </w:rPr>
              <w:t>Portugal</w:t>
            </w:r>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47</w:t>
            </w:r>
            <w:r w:rsidR="00B74011">
              <w:rPr>
                <w:rFonts w:cs="Arial"/>
                <w:sz w:val="18"/>
                <w:szCs w:val="18"/>
              </w:rPr>
              <w:t xml:space="preserve"> </w:t>
            </w:r>
            <w:r w:rsidRPr="00E32AFC">
              <w:rPr>
                <w:rFonts w:cs="Arial"/>
                <w:sz w:val="18"/>
                <w:szCs w:val="18"/>
              </w:rPr>
              <w:t>714</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21</w:t>
            </w:r>
            <w:r w:rsidR="00B74011">
              <w:rPr>
                <w:rFonts w:cs="Arial"/>
                <w:sz w:val="18"/>
                <w:szCs w:val="18"/>
              </w:rPr>
              <w:t xml:space="preserve"> </w:t>
            </w:r>
            <w:r w:rsidRPr="00E32AFC">
              <w:rPr>
                <w:rFonts w:cs="Arial"/>
                <w:sz w:val="18"/>
                <w:szCs w:val="18"/>
              </w:rPr>
              <w:t>574</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26</w:t>
            </w:r>
            <w:r w:rsidR="00B74011">
              <w:rPr>
                <w:rFonts w:cs="Arial"/>
                <w:sz w:val="18"/>
                <w:szCs w:val="18"/>
              </w:rPr>
              <w:t xml:space="preserve"> </w:t>
            </w:r>
            <w:r w:rsidRPr="00E32AFC">
              <w:rPr>
                <w:rFonts w:cs="Arial"/>
                <w:sz w:val="18"/>
                <w:szCs w:val="18"/>
              </w:rPr>
              <w:t>563</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21</w:t>
            </w:r>
            <w:r w:rsidR="00B74011">
              <w:rPr>
                <w:rFonts w:cs="Arial"/>
                <w:sz w:val="18"/>
                <w:szCs w:val="18"/>
              </w:rPr>
              <w:t xml:space="preserve"> </w:t>
            </w:r>
            <w:r w:rsidRPr="00E32AFC">
              <w:rPr>
                <w:rFonts w:cs="Arial"/>
                <w:sz w:val="18"/>
                <w:szCs w:val="18"/>
              </w:rPr>
              <w:t>151</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21</w:t>
            </w:r>
            <w:r w:rsidR="00B74011">
              <w:rPr>
                <w:rFonts w:cs="Arial"/>
                <w:sz w:val="18"/>
                <w:szCs w:val="18"/>
              </w:rPr>
              <w:t xml:space="preserve"> </w:t>
            </w:r>
            <w:r w:rsidRPr="00E32AFC">
              <w:rPr>
                <w:rFonts w:cs="Arial"/>
                <w:sz w:val="18"/>
                <w:szCs w:val="18"/>
              </w:rPr>
              <w:t>574</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97</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proofErr w:type="spellStart"/>
            <w:r w:rsidRPr="00E32AFC">
              <w:rPr>
                <w:rFonts w:cs="Arial"/>
                <w:sz w:val="18"/>
                <w:szCs w:val="18"/>
              </w:rPr>
              <w:t>R</w:t>
            </w:r>
            <w:r w:rsidR="00E62ABB">
              <w:rPr>
                <w:rFonts w:cs="Arial"/>
                <w:sz w:val="18"/>
                <w:szCs w:val="18"/>
              </w:rPr>
              <w:t>é</w:t>
            </w:r>
            <w:r w:rsidRPr="00E32AFC">
              <w:rPr>
                <w:rFonts w:cs="Arial"/>
                <w:sz w:val="18"/>
                <w:szCs w:val="18"/>
              </w:rPr>
              <w:t>publi</w:t>
            </w:r>
            <w:r w:rsidR="00E62ABB">
              <w:rPr>
                <w:rFonts w:cs="Arial"/>
                <w:sz w:val="18"/>
                <w:szCs w:val="18"/>
              </w:rPr>
              <w:t>que</w:t>
            </w:r>
            <w:proofErr w:type="spellEnd"/>
            <w:r w:rsidR="00E62ABB">
              <w:rPr>
                <w:rFonts w:cs="Arial"/>
                <w:sz w:val="18"/>
                <w:szCs w:val="18"/>
              </w:rPr>
              <w:t xml:space="preserve"> de</w:t>
            </w:r>
            <w:r w:rsidRPr="00E32AFC">
              <w:rPr>
                <w:rFonts w:cs="Arial"/>
                <w:sz w:val="18"/>
                <w:szCs w:val="18"/>
              </w:rPr>
              <w:t xml:space="preserve"> Moldova</w:t>
            </w:r>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220</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220</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98</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proofErr w:type="spellStart"/>
            <w:r w:rsidRPr="00E32AFC">
              <w:rPr>
                <w:rFonts w:cs="Arial"/>
                <w:sz w:val="18"/>
                <w:szCs w:val="18"/>
              </w:rPr>
              <w:t>Ro</w:t>
            </w:r>
            <w:r w:rsidR="00E62ABB">
              <w:rPr>
                <w:rFonts w:cs="Arial"/>
                <w:sz w:val="18"/>
                <w:szCs w:val="18"/>
              </w:rPr>
              <w:t>u</w:t>
            </w:r>
            <w:r w:rsidRPr="00E32AFC">
              <w:rPr>
                <w:rFonts w:cs="Arial"/>
                <w:sz w:val="18"/>
                <w:szCs w:val="18"/>
              </w:rPr>
              <w:t>mani</w:t>
            </w:r>
            <w:r w:rsidR="00E62ABB">
              <w:rPr>
                <w:rFonts w:cs="Arial"/>
                <w:sz w:val="18"/>
                <w:szCs w:val="18"/>
              </w:rPr>
              <w:t>e</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10</w:t>
            </w:r>
            <w:r w:rsidR="00B74011">
              <w:rPr>
                <w:rFonts w:cs="Arial"/>
                <w:sz w:val="18"/>
                <w:szCs w:val="18"/>
              </w:rPr>
              <w:t xml:space="preserve"> </w:t>
            </w:r>
            <w:r w:rsidRPr="00E32AFC">
              <w:rPr>
                <w:rFonts w:cs="Arial"/>
                <w:sz w:val="18"/>
                <w:szCs w:val="18"/>
              </w:rPr>
              <w:t>127</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10</w:t>
            </w:r>
            <w:r w:rsidR="00B74011">
              <w:rPr>
                <w:rFonts w:cs="Arial"/>
                <w:sz w:val="18"/>
                <w:szCs w:val="18"/>
              </w:rPr>
              <w:t xml:space="preserve"> </w:t>
            </w:r>
            <w:r w:rsidRPr="00E32AFC">
              <w:rPr>
                <w:rFonts w:cs="Arial"/>
                <w:sz w:val="18"/>
                <w:szCs w:val="18"/>
              </w:rPr>
              <w:t>127</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99</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r w:rsidRPr="00E32AFC">
              <w:rPr>
                <w:rFonts w:cs="Arial"/>
                <w:sz w:val="18"/>
                <w:szCs w:val="18"/>
              </w:rPr>
              <w:t>Rwanda</w:t>
            </w:r>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108</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110</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108</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110</w:t>
            </w:r>
          </w:p>
        </w:tc>
        <w:tc>
          <w:tcPr>
            <w:tcW w:w="425"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100</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r w:rsidRPr="00E32AFC">
              <w:rPr>
                <w:rFonts w:cs="Arial"/>
                <w:sz w:val="18"/>
                <w:szCs w:val="18"/>
              </w:rPr>
              <w:t>Samoa</w:t>
            </w:r>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70</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55</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72</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30</w:t>
            </w:r>
          </w:p>
        </w:tc>
        <w:tc>
          <w:tcPr>
            <w:tcW w:w="425"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25</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101</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r w:rsidRPr="00E32AFC">
              <w:rPr>
                <w:rFonts w:cs="Arial"/>
                <w:sz w:val="18"/>
                <w:szCs w:val="18"/>
              </w:rPr>
              <w:t>Sao Tome</w:t>
            </w:r>
            <w:r w:rsidR="00E62ABB">
              <w:rPr>
                <w:rFonts w:cs="Arial"/>
                <w:sz w:val="18"/>
                <w:szCs w:val="18"/>
              </w:rPr>
              <w:t xml:space="preserve"> -et-</w:t>
            </w:r>
            <w:r w:rsidRPr="00E32AFC">
              <w:rPr>
                <w:rFonts w:cs="Arial"/>
                <w:sz w:val="18"/>
                <w:szCs w:val="18"/>
              </w:rPr>
              <w:t>Principe</w:t>
            </w:r>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764</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55</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764</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55</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102</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E62ABB" w:rsidP="00561DAF">
            <w:pPr>
              <w:tabs>
                <w:tab w:val="left" w:pos="8370"/>
              </w:tabs>
              <w:spacing w:after="0" w:line="240" w:lineRule="auto"/>
              <w:rPr>
                <w:rFonts w:cs="Arial"/>
                <w:sz w:val="18"/>
                <w:szCs w:val="18"/>
              </w:rPr>
            </w:pPr>
            <w:proofErr w:type="spellStart"/>
            <w:r>
              <w:rPr>
                <w:rFonts w:cs="Arial"/>
                <w:sz w:val="18"/>
                <w:szCs w:val="18"/>
              </w:rPr>
              <w:t>Arabie</w:t>
            </w:r>
            <w:proofErr w:type="spellEnd"/>
            <w:r>
              <w:rPr>
                <w:rFonts w:cs="Arial"/>
                <w:sz w:val="18"/>
                <w:szCs w:val="18"/>
              </w:rPr>
              <w:t xml:space="preserve"> </w:t>
            </w:r>
            <w:proofErr w:type="spellStart"/>
            <w:r>
              <w:rPr>
                <w:rFonts w:cs="Arial"/>
                <w:sz w:val="18"/>
                <w:szCs w:val="18"/>
              </w:rPr>
              <w:t>saoudite</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63</w:t>
            </w:r>
            <w:r w:rsidR="00B74011">
              <w:rPr>
                <w:rFonts w:cs="Arial"/>
                <w:sz w:val="18"/>
                <w:szCs w:val="18"/>
              </w:rPr>
              <w:t xml:space="preserve"> </w:t>
            </w:r>
            <w:r w:rsidRPr="00E32AFC">
              <w:rPr>
                <w:rFonts w:cs="Arial"/>
                <w:sz w:val="18"/>
                <w:szCs w:val="18"/>
              </w:rPr>
              <w:t>072</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63</w:t>
            </w:r>
            <w:r w:rsidR="00B74011">
              <w:rPr>
                <w:rFonts w:cs="Arial"/>
                <w:sz w:val="18"/>
                <w:szCs w:val="18"/>
              </w:rPr>
              <w:t xml:space="preserve"> </w:t>
            </w:r>
            <w:r w:rsidRPr="00E32AFC">
              <w:rPr>
                <w:rFonts w:cs="Arial"/>
                <w:sz w:val="18"/>
                <w:szCs w:val="18"/>
              </w:rPr>
              <w:t>072</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103</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proofErr w:type="spellStart"/>
            <w:r w:rsidRPr="00E32AFC">
              <w:rPr>
                <w:rFonts w:cs="Arial"/>
                <w:sz w:val="18"/>
                <w:szCs w:val="18"/>
              </w:rPr>
              <w:t>S</w:t>
            </w:r>
            <w:r w:rsidR="00E62ABB">
              <w:rPr>
                <w:rFonts w:cs="Arial"/>
                <w:sz w:val="18"/>
                <w:szCs w:val="18"/>
              </w:rPr>
              <w:t>é</w:t>
            </w:r>
            <w:r w:rsidRPr="00E32AFC">
              <w:rPr>
                <w:rFonts w:cs="Arial"/>
                <w:sz w:val="18"/>
                <w:szCs w:val="18"/>
              </w:rPr>
              <w:t>n</w:t>
            </w:r>
            <w:r w:rsidR="00E62ABB">
              <w:rPr>
                <w:rFonts w:cs="Arial"/>
                <w:sz w:val="18"/>
                <w:szCs w:val="18"/>
              </w:rPr>
              <w:t>é</w:t>
            </w:r>
            <w:r w:rsidRPr="00E32AFC">
              <w:rPr>
                <w:rFonts w:cs="Arial"/>
                <w:sz w:val="18"/>
                <w:szCs w:val="18"/>
              </w:rPr>
              <w:t>gal</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537</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275</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537</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275</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104</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proofErr w:type="spellStart"/>
            <w:r w:rsidRPr="00E32AFC">
              <w:rPr>
                <w:rFonts w:cs="Arial"/>
                <w:sz w:val="18"/>
                <w:szCs w:val="18"/>
              </w:rPr>
              <w:t>Serbi</w:t>
            </w:r>
            <w:r w:rsidR="00E62ABB">
              <w:rPr>
                <w:rFonts w:cs="Arial"/>
                <w:sz w:val="18"/>
                <w:szCs w:val="18"/>
              </w:rPr>
              <w:t>e</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w:t>
            </w:r>
            <w:r w:rsidR="00B74011">
              <w:rPr>
                <w:rFonts w:cs="Arial"/>
                <w:sz w:val="18"/>
                <w:szCs w:val="18"/>
              </w:rPr>
              <w:t xml:space="preserve"> </w:t>
            </w:r>
            <w:r w:rsidRPr="00E32AFC">
              <w:rPr>
                <w:rFonts w:cs="Arial"/>
                <w:sz w:val="18"/>
                <w:szCs w:val="18"/>
              </w:rPr>
              <w:t>727</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w:t>
            </w:r>
            <w:r w:rsidR="00B74011">
              <w:rPr>
                <w:rFonts w:cs="Arial"/>
                <w:sz w:val="18"/>
                <w:szCs w:val="18"/>
              </w:rPr>
              <w:t xml:space="preserve"> </w:t>
            </w:r>
            <w:r w:rsidRPr="00E32AFC">
              <w:rPr>
                <w:rFonts w:cs="Arial"/>
                <w:sz w:val="18"/>
                <w:szCs w:val="18"/>
              </w:rPr>
              <w:t>761</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w:t>
            </w:r>
            <w:r w:rsidR="00B74011">
              <w:rPr>
                <w:rFonts w:cs="Arial"/>
                <w:sz w:val="18"/>
                <w:szCs w:val="18"/>
              </w:rPr>
              <w:t xml:space="preserve"> </w:t>
            </w:r>
            <w:r w:rsidRPr="00E32AFC">
              <w:rPr>
                <w:rFonts w:cs="Arial"/>
                <w:sz w:val="18"/>
                <w:szCs w:val="18"/>
              </w:rPr>
              <w:t>727</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w:t>
            </w:r>
            <w:r w:rsidR="00B74011">
              <w:rPr>
                <w:rFonts w:cs="Arial"/>
                <w:sz w:val="18"/>
                <w:szCs w:val="18"/>
              </w:rPr>
              <w:t xml:space="preserve"> </w:t>
            </w:r>
            <w:r w:rsidRPr="00E32AFC">
              <w:rPr>
                <w:rFonts w:cs="Arial"/>
                <w:sz w:val="18"/>
                <w:szCs w:val="18"/>
              </w:rPr>
              <w:t>761</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105</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r w:rsidRPr="00E32AFC">
              <w:rPr>
                <w:rFonts w:cs="Arial"/>
                <w:sz w:val="18"/>
                <w:szCs w:val="18"/>
              </w:rPr>
              <w:t>Seychelles</w:t>
            </w:r>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55</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55</w:t>
            </w:r>
          </w:p>
        </w:tc>
        <w:tc>
          <w:tcPr>
            <w:tcW w:w="425"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106</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proofErr w:type="spellStart"/>
            <w:r w:rsidRPr="00E32AFC">
              <w:rPr>
                <w:rFonts w:cs="Arial"/>
                <w:sz w:val="18"/>
                <w:szCs w:val="18"/>
              </w:rPr>
              <w:t>Slova</w:t>
            </w:r>
            <w:r w:rsidR="00E62ABB">
              <w:rPr>
                <w:rFonts w:cs="Arial"/>
                <w:sz w:val="18"/>
                <w:szCs w:val="18"/>
              </w:rPr>
              <w:t>quie</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8</w:t>
            </w:r>
            <w:r w:rsidR="00B74011">
              <w:rPr>
                <w:rFonts w:cs="Arial"/>
                <w:sz w:val="18"/>
                <w:szCs w:val="18"/>
              </w:rPr>
              <w:t xml:space="preserve"> </w:t>
            </w:r>
            <w:r w:rsidRPr="00E32AFC">
              <w:rPr>
                <w:rFonts w:cs="Arial"/>
                <w:sz w:val="18"/>
                <w:szCs w:val="18"/>
              </w:rPr>
              <w:t>806</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8</w:t>
            </w:r>
            <w:r w:rsidR="00B74011">
              <w:rPr>
                <w:rFonts w:cs="Arial"/>
                <w:sz w:val="18"/>
                <w:szCs w:val="18"/>
              </w:rPr>
              <w:t xml:space="preserve"> </w:t>
            </w:r>
            <w:r w:rsidRPr="00E32AFC">
              <w:rPr>
                <w:rFonts w:cs="Arial"/>
                <w:sz w:val="18"/>
                <w:szCs w:val="18"/>
              </w:rPr>
              <w:t>806</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107</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proofErr w:type="spellStart"/>
            <w:r w:rsidRPr="00E32AFC">
              <w:rPr>
                <w:rFonts w:cs="Arial"/>
                <w:sz w:val="18"/>
                <w:szCs w:val="18"/>
              </w:rPr>
              <w:t>Slov</w:t>
            </w:r>
            <w:r w:rsidR="00E62ABB">
              <w:rPr>
                <w:rFonts w:cs="Arial"/>
                <w:sz w:val="18"/>
                <w:szCs w:val="18"/>
              </w:rPr>
              <w:t>é</w:t>
            </w:r>
            <w:r w:rsidRPr="00E32AFC">
              <w:rPr>
                <w:rFonts w:cs="Arial"/>
                <w:sz w:val="18"/>
                <w:szCs w:val="18"/>
              </w:rPr>
              <w:t>ni</w:t>
            </w:r>
            <w:r w:rsidR="00E62ABB">
              <w:rPr>
                <w:rFonts w:cs="Arial"/>
                <w:sz w:val="18"/>
                <w:szCs w:val="18"/>
              </w:rPr>
              <w:t>e</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4</w:t>
            </w:r>
            <w:r w:rsidR="00B74011">
              <w:rPr>
                <w:rFonts w:cs="Arial"/>
                <w:sz w:val="18"/>
                <w:szCs w:val="18"/>
              </w:rPr>
              <w:t xml:space="preserve"> </w:t>
            </w:r>
            <w:r w:rsidRPr="00E32AFC">
              <w:rPr>
                <w:rFonts w:cs="Arial"/>
                <w:sz w:val="18"/>
                <w:szCs w:val="18"/>
              </w:rPr>
              <w:t>623</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4</w:t>
            </w:r>
            <w:r w:rsidR="00B74011">
              <w:rPr>
                <w:rFonts w:cs="Arial"/>
                <w:sz w:val="18"/>
                <w:szCs w:val="18"/>
              </w:rPr>
              <w:t xml:space="preserve"> </w:t>
            </w:r>
            <w:r w:rsidRPr="00E32AFC">
              <w:rPr>
                <w:rFonts w:cs="Arial"/>
                <w:sz w:val="18"/>
                <w:szCs w:val="18"/>
              </w:rPr>
              <w:t>623</w:t>
            </w:r>
          </w:p>
        </w:tc>
        <w:tc>
          <w:tcPr>
            <w:tcW w:w="425"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108</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proofErr w:type="spellStart"/>
            <w:r w:rsidRPr="00E32AFC">
              <w:rPr>
                <w:rFonts w:cs="Arial"/>
                <w:sz w:val="18"/>
                <w:szCs w:val="18"/>
              </w:rPr>
              <w:t>Somali</w:t>
            </w:r>
            <w:r w:rsidR="00E62ABB">
              <w:rPr>
                <w:rFonts w:cs="Arial"/>
                <w:sz w:val="18"/>
                <w:szCs w:val="18"/>
              </w:rPr>
              <w:t>e</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w:t>
            </w:r>
            <w:r w:rsidR="00B74011">
              <w:rPr>
                <w:rFonts w:cs="Arial"/>
                <w:sz w:val="18"/>
                <w:szCs w:val="18"/>
              </w:rPr>
              <w:t xml:space="preserve"> </w:t>
            </w:r>
            <w:r w:rsidRPr="00E32AFC">
              <w:rPr>
                <w:rFonts w:cs="Arial"/>
                <w:sz w:val="18"/>
                <w:szCs w:val="18"/>
              </w:rPr>
              <w:t>954</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55</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w:t>
            </w:r>
            <w:r w:rsidR="00B74011">
              <w:rPr>
                <w:rFonts w:cs="Arial"/>
                <w:sz w:val="18"/>
                <w:szCs w:val="18"/>
              </w:rPr>
              <w:t xml:space="preserve"> </w:t>
            </w:r>
            <w:r w:rsidRPr="00E32AFC">
              <w:rPr>
                <w:rFonts w:cs="Arial"/>
                <w:sz w:val="18"/>
                <w:szCs w:val="18"/>
              </w:rPr>
              <w:t>954</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55</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109</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E62ABB" w:rsidP="00561DAF">
            <w:pPr>
              <w:tabs>
                <w:tab w:val="left" w:pos="8370"/>
              </w:tabs>
              <w:spacing w:after="0" w:line="240" w:lineRule="auto"/>
              <w:rPr>
                <w:rFonts w:cs="Arial"/>
                <w:sz w:val="18"/>
                <w:szCs w:val="18"/>
              </w:rPr>
            </w:pPr>
            <w:r>
              <w:rPr>
                <w:rFonts w:cs="Arial"/>
                <w:sz w:val="18"/>
                <w:szCs w:val="18"/>
              </w:rPr>
              <w:t xml:space="preserve">Afrique du </w:t>
            </w:r>
            <w:proofErr w:type="spellStart"/>
            <w:r>
              <w:rPr>
                <w:rFonts w:cs="Arial"/>
                <w:sz w:val="18"/>
                <w:szCs w:val="18"/>
              </w:rPr>
              <w:t>sud</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20</w:t>
            </w:r>
            <w:r w:rsidR="00B74011">
              <w:rPr>
                <w:rFonts w:cs="Arial"/>
                <w:sz w:val="18"/>
                <w:szCs w:val="18"/>
              </w:rPr>
              <w:t xml:space="preserve"> </w:t>
            </w:r>
            <w:r w:rsidRPr="00E32AFC">
              <w:rPr>
                <w:rFonts w:cs="Arial"/>
                <w:sz w:val="18"/>
                <w:szCs w:val="18"/>
              </w:rPr>
              <w:t>033</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20</w:t>
            </w:r>
            <w:r w:rsidR="00B74011">
              <w:rPr>
                <w:rFonts w:cs="Arial"/>
                <w:sz w:val="18"/>
                <w:szCs w:val="18"/>
              </w:rPr>
              <w:t xml:space="preserve"> </w:t>
            </w:r>
            <w:r w:rsidRPr="00E32AFC">
              <w:rPr>
                <w:rFonts w:cs="Arial"/>
                <w:sz w:val="18"/>
                <w:szCs w:val="18"/>
              </w:rPr>
              <w:t>033</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110</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E62ABB" w:rsidP="00561DAF">
            <w:pPr>
              <w:tabs>
                <w:tab w:val="left" w:pos="8370"/>
              </w:tabs>
              <w:spacing w:after="0" w:line="240" w:lineRule="auto"/>
              <w:rPr>
                <w:rFonts w:cs="Arial"/>
                <w:sz w:val="18"/>
                <w:szCs w:val="18"/>
              </w:rPr>
            </w:pPr>
            <w:proofErr w:type="spellStart"/>
            <w:r>
              <w:rPr>
                <w:rFonts w:cs="Arial"/>
                <w:sz w:val="18"/>
                <w:szCs w:val="18"/>
              </w:rPr>
              <w:t>Espagne</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134</w:t>
            </w:r>
            <w:r w:rsidR="00B74011">
              <w:rPr>
                <w:rFonts w:cs="Arial"/>
                <w:sz w:val="18"/>
                <w:szCs w:val="18"/>
              </w:rPr>
              <w:t xml:space="preserve"> </w:t>
            </w:r>
            <w:r w:rsidRPr="00E32AFC">
              <w:rPr>
                <w:rFonts w:cs="Arial"/>
                <w:sz w:val="18"/>
                <w:szCs w:val="18"/>
              </w:rPr>
              <w:t>454</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134</w:t>
            </w:r>
            <w:r w:rsidR="00B74011">
              <w:rPr>
                <w:rFonts w:cs="Arial"/>
                <w:sz w:val="18"/>
                <w:szCs w:val="18"/>
              </w:rPr>
              <w:t xml:space="preserve"> </w:t>
            </w:r>
            <w:r w:rsidRPr="00E32AFC">
              <w:rPr>
                <w:rFonts w:cs="Arial"/>
                <w:sz w:val="18"/>
                <w:szCs w:val="18"/>
              </w:rPr>
              <w:t>454</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111</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r w:rsidRPr="00E32AFC">
              <w:rPr>
                <w:rFonts w:cs="Arial"/>
                <w:sz w:val="18"/>
                <w:szCs w:val="18"/>
              </w:rPr>
              <w:t>Sri Lanka</w:t>
            </w:r>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w:t>
            </w:r>
            <w:r w:rsidR="00B74011">
              <w:rPr>
                <w:rFonts w:cs="Arial"/>
                <w:sz w:val="18"/>
                <w:szCs w:val="18"/>
              </w:rPr>
              <w:t xml:space="preserve"> </w:t>
            </w:r>
            <w:r w:rsidRPr="00E32AFC">
              <w:rPr>
                <w:rFonts w:cs="Arial"/>
                <w:sz w:val="18"/>
                <w:szCs w:val="18"/>
              </w:rPr>
              <w:t>706</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w:t>
            </w:r>
            <w:r w:rsidR="00B74011">
              <w:rPr>
                <w:rFonts w:cs="Arial"/>
                <w:sz w:val="18"/>
                <w:szCs w:val="18"/>
              </w:rPr>
              <w:t xml:space="preserve"> </w:t>
            </w:r>
            <w:r w:rsidRPr="00E32AFC">
              <w:rPr>
                <w:rFonts w:cs="Arial"/>
                <w:sz w:val="18"/>
                <w:szCs w:val="18"/>
              </w:rPr>
              <w:t>706</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112</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proofErr w:type="spellStart"/>
            <w:r w:rsidRPr="00E32AFC">
              <w:rPr>
                <w:rFonts w:cs="Arial"/>
                <w:sz w:val="18"/>
                <w:szCs w:val="18"/>
              </w:rPr>
              <w:t>S</w:t>
            </w:r>
            <w:r w:rsidR="00E62ABB">
              <w:rPr>
                <w:rFonts w:cs="Arial"/>
                <w:sz w:val="18"/>
                <w:szCs w:val="18"/>
              </w:rPr>
              <w:t>uède</w:t>
            </w:r>
            <w:r w:rsidRPr="00E32AFC">
              <w:rPr>
                <w:rFonts w:cs="Arial"/>
                <w:sz w:val="18"/>
                <w:szCs w:val="18"/>
              </w:rPr>
              <w:t>n</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52</w:t>
            </w:r>
            <w:r w:rsidR="00B74011">
              <w:rPr>
                <w:rFonts w:cs="Arial"/>
                <w:sz w:val="18"/>
                <w:szCs w:val="18"/>
              </w:rPr>
              <w:t xml:space="preserve"> </w:t>
            </w:r>
            <w:r w:rsidRPr="00E32AFC">
              <w:rPr>
                <w:rFonts w:cs="Arial"/>
                <w:sz w:val="18"/>
                <w:szCs w:val="18"/>
              </w:rPr>
              <w:t>615</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52</w:t>
            </w:r>
            <w:r w:rsidR="00B74011">
              <w:rPr>
                <w:rFonts w:cs="Arial"/>
                <w:sz w:val="18"/>
                <w:szCs w:val="18"/>
              </w:rPr>
              <w:t xml:space="preserve"> </w:t>
            </w:r>
            <w:r w:rsidRPr="00E32AFC">
              <w:rPr>
                <w:rFonts w:cs="Arial"/>
                <w:sz w:val="18"/>
                <w:szCs w:val="18"/>
              </w:rPr>
              <w:t>615</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113</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r w:rsidRPr="00E32AFC">
              <w:rPr>
                <w:rFonts w:cs="Arial"/>
                <w:sz w:val="18"/>
                <w:szCs w:val="18"/>
              </w:rPr>
              <w:t>S</w:t>
            </w:r>
            <w:r w:rsidR="00E62ABB">
              <w:rPr>
                <w:rFonts w:cs="Arial"/>
                <w:sz w:val="18"/>
                <w:szCs w:val="18"/>
              </w:rPr>
              <w:t>uisse</w:t>
            </w:r>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62</w:t>
            </w:r>
            <w:r w:rsidR="00B74011">
              <w:rPr>
                <w:rFonts w:cs="Arial"/>
                <w:sz w:val="18"/>
                <w:szCs w:val="18"/>
              </w:rPr>
              <w:t xml:space="preserve"> </w:t>
            </w:r>
            <w:r w:rsidRPr="00E32AFC">
              <w:rPr>
                <w:rFonts w:cs="Arial"/>
                <w:sz w:val="18"/>
                <w:szCs w:val="18"/>
              </w:rPr>
              <w:t>741</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62</w:t>
            </w:r>
            <w:r w:rsidR="00B74011">
              <w:rPr>
                <w:rFonts w:cs="Arial"/>
                <w:sz w:val="18"/>
                <w:szCs w:val="18"/>
              </w:rPr>
              <w:t xml:space="preserve"> </w:t>
            </w:r>
            <w:r w:rsidRPr="00E32AFC">
              <w:rPr>
                <w:rFonts w:cs="Arial"/>
                <w:sz w:val="18"/>
                <w:szCs w:val="18"/>
              </w:rPr>
              <w:t>741</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114</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E62ABB" w:rsidP="00561DAF">
            <w:pPr>
              <w:tabs>
                <w:tab w:val="left" w:pos="8370"/>
              </w:tabs>
              <w:spacing w:after="0" w:line="240" w:lineRule="auto"/>
              <w:rPr>
                <w:rFonts w:cs="Arial"/>
                <w:sz w:val="18"/>
                <w:szCs w:val="18"/>
              </w:rPr>
            </w:pPr>
            <w:proofErr w:type="spellStart"/>
            <w:r>
              <w:rPr>
                <w:rFonts w:cs="Arial"/>
                <w:sz w:val="18"/>
                <w:szCs w:val="18"/>
              </w:rPr>
              <w:t>République</w:t>
            </w:r>
            <w:proofErr w:type="spellEnd"/>
            <w:r>
              <w:rPr>
                <w:rFonts w:cs="Arial"/>
                <w:sz w:val="18"/>
                <w:szCs w:val="18"/>
              </w:rPr>
              <w:t xml:space="preserve"> </w:t>
            </w:r>
            <w:proofErr w:type="spellStart"/>
            <w:r>
              <w:rPr>
                <w:rFonts w:cs="Arial"/>
                <w:sz w:val="18"/>
                <w:szCs w:val="18"/>
              </w:rPr>
              <w:t>arabe</w:t>
            </w:r>
            <w:proofErr w:type="spellEnd"/>
            <w:r>
              <w:rPr>
                <w:rFonts w:cs="Arial"/>
                <w:sz w:val="18"/>
                <w:szCs w:val="18"/>
              </w:rPr>
              <w:t xml:space="preserve"> </w:t>
            </w:r>
            <w:proofErr w:type="spellStart"/>
            <w:r>
              <w:rPr>
                <w:rFonts w:cs="Arial"/>
                <w:sz w:val="18"/>
                <w:szCs w:val="18"/>
              </w:rPr>
              <w:t>syrienne</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11</w:t>
            </w:r>
            <w:r w:rsidR="00B74011">
              <w:rPr>
                <w:rFonts w:cs="Arial"/>
                <w:sz w:val="18"/>
                <w:szCs w:val="18"/>
              </w:rPr>
              <w:t xml:space="preserve"> </w:t>
            </w:r>
            <w:r w:rsidRPr="00E32AFC">
              <w:rPr>
                <w:rFonts w:cs="Arial"/>
                <w:sz w:val="18"/>
                <w:szCs w:val="18"/>
              </w:rPr>
              <w:t>443</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w:t>
            </w:r>
            <w:r w:rsidR="00B74011">
              <w:rPr>
                <w:rFonts w:cs="Arial"/>
                <w:sz w:val="18"/>
                <w:szCs w:val="18"/>
              </w:rPr>
              <w:t xml:space="preserve"> </w:t>
            </w:r>
            <w:r w:rsidRPr="00E32AFC">
              <w:rPr>
                <w:rFonts w:cs="Arial"/>
                <w:sz w:val="18"/>
                <w:szCs w:val="18"/>
              </w:rPr>
              <w:t>321</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11</w:t>
            </w:r>
            <w:r w:rsidR="00B74011">
              <w:rPr>
                <w:rFonts w:cs="Arial"/>
                <w:sz w:val="18"/>
                <w:szCs w:val="18"/>
              </w:rPr>
              <w:t xml:space="preserve"> </w:t>
            </w:r>
            <w:r w:rsidRPr="00E32AFC">
              <w:rPr>
                <w:rFonts w:cs="Arial"/>
                <w:sz w:val="18"/>
                <w:szCs w:val="18"/>
              </w:rPr>
              <w:t>443</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w:t>
            </w:r>
            <w:r w:rsidR="00B74011">
              <w:rPr>
                <w:rFonts w:cs="Arial"/>
                <w:sz w:val="18"/>
                <w:szCs w:val="18"/>
              </w:rPr>
              <w:t xml:space="preserve"> </w:t>
            </w:r>
            <w:r w:rsidRPr="00E32AFC">
              <w:rPr>
                <w:rFonts w:cs="Arial"/>
                <w:sz w:val="18"/>
                <w:szCs w:val="18"/>
              </w:rPr>
              <w:t>321</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115</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proofErr w:type="spellStart"/>
            <w:r w:rsidRPr="00E32AFC">
              <w:rPr>
                <w:rFonts w:cs="Arial"/>
                <w:sz w:val="18"/>
                <w:szCs w:val="18"/>
              </w:rPr>
              <w:t>Ta</w:t>
            </w:r>
            <w:r w:rsidR="00E62ABB">
              <w:rPr>
                <w:rFonts w:cs="Arial"/>
                <w:sz w:val="18"/>
                <w:szCs w:val="18"/>
              </w:rPr>
              <w:t>d</w:t>
            </w:r>
            <w:r w:rsidRPr="00E32AFC">
              <w:rPr>
                <w:rFonts w:cs="Arial"/>
                <w:sz w:val="18"/>
                <w:szCs w:val="18"/>
              </w:rPr>
              <w:t>jikistan</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535</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220</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315</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lastRenderedPageBreak/>
              <w:t>116</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r w:rsidRPr="00E32AFC">
              <w:rPr>
                <w:rFonts w:cs="Arial"/>
                <w:sz w:val="18"/>
                <w:szCs w:val="18"/>
              </w:rPr>
              <w:t>Togo</w:t>
            </w:r>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218</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55</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218</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55</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117</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proofErr w:type="spellStart"/>
            <w:r w:rsidRPr="00E32AFC">
              <w:rPr>
                <w:rFonts w:cs="Arial"/>
                <w:sz w:val="18"/>
                <w:szCs w:val="18"/>
              </w:rPr>
              <w:t>Tunisi</w:t>
            </w:r>
            <w:r w:rsidR="00E62ABB">
              <w:rPr>
                <w:rFonts w:cs="Arial"/>
                <w:sz w:val="18"/>
                <w:szCs w:val="18"/>
              </w:rPr>
              <w:t>e</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7</w:t>
            </w:r>
            <w:r w:rsidR="00B74011">
              <w:rPr>
                <w:rFonts w:cs="Arial"/>
                <w:sz w:val="18"/>
                <w:szCs w:val="18"/>
              </w:rPr>
              <w:t xml:space="preserve"> </w:t>
            </w:r>
            <w:r w:rsidRPr="00E32AFC">
              <w:rPr>
                <w:rFonts w:cs="Arial"/>
                <w:sz w:val="18"/>
                <w:szCs w:val="18"/>
              </w:rPr>
              <w:t>776</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w:t>
            </w:r>
            <w:r w:rsidR="00B74011">
              <w:rPr>
                <w:rFonts w:cs="Arial"/>
                <w:sz w:val="18"/>
                <w:szCs w:val="18"/>
              </w:rPr>
              <w:t xml:space="preserve"> </w:t>
            </w:r>
            <w:r w:rsidRPr="00E32AFC">
              <w:rPr>
                <w:rFonts w:cs="Arial"/>
                <w:sz w:val="18"/>
                <w:szCs w:val="18"/>
              </w:rPr>
              <w:t>541</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7</w:t>
            </w:r>
            <w:r w:rsidR="00B74011">
              <w:rPr>
                <w:rFonts w:cs="Arial"/>
                <w:sz w:val="18"/>
                <w:szCs w:val="18"/>
              </w:rPr>
              <w:t xml:space="preserve"> </w:t>
            </w:r>
            <w:r w:rsidRPr="00E32AFC">
              <w:rPr>
                <w:rFonts w:cs="Arial"/>
                <w:sz w:val="18"/>
                <w:szCs w:val="18"/>
              </w:rPr>
              <w:t>776</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w:t>
            </w:r>
            <w:r w:rsidR="00B74011">
              <w:rPr>
                <w:rFonts w:cs="Arial"/>
                <w:sz w:val="18"/>
                <w:szCs w:val="18"/>
              </w:rPr>
              <w:t xml:space="preserve"> </w:t>
            </w:r>
            <w:r w:rsidRPr="00E32AFC">
              <w:rPr>
                <w:rFonts w:cs="Arial"/>
                <w:sz w:val="18"/>
                <w:szCs w:val="18"/>
              </w:rPr>
              <w:t>541</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118</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E62ABB" w:rsidP="00561DAF">
            <w:pPr>
              <w:tabs>
                <w:tab w:val="left" w:pos="8370"/>
              </w:tabs>
              <w:spacing w:after="0" w:line="240" w:lineRule="auto"/>
              <w:rPr>
                <w:rFonts w:cs="Arial"/>
                <w:sz w:val="18"/>
                <w:szCs w:val="18"/>
              </w:rPr>
            </w:pPr>
            <w:proofErr w:type="spellStart"/>
            <w:r>
              <w:rPr>
                <w:rFonts w:cs="Arial"/>
                <w:sz w:val="18"/>
                <w:szCs w:val="18"/>
              </w:rPr>
              <w:t>Ou</w:t>
            </w:r>
            <w:r w:rsidR="00561DAF" w:rsidRPr="00E32AFC">
              <w:rPr>
                <w:rFonts w:cs="Arial"/>
                <w:sz w:val="18"/>
                <w:szCs w:val="18"/>
              </w:rPr>
              <w:t>ganda</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486</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495</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486</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495</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119</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r w:rsidRPr="00E32AFC">
              <w:rPr>
                <w:rFonts w:cs="Arial"/>
                <w:sz w:val="18"/>
                <w:szCs w:val="18"/>
              </w:rPr>
              <w:t>Ukraine</w:t>
            </w:r>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w:t>
            </w:r>
            <w:r w:rsidR="00B74011">
              <w:rPr>
                <w:rFonts w:cs="Arial"/>
                <w:sz w:val="18"/>
                <w:szCs w:val="18"/>
              </w:rPr>
              <w:t xml:space="preserve"> </w:t>
            </w:r>
            <w:r w:rsidRPr="00E32AFC">
              <w:rPr>
                <w:rFonts w:cs="Arial"/>
                <w:sz w:val="18"/>
                <w:szCs w:val="18"/>
              </w:rPr>
              <w:t>669</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w:t>
            </w:r>
            <w:r w:rsidR="00B74011">
              <w:rPr>
                <w:rFonts w:cs="Arial"/>
                <w:sz w:val="18"/>
                <w:szCs w:val="18"/>
              </w:rPr>
              <w:t xml:space="preserve"> </w:t>
            </w:r>
            <w:r w:rsidRPr="00E32AFC">
              <w:rPr>
                <w:rFonts w:cs="Arial"/>
                <w:sz w:val="18"/>
                <w:szCs w:val="18"/>
              </w:rPr>
              <w:t>669</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120</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E62ABB" w:rsidP="00561DAF">
            <w:pPr>
              <w:tabs>
                <w:tab w:val="left" w:pos="8370"/>
              </w:tabs>
              <w:spacing w:after="0" w:line="240" w:lineRule="auto"/>
              <w:rPr>
                <w:rFonts w:cs="Arial"/>
                <w:sz w:val="18"/>
                <w:szCs w:val="18"/>
              </w:rPr>
            </w:pPr>
            <w:proofErr w:type="spellStart"/>
            <w:r>
              <w:rPr>
                <w:rFonts w:cs="Arial"/>
                <w:sz w:val="18"/>
                <w:szCs w:val="18"/>
              </w:rPr>
              <w:t>É</w:t>
            </w:r>
            <w:r w:rsidR="00561DAF" w:rsidRPr="00E32AFC">
              <w:rPr>
                <w:rFonts w:cs="Arial"/>
                <w:sz w:val="18"/>
                <w:szCs w:val="18"/>
              </w:rPr>
              <w:t>mirats</w:t>
            </w:r>
            <w:proofErr w:type="spellEnd"/>
            <w:r>
              <w:rPr>
                <w:rFonts w:cs="Arial"/>
                <w:sz w:val="18"/>
                <w:szCs w:val="18"/>
              </w:rPr>
              <w:t xml:space="preserve"> </w:t>
            </w:r>
            <w:proofErr w:type="spellStart"/>
            <w:r>
              <w:rPr>
                <w:rFonts w:cs="Arial"/>
                <w:sz w:val="18"/>
                <w:szCs w:val="18"/>
              </w:rPr>
              <w:t>arabes</w:t>
            </w:r>
            <w:proofErr w:type="spellEnd"/>
            <w:r>
              <w:rPr>
                <w:rFonts w:cs="Arial"/>
                <w:sz w:val="18"/>
                <w:szCs w:val="18"/>
              </w:rPr>
              <w:t xml:space="preserve"> </w:t>
            </w:r>
            <w:proofErr w:type="spellStart"/>
            <w:r>
              <w:rPr>
                <w:rFonts w:cs="Arial"/>
                <w:sz w:val="18"/>
                <w:szCs w:val="18"/>
              </w:rPr>
              <w:t>unis</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33</w:t>
            </w:r>
            <w:r w:rsidR="00B74011">
              <w:rPr>
                <w:rFonts w:cs="Arial"/>
                <w:sz w:val="18"/>
                <w:szCs w:val="18"/>
              </w:rPr>
              <w:t xml:space="preserve"> </w:t>
            </w:r>
            <w:r w:rsidRPr="00E32AFC">
              <w:rPr>
                <w:rFonts w:cs="Arial"/>
                <w:sz w:val="18"/>
                <w:szCs w:val="18"/>
              </w:rPr>
              <w:t>242</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33</w:t>
            </w:r>
            <w:r w:rsidR="00B74011">
              <w:rPr>
                <w:rFonts w:cs="Arial"/>
                <w:sz w:val="18"/>
                <w:szCs w:val="18"/>
              </w:rPr>
              <w:t xml:space="preserve"> </w:t>
            </w:r>
            <w:r w:rsidRPr="00E32AFC">
              <w:rPr>
                <w:rFonts w:cs="Arial"/>
                <w:sz w:val="18"/>
                <w:szCs w:val="18"/>
              </w:rPr>
              <w:t>240</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121</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E62ABB" w:rsidP="00561DAF">
            <w:pPr>
              <w:tabs>
                <w:tab w:val="left" w:pos="8370"/>
              </w:tabs>
              <w:spacing w:after="0" w:line="240" w:lineRule="auto"/>
              <w:rPr>
                <w:rFonts w:cs="Arial"/>
                <w:sz w:val="18"/>
                <w:szCs w:val="18"/>
              </w:rPr>
            </w:pPr>
            <w:proofErr w:type="spellStart"/>
            <w:r>
              <w:rPr>
                <w:rFonts w:cs="Arial"/>
                <w:sz w:val="18"/>
                <w:szCs w:val="18"/>
              </w:rPr>
              <w:t>Royaume</w:t>
            </w:r>
            <w:proofErr w:type="spellEnd"/>
            <w:r>
              <w:rPr>
                <w:rFonts w:cs="Arial"/>
                <w:sz w:val="18"/>
                <w:szCs w:val="18"/>
              </w:rPr>
              <w:t>-Uni</w:t>
            </w:r>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245</w:t>
            </w:r>
            <w:r w:rsidR="00B74011">
              <w:rPr>
                <w:rFonts w:cs="Arial"/>
                <w:sz w:val="18"/>
                <w:szCs w:val="18"/>
              </w:rPr>
              <w:t xml:space="preserve"> </w:t>
            </w:r>
            <w:r w:rsidRPr="00E32AFC">
              <w:rPr>
                <w:rFonts w:cs="Arial"/>
                <w:sz w:val="18"/>
                <w:szCs w:val="18"/>
              </w:rPr>
              <w:t>627</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245</w:t>
            </w:r>
            <w:r w:rsidR="00B74011">
              <w:rPr>
                <w:rFonts w:cs="Arial"/>
                <w:sz w:val="18"/>
                <w:szCs w:val="18"/>
              </w:rPr>
              <w:t xml:space="preserve"> </w:t>
            </w:r>
            <w:r w:rsidRPr="00E32AFC">
              <w:rPr>
                <w:rFonts w:cs="Arial"/>
                <w:sz w:val="18"/>
                <w:szCs w:val="18"/>
              </w:rPr>
              <w:t>627</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122</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proofErr w:type="spellStart"/>
            <w:r w:rsidRPr="00E32AFC">
              <w:rPr>
                <w:rFonts w:cs="Arial"/>
                <w:sz w:val="18"/>
                <w:szCs w:val="18"/>
              </w:rPr>
              <w:t>R</w:t>
            </w:r>
            <w:r w:rsidR="00E62ABB">
              <w:rPr>
                <w:rFonts w:cs="Arial"/>
                <w:sz w:val="18"/>
                <w:szCs w:val="18"/>
              </w:rPr>
              <w:t>é</w:t>
            </w:r>
            <w:r w:rsidRPr="00E32AFC">
              <w:rPr>
                <w:rFonts w:cs="Arial"/>
                <w:sz w:val="18"/>
                <w:szCs w:val="18"/>
              </w:rPr>
              <w:t>publi</w:t>
            </w:r>
            <w:r w:rsidR="00E62ABB">
              <w:rPr>
                <w:rFonts w:cs="Arial"/>
                <w:sz w:val="18"/>
                <w:szCs w:val="18"/>
              </w:rPr>
              <w:t>que</w:t>
            </w:r>
            <w:proofErr w:type="spellEnd"/>
            <w:r w:rsidR="00E62ABB">
              <w:rPr>
                <w:rFonts w:cs="Arial"/>
                <w:sz w:val="18"/>
                <w:szCs w:val="18"/>
              </w:rPr>
              <w:t xml:space="preserve"> </w:t>
            </w:r>
            <w:proofErr w:type="spellStart"/>
            <w:r w:rsidR="00E62ABB">
              <w:rPr>
                <w:rFonts w:cs="Arial"/>
                <w:sz w:val="18"/>
                <w:szCs w:val="18"/>
              </w:rPr>
              <w:t>unie</w:t>
            </w:r>
            <w:proofErr w:type="spellEnd"/>
            <w:r w:rsidR="00E62ABB">
              <w:rPr>
                <w:rFonts w:cs="Arial"/>
                <w:sz w:val="18"/>
                <w:szCs w:val="18"/>
              </w:rPr>
              <w:t xml:space="preserve"> de </w:t>
            </w:r>
            <w:proofErr w:type="spellStart"/>
            <w:r w:rsidRPr="00E32AFC">
              <w:rPr>
                <w:rFonts w:cs="Arial"/>
                <w:sz w:val="18"/>
                <w:szCs w:val="18"/>
              </w:rPr>
              <w:t>Tanzani</w:t>
            </w:r>
            <w:r w:rsidR="00E62ABB">
              <w:rPr>
                <w:rFonts w:cs="Arial"/>
                <w:sz w:val="18"/>
                <w:szCs w:val="18"/>
              </w:rPr>
              <w:t>e</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550</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550</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123</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r w:rsidRPr="00E32AFC">
              <w:rPr>
                <w:rFonts w:cs="Arial"/>
                <w:sz w:val="18"/>
                <w:szCs w:val="18"/>
              </w:rPr>
              <w:t>Uruguay</w:t>
            </w:r>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4</w:t>
            </w:r>
            <w:r w:rsidR="00B74011">
              <w:rPr>
                <w:rFonts w:cs="Arial"/>
                <w:sz w:val="18"/>
                <w:szCs w:val="18"/>
              </w:rPr>
              <w:t xml:space="preserve"> </w:t>
            </w:r>
            <w:r w:rsidRPr="00E32AFC">
              <w:rPr>
                <w:rFonts w:cs="Arial"/>
                <w:sz w:val="18"/>
                <w:szCs w:val="18"/>
              </w:rPr>
              <w:t>348</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4</w:t>
            </w:r>
            <w:r w:rsidR="00B74011">
              <w:rPr>
                <w:rFonts w:cs="Arial"/>
                <w:sz w:val="18"/>
                <w:szCs w:val="18"/>
              </w:rPr>
              <w:t xml:space="preserve"> </w:t>
            </w:r>
            <w:r w:rsidRPr="00E32AFC">
              <w:rPr>
                <w:rFonts w:cs="Arial"/>
                <w:sz w:val="18"/>
                <w:szCs w:val="18"/>
              </w:rPr>
              <w:t>348</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124</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E62ABB" w:rsidP="00561DAF">
            <w:pPr>
              <w:tabs>
                <w:tab w:val="left" w:pos="8370"/>
              </w:tabs>
              <w:spacing w:after="0" w:line="240" w:lineRule="auto"/>
              <w:rPr>
                <w:rFonts w:cs="Arial"/>
                <w:sz w:val="18"/>
                <w:szCs w:val="18"/>
              </w:rPr>
            </w:pPr>
            <w:proofErr w:type="spellStart"/>
            <w:r>
              <w:rPr>
                <w:rFonts w:cs="Arial"/>
                <w:sz w:val="18"/>
                <w:szCs w:val="18"/>
              </w:rPr>
              <w:t>Ou</w:t>
            </w:r>
            <w:r w:rsidR="00561DAF" w:rsidRPr="00E32AFC">
              <w:rPr>
                <w:rFonts w:cs="Arial"/>
                <w:sz w:val="18"/>
                <w:szCs w:val="18"/>
              </w:rPr>
              <w:t>zb</w:t>
            </w:r>
            <w:r>
              <w:rPr>
                <w:rFonts w:cs="Arial"/>
                <w:sz w:val="18"/>
                <w:szCs w:val="18"/>
              </w:rPr>
              <w:t>é</w:t>
            </w:r>
            <w:r w:rsidR="00561DAF" w:rsidRPr="00E32AFC">
              <w:rPr>
                <w:rFonts w:cs="Arial"/>
                <w:sz w:val="18"/>
                <w:szCs w:val="18"/>
              </w:rPr>
              <w:t>kistan</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w:t>
            </w:r>
            <w:r w:rsidR="00B74011">
              <w:rPr>
                <w:rFonts w:cs="Arial"/>
                <w:sz w:val="18"/>
                <w:szCs w:val="18"/>
              </w:rPr>
              <w:t xml:space="preserve"> </w:t>
            </w:r>
            <w:r w:rsidRPr="00E32AFC">
              <w:rPr>
                <w:rFonts w:cs="Arial"/>
                <w:sz w:val="18"/>
                <w:szCs w:val="18"/>
              </w:rPr>
              <w:t>241</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w:t>
            </w:r>
            <w:r w:rsidR="00B74011">
              <w:rPr>
                <w:rFonts w:cs="Arial"/>
                <w:sz w:val="18"/>
                <w:szCs w:val="18"/>
              </w:rPr>
              <w:t xml:space="preserve"> </w:t>
            </w:r>
            <w:r w:rsidRPr="00E32AFC">
              <w:rPr>
                <w:rFonts w:cs="Arial"/>
                <w:sz w:val="18"/>
                <w:szCs w:val="18"/>
              </w:rPr>
              <w:t>266</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w:t>
            </w:r>
            <w:r w:rsidR="00B74011">
              <w:rPr>
                <w:rFonts w:cs="Arial"/>
                <w:sz w:val="18"/>
                <w:szCs w:val="18"/>
              </w:rPr>
              <w:t xml:space="preserve"> </w:t>
            </w:r>
            <w:r w:rsidRPr="00E32AFC">
              <w:rPr>
                <w:rFonts w:cs="Arial"/>
                <w:sz w:val="18"/>
                <w:szCs w:val="18"/>
              </w:rPr>
              <w:t>266</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w:t>
            </w:r>
            <w:r w:rsidR="00B74011">
              <w:rPr>
                <w:rFonts w:cs="Arial"/>
                <w:sz w:val="18"/>
                <w:szCs w:val="18"/>
              </w:rPr>
              <w:t xml:space="preserve"> </w:t>
            </w:r>
            <w:r w:rsidRPr="00E32AFC">
              <w:rPr>
                <w:rFonts w:cs="Arial"/>
                <w:sz w:val="18"/>
                <w:szCs w:val="18"/>
              </w:rPr>
              <w:t>241</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56"/>
        </w:trPr>
        <w:tc>
          <w:tcPr>
            <w:tcW w:w="17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125</w:t>
            </w:r>
          </w:p>
        </w:tc>
        <w:tc>
          <w:tcPr>
            <w:tcW w:w="1344"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proofErr w:type="spellStart"/>
            <w:r w:rsidRPr="00E32AFC">
              <w:rPr>
                <w:rFonts w:cs="Arial"/>
                <w:sz w:val="18"/>
                <w:szCs w:val="18"/>
              </w:rPr>
              <w:t>Y</w:t>
            </w:r>
            <w:r w:rsidR="00E62ABB">
              <w:rPr>
                <w:rFonts w:cs="Arial"/>
                <w:sz w:val="18"/>
                <w:szCs w:val="18"/>
              </w:rPr>
              <w:t>é</w:t>
            </w:r>
            <w:r w:rsidRPr="00E32AFC">
              <w:rPr>
                <w:rFonts w:cs="Arial"/>
                <w:sz w:val="18"/>
                <w:szCs w:val="18"/>
              </w:rPr>
              <w:t>men</w:t>
            </w:r>
            <w:proofErr w:type="spellEnd"/>
          </w:p>
        </w:tc>
        <w:tc>
          <w:tcPr>
            <w:tcW w:w="449"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w:t>
            </w:r>
            <w:r w:rsidR="00B74011">
              <w:rPr>
                <w:rFonts w:cs="Arial"/>
                <w:sz w:val="18"/>
                <w:szCs w:val="18"/>
              </w:rPr>
              <w:t xml:space="preserve"> </w:t>
            </w:r>
            <w:r w:rsidRPr="00E32AFC">
              <w:rPr>
                <w:rFonts w:cs="Arial"/>
                <w:sz w:val="18"/>
                <w:szCs w:val="18"/>
              </w:rPr>
              <w:t>887</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550</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bottom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w:t>
            </w:r>
            <w:r w:rsidR="00B74011">
              <w:rPr>
                <w:rFonts w:cs="Arial"/>
                <w:sz w:val="18"/>
                <w:szCs w:val="18"/>
              </w:rPr>
              <w:t xml:space="preserve"> </w:t>
            </w:r>
            <w:r w:rsidRPr="00E32AFC">
              <w:rPr>
                <w:rFonts w:cs="Arial"/>
                <w:sz w:val="18"/>
                <w:szCs w:val="18"/>
              </w:rPr>
              <w:t>887</w:t>
            </w:r>
          </w:p>
        </w:tc>
        <w:tc>
          <w:tcPr>
            <w:tcW w:w="381"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550</w:t>
            </w:r>
          </w:p>
        </w:tc>
        <w:tc>
          <w:tcPr>
            <w:tcW w:w="308" w:type="pct"/>
            <w:tcBorders>
              <w:top w:val="single" w:sz="4" w:space="0" w:color="A5A5A5" w:themeColor="accent3"/>
              <w:bottom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272"/>
        </w:trPr>
        <w:tc>
          <w:tcPr>
            <w:tcW w:w="174" w:type="pct"/>
            <w:tcBorders>
              <w:top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126</w:t>
            </w:r>
          </w:p>
        </w:tc>
        <w:tc>
          <w:tcPr>
            <w:tcW w:w="1344" w:type="pct"/>
            <w:tcBorders>
              <w:top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rPr>
                <w:rFonts w:cs="Arial"/>
                <w:sz w:val="18"/>
                <w:szCs w:val="18"/>
              </w:rPr>
            </w:pPr>
            <w:r w:rsidRPr="00E32AFC">
              <w:rPr>
                <w:rFonts w:cs="Arial"/>
                <w:sz w:val="18"/>
                <w:szCs w:val="18"/>
              </w:rPr>
              <w:t>Zimbabwe</w:t>
            </w:r>
          </w:p>
        </w:tc>
        <w:tc>
          <w:tcPr>
            <w:tcW w:w="449" w:type="pct"/>
            <w:tcBorders>
              <w:top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216</w:t>
            </w:r>
          </w:p>
        </w:tc>
        <w:tc>
          <w:tcPr>
            <w:tcW w:w="308" w:type="pct"/>
            <w:tcBorders>
              <w:top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220</w:t>
            </w:r>
          </w:p>
        </w:tc>
        <w:tc>
          <w:tcPr>
            <w:tcW w:w="425" w:type="pct"/>
            <w:tcBorders>
              <w:top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425" w:type="pct"/>
            <w:tcBorders>
              <w:top w:val="single" w:sz="4" w:space="0" w:color="A5A5A5" w:themeColor="accent3"/>
            </w:tcBorders>
            <w:shd w:val="clear" w:color="auto" w:fill="auto"/>
            <w:noWrap/>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c>
          <w:tcPr>
            <w:tcW w:w="381" w:type="pct"/>
            <w:tcBorders>
              <w:top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216</w:t>
            </w:r>
          </w:p>
        </w:tc>
        <w:tc>
          <w:tcPr>
            <w:tcW w:w="381" w:type="pct"/>
            <w:tcBorders>
              <w:top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220</w:t>
            </w:r>
          </w:p>
        </w:tc>
        <w:tc>
          <w:tcPr>
            <w:tcW w:w="308" w:type="pct"/>
            <w:tcBorders>
              <w:top w:val="single" w:sz="4" w:space="0" w:color="A5A5A5" w:themeColor="accent3"/>
            </w:tcBorders>
            <w:shd w:val="clear" w:color="auto" w:fill="auto"/>
            <w:vAlign w:val="center"/>
          </w:tcPr>
          <w:p w:rsidR="00561DAF" w:rsidRPr="00E32AFC" w:rsidRDefault="00561DAF" w:rsidP="00561DAF">
            <w:pPr>
              <w:tabs>
                <w:tab w:val="left" w:pos="8370"/>
              </w:tabs>
              <w:spacing w:after="0" w:line="240" w:lineRule="auto"/>
              <w:jc w:val="right"/>
              <w:rPr>
                <w:rFonts w:cs="Arial"/>
                <w:sz w:val="18"/>
                <w:szCs w:val="18"/>
              </w:rPr>
            </w:pPr>
            <w:r w:rsidRPr="00E32AFC">
              <w:rPr>
                <w:rFonts w:cs="Arial"/>
                <w:sz w:val="18"/>
                <w:szCs w:val="18"/>
              </w:rPr>
              <w:t>-</w:t>
            </w:r>
          </w:p>
        </w:tc>
      </w:tr>
      <w:tr w:rsidR="00561DAF" w:rsidRPr="00E32AFC" w:rsidTr="00B74011">
        <w:trPr>
          <w:trHeight w:val="377"/>
        </w:trPr>
        <w:tc>
          <w:tcPr>
            <w:tcW w:w="174" w:type="pct"/>
            <w:shd w:val="clear" w:color="auto" w:fill="BDD6EE" w:themeFill="accent5" w:themeFillTint="66"/>
            <w:noWrap/>
            <w:vAlign w:val="center"/>
          </w:tcPr>
          <w:p w:rsidR="00561DAF" w:rsidRPr="00E32AFC" w:rsidRDefault="00561DAF" w:rsidP="00561DAF">
            <w:pPr>
              <w:tabs>
                <w:tab w:val="left" w:pos="8370"/>
              </w:tabs>
              <w:jc w:val="right"/>
              <w:rPr>
                <w:rFonts w:cs="Arial"/>
                <w:b/>
                <w:bCs/>
                <w:sz w:val="18"/>
                <w:szCs w:val="18"/>
              </w:rPr>
            </w:pPr>
          </w:p>
        </w:tc>
        <w:tc>
          <w:tcPr>
            <w:tcW w:w="1344" w:type="pct"/>
            <w:shd w:val="clear" w:color="auto" w:fill="BDD6EE" w:themeFill="accent5" w:themeFillTint="66"/>
            <w:noWrap/>
            <w:vAlign w:val="center"/>
          </w:tcPr>
          <w:p w:rsidR="00561DAF" w:rsidRPr="00E32AFC" w:rsidRDefault="00561DAF" w:rsidP="00561DAF">
            <w:pPr>
              <w:tabs>
                <w:tab w:val="left" w:pos="8370"/>
              </w:tabs>
              <w:rPr>
                <w:rFonts w:cs="Arial"/>
                <w:b/>
                <w:bCs/>
                <w:sz w:val="18"/>
                <w:szCs w:val="18"/>
              </w:rPr>
            </w:pPr>
            <w:r w:rsidRPr="00E32AFC">
              <w:rPr>
                <w:rFonts w:cs="Arial"/>
                <w:b/>
                <w:bCs/>
                <w:sz w:val="18"/>
                <w:szCs w:val="18"/>
              </w:rPr>
              <w:t>Total</w:t>
            </w:r>
          </w:p>
        </w:tc>
        <w:tc>
          <w:tcPr>
            <w:tcW w:w="449" w:type="pct"/>
            <w:shd w:val="clear" w:color="auto" w:fill="BDD6EE" w:themeFill="accent5" w:themeFillTint="66"/>
            <w:noWrap/>
            <w:vAlign w:val="center"/>
          </w:tcPr>
          <w:p w:rsidR="00561DAF" w:rsidRPr="00E32AFC" w:rsidRDefault="00561DAF" w:rsidP="00561DAF">
            <w:pPr>
              <w:tabs>
                <w:tab w:val="left" w:pos="8370"/>
              </w:tabs>
              <w:jc w:val="right"/>
              <w:rPr>
                <w:rFonts w:cs="Arial"/>
                <w:b/>
                <w:bCs/>
                <w:sz w:val="18"/>
                <w:szCs w:val="18"/>
              </w:rPr>
            </w:pPr>
            <w:r w:rsidRPr="00E32AFC">
              <w:rPr>
                <w:rFonts w:cs="Arial"/>
                <w:b/>
                <w:bCs/>
                <w:sz w:val="18"/>
                <w:szCs w:val="18"/>
              </w:rPr>
              <w:t xml:space="preserve"> 1</w:t>
            </w:r>
            <w:r w:rsidR="00B74011">
              <w:rPr>
                <w:rFonts w:cs="Arial"/>
                <w:b/>
                <w:bCs/>
                <w:sz w:val="18"/>
                <w:szCs w:val="18"/>
              </w:rPr>
              <w:t xml:space="preserve"> </w:t>
            </w:r>
            <w:r w:rsidRPr="00E32AFC">
              <w:rPr>
                <w:rFonts w:cs="Arial"/>
                <w:b/>
                <w:bCs/>
                <w:sz w:val="18"/>
                <w:szCs w:val="18"/>
              </w:rPr>
              <w:t>035</w:t>
            </w:r>
            <w:r w:rsidR="00B74011">
              <w:rPr>
                <w:rFonts w:cs="Arial"/>
                <w:b/>
                <w:bCs/>
                <w:sz w:val="18"/>
                <w:szCs w:val="18"/>
              </w:rPr>
              <w:t xml:space="preserve"> </w:t>
            </w:r>
            <w:r w:rsidRPr="00E32AFC">
              <w:rPr>
                <w:rFonts w:cs="Arial"/>
                <w:b/>
                <w:bCs/>
                <w:sz w:val="18"/>
                <w:szCs w:val="18"/>
              </w:rPr>
              <w:t xml:space="preserve">046 </w:t>
            </w:r>
          </w:p>
        </w:tc>
        <w:tc>
          <w:tcPr>
            <w:tcW w:w="308" w:type="pct"/>
            <w:shd w:val="clear" w:color="auto" w:fill="BDD6EE" w:themeFill="accent5" w:themeFillTint="66"/>
            <w:noWrap/>
            <w:vAlign w:val="center"/>
          </w:tcPr>
          <w:p w:rsidR="00561DAF" w:rsidRPr="00E32AFC" w:rsidRDefault="00561DAF" w:rsidP="00561DAF">
            <w:pPr>
              <w:tabs>
                <w:tab w:val="left" w:pos="8370"/>
              </w:tabs>
              <w:jc w:val="right"/>
              <w:rPr>
                <w:rFonts w:cs="Arial"/>
                <w:b/>
                <w:bCs/>
                <w:sz w:val="18"/>
                <w:szCs w:val="18"/>
              </w:rPr>
            </w:pPr>
            <w:r w:rsidRPr="00E32AFC">
              <w:rPr>
                <w:rFonts w:cs="Arial"/>
                <w:b/>
                <w:bCs/>
                <w:sz w:val="18"/>
                <w:szCs w:val="18"/>
              </w:rPr>
              <w:t xml:space="preserve"> 178</w:t>
            </w:r>
            <w:r w:rsidR="00B74011">
              <w:rPr>
                <w:rFonts w:cs="Arial"/>
                <w:b/>
                <w:bCs/>
                <w:sz w:val="18"/>
                <w:szCs w:val="18"/>
              </w:rPr>
              <w:t xml:space="preserve"> </w:t>
            </w:r>
            <w:r w:rsidRPr="00E32AFC">
              <w:rPr>
                <w:rFonts w:cs="Arial"/>
                <w:b/>
                <w:bCs/>
                <w:sz w:val="18"/>
                <w:szCs w:val="18"/>
              </w:rPr>
              <w:t xml:space="preserve">116 </w:t>
            </w:r>
          </w:p>
        </w:tc>
        <w:tc>
          <w:tcPr>
            <w:tcW w:w="381" w:type="pct"/>
            <w:shd w:val="clear" w:color="auto" w:fill="BDD6EE" w:themeFill="accent5" w:themeFillTint="66"/>
            <w:noWrap/>
            <w:vAlign w:val="center"/>
          </w:tcPr>
          <w:p w:rsidR="00561DAF" w:rsidRPr="00E32AFC" w:rsidRDefault="00561DAF" w:rsidP="00561DAF">
            <w:pPr>
              <w:tabs>
                <w:tab w:val="left" w:pos="8370"/>
              </w:tabs>
              <w:jc w:val="right"/>
              <w:rPr>
                <w:rFonts w:cs="Arial"/>
                <w:b/>
                <w:bCs/>
                <w:sz w:val="18"/>
                <w:szCs w:val="18"/>
              </w:rPr>
            </w:pPr>
            <w:r w:rsidRPr="00E32AFC">
              <w:rPr>
                <w:rFonts w:cs="Arial"/>
                <w:b/>
                <w:bCs/>
                <w:sz w:val="18"/>
                <w:szCs w:val="18"/>
              </w:rPr>
              <w:t xml:space="preserve"> 2</w:t>
            </w:r>
            <w:r w:rsidR="00B74011">
              <w:rPr>
                <w:rFonts w:cs="Arial"/>
                <w:b/>
                <w:bCs/>
                <w:sz w:val="18"/>
                <w:szCs w:val="18"/>
              </w:rPr>
              <w:t xml:space="preserve"> </w:t>
            </w:r>
            <w:r w:rsidRPr="00E32AFC">
              <w:rPr>
                <w:rFonts w:cs="Arial"/>
                <w:b/>
                <w:bCs/>
                <w:sz w:val="18"/>
                <w:szCs w:val="18"/>
              </w:rPr>
              <w:t>611</w:t>
            </w:r>
            <w:r w:rsidR="00B74011">
              <w:rPr>
                <w:rFonts w:cs="Arial"/>
                <w:b/>
                <w:bCs/>
                <w:sz w:val="18"/>
                <w:szCs w:val="18"/>
              </w:rPr>
              <w:t xml:space="preserve"> </w:t>
            </w:r>
            <w:r w:rsidRPr="00E32AFC">
              <w:rPr>
                <w:rFonts w:cs="Arial"/>
                <w:b/>
                <w:bCs/>
                <w:sz w:val="18"/>
                <w:szCs w:val="18"/>
              </w:rPr>
              <w:t xml:space="preserve">087 </w:t>
            </w:r>
          </w:p>
        </w:tc>
        <w:tc>
          <w:tcPr>
            <w:tcW w:w="425" w:type="pct"/>
            <w:shd w:val="clear" w:color="auto" w:fill="BDD6EE" w:themeFill="accent5" w:themeFillTint="66"/>
            <w:noWrap/>
            <w:vAlign w:val="center"/>
          </w:tcPr>
          <w:p w:rsidR="00561DAF" w:rsidRPr="00E32AFC" w:rsidRDefault="00561DAF" w:rsidP="00561DAF">
            <w:pPr>
              <w:tabs>
                <w:tab w:val="left" w:pos="8370"/>
              </w:tabs>
              <w:jc w:val="right"/>
              <w:rPr>
                <w:rFonts w:cs="Arial"/>
                <w:b/>
                <w:bCs/>
                <w:sz w:val="18"/>
                <w:szCs w:val="18"/>
              </w:rPr>
            </w:pPr>
            <w:r w:rsidRPr="00E32AFC">
              <w:rPr>
                <w:rFonts w:cs="Arial"/>
                <w:b/>
                <w:bCs/>
                <w:sz w:val="18"/>
                <w:szCs w:val="18"/>
              </w:rPr>
              <w:t xml:space="preserve"> 353</w:t>
            </w:r>
            <w:r w:rsidR="00B74011">
              <w:rPr>
                <w:rFonts w:cs="Arial"/>
                <w:b/>
                <w:bCs/>
                <w:sz w:val="18"/>
                <w:szCs w:val="18"/>
              </w:rPr>
              <w:t xml:space="preserve"> </w:t>
            </w:r>
            <w:r w:rsidRPr="00E32AFC">
              <w:rPr>
                <w:rFonts w:cs="Arial"/>
                <w:b/>
                <w:bCs/>
                <w:sz w:val="18"/>
                <w:szCs w:val="18"/>
              </w:rPr>
              <w:t xml:space="preserve">293 </w:t>
            </w:r>
          </w:p>
        </w:tc>
        <w:tc>
          <w:tcPr>
            <w:tcW w:w="425" w:type="pct"/>
            <w:shd w:val="clear" w:color="auto" w:fill="BDD6EE" w:themeFill="accent5" w:themeFillTint="66"/>
            <w:noWrap/>
            <w:vAlign w:val="center"/>
          </w:tcPr>
          <w:p w:rsidR="00561DAF" w:rsidRPr="00E32AFC" w:rsidRDefault="00561DAF" w:rsidP="00561DAF">
            <w:pPr>
              <w:tabs>
                <w:tab w:val="left" w:pos="8370"/>
              </w:tabs>
              <w:jc w:val="right"/>
              <w:rPr>
                <w:rFonts w:cs="Arial"/>
                <w:b/>
                <w:bCs/>
                <w:sz w:val="18"/>
                <w:szCs w:val="18"/>
              </w:rPr>
            </w:pPr>
            <w:r w:rsidRPr="00E32AFC">
              <w:rPr>
                <w:rFonts w:cs="Arial"/>
                <w:b/>
                <w:bCs/>
                <w:sz w:val="18"/>
                <w:szCs w:val="18"/>
              </w:rPr>
              <w:t xml:space="preserve"> 1</w:t>
            </w:r>
            <w:r w:rsidR="00B74011">
              <w:rPr>
                <w:rFonts w:cs="Arial"/>
                <w:b/>
                <w:bCs/>
                <w:sz w:val="18"/>
                <w:szCs w:val="18"/>
              </w:rPr>
              <w:t xml:space="preserve"> </w:t>
            </w:r>
            <w:r w:rsidRPr="00E32AFC">
              <w:rPr>
                <w:rFonts w:cs="Arial"/>
                <w:b/>
                <w:bCs/>
                <w:sz w:val="18"/>
                <w:szCs w:val="18"/>
              </w:rPr>
              <w:t>973</w:t>
            </w:r>
            <w:r w:rsidR="00B74011">
              <w:rPr>
                <w:rFonts w:cs="Arial"/>
                <w:b/>
                <w:bCs/>
                <w:sz w:val="18"/>
                <w:szCs w:val="18"/>
              </w:rPr>
              <w:t xml:space="preserve"> </w:t>
            </w:r>
            <w:r w:rsidRPr="00E32AFC">
              <w:rPr>
                <w:rFonts w:cs="Arial"/>
                <w:b/>
                <w:bCs/>
                <w:sz w:val="18"/>
                <w:szCs w:val="18"/>
              </w:rPr>
              <w:t xml:space="preserve">383 </w:t>
            </w:r>
          </w:p>
        </w:tc>
        <w:tc>
          <w:tcPr>
            <w:tcW w:w="425" w:type="pct"/>
            <w:shd w:val="clear" w:color="auto" w:fill="BDD6EE" w:themeFill="accent5" w:themeFillTint="66"/>
            <w:noWrap/>
            <w:vAlign w:val="center"/>
          </w:tcPr>
          <w:p w:rsidR="00561DAF" w:rsidRPr="00E32AFC" w:rsidRDefault="00561DAF" w:rsidP="00561DAF">
            <w:pPr>
              <w:tabs>
                <w:tab w:val="left" w:pos="8370"/>
              </w:tabs>
              <w:jc w:val="right"/>
              <w:rPr>
                <w:rFonts w:cs="Arial"/>
                <w:b/>
                <w:bCs/>
                <w:sz w:val="18"/>
                <w:szCs w:val="18"/>
              </w:rPr>
            </w:pPr>
            <w:r w:rsidRPr="00E32AFC">
              <w:rPr>
                <w:rFonts w:cs="Arial"/>
                <w:b/>
                <w:bCs/>
                <w:sz w:val="18"/>
                <w:szCs w:val="18"/>
              </w:rPr>
              <w:t xml:space="preserve"> 148</w:t>
            </w:r>
            <w:r w:rsidR="00B74011">
              <w:rPr>
                <w:rFonts w:cs="Arial"/>
                <w:b/>
                <w:bCs/>
                <w:sz w:val="18"/>
                <w:szCs w:val="18"/>
              </w:rPr>
              <w:t xml:space="preserve"> </w:t>
            </w:r>
            <w:r w:rsidRPr="00E32AFC">
              <w:rPr>
                <w:rFonts w:cs="Arial"/>
                <w:b/>
                <w:bCs/>
                <w:sz w:val="18"/>
                <w:szCs w:val="18"/>
              </w:rPr>
              <w:t xml:space="preserve">445 </w:t>
            </w:r>
          </w:p>
        </w:tc>
        <w:tc>
          <w:tcPr>
            <w:tcW w:w="381" w:type="pct"/>
            <w:shd w:val="clear" w:color="auto" w:fill="BDD6EE" w:themeFill="accent5" w:themeFillTint="66"/>
            <w:noWrap/>
            <w:vAlign w:val="center"/>
          </w:tcPr>
          <w:p w:rsidR="00561DAF" w:rsidRPr="00E32AFC" w:rsidRDefault="00561DAF" w:rsidP="00561DAF">
            <w:pPr>
              <w:tabs>
                <w:tab w:val="left" w:pos="8370"/>
              </w:tabs>
              <w:jc w:val="right"/>
              <w:rPr>
                <w:rFonts w:cs="Arial"/>
                <w:b/>
                <w:bCs/>
                <w:sz w:val="18"/>
                <w:szCs w:val="18"/>
              </w:rPr>
            </w:pPr>
            <w:r w:rsidRPr="00E32AFC">
              <w:rPr>
                <w:rFonts w:cs="Arial"/>
                <w:b/>
                <w:bCs/>
                <w:sz w:val="18"/>
                <w:szCs w:val="18"/>
              </w:rPr>
              <w:t xml:space="preserve"> 681</w:t>
            </w:r>
            <w:r w:rsidR="00B74011">
              <w:rPr>
                <w:rFonts w:cs="Arial"/>
                <w:b/>
                <w:bCs/>
                <w:sz w:val="18"/>
                <w:szCs w:val="18"/>
              </w:rPr>
              <w:t xml:space="preserve"> </w:t>
            </w:r>
            <w:r w:rsidRPr="00E32AFC">
              <w:rPr>
                <w:rFonts w:cs="Arial"/>
                <w:b/>
                <w:bCs/>
                <w:sz w:val="18"/>
                <w:szCs w:val="18"/>
              </w:rPr>
              <w:t xml:space="preserve">754 </w:t>
            </w:r>
          </w:p>
        </w:tc>
        <w:tc>
          <w:tcPr>
            <w:tcW w:w="381" w:type="pct"/>
            <w:shd w:val="clear" w:color="auto" w:fill="BDD6EE" w:themeFill="accent5" w:themeFillTint="66"/>
            <w:noWrap/>
            <w:vAlign w:val="center"/>
          </w:tcPr>
          <w:p w:rsidR="00561DAF" w:rsidRPr="00E32AFC" w:rsidRDefault="00561DAF" w:rsidP="00561DAF">
            <w:pPr>
              <w:tabs>
                <w:tab w:val="left" w:pos="8370"/>
              </w:tabs>
              <w:jc w:val="right"/>
              <w:rPr>
                <w:rFonts w:cs="Arial"/>
                <w:b/>
                <w:bCs/>
                <w:sz w:val="18"/>
                <w:szCs w:val="18"/>
              </w:rPr>
            </w:pPr>
            <w:r w:rsidRPr="00E32AFC">
              <w:rPr>
                <w:rFonts w:cs="Arial"/>
                <w:b/>
                <w:bCs/>
                <w:sz w:val="18"/>
                <w:szCs w:val="18"/>
              </w:rPr>
              <w:t xml:space="preserve"> 485</w:t>
            </w:r>
            <w:r w:rsidR="00B74011">
              <w:rPr>
                <w:rFonts w:cs="Arial"/>
                <w:b/>
                <w:bCs/>
                <w:sz w:val="18"/>
                <w:szCs w:val="18"/>
              </w:rPr>
              <w:t xml:space="preserve"> </w:t>
            </w:r>
            <w:r w:rsidRPr="00E32AFC">
              <w:rPr>
                <w:rFonts w:cs="Arial"/>
                <w:b/>
                <w:bCs/>
                <w:sz w:val="18"/>
                <w:szCs w:val="18"/>
              </w:rPr>
              <w:t xml:space="preserve">611 </w:t>
            </w:r>
          </w:p>
        </w:tc>
        <w:tc>
          <w:tcPr>
            <w:tcW w:w="308" w:type="pct"/>
            <w:shd w:val="clear" w:color="auto" w:fill="BDD6EE" w:themeFill="accent5" w:themeFillTint="66"/>
            <w:noWrap/>
            <w:vAlign w:val="center"/>
          </w:tcPr>
          <w:p w:rsidR="00561DAF" w:rsidRPr="00E32AFC" w:rsidRDefault="00561DAF" w:rsidP="00561DAF">
            <w:pPr>
              <w:tabs>
                <w:tab w:val="left" w:pos="8370"/>
              </w:tabs>
              <w:jc w:val="right"/>
              <w:rPr>
                <w:rFonts w:cs="Arial"/>
                <w:b/>
                <w:bCs/>
                <w:sz w:val="18"/>
                <w:szCs w:val="18"/>
              </w:rPr>
            </w:pPr>
            <w:r w:rsidRPr="00E32AFC">
              <w:rPr>
                <w:rFonts w:cs="Arial"/>
                <w:b/>
                <w:bCs/>
                <w:sz w:val="18"/>
                <w:szCs w:val="18"/>
              </w:rPr>
              <w:t xml:space="preserve"> 174</w:t>
            </w:r>
            <w:r w:rsidR="00B74011">
              <w:rPr>
                <w:rFonts w:cs="Arial"/>
                <w:b/>
                <w:bCs/>
                <w:sz w:val="18"/>
                <w:szCs w:val="18"/>
              </w:rPr>
              <w:t xml:space="preserve"> </w:t>
            </w:r>
            <w:r w:rsidRPr="00E32AFC">
              <w:rPr>
                <w:rFonts w:cs="Arial"/>
                <w:b/>
                <w:bCs/>
                <w:sz w:val="18"/>
                <w:szCs w:val="18"/>
              </w:rPr>
              <w:t xml:space="preserve">467 </w:t>
            </w:r>
          </w:p>
        </w:tc>
      </w:tr>
    </w:tbl>
    <w:p w:rsidR="00561DAF" w:rsidRPr="00E32AFC" w:rsidRDefault="00561DAF" w:rsidP="00561DAF">
      <w:pPr>
        <w:tabs>
          <w:tab w:val="left" w:pos="8370"/>
        </w:tabs>
      </w:pPr>
    </w:p>
    <w:p w:rsidR="00561DAF" w:rsidRPr="00E32AFC" w:rsidRDefault="00561DAF" w:rsidP="00561DAF">
      <w:pPr>
        <w:widowControl w:val="0"/>
        <w:autoSpaceDE w:val="0"/>
        <w:autoSpaceDN w:val="0"/>
        <w:adjustRightInd w:val="0"/>
        <w:contextualSpacing/>
        <w:jc w:val="right"/>
        <w:rPr>
          <w:b/>
        </w:rPr>
      </w:pPr>
    </w:p>
    <w:p w:rsidR="00561DAF" w:rsidRDefault="00561DAF" w:rsidP="00561DAF">
      <w:pPr>
        <w:widowControl w:val="0"/>
        <w:autoSpaceDE w:val="0"/>
        <w:autoSpaceDN w:val="0"/>
        <w:adjustRightInd w:val="0"/>
        <w:contextualSpacing/>
        <w:jc w:val="right"/>
        <w:rPr>
          <w:b/>
        </w:rPr>
        <w:sectPr w:rsidR="00561DAF" w:rsidSect="00561DAF">
          <w:headerReference w:type="even" r:id="rId15"/>
          <w:headerReference w:type="default" r:id="rId16"/>
          <w:footerReference w:type="even" r:id="rId17"/>
          <w:footerReference w:type="default" r:id="rId18"/>
          <w:headerReference w:type="first" r:id="rId19"/>
          <w:pgSz w:w="16838" w:h="11906" w:orient="landscape" w:code="9"/>
          <w:pgMar w:top="1134" w:right="1134" w:bottom="1134" w:left="1134" w:header="720" w:footer="720" w:gutter="0"/>
          <w:cols w:space="720"/>
          <w:titlePg/>
          <w:docGrid w:linePitch="360"/>
        </w:sectPr>
      </w:pPr>
    </w:p>
    <w:p w:rsidR="00561DAF" w:rsidRPr="00E32AFC" w:rsidRDefault="00561DAF" w:rsidP="00561DAF">
      <w:pPr>
        <w:widowControl w:val="0"/>
        <w:autoSpaceDE w:val="0"/>
        <w:autoSpaceDN w:val="0"/>
        <w:adjustRightInd w:val="0"/>
        <w:contextualSpacing/>
        <w:jc w:val="right"/>
        <w:rPr>
          <w:b/>
        </w:rPr>
      </w:pPr>
      <w:r>
        <w:rPr>
          <w:b/>
        </w:rPr>
        <w:lastRenderedPageBreak/>
        <w:t>ANNEXE 2</w:t>
      </w:r>
    </w:p>
    <w:p w:rsidR="00561DAF" w:rsidRDefault="00E62ABB" w:rsidP="00561DAF">
      <w:pPr>
        <w:widowControl w:val="0"/>
        <w:autoSpaceDE w:val="0"/>
        <w:autoSpaceDN w:val="0"/>
        <w:adjustRightInd w:val="0"/>
        <w:contextualSpacing/>
        <w:jc w:val="center"/>
        <w:rPr>
          <w:b/>
        </w:rPr>
      </w:pPr>
      <w:proofErr w:type="spellStart"/>
      <w:r>
        <w:rPr>
          <w:b/>
        </w:rPr>
        <w:t>Exécution</w:t>
      </w:r>
      <w:proofErr w:type="spellEnd"/>
      <w:r>
        <w:rPr>
          <w:b/>
        </w:rPr>
        <w:t xml:space="preserve"> du budget</w:t>
      </w:r>
      <w:r w:rsidR="00561DAF">
        <w:rPr>
          <w:b/>
        </w:rPr>
        <w:t xml:space="preserve"> 2018-2019</w:t>
      </w:r>
    </w:p>
    <w:p w:rsidR="00561DAF" w:rsidRDefault="00561DAF" w:rsidP="00561DAF">
      <w:pPr>
        <w:widowControl w:val="0"/>
        <w:autoSpaceDE w:val="0"/>
        <w:autoSpaceDN w:val="0"/>
        <w:adjustRightInd w:val="0"/>
        <w:contextualSpacing/>
        <w:jc w:val="center"/>
      </w:pPr>
      <w:r w:rsidRPr="00FD499C">
        <w:rPr>
          <w:b/>
        </w:rPr>
        <w:t xml:space="preserve"> </w:t>
      </w:r>
      <w:r w:rsidR="00E62ABB">
        <w:rPr>
          <w:b/>
        </w:rPr>
        <w:t>au</w:t>
      </w:r>
      <w:r w:rsidRPr="00FD499C">
        <w:rPr>
          <w:b/>
        </w:rPr>
        <w:t xml:space="preserve"> 3</w:t>
      </w:r>
      <w:r>
        <w:rPr>
          <w:b/>
        </w:rPr>
        <w:t xml:space="preserve">0 </w:t>
      </w:r>
      <w:proofErr w:type="spellStart"/>
      <w:r w:rsidR="00E62ABB">
        <w:rPr>
          <w:b/>
        </w:rPr>
        <w:t>n</w:t>
      </w:r>
      <w:r>
        <w:rPr>
          <w:b/>
        </w:rPr>
        <w:t>ovembr</w:t>
      </w:r>
      <w:r w:rsidR="00E62ABB">
        <w:rPr>
          <w:b/>
        </w:rPr>
        <w:t>e</w:t>
      </w:r>
      <w:proofErr w:type="spellEnd"/>
      <w:r>
        <w:rPr>
          <w:b/>
        </w:rPr>
        <w:t xml:space="preserve"> </w:t>
      </w:r>
      <w:r w:rsidRPr="003C43C4">
        <w:rPr>
          <w:b/>
        </w:rPr>
        <w:t>2019 (</w:t>
      </w:r>
      <w:r w:rsidR="00E62ABB">
        <w:rPr>
          <w:b/>
        </w:rPr>
        <w:t>en</w:t>
      </w:r>
      <w:r w:rsidRPr="003C43C4">
        <w:rPr>
          <w:b/>
        </w:rPr>
        <w:t xml:space="preserve"> </w:t>
      </w:r>
      <w:r w:rsidR="00E62ABB">
        <w:rPr>
          <w:b/>
        </w:rPr>
        <w:t>e</w:t>
      </w:r>
      <w:r w:rsidRPr="003C43C4">
        <w:rPr>
          <w:b/>
        </w:rPr>
        <w:t>uros)</w:t>
      </w:r>
    </w:p>
    <w:p w:rsidR="00561DAF" w:rsidRDefault="00561DAF" w:rsidP="00561DAF">
      <w:pPr>
        <w:widowControl w:val="0"/>
        <w:autoSpaceDE w:val="0"/>
        <w:autoSpaceDN w:val="0"/>
        <w:adjustRightInd w:val="0"/>
        <w:contextualSpacing/>
        <w:jc w:val="center"/>
      </w:pPr>
    </w:p>
    <w:p w:rsidR="00561DAF" w:rsidRDefault="00561DAF" w:rsidP="00561DAF">
      <w:pPr>
        <w:widowControl w:val="0"/>
        <w:autoSpaceDE w:val="0"/>
        <w:autoSpaceDN w:val="0"/>
        <w:adjustRightInd w:val="0"/>
        <w:contextualSpacing/>
        <w:jc w:val="center"/>
      </w:pPr>
    </w:p>
    <w:p w:rsidR="002D489D" w:rsidRDefault="002D489D" w:rsidP="00561DAF">
      <w:pPr>
        <w:widowControl w:val="0"/>
        <w:autoSpaceDE w:val="0"/>
        <w:autoSpaceDN w:val="0"/>
        <w:adjustRightInd w:val="0"/>
        <w:contextualSpacing/>
        <w:jc w:val="center"/>
      </w:pPr>
    </w:p>
    <w:tbl>
      <w:tblPr>
        <w:tblStyle w:val="TableGrid"/>
        <w:tblW w:w="14485" w:type="dxa"/>
        <w:tblLayout w:type="fixed"/>
        <w:tblLook w:val="04A0" w:firstRow="1" w:lastRow="0" w:firstColumn="1" w:lastColumn="0" w:noHBand="0" w:noVBand="1"/>
      </w:tblPr>
      <w:tblGrid>
        <w:gridCol w:w="4495"/>
        <w:gridCol w:w="1260"/>
        <w:gridCol w:w="1350"/>
        <w:gridCol w:w="1350"/>
        <w:gridCol w:w="1260"/>
        <w:gridCol w:w="1260"/>
        <w:gridCol w:w="1170"/>
        <w:gridCol w:w="1080"/>
        <w:gridCol w:w="1260"/>
      </w:tblGrid>
      <w:tr w:rsidR="00561DAF" w:rsidRPr="003C43C4" w:rsidTr="00561DAF">
        <w:trPr>
          <w:trHeight w:val="355"/>
          <w:tblHeader/>
        </w:trPr>
        <w:tc>
          <w:tcPr>
            <w:tcW w:w="4495" w:type="dxa"/>
            <w:vMerge w:val="restart"/>
            <w:shd w:val="clear" w:color="auto" w:fill="BDD6EE" w:themeFill="accent5" w:themeFillTint="66"/>
            <w:vAlign w:val="center"/>
            <w:hideMark/>
          </w:tcPr>
          <w:p w:rsidR="00561DAF" w:rsidRPr="003C43C4" w:rsidRDefault="00561DAF" w:rsidP="00561DAF">
            <w:pPr>
              <w:tabs>
                <w:tab w:val="left" w:pos="8370"/>
              </w:tabs>
              <w:rPr>
                <w:rFonts w:ascii="Arial" w:hAnsi="Arial" w:cs="Arial"/>
                <w:b/>
                <w:bCs/>
                <w:sz w:val="18"/>
                <w:szCs w:val="18"/>
              </w:rPr>
            </w:pPr>
            <w:proofErr w:type="spellStart"/>
            <w:r w:rsidRPr="003C43C4">
              <w:rPr>
                <w:rFonts w:ascii="Arial" w:hAnsi="Arial" w:cs="Arial"/>
                <w:b/>
                <w:bCs/>
                <w:sz w:val="18"/>
                <w:szCs w:val="18"/>
              </w:rPr>
              <w:t>Obje</w:t>
            </w:r>
            <w:r w:rsidR="00E62ABB">
              <w:rPr>
                <w:rFonts w:ascii="Arial" w:hAnsi="Arial" w:cs="Arial"/>
                <w:b/>
                <w:bCs/>
                <w:sz w:val="18"/>
                <w:szCs w:val="18"/>
              </w:rPr>
              <w:t>t</w:t>
            </w:r>
            <w:proofErr w:type="spellEnd"/>
            <w:r w:rsidR="00E62ABB">
              <w:rPr>
                <w:rFonts w:ascii="Arial" w:hAnsi="Arial" w:cs="Arial"/>
                <w:b/>
                <w:bCs/>
                <w:sz w:val="18"/>
                <w:szCs w:val="18"/>
              </w:rPr>
              <w:t xml:space="preserve"> de </w:t>
            </w:r>
            <w:proofErr w:type="spellStart"/>
            <w:r w:rsidR="00E62ABB">
              <w:rPr>
                <w:rFonts w:ascii="Arial" w:hAnsi="Arial" w:cs="Arial"/>
                <w:b/>
                <w:bCs/>
                <w:sz w:val="18"/>
                <w:szCs w:val="18"/>
              </w:rPr>
              <w:t>dépense</w:t>
            </w:r>
            <w:proofErr w:type="spellEnd"/>
          </w:p>
        </w:tc>
        <w:tc>
          <w:tcPr>
            <w:tcW w:w="3960" w:type="dxa"/>
            <w:gridSpan w:val="3"/>
            <w:shd w:val="clear" w:color="auto" w:fill="BDD6EE" w:themeFill="accent5" w:themeFillTint="66"/>
            <w:vAlign w:val="center"/>
            <w:hideMark/>
          </w:tcPr>
          <w:p w:rsidR="00561DAF" w:rsidRPr="003C43C4" w:rsidRDefault="00561DAF" w:rsidP="00561DAF">
            <w:pPr>
              <w:tabs>
                <w:tab w:val="left" w:pos="8370"/>
              </w:tabs>
              <w:jc w:val="center"/>
              <w:rPr>
                <w:rFonts w:ascii="Arial" w:hAnsi="Arial" w:cs="Arial"/>
                <w:b/>
                <w:bCs/>
                <w:sz w:val="18"/>
                <w:szCs w:val="18"/>
              </w:rPr>
            </w:pPr>
            <w:r w:rsidRPr="003C43C4">
              <w:rPr>
                <w:rFonts w:ascii="Arial" w:hAnsi="Arial" w:cs="Arial"/>
                <w:b/>
                <w:bCs/>
                <w:sz w:val="18"/>
                <w:szCs w:val="18"/>
              </w:rPr>
              <w:t>2018</w:t>
            </w:r>
          </w:p>
        </w:tc>
        <w:tc>
          <w:tcPr>
            <w:tcW w:w="6030" w:type="dxa"/>
            <w:gridSpan w:val="5"/>
            <w:shd w:val="clear" w:color="auto" w:fill="BDD6EE" w:themeFill="accent5" w:themeFillTint="66"/>
            <w:vAlign w:val="center"/>
            <w:hideMark/>
          </w:tcPr>
          <w:p w:rsidR="00561DAF" w:rsidRPr="003C43C4" w:rsidRDefault="00561DAF" w:rsidP="00561DAF">
            <w:pPr>
              <w:tabs>
                <w:tab w:val="left" w:pos="8370"/>
              </w:tabs>
              <w:jc w:val="center"/>
              <w:rPr>
                <w:rFonts w:ascii="Arial" w:hAnsi="Arial" w:cs="Arial"/>
                <w:b/>
                <w:bCs/>
                <w:sz w:val="18"/>
                <w:szCs w:val="18"/>
              </w:rPr>
            </w:pPr>
            <w:r w:rsidRPr="003C43C4">
              <w:rPr>
                <w:rFonts w:ascii="Arial" w:hAnsi="Arial" w:cs="Arial"/>
                <w:b/>
                <w:bCs/>
                <w:sz w:val="18"/>
                <w:szCs w:val="18"/>
              </w:rPr>
              <w:t>2019</w:t>
            </w:r>
          </w:p>
        </w:tc>
      </w:tr>
      <w:tr w:rsidR="00561DAF" w:rsidRPr="003C43C4" w:rsidTr="00561DAF">
        <w:trPr>
          <w:trHeight w:val="332"/>
          <w:tblHeader/>
        </w:trPr>
        <w:tc>
          <w:tcPr>
            <w:tcW w:w="4495" w:type="dxa"/>
            <w:vMerge/>
            <w:shd w:val="clear" w:color="auto" w:fill="BDD6EE" w:themeFill="accent5" w:themeFillTint="66"/>
            <w:vAlign w:val="center"/>
            <w:hideMark/>
          </w:tcPr>
          <w:p w:rsidR="00561DAF" w:rsidRPr="003C43C4" w:rsidRDefault="00561DAF" w:rsidP="00561DAF">
            <w:pPr>
              <w:tabs>
                <w:tab w:val="left" w:pos="8370"/>
              </w:tabs>
              <w:rPr>
                <w:rFonts w:ascii="Arial" w:hAnsi="Arial" w:cs="Arial"/>
                <w:b/>
                <w:bCs/>
                <w:sz w:val="18"/>
                <w:szCs w:val="18"/>
              </w:rPr>
            </w:pPr>
          </w:p>
        </w:tc>
        <w:tc>
          <w:tcPr>
            <w:tcW w:w="2610" w:type="dxa"/>
            <w:gridSpan w:val="2"/>
            <w:shd w:val="clear" w:color="auto" w:fill="BDD6EE" w:themeFill="accent5" w:themeFillTint="66"/>
            <w:vAlign w:val="center"/>
            <w:hideMark/>
          </w:tcPr>
          <w:p w:rsidR="00561DAF" w:rsidRPr="003C43C4" w:rsidRDefault="00561DAF" w:rsidP="00561DAF">
            <w:pPr>
              <w:tabs>
                <w:tab w:val="left" w:pos="8370"/>
              </w:tabs>
              <w:jc w:val="center"/>
              <w:rPr>
                <w:rFonts w:ascii="Arial" w:hAnsi="Arial" w:cs="Arial"/>
                <w:b/>
                <w:bCs/>
                <w:sz w:val="18"/>
                <w:szCs w:val="18"/>
              </w:rPr>
            </w:pPr>
            <w:r w:rsidRPr="003C43C4">
              <w:rPr>
                <w:rFonts w:ascii="Arial" w:hAnsi="Arial" w:cs="Arial"/>
                <w:b/>
                <w:bCs/>
                <w:sz w:val="18"/>
                <w:szCs w:val="18"/>
              </w:rPr>
              <w:t>Budget</w:t>
            </w:r>
          </w:p>
        </w:tc>
        <w:tc>
          <w:tcPr>
            <w:tcW w:w="1350" w:type="dxa"/>
            <w:vMerge w:val="restart"/>
            <w:shd w:val="clear" w:color="auto" w:fill="BDD6EE" w:themeFill="accent5" w:themeFillTint="66"/>
            <w:vAlign w:val="center"/>
            <w:hideMark/>
          </w:tcPr>
          <w:p w:rsidR="00561DAF" w:rsidRPr="003C43C4" w:rsidRDefault="00E62ABB" w:rsidP="00561DAF">
            <w:pPr>
              <w:tabs>
                <w:tab w:val="left" w:pos="8370"/>
              </w:tabs>
              <w:jc w:val="center"/>
              <w:rPr>
                <w:rFonts w:ascii="Arial" w:hAnsi="Arial" w:cs="Arial"/>
                <w:b/>
                <w:bCs/>
                <w:sz w:val="18"/>
                <w:szCs w:val="18"/>
              </w:rPr>
            </w:pPr>
            <w:proofErr w:type="spellStart"/>
            <w:r>
              <w:rPr>
                <w:rFonts w:ascii="Arial" w:hAnsi="Arial" w:cs="Arial"/>
                <w:b/>
                <w:bCs/>
                <w:sz w:val="18"/>
                <w:szCs w:val="18"/>
              </w:rPr>
              <w:t>Dépenses</w:t>
            </w:r>
            <w:proofErr w:type="spellEnd"/>
            <w:r w:rsidR="00561DAF" w:rsidRPr="003C43C4">
              <w:rPr>
                <w:rStyle w:val="EndnoteReference"/>
                <w:rFonts w:ascii="Arial" w:hAnsi="Arial" w:cs="Arial"/>
                <w:sz w:val="18"/>
                <w:szCs w:val="18"/>
              </w:rPr>
              <w:endnoteReference w:id="1"/>
            </w:r>
          </w:p>
        </w:tc>
        <w:tc>
          <w:tcPr>
            <w:tcW w:w="2520" w:type="dxa"/>
            <w:gridSpan w:val="2"/>
            <w:shd w:val="clear" w:color="auto" w:fill="BDD6EE" w:themeFill="accent5" w:themeFillTint="66"/>
            <w:vAlign w:val="center"/>
            <w:hideMark/>
          </w:tcPr>
          <w:p w:rsidR="00561DAF" w:rsidRPr="003C43C4" w:rsidRDefault="00561DAF" w:rsidP="00561DAF">
            <w:pPr>
              <w:tabs>
                <w:tab w:val="left" w:pos="8370"/>
              </w:tabs>
              <w:jc w:val="center"/>
              <w:rPr>
                <w:rFonts w:ascii="Arial" w:hAnsi="Arial" w:cs="Arial"/>
                <w:b/>
                <w:bCs/>
                <w:sz w:val="18"/>
                <w:szCs w:val="18"/>
              </w:rPr>
            </w:pPr>
            <w:r w:rsidRPr="003C43C4">
              <w:rPr>
                <w:rFonts w:ascii="Arial" w:hAnsi="Arial" w:cs="Arial"/>
                <w:b/>
                <w:bCs/>
                <w:sz w:val="18"/>
                <w:szCs w:val="18"/>
              </w:rPr>
              <w:t>Budget</w:t>
            </w:r>
          </w:p>
        </w:tc>
        <w:tc>
          <w:tcPr>
            <w:tcW w:w="3510" w:type="dxa"/>
            <w:gridSpan w:val="3"/>
            <w:shd w:val="clear" w:color="auto" w:fill="BDD6EE" w:themeFill="accent5" w:themeFillTint="66"/>
            <w:vAlign w:val="center"/>
            <w:hideMark/>
          </w:tcPr>
          <w:p w:rsidR="00561DAF" w:rsidRPr="003C43C4" w:rsidRDefault="00E62ABB" w:rsidP="00561DAF">
            <w:pPr>
              <w:tabs>
                <w:tab w:val="center" w:pos="1661"/>
                <w:tab w:val="left" w:pos="8370"/>
              </w:tabs>
              <w:jc w:val="center"/>
              <w:rPr>
                <w:rFonts w:ascii="Arial" w:hAnsi="Arial" w:cs="Arial"/>
                <w:b/>
                <w:bCs/>
                <w:sz w:val="18"/>
                <w:szCs w:val="18"/>
              </w:rPr>
            </w:pPr>
            <w:proofErr w:type="spellStart"/>
            <w:r>
              <w:rPr>
                <w:rFonts w:ascii="Arial" w:hAnsi="Arial" w:cs="Arial"/>
                <w:b/>
                <w:bCs/>
                <w:sz w:val="18"/>
                <w:szCs w:val="18"/>
              </w:rPr>
              <w:t>Dépenses</w:t>
            </w:r>
            <w:proofErr w:type="spellEnd"/>
            <w:r w:rsidR="00561DAF" w:rsidRPr="003C43C4">
              <w:rPr>
                <w:rFonts w:ascii="Arial" w:hAnsi="Arial" w:cs="Arial"/>
                <w:b/>
                <w:bCs/>
                <w:sz w:val="18"/>
                <w:szCs w:val="18"/>
              </w:rPr>
              <w:t xml:space="preserve"> </w:t>
            </w:r>
            <w:r w:rsidR="00561DAF" w:rsidRPr="003C43C4">
              <w:rPr>
                <w:rStyle w:val="EndnoteReference"/>
                <w:rFonts w:ascii="Arial" w:hAnsi="Arial" w:cs="Arial"/>
                <w:sz w:val="18"/>
                <w:szCs w:val="18"/>
              </w:rPr>
              <w:endnoteReference w:id="2"/>
            </w:r>
          </w:p>
        </w:tc>
      </w:tr>
      <w:tr w:rsidR="00E62ABB" w:rsidRPr="003C43C4" w:rsidTr="00561DAF">
        <w:trPr>
          <w:trHeight w:val="355"/>
          <w:tblHeader/>
        </w:trPr>
        <w:tc>
          <w:tcPr>
            <w:tcW w:w="4495" w:type="dxa"/>
            <w:vMerge/>
            <w:shd w:val="clear" w:color="auto" w:fill="BDD6EE" w:themeFill="accent5" w:themeFillTint="66"/>
            <w:vAlign w:val="center"/>
            <w:hideMark/>
          </w:tcPr>
          <w:p w:rsidR="00E62ABB" w:rsidRPr="003C43C4" w:rsidRDefault="00E62ABB" w:rsidP="00E62ABB">
            <w:pPr>
              <w:tabs>
                <w:tab w:val="left" w:pos="8370"/>
              </w:tabs>
              <w:rPr>
                <w:rFonts w:ascii="Arial" w:hAnsi="Arial" w:cs="Arial"/>
                <w:b/>
                <w:bCs/>
                <w:sz w:val="18"/>
                <w:szCs w:val="18"/>
              </w:rPr>
            </w:pPr>
          </w:p>
        </w:tc>
        <w:tc>
          <w:tcPr>
            <w:tcW w:w="1260" w:type="dxa"/>
            <w:vMerge w:val="restart"/>
            <w:shd w:val="clear" w:color="auto" w:fill="BDD6EE" w:themeFill="accent5" w:themeFillTint="66"/>
            <w:vAlign w:val="center"/>
            <w:hideMark/>
          </w:tcPr>
          <w:p w:rsidR="00E62ABB" w:rsidRPr="000E6CB9" w:rsidRDefault="00E62ABB" w:rsidP="00E62ABB">
            <w:pPr>
              <w:tabs>
                <w:tab w:val="left" w:pos="8370"/>
              </w:tabs>
              <w:jc w:val="center"/>
              <w:rPr>
                <w:b/>
                <w:bCs/>
                <w:sz w:val="18"/>
                <w:szCs w:val="18"/>
              </w:rPr>
            </w:pPr>
            <w:proofErr w:type="spellStart"/>
            <w:r w:rsidRPr="000E6CB9">
              <w:rPr>
                <w:b/>
                <w:bCs/>
                <w:sz w:val="18"/>
                <w:szCs w:val="18"/>
              </w:rPr>
              <w:t>Appro</w:t>
            </w:r>
            <w:r>
              <w:rPr>
                <w:b/>
                <w:bCs/>
                <w:sz w:val="18"/>
                <w:szCs w:val="18"/>
              </w:rPr>
              <w:t>uvé</w:t>
            </w:r>
            <w:proofErr w:type="spellEnd"/>
            <w:r>
              <w:rPr>
                <w:b/>
                <w:bCs/>
                <w:sz w:val="18"/>
                <w:szCs w:val="18"/>
              </w:rPr>
              <w:t xml:space="preserve"> </w:t>
            </w:r>
            <w:proofErr w:type="spellStart"/>
            <w:r>
              <w:rPr>
                <w:b/>
                <w:bCs/>
                <w:sz w:val="18"/>
                <w:szCs w:val="18"/>
              </w:rPr>
              <w:t>par</w:t>
            </w:r>
            <w:proofErr w:type="spellEnd"/>
            <w:r>
              <w:rPr>
                <w:b/>
                <w:bCs/>
                <w:sz w:val="18"/>
                <w:szCs w:val="18"/>
              </w:rPr>
              <w:t xml:space="preserve"> la </w:t>
            </w:r>
            <w:r w:rsidRPr="000E6CB9">
              <w:rPr>
                <w:b/>
                <w:bCs/>
                <w:sz w:val="18"/>
                <w:szCs w:val="18"/>
              </w:rPr>
              <w:t>COP12</w:t>
            </w:r>
          </w:p>
        </w:tc>
        <w:tc>
          <w:tcPr>
            <w:tcW w:w="1350" w:type="dxa"/>
            <w:vMerge w:val="restart"/>
            <w:shd w:val="clear" w:color="auto" w:fill="BDD6EE" w:themeFill="accent5" w:themeFillTint="66"/>
            <w:vAlign w:val="center"/>
            <w:hideMark/>
          </w:tcPr>
          <w:p w:rsidR="00E62ABB" w:rsidRPr="000E6CB9" w:rsidRDefault="00E62ABB" w:rsidP="00E62ABB">
            <w:pPr>
              <w:tabs>
                <w:tab w:val="left" w:pos="8370"/>
              </w:tabs>
              <w:jc w:val="center"/>
              <w:rPr>
                <w:b/>
                <w:bCs/>
                <w:sz w:val="18"/>
                <w:szCs w:val="18"/>
              </w:rPr>
            </w:pPr>
            <w:proofErr w:type="spellStart"/>
            <w:r w:rsidRPr="000E6CB9">
              <w:rPr>
                <w:b/>
                <w:bCs/>
                <w:sz w:val="18"/>
                <w:szCs w:val="18"/>
              </w:rPr>
              <w:t>Red</w:t>
            </w:r>
            <w:r>
              <w:rPr>
                <w:b/>
                <w:bCs/>
                <w:sz w:val="18"/>
                <w:szCs w:val="18"/>
              </w:rPr>
              <w:t>éployé</w:t>
            </w:r>
            <w:proofErr w:type="spellEnd"/>
            <w:r w:rsidRPr="000E6CB9">
              <w:rPr>
                <w:b/>
                <w:bCs/>
                <w:sz w:val="18"/>
                <w:szCs w:val="18"/>
              </w:rPr>
              <w:t xml:space="preserve"> </w:t>
            </w:r>
            <w:r>
              <w:rPr>
                <w:b/>
                <w:bCs/>
                <w:sz w:val="18"/>
                <w:szCs w:val="18"/>
              </w:rPr>
              <w:t>de</w:t>
            </w:r>
            <w:r w:rsidRPr="000E6CB9">
              <w:rPr>
                <w:b/>
                <w:bCs/>
                <w:sz w:val="18"/>
                <w:szCs w:val="18"/>
              </w:rPr>
              <w:t xml:space="preserve"> 2019</w:t>
            </w:r>
            <w:r>
              <w:rPr>
                <w:b/>
                <w:bCs/>
                <w:sz w:val="18"/>
                <w:szCs w:val="18"/>
              </w:rPr>
              <w:t>/20</w:t>
            </w:r>
          </w:p>
        </w:tc>
        <w:tc>
          <w:tcPr>
            <w:tcW w:w="1350" w:type="dxa"/>
            <w:vMerge/>
            <w:shd w:val="clear" w:color="auto" w:fill="BDD6EE" w:themeFill="accent5" w:themeFillTint="66"/>
            <w:vAlign w:val="center"/>
            <w:hideMark/>
          </w:tcPr>
          <w:p w:rsidR="00E62ABB" w:rsidRPr="003C43C4" w:rsidRDefault="00E62ABB" w:rsidP="00E62ABB">
            <w:pPr>
              <w:tabs>
                <w:tab w:val="left" w:pos="8370"/>
              </w:tabs>
              <w:jc w:val="center"/>
              <w:rPr>
                <w:rFonts w:ascii="Arial" w:hAnsi="Arial" w:cs="Arial"/>
                <w:b/>
                <w:bCs/>
                <w:sz w:val="18"/>
                <w:szCs w:val="18"/>
              </w:rPr>
            </w:pPr>
          </w:p>
        </w:tc>
        <w:tc>
          <w:tcPr>
            <w:tcW w:w="1260" w:type="dxa"/>
            <w:vMerge w:val="restart"/>
            <w:shd w:val="clear" w:color="auto" w:fill="BDD6EE" w:themeFill="accent5" w:themeFillTint="66"/>
            <w:vAlign w:val="center"/>
            <w:hideMark/>
          </w:tcPr>
          <w:p w:rsidR="00E62ABB" w:rsidRPr="000E6CB9" w:rsidRDefault="00E62ABB" w:rsidP="00E62ABB">
            <w:pPr>
              <w:tabs>
                <w:tab w:val="left" w:pos="8370"/>
              </w:tabs>
              <w:jc w:val="center"/>
              <w:rPr>
                <w:b/>
                <w:bCs/>
                <w:sz w:val="18"/>
                <w:szCs w:val="18"/>
              </w:rPr>
            </w:pPr>
            <w:proofErr w:type="spellStart"/>
            <w:r w:rsidRPr="000E6CB9">
              <w:rPr>
                <w:b/>
                <w:bCs/>
                <w:sz w:val="18"/>
                <w:szCs w:val="18"/>
              </w:rPr>
              <w:t>Appro</w:t>
            </w:r>
            <w:r>
              <w:rPr>
                <w:b/>
                <w:bCs/>
                <w:sz w:val="18"/>
                <w:szCs w:val="18"/>
              </w:rPr>
              <w:t>uvé</w:t>
            </w:r>
            <w:proofErr w:type="spellEnd"/>
            <w:r>
              <w:rPr>
                <w:b/>
                <w:bCs/>
                <w:sz w:val="18"/>
                <w:szCs w:val="18"/>
              </w:rPr>
              <w:t xml:space="preserve"> </w:t>
            </w:r>
            <w:proofErr w:type="spellStart"/>
            <w:r>
              <w:rPr>
                <w:b/>
                <w:bCs/>
                <w:sz w:val="18"/>
                <w:szCs w:val="18"/>
              </w:rPr>
              <w:t>par</w:t>
            </w:r>
            <w:proofErr w:type="spellEnd"/>
            <w:r>
              <w:rPr>
                <w:b/>
                <w:bCs/>
                <w:sz w:val="18"/>
                <w:szCs w:val="18"/>
              </w:rPr>
              <w:t xml:space="preserve"> la </w:t>
            </w:r>
            <w:r w:rsidRPr="000E6CB9">
              <w:rPr>
                <w:b/>
                <w:bCs/>
                <w:sz w:val="18"/>
                <w:szCs w:val="18"/>
              </w:rPr>
              <w:t>COP12</w:t>
            </w:r>
          </w:p>
        </w:tc>
        <w:tc>
          <w:tcPr>
            <w:tcW w:w="1260" w:type="dxa"/>
            <w:vMerge w:val="restart"/>
            <w:shd w:val="clear" w:color="auto" w:fill="BDD6EE" w:themeFill="accent5" w:themeFillTint="66"/>
            <w:vAlign w:val="center"/>
            <w:hideMark/>
          </w:tcPr>
          <w:p w:rsidR="00E62ABB" w:rsidRPr="000E6CB9" w:rsidRDefault="00E62ABB" w:rsidP="00E62ABB">
            <w:pPr>
              <w:tabs>
                <w:tab w:val="left" w:pos="8370"/>
              </w:tabs>
              <w:jc w:val="center"/>
              <w:rPr>
                <w:b/>
                <w:bCs/>
                <w:sz w:val="18"/>
                <w:szCs w:val="18"/>
              </w:rPr>
            </w:pPr>
            <w:proofErr w:type="spellStart"/>
            <w:r w:rsidRPr="000E6CB9">
              <w:rPr>
                <w:b/>
                <w:bCs/>
                <w:sz w:val="18"/>
                <w:szCs w:val="18"/>
              </w:rPr>
              <w:t>Red</w:t>
            </w:r>
            <w:r>
              <w:rPr>
                <w:b/>
                <w:bCs/>
                <w:sz w:val="18"/>
                <w:szCs w:val="18"/>
              </w:rPr>
              <w:t>éployé</w:t>
            </w:r>
            <w:proofErr w:type="spellEnd"/>
            <w:r w:rsidRPr="000E6CB9">
              <w:rPr>
                <w:b/>
                <w:bCs/>
                <w:sz w:val="18"/>
                <w:szCs w:val="18"/>
              </w:rPr>
              <w:t xml:space="preserve"> </w:t>
            </w:r>
            <w:r>
              <w:rPr>
                <w:b/>
                <w:bCs/>
                <w:sz w:val="18"/>
                <w:szCs w:val="18"/>
              </w:rPr>
              <w:t>de</w:t>
            </w:r>
            <w:r w:rsidRPr="000E6CB9">
              <w:rPr>
                <w:b/>
                <w:bCs/>
                <w:sz w:val="18"/>
                <w:szCs w:val="18"/>
              </w:rPr>
              <w:t xml:space="preserve"> 20</w:t>
            </w:r>
            <w:r>
              <w:rPr>
                <w:b/>
                <w:bCs/>
                <w:sz w:val="18"/>
                <w:szCs w:val="18"/>
              </w:rPr>
              <w:t>20</w:t>
            </w:r>
          </w:p>
        </w:tc>
        <w:tc>
          <w:tcPr>
            <w:tcW w:w="1170" w:type="dxa"/>
            <w:vMerge w:val="restart"/>
            <w:shd w:val="clear" w:color="auto" w:fill="BDD6EE" w:themeFill="accent5" w:themeFillTint="66"/>
            <w:vAlign w:val="center"/>
            <w:hideMark/>
          </w:tcPr>
          <w:p w:rsidR="00E62ABB" w:rsidRPr="003C43C4" w:rsidRDefault="00E62ABB" w:rsidP="00E62ABB">
            <w:pPr>
              <w:tabs>
                <w:tab w:val="left" w:pos="8370"/>
              </w:tabs>
              <w:jc w:val="center"/>
              <w:rPr>
                <w:rFonts w:ascii="Arial" w:hAnsi="Arial" w:cs="Arial"/>
                <w:b/>
                <w:bCs/>
                <w:sz w:val="18"/>
                <w:szCs w:val="18"/>
              </w:rPr>
            </w:pPr>
            <w:r w:rsidRPr="003C43C4">
              <w:rPr>
                <w:rFonts w:ascii="Arial" w:hAnsi="Arial" w:cs="Arial"/>
                <w:b/>
                <w:bCs/>
                <w:sz w:val="18"/>
                <w:szCs w:val="18"/>
              </w:rPr>
              <w:t xml:space="preserve">Jan </w:t>
            </w:r>
            <w:r>
              <w:rPr>
                <w:rFonts w:ascii="Arial" w:hAnsi="Arial" w:cs="Arial"/>
                <w:b/>
                <w:bCs/>
                <w:sz w:val="18"/>
                <w:szCs w:val="18"/>
              </w:rPr>
              <w:t>–</w:t>
            </w:r>
            <w:r w:rsidRPr="003C43C4">
              <w:rPr>
                <w:rFonts w:ascii="Arial" w:hAnsi="Arial" w:cs="Arial"/>
                <w:b/>
                <w:bCs/>
                <w:sz w:val="18"/>
                <w:szCs w:val="18"/>
              </w:rPr>
              <w:t xml:space="preserve"> </w:t>
            </w:r>
            <w:r>
              <w:rPr>
                <w:rFonts w:ascii="Arial" w:hAnsi="Arial" w:cs="Arial"/>
                <w:b/>
                <w:bCs/>
                <w:sz w:val="18"/>
                <w:szCs w:val="18"/>
              </w:rPr>
              <w:t>Nov</w:t>
            </w:r>
          </w:p>
        </w:tc>
        <w:tc>
          <w:tcPr>
            <w:tcW w:w="1080" w:type="dxa"/>
            <w:shd w:val="clear" w:color="auto" w:fill="BDD6EE" w:themeFill="accent5" w:themeFillTint="66"/>
            <w:vAlign w:val="center"/>
            <w:hideMark/>
          </w:tcPr>
          <w:p w:rsidR="00E62ABB" w:rsidRPr="003C43C4" w:rsidRDefault="00E62ABB" w:rsidP="00E62ABB">
            <w:pPr>
              <w:tabs>
                <w:tab w:val="left" w:pos="8370"/>
              </w:tabs>
              <w:jc w:val="center"/>
              <w:rPr>
                <w:rFonts w:ascii="Arial" w:hAnsi="Arial" w:cs="Arial"/>
                <w:b/>
                <w:bCs/>
                <w:sz w:val="18"/>
                <w:szCs w:val="18"/>
              </w:rPr>
            </w:pPr>
            <w:proofErr w:type="spellStart"/>
            <w:r w:rsidRPr="003C43C4">
              <w:rPr>
                <w:rFonts w:ascii="Arial" w:hAnsi="Arial" w:cs="Arial"/>
                <w:b/>
                <w:bCs/>
                <w:sz w:val="18"/>
                <w:szCs w:val="18"/>
              </w:rPr>
              <w:t>D</w:t>
            </w:r>
            <w:r>
              <w:rPr>
                <w:rFonts w:ascii="Arial" w:hAnsi="Arial" w:cs="Arial"/>
                <w:b/>
                <w:bCs/>
                <w:sz w:val="18"/>
                <w:szCs w:val="18"/>
              </w:rPr>
              <w:t>é</w:t>
            </w:r>
            <w:r w:rsidRPr="003C43C4">
              <w:rPr>
                <w:rFonts w:ascii="Arial" w:hAnsi="Arial" w:cs="Arial"/>
                <w:b/>
                <w:bCs/>
                <w:sz w:val="18"/>
                <w:szCs w:val="18"/>
              </w:rPr>
              <w:t>c</w:t>
            </w:r>
            <w:proofErr w:type="spellEnd"/>
          </w:p>
        </w:tc>
        <w:tc>
          <w:tcPr>
            <w:tcW w:w="1260" w:type="dxa"/>
            <w:vMerge w:val="restart"/>
            <w:shd w:val="clear" w:color="auto" w:fill="BDD6EE" w:themeFill="accent5" w:themeFillTint="66"/>
            <w:vAlign w:val="center"/>
            <w:hideMark/>
          </w:tcPr>
          <w:p w:rsidR="00E62ABB" w:rsidRPr="003C43C4" w:rsidRDefault="00E62ABB" w:rsidP="00E62ABB">
            <w:pPr>
              <w:tabs>
                <w:tab w:val="left" w:pos="8370"/>
              </w:tabs>
              <w:jc w:val="center"/>
              <w:rPr>
                <w:rFonts w:ascii="Arial" w:hAnsi="Arial" w:cs="Arial"/>
                <w:b/>
                <w:bCs/>
                <w:sz w:val="18"/>
                <w:szCs w:val="18"/>
              </w:rPr>
            </w:pPr>
            <w:r w:rsidRPr="003C43C4">
              <w:rPr>
                <w:rFonts w:ascii="Arial" w:hAnsi="Arial" w:cs="Arial"/>
                <w:b/>
                <w:bCs/>
                <w:sz w:val="18"/>
                <w:szCs w:val="18"/>
              </w:rPr>
              <w:t>Total</w:t>
            </w:r>
          </w:p>
        </w:tc>
      </w:tr>
      <w:tr w:rsidR="00561DAF" w:rsidRPr="003C43C4" w:rsidTr="00561DAF">
        <w:trPr>
          <w:trHeight w:val="170"/>
          <w:tblHeader/>
        </w:trPr>
        <w:tc>
          <w:tcPr>
            <w:tcW w:w="4495" w:type="dxa"/>
            <w:vMerge/>
            <w:shd w:val="clear" w:color="auto" w:fill="BDD6EE" w:themeFill="accent5" w:themeFillTint="66"/>
            <w:vAlign w:val="center"/>
            <w:hideMark/>
          </w:tcPr>
          <w:p w:rsidR="00561DAF" w:rsidRPr="003C43C4" w:rsidRDefault="00561DAF" w:rsidP="00561DAF">
            <w:pPr>
              <w:tabs>
                <w:tab w:val="left" w:pos="8370"/>
              </w:tabs>
              <w:rPr>
                <w:rFonts w:ascii="Arial" w:hAnsi="Arial" w:cs="Arial"/>
                <w:b/>
                <w:bCs/>
                <w:sz w:val="18"/>
                <w:szCs w:val="18"/>
              </w:rPr>
            </w:pPr>
          </w:p>
        </w:tc>
        <w:tc>
          <w:tcPr>
            <w:tcW w:w="1260" w:type="dxa"/>
            <w:vMerge/>
            <w:shd w:val="clear" w:color="auto" w:fill="BDD6EE" w:themeFill="accent5" w:themeFillTint="66"/>
            <w:hideMark/>
          </w:tcPr>
          <w:p w:rsidR="00561DAF" w:rsidRPr="003C43C4" w:rsidRDefault="00561DAF" w:rsidP="00561DAF">
            <w:pPr>
              <w:tabs>
                <w:tab w:val="left" w:pos="8370"/>
              </w:tabs>
              <w:jc w:val="center"/>
              <w:rPr>
                <w:rFonts w:ascii="Arial" w:hAnsi="Arial" w:cs="Arial"/>
                <w:b/>
                <w:bCs/>
                <w:sz w:val="18"/>
                <w:szCs w:val="18"/>
              </w:rPr>
            </w:pPr>
          </w:p>
        </w:tc>
        <w:tc>
          <w:tcPr>
            <w:tcW w:w="1350" w:type="dxa"/>
            <w:vMerge/>
            <w:shd w:val="clear" w:color="auto" w:fill="BDD6EE" w:themeFill="accent5" w:themeFillTint="66"/>
            <w:hideMark/>
          </w:tcPr>
          <w:p w:rsidR="00561DAF" w:rsidRPr="003C43C4" w:rsidRDefault="00561DAF" w:rsidP="00561DAF">
            <w:pPr>
              <w:tabs>
                <w:tab w:val="left" w:pos="8370"/>
              </w:tabs>
              <w:jc w:val="center"/>
              <w:rPr>
                <w:rFonts w:ascii="Arial" w:hAnsi="Arial" w:cs="Arial"/>
                <w:b/>
                <w:bCs/>
                <w:sz w:val="18"/>
                <w:szCs w:val="18"/>
              </w:rPr>
            </w:pPr>
          </w:p>
        </w:tc>
        <w:tc>
          <w:tcPr>
            <w:tcW w:w="1350" w:type="dxa"/>
            <w:vMerge/>
            <w:shd w:val="clear" w:color="auto" w:fill="BDD6EE" w:themeFill="accent5" w:themeFillTint="66"/>
            <w:hideMark/>
          </w:tcPr>
          <w:p w:rsidR="00561DAF" w:rsidRPr="003C43C4" w:rsidRDefault="00561DAF" w:rsidP="00561DAF">
            <w:pPr>
              <w:tabs>
                <w:tab w:val="left" w:pos="8370"/>
              </w:tabs>
              <w:jc w:val="center"/>
              <w:rPr>
                <w:rFonts w:ascii="Arial" w:hAnsi="Arial" w:cs="Arial"/>
                <w:b/>
                <w:bCs/>
                <w:sz w:val="18"/>
                <w:szCs w:val="18"/>
              </w:rPr>
            </w:pPr>
          </w:p>
        </w:tc>
        <w:tc>
          <w:tcPr>
            <w:tcW w:w="1260" w:type="dxa"/>
            <w:vMerge/>
            <w:shd w:val="clear" w:color="auto" w:fill="BDD6EE" w:themeFill="accent5" w:themeFillTint="66"/>
            <w:hideMark/>
          </w:tcPr>
          <w:p w:rsidR="00561DAF" w:rsidRPr="003C43C4" w:rsidRDefault="00561DAF" w:rsidP="00561DAF">
            <w:pPr>
              <w:tabs>
                <w:tab w:val="left" w:pos="8370"/>
              </w:tabs>
              <w:jc w:val="center"/>
              <w:rPr>
                <w:rFonts w:ascii="Arial" w:hAnsi="Arial" w:cs="Arial"/>
                <w:b/>
                <w:bCs/>
                <w:sz w:val="18"/>
                <w:szCs w:val="18"/>
              </w:rPr>
            </w:pPr>
          </w:p>
        </w:tc>
        <w:tc>
          <w:tcPr>
            <w:tcW w:w="1260" w:type="dxa"/>
            <w:vMerge/>
            <w:shd w:val="clear" w:color="auto" w:fill="BDD6EE" w:themeFill="accent5" w:themeFillTint="66"/>
            <w:hideMark/>
          </w:tcPr>
          <w:p w:rsidR="00561DAF" w:rsidRPr="003C43C4" w:rsidRDefault="00561DAF" w:rsidP="00561DAF">
            <w:pPr>
              <w:tabs>
                <w:tab w:val="left" w:pos="8370"/>
              </w:tabs>
              <w:jc w:val="center"/>
              <w:rPr>
                <w:rFonts w:ascii="Arial" w:hAnsi="Arial" w:cs="Arial"/>
                <w:b/>
                <w:bCs/>
                <w:sz w:val="18"/>
                <w:szCs w:val="18"/>
              </w:rPr>
            </w:pPr>
          </w:p>
        </w:tc>
        <w:tc>
          <w:tcPr>
            <w:tcW w:w="1170" w:type="dxa"/>
            <w:vMerge/>
            <w:shd w:val="clear" w:color="auto" w:fill="BDD6EE" w:themeFill="accent5" w:themeFillTint="66"/>
            <w:hideMark/>
          </w:tcPr>
          <w:p w:rsidR="00561DAF" w:rsidRPr="003C43C4" w:rsidRDefault="00561DAF" w:rsidP="00561DAF">
            <w:pPr>
              <w:tabs>
                <w:tab w:val="left" w:pos="8370"/>
              </w:tabs>
              <w:jc w:val="center"/>
              <w:rPr>
                <w:rFonts w:ascii="Arial" w:hAnsi="Arial" w:cs="Arial"/>
                <w:b/>
                <w:bCs/>
                <w:sz w:val="18"/>
                <w:szCs w:val="18"/>
              </w:rPr>
            </w:pPr>
          </w:p>
        </w:tc>
        <w:tc>
          <w:tcPr>
            <w:tcW w:w="1080" w:type="dxa"/>
            <w:shd w:val="clear" w:color="auto" w:fill="BDD6EE" w:themeFill="accent5" w:themeFillTint="66"/>
            <w:hideMark/>
          </w:tcPr>
          <w:p w:rsidR="00561DAF" w:rsidRPr="003C43C4" w:rsidRDefault="00561DAF" w:rsidP="00561DAF">
            <w:pPr>
              <w:tabs>
                <w:tab w:val="left" w:pos="8370"/>
              </w:tabs>
              <w:jc w:val="center"/>
              <w:rPr>
                <w:rFonts w:ascii="Arial" w:hAnsi="Arial" w:cs="Arial"/>
                <w:b/>
                <w:bCs/>
                <w:sz w:val="18"/>
                <w:szCs w:val="18"/>
              </w:rPr>
            </w:pPr>
            <w:proofErr w:type="spellStart"/>
            <w:r w:rsidRPr="003C43C4">
              <w:rPr>
                <w:rFonts w:ascii="Arial" w:hAnsi="Arial" w:cs="Arial"/>
                <w:b/>
                <w:bCs/>
                <w:sz w:val="18"/>
                <w:szCs w:val="18"/>
              </w:rPr>
              <w:t>Projet</w:t>
            </w:r>
            <w:r w:rsidR="00E62ABB">
              <w:rPr>
                <w:rFonts w:ascii="Arial" w:hAnsi="Arial" w:cs="Arial"/>
                <w:b/>
                <w:bCs/>
                <w:sz w:val="18"/>
                <w:szCs w:val="18"/>
              </w:rPr>
              <w:t>é</w:t>
            </w:r>
            <w:proofErr w:type="spellEnd"/>
          </w:p>
        </w:tc>
        <w:tc>
          <w:tcPr>
            <w:tcW w:w="1260" w:type="dxa"/>
            <w:vMerge/>
            <w:shd w:val="clear" w:color="auto" w:fill="BDD6EE" w:themeFill="accent5" w:themeFillTint="66"/>
            <w:hideMark/>
          </w:tcPr>
          <w:p w:rsidR="00561DAF" w:rsidRPr="003C43C4" w:rsidRDefault="00561DAF" w:rsidP="00561DAF">
            <w:pPr>
              <w:tabs>
                <w:tab w:val="left" w:pos="8370"/>
              </w:tabs>
              <w:jc w:val="center"/>
              <w:rPr>
                <w:rFonts w:ascii="Arial" w:hAnsi="Arial" w:cs="Arial"/>
                <w:b/>
                <w:bCs/>
                <w:sz w:val="18"/>
                <w:szCs w:val="18"/>
              </w:rPr>
            </w:pPr>
          </w:p>
        </w:tc>
      </w:tr>
      <w:tr w:rsidR="00561DAF" w:rsidRPr="003C43C4" w:rsidTr="00561DAF">
        <w:trPr>
          <w:trHeight w:val="355"/>
        </w:trPr>
        <w:tc>
          <w:tcPr>
            <w:tcW w:w="4495" w:type="dxa"/>
            <w:noWrap/>
            <w:vAlign w:val="center"/>
            <w:hideMark/>
          </w:tcPr>
          <w:p w:rsidR="00561DAF" w:rsidRPr="003C43C4" w:rsidRDefault="00E62ABB" w:rsidP="00561DAF">
            <w:pPr>
              <w:tabs>
                <w:tab w:val="left" w:pos="8370"/>
              </w:tabs>
              <w:rPr>
                <w:rFonts w:ascii="Arial" w:hAnsi="Arial" w:cs="Arial"/>
                <w:b/>
                <w:bCs/>
                <w:sz w:val="18"/>
                <w:szCs w:val="18"/>
              </w:rPr>
            </w:pPr>
            <w:proofErr w:type="spellStart"/>
            <w:r w:rsidRPr="00E62ABB">
              <w:rPr>
                <w:rFonts w:ascii="Arial" w:hAnsi="Arial" w:cs="Arial"/>
                <w:b/>
                <w:bCs/>
                <w:sz w:val="18"/>
                <w:szCs w:val="18"/>
              </w:rPr>
              <w:t>Coûts</w:t>
            </w:r>
            <w:proofErr w:type="spellEnd"/>
            <w:r w:rsidRPr="00E62ABB">
              <w:rPr>
                <w:rFonts w:ascii="Arial" w:hAnsi="Arial" w:cs="Arial"/>
                <w:b/>
                <w:bCs/>
                <w:sz w:val="18"/>
                <w:szCs w:val="18"/>
              </w:rPr>
              <w:t xml:space="preserve"> de personnel</w:t>
            </w:r>
          </w:p>
        </w:tc>
        <w:tc>
          <w:tcPr>
            <w:tcW w:w="1260" w:type="dxa"/>
            <w:noWrap/>
            <w:vAlign w:val="center"/>
            <w:hideMark/>
          </w:tcPr>
          <w:p w:rsidR="00561DAF" w:rsidRPr="003C43C4" w:rsidRDefault="00561DAF" w:rsidP="00561DAF">
            <w:pPr>
              <w:tabs>
                <w:tab w:val="left" w:pos="8370"/>
              </w:tabs>
              <w:jc w:val="right"/>
              <w:rPr>
                <w:rFonts w:ascii="Arial" w:hAnsi="Arial" w:cs="Arial"/>
                <w:b/>
                <w:bCs/>
                <w:sz w:val="18"/>
                <w:szCs w:val="18"/>
              </w:rPr>
            </w:pPr>
          </w:p>
        </w:tc>
        <w:tc>
          <w:tcPr>
            <w:tcW w:w="1350" w:type="dxa"/>
            <w:noWrap/>
            <w:vAlign w:val="center"/>
            <w:hideMark/>
          </w:tcPr>
          <w:p w:rsidR="00561DAF" w:rsidRPr="003C43C4" w:rsidRDefault="00561DAF" w:rsidP="00561DAF">
            <w:pPr>
              <w:tabs>
                <w:tab w:val="left" w:pos="8370"/>
              </w:tabs>
              <w:jc w:val="right"/>
              <w:rPr>
                <w:rFonts w:ascii="Arial" w:hAnsi="Arial" w:cs="Arial"/>
                <w:b/>
                <w:bCs/>
                <w:sz w:val="18"/>
                <w:szCs w:val="18"/>
              </w:rPr>
            </w:pPr>
          </w:p>
        </w:tc>
        <w:tc>
          <w:tcPr>
            <w:tcW w:w="1350" w:type="dxa"/>
            <w:noWrap/>
            <w:vAlign w:val="center"/>
            <w:hideMark/>
          </w:tcPr>
          <w:p w:rsidR="00561DAF" w:rsidRPr="003C43C4" w:rsidRDefault="00561DAF" w:rsidP="00561DAF">
            <w:pPr>
              <w:tabs>
                <w:tab w:val="left" w:pos="8370"/>
              </w:tabs>
              <w:jc w:val="right"/>
              <w:rPr>
                <w:rFonts w:ascii="Arial" w:hAnsi="Arial" w:cs="Arial"/>
                <w:b/>
                <w:bCs/>
                <w:sz w:val="18"/>
                <w:szCs w:val="18"/>
              </w:rPr>
            </w:pPr>
          </w:p>
        </w:tc>
        <w:tc>
          <w:tcPr>
            <w:tcW w:w="1260" w:type="dxa"/>
            <w:noWrap/>
            <w:vAlign w:val="center"/>
            <w:hideMark/>
          </w:tcPr>
          <w:p w:rsidR="00561DAF" w:rsidRPr="003C43C4" w:rsidRDefault="00561DAF" w:rsidP="00561DAF">
            <w:pPr>
              <w:tabs>
                <w:tab w:val="left" w:pos="8370"/>
              </w:tabs>
              <w:jc w:val="right"/>
              <w:rPr>
                <w:rFonts w:ascii="Arial" w:hAnsi="Arial" w:cs="Arial"/>
                <w:b/>
                <w:bCs/>
                <w:sz w:val="18"/>
                <w:szCs w:val="18"/>
              </w:rPr>
            </w:pPr>
          </w:p>
        </w:tc>
        <w:tc>
          <w:tcPr>
            <w:tcW w:w="1260" w:type="dxa"/>
            <w:noWrap/>
            <w:vAlign w:val="center"/>
            <w:hideMark/>
          </w:tcPr>
          <w:p w:rsidR="00561DAF" w:rsidRPr="003C43C4" w:rsidRDefault="00561DAF" w:rsidP="00561DAF">
            <w:pPr>
              <w:tabs>
                <w:tab w:val="left" w:pos="8370"/>
              </w:tabs>
              <w:jc w:val="right"/>
              <w:rPr>
                <w:rFonts w:ascii="Arial" w:hAnsi="Arial" w:cs="Arial"/>
                <w:b/>
                <w:bCs/>
                <w:sz w:val="18"/>
                <w:szCs w:val="18"/>
              </w:rPr>
            </w:pPr>
          </w:p>
        </w:tc>
        <w:tc>
          <w:tcPr>
            <w:tcW w:w="1170" w:type="dxa"/>
            <w:noWrap/>
            <w:vAlign w:val="center"/>
            <w:hideMark/>
          </w:tcPr>
          <w:p w:rsidR="00561DAF" w:rsidRPr="003C43C4" w:rsidRDefault="00561DAF" w:rsidP="00561DAF">
            <w:pPr>
              <w:tabs>
                <w:tab w:val="left" w:pos="8370"/>
              </w:tabs>
              <w:jc w:val="right"/>
              <w:rPr>
                <w:rFonts w:ascii="Arial" w:hAnsi="Arial" w:cs="Arial"/>
                <w:b/>
                <w:bCs/>
                <w:sz w:val="18"/>
                <w:szCs w:val="18"/>
              </w:rPr>
            </w:pPr>
          </w:p>
        </w:tc>
        <w:tc>
          <w:tcPr>
            <w:tcW w:w="1080" w:type="dxa"/>
            <w:noWrap/>
            <w:vAlign w:val="center"/>
            <w:hideMark/>
          </w:tcPr>
          <w:p w:rsidR="00561DAF" w:rsidRPr="003C43C4" w:rsidRDefault="00561DAF" w:rsidP="00561DAF">
            <w:pPr>
              <w:tabs>
                <w:tab w:val="left" w:pos="8370"/>
              </w:tabs>
              <w:jc w:val="right"/>
              <w:rPr>
                <w:rFonts w:ascii="Arial" w:hAnsi="Arial" w:cs="Arial"/>
                <w:b/>
                <w:bCs/>
                <w:sz w:val="18"/>
                <w:szCs w:val="18"/>
              </w:rPr>
            </w:pPr>
          </w:p>
        </w:tc>
        <w:tc>
          <w:tcPr>
            <w:tcW w:w="1260" w:type="dxa"/>
            <w:noWrap/>
            <w:vAlign w:val="center"/>
            <w:hideMark/>
          </w:tcPr>
          <w:p w:rsidR="00561DAF" w:rsidRPr="003C43C4" w:rsidRDefault="00561DAF" w:rsidP="00561DAF">
            <w:pPr>
              <w:tabs>
                <w:tab w:val="left" w:pos="8370"/>
              </w:tabs>
              <w:jc w:val="right"/>
              <w:rPr>
                <w:rFonts w:ascii="Arial" w:hAnsi="Arial" w:cs="Arial"/>
                <w:b/>
                <w:bCs/>
                <w:sz w:val="18"/>
                <w:szCs w:val="18"/>
              </w:rPr>
            </w:pPr>
          </w:p>
        </w:tc>
      </w:tr>
      <w:tr w:rsidR="00561DAF" w:rsidRPr="003C43C4" w:rsidTr="00561DAF">
        <w:trPr>
          <w:trHeight w:val="355"/>
        </w:trPr>
        <w:tc>
          <w:tcPr>
            <w:tcW w:w="4495" w:type="dxa"/>
            <w:noWrap/>
            <w:vAlign w:val="center"/>
            <w:hideMark/>
          </w:tcPr>
          <w:p w:rsidR="00561DAF" w:rsidRPr="003C43C4" w:rsidRDefault="00561DAF" w:rsidP="00561DAF">
            <w:pPr>
              <w:tabs>
                <w:tab w:val="left" w:pos="8370"/>
              </w:tabs>
              <w:rPr>
                <w:rFonts w:ascii="Arial" w:hAnsi="Arial" w:cs="Arial"/>
                <w:sz w:val="18"/>
                <w:szCs w:val="18"/>
              </w:rPr>
            </w:pPr>
            <w:r w:rsidRPr="003C43C4">
              <w:rPr>
                <w:rFonts w:ascii="Arial" w:hAnsi="Arial" w:cs="Arial"/>
                <w:sz w:val="18"/>
                <w:szCs w:val="18"/>
              </w:rPr>
              <w:t>P</w:t>
            </w:r>
            <w:r w:rsidR="00E62ABB">
              <w:rPr>
                <w:rFonts w:ascii="Arial" w:hAnsi="Arial" w:cs="Arial"/>
                <w:sz w:val="18"/>
                <w:szCs w:val="18"/>
              </w:rPr>
              <w:t xml:space="preserve">ersonnel </w:t>
            </w:r>
            <w:proofErr w:type="spellStart"/>
            <w:r w:rsidR="00E62ABB">
              <w:rPr>
                <w:rFonts w:ascii="Arial" w:hAnsi="Arial" w:cs="Arial"/>
                <w:sz w:val="18"/>
                <w:szCs w:val="18"/>
              </w:rPr>
              <w:t>professionnel</w:t>
            </w:r>
            <w:proofErr w:type="spellEnd"/>
            <w:r w:rsidRPr="003C43C4">
              <w:rPr>
                <w:rFonts w:ascii="Arial" w:hAnsi="Arial" w:cs="Arial"/>
                <w:sz w:val="18"/>
                <w:szCs w:val="18"/>
              </w:rPr>
              <w:t xml:space="preserve"> </w:t>
            </w:r>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1</w:t>
            </w:r>
            <w:r w:rsidR="00B74011">
              <w:rPr>
                <w:rFonts w:ascii="Arial" w:hAnsi="Arial" w:cs="Arial"/>
                <w:bCs/>
                <w:sz w:val="18"/>
                <w:szCs w:val="18"/>
              </w:rPr>
              <w:t xml:space="preserve"> </w:t>
            </w:r>
            <w:r w:rsidRPr="003C43C4">
              <w:rPr>
                <w:rFonts w:ascii="Arial" w:hAnsi="Arial" w:cs="Arial"/>
                <w:bCs/>
                <w:sz w:val="18"/>
                <w:szCs w:val="18"/>
              </w:rPr>
              <w:t>412</w:t>
            </w:r>
            <w:r w:rsidR="00B74011">
              <w:rPr>
                <w:rFonts w:ascii="Arial" w:hAnsi="Arial" w:cs="Arial"/>
                <w:bCs/>
                <w:sz w:val="18"/>
                <w:szCs w:val="18"/>
              </w:rPr>
              <w:t xml:space="preserve"> </w:t>
            </w:r>
            <w:r w:rsidRPr="003C43C4">
              <w:rPr>
                <w:rFonts w:ascii="Arial" w:hAnsi="Arial" w:cs="Arial"/>
                <w:bCs/>
                <w:sz w:val="18"/>
                <w:szCs w:val="18"/>
              </w:rPr>
              <w:t xml:space="preserve">657 </w:t>
            </w:r>
          </w:p>
        </w:tc>
        <w:tc>
          <w:tcPr>
            <w:tcW w:w="135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35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1</w:t>
            </w:r>
            <w:r w:rsidR="00B74011">
              <w:rPr>
                <w:rFonts w:ascii="Arial" w:hAnsi="Arial" w:cs="Arial"/>
                <w:bCs/>
                <w:sz w:val="18"/>
                <w:szCs w:val="18"/>
              </w:rPr>
              <w:t xml:space="preserve"> </w:t>
            </w:r>
            <w:r w:rsidRPr="003C43C4">
              <w:rPr>
                <w:rFonts w:ascii="Arial" w:hAnsi="Arial" w:cs="Arial"/>
                <w:bCs/>
                <w:sz w:val="18"/>
                <w:szCs w:val="18"/>
              </w:rPr>
              <w:t>003</w:t>
            </w:r>
            <w:r w:rsidR="00B74011">
              <w:rPr>
                <w:rFonts w:ascii="Arial" w:hAnsi="Arial" w:cs="Arial"/>
                <w:bCs/>
                <w:sz w:val="18"/>
                <w:szCs w:val="18"/>
              </w:rPr>
              <w:t xml:space="preserve"> </w:t>
            </w:r>
            <w:r w:rsidRPr="003C43C4">
              <w:rPr>
                <w:rFonts w:ascii="Arial" w:hAnsi="Arial" w:cs="Arial"/>
                <w:bCs/>
                <w:sz w:val="18"/>
                <w:szCs w:val="18"/>
              </w:rPr>
              <w:t xml:space="preserve">774 </w:t>
            </w:r>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1</w:t>
            </w:r>
            <w:r w:rsidR="00B74011">
              <w:rPr>
                <w:rFonts w:ascii="Arial" w:hAnsi="Arial" w:cs="Arial"/>
                <w:bCs/>
                <w:sz w:val="18"/>
                <w:szCs w:val="18"/>
              </w:rPr>
              <w:t xml:space="preserve"> </w:t>
            </w:r>
            <w:r w:rsidRPr="003C43C4">
              <w:rPr>
                <w:rFonts w:ascii="Arial" w:hAnsi="Arial" w:cs="Arial"/>
                <w:bCs/>
                <w:sz w:val="18"/>
                <w:szCs w:val="18"/>
              </w:rPr>
              <w:t>440</w:t>
            </w:r>
            <w:r w:rsidR="00B74011">
              <w:rPr>
                <w:rFonts w:ascii="Arial" w:hAnsi="Arial" w:cs="Arial"/>
                <w:bCs/>
                <w:sz w:val="18"/>
                <w:szCs w:val="18"/>
              </w:rPr>
              <w:t xml:space="preserve"> </w:t>
            </w:r>
            <w:r w:rsidRPr="003C43C4">
              <w:rPr>
                <w:rFonts w:ascii="Arial" w:hAnsi="Arial" w:cs="Arial"/>
                <w:bCs/>
                <w:sz w:val="18"/>
                <w:szCs w:val="18"/>
              </w:rPr>
              <w:t xml:space="preserve">910 </w:t>
            </w:r>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17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1</w:t>
            </w:r>
            <w:r w:rsidR="00B74011">
              <w:rPr>
                <w:rFonts w:ascii="Arial" w:hAnsi="Arial" w:cs="Arial"/>
                <w:bCs/>
                <w:sz w:val="18"/>
                <w:szCs w:val="18"/>
              </w:rPr>
              <w:t xml:space="preserve"> </w:t>
            </w:r>
            <w:r w:rsidRPr="003C43C4">
              <w:rPr>
                <w:rFonts w:ascii="Arial" w:hAnsi="Arial" w:cs="Arial"/>
                <w:bCs/>
                <w:sz w:val="18"/>
                <w:szCs w:val="18"/>
              </w:rPr>
              <w:t>023</w:t>
            </w:r>
            <w:r w:rsidR="00B74011">
              <w:rPr>
                <w:rFonts w:ascii="Arial" w:hAnsi="Arial" w:cs="Arial"/>
                <w:bCs/>
                <w:sz w:val="18"/>
                <w:szCs w:val="18"/>
              </w:rPr>
              <w:t xml:space="preserve"> </w:t>
            </w:r>
            <w:r w:rsidRPr="003C43C4">
              <w:rPr>
                <w:rFonts w:ascii="Arial" w:hAnsi="Arial" w:cs="Arial"/>
                <w:bCs/>
                <w:sz w:val="18"/>
                <w:szCs w:val="18"/>
              </w:rPr>
              <w:t xml:space="preserve">779 </w:t>
            </w:r>
          </w:p>
        </w:tc>
        <w:tc>
          <w:tcPr>
            <w:tcW w:w="108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91</w:t>
            </w:r>
            <w:r w:rsidR="00B74011">
              <w:rPr>
                <w:rFonts w:ascii="Arial" w:hAnsi="Arial" w:cs="Arial"/>
                <w:bCs/>
                <w:sz w:val="18"/>
                <w:szCs w:val="18"/>
              </w:rPr>
              <w:t xml:space="preserve"> </w:t>
            </w:r>
            <w:r w:rsidRPr="003C43C4">
              <w:rPr>
                <w:rFonts w:ascii="Arial" w:hAnsi="Arial" w:cs="Arial"/>
                <w:bCs/>
                <w:sz w:val="18"/>
                <w:szCs w:val="18"/>
              </w:rPr>
              <w:t xml:space="preserve">157 </w:t>
            </w:r>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1</w:t>
            </w:r>
            <w:r w:rsidR="00B74011">
              <w:rPr>
                <w:rFonts w:ascii="Arial" w:hAnsi="Arial" w:cs="Arial"/>
                <w:bCs/>
                <w:sz w:val="18"/>
                <w:szCs w:val="18"/>
              </w:rPr>
              <w:t xml:space="preserve"> </w:t>
            </w:r>
            <w:r w:rsidRPr="003C43C4">
              <w:rPr>
                <w:rFonts w:ascii="Arial" w:hAnsi="Arial" w:cs="Arial"/>
                <w:bCs/>
                <w:sz w:val="18"/>
                <w:szCs w:val="18"/>
              </w:rPr>
              <w:t>114</w:t>
            </w:r>
            <w:r w:rsidR="00B74011">
              <w:rPr>
                <w:rFonts w:ascii="Arial" w:hAnsi="Arial" w:cs="Arial"/>
                <w:bCs/>
                <w:sz w:val="18"/>
                <w:szCs w:val="18"/>
              </w:rPr>
              <w:t xml:space="preserve"> </w:t>
            </w:r>
            <w:r w:rsidRPr="003C43C4">
              <w:rPr>
                <w:rFonts w:ascii="Arial" w:hAnsi="Arial" w:cs="Arial"/>
                <w:bCs/>
                <w:sz w:val="18"/>
                <w:szCs w:val="18"/>
              </w:rPr>
              <w:t xml:space="preserve">935 </w:t>
            </w:r>
          </w:p>
        </w:tc>
      </w:tr>
      <w:tr w:rsidR="00561DAF" w:rsidRPr="003C43C4" w:rsidTr="00561DAF">
        <w:trPr>
          <w:trHeight w:val="355"/>
        </w:trPr>
        <w:tc>
          <w:tcPr>
            <w:tcW w:w="4495" w:type="dxa"/>
            <w:noWrap/>
            <w:vAlign w:val="center"/>
            <w:hideMark/>
          </w:tcPr>
          <w:p w:rsidR="00561DAF" w:rsidRPr="003C43C4" w:rsidRDefault="00E62ABB" w:rsidP="00561DAF">
            <w:pPr>
              <w:tabs>
                <w:tab w:val="left" w:pos="8370"/>
              </w:tabs>
              <w:rPr>
                <w:rFonts w:ascii="Arial" w:hAnsi="Arial" w:cs="Arial"/>
                <w:sz w:val="18"/>
                <w:szCs w:val="18"/>
              </w:rPr>
            </w:pPr>
            <w:r>
              <w:rPr>
                <w:rFonts w:ascii="Arial" w:hAnsi="Arial" w:cs="Arial"/>
                <w:sz w:val="18"/>
                <w:szCs w:val="18"/>
              </w:rPr>
              <w:t xml:space="preserve">Personnel </w:t>
            </w:r>
            <w:proofErr w:type="spellStart"/>
            <w:r>
              <w:rPr>
                <w:rFonts w:ascii="Arial" w:hAnsi="Arial" w:cs="Arial"/>
                <w:sz w:val="18"/>
                <w:szCs w:val="18"/>
              </w:rPr>
              <w:t>d’appui</w:t>
            </w:r>
            <w:proofErr w:type="spellEnd"/>
            <w:r>
              <w:rPr>
                <w:rFonts w:ascii="Arial" w:hAnsi="Arial" w:cs="Arial"/>
                <w:sz w:val="18"/>
                <w:szCs w:val="18"/>
              </w:rPr>
              <w:t xml:space="preserve"> </w:t>
            </w:r>
            <w:proofErr w:type="spellStart"/>
            <w:r>
              <w:rPr>
                <w:rFonts w:ascii="Arial" w:hAnsi="Arial" w:cs="Arial"/>
                <w:sz w:val="18"/>
                <w:szCs w:val="18"/>
              </w:rPr>
              <w:t>général</w:t>
            </w:r>
            <w:proofErr w:type="spellEnd"/>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472</w:t>
            </w:r>
            <w:r w:rsidR="00B74011">
              <w:rPr>
                <w:rFonts w:ascii="Arial" w:hAnsi="Arial" w:cs="Arial"/>
                <w:bCs/>
                <w:sz w:val="18"/>
                <w:szCs w:val="18"/>
              </w:rPr>
              <w:t xml:space="preserve"> </w:t>
            </w:r>
            <w:r w:rsidRPr="003C43C4">
              <w:rPr>
                <w:rFonts w:ascii="Arial" w:hAnsi="Arial" w:cs="Arial"/>
                <w:bCs/>
                <w:sz w:val="18"/>
                <w:szCs w:val="18"/>
              </w:rPr>
              <w:t xml:space="preserve">731 </w:t>
            </w:r>
          </w:p>
        </w:tc>
        <w:tc>
          <w:tcPr>
            <w:tcW w:w="135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35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464</w:t>
            </w:r>
            <w:r w:rsidR="00B74011">
              <w:rPr>
                <w:rFonts w:ascii="Arial" w:hAnsi="Arial" w:cs="Arial"/>
                <w:bCs/>
                <w:sz w:val="18"/>
                <w:szCs w:val="18"/>
              </w:rPr>
              <w:t xml:space="preserve"> </w:t>
            </w:r>
            <w:r w:rsidRPr="003C43C4">
              <w:rPr>
                <w:rFonts w:ascii="Arial" w:hAnsi="Arial" w:cs="Arial"/>
                <w:bCs/>
                <w:sz w:val="18"/>
                <w:szCs w:val="18"/>
              </w:rPr>
              <w:t xml:space="preserve">398 </w:t>
            </w:r>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482</w:t>
            </w:r>
            <w:r w:rsidR="00B74011">
              <w:rPr>
                <w:rFonts w:ascii="Arial" w:hAnsi="Arial" w:cs="Arial"/>
                <w:bCs/>
                <w:sz w:val="18"/>
                <w:szCs w:val="18"/>
              </w:rPr>
              <w:t xml:space="preserve"> </w:t>
            </w:r>
            <w:r w:rsidRPr="003C43C4">
              <w:rPr>
                <w:rFonts w:ascii="Arial" w:hAnsi="Arial" w:cs="Arial"/>
                <w:bCs/>
                <w:sz w:val="18"/>
                <w:szCs w:val="18"/>
              </w:rPr>
              <w:t xml:space="preserve">186 </w:t>
            </w:r>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17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412</w:t>
            </w:r>
            <w:r w:rsidR="00B74011">
              <w:rPr>
                <w:rFonts w:ascii="Arial" w:hAnsi="Arial" w:cs="Arial"/>
                <w:bCs/>
                <w:sz w:val="18"/>
                <w:szCs w:val="18"/>
              </w:rPr>
              <w:t xml:space="preserve"> </w:t>
            </w:r>
            <w:r w:rsidRPr="003C43C4">
              <w:rPr>
                <w:rFonts w:ascii="Arial" w:hAnsi="Arial" w:cs="Arial"/>
                <w:bCs/>
                <w:sz w:val="18"/>
                <w:szCs w:val="18"/>
              </w:rPr>
              <w:t xml:space="preserve">872 </w:t>
            </w:r>
          </w:p>
        </w:tc>
        <w:tc>
          <w:tcPr>
            <w:tcW w:w="108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61</w:t>
            </w:r>
            <w:r w:rsidR="00B74011">
              <w:rPr>
                <w:rFonts w:ascii="Arial" w:hAnsi="Arial" w:cs="Arial"/>
                <w:bCs/>
                <w:sz w:val="18"/>
                <w:szCs w:val="18"/>
              </w:rPr>
              <w:t xml:space="preserve"> </w:t>
            </w:r>
            <w:r w:rsidRPr="003C43C4">
              <w:rPr>
                <w:rFonts w:ascii="Arial" w:hAnsi="Arial" w:cs="Arial"/>
                <w:bCs/>
                <w:sz w:val="18"/>
                <w:szCs w:val="18"/>
              </w:rPr>
              <w:t xml:space="preserve">734 </w:t>
            </w:r>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474</w:t>
            </w:r>
            <w:r w:rsidR="00B74011">
              <w:rPr>
                <w:rFonts w:ascii="Arial" w:hAnsi="Arial" w:cs="Arial"/>
                <w:bCs/>
                <w:sz w:val="18"/>
                <w:szCs w:val="18"/>
              </w:rPr>
              <w:t xml:space="preserve"> </w:t>
            </w:r>
            <w:r w:rsidRPr="003C43C4">
              <w:rPr>
                <w:rFonts w:ascii="Arial" w:hAnsi="Arial" w:cs="Arial"/>
                <w:bCs/>
                <w:sz w:val="18"/>
                <w:szCs w:val="18"/>
              </w:rPr>
              <w:t xml:space="preserve">606 </w:t>
            </w:r>
          </w:p>
        </w:tc>
      </w:tr>
      <w:tr w:rsidR="00561DAF" w:rsidRPr="003C43C4" w:rsidTr="00561DAF">
        <w:trPr>
          <w:trHeight w:val="355"/>
        </w:trPr>
        <w:tc>
          <w:tcPr>
            <w:tcW w:w="4495" w:type="dxa"/>
            <w:shd w:val="clear" w:color="auto" w:fill="BDD6EE" w:themeFill="accent5" w:themeFillTint="66"/>
            <w:noWrap/>
            <w:vAlign w:val="center"/>
            <w:hideMark/>
          </w:tcPr>
          <w:p w:rsidR="00561DAF" w:rsidRPr="003C43C4" w:rsidRDefault="00561DAF" w:rsidP="00561DAF">
            <w:pPr>
              <w:tabs>
                <w:tab w:val="left" w:pos="8370"/>
              </w:tabs>
              <w:rPr>
                <w:rFonts w:ascii="Arial" w:hAnsi="Arial" w:cs="Arial"/>
                <w:b/>
                <w:bCs/>
                <w:sz w:val="18"/>
                <w:szCs w:val="18"/>
              </w:rPr>
            </w:pPr>
            <w:r w:rsidRPr="003C43C4">
              <w:rPr>
                <w:rFonts w:ascii="Arial" w:hAnsi="Arial" w:cs="Arial"/>
                <w:b/>
                <w:bCs/>
                <w:sz w:val="18"/>
                <w:szCs w:val="18"/>
              </w:rPr>
              <w:t>S</w:t>
            </w:r>
            <w:r w:rsidR="00E62ABB">
              <w:rPr>
                <w:rFonts w:ascii="Arial" w:hAnsi="Arial" w:cs="Arial"/>
                <w:b/>
                <w:bCs/>
                <w:sz w:val="18"/>
                <w:szCs w:val="18"/>
              </w:rPr>
              <w:t>ous</w:t>
            </w:r>
            <w:r w:rsidRPr="003C43C4">
              <w:rPr>
                <w:rFonts w:ascii="Arial" w:hAnsi="Arial" w:cs="Arial"/>
                <w:b/>
                <w:bCs/>
                <w:sz w:val="18"/>
                <w:szCs w:val="18"/>
              </w:rPr>
              <w:t>-total</w:t>
            </w:r>
          </w:p>
        </w:tc>
        <w:tc>
          <w:tcPr>
            <w:tcW w:w="1260" w:type="dxa"/>
            <w:shd w:val="clear" w:color="auto" w:fill="BDD6EE" w:themeFill="accent5" w:themeFillTint="66"/>
            <w:noWrap/>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 xml:space="preserve"> 1</w:t>
            </w:r>
            <w:r w:rsidR="00B74011">
              <w:rPr>
                <w:rFonts w:ascii="Arial" w:hAnsi="Arial" w:cs="Arial"/>
                <w:b/>
                <w:bCs/>
                <w:sz w:val="18"/>
                <w:szCs w:val="18"/>
              </w:rPr>
              <w:t xml:space="preserve"> </w:t>
            </w:r>
            <w:r w:rsidRPr="003C43C4">
              <w:rPr>
                <w:rFonts w:ascii="Arial" w:hAnsi="Arial" w:cs="Arial"/>
                <w:b/>
                <w:bCs/>
                <w:sz w:val="18"/>
                <w:szCs w:val="18"/>
              </w:rPr>
              <w:t>885</w:t>
            </w:r>
            <w:r w:rsidR="00B74011">
              <w:rPr>
                <w:rFonts w:ascii="Arial" w:hAnsi="Arial" w:cs="Arial"/>
                <w:b/>
                <w:bCs/>
                <w:sz w:val="18"/>
                <w:szCs w:val="18"/>
              </w:rPr>
              <w:t xml:space="preserve"> </w:t>
            </w:r>
            <w:r w:rsidRPr="003C43C4">
              <w:rPr>
                <w:rFonts w:ascii="Arial" w:hAnsi="Arial" w:cs="Arial"/>
                <w:b/>
                <w:bCs/>
                <w:sz w:val="18"/>
                <w:szCs w:val="18"/>
              </w:rPr>
              <w:t xml:space="preserve">388 </w:t>
            </w:r>
          </w:p>
        </w:tc>
        <w:tc>
          <w:tcPr>
            <w:tcW w:w="1350" w:type="dxa"/>
            <w:shd w:val="clear" w:color="auto" w:fill="BDD6EE" w:themeFill="accent5" w:themeFillTint="66"/>
            <w:noWrap/>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 xml:space="preserve"> -   </w:t>
            </w:r>
          </w:p>
        </w:tc>
        <w:tc>
          <w:tcPr>
            <w:tcW w:w="1350" w:type="dxa"/>
            <w:shd w:val="clear" w:color="auto" w:fill="BDD6EE" w:themeFill="accent5" w:themeFillTint="66"/>
            <w:noWrap/>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 xml:space="preserve"> 1</w:t>
            </w:r>
            <w:r w:rsidR="00B74011">
              <w:rPr>
                <w:rFonts w:ascii="Arial" w:hAnsi="Arial" w:cs="Arial"/>
                <w:b/>
                <w:bCs/>
                <w:sz w:val="18"/>
                <w:szCs w:val="18"/>
              </w:rPr>
              <w:t xml:space="preserve"> </w:t>
            </w:r>
            <w:r w:rsidRPr="003C43C4">
              <w:rPr>
                <w:rFonts w:ascii="Arial" w:hAnsi="Arial" w:cs="Arial"/>
                <w:b/>
                <w:bCs/>
                <w:sz w:val="18"/>
                <w:szCs w:val="18"/>
              </w:rPr>
              <w:t>468</w:t>
            </w:r>
            <w:r w:rsidR="00B74011">
              <w:rPr>
                <w:rFonts w:ascii="Arial" w:hAnsi="Arial" w:cs="Arial"/>
                <w:b/>
                <w:bCs/>
                <w:sz w:val="18"/>
                <w:szCs w:val="18"/>
              </w:rPr>
              <w:t xml:space="preserve"> </w:t>
            </w:r>
            <w:r w:rsidRPr="003C43C4">
              <w:rPr>
                <w:rFonts w:ascii="Arial" w:hAnsi="Arial" w:cs="Arial"/>
                <w:b/>
                <w:bCs/>
                <w:sz w:val="18"/>
                <w:szCs w:val="18"/>
              </w:rPr>
              <w:t xml:space="preserve">172 </w:t>
            </w:r>
          </w:p>
        </w:tc>
        <w:tc>
          <w:tcPr>
            <w:tcW w:w="1260" w:type="dxa"/>
            <w:shd w:val="clear" w:color="auto" w:fill="BDD6EE" w:themeFill="accent5" w:themeFillTint="66"/>
            <w:noWrap/>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 xml:space="preserve"> 1</w:t>
            </w:r>
            <w:r w:rsidR="00B74011">
              <w:rPr>
                <w:rFonts w:ascii="Arial" w:hAnsi="Arial" w:cs="Arial"/>
                <w:b/>
                <w:bCs/>
                <w:sz w:val="18"/>
                <w:szCs w:val="18"/>
              </w:rPr>
              <w:t xml:space="preserve"> </w:t>
            </w:r>
            <w:r w:rsidRPr="003C43C4">
              <w:rPr>
                <w:rFonts w:ascii="Arial" w:hAnsi="Arial" w:cs="Arial"/>
                <w:b/>
                <w:bCs/>
                <w:sz w:val="18"/>
                <w:szCs w:val="18"/>
              </w:rPr>
              <w:t>923</w:t>
            </w:r>
            <w:r w:rsidR="00B74011">
              <w:rPr>
                <w:rFonts w:ascii="Arial" w:hAnsi="Arial" w:cs="Arial"/>
                <w:b/>
                <w:bCs/>
                <w:sz w:val="18"/>
                <w:szCs w:val="18"/>
              </w:rPr>
              <w:t xml:space="preserve"> </w:t>
            </w:r>
            <w:r w:rsidRPr="003C43C4">
              <w:rPr>
                <w:rFonts w:ascii="Arial" w:hAnsi="Arial" w:cs="Arial"/>
                <w:b/>
                <w:bCs/>
                <w:sz w:val="18"/>
                <w:szCs w:val="18"/>
              </w:rPr>
              <w:t xml:space="preserve">096 </w:t>
            </w:r>
          </w:p>
        </w:tc>
        <w:tc>
          <w:tcPr>
            <w:tcW w:w="1260" w:type="dxa"/>
            <w:shd w:val="clear" w:color="auto" w:fill="BDD6EE" w:themeFill="accent5" w:themeFillTint="66"/>
            <w:noWrap/>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 xml:space="preserve"> -   </w:t>
            </w:r>
          </w:p>
        </w:tc>
        <w:tc>
          <w:tcPr>
            <w:tcW w:w="1170" w:type="dxa"/>
            <w:shd w:val="clear" w:color="auto" w:fill="BDD6EE" w:themeFill="accent5" w:themeFillTint="66"/>
            <w:noWrap/>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 xml:space="preserve"> 1</w:t>
            </w:r>
            <w:r w:rsidR="00B74011">
              <w:rPr>
                <w:rFonts w:ascii="Arial" w:hAnsi="Arial" w:cs="Arial"/>
                <w:b/>
                <w:bCs/>
                <w:sz w:val="18"/>
                <w:szCs w:val="18"/>
              </w:rPr>
              <w:t xml:space="preserve"> </w:t>
            </w:r>
            <w:r w:rsidRPr="003C43C4">
              <w:rPr>
                <w:rFonts w:ascii="Arial" w:hAnsi="Arial" w:cs="Arial"/>
                <w:b/>
                <w:bCs/>
                <w:sz w:val="18"/>
                <w:szCs w:val="18"/>
              </w:rPr>
              <w:t>436</w:t>
            </w:r>
            <w:r w:rsidR="00B74011">
              <w:rPr>
                <w:rFonts w:ascii="Arial" w:hAnsi="Arial" w:cs="Arial"/>
                <w:b/>
                <w:bCs/>
                <w:sz w:val="18"/>
                <w:szCs w:val="18"/>
              </w:rPr>
              <w:t xml:space="preserve"> </w:t>
            </w:r>
            <w:r w:rsidRPr="003C43C4">
              <w:rPr>
                <w:rFonts w:ascii="Arial" w:hAnsi="Arial" w:cs="Arial"/>
                <w:b/>
                <w:bCs/>
                <w:sz w:val="18"/>
                <w:szCs w:val="18"/>
              </w:rPr>
              <w:t xml:space="preserve">651 </w:t>
            </w:r>
          </w:p>
        </w:tc>
        <w:tc>
          <w:tcPr>
            <w:tcW w:w="1080" w:type="dxa"/>
            <w:shd w:val="clear" w:color="auto" w:fill="BDD6EE" w:themeFill="accent5" w:themeFillTint="66"/>
            <w:noWrap/>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 xml:space="preserve"> 152</w:t>
            </w:r>
            <w:r w:rsidR="00B74011">
              <w:rPr>
                <w:rFonts w:ascii="Arial" w:hAnsi="Arial" w:cs="Arial"/>
                <w:b/>
                <w:bCs/>
                <w:sz w:val="18"/>
                <w:szCs w:val="18"/>
              </w:rPr>
              <w:t xml:space="preserve"> </w:t>
            </w:r>
            <w:r w:rsidRPr="003C43C4">
              <w:rPr>
                <w:rFonts w:ascii="Arial" w:hAnsi="Arial" w:cs="Arial"/>
                <w:b/>
                <w:bCs/>
                <w:sz w:val="18"/>
                <w:szCs w:val="18"/>
              </w:rPr>
              <w:t xml:space="preserve">891 </w:t>
            </w:r>
          </w:p>
        </w:tc>
        <w:tc>
          <w:tcPr>
            <w:tcW w:w="1260" w:type="dxa"/>
            <w:shd w:val="clear" w:color="auto" w:fill="BDD6EE" w:themeFill="accent5" w:themeFillTint="66"/>
            <w:noWrap/>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 xml:space="preserve"> 1</w:t>
            </w:r>
            <w:r w:rsidR="00B74011">
              <w:rPr>
                <w:rFonts w:ascii="Arial" w:hAnsi="Arial" w:cs="Arial"/>
                <w:b/>
                <w:bCs/>
                <w:sz w:val="18"/>
                <w:szCs w:val="18"/>
              </w:rPr>
              <w:t xml:space="preserve"> </w:t>
            </w:r>
            <w:r w:rsidRPr="003C43C4">
              <w:rPr>
                <w:rFonts w:ascii="Arial" w:hAnsi="Arial" w:cs="Arial"/>
                <w:b/>
                <w:bCs/>
                <w:sz w:val="18"/>
                <w:szCs w:val="18"/>
              </w:rPr>
              <w:t>589</w:t>
            </w:r>
            <w:r w:rsidR="00B74011">
              <w:rPr>
                <w:rFonts w:ascii="Arial" w:hAnsi="Arial" w:cs="Arial"/>
                <w:b/>
                <w:bCs/>
                <w:sz w:val="18"/>
                <w:szCs w:val="18"/>
              </w:rPr>
              <w:t xml:space="preserve"> </w:t>
            </w:r>
            <w:r w:rsidRPr="003C43C4">
              <w:rPr>
                <w:rFonts w:ascii="Arial" w:hAnsi="Arial" w:cs="Arial"/>
                <w:b/>
                <w:bCs/>
                <w:sz w:val="18"/>
                <w:szCs w:val="18"/>
              </w:rPr>
              <w:t xml:space="preserve">542 </w:t>
            </w:r>
          </w:p>
        </w:tc>
      </w:tr>
      <w:tr w:rsidR="00561DAF" w:rsidRPr="003C43C4" w:rsidTr="00561DAF">
        <w:trPr>
          <w:trHeight w:val="355"/>
        </w:trPr>
        <w:tc>
          <w:tcPr>
            <w:tcW w:w="4495" w:type="dxa"/>
            <w:noWrap/>
            <w:vAlign w:val="center"/>
            <w:hideMark/>
          </w:tcPr>
          <w:p w:rsidR="00561DAF" w:rsidRPr="003C43C4" w:rsidRDefault="00561DAF" w:rsidP="00561DAF">
            <w:pPr>
              <w:tabs>
                <w:tab w:val="left" w:pos="8370"/>
              </w:tabs>
              <w:rPr>
                <w:rFonts w:ascii="Arial" w:hAnsi="Arial" w:cs="Arial"/>
                <w:b/>
                <w:bCs/>
                <w:sz w:val="18"/>
                <w:szCs w:val="18"/>
              </w:rPr>
            </w:pPr>
            <w:r w:rsidRPr="003C43C4">
              <w:rPr>
                <w:rFonts w:ascii="Arial" w:hAnsi="Arial" w:cs="Arial"/>
                <w:b/>
                <w:bCs/>
                <w:sz w:val="18"/>
                <w:szCs w:val="18"/>
              </w:rPr>
              <w:t>Services</w:t>
            </w:r>
            <w:r w:rsidR="00E62ABB">
              <w:rPr>
                <w:rFonts w:ascii="Arial" w:hAnsi="Arial" w:cs="Arial"/>
                <w:b/>
                <w:bCs/>
                <w:sz w:val="18"/>
                <w:szCs w:val="18"/>
              </w:rPr>
              <w:t xml:space="preserve"> </w:t>
            </w:r>
            <w:proofErr w:type="spellStart"/>
            <w:r w:rsidR="00E62ABB">
              <w:rPr>
                <w:rFonts w:ascii="Arial" w:hAnsi="Arial" w:cs="Arial"/>
                <w:b/>
                <w:bCs/>
                <w:sz w:val="18"/>
                <w:szCs w:val="18"/>
              </w:rPr>
              <w:t>contractuels</w:t>
            </w:r>
            <w:proofErr w:type="spellEnd"/>
          </w:p>
        </w:tc>
        <w:tc>
          <w:tcPr>
            <w:tcW w:w="1260" w:type="dxa"/>
            <w:noWrap/>
            <w:vAlign w:val="center"/>
            <w:hideMark/>
          </w:tcPr>
          <w:p w:rsidR="00561DAF" w:rsidRPr="003C43C4" w:rsidRDefault="00561DAF" w:rsidP="00561DAF">
            <w:pPr>
              <w:tabs>
                <w:tab w:val="left" w:pos="8370"/>
              </w:tabs>
              <w:jc w:val="right"/>
              <w:rPr>
                <w:rFonts w:ascii="Arial" w:hAnsi="Arial" w:cs="Arial"/>
                <w:b/>
                <w:bCs/>
                <w:sz w:val="18"/>
                <w:szCs w:val="18"/>
              </w:rPr>
            </w:pPr>
          </w:p>
        </w:tc>
        <w:tc>
          <w:tcPr>
            <w:tcW w:w="1350" w:type="dxa"/>
            <w:noWrap/>
            <w:vAlign w:val="center"/>
            <w:hideMark/>
          </w:tcPr>
          <w:p w:rsidR="00561DAF" w:rsidRPr="003C43C4" w:rsidRDefault="00561DAF" w:rsidP="00561DAF">
            <w:pPr>
              <w:tabs>
                <w:tab w:val="left" w:pos="8370"/>
              </w:tabs>
              <w:jc w:val="right"/>
              <w:rPr>
                <w:rFonts w:ascii="Arial" w:hAnsi="Arial" w:cs="Arial"/>
                <w:b/>
                <w:bCs/>
                <w:sz w:val="18"/>
                <w:szCs w:val="18"/>
              </w:rPr>
            </w:pPr>
          </w:p>
        </w:tc>
        <w:tc>
          <w:tcPr>
            <w:tcW w:w="1350" w:type="dxa"/>
            <w:noWrap/>
            <w:vAlign w:val="center"/>
            <w:hideMark/>
          </w:tcPr>
          <w:p w:rsidR="00561DAF" w:rsidRPr="003C43C4" w:rsidRDefault="00561DAF" w:rsidP="00561DAF">
            <w:pPr>
              <w:tabs>
                <w:tab w:val="left" w:pos="8370"/>
              </w:tabs>
              <w:jc w:val="right"/>
              <w:rPr>
                <w:rFonts w:ascii="Arial" w:hAnsi="Arial" w:cs="Arial"/>
                <w:b/>
                <w:bCs/>
                <w:sz w:val="18"/>
                <w:szCs w:val="18"/>
              </w:rPr>
            </w:pPr>
          </w:p>
        </w:tc>
        <w:tc>
          <w:tcPr>
            <w:tcW w:w="1260" w:type="dxa"/>
            <w:noWrap/>
            <w:vAlign w:val="center"/>
            <w:hideMark/>
          </w:tcPr>
          <w:p w:rsidR="00561DAF" w:rsidRPr="003C43C4" w:rsidRDefault="00561DAF" w:rsidP="00561DAF">
            <w:pPr>
              <w:tabs>
                <w:tab w:val="left" w:pos="8370"/>
              </w:tabs>
              <w:jc w:val="right"/>
              <w:rPr>
                <w:rFonts w:ascii="Arial" w:hAnsi="Arial" w:cs="Arial"/>
                <w:b/>
                <w:bCs/>
                <w:sz w:val="18"/>
                <w:szCs w:val="18"/>
              </w:rPr>
            </w:pPr>
          </w:p>
        </w:tc>
        <w:tc>
          <w:tcPr>
            <w:tcW w:w="1260" w:type="dxa"/>
            <w:noWrap/>
            <w:vAlign w:val="center"/>
            <w:hideMark/>
          </w:tcPr>
          <w:p w:rsidR="00561DAF" w:rsidRPr="003C43C4" w:rsidRDefault="00561DAF" w:rsidP="00561DAF">
            <w:pPr>
              <w:tabs>
                <w:tab w:val="left" w:pos="8370"/>
              </w:tabs>
              <w:jc w:val="right"/>
              <w:rPr>
                <w:rFonts w:ascii="Arial" w:hAnsi="Arial" w:cs="Arial"/>
                <w:b/>
                <w:bCs/>
                <w:sz w:val="18"/>
                <w:szCs w:val="18"/>
              </w:rPr>
            </w:pPr>
          </w:p>
        </w:tc>
        <w:tc>
          <w:tcPr>
            <w:tcW w:w="1170" w:type="dxa"/>
            <w:noWrap/>
            <w:vAlign w:val="center"/>
            <w:hideMark/>
          </w:tcPr>
          <w:p w:rsidR="00561DAF" w:rsidRPr="003C43C4" w:rsidRDefault="00561DAF" w:rsidP="00561DAF">
            <w:pPr>
              <w:tabs>
                <w:tab w:val="left" w:pos="8370"/>
              </w:tabs>
              <w:jc w:val="right"/>
              <w:rPr>
                <w:rFonts w:ascii="Arial" w:hAnsi="Arial" w:cs="Arial"/>
                <w:b/>
                <w:bCs/>
                <w:sz w:val="18"/>
                <w:szCs w:val="18"/>
              </w:rPr>
            </w:pPr>
          </w:p>
        </w:tc>
        <w:tc>
          <w:tcPr>
            <w:tcW w:w="1080" w:type="dxa"/>
            <w:noWrap/>
            <w:vAlign w:val="center"/>
            <w:hideMark/>
          </w:tcPr>
          <w:p w:rsidR="00561DAF" w:rsidRPr="003C43C4" w:rsidRDefault="00561DAF" w:rsidP="00561DAF">
            <w:pPr>
              <w:tabs>
                <w:tab w:val="left" w:pos="8370"/>
              </w:tabs>
              <w:jc w:val="right"/>
              <w:rPr>
                <w:rFonts w:ascii="Arial" w:hAnsi="Arial" w:cs="Arial"/>
                <w:b/>
                <w:bCs/>
                <w:sz w:val="18"/>
                <w:szCs w:val="18"/>
              </w:rPr>
            </w:pPr>
          </w:p>
        </w:tc>
        <w:tc>
          <w:tcPr>
            <w:tcW w:w="1260" w:type="dxa"/>
            <w:noWrap/>
            <w:vAlign w:val="center"/>
            <w:hideMark/>
          </w:tcPr>
          <w:p w:rsidR="00561DAF" w:rsidRPr="003C43C4" w:rsidRDefault="00561DAF" w:rsidP="00561DAF">
            <w:pPr>
              <w:tabs>
                <w:tab w:val="left" w:pos="8370"/>
              </w:tabs>
              <w:jc w:val="right"/>
              <w:rPr>
                <w:rFonts w:ascii="Arial" w:hAnsi="Arial" w:cs="Arial"/>
                <w:b/>
                <w:bCs/>
                <w:sz w:val="18"/>
                <w:szCs w:val="18"/>
              </w:rPr>
            </w:pPr>
          </w:p>
        </w:tc>
      </w:tr>
      <w:tr w:rsidR="00561DAF" w:rsidRPr="003C43C4" w:rsidTr="00561DAF">
        <w:trPr>
          <w:trHeight w:val="355"/>
        </w:trPr>
        <w:tc>
          <w:tcPr>
            <w:tcW w:w="4495" w:type="dxa"/>
            <w:noWrap/>
            <w:vAlign w:val="center"/>
            <w:hideMark/>
          </w:tcPr>
          <w:p w:rsidR="00561DAF" w:rsidRPr="00E62ABB" w:rsidRDefault="00E62ABB" w:rsidP="00561DAF">
            <w:pPr>
              <w:tabs>
                <w:tab w:val="left" w:pos="8370"/>
              </w:tabs>
              <w:rPr>
                <w:rFonts w:ascii="Arial" w:hAnsi="Arial" w:cs="Arial"/>
                <w:sz w:val="18"/>
                <w:szCs w:val="18"/>
                <w:lang w:val="fr-FR"/>
              </w:rPr>
            </w:pPr>
            <w:r w:rsidRPr="00E62ABB">
              <w:rPr>
                <w:rFonts w:ascii="Arial" w:hAnsi="Arial" w:cs="Arial"/>
                <w:sz w:val="18"/>
                <w:szCs w:val="18"/>
                <w:lang w:val="fr-FR"/>
              </w:rPr>
              <w:t>Services contractuels (traductions générales et édition de documents)</w:t>
            </w:r>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r w:rsidRPr="00E62ABB">
              <w:rPr>
                <w:rFonts w:ascii="Arial" w:hAnsi="Arial" w:cs="Arial"/>
                <w:bCs/>
                <w:sz w:val="18"/>
                <w:szCs w:val="18"/>
                <w:lang w:val="fr-FR"/>
              </w:rPr>
              <w:t xml:space="preserve"> </w:t>
            </w:r>
            <w:r w:rsidRPr="003C43C4">
              <w:rPr>
                <w:rFonts w:ascii="Arial" w:hAnsi="Arial" w:cs="Arial"/>
                <w:bCs/>
                <w:sz w:val="18"/>
                <w:szCs w:val="18"/>
              </w:rPr>
              <w:t>90</w:t>
            </w:r>
            <w:r w:rsidR="00B74011">
              <w:rPr>
                <w:rFonts w:ascii="Arial" w:hAnsi="Arial" w:cs="Arial"/>
                <w:bCs/>
                <w:sz w:val="18"/>
                <w:szCs w:val="18"/>
              </w:rPr>
              <w:t xml:space="preserve"> </w:t>
            </w:r>
            <w:r w:rsidRPr="003C43C4">
              <w:rPr>
                <w:rFonts w:ascii="Arial" w:hAnsi="Arial" w:cs="Arial"/>
                <w:bCs/>
                <w:sz w:val="18"/>
                <w:szCs w:val="18"/>
              </w:rPr>
              <w:t xml:space="preserve">168 </w:t>
            </w:r>
          </w:p>
        </w:tc>
        <w:tc>
          <w:tcPr>
            <w:tcW w:w="135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35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124</w:t>
            </w:r>
            <w:r w:rsidR="00B74011">
              <w:rPr>
                <w:rFonts w:ascii="Arial" w:hAnsi="Arial" w:cs="Arial"/>
                <w:bCs/>
                <w:sz w:val="18"/>
                <w:szCs w:val="18"/>
              </w:rPr>
              <w:t xml:space="preserve"> </w:t>
            </w:r>
            <w:r w:rsidRPr="003C43C4">
              <w:rPr>
                <w:rFonts w:ascii="Arial" w:hAnsi="Arial" w:cs="Arial"/>
                <w:bCs/>
                <w:sz w:val="18"/>
                <w:szCs w:val="18"/>
              </w:rPr>
              <w:t xml:space="preserve">728 </w:t>
            </w:r>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91</w:t>
            </w:r>
            <w:r w:rsidR="00B74011">
              <w:rPr>
                <w:rFonts w:ascii="Arial" w:hAnsi="Arial" w:cs="Arial"/>
                <w:bCs/>
                <w:sz w:val="18"/>
                <w:szCs w:val="18"/>
              </w:rPr>
              <w:t xml:space="preserve"> </w:t>
            </w:r>
            <w:r w:rsidRPr="003C43C4">
              <w:rPr>
                <w:rFonts w:ascii="Arial" w:hAnsi="Arial" w:cs="Arial"/>
                <w:bCs/>
                <w:sz w:val="18"/>
                <w:szCs w:val="18"/>
              </w:rPr>
              <w:t xml:space="preserve">971 </w:t>
            </w:r>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17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75</w:t>
            </w:r>
            <w:r w:rsidR="00B74011">
              <w:rPr>
                <w:rFonts w:ascii="Arial" w:hAnsi="Arial" w:cs="Arial"/>
                <w:bCs/>
                <w:sz w:val="18"/>
                <w:szCs w:val="18"/>
              </w:rPr>
              <w:t xml:space="preserve"> </w:t>
            </w:r>
            <w:r w:rsidRPr="003C43C4">
              <w:rPr>
                <w:rFonts w:ascii="Arial" w:hAnsi="Arial" w:cs="Arial"/>
                <w:bCs/>
                <w:sz w:val="18"/>
                <w:szCs w:val="18"/>
              </w:rPr>
              <w:t xml:space="preserve">174 </w:t>
            </w:r>
          </w:p>
        </w:tc>
        <w:tc>
          <w:tcPr>
            <w:tcW w:w="108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2</w:t>
            </w:r>
            <w:r w:rsidR="00B74011">
              <w:rPr>
                <w:rFonts w:ascii="Arial" w:hAnsi="Arial" w:cs="Arial"/>
                <w:bCs/>
                <w:sz w:val="18"/>
                <w:szCs w:val="18"/>
              </w:rPr>
              <w:t xml:space="preserve"> </w:t>
            </w:r>
            <w:r w:rsidRPr="003C43C4">
              <w:rPr>
                <w:rFonts w:ascii="Arial" w:hAnsi="Arial" w:cs="Arial"/>
                <w:bCs/>
                <w:sz w:val="18"/>
                <w:szCs w:val="18"/>
              </w:rPr>
              <w:t xml:space="preserve">355 </w:t>
            </w:r>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77</w:t>
            </w:r>
            <w:r w:rsidR="00B74011">
              <w:rPr>
                <w:rFonts w:ascii="Arial" w:hAnsi="Arial" w:cs="Arial"/>
                <w:bCs/>
                <w:sz w:val="18"/>
                <w:szCs w:val="18"/>
              </w:rPr>
              <w:t xml:space="preserve"> </w:t>
            </w:r>
            <w:r w:rsidRPr="003C43C4">
              <w:rPr>
                <w:rFonts w:ascii="Arial" w:hAnsi="Arial" w:cs="Arial"/>
                <w:bCs/>
                <w:sz w:val="18"/>
                <w:szCs w:val="18"/>
              </w:rPr>
              <w:t xml:space="preserve">529 </w:t>
            </w:r>
          </w:p>
        </w:tc>
      </w:tr>
      <w:tr w:rsidR="00561DAF" w:rsidRPr="003C43C4" w:rsidTr="00561DAF">
        <w:trPr>
          <w:trHeight w:val="355"/>
        </w:trPr>
        <w:tc>
          <w:tcPr>
            <w:tcW w:w="4495" w:type="dxa"/>
            <w:noWrap/>
            <w:vAlign w:val="center"/>
            <w:hideMark/>
          </w:tcPr>
          <w:p w:rsidR="00561DAF" w:rsidRPr="00E62ABB" w:rsidRDefault="00E62ABB" w:rsidP="00561DAF">
            <w:pPr>
              <w:tabs>
                <w:tab w:val="left" w:pos="8370"/>
              </w:tabs>
              <w:rPr>
                <w:rFonts w:ascii="Arial" w:hAnsi="Arial" w:cs="Arial"/>
                <w:sz w:val="18"/>
                <w:szCs w:val="18"/>
                <w:lang w:val="fr-FR"/>
              </w:rPr>
            </w:pPr>
            <w:r w:rsidRPr="00E62ABB">
              <w:rPr>
                <w:rFonts w:ascii="Arial" w:hAnsi="Arial" w:cs="Arial"/>
                <w:sz w:val="18"/>
                <w:szCs w:val="18"/>
                <w:lang w:val="fr-FR"/>
              </w:rPr>
              <w:t>Service de la COP13 (interprétation, rédaction du rapport)</w:t>
            </w:r>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r w:rsidRPr="00E62ABB">
              <w:rPr>
                <w:rFonts w:ascii="Arial" w:hAnsi="Arial" w:cs="Arial"/>
                <w:bCs/>
                <w:sz w:val="18"/>
                <w:szCs w:val="18"/>
                <w:lang w:val="fr-FR"/>
              </w:rPr>
              <w:t xml:space="preserve"> </w:t>
            </w:r>
            <w:r w:rsidRPr="003C43C4">
              <w:rPr>
                <w:rFonts w:ascii="Arial" w:hAnsi="Arial" w:cs="Arial"/>
                <w:bCs/>
                <w:sz w:val="18"/>
                <w:szCs w:val="18"/>
              </w:rPr>
              <w:t xml:space="preserve">-   </w:t>
            </w:r>
          </w:p>
        </w:tc>
        <w:tc>
          <w:tcPr>
            <w:tcW w:w="135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35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100</w:t>
            </w:r>
            <w:r w:rsidR="00B74011">
              <w:rPr>
                <w:rFonts w:ascii="Arial" w:hAnsi="Arial" w:cs="Arial"/>
                <w:bCs/>
                <w:sz w:val="18"/>
                <w:szCs w:val="18"/>
              </w:rPr>
              <w:t xml:space="preserve"> </w:t>
            </w:r>
            <w:r w:rsidRPr="003C43C4">
              <w:rPr>
                <w:rFonts w:ascii="Arial" w:hAnsi="Arial" w:cs="Arial"/>
                <w:bCs/>
                <w:sz w:val="18"/>
                <w:szCs w:val="18"/>
              </w:rPr>
              <w:t xml:space="preserve">000 </w:t>
            </w:r>
          </w:p>
        </w:tc>
        <w:tc>
          <w:tcPr>
            <w:tcW w:w="117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71</w:t>
            </w:r>
            <w:r w:rsidR="00B74011">
              <w:rPr>
                <w:rFonts w:ascii="Arial" w:hAnsi="Arial" w:cs="Arial"/>
                <w:bCs/>
                <w:sz w:val="18"/>
                <w:szCs w:val="18"/>
              </w:rPr>
              <w:t xml:space="preserve"> </w:t>
            </w:r>
            <w:r w:rsidRPr="003C43C4">
              <w:rPr>
                <w:rFonts w:ascii="Arial" w:hAnsi="Arial" w:cs="Arial"/>
                <w:bCs/>
                <w:sz w:val="18"/>
                <w:szCs w:val="18"/>
              </w:rPr>
              <w:t xml:space="preserve">360 </w:t>
            </w:r>
          </w:p>
        </w:tc>
        <w:tc>
          <w:tcPr>
            <w:tcW w:w="1080" w:type="dxa"/>
            <w:noWrap/>
            <w:vAlign w:val="center"/>
            <w:hideMark/>
          </w:tcPr>
          <w:p w:rsidR="00561DAF" w:rsidRPr="003C43C4" w:rsidRDefault="00561DAF" w:rsidP="00561DAF">
            <w:pPr>
              <w:tabs>
                <w:tab w:val="left" w:pos="8370"/>
              </w:tabs>
              <w:jc w:val="right"/>
              <w:rPr>
                <w:rFonts w:ascii="Arial" w:hAnsi="Arial" w:cs="Arial"/>
                <w:bCs/>
                <w:sz w:val="18"/>
                <w:szCs w:val="18"/>
              </w:rPr>
            </w:pPr>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71</w:t>
            </w:r>
            <w:r w:rsidR="00B74011">
              <w:rPr>
                <w:rFonts w:ascii="Arial" w:hAnsi="Arial" w:cs="Arial"/>
                <w:bCs/>
                <w:sz w:val="18"/>
                <w:szCs w:val="18"/>
              </w:rPr>
              <w:t xml:space="preserve"> </w:t>
            </w:r>
            <w:r w:rsidRPr="003C43C4">
              <w:rPr>
                <w:rFonts w:ascii="Arial" w:hAnsi="Arial" w:cs="Arial"/>
                <w:bCs/>
                <w:sz w:val="18"/>
                <w:szCs w:val="18"/>
              </w:rPr>
              <w:t xml:space="preserve">360 </w:t>
            </w:r>
          </w:p>
        </w:tc>
      </w:tr>
      <w:tr w:rsidR="00561DAF" w:rsidRPr="003C43C4" w:rsidTr="00561DAF">
        <w:trPr>
          <w:trHeight w:val="355"/>
        </w:trPr>
        <w:tc>
          <w:tcPr>
            <w:tcW w:w="4495" w:type="dxa"/>
            <w:vAlign w:val="center"/>
            <w:hideMark/>
          </w:tcPr>
          <w:p w:rsidR="00561DAF" w:rsidRPr="003C43C4" w:rsidRDefault="00561DAF" w:rsidP="00561DAF">
            <w:pPr>
              <w:tabs>
                <w:tab w:val="left" w:pos="8370"/>
              </w:tabs>
              <w:rPr>
                <w:rFonts w:ascii="Arial" w:hAnsi="Arial" w:cs="Arial"/>
                <w:sz w:val="18"/>
                <w:szCs w:val="18"/>
              </w:rPr>
            </w:pPr>
            <w:r w:rsidRPr="003C43C4">
              <w:rPr>
                <w:rFonts w:ascii="Arial" w:hAnsi="Arial" w:cs="Arial"/>
                <w:sz w:val="18"/>
                <w:szCs w:val="18"/>
              </w:rPr>
              <w:t>Production</w:t>
            </w:r>
            <w:r w:rsidR="00E62ABB">
              <w:rPr>
                <w:rFonts w:ascii="Arial" w:hAnsi="Arial" w:cs="Arial"/>
                <w:sz w:val="18"/>
                <w:szCs w:val="18"/>
              </w:rPr>
              <w:t xml:space="preserve"> de matériel </w:t>
            </w:r>
            <w:proofErr w:type="spellStart"/>
            <w:r w:rsidR="00E62ABB">
              <w:rPr>
                <w:rFonts w:ascii="Arial" w:hAnsi="Arial" w:cs="Arial"/>
                <w:sz w:val="18"/>
                <w:szCs w:val="18"/>
              </w:rPr>
              <w:t>d’information</w:t>
            </w:r>
            <w:proofErr w:type="spellEnd"/>
          </w:p>
        </w:tc>
        <w:tc>
          <w:tcPr>
            <w:tcW w:w="1260" w:type="dxa"/>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12</w:t>
            </w:r>
            <w:r w:rsidR="00B74011">
              <w:rPr>
                <w:rFonts w:ascii="Arial" w:hAnsi="Arial" w:cs="Arial"/>
                <w:bCs/>
                <w:sz w:val="18"/>
                <w:szCs w:val="18"/>
              </w:rPr>
              <w:t xml:space="preserve"> </w:t>
            </w:r>
            <w:r w:rsidRPr="003C43C4">
              <w:rPr>
                <w:rFonts w:ascii="Arial" w:hAnsi="Arial" w:cs="Arial"/>
                <w:bCs/>
                <w:sz w:val="18"/>
                <w:szCs w:val="18"/>
              </w:rPr>
              <w:t xml:space="preserve">750 </w:t>
            </w:r>
          </w:p>
        </w:tc>
        <w:tc>
          <w:tcPr>
            <w:tcW w:w="1350" w:type="dxa"/>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350" w:type="dxa"/>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2</w:t>
            </w:r>
            <w:r w:rsidR="00B74011">
              <w:rPr>
                <w:rFonts w:ascii="Arial" w:hAnsi="Arial" w:cs="Arial"/>
                <w:bCs/>
                <w:sz w:val="18"/>
                <w:szCs w:val="18"/>
              </w:rPr>
              <w:t xml:space="preserve"> </w:t>
            </w:r>
            <w:r w:rsidRPr="003C43C4">
              <w:rPr>
                <w:rFonts w:ascii="Arial" w:hAnsi="Arial" w:cs="Arial"/>
                <w:bCs/>
                <w:sz w:val="18"/>
                <w:szCs w:val="18"/>
              </w:rPr>
              <w:t xml:space="preserve">904 </w:t>
            </w:r>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13</w:t>
            </w:r>
            <w:r w:rsidR="00B74011">
              <w:rPr>
                <w:rFonts w:ascii="Arial" w:hAnsi="Arial" w:cs="Arial"/>
                <w:bCs/>
                <w:sz w:val="18"/>
                <w:szCs w:val="18"/>
              </w:rPr>
              <w:t xml:space="preserve"> </w:t>
            </w:r>
            <w:r w:rsidRPr="003C43C4">
              <w:rPr>
                <w:rFonts w:ascii="Arial" w:hAnsi="Arial" w:cs="Arial"/>
                <w:bCs/>
                <w:sz w:val="18"/>
                <w:szCs w:val="18"/>
              </w:rPr>
              <w:t xml:space="preserve">005 </w:t>
            </w:r>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17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168 </w:t>
            </w:r>
          </w:p>
        </w:tc>
        <w:tc>
          <w:tcPr>
            <w:tcW w:w="108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6</w:t>
            </w:r>
            <w:r w:rsidR="00B74011">
              <w:rPr>
                <w:rFonts w:ascii="Arial" w:hAnsi="Arial" w:cs="Arial"/>
                <w:bCs/>
                <w:sz w:val="18"/>
                <w:szCs w:val="18"/>
              </w:rPr>
              <w:t xml:space="preserve"> </w:t>
            </w:r>
            <w:r w:rsidRPr="003C43C4">
              <w:rPr>
                <w:rFonts w:ascii="Arial" w:hAnsi="Arial" w:cs="Arial"/>
                <w:bCs/>
                <w:sz w:val="18"/>
                <w:szCs w:val="18"/>
              </w:rPr>
              <w:t xml:space="preserve">000 </w:t>
            </w:r>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6</w:t>
            </w:r>
            <w:r w:rsidR="00B74011">
              <w:rPr>
                <w:rFonts w:ascii="Arial" w:hAnsi="Arial" w:cs="Arial"/>
                <w:bCs/>
                <w:sz w:val="18"/>
                <w:szCs w:val="18"/>
              </w:rPr>
              <w:t xml:space="preserve"> </w:t>
            </w:r>
            <w:r w:rsidRPr="003C43C4">
              <w:rPr>
                <w:rFonts w:ascii="Arial" w:hAnsi="Arial" w:cs="Arial"/>
                <w:bCs/>
                <w:sz w:val="18"/>
                <w:szCs w:val="18"/>
              </w:rPr>
              <w:t xml:space="preserve">168 </w:t>
            </w:r>
          </w:p>
        </w:tc>
      </w:tr>
      <w:tr w:rsidR="00561DAF" w:rsidRPr="003C43C4" w:rsidTr="00561DAF">
        <w:trPr>
          <w:trHeight w:val="355"/>
        </w:trPr>
        <w:tc>
          <w:tcPr>
            <w:tcW w:w="4495" w:type="dxa"/>
            <w:shd w:val="clear" w:color="auto" w:fill="BDD6EE" w:themeFill="accent5" w:themeFillTint="66"/>
            <w:noWrap/>
            <w:vAlign w:val="center"/>
            <w:hideMark/>
          </w:tcPr>
          <w:p w:rsidR="00561DAF" w:rsidRPr="003C43C4" w:rsidRDefault="00561DAF" w:rsidP="00561DAF">
            <w:pPr>
              <w:tabs>
                <w:tab w:val="left" w:pos="8370"/>
              </w:tabs>
              <w:rPr>
                <w:rFonts w:ascii="Arial" w:hAnsi="Arial" w:cs="Arial"/>
                <w:b/>
                <w:bCs/>
                <w:sz w:val="18"/>
                <w:szCs w:val="18"/>
              </w:rPr>
            </w:pPr>
            <w:r w:rsidRPr="003C43C4">
              <w:rPr>
                <w:rFonts w:ascii="Arial" w:hAnsi="Arial" w:cs="Arial"/>
                <w:b/>
                <w:bCs/>
                <w:sz w:val="18"/>
                <w:szCs w:val="18"/>
              </w:rPr>
              <w:t>S</w:t>
            </w:r>
            <w:r w:rsidR="00E62ABB">
              <w:rPr>
                <w:rFonts w:ascii="Arial" w:hAnsi="Arial" w:cs="Arial"/>
                <w:b/>
                <w:bCs/>
                <w:sz w:val="18"/>
                <w:szCs w:val="18"/>
              </w:rPr>
              <w:t>ous</w:t>
            </w:r>
            <w:r w:rsidRPr="003C43C4">
              <w:rPr>
                <w:rFonts w:ascii="Arial" w:hAnsi="Arial" w:cs="Arial"/>
                <w:b/>
                <w:bCs/>
                <w:sz w:val="18"/>
                <w:szCs w:val="18"/>
              </w:rPr>
              <w:t>-total</w:t>
            </w:r>
          </w:p>
        </w:tc>
        <w:tc>
          <w:tcPr>
            <w:tcW w:w="1260" w:type="dxa"/>
            <w:shd w:val="clear" w:color="auto" w:fill="BDD6EE" w:themeFill="accent5" w:themeFillTint="66"/>
            <w:noWrap/>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 xml:space="preserve"> 102</w:t>
            </w:r>
            <w:r w:rsidR="00B74011">
              <w:rPr>
                <w:rFonts w:ascii="Arial" w:hAnsi="Arial" w:cs="Arial"/>
                <w:b/>
                <w:bCs/>
                <w:sz w:val="18"/>
                <w:szCs w:val="18"/>
              </w:rPr>
              <w:t xml:space="preserve"> </w:t>
            </w:r>
            <w:r w:rsidRPr="003C43C4">
              <w:rPr>
                <w:rFonts w:ascii="Arial" w:hAnsi="Arial" w:cs="Arial"/>
                <w:b/>
                <w:bCs/>
                <w:sz w:val="18"/>
                <w:szCs w:val="18"/>
              </w:rPr>
              <w:t xml:space="preserve">918 </w:t>
            </w:r>
          </w:p>
        </w:tc>
        <w:tc>
          <w:tcPr>
            <w:tcW w:w="1350" w:type="dxa"/>
            <w:shd w:val="clear" w:color="auto" w:fill="BDD6EE" w:themeFill="accent5" w:themeFillTint="66"/>
            <w:noWrap/>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 xml:space="preserve"> -   </w:t>
            </w:r>
          </w:p>
        </w:tc>
        <w:tc>
          <w:tcPr>
            <w:tcW w:w="1350" w:type="dxa"/>
            <w:shd w:val="clear" w:color="auto" w:fill="BDD6EE" w:themeFill="accent5" w:themeFillTint="66"/>
            <w:noWrap/>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 xml:space="preserve"> 127</w:t>
            </w:r>
            <w:r w:rsidR="00B74011">
              <w:rPr>
                <w:rFonts w:ascii="Arial" w:hAnsi="Arial" w:cs="Arial"/>
                <w:b/>
                <w:bCs/>
                <w:sz w:val="18"/>
                <w:szCs w:val="18"/>
              </w:rPr>
              <w:t xml:space="preserve"> </w:t>
            </w:r>
            <w:r w:rsidRPr="003C43C4">
              <w:rPr>
                <w:rFonts w:ascii="Arial" w:hAnsi="Arial" w:cs="Arial"/>
                <w:b/>
                <w:bCs/>
                <w:sz w:val="18"/>
                <w:szCs w:val="18"/>
              </w:rPr>
              <w:t xml:space="preserve">632 </w:t>
            </w:r>
          </w:p>
        </w:tc>
        <w:tc>
          <w:tcPr>
            <w:tcW w:w="1260" w:type="dxa"/>
            <w:shd w:val="clear" w:color="auto" w:fill="BDD6EE" w:themeFill="accent5" w:themeFillTint="66"/>
            <w:noWrap/>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 xml:space="preserve"> 104</w:t>
            </w:r>
            <w:r w:rsidR="00B74011">
              <w:rPr>
                <w:rFonts w:ascii="Arial" w:hAnsi="Arial" w:cs="Arial"/>
                <w:b/>
                <w:bCs/>
                <w:sz w:val="18"/>
                <w:szCs w:val="18"/>
              </w:rPr>
              <w:t xml:space="preserve"> </w:t>
            </w:r>
            <w:r w:rsidRPr="003C43C4">
              <w:rPr>
                <w:rFonts w:ascii="Arial" w:hAnsi="Arial" w:cs="Arial"/>
                <w:b/>
                <w:bCs/>
                <w:sz w:val="18"/>
                <w:szCs w:val="18"/>
              </w:rPr>
              <w:t xml:space="preserve">976 </w:t>
            </w:r>
          </w:p>
        </w:tc>
        <w:tc>
          <w:tcPr>
            <w:tcW w:w="1260" w:type="dxa"/>
            <w:shd w:val="clear" w:color="auto" w:fill="BDD6EE" w:themeFill="accent5" w:themeFillTint="66"/>
            <w:noWrap/>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 xml:space="preserve"> 100</w:t>
            </w:r>
            <w:r w:rsidR="00B74011">
              <w:rPr>
                <w:rFonts w:ascii="Arial" w:hAnsi="Arial" w:cs="Arial"/>
                <w:b/>
                <w:bCs/>
                <w:sz w:val="18"/>
                <w:szCs w:val="18"/>
              </w:rPr>
              <w:t xml:space="preserve"> </w:t>
            </w:r>
            <w:r w:rsidRPr="003C43C4">
              <w:rPr>
                <w:rFonts w:ascii="Arial" w:hAnsi="Arial" w:cs="Arial"/>
                <w:b/>
                <w:bCs/>
                <w:sz w:val="18"/>
                <w:szCs w:val="18"/>
              </w:rPr>
              <w:t xml:space="preserve">000 </w:t>
            </w:r>
          </w:p>
        </w:tc>
        <w:tc>
          <w:tcPr>
            <w:tcW w:w="1170" w:type="dxa"/>
            <w:shd w:val="clear" w:color="auto" w:fill="BDD6EE" w:themeFill="accent5" w:themeFillTint="66"/>
            <w:noWrap/>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 xml:space="preserve"> 146</w:t>
            </w:r>
            <w:r w:rsidR="00B74011">
              <w:rPr>
                <w:rFonts w:ascii="Arial" w:hAnsi="Arial" w:cs="Arial"/>
                <w:b/>
                <w:bCs/>
                <w:sz w:val="18"/>
                <w:szCs w:val="18"/>
              </w:rPr>
              <w:t xml:space="preserve"> </w:t>
            </w:r>
            <w:r w:rsidRPr="003C43C4">
              <w:rPr>
                <w:rFonts w:ascii="Arial" w:hAnsi="Arial" w:cs="Arial"/>
                <w:b/>
                <w:bCs/>
                <w:sz w:val="18"/>
                <w:szCs w:val="18"/>
              </w:rPr>
              <w:t xml:space="preserve">702 </w:t>
            </w:r>
          </w:p>
        </w:tc>
        <w:tc>
          <w:tcPr>
            <w:tcW w:w="1080" w:type="dxa"/>
            <w:shd w:val="clear" w:color="auto" w:fill="BDD6EE" w:themeFill="accent5" w:themeFillTint="66"/>
            <w:noWrap/>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 xml:space="preserve"> 8</w:t>
            </w:r>
            <w:r w:rsidR="00B74011">
              <w:rPr>
                <w:rFonts w:ascii="Arial" w:hAnsi="Arial" w:cs="Arial"/>
                <w:b/>
                <w:bCs/>
                <w:sz w:val="18"/>
                <w:szCs w:val="18"/>
              </w:rPr>
              <w:t xml:space="preserve"> </w:t>
            </w:r>
            <w:r w:rsidRPr="003C43C4">
              <w:rPr>
                <w:rFonts w:ascii="Arial" w:hAnsi="Arial" w:cs="Arial"/>
                <w:b/>
                <w:bCs/>
                <w:sz w:val="18"/>
                <w:szCs w:val="18"/>
              </w:rPr>
              <w:t xml:space="preserve">355 </w:t>
            </w:r>
          </w:p>
        </w:tc>
        <w:tc>
          <w:tcPr>
            <w:tcW w:w="1260" w:type="dxa"/>
            <w:shd w:val="clear" w:color="auto" w:fill="BDD6EE" w:themeFill="accent5" w:themeFillTint="66"/>
            <w:noWrap/>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 xml:space="preserve"> 155</w:t>
            </w:r>
            <w:r w:rsidR="00B74011">
              <w:rPr>
                <w:rFonts w:ascii="Arial" w:hAnsi="Arial" w:cs="Arial"/>
                <w:b/>
                <w:bCs/>
                <w:sz w:val="18"/>
                <w:szCs w:val="18"/>
              </w:rPr>
              <w:t xml:space="preserve"> </w:t>
            </w:r>
            <w:r w:rsidRPr="003C43C4">
              <w:rPr>
                <w:rFonts w:ascii="Arial" w:hAnsi="Arial" w:cs="Arial"/>
                <w:b/>
                <w:bCs/>
                <w:sz w:val="18"/>
                <w:szCs w:val="18"/>
              </w:rPr>
              <w:t xml:space="preserve">057 </w:t>
            </w:r>
          </w:p>
        </w:tc>
      </w:tr>
      <w:tr w:rsidR="00561DAF" w:rsidRPr="003C43C4" w:rsidTr="00561DAF">
        <w:trPr>
          <w:trHeight w:val="355"/>
        </w:trPr>
        <w:tc>
          <w:tcPr>
            <w:tcW w:w="4495" w:type="dxa"/>
            <w:noWrap/>
            <w:vAlign w:val="center"/>
            <w:hideMark/>
          </w:tcPr>
          <w:p w:rsidR="00561DAF" w:rsidRPr="003C43C4" w:rsidRDefault="002D489D" w:rsidP="00561DAF">
            <w:pPr>
              <w:tabs>
                <w:tab w:val="left" w:pos="8370"/>
              </w:tabs>
              <w:rPr>
                <w:rFonts w:ascii="Arial" w:hAnsi="Arial" w:cs="Arial"/>
                <w:b/>
                <w:bCs/>
                <w:sz w:val="18"/>
                <w:szCs w:val="18"/>
              </w:rPr>
            </w:pPr>
            <w:proofErr w:type="spellStart"/>
            <w:r>
              <w:rPr>
                <w:rFonts w:ascii="Arial" w:hAnsi="Arial" w:cs="Arial"/>
                <w:b/>
                <w:bCs/>
                <w:sz w:val="18"/>
                <w:szCs w:val="18"/>
              </w:rPr>
              <w:t>Coûts</w:t>
            </w:r>
            <w:proofErr w:type="spellEnd"/>
            <w:r>
              <w:rPr>
                <w:rFonts w:ascii="Arial" w:hAnsi="Arial" w:cs="Arial"/>
                <w:b/>
                <w:bCs/>
                <w:sz w:val="18"/>
                <w:szCs w:val="18"/>
              </w:rPr>
              <w:t xml:space="preserve"> de </w:t>
            </w:r>
            <w:proofErr w:type="spellStart"/>
            <w:r>
              <w:rPr>
                <w:rFonts w:ascii="Arial" w:hAnsi="Arial" w:cs="Arial"/>
                <w:b/>
                <w:bCs/>
                <w:sz w:val="18"/>
                <w:szCs w:val="18"/>
              </w:rPr>
              <w:t>fonctionnement</w:t>
            </w:r>
            <w:proofErr w:type="spellEnd"/>
          </w:p>
        </w:tc>
        <w:tc>
          <w:tcPr>
            <w:tcW w:w="1260" w:type="dxa"/>
            <w:noWrap/>
            <w:vAlign w:val="center"/>
            <w:hideMark/>
          </w:tcPr>
          <w:p w:rsidR="00561DAF" w:rsidRPr="003C43C4" w:rsidRDefault="00561DAF" w:rsidP="00561DAF">
            <w:pPr>
              <w:tabs>
                <w:tab w:val="left" w:pos="8370"/>
              </w:tabs>
              <w:jc w:val="right"/>
              <w:rPr>
                <w:rFonts w:ascii="Arial" w:hAnsi="Arial" w:cs="Arial"/>
                <w:b/>
                <w:bCs/>
                <w:sz w:val="18"/>
                <w:szCs w:val="18"/>
              </w:rPr>
            </w:pPr>
          </w:p>
        </w:tc>
        <w:tc>
          <w:tcPr>
            <w:tcW w:w="1350" w:type="dxa"/>
            <w:noWrap/>
            <w:vAlign w:val="center"/>
            <w:hideMark/>
          </w:tcPr>
          <w:p w:rsidR="00561DAF" w:rsidRPr="003C43C4" w:rsidRDefault="00561DAF" w:rsidP="00561DAF">
            <w:pPr>
              <w:tabs>
                <w:tab w:val="left" w:pos="8370"/>
              </w:tabs>
              <w:jc w:val="right"/>
              <w:rPr>
                <w:rFonts w:ascii="Arial" w:hAnsi="Arial" w:cs="Arial"/>
                <w:b/>
                <w:bCs/>
                <w:sz w:val="18"/>
                <w:szCs w:val="18"/>
              </w:rPr>
            </w:pPr>
          </w:p>
        </w:tc>
        <w:tc>
          <w:tcPr>
            <w:tcW w:w="1350" w:type="dxa"/>
            <w:noWrap/>
            <w:vAlign w:val="center"/>
            <w:hideMark/>
          </w:tcPr>
          <w:p w:rsidR="00561DAF" w:rsidRPr="003C43C4" w:rsidRDefault="00561DAF" w:rsidP="00561DAF">
            <w:pPr>
              <w:tabs>
                <w:tab w:val="left" w:pos="8370"/>
              </w:tabs>
              <w:jc w:val="right"/>
              <w:rPr>
                <w:rFonts w:ascii="Arial" w:hAnsi="Arial" w:cs="Arial"/>
                <w:b/>
                <w:bCs/>
                <w:sz w:val="18"/>
                <w:szCs w:val="18"/>
              </w:rPr>
            </w:pPr>
          </w:p>
        </w:tc>
        <w:tc>
          <w:tcPr>
            <w:tcW w:w="1260" w:type="dxa"/>
            <w:noWrap/>
            <w:vAlign w:val="center"/>
            <w:hideMark/>
          </w:tcPr>
          <w:p w:rsidR="00561DAF" w:rsidRPr="003C43C4" w:rsidRDefault="00561DAF" w:rsidP="00561DAF">
            <w:pPr>
              <w:tabs>
                <w:tab w:val="left" w:pos="8370"/>
              </w:tabs>
              <w:jc w:val="right"/>
              <w:rPr>
                <w:rFonts w:ascii="Arial" w:hAnsi="Arial" w:cs="Arial"/>
                <w:b/>
                <w:bCs/>
                <w:sz w:val="18"/>
                <w:szCs w:val="18"/>
              </w:rPr>
            </w:pPr>
          </w:p>
        </w:tc>
        <w:tc>
          <w:tcPr>
            <w:tcW w:w="1260" w:type="dxa"/>
            <w:noWrap/>
            <w:vAlign w:val="center"/>
            <w:hideMark/>
          </w:tcPr>
          <w:p w:rsidR="00561DAF" w:rsidRPr="003C43C4" w:rsidRDefault="00561DAF" w:rsidP="00561DAF">
            <w:pPr>
              <w:tabs>
                <w:tab w:val="left" w:pos="8370"/>
              </w:tabs>
              <w:jc w:val="right"/>
              <w:rPr>
                <w:rFonts w:ascii="Arial" w:hAnsi="Arial" w:cs="Arial"/>
                <w:b/>
                <w:bCs/>
                <w:sz w:val="18"/>
                <w:szCs w:val="18"/>
              </w:rPr>
            </w:pPr>
          </w:p>
        </w:tc>
        <w:tc>
          <w:tcPr>
            <w:tcW w:w="1170" w:type="dxa"/>
            <w:noWrap/>
            <w:vAlign w:val="center"/>
            <w:hideMark/>
          </w:tcPr>
          <w:p w:rsidR="00561DAF" w:rsidRPr="003C43C4" w:rsidRDefault="00561DAF" w:rsidP="00561DAF">
            <w:pPr>
              <w:tabs>
                <w:tab w:val="left" w:pos="8370"/>
              </w:tabs>
              <w:jc w:val="right"/>
              <w:rPr>
                <w:rFonts w:ascii="Arial" w:hAnsi="Arial" w:cs="Arial"/>
                <w:b/>
                <w:bCs/>
                <w:sz w:val="18"/>
                <w:szCs w:val="18"/>
              </w:rPr>
            </w:pPr>
          </w:p>
        </w:tc>
        <w:tc>
          <w:tcPr>
            <w:tcW w:w="1080" w:type="dxa"/>
            <w:noWrap/>
            <w:vAlign w:val="center"/>
            <w:hideMark/>
          </w:tcPr>
          <w:p w:rsidR="00561DAF" w:rsidRPr="003C43C4" w:rsidRDefault="00561DAF" w:rsidP="00561DAF">
            <w:pPr>
              <w:tabs>
                <w:tab w:val="left" w:pos="8370"/>
              </w:tabs>
              <w:jc w:val="right"/>
              <w:rPr>
                <w:rFonts w:ascii="Arial" w:hAnsi="Arial" w:cs="Arial"/>
                <w:b/>
                <w:bCs/>
                <w:sz w:val="18"/>
                <w:szCs w:val="18"/>
              </w:rPr>
            </w:pPr>
          </w:p>
        </w:tc>
        <w:tc>
          <w:tcPr>
            <w:tcW w:w="1260" w:type="dxa"/>
            <w:noWrap/>
            <w:vAlign w:val="center"/>
            <w:hideMark/>
          </w:tcPr>
          <w:p w:rsidR="00561DAF" w:rsidRPr="003C43C4" w:rsidRDefault="00561DAF" w:rsidP="00561DAF">
            <w:pPr>
              <w:tabs>
                <w:tab w:val="left" w:pos="8370"/>
              </w:tabs>
              <w:jc w:val="right"/>
              <w:rPr>
                <w:rFonts w:ascii="Arial" w:hAnsi="Arial" w:cs="Arial"/>
                <w:b/>
                <w:bCs/>
                <w:sz w:val="18"/>
                <w:szCs w:val="18"/>
              </w:rPr>
            </w:pPr>
          </w:p>
        </w:tc>
      </w:tr>
      <w:tr w:rsidR="00561DAF" w:rsidRPr="003C43C4" w:rsidTr="00561DAF">
        <w:trPr>
          <w:trHeight w:val="355"/>
        </w:trPr>
        <w:tc>
          <w:tcPr>
            <w:tcW w:w="4495" w:type="dxa"/>
            <w:noWrap/>
            <w:vAlign w:val="center"/>
            <w:hideMark/>
          </w:tcPr>
          <w:p w:rsidR="00561DAF" w:rsidRPr="002D489D" w:rsidRDefault="002D489D" w:rsidP="00561DAF">
            <w:pPr>
              <w:tabs>
                <w:tab w:val="left" w:pos="8370"/>
              </w:tabs>
              <w:rPr>
                <w:rFonts w:ascii="Arial" w:hAnsi="Arial" w:cs="Arial"/>
                <w:sz w:val="18"/>
                <w:szCs w:val="18"/>
                <w:lang w:val="fr-FR"/>
              </w:rPr>
            </w:pPr>
            <w:r w:rsidRPr="002D489D">
              <w:rPr>
                <w:rFonts w:ascii="Arial" w:hAnsi="Arial" w:cs="Arial"/>
                <w:sz w:val="18"/>
                <w:szCs w:val="18"/>
                <w:lang w:val="fr-FR"/>
              </w:rPr>
              <w:t>Outils TIC, développement et maintenance de sites Web</w:t>
            </w:r>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r w:rsidRPr="002D489D">
              <w:rPr>
                <w:rFonts w:ascii="Arial" w:hAnsi="Arial" w:cs="Arial"/>
                <w:bCs/>
                <w:sz w:val="18"/>
                <w:szCs w:val="18"/>
                <w:lang w:val="fr-FR"/>
              </w:rPr>
              <w:t xml:space="preserve"> </w:t>
            </w:r>
            <w:r w:rsidRPr="003C43C4">
              <w:rPr>
                <w:rFonts w:ascii="Arial" w:hAnsi="Arial" w:cs="Arial"/>
                <w:bCs/>
                <w:sz w:val="18"/>
                <w:szCs w:val="18"/>
              </w:rPr>
              <w:t>6</w:t>
            </w:r>
            <w:r w:rsidR="00B74011">
              <w:rPr>
                <w:rFonts w:ascii="Arial" w:hAnsi="Arial" w:cs="Arial"/>
                <w:bCs/>
                <w:sz w:val="18"/>
                <w:szCs w:val="18"/>
              </w:rPr>
              <w:t xml:space="preserve"> </w:t>
            </w:r>
            <w:r w:rsidRPr="003C43C4">
              <w:rPr>
                <w:rFonts w:ascii="Arial" w:hAnsi="Arial" w:cs="Arial"/>
                <w:bCs/>
                <w:sz w:val="18"/>
                <w:szCs w:val="18"/>
              </w:rPr>
              <w:t xml:space="preserve">630 </w:t>
            </w:r>
          </w:p>
        </w:tc>
        <w:tc>
          <w:tcPr>
            <w:tcW w:w="135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35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5</w:t>
            </w:r>
            <w:r w:rsidR="00B74011">
              <w:rPr>
                <w:rFonts w:ascii="Arial" w:hAnsi="Arial" w:cs="Arial"/>
                <w:bCs/>
                <w:sz w:val="18"/>
                <w:szCs w:val="18"/>
              </w:rPr>
              <w:t xml:space="preserve"> </w:t>
            </w:r>
            <w:r w:rsidRPr="003C43C4">
              <w:rPr>
                <w:rFonts w:ascii="Arial" w:hAnsi="Arial" w:cs="Arial"/>
                <w:bCs/>
                <w:sz w:val="18"/>
                <w:szCs w:val="18"/>
              </w:rPr>
              <w:t xml:space="preserve">845 </w:t>
            </w:r>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6</w:t>
            </w:r>
            <w:r w:rsidR="00B74011">
              <w:rPr>
                <w:rFonts w:ascii="Arial" w:hAnsi="Arial" w:cs="Arial"/>
                <w:bCs/>
                <w:sz w:val="18"/>
                <w:szCs w:val="18"/>
              </w:rPr>
              <w:t xml:space="preserve"> </w:t>
            </w:r>
            <w:r w:rsidRPr="003C43C4">
              <w:rPr>
                <w:rFonts w:ascii="Arial" w:hAnsi="Arial" w:cs="Arial"/>
                <w:bCs/>
                <w:sz w:val="18"/>
                <w:szCs w:val="18"/>
              </w:rPr>
              <w:t xml:space="preserve">763 </w:t>
            </w:r>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17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7</w:t>
            </w:r>
            <w:r w:rsidR="00B74011">
              <w:rPr>
                <w:rFonts w:ascii="Arial" w:hAnsi="Arial" w:cs="Arial"/>
                <w:bCs/>
                <w:sz w:val="18"/>
                <w:szCs w:val="18"/>
              </w:rPr>
              <w:t xml:space="preserve"> </w:t>
            </w:r>
            <w:r w:rsidRPr="003C43C4">
              <w:rPr>
                <w:rFonts w:ascii="Arial" w:hAnsi="Arial" w:cs="Arial"/>
                <w:bCs/>
                <w:sz w:val="18"/>
                <w:szCs w:val="18"/>
              </w:rPr>
              <w:t xml:space="preserve">521 </w:t>
            </w:r>
          </w:p>
        </w:tc>
        <w:tc>
          <w:tcPr>
            <w:tcW w:w="1080" w:type="dxa"/>
            <w:noWrap/>
            <w:vAlign w:val="center"/>
            <w:hideMark/>
          </w:tcPr>
          <w:p w:rsidR="00561DAF" w:rsidRPr="003C43C4" w:rsidRDefault="00561DAF" w:rsidP="00561DAF">
            <w:pPr>
              <w:tabs>
                <w:tab w:val="left" w:pos="8370"/>
              </w:tabs>
              <w:jc w:val="right"/>
              <w:rPr>
                <w:rFonts w:ascii="Arial" w:hAnsi="Arial" w:cs="Arial"/>
                <w:bCs/>
                <w:sz w:val="18"/>
                <w:szCs w:val="18"/>
              </w:rPr>
            </w:pPr>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7</w:t>
            </w:r>
            <w:r w:rsidR="00B74011">
              <w:rPr>
                <w:rFonts w:ascii="Arial" w:hAnsi="Arial" w:cs="Arial"/>
                <w:bCs/>
                <w:sz w:val="18"/>
                <w:szCs w:val="18"/>
              </w:rPr>
              <w:t xml:space="preserve"> </w:t>
            </w:r>
            <w:r w:rsidRPr="003C43C4">
              <w:rPr>
                <w:rFonts w:ascii="Arial" w:hAnsi="Arial" w:cs="Arial"/>
                <w:bCs/>
                <w:sz w:val="18"/>
                <w:szCs w:val="18"/>
              </w:rPr>
              <w:t xml:space="preserve">521 </w:t>
            </w:r>
          </w:p>
        </w:tc>
      </w:tr>
      <w:tr w:rsidR="00561DAF" w:rsidRPr="003C43C4" w:rsidTr="00561DAF">
        <w:trPr>
          <w:trHeight w:val="355"/>
        </w:trPr>
        <w:tc>
          <w:tcPr>
            <w:tcW w:w="4495" w:type="dxa"/>
            <w:noWrap/>
            <w:vAlign w:val="center"/>
            <w:hideMark/>
          </w:tcPr>
          <w:p w:rsidR="00561DAF" w:rsidRPr="002D489D" w:rsidRDefault="002D489D" w:rsidP="00561DAF">
            <w:pPr>
              <w:tabs>
                <w:tab w:val="left" w:pos="8370"/>
              </w:tabs>
              <w:rPr>
                <w:rFonts w:ascii="Arial" w:hAnsi="Arial" w:cs="Arial"/>
                <w:sz w:val="18"/>
                <w:szCs w:val="18"/>
                <w:lang w:val="fr-FR"/>
              </w:rPr>
            </w:pPr>
            <w:r w:rsidRPr="002D489D">
              <w:rPr>
                <w:rFonts w:ascii="Arial" w:hAnsi="Arial" w:cs="Arial"/>
                <w:sz w:val="18"/>
                <w:szCs w:val="18"/>
                <w:lang w:val="fr-FR"/>
              </w:rPr>
              <w:t>Perfectionnement du personnel (formation, retraites)</w:t>
            </w:r>
            <w:r w:rsidR="00561DAF" w:rsidRPr="002D489D">
              <w:rPr>
                <w:rFonts w:ascii="Arial" w:hAnsi="Arial" w:cs="Arial"/>
                <w:sz w:val="18"/>
                <w:szCs w:val="18"/>
                <w:lang w:val="fr-FR"/>
              </w:rPr>
              <w:t>.)</w:t>
            </w:r>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r w:rsidRPr="002D489D">
              <w:rPr>
                <w:rFonts w:ascii="Arial" w:hAnsi="Arial" w:cs="Arial"/>
                <w:bCs/>
                <w:sz w:val="18"/>
                <w:szCs w:val="18"/>
                <w:lang w:val="fr-FR"/>
              </w:rPr>
              <w:t xml:space="preserve"> </w:t>
            </w:r>
            <w:r w:rsidRPr="003C43C4">
              <w:rPr>
                <w:rFonts w:ascii="Arial" w:hAnsi="Arial" w:cs="Arial"/>
                <w:bCs/>
                <w:sz w:val="18"/>
                <w:szCs w:val="18"/>
              </w:rPr>
              <w:t>10</w:t>
            </w:r>
            <w:r w:rsidR="00B74011">
              <w:rPr>
                <w:rFonts w:ascii="Arial" w:hAnsi="Arial" w:cs="Arial"/>
                <w:bCs/>
                <w:sz w:val="18"/>
                <w:szCs w:val="18"/>
              </w:rPr>
              <w:t xml:space="preserve"> </w:t>
            </w:r>
            <w:r w:rsidRPr="003C43C4">
              <w:rPr>
                <w:rFonts w:ascii="Arial" w:hAnsi="Arial" w:cs="Arial"/>
                <w:bCs/>
                <w:sz w:val="18"/>
                <w:szCs w:val="18"/>
              </w:rPr>
              <w:t xml:space="preserve">200 </w:t>
            </w:r>
          </w:p>
        </w:tc>
        <w:tc>
          <w:tcPr>
            <w:tcW w:w="135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12</w:t>
            </w:r>
            <w:r w:rsidR="00B74011">
              <w:rPr>
                <w:rFonts w:ascii="Arial" w:hAnsi="Arial" w:cs="Arial"/>
                <w:bCs/>
                <w:sz w:val="18"/>
                <w:szCs w:val="18"/>
              </w:rPr>
              <w:t xml:space="preserve"> </w:t>
            </w:r>
            <w:r w:rsidRPr="003C43C4">
              <w:rPr>
                <w:rFonts w:ascii="Arial" w:hAnsi="Arial" w:cs="Arial"/>
                <w:bCs/>
                <w:sz w:val="18"/>
                <w:szCs w:val="18"/>
              </w:rPr>
              <w:t xml:space="preserve">465 </w:t>
            </w:r>
          </w:p>
        </w:tc>
        <w:tc>
          <w:tcPr>
            <w:tcW w:w="135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20</w:t>
            </w:r>
            <w:r w:rsidR="00B74011">
              <w:rPr>
                <w:rFonts w:ascii="Arial" w:hAnsi="Arial" w:cs="Arial"/>
                <w:bCs/>
                <w:sz w:val="18"/>
                <w:szCs w:val="18"/>
              </w:rPr>
              <w:t xml:space="preserve"> </w:t>
            </w:r>
            <w:r w:rsidRPr="003C43C4">
              <w:rPr>
                <w:rFonts w:ascii="Arial" w:hAnsi="Arial" w:cs="Arial"/>
                <w:bCs/>
                <w:sz w:val="18"/>
                <w:szCs w:val="18"/>
              </w:rPr>
              <w:t xml:space="preserve">827 </w:t>
            </w:r>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17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439 </w:t>
            </w:r>
          </w:p>
        </w:tc>
        <w:tc>
          <w:tcPr>
            <w:tcW w:w="1080" w:type="dxa"/>
            <w:noWrap/>
            <w:vAlign w:val="center"/>
            <w:hideMark/>
          </w:tcPr>
          <w:p w:rsidR="00561DAF" w:rsidRPr="003C43C4" w:rsidRDefault="00561DAF" w:rsidP="00561DAF">
            <w:pPr>
              <w:tabs>
                <w:tab w:val="left" w:pos="8370"/>
              </w:tabs>
              <w:jc w:val="right"/>
              <w:rPr>
                <w:rFonts w:ascii="Arial" w:hAnsi="Arial" w:cs="Arial"/>
                <w:bCs/>
                <w:sz w:val="18"/>
                <w:szCs w:val="18"/>
              </w:rPr>
            </w:pPr>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439 </w:t>
            </w:r>
          </w:p>
        </w:tc>
      </w:tr>
      <w:tr w:rsidR="00561DAF" w:rsidRPr="003C43C4" w:rsidTr="00561DAF">
        <w:trPr>
          <w:trHeight w:val="355"/>
        </w:trPr>
        <w:tc>
          <w:tcPr>
            <w:tcW w:w="4495" w:type="dxa"/>
            <w:vAlign w:val="center"/>
            <w:hideMark/>
          </w:tcPr>
          <w:p w:rsidR="00561DAF" w:rsidRPr="003C43C4" w:rsidRDefault="00561DAF" w:rsidP="00561DAF">
            <w:pPr>
              <w:tabs>
                <w:tab w:val="left" w:pos="8370"/>
              </w:tabs>
              <w:rPr>
                <w:rFonts w:ascii="Arial" w:hAnsi="Arial" w:cs="Arial"/>
                <w:sz w:val="18"/>
                <w:szCs w:val="18"/>
              </w:rPr>
            </w:pPr>
            <w:r w:rsidRPr="003C43C4">
              <w:rPr>
                <w:rFonts w:ascii="Arial" w:hAnsi="Arial" w:cs="Arial"/>
                <w:sz w:val="18"/>
                <w:szCs w:val="18"/>
              </w:rPr>
              <w:t xml:space="preserve">Services </w:t>
            </w:r>
            <w:proofErr w:type="spellStart"/>
            <w:r w:rsidR="002D489D">
              <w:rPr>
                <w:rFonts w:ascii="Arial" w:hAnsi="Arial" w:cs="Arial"/>
                <w:sz w:val="18"/>
                <w:szCs w:val="18"/>
              </w:rPr>
              <w:t>d’information</w:t>
            </w:r>
            <w:proofErr w:type="spellEnd"/>
            <w:r w:rsidR="002D489D">
              <w:rPr>
                <w:rFonts w:ascii="Arial" w:hAnsi="Arial" w:cs="Arial"/>
                <w:sz w:val="18"/>
                <w:szCs w:val="18"/>
              </w:rPr>
              <w:t xml:space="preserve"> </w:t>
            </w:r>
            <w:proofErr w:type="spellStart"/>
            <w:r w:rsidR="002D489D">
              <w:rPr>
                <w:rFonts w:ascii="Arial" w:hAnsi="Arial" w:cs="Arial"/>
                <w:sz w:val="18"/>
                <w:szCs w:val="18"/>
              </w:rPr>
              <w:t>technologique</w:t>
            </w:r>
            <w:proofErr w:type="spellEnd"/>
            <w:r w:rsidR="002D489D">
              <w:rPr>
                <w:rFonts w:ascii="Arial" w:hAnsi="Arial" w:cs="Arial"/>
                <w:sz w:val="18"/>
                <w:szCs w:val="18"/>
              </w:rPr>
              <w:t xml:space="preserve"> </w:t>
            </w:r>
            <w:r w:rsidRPr="003C43C4">
              <w:rPr>
                <w:rFonts w:ascii="Arial" w:hAnsi="Arial" w:cs="Arial"/>
                <w:sz w:val="18"/>
                <w:szCs w:val="18"/>
              </w:rPr>
              <w:t>(UNV)</w:t>
            </w:r>
          </w:p>
        </w:tc>
        <w:tc>
          <w:tcPr>
            <w:tcW w:w="1260" w:type="dxa"/>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71</w:t>
            </w:r>
            <w:r w:rsidR="00B74011">
              <w:rPr>
                <w:rFonts w:ascii="Arial" w:hAnsi="Arial" w:cs="Arial"/>
                <w:bCs/>
                <w:sz w:val="18"/>
                <w:szCs w:val="18"/>
              </w:rPr>
              <w:t xml:space="preserve"> </w:t>
            </w:r>
            <w:r w:rsidRPr="003C43C4">
              <w:rPr>
                <w:rFonts w:ascii="Arial" w:hAnsi="Arial" w:cs="Arial"/>
                <w:bCs/>
                <w:sz w:val="18"/>
                <w:szCs w:val="18"/>
              </w:rPr>
              <w:t xml:space="preserve">400 </w:t>
            </w:r>
          </w:p>
        </w:tc>
        <w:tc>
          <w:tcPr>
            <w:tcW w:w="1350" w:type="dxa"/>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350" w:type="dxa"/>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69</w:t>
            </w:r>
            <w:r w:rsidR="00B74011">
              <w:rPr>
                <w:rFonts w:ascii="Arial" w:hAnsi="Arial" w:cs="Arial"/>
                <w:bCs/>
                <w:sz w:val="18"/>
                <w:szCs w:val="18"/>
              </w:rPr>
              <w:t xml:space="preserve"> </w:t>
            </w:r>
            <w:r w:rsidRPr="003C43C4">
              <w:rPr>
                <w:rFonts w:ascii="Arial" w:hAnsi="Arial" w:cs="Arial"/>
                <w:bCs/>
                <w:sz w:val="18"/>
                <w:szCs w:val="18"/>
              </w:rPr>
              <w:t xml:space="preserve">086 </w:t>
            </w:r>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72</w:t>
            </w:r>
            <w:r w:rsidR="00B74011">
              <w:rPr>
                <w:rFonts w:ascii="Arial" w:hAnsi="Arial" w:cs="Arial"/>
                <w:bCs/>
                <w:sz w:val="18"/>
                <w:szCs w:val="18"/>
              </w:rPr>
              <w:t xml:space="preserve"> </w:t>
            </w:r>
            <w:r w:rsidRPr="003C43C4">
              <w:rPr>
                <w:rFonts w:ascii="Arial" w:hAnsi="Arial" w:cs="Arial"/>
                <w:bCs/>
                <w:sz w:val="18"/>
                <w:szCs w:val="18"/>
              </w:rPr>
              <w:t xml:space="preserve">828 </w:t>
            </w:r>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17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67</w:t>
            </w:r>
            <w:r w:rsidR="00B74011">
              <w:rPr>
                <w:rFonts w:ascii="Arial" w:hAnsi="Arial" w:cs="Arial"/>
                <w:bCs/>
                <w:sz w:val="18"/>
                <w:szCs w:val="18"/>
              </w:rPr>
              <w:t xml:space="preserve"> </w:t>
            </w:r>
            <w:r w:rsidRPr="003C43C4">
              <w:rPr>
                <w:rFonts w:ascii="Arial" w:hAnsi="Arial" w:cs="Arial"/>
                <w:bCs/>
                <w:sz w:val="18"/>
                <w:szCs w:val="18"/>
              </w:rPr>
              <w:t xml:space="preserve">553 </w:t>
            </w:r>
          </w:p>
        </w:tc>
        <w:tc>
          <w:tcPr>
            <w:tcW w:w="1080" w:type="dxa"/>
            <w:noWrap/>
            <w:vAlign w:val="center"/>
            <w:hideMark/>
          </w:tcPr>
          <w:p w:rsidR="00561DAF" w:rsidRPr="003C43C4" w:rsidRDefault="00561DAF" w:rsidP="00561DAF">
            <w:pPr>
              <w:tabs>
                <w:tab w:val="left" w:pos="8370"/>
              </w:tabs>
              <w:jc w:val="right"/>
              <w:rPr>
                <w:rFonts w:ascii="Arial" w:hAnsi="Arial" w:cs="Arial"/>
                <w:bCs/>
                <w:sz w:val="18"/>
                <w:szCs w:val="18"/>
              </w:rPr>
            </w:pPr>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67</w:t>
            </w:r>
            <w:r w:rsidR="00B74011">
              <w:rPr>
                <w:rFonts w:ascii="Arial" w:hAnsi="Arial" w:cs="Arial"/>
                <w:bCs/>
                <w:sz w:val="18"/>
                <w:szCs w:val="18"/>
              </w:rPr>
              <w:t xml:space="preserve"> </w:t>
            </w:r>
            <w:r w:rsidRPr="003C43C4">
              <w:rPr>
                <w:rFonts w:ascii="Arial" w:hAnsi="Arial" w:cs="Arial"/>
                <w:bCs/>
                <w:sz w:val="18"/>
                <w:szCs w:val="18"/>
              </w:rPr>
              <w:t xml:space="preserve">553 </w:t>
            </w:r>
          </w:p>
        </w:tc>
      </w:tr>
      <w:tr w:rsidR="00561DAF" w:rsidRPr="003C43C4" w:rsidTr="00561DAF">
        <w:trPr>
          <w:trHeight w:val="355"/>
        </w:trPr>
        <w:tc>
          <w:tcPr>
            <w:tcW w:w="4495" w:type="dxa"/>
            <w:vAlign w:val="center"/>
            <w:hideMark/>
          </w:tcPr>
          <w:p w:rsidR="00561DAF" w:rsidRPr="002D489D" w:rsidRDefault="002D489D" w:rsidP="00561DAF">
            <w:pPr>
              <w:tabs>
                <w:tab w:val="left" w:pos="8370"/>
              </w:tabs>
              <w:rPr>
                <w:rFonts w:ascii="Arial" w:hAnsi="Arial" w:cs="Arial"/>
                <w:sz w:val="18"/>
                <w:szCs w:val="18"/>
                <w:lang w:val="fr-FR"/>
              </w:rPr>
            </w:pPr>
            <w:r w:rsidRPr="002D489D">
              <w:rPr>
                <w:rFonts w:ascii="Arial" w:hAnsi="Arial" w:cs="Arial"/>
                <w:sz w:val="18"/>
                <w:szCs w:val="18"/>
                <w:lang w:val="fr-FR"/>
              </w:rPr>
              <w:t>Services bureautiques (location d’imprimantes, hébergement, etc</w:t>
            </w:r>
            <w:r w:rsidR="00561DAF" w:rsidRPr="002D489D">
              <w:rPr>
                <w:rFonts w:ascii="Arial" w:hAnsi="Arial" w:cs="Arial"/>
                <w:sz w:val="18"/>
                <w:szCs w:val="18"/>
                <w:lang w:val="fr-FR"/>
              </w:rPr>
              <w:t>.)</w:t>
            </w:r>
          </w:p>
        </w:tc>
        <w:tc>
          <w:tcPr>
            <w:tcW w:w="1260" w:type="dxa"/>
            <w:vAlign w:val="center"/>
            <w:hideMark/>
          </w:tcPr>
          <w:p w:rsidR="00561DAF" w:rsidRPr="003C43C4" w:rsidRDefault="00561DAF" w:rsidP="00561DAF">
            <w:pPr>
              <w:tabs>
                <w:tab w:val="left" w:pos="8370"/>
              </w:tabs>
              <w:jc w:val="right"/>
              <w:rPr>
                <w:rFonts w:ascii="Arial" w:hAnsi="Arial" w:cs="Arial"/>
                <w:bCs/>
                <w:sz w:val="18"/>
                <w:szCs w:val="18"/>
              </w:rPr>
            </w:pPr>
            <w:r w:rsidRPr="002D489D">
              <w:rPr>
                <w:rFonts w:ascii="Arial" w:hAnsi="Arial" w:cs="Arial"/>
                <w:bCs/>
                <w:sz w:val="18"/>
                <w:szCs w:val="18"/>
                <w:lang w:val="fr-FR"/>
              </w:rPr>
              <w:t xml:space="preserve"> </w:t>
            </w:r>
            <w:r w:rsidRPr="003C43C4">
              <w:rPr>
                <w:rFonts w:ascii="Arial" w:hAnsi="Arial" w:cs="Arial"/>
                <w:bCs/>
                <w:sz w:val="18"/>
                <w:szCs w:val="18"/>
              </w:rPr>
              <w:t>10</w:t>
            </w:r>
            <w:r w:rsidR="00B74011">
              <w:rPr>
                <w:rFonts w:ascii="Arial" w:hAnsi="Arial" w:cs="Arial"/>
                <w:bCs/>
                <w:sz w:val="18"/>
                <w:szCs w:val="18"/>
              </w:rPr>
              <w:t xml:space="preserve"> </w:t>
            </w:r>
            <w:r w:rsidRPr="003C43C4">
              <w:rPr>
                <w:rFonts w:ascii="Arial" w:hAnsi="Arial" w:cs="Arial"/>
                <w:bCs/>
                <w:sz w:val="18"/>
                <w:szCs w:val="18"/>
              </w:rPr>
              <w:t xml:space="preserve">200 </w:t>
            </w:r>
          </w:p>
        </w:tc>
        <w:tc>
          <w:tcPr>
            <w:tcW w:w="1350" w:type="dxa"/>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350" w:type="dxa"/>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3</w:t>
            </w:r>
            <w:r w:rsidR="00B74011">
              <w:rPr>
                <w:rFonts w:ascii="Arial" w:hAnsi="Arial" w:cs="Arial"/>
                <w:bCs/>
                <w:sz w:val="18"/>
                <w:szCs w:val="18"/>
              </w:rPr>
              <w:t xml:space="preserve"> </w:t>
            </w:r>
            <w:r w:rsidRPr="003C43C4">
              <w:rPr>
                <w:rFonts w:ascii="Arial" w:hAnsi="Arial" w:cs="Arial"/>
                <w:bCs/>
                <w:sz w:val="18"/>
                <w:szCs w:val="18"/>
              </w:rPr>
              <w:t xml:space="preserve">267 </w:t>
            </w:r>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10</w:t>
            </w:r>
            <w:r w:rsidR="00B74011">
              <w:rPr>
                <w:rFonts w:ascii="Arial" w:hAnsi="Arial" w:cs="Arial"/>
                <w:bCs/>
                <w:sz w:val="18"/>
                <w:szCs w:val="18"/>
              </w:rPr>
              <w:t xml:space="preserve"> </w:t>
            </w:r>
            <w:r w:rsidRPr="003C43C4">
              <w:rPr>
                <w:rFonts w:ascii="Arial" w:hAnsi="Arial" w:cs="Arial"/>
                <w:bCs/>
                <w:sz w:val="18"/>
                <w:szCs w:val="18"/>
              </w:rPr>
              <w:t xml:space="preserve">404 </w:t>
            </w:r>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17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8</w:t>
            </w:r>
            <w:r w:rsidR="00B74011">
              <w:rPr>
                <w:rFonts w:ascii="Arial" w:hAnsi="Arial" w:cs="Arial"/>
                <w:bCs/>
                <w:sz w:val="18"/>
                <w:szCs w:val="18"/>
              </w:rPr>
              <w:t xml:space="preserve"> </w:t>
            </w:r>
            <w:r w:rsidRPr="003C43C4">
              <w:rPr>
                <w:rFonts w:ascii="Arial" w:hAnsi="Arial" w:cs="Arial"/>
                <w:bCs/>
                <w:sz w:val="18"/>
                <w:szCs w:val="18"/>
              </w:rPr>
              <w:t xml:space="preserve">947 </w:t>
            </w:r>
          </w:p>
        </w:tc>
        <w:tc>
          <w:tcPr>
            <w:tcW w:w="1080" w:type="dxa"/>
            <w:noWrap/>
            <w:vAlign w:val="center"/>
            <w:hideMark/>
          </w:tcPr>
          <w:p w:rsidR="00561DAF" w:rsidRPr="003C43C4" w:rsidRDefault="00561DAF" w:rsidP="00561DAF">
            <w:pPr>
              <w:tabs>
                <w:tab w:val="left" w:pos="8370"/>
              </w:tabs>
              <w:jc w:val="right"/>
              <w:rPr>
                <w:rFonts w:ascii="Arial" w:hAnsi="Arial" w:cs="Arial"/>
                <w:bCs/>
                <w:sz w:val="18"/>
                <w:szCs w:val="18"/>
              </w:rPr>
            </w:pPr>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8</w:t>
            </w:r>
            <w:r w:rsidR="00B74011">
              <w:rPr>
                <w:rFonts w:ascii="Arial" w:hAnsi="Arial" w:cs="Arial"/>
                <w:bCs/>
                <w:sz w:val="18"/>
                <w:szCs w:val="18"/>
              </w:rPr>
              <w:t xml:space="preserve"> </w:t>
            </w:r>
            <w:r w:rsidRPr="003C43C4">
              <w:rPr>
                <w:rFonts w:ascii="Arial" w:hAnsi="Arial" w:cs="Arial"/>
                <w:bCs/>
                <w:sz w:val="18"/>
                <w:szCs w:val="18"/>
              </w:rPr>
              <w:t xml:space="preserve">947 </w:t>
            </w:r>
          </w:p>
        </w:tc>
      </w:tr>
      <w:tr w:rsidR="00561DAF" w:rsidRPr="003C43C4" w:rsidTr="00561DAF">
        <w:trPr>
          <w:trHeight w:val="355"/>
        </w:trPr>
        <w:tc>
          <w:tcPr>
            <w:tcW w:w="4495" w:type="dxa"/>
            <w:vAlign w:val="center"/>
            <w:hideMark/>
          </w:tcPr>
          <w:p w:rsidR="00561DAF" w:rsidRPr="002D489D" w:rsidRDefault="002D489D" w:rsidP="00561DAF">
            <w:pPr>
              <w:tabs>
                <w:tab w:val="left" w:pos="8370"/>
              </w:tabs>
              <w:rPr>
                <w:rFonts w:ascii="Arial" w:hAnsi="Arial" w:cs="Arial"/>
                <w:sz w:val="18"/>
                <w:szCs w:val="18"/>
                <w:lang w:val="fr-FR"/>
              </w:rPr>
            </w:pPr>
            <w:r w:rsidRPr="002D489D">
              <w:rPr>
                <w:rFonts w:ascii="Arial" w:hAnsi="Arial" w:cs="Arial"/>
                <w:sz w:val="18"/>
                <w:szCs w:val="18"/>
                <w:lang w:val="fr-FR"/>
              </w:rPr>
              <w:t xml:space="preserve">Services de </w:t>
            </w:r>
            <w:r w:rsidR="00561DAF" w:rsidRPr="002D489D">
              <w:rPr>
                <w:rFonts w:ascii="Arial" w:hAnsi="Arial" w:cs="Arial"/>
                <w:sz w:val="18"/>
                <w:szCs w:val="18"/>
                <w:lang w:val="fr-FR"/>
              </w:rPr>
              <w:t xml:space="preserve">Communication </w:t>
            </w:r>
            <w:r w:rsidRPr="002D489D">
              <w:rPr>
                <w:rFonts w:ascii="Arial" w:hAnsi="Arial" w:cs="Arial"/>
                <w:sz w:val="18"/>
                <w:szCs w:val="18"/>
                <w:lang w:val="fr-FR"/>
              </w:rPr>
              <w:t xml:space="preserve">et de </w:t>
            </w:r>
            <w:r w:rsidR="00561DAF" w:rsidRPr="002D489D">
              <w:rPr>
                <w:rFonts w:ascii="Arial" w:hAnsi="Arial" w:cs="Arial"/>
                <w:sz w:val="18"/>
                <w:szCs w:val="18"/>
                <w:lang w:val="fr-FR"/>
              </w:rPr>
              <w:t>Cou</w:t>
            </w:r>
            <w:r w:rsidRPr="002D489D">
              <w:rPr>
                <w:rFonts w:ascii="Arial" w:hAnsi="Arial" w:cs="Arial"/>
                <w:sz w:val="18"/>
                <w:szCs w:val="18"/>
                <w:lang w:val="fr-FR"/>
              </w:rPr>
              <w:t>r</w:t>
            </w:r>
            <w:r w:rsidR="00561DAF" w:rsidRPr="002D489D">
              <w:rPr>
                <w:rFonts w:ascii="Arial" w:hAnsi="Arial" w:cs="Arial"/>
                <w:sz w:val="18"/>
                <w:szCs w:val="18"/>
                <w:lang w:val="fr-FR"/>
              </w:rPr>
              <w:t>rier</w:t>
            </w:r>
          </w:p>
        </w:tc>
        <w:tc>
          <w:tcPr>
            <w:tcW w:w="1260" w:type="dxa"/>
            <w:vAlign w:val="center"/>
            <w:hideMark/>
          </w:tcPr>
          <w:p w:rsidR="00561DAF" w:rsidRPr="003C43C4" w:rsidRDefault="00561DAF" w:rsidP="00561DAF">
            <w:pPr>
              <w:tabs>
                <w:tab w:val="left" w:pos="8370"/>
              </w:tabs>
              <w:jc w:val="right"/>
              <w:rPr>
                <w:rFonts w:ascii="Arial" w:hAnsi="Arial" w:cs="Arial"/>
                <w:bCs/>
                <w:sz w:val="18"/>
                <w:szCs w:val="18"/>
              </w:rPr>
            </w:pPr>
            <w:r w:rsidRPr="002D489D">
              <w:rPr>
                <w:rFonts w:ascii="Arial" w:hAnsi="Arial" w:cs="Arial"/>
                <w:bCs/>
                <w:sz w:val="18"/>
                <w:szCs w:val="18"/>
                <w:lang w:val="fr-FR"/>
              </w:rPr>
              <w:t xml:space="preserve"> </w:t>
            </w:r>
            <w:r w:rsidRPr="003C43C4">
              <w:rPr>
                <w:rFonts w:ascii="Arial" w:hAnsi="Arial" w:cs="Arial"/>
                <w:bCs/>
                <w:sz w:val="18"/>
                <w:szCs w:val="18"/>
              </w:rPr>
              <w:t>17</w:t>
            </w:r>
            <w:r w:rsidR="00B74011">
              <w:rPr>
                <w:rFonts w:ascii="Arial" w:hAnsi="Arial" w:cs="Arial"/>
                <w:bCs/>
                <w:sz w:val="18"/>
                <w:szCs w:val="18"/>
              </w:rPr>
              <w:t xml:space="preserve"> </w:t>
            </w:r>
            <w:r w:rsidRPr="003C43C4">
              <w:rPr>
                <w:rFonts w:ascii="Arial" w:hAnsi="Arial" w:cs="Arial"/>
                <w:bCs/>
                <w:sz w:val="18"/>
                <w:szCs w:val="18"/>
              </w:rPr>
              <w:t xml:space="preserve">850 </w:t>
            </w:r>
          </w:p>
        </w:tc>
        <w:tc>
          <w:tcPr>
            <w:tcW w:w="1350" w:type="dxa"/>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350" w:type="dxa"/>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3</w:t>
            </w:r>
            <w:r w:rsidR="00B74011">
              <w:rPr>
                <w:rFonts w:ascii="Arial" w:hAnsi="Arial" w:cs="Arial"/>
                <w:bCs/>
                <w:sz w:val="18"/>
                <w:szCs w:val="18"/>
              </w:rPr>
              <w:t xml:space="preserve"> </w:t>
            </w:r>
            <w:r w:rsidRPr="003C43C4">
              <w:rPr>
                <w:rFonts w:ascii="Arial" w:hAnsi="Arial" w:cs="Arial"/>
                <w:bCs/>
                <w:sz w:val="18"/>
                <w:szCs w:val="18"/>
              </w:rPr>
              <w:t xml:space="preserve">221 </w:t>
            </w:r>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18</w:t>
            </w:r>
            <w:r w:rsidR="00B74011">
              <w:rPr>
                <w:rFonts w:ascii="Arial" w:hAnsi="Arial" w:cs="Arial"/>
                <w:bCs/>
                <w:sz w:val="18"/>
                <w:szCs w:val="18"/>
              </w:rPr>
              <w:t xml:space="preserve"> </w:t>
            </w:r>
            <w:r w:rsidRPr="003C43C4">
              <w:rPr>
                <w:rFonts w:ascii="Arial" w:hAnsi="Arial" w:cs="Arial"/>
                <w:bCs/>
                <w:sz w:val="18"/>
                <w:szCs w:val="18"/>
              </w:rPr>
              <w:t xml:space="preserve">207 </w:t>
            </w:r>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17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7</w:t>
            </w:r>
            <w:r w:rsidR="00B74011">
              <w:rPr>
                <w:rFonts w:ascii="Arial" w:hAnsi="Arial" w:cs="Arial"/>
                <w:bCs/>
                <w:sz w:val="18"/>
                <w:szCs w:val="18"/>
              </w:rPr>
              <w:t xml:space="preserve"> </w:t>
            </w:r>
            <w:r w:rsidRPr="003C43C4">
              <w:rPr>
                <w:rFonts w:ascii="Arial" w:hAnsi="Arial" w:cs="Arial"/>
                <w:bCs/>
                <w:sz w:val="18"/>
                <w:szCs w:val="18"/>
              </w:rPr>
              <w:t xml:space="preserve">895 </w:t>
            </w:r>
          </w:p>
        </w:tc>
        <w:tc>
          <w:tcPr>
            <w:tcW w:w="1080" w:type="dxa"/>
            <w:noWrap/>
            <w:vAlign w:val="center"/>
            <w:hideMark/>
          </w:tcPr>
          <w:p w:rsidR="00561DAF" w:rsidRPr="003C43C4" w:rsidRDefault="00561DAF" w:rsidP="00561DAF">
            <w:pPr>
              <w:tabs>
                <w:tab w:val="left" w:pos="8370"/>
              </w:tabs>
              <w:jc w:val="right"/>
              <w:rPr>
                <w:rFonts w:ascii="Arial" w:hAnsi="Arial" w:cs="Arial"/>
                <w:bCs/>
                <w:sz w:val="18"/>
                <w:szCs w:val="18"/>
              </w:rPr>
            </w:pPr>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7</w:t>
            </w:r>
            <w:r w:rsidR="00B74011">
              <w:rPr>
                <w:rFonts w:ascii="Arial" w:hAnsi="Arial" w:cs="Arial"/>
                <w:bCs/>
                <w:sz w:val="18"/>
                <w:szCs w:val="18"/>
              </w:rPr>
              <w:t xml:space="preserve"> </w:t>
            </w:r>
            <w:r w:rsidRPr="003C43C4">
              <w:rPr>
                <w:rFonts w:ascii="Arial" w:hAnsi="Arial" w:cs="Arial"/>
                <w:bCs/>
                <w:sz w:val="18"/>
                <w:szCs w:val="18"/>
              </w:rPr>
              <w:t xml:space="preserve">895 </w:t>
            </w:r>
          </w:p>
        </w:tc>
      </w:tr>
      <w:tr w:rsidR="00561DAF" w:rsidRPr="003C43C4" w:rsidTr="00561DAF">
        <w:trPr>
          <w:trHeight w:val="355"/>
        </w:trPr>
        <w:tc>
          <w:tcPr>
            <w:tcW w:w="4495" w:type="dxa"/>
            <w:noWrap/>
            <w:vAlign w:val="center"/>
            <w:hideMark/>
          </w:tcPr>
          <w:p w:rsidR="00561DAF" w:rsidRPr="003C43C4" w:rsidRDefault="002D489D" w:rsidP="00561DAF">
            <w:pPr>
              <w:tabs>
                <w:tab w:val="left" w:pos="8370"/>
              </w:tabs>
              <w:rPr>
                <w:rFonts w:ascii="Arial" w:hAnsi="Arial" w:cs="Arial"/>
                <w:sz w:val="18"/>
                <w:szCs w:val="18"/>
              </w:rPr>
            </w:pPr>
            <w:proofErr w:type="spellStart"/>
            <w:r>
              <w:rPr>
                <w:rFonts w:ascii="Arial" w:hAnsi="Arial" w:cs="Arial"/>
                <w:sz w:val="18"/>
                <w:szCs w:val="18"/>
              </w:rPr>
              <w:t>Divers</w:t>
            </w:r>
            <w:r w:rsidR="00561DAF" w:rsidRPr="003C43C4">
              <w:rPr>
                <w:rFonts w:ascii="Arial" w:hAnsi="Arial" w:cs="Arial"/>
                <w:sz w:val="18"/>
                <w:szCs w:val="18"/>
              </w:rPr>
              <w:t>s</w:t>
            </w:r>
            <w:proofErr w:type="spellEnd"/>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3</w:t>
            </w:r>
            <w:r w:rsidR="00B74011">
              <w:rPr>
                <w:rFonts w:ascii="Arial" w:hAnsi="Arial" w:cs="Arial"/>
                <w:bCs/>
                <w:sz w:val="18"/>
                <w:szCs w:val="18"/>
              </w:rPr>
              <w:t xml:space="preserve"> </w:t>
            </w:r>
            <w:r w:rsidRPr="003C43C4">
              <w:rPr>
                <w:rFonts w:ascii="Arial" w:hAnsi="Arial" w:cs="Arial"/>
                <w:bCs/>
                <w:sz w:val="18"/>
                <w:szCs w:val="18"/>
              </w:rPr>
              <w:t xml:space="preserve">813 </w:t>
            </w:r>
          </w:p>
        </w:tc>
        <w:tc>
          <w:tcPr>
            <w:tcW w:w="135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35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4</w:t>
            </w:r>
            <w:r w:rsidR="00B74011">
              <w:rPr>
                <w:rFonts w:ascii="Arial" w:hAnsi="Arial" w:cs="Arial"/>
                <w:bCs/>
                <w:sz w:val="18"/>
                <w:szCs w:val="18"/>
              </w:rPr>
              <w:t xml:space="preserve"> </w:t>
            </w:r>
            <w:r w:rsidRPr="003C43C4">
              <w:rPr>
                <w:rFonts w:ascii="Arial" w:hAnsi="Arial" w:cs="Arial"/>
                <w:bCs/>
                <w:sz w:val="18"/>
                <w:szCs w:val="18"/>
              </w:rPr>
              <w:t xml:space="preserve">155 </w:t>
            </w:r>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3</w:t>
            </w:r>
            <w:r w:rsidR="00B74011">
              <w:rPr>
                <w:rFonts w:ascii="Arial" w:hAnsi="Arial" w:cs="Arial"/>
                <w:bCs/>
                <w:sz w:val="18"/>
                <w:szCs w:val="18"/>
              </w:rPr>
              <w:t xml:space="preserve"> </w:t>
            </w:r>
            <w:r w:rsidRPr="003C43C4">
              <w:rPr>
                <w:rFonts w:ascii="Arial" w:hAnsi="Arial" w:cs="Arial"/>
                <w:bCs/>
                <w:sz w:val="18"/>
                <w:szCs w:val="18"/>
              </w:rPr>
              <w:t xml:space="preserve">889 </w:t>
            </w:r>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17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324 </w:t>
            </w:r>
          </w:p>
        </w:tc>
        <w:tc>
          <w:tcPr>
            <w:tcW w:w="1080" w:type="dxa"/>
            <w:noWrap/>
            <w:vAlign w:val="center"/>
            <w:hideMark/>
          </w:tcPr>
          <w:p w:rsidR="00561DAF" w:rsidRPr="003C43C4" w:rsidRDefault="00561DAF" w:rsidP="00561DAF">
            <w:pPr>
              <w:tabs>
                <w:tab w:val="left" w:pos="8370"/>
              </w:tabs>
              <w:jc w:val="right"/>
              <w:rPr>
                <w:rFonts w:ascii="Arial" w:hAnsi="Arial" w:cs="Arial"/>
                <w:bCs/>
                <w:sz w:val="18"/>
                <w:szCs w:val="18"/>
              </w:rPr>
            </w:pPr>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324 </w:t>
            </w:r>
          </w:p>
        </w:tc>
      </w:tr>
      <w:tr w:rsidR="00561DAF" w:rsidRPr="003C43C4" w:rsidTr="00561DAF">
        <w:trPr>
          <w:trHeight w:val="355"/>
        </w:trPr>
        <w:tc>
          <w:tcPr>
            <w:tcW w:w="4495" w:type="dxa"/>
            <w:shd w:val="clear" w:color="auto" w:fill="BDD6EE" w:themeFill="accent5" w:themeFillTint="66"/>
            <w:noWrap/>
            <w:vAlign w:val="center"/>
            <w:hideMark/>
          </w:tcPr>
          <w:p w:rsidR="00561DAF" w:rsidRPr="003C43C4" w:rsidRDefault="00561DAF" w:rsidP="00561DAF">
            <w:pPr>
              <w:tabs>
                <w:tab w:val="left" w:pos="8370"/>
              </w:tabs>
              <w:rPr>
                <w:rFonts w:ascii="Arial" w:hAnsi="Arial" w:cs="Arial"/>
                <w:b/>
                <w:bCs/>
                <w:sz w:val="18"/>
                <w:szCs w:val="18"/>
              </w:rPr>
            </w:pPr>
            <w:r w:rsidRPr="003C43C4">
              <w:rPr>
                <w:rFonts w:ascii="Arial" w:hAnsi="Arial" w:cs="Arial"/>
                <w:b/>
                <w:bCs/>
                <w:sz w:val="18"/>
                <w:szCs w:val="18"/>
              </w:rPr>
              <w:t>S</w:t>
            </w:r>
            <w:r w:rsidR="002D489D">
              <w:rPr>
                <w:rFonts w:ascii="Arial" w:hAnsi="Arial" w:cs="Arial"/>
                <w:b/>
                <w:bCs/>
                <w:sz w:val="18"/>
                <w:szCs w:val="18"/>
              </w:rPr>
              <w:t>ous</w:t>
            </w:r>
            <w:r w:rsidRPr="003C43C4">
              <w:rPr>
                <w:rFonts w:ascii="Arial" w:hAnsi="Arial" w:cs="Arial"/>
                <w:b/>
                <w:bCs/>
                <w:sz w:val="18"/>
                <w:szCs w:val="18"/>
              </w:rPr>
              <w:t>-total</w:t>
            </w:r>
          </w:p>
        </w:tc>
        <w:tc>
          <w:tcPr>
            <w:tcW w:w="1260" w:type="dxa"/>
            <w:shd w:val="clear" w:color="auto" w:fill="BDD6EE" w:themeFill="accent5" w:themeFillTint="66"/>
            <w:noWrap/>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 xml:space="preserve"> 120</w:t>
            </w:r>
            <w:r w:rsidR="00B74011">
              <w:rPr>
                <w:rFonts w:ascii="Arial" w:hAnsi="Arial" w:cs="Arial"/>
                <w:b/>
                <w:bCs/>
                <w:sz w:val="18"/>
                <w:szCs w:val="18"/>
              </w:rPr>
              <w:t xml:space="preserve"> </w:t>
            </w:r>
            <w:r w:rsidRPr="003C43C4">
              <w:rPr>
                <w:rFonts w:ascii="Arial" w:hAnsi="Arial" w:cs="Arial"/>
                <w:b/>
                <w:bCs/>
                <w:sz w:val="18"/>
                <w:szCs w:val="18"/>
              </w:rPr>
              <w:t xml:space="preserve">093 </w:t>
            </w:r>
          </w:p>
        </w:tc>
        <w:tc>
          <w:tcPr>
            <w:tcW w:w="1350" w:type="dxa"/>
            <w:shd w:val="clear" w:color="auto" w:fill="BDD6EE" w:themeFill="accent5" w:themeFillTint="66"/>
            <w:noWrap/>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 xml:space="preserve"> 12</w:t>
            </w:r>
            <w:r w:rsidR="00B74011">
              <w:rPr>
                <w:rFonts w:ascii="Arial" w:hAnsi="Arial" w:cs="Arial"/>
                <w:b/>
                <w:bCs/>
                <w:sz w:val="18"/>
                <w:szCs w:val="18"/>
              </w:rPr>
              <w:t xml:space="preserve"> </w:t>
            </w:r>
            <w:r w:rsidRPr="003C43C4">
              <w:rPr>
                <w:rFonts w:ascii="Arial" w:hAnsi="Arial" w:cs="Arial"/>
                <w:b/>
                <w:bCs/>
                <w:sz w:val="18"/>
                <w:szCs w:val="18"/>
              </w:rPr>
              <w:t xml:space="preserve">465 </w:t>
            </w:r>
          </w:p>
        </w:tc>
        <w:tc>
          <w:tcPr>
            <w:tcW w:w="1350" w:type="dxa"/>
            <w:shd w:val="clear" w:color="auto" w:fill="BDD6EE" w:themeFill="accent5" w:themeFillTint="66"/>
            <w:noWrap/>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 xml:space="preserve"> 106</w:t>
            </w:r>
            <w:r w:rsidR="00B74011">
              <w:rPr>
                <w:rFonts w:ascii="Arial" w:hAnsi="Arial" w:cs="Arial"/>
                <w:b/>
                <w:bCs/>
                <w:sz w:val="18"/>
                <w:szCs w:val="18"/>
              </w:rPr>
              <w:t xml:space="preserve"> </w:t>
            </w:r>
            <w:r w:rsidRPr="003C43C4">
              <w:rPr>
                <w:rFonts w:ascii="Arial" w:hAnsi="Arial" w:cs="Arial"/>
                <w:b/>
                <w:bCs/>
                <w:sz w:val="18"/>
                <w:szCs w:val="18"/>
              </w:rPr>
              <w:t xml:space="preserve">400 </w:t>
            </w:r>
          </w:p>
        </w:tc>
        <w:tc>
          <w:tcPr>
            <w:tcW w:w="1260" w:type="dxa"/>
            <w:shd w:val="clear" w:color="auto" w:fill="BDD6EE" w:themeFill="accent5" w:themeFillTint="66"/>
            <w:noWrap/>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 xml:space="preserve"> 112</w:t>
            </w:r>
            <w:r w:rsidR="00B74011">
              <w:rPr>
                <w:rFonts w:ascii="Arial" w:hAnsi="Arial" w:cs="Arial"/>
                <w:b/>
                <w:bCs/>
                <w:sz w:val="18"/>
                <w:szCs w:val="18"/>
              </w:rPr>
              <w:t xml:space="preserve"> </w:t>
            </w:r>
            <w:r w:rsidRPr="003C43C4">
              <w:rPr>
                <w:rFonts w:ascii="Arial" w:hAnsi="Arial" w:cs="Arial"/>
                <w:b/>
                <w:bCs/>
                <w:sz w:val="18"/>
                <w:szCs w:val="18"/>
              </w:rPr>
              <w:t xml:space="preserve">091 </w:t>
            </w:r>
          </w:p>
        </w:tc>
        <w:tc>
          <w:tcPr>
            <w:tcW w:w="1260" w:type="dxa"/>
            <w:shd w:val="clear" w:color="auto" w:fill="BDD6EE" w:themeFill="accent5" w:themeFillTint="66"/>
            <w:noWrap/>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 xml:space="preserve"> -   </w:t>
            </w:r>
          </w:p>
        </w:tc>
        <w:tc>
          <w:tcPr>
            <w:tcW w:w="1170" w:type="dxa"/>
            <w:shd w:val="clear" w:color="auto" w:fill="BDD6EE" w:themeFill="accent5" w:themeFillTint="66"/>
            <w:noWrap/>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 xml:space="preserve"> 92</w:t>
            </w:r>
            <w:r w:rsidR="00B74011">
              <w:rPr>
                <w:rFonts w:ascii="Arial" w:hAnsi="Arial" w:cs="Arial"/>
                <w:b/>
                <w:bCs/>
                <w:sz w:val="18"/>
                <w:szCs w:val="18"/>
              </w:rPr>
              <w:t xml:space="preserve"> </w:t>
            </w:r>
            <w:r w:rsidRPr="003C43C4">
              <w:rPr>
                <w:rFonts w:ascii="Arial" w:hAnsi="Arial" w:cs="Arial"/>
                <w:b/>
                <w:bCs/>
                <w:sz w:val="18"/>
                <w:szCs w:val="18"/>
              </w:rPr>
              <w:t xml:space="preserve">679 </w:t>
            </w:r>
          </w:p>
        </w:tc>
        <w:tc>
          <w:tcPr>
            <w:tcW w:w="1080" w:type="dxa"/>
            <w:shd w:val="clear" w:color="auto" w:fill="BDD6EE" w:themeFill="accent5" w:themeFillTint="66"/>
            <w:noWrap/>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 xml:space="preserve"> -   </w:t>
            </w:r>
          </w:p>
        </w:tc>
        <w:tc>
          <w:tcPr>
            <w:tcW w:w="1260" w:type="dxa"/>
            <w:shd w:val="clear" w:color="auto" w:fill="BDD6EE" w:themeFill="accent5" w:themeFillTint="66"/>
            <w:noWrap/>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 xml:space="preserve"> 92</w:t>
            </w:r>
            <w:r w:rsidR="00B74011">
              <w:rPr>
                <w:rFonts w:ascii="Arial" w:hAnsi="Arial" w:cs="Arial"/>
                <w:b/>
                <w:bCs/>
                <w:sz w:val="18"/>
                <w:szCs w:val="18"/>
              </w:rPr>
              <w:t xml:space="preserve"> </w:t>
            </w:r>
            <w:r w:rsidRPr="003C43C4">
              <w:rPr>
                <w:rFonts w:ascii="Arial" w:hAnsi="Arial" w:cs="Arial"/>
                <w:b/>
                <w:bCs/>
                <w:sz w:val="18"/>
                <w:szCs w:val="18"/>
              </w:rPr>
              <w:t xml:space="preserve">679 </w:t>
            </w:r>
          </w:p>
        </w:tc>
      </w:tr>
      <w:tr w:rsidR="00561DAF" w:rsidRPr="003C43C4" w:rsidTr="00561DAF">
        <w:trPr>
          <w:trHeight w:val="355"/>
        </w:trPr>
        <w:tc>
          <w:tcPr>
            <w:tcW w:w="4495" w:type="dxa"/>
            <w:noWrap/>
            <w:vAlign w:val="center"/>
            <w:hideMark/>
          </w:tcPr>
          <w:p w:rsidR="00561DAF" w:rsidRPr="003C43C4" w:rsidRDefault="002D489D" w:rsidP="00561DAF">
            <w:pPr>
              <w:tabs>
                <w:tab w:val="left" w:pos="8370"/>
              </w:tabs>
              <w:rPr>
                <w:rFonts w:ascii="Arial" w:hAnsi="Arial" w:cs="Arial"/>
                <w:b/>
                <w:bCs/>
                <w:sz w:val="18"/>
                <w:szCs w:val="18"/>
              </w:rPr>
            </w:pPr>
            <w:proofErr w:type="spellStart"/>
            <w:r>
              <w:rPr>
                <w:rFonts w:ascii="Arial" w:hAnsi="Arial" w:cs="Arial"/>
                <w:b/>
                <w:bCs/>
                <w:sz w:val="18"/>
                <w:szCs w:val="18"/>
              </w:rPr>
              <w:lastRenderedPageBreak/>
              <w:t>Fournitures</w:t>
            </w:r>
            <w:r w:rsidR="00561DAF" w:rsidRPr="003C43C4">
              <w:rPr>
                <w:rFonts w:ascii="Arial" w:hAnsi="Arial" w:cs="Arial"/>
                <w:b/>
                <w:bCs/>
                <w:sz w:val="18"/>
                <w:szCs w:val="18"/>
              </w:rPr>
              <w:t>s</w:t>
            </w:r>
            <w:proofErr w:type="spellEnd"/>
          </w:p>
        </w:tc>
        <w:tc>
          <w:tcPr>
            <w:tcW w:w="1260" w:type="dxa"/>
            <w:noWrap/>
            <w:vAlign w:val="center"/>
            <w:hideMark/>
          </w:tcPr>
          <w:p w:rsidR="00561DAF" w:rsidRPr="003C43C4" w:rsidRDefault="00561DAF" w:rsidP="00561DAF">
            <w:pPr>
              <w:tabs>
                <w:tab w:val="left" w:pos="8370"/>
              </w:tabs>
              <w:jc w:val="right"/>
              <w:rPr>
                <w:rFonts w:ascii="Arial" w:hAnsi="Arial" w:cs="Arial"/>
                <w:b/>
                <w:bCs/>
                <w:sz w:val="18"/>
                <w:szCs w:val="18"/>
              </w:rPr>
            </w:pPr>
          </w:p>
        </w:tc>
        <w:tc>
          <w:tcPr>
            <w:tcW w:w="1350" w:type="dxa"/>
            <w:noWrap/>
            <w:vAlign w:val="center"/>
            <w:hideMark/>
          </w:tcPr>
          <w:p w:rsidR="00561DAF" w:rsidRPr="003C43C4" w:rsidRDefault="00561DAF" w:rsidP="00561DAF">
            <w:pPr>
              <w:tabs>
                <w:tab w:val="left" w:pos="8370"/>
              </w:tabs>
              <w:jc w:val="right"/>
              <w:rPr>
                <w:rFonts w:ascii="Arial" w:hAnsi="Arial" w:cs="Arial"/>
                <w:b/>
                <w:bCs/>
                <w:sz w:val="18"/>
                <w:szCs w:val="18"/>
              </w:rPr>
            </w:pPr>
          </w:p>
        </w:tc>
        <w:tc>
          <w:tcPr>
            <w:tcW w:w="1350" w:type="dxa"/>
            <w:noWrap/>
            <w:vAlign w:val="center"/>
            <w:hideMark/>
          </w:tcPr>
          <w:p w:rsidR="00561DAF" w:rsidRPr="003C43C4" w:rsidRDefault="00561DAF" w:rsidP="00561DAF">
            <w:pPr>
              <w:tabs>
                <w:tab w:val="left" w:pos="8370"/>
              </w:tabs>
              <w:jc w:val="right"/>
              <w:rPr>
                <w:rFonts w:ascii="Arial" w:hAnsi="Arial" w:cs="Arial"/>
                <w:b/>
                <w:bCs/>
                <w:sz w:val="18"/>
                <w:szCs w:val="18"/>
              </w:rPr>
            </w:pPr>
          </w:p>
        </w:tc>
        <w:tc>
          <w:tcPr>
            <w:tcW w:w="1260" w:type="dxa"/>
            <w:noWrap/>
            <w:vAlign w:val="center"/>
            <w:hideMark/>
          </w:tcPr>
          <w:p w:rsidR="00561DAF" w:rsidRPr="003C43C4" w:rsidRDefault="00561DAF" w:rsidP="00561DAF">
            <w:pPr>
              <w:tabs>
                <w:tab w:val="left" w:pos="8370"/>
              </w:tabs>
              <w:jc w:val="right"/>
              <w:rPr>
                <w:rFonts w:ascii="Arial" w:hAnsi="Arial" w:cs="Arial"/>
                <w:b/>
                <w:bCs/>
                <w:sz w:val="18"/>
                <w:szCs w:val="18"/>
              </w:rPr>
            </w:pPr>
          </w:p>
        </w:tc>
        <w:tc>
          <w:tcPr>
            <w:tcW w:w="1260" w:type="dxa"/>
            <w:noWrap/>
            <w:vAlign w:val="center"/>
            <w:hideMark/>
          </w:tcPr>
          <w:p w:rsidR="00561DAF" w:rsidRPr="003C43C4" w:rsidRDefault="00561DAF" w:rsidP="00561DAF">
            <w:pPr>
              <w:tabs>
                <w:tab w:val="left" w:pos="8370"/>
              </w:tabs>
              <w:jc w:val="right"/>
              <w:rPr>
                <w:rFonts w:ascii="Arial" w:hAnsi="Arial" w:cs="Arial"/>
                <w:b/>
                <w:bCs/>
                <w:sz w:val="18"/>
                <w:szCs w:val="18"/>
              </w:rPr>
            </w:pPr>
          </w:p>
        </w:tc>
        <w:tc>
          <w:tcPr>
            <w:tcW w:w="1170" w:type="dxa"/>
            <w:noWrap/>
            <w:vAlign w:val="center"/>
            <w:hideMark/>
          </w:tcPr>
          <w:p w:rsidR="00561DAF" w:rsidRPr="003C43C4" w:rsidRDefault="00561DAF" w:rsidP="00561DAF">
            <w:pPr>
              <w:tabs>
                <w:tab w:val="left" w:pos="8370"/>
              </w:tabs>
              <w:jc w:val="right"/>
              <w:rPr>
                <w:rFonts w:ascii="Arial" w:hAnsi="Arial" w:cs="Arial"/>
                <w:b/>
                <w:bCs/>
                <w:sz w:val="18"/>
                <w:szCs w:val="18"/>
              </w:rPr>
            </w:pPr>
          </w:p>
        </w:tc>
        <w:tc>
          <w:tcPr>
            <w:tcW w:w="1080" w:type="dxa"/>
            <w:noWrap/>
            <w:vAlign w:val="center"/>
            <w:hideMark/>
          </w:tcPr>
          <w:p w:rsidR="00561DAF" w:rsidRPr="003C43C4" w:rsidRDefault="00561DAF" w:rsidP="00561DAF">
            <w:pPr>
              <w:tabs>
                <w:tab w:val="left" w:pos="8370"/>
              </w:tabs>
              <w:jc w:val="right"/>
              <w:rPr>
                <w:rFonts w:ascii="Arial" w:hAnsi="Arial" w:cs="Arial"/>
                <w:b/>
                <w:bCs/>
                <w:sz w:val="18"/>
                <w:szCs w:val="18"/>
              </w:rPr>
            </w:pPr>
          </w:p>
        </w:tc>
        <w:tc>
          <w:tcPr>
            <w:tcW w:w="1260" w:type="dxa"/>
            <w:noWrap/>
            <w:vAlign w:val="center"/>
            <w:hideMark/>
          </w:tcPr>
          <w:p w:rsidR="00561DAF" w:rsidRPr="003C43C4" w:rsidRDefault="00561DAF" w:rsidP="00561DAF">
            <w:pPr>
              <w:tabs>
                <w:tab w:val="left" w:pos="8370"/>
              </w:tabs>
              <w:jc w:val="right"/>
              <w:rPr>
                <w:rFonts w:ascii="Arial" w:hAnsi="Arial" w:cs="Arial"/>
                <w:b/>
                <w:bCs/>
                <w:sz w:val="18"/>
                <w:szCs w:val="18"/>
              </w:rPr>
            </w:pPr>
          </w:p>
        </w:tc>
      </w:tr>
      <w:tr w:rsidR="00561DAF" w:rsidRPr="003C43C4" w:rsidTr="00561DAF">
        <w:trPr>
          <w:trHeight w:val="355"/>
        </w:trPr>
        <w:tc>
          <w:tcPr>
            <w:tcW w:w="4495" w:type="dxa"/>
            <w:vAlign w:val="center"/>
            <w:hideMark/>
          </w:tcPr>
          <w:p w:rsidR="00561DAF" w:rsidRPr="003C43C4" w:rsidRDefault="002D489D" w:rsidP="00561DAF">
            <w:pPr>
              <w:tabs>
                <w:tab w:val="left" w:pos="8370"/>
              </w:tabs>
              <w:rPr>
                <w:rFonts w:ascii="Arial" w:hAnsi="Arial" w:cs="Arial"/>
                <w:sz w:val="18"/>
                <w:szCs w:val="18"/>
              </w:rPr>
            </w:pPr>
            <w:proofErr w:type="spellStart"/>
            <w:r>
              <w:rPr>
                <w:rFonts w:ascii="Arial" w:hAnsi="Arial" w:cs="Arial"/>
                <w:sz w:val="18"/>
                <w:szCs w:val="18"/>
              </w:rPr>
              <w:t>Fournitures</w:t>
            </w:r>
            <w:proofErr w:type="spellEnd"/>
            <w:r>
              <w:rPr>
                <w:rFonts w:ascii="Arial" w:hAnsi="Arial" w:cs="Arial"/>
                <w:sz w:val="18"/>
                <w:szCs w:val="18"/>
              </w:rPr>
              <w:t xml:space="preserve"> de bureau</w:t>
            </w:r>
          </w:p>
        </w:tc>
        <w:tc>
          <w:tcPr>
            <w:tcW w:w="1260" w:type="dxa"/>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5</w:t>
            </w:r>
            <w:r w:rsidR="00B74011">
              <w:rPr>
                <w:rFonts w:ascii="Arial" w:hAnsi="Arial" w:cs="Arial"/>
                <w:bCs/>
                <w:sz w:val="18"/>
                <w:szCs w:val="18"/>
              </w:rPr>
              <w:t xml:space="preserve"> </w:t>
            </w:r>
            <w:r w:rsidRPr="003C43C4">
              <w:rPr>
                <w:rFonts w:ascii="Arial" w:hAnsi="Arial" w:cs="Arial"/>
                <w:bCs/>
                <w:sz w:val="18"/>
                <w:szCs w:val="18"/>
              </w:rPr>
              <w:t xml:space="preserve">916 </w:t>
            </w:r>
          </w:p>
        </w:tc>
        <w:tc>
          <w:tcPr>
            <w:tcW w:w="1350" w:type="dxa"/>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350" w:type="dxa"/>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5</w:t>
            </w:r>
            <w:r w:rsidR="00B74011">
              <w:rPr>
                <w:rFonts w:ascii="Arial" w:hAnsi="Arial" w:cs="Arial"/>
                <w:bCs/>
                <w:sz w:val="18"/>
                <w:szCs w:val="18"/>
              </w:rPr>
              <w:t xml:space="preserve"> </w:t>
            </w:r>
            <w:r w:rsidRPr="003C43C4">
              <w:rPr>
                <w:rFonts w:ascii="Arial" w:hAnsi="Arial" w:cs="Arial"/>
                <w:bCs/>
                <w:sz w:val="18"/>
                <w:szCs w:val="18"/>
              </w:rPr>
              <w:t xml:space="preserve">620 </w:t>
            </w:r>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6</w:t>
            </w:r>
            <w:r w:rsidR="00B74011">
              <w:rPr>
                <w:rFonts w:ascii="Arial" w:hAnsi="Arial" w:cs="Arial"/>
                <w:bCs/>
                <w:sz w:val="18"/>
                <w:szCs w:val="18"/>
              </w:rPr>
              <w:t xml:space="preserve"> </w:t>
            </w:r>
            <w:r w:rsidRPr="003C43C4">
              <w:rPr>
                <w:rFonts w:ascii="Arial" w:hAnsi="Arial" w:cs="Arial"/>
                <w:bCs/>
                <w:sz w:val="18"/>
                <w:szCs w:val="18"/>
              </w:rPr>
              <w:t xml:space="preserve">034 </w:t>
            </w:r>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17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269 </w:t>
            </w:r>
          </w:p>
        </w:tc>
        <w:tc>
          <w:tcPr>
            <w:tcW w:w="108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3</w:t>
            </w:r>
            <w:r w:rsidR="00B74011">
              <w:rPr>
                <w:rFonts w:ascii="Arial" w:hAnsi="Arial" w:cs="Arial"/>
                <w:bCs/>
                <w:sz w:val="18"/>
                <w:szCs w:val="18"/>
              </w:rPr>
              <w:t xml:space="preserve"> </w:t>
            </w:r>
            <w:r w:rsidRPr="003C43C4">
              <w:rPr>
                <w:rFonts w:ascii="Arial" w:hAnsi="Arial" w:cs="Arial"/>
                <w:bCs/>
                <w:sz w:val="18"/>
                <w:szCs w:val="18"/>
              </w:rPr>
              <w:t xml:space="preserve">000 </w:t>
            </w:r>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3</w:t>
            </w:r>
            <w:r w:rsidR="00B74011">
              <w:rPr>
                <w:rFonts w:ascii="Arial" w:hAnsi="Arial" w:cs="Arial"/>
                <w:bCs/>
                <w:sz w:val="18"/>
                <w:szCs w:val="18"/>
              </w:rPr>
              <w:t xml:space="preserve"> </w:t>
            </w:r>
            <w:r w:rsidRPr="003C43C4">
              <w:rPr>
                <w:rFonts w:ascii="Arial" w:hAnsi="Arial" w:cs="Arial"/>
                <w:bCs/>
                <w:sz w:val="18"/>
                <w:szCs w:val="18"/>
              </w:rPr>
              <w:t xml:space="preserve">269 </w:t>
            </w:r>
          </w:p>
        </w:tc>
      </w:tr>
      <w:tr w:rsidR="00561DAF" w:rsidRPr="003C43C4" w:rsidTr="00561DAF">
        <w:trPr>
          <w:trHeight w:val="355"/>
        </w:trPr>
        <w:tc>
          <w:tcPr>
            <w:tcW w:w="4495" w:type="dxa"/>
            <w:shd w:val="clear" w:color="auto" w:fill="BDD6EE" w:themeFill="accent5" w:themeFillTint="66"/>
            <w:noWrap/>
            <w:vAlign w:val="center"/>
            <w:hideMark/>
          </w:tcPr>
          <w:p w:rsidR="00561DAF" w:rsidRPr="003C43C4" w:rsidRDefault="00561DAF" w:rsidP="00561DAF">
            <w:pPr>
              <w:tabs>
                <w:tab w:val="left" w:pos="8370"/>
              </w:tabs>
              <w:rPr>
                <w:rFonts w:ascii="Arial" w:hAnsi="Arial" w:cs="Arial"/>
                <w:b/>
                <w:bCs/>
                <w:sz w:val="18"/>
                <w:szCs w:val="18"/>
              </w:rPr>
            </w:pPr>
            <w:r w:rsidRPr="003C43C4">
              <w:rPr>
                <w:rFonts w:ascii="Arial" w:hAnsi="Arial" w:cs="Arial"/>
                <w:b/>
                <w:bCs/>
                <w:sz w:val="18"/>
                <w:szCs w:val="18"/>
              </w:rPr>
              <w:t>S</w:t>
            </w:r>
            <w:r w:rsidR="002D489D">
              <w:rPr>
                <w:rFonts w:ascii="Arial" w:hAnsi="Arial" w:cs="Arial"/>
                <w:b/>
                <w:bCs/>
                <w:sz w:val="18"/>
                <w:szCs w:val="18"/>
              </w:rPr>
              <w:t>ous</w:t>
            </w:r>
            <w:r w:rsidRPr="003C43C4">
              <w:rPr>
                <w:rFonts w:ascii="Arial" w:hAnsi="Arial" w:cs="Arial"/>
                <w:b/>
                <w:bCs/>
                <w:sz w:val="18"/>
                <w:szCs w:val="18"/>
              </w:rPr>
              <w:t>-total</w:t>
            </w:r>
          </w:p>
        </w:tc>
        <w:tc>
          <w:tcPr>
            <w:tcW w:w="1260" w:type="dxa"/>
            <w:shd w:val="clear" w:color="auto" w:fill="BDD6EE" w:themeFill="accent5" w:themeFillTint="66"/>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 xml:space="preserve"> 5</w:t>
            </w:r>
            <w:r w:rsidR="00B74011">
              <w:rPr>
                <w:rFonts w:ascii="Arial" w:hAnsi="Arial" w:cs="Arial"/>
                <w:b/>
                <w:bCs/>
                <w:sz w:val="18"/>
                <w:szCs w:val="18"/>
              </w:rPr>
              <w:t xml:space="preserve"> </w:t>
            </w:r>
            <w:r w:rsidRPr="003C43C4">
              <w:rPr>
                <w:rFonts w:ascii="Arial" w:hAnsi="Arial" w:cs="Arial"/>
                <w:b/>
                <w:bCs/>
                <w:sz w:val="18"/>
                <w:szCs w:val="18"/>
              </w:rPr>
              <w:t xml:space="preserve">916 </w:t>
            </w:r>
          </w:p>
        </w:tc>
        <w:tc>
          <w:tcPr>
            <w:tcW w:w="1350" w:type="dxa"/>
            <w:shd w:val="clear" w:color="auto" w:fill="BDD6EE" w:themeFill="accent5" w:themeFillTint="66"/>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 xml:space="preserve"> -   </w:t>
            </w:r>
          </w:p>
        </w:tc>
        <w:tc>
          <w:tcPr>
            <w:tcW w:w="1350" w:type="dxa"/>
            <w:shd w:val="clear" w:color="auto" w:fill="BDD6EE" w:themeFill="accent5" w:themeFillTint="66"/>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 xml:space="preserve"> 5</w:t>
            </w:r>
            <w:r w:rsidR="00B74011">
              <w:rPr>
                <w:rFonts w:ascii="Arial" w:hAnsi="Arial" w:cs="Arial"/>
                <w:b/>
                <w:bCs/>
                <w:sz w:val="18"/>
                <w:szCs w:val="18"/>
              </w:rPr>
              <w:t xml:space="preserve"> </w:t>
            </w:r>
            <w:r w:rsidRPr="003C43C4">
              <w:rPr>
                <w:rFonts w:ascii="Arial" w:hAnsi="Arial" w:cs="Arial"/>
                <w:b/>
                <w:bCs/>
                <w:sz w:val="18"/>
                <w:szCs w:val="18"/>
              </w:rPr>
              <w:t xml:space="preserve">620 </w:t>
            </w:r>
          </w:p>
        </w:tc>
        <w:tc>
          <w:tcPr>
            <w:tcW w:w="1260" w:type="dxa"/>
            <w:shd w:val="clear" w:color="auto" w:fill="BDD6EE" w:themeFill="accent5" w:themeFillTint="66"/>
            <w:noWrap/>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 xml:space="preserve"> 6</w:t>
            </w:r>
            <w:r w:rsidR="00B74011">
              <w:rPr>
                <w:rFonts w:ascii="Arial" w:hAnsi="Arial" w:cs="Arial"/>
                <w:b/>
                <w:bCs/>
                <w:sz w:val="18"/>
                <w:szCs w:val="18"/>
              </w:rPr>
              <w:t xml:space="preserve"> </w:t>
            </w:r>
            <w:r w:rsidRPr="003C43C4">
              <w:rPr>
                <w:rFonts w:ascii="Arial" w:hAnsi="Arial" w:cs="Arial"/>
                <w:b/>
                <w:bCs/>
                <w:sz w:val="18"/>
                <w:szCs w:val="18"/>
              </w:rPr>
              <w:t xml:space="preserve">034 </w:t>
            </w:r>
          </w:p>
        </w:tc>
        <w:tc>
          <w:tcPr>
            <w:tcW w:w="1260" w:type="dxa"/>
            <w:shd w:val="clear" w:color="auto" w:fill="BDD6EE" w:themeFill="accent5" w:themeFillTint="66"/>
            <w:noWrap/>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 xml:space="preserve"> -   </w:t>
            </w:r>
          </w:p>
        </w:tc>
        <w:tc>
          <w:tcPr>
            <w:tcW w:w="1170" w:type="dxa"/>
            <w:shd w:val="clear" w:color="auto" w:fill="BDD6EE" w:themeFill="accent5" w:themeFillTint="66"/>
            <w:noWrap/>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 xml:space="preserve"> 269 </w:t>
            </w:r>
          </w:p>
        </w:tc>
        <w:tc>
          <w:tcPr>
            <w:tcW w:w="1080" w:type="dxa"/>
            <w:shd w:val="clear" w:color="auto" w:fill="BDD6EE" w:themeFill="accent5" w:themeFillTint="66"/>
            <w:noWrap/>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 xml:space="preserve"> 3</w:t>
            </w:r>
            <w:r w:rsidR="00B74011">
              <w:rPr>
                <w:rFonts w:ascii="Arial" w:hAnsi="Arial" w:cs="Arial"/>
                <w:b/>
                <w:bCs/>
                <w:sz w:val="18"/>
                <w:szCs w:val="18"/>
              </w:rPr>
              <w:t xml:space="preserve"> </w:t>
            </w:r>
            <w:r w:rsidRPr="003C43C4">
              <w:rPr>
                <w:rFonts w:ascii="Arial" w:hAnsi="Arial" w:cs="Arial"/>
                <w:b/>
                <w:bCs/>
                <w:sz w:val="18"/>
                <w:szCs w:val="18"/>
              </w:rPr>
              <w:t xml:space="preserve">000 </w:t>
            </w:r>
          </w:p>
        </w:tc>
        <w:tc>
          <w:tcPr>
            <w:tcW w:w="1260" w:type="dxa"/>
            <w:shd w:val="clear" w:color="auto" w:fill="BDD6EE" w:themeFill="accent5" w:themeFillTint="66"/>
            <w:noWrap/>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 xml:space="preserve"> 3</w:t>
            </w:r>
            <w:r w:rsidR="00B74011">
              <w:rPr>
                <w:rFonts w:ascii="Arial" w:hAnsi="Arial" w:cs="Arial"/>
                <w:b/>
                <w:bCs/>
                <w:sz w:val="18"/>
                <w:szCs w:val="18"/>
              </w:rPr>
              <w:t xml:space="preserve"> </w:t>
            </w:r>
            <w:r w:rsidRPr="003C43C4">
              <w:rPr>
                <w:rFonts w:ascii="Arial" w:hAnsi="Arial" w:cs="Arial"/>
                <w:b/>
                <w:bCs/>
                <w:sz w:val="18"/>
                <w:szCs w:val="18"/>
              </w:rPr>
              <w:t xml:space="preserve">269 </w:t>
            </w:r>
          </w:p>
        </w:tc>
      </w:tr>
      <w:tr w:rsidR="00561DAF" w:rsidRPr="003C43C4" w:rsidTr="00561DAF">
        <w:trPr>
          <w:trHeight w:val="355"/>
        </w:trPr>
        <w:tc>
          <w:tcPr>
            <w:tcW w:w="4495" w:type="dxa"/>
            <w:noWrap/>
            <w:vAlign w:val="center"/>
            <w:hideMark/>
          </w:tcPr>
          <w:p w:rsidR="00561DAF" w:rsidRPr="003C43C4" w:rsidRDefault="002D489D" w:rsidP="00561DAF">
            <w:pPr>
              <w:tabs>
                <w:tab w:val="left" w:pos="8370"/>
              </w:tabs>
              <w:rPr>
                <w:rFonts w:ascii="Arial" w:hAnsi="Arial" w:cs="Arial"/>
                <w:b/>
                <w:bCs/>
                <w:sz w:val="18"/>
                <w:szCs w:val="18"/>
              </w:rPr>
            </w:pPr>
            <w:r>
              <w:rPr>
                <w:rFonts w:ascii="Arial" w:hAnsi="Arial" w:cs="Arial"/>
                <w:b/>
                <w:bCs/>
                <w:sz w:val="18"/>
                <w:szCs w:val="18"/>
              </w:rPr>
              <w:t>Matériel</w:t>
            </w:r>
          </w:p>
        </w:tc>
        <w:tc>
          <w:tcPr>
            <w:tcW w:w="1260" w:type="dxa"/>
            <w:noWrap/>
            <w:vAlign w:val="center"/>
            <w:hideMark/>
          </w:tcPr>
          <w:p w:rsidR="00561DAF" w:rsidRPr="003C43C4" w:rsidRDefault="00561DAF" w:rsidP="00561DAF">
            <w:pPr>
              <w:tabs>
                <w:tab w:val="left" w:pos="8370"/>
              </w:tabs>
              <w:jc w:val="right"/>
              <w:rPr>
                <w:rFonts w:ascii="Arial" w:hAnsi="Arial" w:cs="Arial"/>
                <w:b/>
                <w:bCs/>
                <w:sz w:val="18"/>
                <w:szCs w:val="18"/>
              </w:rPr>
            </w:pPr>
          </w:p>
        </w:tc>
        <w:tc>
          <w:tcPr>
            <w:tcW w:w="1350" w:type="dxa"/>
            <w:noWrap/>
            <w:vAlign w:val="center"/>
            <w:hideMark/>
          </w:tcPr>
          <w:p w:rsidR="00561DAF" w:rsidRPr="003C43C4" w:rsidRDefault="00561DAF" w:rsidP="00561DAF">
            <w:pPr>
              <w:tabs>
                <w:tab w:val="left" w:pos="8370"/>
              </w:tabs>
              <w:jc w:val="right"/>
              <w:rPr>
                <w:rFonts w:ascii="Arial" w:hAnsi="Arial" w:cs="Arial"/>
                <w:b/>
                <w:bCs/>
                <w:sz w:val="18"/>
                <w:szCs w:val="18"/>
              </w:rPr>
            </w:pPr>
          </w:p>
        </w:tc>
        <w:tc>
          <w:tcPr>
            <w:tcW w:w="1350" w:type="dxa"/>
            <w:noWrap/>
            <w:vAlign w:val="center"/>
            <w:hideMark/>
          </w:tcPr>
          <w:p w:rsidR="00561DAF" w:rsidRPr="003C43C4" w:rsidRDefault="00561DAF" w:rsidP="00561DAF">
            <w:pPr>
              <w:tabs>
                <w:tab w:val="left" w:pos="8370"/>
              </w:tabs>
              <w:jc w:val="right"/>
              <w:rPr>
                <w:rFonts w:ascii="Arial" w:hAnsi="Arial" w:cs="Arial"/>
                <w:b/>
                <w:bCs/>
                <w:sz w:val="18"/>
                <w:szCs w:val="18"/>
              </w:rPr>
            </w:pPr>
          </w:p>
        </w:tc>
        <w:tc>
          <w:tcPr>
            <w:tcW w:w="1260" w:type="dxa"/>
            <w:noWrap/>
            <w:vAlign w:val="center"/>
            <w:hideMark/>
          </w:tcPr>
          <w:p w:rsidR="00561DAF" w:rsidRPr="003C43C4" w:rsidRDefault="00561DAF" w:rsidP="00561DAF">
            <w:pPr>
              <w:tabs>
                <w:tab w:val="left" w:pos="8370"/>
              </w:tabs>
              <w:jc w:val="right"/>
              <w:rPr>
                <w:rFonts w:ascii="Arial" w:hAnsi="Arial" w:cs="Arial"/>
                <w:b/>
                <w:bCs/>
                <w:sz w:val="18"/>
                <w:szCs w:val="18"/>
              </w:rPr>
            </w:pPr>
          </w:p>
        </w:tc>
        <w:tc>
          <w:tcPr>
            <w:tcW w:w="1260" w:type="dxa"/>
            <w:noWrap/>
            <w:vAlign w:val="center"/>
            <w:hideMark/>
          </w:tcPr>
          <w:p w:rsidR="00561DAF" w:rsidRPr="003C43C4" w:rsidRDefault="00561DAF" w:rsidP="00561DAF">
            <w:pPr>
              <w:tabs>
                <w:tab w:val="left" w:pos="8370"/>
              </w:tabs>
              <w:jc w:val="right"/>
              <w:rPr>
                <w:rFonts w:ascii="Arial" w:hAnsi="Arial" w:cs="Arial"/>
                <w:b/>
                <w:bCs/>
                <w:sz w:val="18"/>
                <w:szCs w:val="18"/>
              </w:rPr>
            </w:pPr>
          </w:p>
        </w:tc>
        <w:tc>
          <w:tcPr>
            <w:tcW w:w="1170" w:type="dxa"/>
            <w:noWrap/>
            <w:vAlign w:val="center"/>
            <w:hideMark/>
          </w:tcPr>
          <w:p w:rsidR="00561DAF" w:rsidRPr="003C43C4" w:rsidRDefault="00561DAF" w:rsidP="00561DAF">
            <w:pPr>
              <w:tabs>
                <w:tab w:val="left" w:pos="8370"/>
              </w:tabs>
              <w:jc w:val="right"/>
              <w:rPr>
                <w:rFonts w:ascii="Arial" w:hAnsi="Arial" w:cs="Arial"/>
                <w:b/>
                <w:bCs/>
                <w:sz w:val="18"/>
                <w:szCs w:val="18"/>
              </w:rPr>
            </w:pPr>
          </w:p>
        </w:tc>
        <w:tc>
          <w:tcPr>
            <w:tcW w:w="1080" w:type="dxa"/>
            <w:noWrap/>
            <w:vAlign w:val="center"/>
            <w:hideMark/>
          </w:tcPr>
          <w:p w:rsidR="00561DAF" w:rsidRPr="003C43C4" w:rsidRDefault="00561DAF" w:rsidP="00561DAF">
            <w:pPr>
              <w:tabs>
                <w:tab w:val="left" w:pos="8370"/>
              </w:tabs>
              <w:jc w:val="right"/>
              <w:rPr>
                <w:rFonts w:ascii="Arial" w:hAnsi="Arial" w:cs="Arial"/>
                <w:b/>
                <w:bCs/>
                <w:sz w:val="18"/>
                <w:szCs w:val="18"/>
              </w:rPr>
            </w:pPr>
          </w:p>
        </w:tc>
        <w:tc>
          <w:tcPr>
            <w:tcW w:w="1260" w:type="dxa"/>
            <w:noWrap/>
            <w:vAlign w:val="center"/>
            <w:hideMark/>
          </w:tcPr>
          <w:p w:rsidR="00561DAF" w:rsidRPr="003C43C4" w:rsidRDefault="00561DAF" w:rsidP="00561DAF">
            <w:pPr>
              <w:tabs>
                <w:tab w:val="left" w:pos="8370"/>
              </w:tabs>
              <w:jc w:val="right"/>
              <w:rPr>
                <w:rFonts w:ascii="Arial" w:hAnsi="Arial" w:cs="Arial"/>
                <w:b/>
                <w:bCs/>
                <w:sz w:val="18"/>
                <w:szCs w:val="18"/>
              </w:rPr>
            </w:pPr>
          </w:p>
        </w:tc>
      </w:tr>
      <w:tr w:rsidR="00561DAF" w:rsidRPr="003C43C4" w:rsidTr="00561DAF">
        <w:trPr>
          <w:trHeight w:val="355"/>
        </w:trPr>
        <w:tc>
          <w:tcPr>
            <w:tcW w:w="4495" w:type="dxa"/>
            <w:vAlign w:val="center"/>
            <w:hideMark/>
          </w:tcPr>
          <w:p w:rsidR="00561DAF" w:rsidRPr="003C43C4" w:rsidRDefault="002D489D" w:rsidP="00561DAF">
            <w:pPr>
              <w:tabs>
                <w:tab w:val="left" w:pos="8370"/>
              </w:tabs>
              <w:rPr>
                <w:rFonts w:ascii="Arial" w:hAnsi="Arial" w:cs="Arial"/>
                <w:sz w:val="18"/>
                <w:szCs w:val="18"/>
              </w:rPr>
            </w:pPr>
            <w:r>
              <w:rPr>
                <w:rFonts w:ascii="Arial" w:hAnsi="Arial" w:cs="Arial"/>
                <w:sz w:val="18"/>
                <w:szCs w:val="18"/>
              </w:rPr>
              <w:t>Matériel durable</w:t>
            </w:r>
          </w:p>
        </w:tc>
        <w:tc>
          <w:tcPr>
            <w:tcW w:w="1260" w:type="dxa"/>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10</w:t>
            </w:r>
            <w:r w:rsidR="00B74011">
              <w:rPr>
                <w:rFonts w:ascii="Arial" w:hAnsi="Arial" w:cs="Arial"/>
                <w:bCs/>
                <w:sz w:val="18"/>
                <w:szCs w:val="18"/>
              </w:rPr>
              <w:t xml:space="preserve"> </w:t>
            </w:r>
            <w:r w:rsidRPr="003C43C4">
              <w:rPr>
                <w:rFonts w:ascii="Arial" w:hAnsi="Arial" w:cs="Arial"/>
                <w:bCs/>
                <w:sz w:val="18"/>
                <w:szCs w:val="18"/>
              </w:rPr>
              <w:t xml:space="preserve">710 </w:t>
            </w:r>
          </w:p>
        </w:tc>
        <w:tc>
          <w:tcPr>
            <w:tcW w:w="1350" w:type="dxa"/>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350" w:type="dxa"/>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3</w:t>
            </w:r>
            <w:r w:rsidR="00B74011">
              <w:rPr>
                <w:rFonts w:ascii="Arial" w:hAnsi="Arial" w:cs="Arial"/>
                <w:bCs/>
                <w:sz w:val="18"/>
                <w:szCs w:val="18"/>
              </w:rPr>
              <w:t xml:space="preserve"> </w:t>
            </w:r>
            <w:r w:rsidRPr="003C43C4">
              <w:rPr>
                <w:rFonts w:ascii="Arial" w:hAnsi="Arial" w:cs="Arial"/>
                <w:bCs/>
                <w:sz w:val="18"/>
                <w:szCs w:val="18"/>
              </w:rPr>
              <w:t xml:space="preserve">580 </w:t>
            </w:r>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10</w:t>
            </w:r>
            <w:r w:rsidR="00B74011">
              <w:rPr>
                <w:rFonts w:ascii="Arial" w:hAnsi="Arial" w:cs="Arial"/>
                <w:bCs/>
                <w:sz w:val="18"/>
                <w:szCs w:val="18"/>
              </w:rPr>
              <w:t xml:space="preserve"> </w:t>
            </w:r>
            <w:r w:rsidRPr="003C43C4">
              <w:rPr>
                <w:rFonts w:ascii="Arial" w:hAnsi="Arial" w:cs="Arial"/>
                <w:bCs/>
                <w:sz w:val="18"/>
                <w:szCs w:val="18"/>
              </w:rPr>
              <w:t xml:space="preserve">924 </w:t>
            </w:r>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17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08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2</w:t>
            </w:r>
            <w:r w:rsidR="00B74011">
              <w:rPr>
                <w:rFonts w:ascii="Arial" w:hAnsi="Arial" w:cs="Arial"/>
                <w:bCs/>
                <w:sz w:val="18"/>
                <w:szCs w:val="18"/>
              </w:rPr>
              <w:t xml:space="preserve"> </w:t>
            </w:r>
            <w:r w:rsidRPr="003C43C4">
              <w:rPr>
                <w:rFonts w:ascii="Arial" w:hAnsi="Arial" w:cs="Arial"/>
                <w:bCs/>
                <w:sz w:val="18"/>
                <w:szCs w:val="18"/>
              </w:rPr>
              <w:t xml:space="preserve">500 </w:t>
            </w:r>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2</w:t>
            </w:r>
            <w:r w:rsidR="00B74011">
              <w:rPr>
                <w:rFonts w:ascii="Arial" w:hAnsi="Arial" w:cs="Arial"/>
                <w:bCs/>
                <w:sz w:val="18"/>
                <w:szCs w:val="18"/>
              </w:rPr>
              <w:t xml:space="preserve"> </w:t>
            </w:r>
            <w:r w:rsidRPr="003C43C4">
              <w:rPr>
                <w:rFonts w:ascii="Arial" w:hAnsi="Arial" w:cs="Arial"/>
                <w:bCs/>
                <w:sz w:val="18"/>
                <w:szCs w:val="18"/>
              </w:rPr>
              <w:t xml:space="preserve">500 </w:t>
            </w:r>
          </w:p>
        </w:tc>
      </w:tr>
      <w:tr w:rsidR="00561DAF" w:rsidRPr="003C43C4" w:rsidTr="00561DAF">
        <w:trPr>
          <w:trHeight w:val="355"/>
        </w:trPr>
        <w:tc>
          <w:tcPr>
            <w:tcW w:w="4495" w:type="dxa"/>
            <w:shd w:val="clear" w:color="auto" w:fill="BDD6EE" w:themeFill="accent5" w:themeFillTint="66"/>
            <w:noWrap/>
            <w:vAlign w:val="center"/>
            <w:hideMark/>
          </w:tcPr>
          <w:p w:rsidR="00561DAF" w:rsidRPr="003C43C4" w:rsidRDefault="00561DAF" w:rsidP="00561DAF">
            <w:pPr>
              <w:tabs>
                <w:tab w:val="left" w:pos="8370"/>
              </w:tabs>
              <w:rPr>
                <w:rFonts w:ascii="Arial" w:hAnsi="Arial" w:cs="Arial"/>
                <w:b/>
                <w:bCs/>
                <w:sz w:val="18"/>
                <w:szCs w:val="18"/>
              </w:rPr>
            </w:pPr>
            <w:r w:rsidRPr="003C43C4">
              <w:rPr>
                <w:rFonts w:ascii="Arial" w:hAnsi="Arial" w:cs="Arial"/>
                <w:b/>
                <w:bCs/>
                <w:sz w:val="18"/>
                <w:szCs w:val="18"/>
              </w:rPr>
              <w:t>S</w:t>
            </w:r>
            <w:r w:rsidR="002D489D">
              <w:rPr>
                <w:rFonts w:ascii="Arial" w:hAnsi="Arial" w:cs="Arial"/>
                <w:b/>
                <w:bCs/>
                <w:sz w:val="18"/>
                <w:szCs w:val="18"/>
              </w:rPr>
              <w:t>ous</w:t>
            </w:r>
            <w:r w:rsidRPr="003C43C4">
              <w:rPr>
                <w:rFonts w:ascii="Arial" w:hAnsi="Arial" w:cs="Arial"/>
                <w:b/>
                <w:bCs/>
                <w:sz w:val="18"/>
                <w:szCs w:val="18"/>
              </w:rPr>
              <w:t>-total</w:t>
            </w:r>
          </w:p>
        </w:tc>
        <w:tc>
          <w:tcPr>
            <w:tcW w:w="1260" w:type="dxa"/>
            <w:shd w:val="clear" w:color="auto" w:fill="BDD6EE" w:themeFill="accent5" w:themeFillTint="66"/>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 xml:space="preserve"> 10</w:t>
            </w:r>
            <w:r w:rsidR="00B74011">
              <w:rPr>
                <w:rFonts w:ascii="Arial" w:hAnsi="Arial" w:cs="Arial"/>
                <w:b/>
                <w:bCs/>
                <w:sz w:val="18"/>
                <w:szCs w:val="18"/>
              </w:rPr>
              <w:t xml:space="preserve"> </w:t>
            </w:r>
            <w:r w:rsidRPr="003C43C4">
              <w:rPr>
                <w:rFonts w:ascii="Arial" w:hAnsi="Arial" w:cs="Arial"/>
                <w:b/>
                <w:bCs/>
                <w:sz w:val="18"/>
                <w:szCs w:val="18"/>
              </w:rPr>
              <w:t xml:space="preserve">710 </w:t>
            </w:r>
          </w:p>
        </w:tc>
        <w:tc>
          <w:tcPr>
            <w:tcW w:w="1350" w:type="dxa"/>
            <w:shd w:val="clear" w:color="auto" w:fill="BDD6EE" w:themeFill="accent5" w:themeFillTint="66"/>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 xml:space="preserve"> -   </w:t>
            </w:r>
          </w:p>
        </w:tc>
        <w:tc>
          <w:tcPr>
            <w:tcW w:w="1350" w:type="dxa"/>
            <w:shd w:val="clear" w:color="auto" w:fill="BDD6EE" w:themeFill="accent5" w:themeFillTint="66"/>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 xml:space="preserve"> 3</w:t>
            </w:r>
            <w:r w:rsidR="00B74011">
              <w:rPr>
                <w:rFonts w:ascii="Arial" w:hAnsi="Arial" w:cs="Arial"/>
                <w:b/>
                <w:bCs/>
                <w:sz w:val="18"/>
                <w:szCs w:val="18"/>
              </w:rPr>
              <w:t xml:space="preserve"> </w:t>
            </w:r>
            <w:r w:rsidRPr="003C43C4">
              <w:rPr>
                <w:rFonts w:ascii="Arial" w:hAnsi="Arial" w:cs="Arial"/>
                <w:b/>
                <w:bCs/>
                <w:sz w:val="18"/>
                <w:szCs w:val="18"/>
              </w:rPr>
              <w:t xml:space="preserve">580 </w:t>
            </w:r>
          </w:p>
        </w:tc>
        <w:tc>
          <w:tcPr>
            <w:tcW w:w="1260" w:type="dxa"/>
            <w:shd w:val="clear" w:color="auto" w:fill="BDD6EE" w:themeFill="accent5" w:themeFillTint="66"/>
            <w:noWrap/>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 xml:space="preserve"> 10</w:t>
            </w:r>
            <w:r w:rsidR="00B74011">
              <w:rPr>
                <w:rFonts w:ascii="Arial" w:hAnsi="Arial" w:cs="Arial"/>
                <w:b/>
                <w:bCs/>
                <w:sz w:val="18"/>
                <w:szCs w:val="18"/>
              </w:rPr>
              <w:t xml:space="preserve"> </w:t>
            </w:r>
            <w:r w:rsidRPr="003C43C4">
              <w:rPr>
                <w:rFonts w:ascii="Arial" w:hAnsi="Arial" w:cs="Arial"/>
                <w:b/>
                <w:bCs/>
                <w:sz w:val="18"/>
                <w:szCs w:val="18"/>
              </w:rPr>
              <w:t xml:space="preserve">924 </w:t>
            </w:r>
          </w:p>
        </w:tc>
        <w:tc>
          <w:tcPr>
            <w:tcW w:w="1260" w:type="dxa"/>
            <w:shd w:val="clear" w:color="auto" w:fill="BDD6EE" w:themeFill="accent5" w:themeFillTint="66"/>
            <w:noWrap/>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 xml:space="preserve"> -   </w:t>
            </w:r>
          </w:p>
        </w:tc>
        <w:tc>
          <w:tcPr>
            <w:tcW w:w="1170" w:type="dxa"/>
            <w:shd w:val="clear" w:color="auto" w:fill="BDD6EE" w:themeFill="accent5" w:themeFillTint="66"/>
            <w:noWrap/>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 xml:space="preserve"> -   </w:t>
            </w:r>
          </w:p>
        </w:tc>
        <w:tc>
          <w:tcPr>
            <w:tcW w:w="1080" w:type="dxa"/>
            <w:shd w:val="clear" w:color="auto" w:fill="BDD6EE" w:themeFill="accent5" w:themeFillTint="66"/>
            <w:noWrap/>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 xml:space="preserve"> 2</w:t>
            </w:r>
            <w:r w:rsidR="00B74011">
              <w:rPr>
                <w:rFonts w:ascii="Arial" w:hAnsi="Arial" w:cs="Arial"/>
                <w:b/>
                <w:bCs/>
                <w:sz w:val="18"/>
                <w:szCs w:val="18"/>
              </w:rPr>
              <w:t xml:space="preserve"> </w:t>
            </w:r>
            <w:r w:rsidRPr="003C43C4">
              <w:rPr>
                <w:rFonts w:ascii="Arial" w:hAnsi="Arial" w:cs="Arial"/>
                <w:b/>
                <w:bCs/>
                <w:sz w:val="18"/>
                <w:szCs w:val="18"/>
              </w:rPr>
              <w:t xml:space="preserve">500 </w:t>
            </w:r>
          </w:p>
        </w:tc>
        <w:tc>
          <w:tcPr>
            <w:tcW w:w="1260" w:type="dxa"/>
            <w:shd w:val="clear" w:color="auto" w:fill="BDD6EE" w:themeFill="accent5" w:themeFillTint="66"/>
            <w:noWrap/>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 xml:space="preserve"> 2</w:t>
            </w:r>
            <w:r w:rsidR="00B74011">
              <w:rPr>
                <w:rFonts w:ascii="Arial" w:hAnsi="Arial" w:cs="Arial"/>
                <w:b/>
                <w:bCs/>
                <w:sz w:val="18"/>
                <w:szCs w:val="18"/>
              </w:rPr>
              <w:t xml:space="preserve"> </w:t>
            </w:r>
            <w:r w:rsidRPr="003C43C4">
              <w:rPr>
                <w:rFonts w:ascii="Arial" w:hAnsi="Arial" w:cs="Arial"/>
                <w:b/>
                <w:bCs/>
                <w:sz w:val="18"/>
                <w:szCs w:val="18"/>
              </w:rPr>
              <w:t xml:space="preserve">500 </w:t>
            </w:r>
          </w:p>
        </w:tc>
      </w:tr>
      <w:tr w:rsidR="00561DAF" w:rsidRPr="003C43C4" w:rsidTr="00561DAF">
        <w:trPr>
          <w:trHeight w:val="355"/>
        </w:trPr>
        <w:tc>
          <w:tcPr>
            <w:tcW w:w="4495" w:type="dxa"/>
            <w:noWrap/>
            <w:vAlign w:val="center"/>
            <w:hideMark/>
          </w:tcPr>
          <w:p w:rsidR="00561DAF" w:rsidRPr="003C43C4" w:rsidRDefault="002D489D" w:rsidP="00561DAF">
            <w:pPr>
              <w:tabs>
                <w:tab w:val="left" w:pos="8370"/>
              </w:tabs>
              <w:rPr>
                <w:rFonts w:ascii="Arial" w:hAnsi="Arial" w:cs="Arial"/>
                <w:b/>
                <w:bCs/>
                <w:sz w:val="18"/>
                <w:szCs w:val="18"/>
              </w:rPr>
            </w:pPr>
            <w:proofErr w:type="spellStart"/>
            <w:r>
              <w:rPr>
                <w:rFonts w:ascii="Arial" w:hAnsi="Arial" w:cs="Arial"/>
                <w:b/>
                <w:bCs/>
                <w:sz w:val="18"/>
                <w:szCs w:val="18"/>
              </w:rPr>
              <w:t>Déplacement</w:t>
            </w:r>
            <w:proofErr w:type="spellEnd"/>
          </w:p>
        </w:tc>
        <w:tc>
          <w:tcPr>
            <w:tcW w:w="1260" w:type="dxa"/>
            <w:noWrap/>
            <w:vAlign w:val="center"/>
            <w:hideMark/>
          </w:tcPr>
          <w:p w:rsidR="00561DAF" w:rsidRPr="003C43C4" w:rsidRDefault="00561DAF" w:rsidP="00561DAF">
            <w:pPr>
              <w:tabs>
                <w:tab w:val="left" w:pos="8370"/>
              </w:tabs>
              <w:jc w:val="right"/>
              <w:rPr>
                <w:rFonts w:ascii="Arial" w:hAnsi="Arial" w:cs="Arial"/>
                <w:b/>
                <w:bCs/>
                <w:sz w:val="18"/>
                <w:szCs w:val="18"/>
              </w:rPr>
            </w:pPr>
          </w:p>
        </w:tc>
        <w:tc>
          <w:tcPr>
            <w:tcW w:w="1350" w:type="dxa"/>
            <w:noWrap/>
            <w:vAlign w:val="center"/>
            <w:hideMark/>
          </w:tcPr>
          <w:p w:rsidR="00561DAF" w:rsidRPr="003C43C4" w:rsidRDefault="00561DAF" w:rsidP="00561DAF">
            <w:pPr>
              <w:tabs>
                <w:tab w:val="left" w:pos="8370"/>
              </w:tabs>
              <w:jc w:val="right"/>
              <w:rPr>
                <w:rFonts w:ascii="Arial" w:hAnsi="Arial" w:cs="Arial"/>
                <w:b/>
                <w:bCs/>
                <w:sz w:val="18"/>
                <w:szCs w:val="18"/>
              </w:rPr>
            </w:pPr>
          </w:p>
        </w:tc>
        <w:tc>
          <w:tcPr>
            <w:tcW w:w="1350" w:type="dxa"/>
            <w:noWrap/>
            <w:vAlign w:val="center"/>
            <w:hideMark/>
          </w:tcPr>
          <w:p w:rsidR="00561DAF" w:rsidRPr="003C43C4" w:rsidRDefault="00561DAF" w:rsidP="00561DAF">
            <w:pPr>
              <w:tabs>
                <w:tab w:val="left" w:pos="8370"/>
              </w:tabs>
              <w:jc w:val="right"/>
              <w:rPr>
                <w:rFonts w:ascii="Arial" w:hAnsi="Arial" w:cs="Arial"/>
                <w:b/>
                <w:bCs/>
                <w:sz w:val="18"/>
                <w:szCs w:val="18"/>
              </w:rPr>
            </w:pPr>
          </w:p>
        </w:tc>
        <w:tc>
          <w:tcPr>
            <w:tcW w:w="1260" w:type="dxa"/>
            <w:noWrap/>
            <w:vAlign w:val="center"/>
            <w:hideMark/>
          </w:tcPr>
          <w:p w:rsidR="00561DAF" w:rsidRPr="003C43C4" w:rsidRDefault="00561DAF" w:rsidP="00561DAF">
            <w:pPr>
              <w:tabs>
                <w:tab w:val="left" w:pos="8370"/>
              </w:tabs>
              <w:jc w:val="right"/>
              <w:rPr>
                <w:rFonts w:ascii="Arial" w:hAnsi="Arial" w:cs="Arial"/>
                <w:b/>
                <w:bCs/>
                <w:sz w:val="18"/>
                <w:szCs w:val="18"/>
              </w:rPr>
            </w:pPr>
          </w:p>
        </w:tc>
        <w:tc>
          <w:tcPr>
            <w:tcW w:w="1260" w:type="dxa"/>
            <w:noWrap/>
            <w:vAlign w:val="center"/>
            <w:hideMark/>
          </w:tcPr>
          <w:p w:rsidR="00561DAF" w:rsidRPr="003C43C4" w:rsidRDefault="00561DAF" w:rsidP="00561DAF">
            <w:pPr>
              <w:tabs>
                <w:tab w:val="left" w:pos="8370"/>
              </w:tabs>
              <w:jc w:val="right"/>
              <w:rPr>
                <w:rFonts w:ascii="Arial" w:hAnsi="Arial" w:cs="Arial"/>
                <w:b/>
                <w:bCs/>
                <w:sz w:val="18"/>
                <w:szCs w:val="18"/>
              </w:rPr>
            </w:pPr>
          </w:p>
        </w:tc>
        <w:tc>
          <w:tcPr>
            <w:tcW w:w="1170" w:type="dxa"/>
            <w:noWrap/>
            <w:vAlign w:val="center"/>
            <w:hideMark/>
          </w:tcPr>
          <w:p w:rsidR="00561DAF" w:rsidRPr="003C43C4" w:rsidRDefault="00561DAF" w:rsidP="00561DAF">
            <w:pPr>
              <w:tabs>
                <w:tab w:val="left" w:pos="8370"/>
              </w:tabs>
              <w:jc w:val="right"/>
              <w:rPr>
                <w:rFonts w:ascii="Arial" w:hAnsi="Arial" w:cs="Arial"/>
                <w:b/>
                <w:bCs/>
                <w:sz w:val="18"/>
                <w:szCs w:val="18"/>
              </w:rPr>
            </w:pPr>
          </w:p>
        </w:tc>
        <w:tc>
          <w:tcPr>
            <w:tcW w:w="1080" w:type="dxa"/>
            <w:noWrap/>
            <w:vAlign w:val="center"/>
            <w:hideMark/>
          </w:tcPr>
          <w:p w:rsidR="00561DAF" w:rsidRPr="003C43C4" w:rsidRDefault="00561DAF" w:rsidP="00561DAF">
            <w:pPr>
              <w:tabs>
                <w:tab w:val="left" w:pos="8370"/>
              </w:tabs>
              <w:jc w:val="right"/>
              <w:rPr>
                <w:rFonts w:ascii="Arial" w:hAnsi="Arial" w:cs="Arial"/>
                <w:b/>
                <w:bCs/>
                <w:sz w:val="18"/>
                <w:szCs w:val="18"/>
              </w:rPr>
            </w:pPr>
          </w:p>
        </w:tc>
        <w:tc>
          <w:tcPr>
            <w:tcW w:w="1260" w:type="dxa"/>
            <w:noWrap/>
            <w:vAlign w:val="center"/>
            <w:hideMark/>
          </w:tcPr>
          <w:p w:rsidR="00561DAF" w:rsidRPr="003C43C4" w:rsidRDefault="00561DAF" w:rsidP="00561DAF">
            <w:pPr>
              <w:tabs>
                <w:tab w:val="left" w:pos="8370"/>
              </w:tabs>
              <w:jc w:val="right"/>
              <w:rPr>
                <w:rFonts w:ascii="Arial" w:hAnsi="Arial" w:cs="Arial"/>
                <w:b/>
                <w:bCs/>
                <w:sz w:val="18"/>
                <w:szCs w:val="18"/>
              </w:rPr>
            </w:pPr>
          </w:p>
        </w:tc>
      </w:tr>
      <w:tr w:rsidR="00561DAF" w:rsidRPr="003C43C4" w:rsidTr="00561DAF">
        <w:trPr>
          <w:trHeight w:val="355"/>
        </w:trPr>
        <w:tc>
          <w:tcPr>
            <w:tcW w:w="4495" w:type="dxa"/>
            <w:noWrap/>
            <w:vAlign w:val="center"/>
            <w:hideMark/>
          </w:tcPr>
          <w:p w:rsidR="00561DAF" w:rsidRPr="003C43C4" w:rsidRDefault="002D489D" w:rsidP="00561DAF">
            <w:pPr>
              <w:tabs>
                <w:tab w:val="left" w:pos="8370"/>
              </w:tabs>
              <w:rPr>
                <w:rFonts w:ascii="Arial" w:hAnsi="Arial" w:cs="Arial"/>
                <w:sz w:val="18"/>
                <w:szCs w:val="18"/>
              </w:rPr>
            </w:pPr>
            <w:proofErr w:type="spellStart"/>
            <w:r>
              <w:rPr>
                <w:rFonts w:ascii="Arial" w:hAnsi="Arial" w:cs="Arial"/>
                <w:sz w:val="18"/>
                <w:szCs w:val="18"/>
              </w:rPr>
              <w:t>Déplacements</w:t>
            </w:r>
            <w:proofErr w:type="spellEnd"/>
            <w:r>
              <w:rPr>
                <w:rFonts w:ascii="Arial" w:hAnsi="Arial" w:cs="Arial"/>
                <w:sz w:val="18"/>
                <w:szCs w:val="18"/>
              </w:rPr>
              <w:t xml:space="preserve"> du personnel</w:t>
            </w:r>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64</w:t>
            </w:r>
            <w:r w:rsidR="00B74011">
              <w:rPr>
                <w:rFonts w:ascii="Arial" w:hAnsi="Arial" w:cs="Arial"/>
                <w:bCs/>
                <w:sz w:val="18"/>
                <w:szCs w:val="18"/>
              </w:rPr>
              <w:t xml:space="preserve"> </w:t>
            </w:r>
            <w:r w:rsidRPr="003C43C4">
              <w:rPr>
                <w:rFonts w:ascii="Arial" w:hAnsi="Arial" w:cs="Arial"/>
                <w:bCs/>
                <w:sz w:val="18"/>
                <w:szCs w:val="18"/>
              </w:rPr>
              <w:t xml:space="preserve">974 </w:t>
            </w:r>
          </w:p>
        </w:tc>
        <w:tc>
          <w:tcPr>
            <w:tcW w:w="135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35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55</w:t>
            </w:r>
            <w:r w:rsidR="00B74011">
              <w:rPr>
                <w:rFonts w:ascii="Arial" w:hAnsi="Arial" w:cs="Arial"/>
                <w:bCs/>
                <w:sz w:val="18"/>
                <w:szCs w:val="18"/>
              </w:rPr>
              <w:t xml:space="preserve"> </w:t>
            </w:r>
            <w:r w:rsidRPr="003C43C4">
              <w:rPr>
                <w:rFonts w:ascii="Arial" w:hAnsi="Arial" w:cs="Arial"/>
                <w:bCs/>
                <w:sz w:val="18"/>
                <w:szCs w:val="18"/>
              </w:rPr>
              <w:t xml:space="preserve">192 </w:t>
            </w:r>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66</w:t>
            </w:r>
            <w:r w:rsidR="00B74011">
              <w:rPr>
                <w:rFonts w:ascii="Arial" w:hAnsi="Arial" w:cs="Arial"/>
                <w:bCs/>
                <w:sz w:val="18"/>
                <w:szCs w:val="18"/>
              </w:rPr>
              <w:t xml:space="preserve"> </w:t>
            </w:r>
            <w:r w:rsidRPr="003C43C4">
              <w:rPr>
                <w:rFonts w:ascii="Arial" w:hAnsi="Arial" w:cs="Arial"/>
                <w:bCs/>
                <w:sz w:val="18"/>
                <w:szCs w:val="18"/>
              </w:rPr>
              <w:t xml:space="preserve">274 </w:t>
            </w:r>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17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75</w:t>
            </w:r>
            <w:r w:rsidR="00B74011">
              <w:rPr>
                <w:rFonts w:ascii="Arial" w:hAnsi="Arial" w:cs="Arial"/>
                <w:bCs/>
                <w:sz w:val="18"/>
                <w:szCs w:val="18"/>
              </w:rPr>
              <w:t xml:space="preserve"> </w:t>
            </w:r>
            <w:r w:rsidRPr="003C43C4">
              <w:rPr>
                <w:rFonts w:ascii="Arial" w:hAnsi="Arial" w:cs="Arial"/>
                <w:bCs/>
                <w:sz w:val="18"/>
                <w:szCs w:val="18"/>
              </w:rPr>
              <w:t xml:space="preserve">931 </w:t>
            </w:r>
          </w:p>
        </w:tc>
        <w:tc>
          <w:tcPr>
            <w:tcW w:w="1080" w:type="dxa"/>
            <w:noWrap/>
            <w:vAlign w:val="center"/>
            <w:hideMark/>
          </w:tcPr>
          <w:p w:rsidR="00561DAF" w:rsidRPr="003C43C4" w:rsidRDefault="00561DAF" w:rsidP="00561DAF">
            <w:pPr>
              <w:tabs>
                <w:tab w:val="left" w:pos="8370"/>
              </w:tabs>
              <w:jc w:val="right"/>
              <w:rPr>
                <w:rFonts w:ascii="Arial" w:hAnsi="Arial" w:cs="Arial"/>
                <w:bCs/>
                <w:sz w:val="18"/>
                <w:szCs w:val="18"/>
              </w:rPr>
            </w:pPr>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75</w:t>
            </w:r>
            <w:r w:rsidR="00B74011">
              <w:rPr>
                <w:rFonts w:ascii="Arial" w:hAnsi="Arial" w:cs="Arial"/>
                <w:bCs/>
                <w:sz w:val="18"/>
                <w:szCs w:val="18"/>
              </w:rPr>
              <w:t xml:space="preserve"> </w:t>
            </w:r>
            <w:r w:rsidRPr="003C43C4">
              <w:rPr>
                <w:rFonts w:ascii="Arial" w:hAnsi="Arial" w:cs="Arial"/>
                <w:bCs/>
                <w:sz w:val="18"/>
                <w:szCs w:val="18"/>
              </w:rPr>
              <w:t xml:space="preserve">931 </w:t>
            </w:r>
          </w:p>
        </w:tc>
      </w:tr>
      <w:tr w:rsidR="00561DAF" w:rsidRPr="003C43C4" w:rsidTr="00561DAF">
        <w:trPr>
          <w:trHeight w:val="355"/>
        </w:trPr>
        <w:tc>
          <w:tcPr>
            <w:tcW w:w="4495" w:type="dxa"/>
            <w:noWrap/>
            <w:vAlign w:val="center"/>
            <w:hideMark/>
          </w:tcPr>
          <w:p w:rsidR="00561DAF" w:rsidRPr="003C43C4" w:rsidRDefault="002D489D" w:rsidP="00561DAF">
            <w:pPr>
              <w:tabs>
                <w:tab w:val="left" w:pos="8370"/>
              </w:tabs>
              <w:rPr>
                <w:rFonts w:ascii="Arial" w:hAnsi="Arial" w:cs="Arial"/>
                <w:sz w:val="18"/>
                <w:szCs w:val="18"/>
              </w:rPr>
            </w:pPr>
            <w:proofErr w:type="spellStart"/>
            <w:r w:rsidRPr="002D489D">
              <w:rPr>
                <w:rFonts w:ascii="Arial" w:hAnsi="Arial" w:cs="Arial"/>
                <w:sz w:val="18"/>
                <w:szCs w:val="18"/>
              </w:rPr>
              <w:t>Réunions</w:t>
            </w:r>
            <w:proofErr w:type="spellEnd"/>
            <w:r w:rsidRPr="002D489D">
              <w:rPr>
                <w:rFonts w:ascii="Arial" w:hAnsi="Arial" w:cs="Arial"/>
                <w:sz w:val="18"/>
                <w:szCs w:val="18"/>
              </w:rPr>
              <w:t xml:space="preserve"> du </w:t>
            </w:r>
            <w:proofErr w:type="spellStart"/>
            <w:r w:rsidRPr="002D489D">
              <w:rPr>
                <w:rFonts w:ascii="Arial" w:hAnsi="Arial" w:cs="Arial"/>
                <w:sz w:val="18"/>
                <w:szCs w:val="18"/>
              </w:rPr>
              <w:t>Comité</w:t>
            </w:r>
            <w:proofErr w:type="spellEnd"/>
            <w:r w:rsidRPr="002D489D">
              <w:rPr>
                <w:rFonts w:ascii="Arial" w:hAnsi="Arial" w:cs="Arial"/>
                <w:sz w:val="18"/>
                <w:szCs w:val="18"/>
              </w:rPr>
              <w:t xml:space="preserve"> permanent</w:t>
            </w:r>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22</w:t>
            </w:r>
            <w:r w:rsidR="00B74011">
              <w:rPr>
                <w:rFonts w:ascii="Arial" w:hAnsi="Arial" w:cs="Arial"/>
                <w:bCs/>
                <w:sz w:val="18"/>
                <w:szCs w:val="18"/>
              </w:rPr>
              <w:t xml:space="preserve"> </w:t>
            </w:r>
            <w:r w:rsidRPr="003C43C4">
              <w:rPr>
                <w:rFonts w:ascii="Arial" w:hAnsi="Arial" w:cs="Arial"/>
                <w:bCs/>
                <w:sz w:val="18"/>
                <w:szCs w:val="18"/>
              </w:rPr>
              <w:t xml:space="preserve">965 </w:t>
            </w:r>
          </w:p>
        </w:tc>
        <w:tc>
          <w:tcPr>
            <w:tcW w:w="135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35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18</w:t>
            </w:r>
            <w:r w:rsidR="00B74011">
              <w:rPr>
                <w:rFonts w:ascii="Arial" w:hAnsi="Arial" w:cs="Arial"/>
                <w:bCs/>
                <w:sz w:val="18"/>
                <w:szCs w:val="18"/>
              </w:rPr>
              <w:t xml:space="preserve"> </w:t>
            </w:r>
            <w:r w:rsidRPr="003C43C4">
              <w:rPr>
                <w:rFonts w:ascii="Arial" w:hAnsi="Arial" w:cs="Arial"/>
                <w:bCs/>
                <w:sz w:val="18"/>
                <w:szCs w:val="18"/>
              </w:rPr>
              <w:t xml:space="preserve">291 </w:t>
            </w:r>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23</w:t>
            </w:r>
            <w:r w:rsidR="00B74011">
              <w:rPr>
                <w:rFonts w:ascii="Arial" w:hAnsi="Arial" w:cs="Arial"/>
                <w:bCs/>
                <w:sz w:val="18"/>
                <w:szCs w:val="18"/>
              </w:rPr>
              <w:t xml:space="preserve"> </w:t>
            </w:r>
            <w:r w:rsidRPr="003C43C4">
              <w:rPr>
                <w:rFonts w:ascii="Arial" w:hAnsi="Arial" w:cs="Arial"/>
                <w:bCs/>
                <w:sz w:val="18"/>
                <w:szCs w:val="18"/>
              </w:rPr>
              <w:t xml:space="preserve">424 </w:t>
            </w:r>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17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13</w:t>
            </w:r>
            <w:r w:rsidR="00B74011">
              <w:rPr>
                <w:rFonts w:ascii="Arial" w:hAnsi="Arial" w:cs="Arial"/>
                <w:bCs/>
                <w:sz w:val="18"/>
                <w:szCs w:val="18"/>
              </w:rPr>
              <w:t xml:space="preserve"> </w:t>
            </w:r>
            <w:r w:rsidRPr="003C43C4">
              <w:rPr>
                <w:rFonts w:ascii="Arial" w:hAnsi="Arial" w:cs="Arial"/>
                <w:bCs/>
                <w:sz w:val="18"/>
                <w:szCs w:val="18"/>
              </w:rPr>
              <w:t xml:space="preserve">611 </w:t>
            </w:r>
          </w:p>
        </w:tc>
        <w:tc>
          <w:tcPr>
            <w:tcW w:w="1080" w:type="dxa"/>
            <w:noWrap/>
            <w:vAlign w:val="center"/>
            <w:hideMark/>
          </w:tcPr>
          <w:p w:rsidR="00561DAF" w:rsidRPr="003C43C4" w:rsidRDefault="00561DAF" w:rsidP="00561DAF">
            <w:pPr>
              <w:tabs>
                <w:tab w:val="left" w:pos="8370"/>
              </w:tabs>
              <w:jc w:val="right"/>
              <w:rPr>
                <w:rFonts w:ascii="Arial" w:hAnsi="Arial" w:cs="Arial"/>
                <w:bCs/>
                <w:sz w:val="18"/>
                <w:szCs w:val="18"/>
              </w:rPr>
            </w:pPr>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13</w:t>
            </w:r>
            <w:r w:rsidR="00B74011">
              <w:rPr>
                <w:rFonts w:ascii="Arial" w:hAnsi="Arial" w:cs="Arial"/>
                <w:bCs/>
                <w:sz w:val="18"/>
                <w:szCs w:val="18"/>
              </w:rPr>
              <w:t xml:space="preserve"> </w:t>
            </w:r>
            <w:r w:rsidRPr="003C43C4">
              <w:rPr>
                <w:rFonts w:ascii="Arial" w:hAnsi="Arial" w:cs="Arial"/>
                <w:bCs/>
                <w:sz w:val="18"/>
                <w:szCs w:val="18"/>
              </w:rPr>
              <w:t xml:space="preserve">611 </w:t>
            </w:r>
          </w:p>
        </w:tc>
      </w:tr>
      <w:tr w:rsidR="00561DAF" w:rsidRPr="003C43C4" w:rsidTr="00561DAF">
        <w:trPr>
          <w:trHeight w:val="355"/>
        </w:trPr>
        <w:tc>
          <w:tcPr>
            <w:tcW w:w="4495" w:type="dxa"/>
            <w:noWrap/>
            <w:vAlign w:val="center"/>
            <w:hideMark/>
          </w:tcPr>
          <w:p w:rsidR="00561DAF" w:rsidRPr="003C43C4" w:rsidRDefault="002D489D" w:rsidP="00561DAF">
            <w:pPr>
              <w:tabs>
                <w:tab w:val="left" w:pos="8370"/>
              </w:tabs>
              <w:rPr>
                <w:rFonts w:ascii="Arial" w:hAnsi="Arial" w:cs="Arial"/>
                <w:sz w:val="18"/>
                <w:szCs w:val="18"/>
              </w:rPr>
            </w:pPr>
            <w:proofErr w:type="spellStart"/>
            <w:r w:rsidRPr="002D489D">
              <w:rPr>
                <w:rFonts w:ascii="Arial" w:hAnsi="Arial" w:cs="Arial"/>
                <w:sz w:val="18"/>
                <w:szCs w:val="18"/>
              </w:rPr>
              <w:t>Réunions</w:t>
            </w:r>
            <w:proofErr w:type="spellEnd"/>
            <w:r w:rsidRPr="002D489D">
              <w:rPr>
                <w:rFonts w:ascii="Arial" w:hAnsi="Arial" w:cs="Arial"/>
                <w:sz w:val="18"/>
                <w:szCs w:val="18"/>
              </w:rPr>
              <w:t xml:space="preserve"> du </w:t>
            </w:r>
            <w:r>
              <w:rPr>
                <w:rFonts w:ascii="Arial" w:hAnsi="Arial" w:cs="Arial"/>
                <w:sz w:val="18"/>
                <w:szCs w:val="18"/>
              </w:rPr>
              <w:t xml:space="preserve">Conseil </w:t>
            </w:r>
            <w:proofErr w:type="spellStart"/>
            <w:r>
              <w:rPr>
                <w:rFonts w:ascii="Arial" w:hAnsi="Arial" w:cs="Arial"/>
                <w:sz w:val="18"/>
                <w:szCs w:val="18"/>
              </w:rPr>
              <w:t>scientifique</w:t>
            </w:r>
            <w:proofErr w:type="spellEnd"/>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52</w:t>
            </w:r>
            <w:r w:rsidR="00B74011">
              <w:rPr>
                <w:rFonts w:ascii="Arial" w:hAnsi="Arial" w:cs="Arial"/>
                <w:bCs/>
                <w:sz w:val="18"/>
                <w:szCs w:val="18"/>
              </w:rPr>
              <w:t xml:space="preserve"> </w:t>
            </w:r>
            <w:r w:rsidRPr="003C43C4">
              <w:rPr>
                <w:rFonts w:ascii="Arial" w:hAnsi="Arial" w:cs="Arial"/>
                <w:bCs/>
                <w:sz w:val="18"/>
                <w:szCs w:val="18"/>
              </w:rPr>
              <w:t xml:space="preserve">424 </w:t>
            </w:r>
          </w:p>
        </w:tc>
        <w:tc>
          <w:tcPr>
            <w:tcW w:w="135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35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44</w:t>
            </w:r>
            <w:r w:rsidR="00B74011">
              <w:rPr>
                <w:rFonts w:ascii="Arial" w:hAnsi="Arial" w:cs="Arial"/>
                <w:bCs/>
                <w:sz w:val="18"/>
                <w:szCs w:val="18"/>
              </w:rPr>
              <w:t xml:space="preserve"> </w:t>
            </w:r>
            <w:r w:rsidRPr="003C43C4">
              <w:rPr>
                <w:rFonts w:ascii="Arial" w:hAnsi="Arial" w:cs="Arial"/>
                <w:bCs/>
                <w:sz w:val="18"/>
                <w:szCs w:val="18"/>
              </w:rPr>
              <w:t xml:space="preserve">837 </w:t>
            </w:r>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53</w:t>
            </w:r>
            <w:r w:rsidR="00B74011">
              <w:rPr>
                <w:rFonts w:ascii="Arial" w:hAnsi="Arial" w:cs="Arial"/>
                <w:bCs/>
                <w:sz w:val="18"/>
                <w:szCs w:val="18"/>
              </w:rPr>
              <w:t xml:space="preserve"> </w:t>
            </w:r>
            <w:r w:rsidRPr="003C43C4">
              <w:rPr>
                <w:rFonts w:ascii="Arial" w:hAnsi="Arial" w:cs="Arial"/>
                <w:bCs/>
                <w:sz w:val="18"/>
                <w:szCs w:val="18"/>
              </w:rPr>
              <w:t xml:space="preserve">472 </w:t>
            </w:r>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   </w:t>
            </w:r>
          </w:p>
        </w:tc>
        <w:tc>
          <w:tcPr>
            <w:tcW w:w="117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49</w:t>
            </w:r>
            <w:r w:rsidR="00B74011">
              <w:rPr>
                <w:rFonts w:ascii="Arial" w:hAnsi="Arial" w:cs="Arial"/>
                <w:bCs/>
                <w:sz w:val="18"/>
                <w:szCs w:val="18"/>
              </w:rPr>
              <w:t xml:space="preserve"> </w:t>
            </w:r>
            <w:r w:rsidRPr="003C43C4">
              <w:rPr>
                <w:rFonts w:ascii="Arial" w:hAnsi="Arial" w:cs="Arial"/>
                <w:bCs/>
                <w:sz w:val="18"/>
                <w:szCs w:val="18"/>
              </w:rPr>
              <w:t xml:space="preserve">195 </w:t>
            </w:r>
          </w:p>
        </w:tc>
        <w:tc>
          <w:tcPr>
            <w:tcW w:w="1080" w:type="dxa"/>
            <w:noWrap/>
            <w:vAlign w:val="center"/>
            <w:hideMark/>
          </w:tcPr>
          <w:p w:rsidR="00561DAF" w:rsidRPr="003C43C4" w:rsidRDefault="00561DAF" w:rsidP="00561DAF">
            <w:pPr>
              <w:tabs>
                <w:tab w:val="left" w:pos="8370"/>
              </w:tabs>
              <w:jc w:val="right"/>
              <w:rPr>
                <w:rFonts w:ascii="Arial" w:hAnsi="Arial" w:cs="Arial"/>
                <w:bCs/>
                <w:sz w:val="18"/>
                <w:szCs w:val="18"/>
              </w:rPr>
            </w:pPr>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 xml:space="preserve"> 49</w:t>
            </w:r>
            <w:r w:rsidR="00B74011">
              <w:rPr>
                <w:rFonts w:ascii="Arial" w:hAnsi="Arial" w:cs="Arial"/>
                <w:bCs/>
                <w:sz w:val="18"/>
                <w:szCs w:val="18"/>
              </w:rPr>
              <w:t xml:space="preserve"> </w:t>
            </w:r>
            <w:r w:rsidRPr="003C43C4">
              <w:rPr>
                <w:rFonts w:ascii="Arial" w:hAnsi="Arial" w:cs="Arial"/>
                <w:bCs/>
                <w:sz w:val="18"/>
                <w:szCs w:val="18"/>
              </w:rPr>
              <w:t xml:space="preserve">195 </w:t>
            </w:r>
          </w:p>
        </w:tc>
      </w:tr>
      <w:tr w:rsidR="00561DAF" w:rsidRPr="003C43C4" w:rsidTr="00561DAF">
        <w:trPr>
          <w:trHeight w:val="355"/>
        </w:trPr>
        <w:tc>
          <w:tcPr>
            <w:tcW w:w="4495" w:type="dxa"/>
            <w:shd w:val="clear" w:color="auto" w:fill="BDD6EE" w:themeFill="accent5" w:themeFillTint="66"/>
            <w:noWrap/>
            <w:vAlign w:val="center"/>
            <w:hideMark/>
          </w:tcPr>
          <w:p w:rsidR="00561DAF" w:rsidRPr="003C43C4" w:rsidRDefault="00561DAF" w:rsidP="00561DAF">
            <w:pPr>
              <w:tabs>
                <w:tab w:val="left" w:pos="8370"/>
              </w:tabs>
              <w:rPr>
                <w:rFonts w:ascii="Arial" w:hAnsi="Arial" w:cs="Arial"/>
                <w:b/>
                <w:bCs/>
                <w:sz w:val="18"/>
                <w:szCs w:val="18"/>
              </w:rPr>
            </w:pPr>
            <w:r w:rsidRPr="003C43C4">
              <w:rPr>
                <w:rFonts w:ascii="Arial" w:hAnsi="Arial" w:cs="Arial"/>
                <w:b/>
                <w:bCs/>
                <w:sz w:val="18"/>
                <w:szCs w:val="18"/>
              </w:rPr>
              <w:t>S</w:t>
            </w:r>
            <w:r w:rsidR="002D489D">
              <w:rPr>
                <w:rFonts w:ascii="Arial" w:hAnsi="Arial" w:cs="Arial"/>
                <w:b/>
                <w:bCs/>
                <w:sz w:val="18"/>
                <w:szCs w:val="18"/>
              </w:rPr>
              <w:t>ous</w:t>
            </w:r>
            <w:r w:rsidRPr="003C43C4">
              <w:rPr>
                <w:rFonts w:ascii="Arial" w:hAnsi="Arial" w:cs="Arial"/>
                <w:b/>
                <w:bCs/>
                <w:sz w:val="18"/>
                <w:szCs w:val="18"/>
              </w:rPr>
              <w:t>-total</w:t>
            </w:r>
          </w:p>
        </w:tc>
        <w:tc>
          <w:tcPr>
            <w:tcW w:w="1260" w:type="dxa"/>
            <w:shd w:val="clear" w:color="auto" w:fill="BDD6EE" w:themeFill="accent5" w:themeFillTint="66"/>
            <w:noWrap/>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 xml:space="preserve"> 140</w:t>
            </w:r>
            <w:r w:rsidR="00B74011">
              <w:rPr>
                <w:rFonts w:ascii="Arial" w:hAnsi="Arial" w:cs="Arial"/>
                <w:b/>
                <w:bCs/>
                <w:sz w:val="18"/>
                <w:szCs w:val="18"/>
              </w:rPr>
              <w:t xml:space="preserve"> </w:t>
            </w:r>
            <w:r w:rsidRPr="003C43C4">
              <w:rPr>
                <w:rFonts w:ascii="Arial" w:hAnsi="Arial" w:cs="Arial"/>
                <w:b/>
                <w:bCs/>
                <w:sz w:val="18"/>
                <w:szCs w:val="18"/>
              </w:rPr>
              <w:t xml:space="preserve">363 </w:t>
            </w:r>
          </w:p>
        </w:tc>
        <w:tc>
          <w:tcPr>
            <w:tcW w:w="1350" w:type="dxa"/>
            <w:shd w:val="clear" w:color="auto" w:fill="BDD6EE" w:themeFill="accent5" w:themeFillTint="66"/>
            <w:noWrap/>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 xml:space="preserve"> -   </w:t>
            </w:r>
          </w:p>
        </w:tc>
        <w:tc>
          <w:tcPr>
            <w:tcW w:w="1350" w:type="dxa"/>
            <w:shd w:val="clear" w:color="auto" w:fill="BDD6EE" w:themeFill="accent5" w:themeFillTint="66"/>
            <w:noWrap/>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 xml:space="preserve"> 118</w:t>
            </w:r>
            <w:r w:rsidR="00B74011">
              <w:rPr>
                <w:rFonts w:ascii="Arial" w:hAnsi="Arial" w:cs="Arial"/>
                <w:b/>
                <w:bCs/>
                <w:sz w:val="18"/>
                <w:szCs w:val="18"/>
              </w:rPr>
              <w:t xml:space="preserve"> </w:t>
            </w:r>
            <w:r w:rsidRPr="003C43C4">
              <w:rPr>
                <w:rFonts w:ascii="Arial" w:hAnsi="Arial" w:cs="Arial"/>
                <w:b/>
                <w:bCs/>
                <w:sz w:val="18"/>
                <w:szCs w:val="18"/>
              </w:rPr>
              <w:t xml:space="preserve">321 </w:t>
            </w:r>
          </w:p>
        </w:tc>
        <w:tc>
          <w:tcPr>
            <w:tcW w:w="1260" w:type="dxa"/>
            <w:shd w:val="clear" w:color="auto" w:fill="BDD6EE" w:themeFill="accent5" w:themeFillTint="66"/>
            <w:noWrap/>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 xml:space="preserve"> 143</w:t>
            </w:r>
            <w:r w:rsidR="00B74011">
              <w:rPr>
                <w:rFonts w:ascii="Arial" w:hAnsi="Arial" w:cs="Arial"/>
                <w:b/>
                <w:bCs/>
                <w:sz w:val="18"/>
                <w:szCs w:val="18"/>
              </w:rPr>
              <w:t xml:space="preserve"> </w:t>
            </w:r>
            <w:r w:rsidRPr="003C43C4">
              <w:rPr>
                <w:rFonts w:ascii="Arial" w:hAnsi="Arial" w:cs="Arial"/>
                <w:b/>
                <w:bCs/>
                <w:sz w:val="18"/>
                <w:szCs w:val="18"/>
              </w:rPr>
              <w:t xml:space="preserve">170 </w:t>
            </w:r>
          </w:p>
        </w:tc>
        <w:tc>
          <w:tcPr>
            <w:tcW w:w="1260" w:type="dxa"/>
            <w:shd w:val="clear" w:color="auto" w:fill="BDD6EE" w:themeFill="accent5" w:themeFillTint="66"/>
            <w:noWrap/>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 xml:space="preserve"> -   </w:t>
            </w:r>
          </w:p>
        </w:tc>
        <w:tc>
          <w:tcPr>
            <w:tcW w:w="1170" w:type="dxa"/>
            <w:shd w:val="clear" w:color="auto" w:fill="BDD6EE" w:themeFill="accent5" w:themeFillTint="66"/>
            <w:noWrap/>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 xml:space="preserve"> 138</w:t>
            </w:r>
            <w:r w:rsidR="00B74011">
              <w:rPr>
                <w:rFonts w:ascii="Arial" w:hAnsi="Arial" w:cs="Arial"/>
                <w:b/>
                <w:bCs/>
                <w:sz w:val="18"/>
                <w:szCs w:val="18"/>
              </w:rPr>
              <w:t xml:space="preserve"> </w:t>
            </w:r>
            <w:r w:rsidRPr="003C43C4">
              <w:rPr>
                <w:rFonts w:ascii="Arial" w:hAnsi="Arial" w:cs="Arial"/>
                <w:b/>
                <w:bCs/>
                <w:sz w:val="18"/>
                <w:szCs w:val="18"/>
              </w:rPr>
              <w:t xml:space="preserve">737 </w:t>
            </w:r>
          </w:p>
        </w:tc>
        <w:tc>
          <w:tcPr>
            <w:tcW w:w="1080" w:type="dxa"/>
            <w:shd w:val="clear" w:color="auto" w:fill="BDD6EE" w:themeFill="accent5" w:themeFillTint="66"/>
            <w:noWrap/>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 xml:space="preserve"> -   </w:t>
            </w:r>
          </w:p>
        </w:tc>
        <w:tc>
          <w:tcPr>
            <w:tcW w:w="1260" w:type="dxa"/>
            <w:shd w:val="clear" w:color="auto" w:fill="BDD6EE" w:themeFill="accent5" w:themeFillTint="66"/>
            <w:noWrap/>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 xml:space="preserve"> 138</w:t>
            </w:r>
            <w:r w:rsidR="00B74011">
              <w:rPr>
                <w:rFonts w:ascii="Arial" w:hAnsi="Arial" w:cs="Arial"/>
                <w:b/>
                <w:bCs/>
                <w:sz w:val="18"/>
                <w:szCs w:val="18"/>
              </w:rPr>
              <w:t xml:space="preserve"> </w:t>
            </w:r>
            <w:r w:rsidRPr="003C43C4">
              <w:rPr>
                <w:rFonts w:ascii="Arial" w:hAnsi="Arial" w:cs="Arial"/>
                <w:b/>
                <w:bCs/>
                <w:sz w:val="18"/>
                <w:szCs w:val="18"/>
              </w:rPr>
              <w:t xml:space="preserve">737 </w:t>
            </w:r>
          </w:p>
        </w:tc>
      </w:tr>
      <w:tr w:rsidR="00561DAF" w:rsidRPr="003C43C4" w:rsidTr="00561DAF">
        <w:trPr>
          <w:trHeight w:val="355"/>
        </w:trPr>
        <w:tc>
          <w:tcPr>
            <w:tcW w:w="4495" w:type="dxa"/>
            <w:noWrap/>
            <w:vAlign w:val="center"/>
            <w:hideMark/>
          </w:tcPr>
          <w:p w:rsidR="00561DAF" w:rsidRPr="003C43C4" w:rsidRDefault="00561DAF" w:rsidP="00561DAF">
            <w:pPr>
              <w:tabs>
                <w:tab w:val="left" w:pos="8370"/>
              </w:tabs>
              <w:rPr>
                <w:rFonts w:ascii="Arial" w:hAnsi="Arial" w:cs="Arial"/>
                <w:b/>
                <w:bCs/>
                <w:sz w:val="18"/>
                <w:szCs w:val="18"/>
              </w:rPr>
            </w:pPr>
          </w:p>
        </w:tc>
        <w:tc>
          <w:tcPr>
            <w:tcW w:w="1260" w:type="dxa"/>
            <w:noWrap/>
            <w:vAlign w:val="center"/>
            <w:hideMark/>
          </w:tcPr>
          <w:p w:rsidR="00561DAF" w:rsidRPr="003C43C4" w:rsidRDefault="00561DAF" w:rsidP="00561DAF">
            <w:pPr>
              <w:tabs>
                <w:tab w:val="left" w:pos="8370"/>
              </w:tabs>
              <w:jc w:val="right"/>
              <w:rPr>
                <w:rFonts w:ascii="Arial" w:hAnsi="Arial" w:cs="Arial"/>
                <w:b/>
                <w:bCs/>
                <w:sz w:val="18"/>
                <w:szCs w:val="18"/>
              </w:rPr>
            </w:pPr>
          </w:p>
        </w:tc>
        <w:tc>
          <w:tcPr>
            <w:tcW w:w="1350" w:type="dxa"/>
            <w:noWrap/>
            <w:vAlign w:val="center"/>
            <w:hideMark/>
          </w:tcPr>
          <w:p w:rsidR="00561DAF" w:rsidRPr="003C43C4" w:rsidRDefault="00561DAF" w:rsidP="00561DAF">
            <w:pPr>
              <w:tabs>
                <w:tab w:val="left" w:pos="8370"/>
              </w:tabs>
              <w:jc w:val="right"/>
              <w:rPr>
                <w:rFonts w:ascii="Arial" w:hAnsi="Arial" w:cs="Arial"/>
                <w:b/>
                <w:bCs/>
                <w:sz w:val="18"/>
                <w:szCs w:val="18"/>
              </w:rPr>
            </w:pPr>
          </w:p>
        </w:tc>
        <w:tc>
          <w:tcPr>
            <w:tcW w:w="1350" w:type="dxa"/>
            <w:noWrap/>
            <w:vAlign w:val="center"/>
            <w:hideMark/>
          </w:tcPr>
          <w:p w:rsidR="00561DAF" w:rsidRPr="003C43C4" w:rsidRDefault="00561DAF" w:rsidP="00561DAF">
            <w:pPr>
              <w:tabs>
                <w:tab w:val="left" w:pos="8370"/>
              </w:tabs>
              <w:jc w:val="right"/>
              <w:rPr>
                <w:rFonts w:ascii="Arial" w:hAnsi="Arial" w:cs="Arial"/>
                <w:b/>
                <w:bCs/>
                <w:sz w:val="18"/>
                <w:szCs w:val="18"/>
              </w:rPr>
            </w:pPr>
          </w:p>
        </w:tc>
        <w:tc>
          <w:tcPr>
            <w:tcW w:w="1260" w:type="dxa"/>
            <w:noWrap/>
            <w:vAlign w:val="center"/>
            <w:hideMark/>
          </w:tcPr>
          <w:p w:rsidR="00561DAF" w:rsidRPr="003C43C4" w:rsidRDefault="00561DAF" w:rsidP="00561DAF">
            <w:pPr>
              <w:tabs>
                <w:tab w:val="left" w:pos="8370"/>
              </w:tabs>
              <w:jc w:val="right"/>
              <w:rPr>
                <w:rFonts w:ascii="Arial" w:hAnsi="Arial" w:cs="Arial"/>
                <w:b/>
                <w:bCs/>
                <w:sz w:val="18"/>
                <w:szCs w:val="18"/>
              </w:rPr>
            </w:pPr>
          </w:p>
        </w:tc>
        <w:tc>
          <w:tcPr>
            <w:tcW w:w="1260" w:type="dxa"/>
            <w:noWrap/>
            <w:vAlign w:val="center"/>
            <w:hideMark/>
          </w:tcPr>
          <w:p w:rsidR="00561DAF" w:rsidRPr="003C43C4" w:rsidRDefault="00561DAF" w:rsidP="00561DAF">
            <w:pPr>
              <w:tabs>
                <w:tab w:val="left" w:pos="8370"/>
              </w:tabs>
              <w:jc w:val="right"/>
              <w:rPr>
                <w:rFonts w:ascii="Arial" w:hAnsi="Arial" w:cs="Arial"/>
                <w:b/>
                <w:bCs/>
                <w:sz w:val="18"/>
                <w:szCs w:val="18"/>
              </w:rPr>
            </w:pPr>
          </w:p>
        </w:tc>
        <w:tc>
          <w:tcPr>
            <w:tcW w:w="1170" w:type="dxa"/>
            <w:noWrap/>
            <w:vAlign w:val="center"/>
            <w:hideMark/>
          </w:tcPr>
          <w:p w:rsidR="00561DAF" w:rsidRPr="003C43C4" w:rsidRDefault="00561DAF" w:rsidP="00561DAF">
            <w:pPr>
              <w:tabs>
                <w:tab w:val="left" w:pos="8370"/>
              </w:tabs>
              <w:jc w:val="right"/>
              <w:rPr>
                <w:rFonts w:ascii="Arial" w:hAnsi="Arial" w:cs="Arial"/>
                <w:b/>
                <w:bCs/>
                <w:sz w:val="18"/>
                <w:szCs w:val="18"/>
              </w:rPr>
            </w:pPr>
          </w:p>
        </w:tc>
        <w:tc>
          <w:tcPr>
            <w:tcW w:w="1080" w:type="dxa"/>
            <w:noWrap/>
            <w:vAlign w:val="center"/>
            <w:hideMark/>
          </w:tcPr>
          <w:p w:rsidR="00561DAF" w:rsidRPr="003C43C4" w:rsidRDefault="00561DAF" w:rsidP="00561DAF">
            <w:pPr>
              <w:tabs>
                <w:tab w:val="left" w:pos="8370"/>
              </w:tabs>
              <w:jc w:val="right"/>
              <w:rPr>
                <w:rFonts w:ascii="Arial" w:hAnsi="Arial" w:cs="Arial"/>
                <w:b/>
                <w:bCs/>
                <w:sz w:val="18"/>
                <w:szCs w:val="18"/>
              </w:rPr>
            </w:pPr>
          </w:p>
        </w:tc>
        <w:tc>
          <w:tcPr>
            <w:tcW w:w="1260" w:type="dxa"/>
            <w:noWrap/>
            <w:vAlign w:val="center"/>
            <w:hideMark/>
          </w:tcPr>
          <w:p w:rsidR="00561DAF" w:rsidRPr="003C43C4" w:rsidRDefault="00561DAF" w:rsidP="00561DAF">
            <w:pPr>
              <w:tabs>
                <w:tab w:val="left" w:pos="8370"/>
              </w:tabs>
              <w:jc w:val="right"/>
              <w:rPr>
                <w:rFonts w:ascii="Arial" w:hAnsi="Arial" w:cs="Arial"/>
                <w:b/>
                <w:bCs/>
                <w:sz w:val="18"/>
                <w:szCs w:val="18"/>
              </w:rPr>
            </w:pPr>
          </w:p>
        </w:tc>
      </w:tr>
      <w:tr w:rsidR="00561DAF" w:rsidRPr="003C43C4" w:rsidTr="00561DAF">
        <w:trPr>
          <w:trHeight w:val="355"/>
        </w:trPr>
        <w:tc>
          <w:tcPr>
            <w:tcW w:w="4495" w:type="dxa"/>
            <w:shd w:val="clear" w:color="auto" w:fill="BDD6EE" w:themeFill="accent5" w:themeFillTint="66"/>
            <w:noWrap/>
            <w:vAlign w:val="center"/>
            <w:hideMark/>
          </w:tcPr>
          <w:p w:rsidR="00561DAF" w:rsidRPr="003C43C4" w:rsidRDefault="00561DAF" w:rsidP="00561DAF">
            <w:pPr>
              <w:tabs>
                <w:tab w:val="left" w:pos="8370"/>
              </w:tabs>
              <w:rPr>
                <w:rFonts w:ascii="Arial" w:hAnsi="Arial" w:cs="Arial"/>
                <w:b/>
                <w:bCs/>
                <w:sz w:val="18"/>
                <w:szCs w:val="18"/>
              </w:rPr>
            </w:pPr>
            <w:r w:rsidRPr="003C43C4">
              <w:rPr>
                <w:rFonts w:ascii="Arial" w:hAnsi="Arial" w:cs="Arial"/>
                <w:b/>
                <w:bCs/>
                <w:sz w:val="18"/>
                <w:szCs w:val="18"/>
              </w:rPr>
              <w:t>Total</w:t>
            </w:r>
          </w:p>
        </w:tc>
        <w:tc>
          <w:tcPr>
            <w:tcW w:w="1260" w:type="dxa"/>
            <w:shd w:val="clear" w:color="auto" w:fill="BDD6EE" w:themeFill="accent5" w:themeFillTint="66"/>
            <w:noWrap/>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2</w:t>
            </w:r>
            <w:r w:rsidR="00B74011">
              <w:rPr>
                <w:rFonts w:ascii="Arial" w:hAnsi="Arial" w:cs="Arial"/>
                <w:b/>
                <w:bCs/>
                <w:sz w:val="18"/>
                <w:szCs w:val="18"/>
              </w:rPr>
              <w:t xml:space="preserve"> </w:t>
            </w:r>
            <w:r w:rsidRPr="003C43C4">
              <w:rPr>
                <w:rFonts w:ascii="Arial" w:hAnsi="Arial" w:cs="Arial"/>
                <w:b/>
                <w:bCs/>
                <w:sz w:val="18"/>
                <w:szCs w:val="18"/>
              </w:rPr>
              <w:t>265</w:t>
            </w:r>
            <w:r w:rsidR="00B74011">
              <w:rPr>
                <w:rFonts w:ascii="Arial" w:hAnsi="Arial" w:cs="Arial"/>
                <w:b/>
                <w:bCs/>
                <w:sz w:val="18"/>
                <w:szCs w:val="18"/>
              </w:rPr>
              <w:t xml:space="preserve"> </w:t>
            </w:r>
            <w:r w:rsidRPr="003C43C4">
              <w:rPr>
                <w:rFonts w:ascii="Arial" w:hAnsi="Arial" w:cs="Arial"/>
                <w:b/>
                <w:bCs/>
                <w:sz w:val="18"/>
                <w:szCs w:val="18"/>
              </w:rPr>
              <w:t xml:space="preserve">388 </w:t>
            </w:r>
          </w:p>
        </w:tc>
        <w:tc>
          <w:tcPr>
            <w:tcW w:w="1350" w:type="dxa"/>
            <w:shd w:val="clear" w:color="auto" w:fill="BDD6EE" w:themeFill="accent5" w:themeFillTint="66"/>
            <w:noWrap/>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12</w:t>
            </w:r>
            <w:r w:rsidR="00B74011">
              <w:rPr>
                <w:rFonts w:ascii="Arial" w:hAnsi="Arial" w:cs="Arial"/>
                <w:b/>
                <w:bCs/>
                <w:sz w:val="18"/>
                <w:szCs w:val="18"/>
              </w:rPr>
              <w:t xml:space="preserve"> </w:t>
            </w:r>
            <w:r w:rsidRPr="003C43C4">
              <w:rPr>
                <w:rFonts w:ascii="Arial" w:hAnsi="Arial" w:cs="Arial"/>
                <w:b/>
                <w:bCs/>
                <w:sz w:val="18"/>
                <w:szCs w:val="18"/>
              </w:rPr>
              <w:t xml:space="preserve">465 </w:t>
            </w:r>
          </w:p>
        </w:tc>
        <w:tc>
          <w:tcPr>
            <w:tcW w:w="1350" w:type="dxa"/>
            <w:shd w:val="clear" w:color="auto" w:fill="BDD6EE" w:themeFill="accent5" w:themeFillTint="66"/>
            <w:noWrap/>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1</w:t>
            </w:r>
            <w:r w:rsidR="00B74011">
              <w:rPr>
                <w:rFonts w:ascii="Arial" w:hAnsi="Arial" w:cs="Arial"/>
                <w:b/>
                <w:bCs/>
                <w:sz w:val="18"/>
                <w:szCs w:val="18"/>
              </w:rPr>
              <w:t xml:space="preserve"> </w:t>
            </w:r>
            <w:r w:rsidRPr="003C43C4">
              <w:rPr>
                <w:rFonts w:ascii="Arial" w:hAnsi="Arial" w:cs="Arial"/>
                <w:b/>
                <w:bCs/>
                <w:sz w:val="18"/>
                <w:szCs w:val="18"/>
              </w:rPr>
              <w:t>829</w:t>
            </w:r>
            <w:r w:rsidR="00B74011">
              <w:rPr>
                <w:rFonts w:ascii="Arial" w:hAnsi="Arial" w:cs="Arial"/>
                <w:b/>
                <w:bCs/>
                <w:sz w:val="18"/>
                <w:szCs w:val="18"/>
              </w:rPr>
              <w:t xml:space="preserve"> </w:t>
            </w:r>
            <w:r w:rsidRPr="003C43C4">
              <w:rPr>
                <w:rFonts w:ascii="Arial" w:hAnsi="Arial" w:cs="Arial"/>
                <w:b/>
                <w:bCs/>
                <w:sz w:val="18"/>
                <w:szCs w:val="18"/>
              </w:rPr>
              <w:t xml:space="preserve">726 </w:t>
            </w:r>
          </w:p>
        </w:tc>
        <w:tc>
          <w:tcPr>
            <w:tcW w:w="1260" w:type="dxa"/>
            <w:shd w:val="clear" w:color="auto" w:fill="BDD6EE" w:themeFill="accent5" w:themeFillTint="66"/>
            <w:noWrap/>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2</w:t>
            </w:r>
            <w:r w:rsidR="00B74011">
              <w:rPr>
                <w:rFonts w:ascii="Arial" w:hAnsi="Arial" w:cs="Arial"/>
                <w:b/>
                <w:bCs/>
                <w:sz w:val="18"/>
                <w:szCs w:val="18"/>
              </w:rPr>
              <w:t xml:space="preserve"> </w:t>
            </w:r>
            <w:r w:rsidRPr="003C43C4">
              <w:rPr>
                <w:rFonts w:ascii="Arial" w:hAnsi="Arial" w:cs="Arial"/>
                <w:b/>
                <w:bCs/>
                <w:sz w:val="18"/>
                <w:szCs w:val="18"/>
              </w:rPr>
              <w:t>300</w:t>
            </w:r>
            <w:r w:rsidR="00B74011">
              <w:rPr>
                <w:rFonts w:ascii="Arial" w:hAnsi="Arial" w:cs="Arial"/>
                <w:b/>
                <w:bCs/>
                <w:sz w:val="18"/>
                <w:szCs w:val="18"/>
              </w:rPr>
              <w:t xml:space="preserve"> </w:t>
            </w:r>
            <w:r w:rsidRPr="003C43C4">
              <w:rPr>
                <w:rFonts w:ascii="Arial" w:hAnsi="Arial" w:cs="Arial"/>
                <w:b/>
                <w:bCs/>
                <w:sz w:val="18"/>
                <w:szCs w:val="18"/>
              </w:rPr>
              <w:t xml:space="preserve">291 </w:t>
            </w:r>
          </w:p>
        </w:tc>
        <w:tc>
          <w:tcPr>
            <w:tcW w:w="1260" w:type="dxa"/>
            <w:shd w:val="clear" w:color="auto" w:fill="BDD6EE" w:themeFill="accent5" w:themeFillTint="66"/>
            <w:noWrap/>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100</w:t>
            </w:r>
            <w:r w:rsidR="00B74011">
              <w:rPr>
                <w:rFonts w:ascii="Arial" w:hAnsi="Arial" w:cs="Arial"/>
                <w:b/>
                <w:bCs/>
                <w:sz w:val="18"/>
                <w:szCs w:val="18"/>
              </w:rPr>
              <w:t xml:space="preserve"> </w:t>
            </w:r>
            <w:r w:rsidRPr="003C43C4">
              <w:rPr>
                <w:rFonts w:ascii="Arial" w:hAnsi="Arial" w:cs="Arial"/>
                <w:b/>
                <w:bCs/>
                <w:sz w:val="18"/>
                <w:szCs w:val="18"/>
              </w:rPr>
              <w:t xml:space="preserve">000 </w:t>
            </w:r>
          </w:p>
        </w:tc>
        <w:tc>
          <w:tcPr>
            <w:tcW w:w="1170" w:type="dxa"/>
            <w:shd w:val="clear" w:color="auto" w:fill="BDD6EE" w:themeFill="accent5" w:themeFillTint="66"/>
            <w:noWrap/>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1</w:t>
            </w:r>
            <w:r w:rsidR="00B74011">
              <w:rPr>
                <w:rFonts w:ascii="Arial" w:hAnsi="Arial" w:cs="Arial"/>
                <w:b/>
                <w:bCs/>
                <w:sz w:val="18"/>
                <w:szCs w:val="18"/>
              </w:rPr>
              <w:t xml:space="preserve"> </w:t>
            </w:r>
            <w:r w:rsidRPr="003C43C4">
              <w:rPr>
                <w:rFonts w:ascii="Arial" w:hAnsi="Arial" w:cs="Arial"/>
                <w:b/>
                <w:bCs/>
                <w:sz w:val="18"/>
                <w:szCs w:val="18"/>
              </w:rPr>
              <w:t>815</w:t>
            </w:r>
            <w:r w:rsidR="00B74011">
              <w:rPr>
                <w:rFonts w:ascii="Arial" w:hAnsi="Arial" w:cs="Arial"/>
                <w:b/>
                <w:bCs/>
                <w:sz w:val="18"/>
                <w:szCs w:val="18"/>
              </w:rPr>
              <w:t xml:space="preserve"> </w:t>
            </w:r>
            <w:r w:rsidRPr="003C43C4">
              <w:rPr>
                <w:rFonts w:ascii="Arial" w:hAnsi="Arial" w:cs="Arial"/>
                <w:b/>
                <w:bCs/>
                <w:sz w:val="18"/>
                <w:szCs w:val="18"/>
              </w:rPr>
              <w:t xml:space="preserve">038 </w:t>
            </w:r>
          </w:p>
        </w:tc>
        <w:tc>
          <w:tcPr>
            <w:tcW w:w="1080" w:type="dxa"/>
            <w:shd w:val="clear" w:color="auto" w:fill="BDD6EE" w:themeFill="accent5" w:themeFillTint="66"/>
            <w:noWrap/>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166</w:t>
            </w:r>
            <w:r w:rsidR="00B74011">
              <w:rPr>
                <w:rFonts w:ascii="Arial" w:hAnsi="Arial" w:cs="Arial"/>
                <w:b/>
                <w:bCs/>
                <w:sz w:val="18"/>
                <w:szCs w:val="18"/>
              </w:rPr>
              <w:t xml:space="preserve"> </w:t>
            </w:r>
            <w:r w:rsidRPr="003C43C4">
              <w:rPr>
                <w:rFonts w:ascii="Arial" w:hAnsi="Arial" w:cs="Arial"/>
                <w:b/>
                <w:bCs/>
                <w:sz w:val="18"/>
                <w:szCs w:val="18"/>
              </w:rPr>
              <w:t xml:space="preserve">746 </w:t>
            </w:r>
          </w:p>
        </w:tc>
        <w:tc>
          <w:tcPr>
            <w:tcW w:w="1260" w:type="dxa"/>
            <w:shd w:val="clear" w:color="auto" w:fill="BDD6EE" w:themeFill="accent5" w:themeFillTint="66"/>
            <w:noWrap/>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1</w:t>
            </w:r>
            <w:r w:rsidR="00B74011">
              <w:rPr>
                <w:rFonts w:ascii="Arial" w:hAnsi="Arial" w:cs="Arial"/>
                <w:b/>
                <w:bCs/>
                <w:sz w:val="18"/>
                <w:szCs w:val="18"/>
              </w:rPr>
              <w:t xml:space="preserve"> </w:t>
            </w:r>
            <w:r w:rsidRPr="003C43C4">
              <w:rPr>
                <w:rFonts w:ascii="Arial" w:hAnsi="Arial" w:cs="Arial"/>
                <w:b/>
                <w:bCs/>
                <w:sz w:val="18"/>
                <w:szCs w:val="18"/>
              </w:rPr>
              <w:t>981</w:t>
            </w:r>
            <w:r w:rsidR="00B74011">
              <w:rPr>
                <w:rFonts w:ascii="Arial" w:hAnsi="Arial" w:cs="Arial"/>
                <w:b/>
                <w:bCs/>
                <w:sz w:val="18"/>
                <w:szCs w:val="18"/>
              </w:rPr>
              <w:t xml:space="preserve"> </w:t>
            </w:r>
            <w:r w:rsidRPr="003C43C4">
              <w:rPr>
                <w:rFonts w:ascii="Arial" w:hAnsi="Arial" w:cs="Arial"/>
                <w:b/>
                <w:bCs/>
                <w:sz w:val="18"/>
                <w:szCs w:val="18"/>
              </w:rPr>
              <w:t xml:space="preserve">784 </w:t>
            </w:r>
          </w:p>
        </w:tc>
      </w:tr>
      <w:tr w:rsidR="00561DAF" w:rsidRPr="003C43C4" w:rsidTr="00561DAF">
        <w:trPr>
          <w:trHeight w:val="355"/>
        </w:trPr>
        <w:tc>
          <w:tcPr>
            <w:tcW w:w="4495" w:type="dxa"/>
            <w:vAlign w:val="center"/>
            <w:hideMark/>
          </w:tcPr>
          <w:p w:rsidR="00561DAF" w:rsidRPr="003C43C4" w:rsidRDefault="002D489D" w:rsidP="00561DAF">
            <w:pPr>
              <w:tabs>
                <w:tab w:val="left" w:pos="8370"/>
              </w:tabs>
              <w:rPr>
                <w:rFonts w:ascii="Arial" w:hAnsi="Arial" w:cs="Arial"/>
                <w:sz w:val="18"/>
                <w:szCs w:val="18"/>
              </w:rPr>
            </w:pPr>
            <w:proofErr w:type="spellStart"/>
            <w:r>
              <w:rPr>
                <w:rFonts w:ascii="Arial" w:hAnsi="Arial" w:cs="Arial"/>
                <w:sz w:val="18"/>
                <w:szCs w:val="18"/>
              </w:rPr>
              <w:t>Dépenses</w:t>
            </w:r>
            <w:proofErr w:type="spellEnd"/>
            <w:r>
              <w:rPr>
                <w:rFonts w:ascii="Arial" w:hAnsi="Arial" w:cs="Arial"/>
                <w:sz w:val="18"/>
                <w:szCs w:val="18"/>
              </w:rPr>
              <w:t xml:space="preserve"> </w:t>
            </w:r>
            <w:proofErr w:type="spellStart"/>
            <w:r>
              <w:rPr>
                <w:rFonts w:ascii="Arial" w:hAnsi="Arial" w:cs="Arial"/>
                <w:sz w:val="18"/>
                <w:szCs w:val="18"/>
              </w:rPr>
              <w:t>d’appui</w:t>
            </w:r>
            <w:proofErr w:type="spellEnd"/>
            <w:r>
              <w:rPr>
                <w:rFonts w:ascii="Arial" w:hAnsi="Arial" w:cs="Arial"/>
                <w:sz w:val="18"/>
                <w:szCs w:val="18"/>
              </w:rPr>
              <w:t xml:space="preserve"> aux </w:t>
            </w:r>
            <w:proofErr w:type="spellStart"/>
            <w:r>
              <w:rPr>
                <w:rFonts w:ascii="Arial" w:hAnsi="Arial" w:cs="Arial"/>
                <w:sz w:val="18"/>
                <w:szCs w:val="18"/>
              </w:rPr>
              <w:t>programmes</w:t>
            </w:r>
            <w:proofErr w:type="spellEnd"/>
          </w:p>
        </w:tc>
        <w:tc>
          <w:tcPr>
            <w:tcW w:w="1260" w:type="dxa"/>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294</w:t>
            </w:r>
            <w:r w:rsidR="00B74011">
              <w:rPr>
                <w:rFonts w:ascii="Arial" w:hAnsi="Arial" w:cs="Arial"/>
                <w:bCs/>
                <w:sz w:val="18"/>
                <w:szCs w:val="18"/>
              </w:rPr>
              <w:t xml:space="preserve"> </w:t>
            </w:r>
            <w:r w:rsidRPr="003C43C4">
              <w:rPr>
                <w:rFonts w:ascii="Arial" w:hAnsi="Arial" w:cs="Arial"/>
                <w:bCs/>
                <w:sz w:val="18"/>
                <w:szCs w:val="18"/>
              </w:rPr>
              <w:t xml:space="preserve">500 </w:t>
            </w:r>
          </w:p>
        </w:tc>
        <w:tc>
          <w:tcPr>
            <w:tcW w:w="1350" w:type="dxa"/>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1</w:t>
            </w:r>
            <w:r w:rsidR="00B74011">
              <w:rPr>
                <w:rFonts w:ascii="Arial" w:hAnsi="Arial" w:cs="Arial"/>
                <w:bCs/>
                <w:sz w:val="18"/>
                <w:szCs w:val="18"/>
              </w:rPr>
              <w:t xml:space="preserve"> </w:t>
            </w:r>
            <w:r w:rsidRPr="003C43C4">
              <w:rPr>
                <w:rFonts w:ascii="Arial" w:hAnsi="Arial" w:cs="Arial"/>
                <w:bCs/>
                <w:sz w:val="18"/>
                <w:szCs w:val="18"/>
              </w:rPr>
              <w:t xml:space="preserve">620 </w:t>
            </w:r>
          </w:p>
        </w:tc>
        <w:tc>
          <w:tcPr>
            <w:tcW w:w="1350" w:type="dxa"/>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237</w:t>
            </w:r>
            <w:r w:rsidR="00B74011">
              <w:rPr>
                <w:rFonts w:ascii="Arial" w:hAnsi="Arial" w:cs="Arial"/>
                <w:bCs/>
                <w:sz w:val="18"/>
                <w:szCs w:val="18"/>
              </w:rPr>
              <w:t xml:space="preserve"> </w:t>
            </w:r>
            <w:r w:rsidRPr="003C43C4">
              <w:rPr>
                <w:rFonts w:ascii="Arial" w:hAnsi="Arial" w:cs="Arial"/>
                <w:bCs/>
                <w:sz w:val="18"/>
                <w:szCs w:val="18"/>
              </w:rPr>
              <w:t xml:space="preserve">864 </w:t>
            </w:r>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299</w:t>
            </w:r>
            <w:r w:rsidR="00B74011">
              <w:rPr>
                <w:rFonts w:ascii="Arial" w:hAnsi="Arial" w:cs="Arial"/>
                <w:bCs/>
                <w:sz w:val="18"/>
                <w:szCs w:val="18"/>
              </w:rPr>
              <w:t xml:space="preserve"> </w:t>
            </w:r>
            <w:r w:rsidRPr="003C43C4">
              <w:rPr>
                <w:rFonts w:ascii="Arial" w:hAnsi="Arial" w:cs="Arial"/>
                <w:bCs/>
                <w:sz w:val="18"/>
                <w:szCs w:val="18"/>
              </w:rPr>
              <w:t xml:space="preserve">038 </w:t>
            </w:r>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13</w:t>
            </w:r>
            <w:r w:rsidR="00B74011">
              <w:rPr>
                <w:rFonts w:ascii="Arial" w:hAnsi="Arial" w:cs="Arial"/>
                <w:bCs/>
                <w:sz w:val="18"/>
                <w:szCs w:val="18"/>
              </w:rPr>
              <w:t xml:space="preserve"> </w:t>
            </w:r>
            <w:r w:rsidRPr="003C43C4">
              <w:rPr>
                <w:rFonts w:ascii="Arial" w:hAnsi="Arial" w:cs="Arial"/>
                <w:bCs/>
                <w:sz w:val="18"/>
                <w:szCs w:val="18"/>
              </w:rPr>
              <w:t xml:space="preserve">000 </w:t>
            </w:r>
          </w:p>
        </w:tc>
        <w:tc>
          <w:tcPr>
            <w:tcW w:w="117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235</w:t>
            </w:r>
            <w:r w:rsidR="00B74011">
              <w:rPr>
                <w:rFonts w:ascii="Arial" w:hAnsi="Arial" w:cs="Arial"/>
                <w:bCs/>
                <w:sz w:val="18"/>
                <w:szCs w:val="18"/>
              </w:rPr>
              <w:t xml:space="preserve"> </w:t>
            </w:r>
            <w:r w:rsidRPr="003C43C4">
              <w:rPr>
                <w:rFonts w:ascii="Arial" w:hAnsi="Arial" w:cs="Arial"/>
                <w:bCs/>
                <w:sz w:val="18"/>
                <w:szCs w:val="18"/>
              </w:rPr>
              <w:t xml:space="preserve">955 </w:t>
            </w:r>
          </w:p>
        </w:tc>
        <w:tc>
          <w:tcPr>
            <w:tcW w:w="108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21</w:t>
            </w:r>
            <w:r w:rsidR="00B74011">
              <w:rPr>
                <w:rFonts w:ascii="Arial" w:hAnsi="Arial" w:cs="Arial"/>
                <w:bCs/>
                <w:sz w:val="18"/>
                <w:szCs w:val="18"/>
              </w:rPr>
              <w:t xml:space="preserve"> </w:t>
            </w:r>
            <w:r w:rsidRPr="003C43C4">
              <w:rPr>
                <w:rFonts w:ascii="Arial" w:hAnsi="Arial" w:cs="Arial"/>
                <w:bCs/>
                <w:sz w:val="18"/>
                <w:szCs w:val="18"/>
              </w:rPr>
              <w:t xml:space="preserve">677 </w:t>
            </w:r>
          </w:p>
        </w:tc>
        <w:tc>
          <w:tcPr>
            <w:tcW w:w="1260" w:type="dxa"/>
            <w:noWrap/>
            <w:vAlign w:val="center"/>
            <w:hideMark/>
          </w:tcPr>
          <w:p w:rsidR="00561DAF" w:rsidRPr="003C43C4" w:rsidRDefault="00561DAF" w:rsidP="00561DAF">
            <w:pPr>
              <w:tabs>
                <w:tab w:val="left" w:pos="8370"/>
              </w:tabs>
              <w:jc w:val="right"/>
              <w:rPr>
                <w:rFonts w:ascii="Arial" w:hAnsi="Arial" w:cs="Arial"/>
                <w:bCs/>
                <w:sz w:val="18"/>
                <w:szCs w:val="18"/>
              </w:rPr>
            </w:pPr>
            <w:r w:rsidRPr="003C43C4">
              <w:rPr>
                <w:rFonts w:ascii="Arial" w:hAnsi="Arial" w:cs="Arial"/>
                <w:bCs/>
                <w:sz w:val="18"/>
                <w:szCs w:val="18"/>
              </w:rPr>
              <w:t>257</w:t>
            </w:r>
            <w:r w:rsidR="00B74011">
              <w:rPr>
                <w:rFonts w:ascii="Arial" w:hAnsi="Arial" w:cs="Arial"/>
                <w:bCs/>
                <w:sz w:val="18"/>
                <w:szCs w:val="18"/>
              </w:rPr>
              <w:t xml:space="preserve"> </w:t>
            </w:r>
            <w:r w:rsidRPr="003C43C4">
              <w:rPr>
                <w:rFonts w:ascii="Arial" w:hAnsi="Arial" w:cs="Arial"/>
                <w:bCs/>
                <w:sz w:val="18"/>
                <w:szCs w:val="18"/>
              </w:rPr>
              <w:t xml:space="preserve">632 </w:t>
            </w:r>
          </w:p>
        </w:tc>
      </w:tr>
      <w:tr w:rsidR="00561DAF" w:rsidRPr="003C43C4" w:rsidTr="00561DAF">
        <w:trPr>
          <w:trHeight w:val="376"/>
        </w:trPr>
        <w:tc>
          <w:tcPr>
            <w:tcW w:w="4495" w:type="dxa"/>
            <w:shd w:val="clear" w:color="auto" w:fill="BDD6EE" w:themeFill="accent5" w:themeFillTint="66"/>
            <w:vAlign w:val="center"/>
            <w:hideMark/>
          </w:tcPr>
          <w:p w:rsidR="00561DAF" w:rsidRPr="003C43C4" w:rsidRDefault="002D489D" w:rsidP="00561DAF">
            <w:pPr>
              <w:tabs>
                <w:tab w:val="left" w:pos="8370"/>
              </w:tabs>
              <w:rPr>
                <w:rFonts w:ascii="Arial" w:hAnsi="Arial" w:cs="Arial"/>
                <w:b/>
                <w:bCs/>
                <w:sz w:val="18"/>
                <w:szCs w:val="18"/>
              </w:rPr>
            </w:pPr>
            <w:r>
              <w:rPr>
                <w:rFonts w:ascii="Arial" w:hAnsi="Arial" w:cs="Arial"/>
                <w:b/>
                <w:bCs/>
                <w:sz w:val="18"/>
                <w:szCs w:val="18"/>
              </w:rPr>
              <w:t xml:space="preserve">Total </w:t>
            </w:r>
            <w:proofErr w:type="spellStart"/>
            <w:r>
              <w:rPr>
                <w:rFonts w:ascii="Arial" w:hAnsi="Arial" w:cs="Arial"/>
                <w:b/>
                <w:bCs/>
                <w:sz w:val="18"/>
                <w:szCs w:val="18"/>
              </w:rPr>
              <w:t>général</w:t>
            </w:r>
            <w:proofErr w:type="spellEnd"/>
          </w:p>
        </w:tc>
        <w:tc>
          <w:tcPr>
            <w:tcW w:w="1260" w:type="dxa"/>
            <w:shd w:val="clear" w:color="auto" w:fill="BDD6EE" w:themeFill="accent5" w:themeFillTint="66"/>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2</w:t>
            </w:r>
            <w:r w:rsidR="00B74011">
              <w:rPr>
                <w:rFonts w:ascii="Arial" w:hAnsi="Arial" w:cs="Arial"/>
                <w:b/>
                <w:bCs/>
                <w:sz w:val="18"/>
                <w:szCs w:val="18"/>
              </w:rPr>
              <w:t xml:space="preserve"> </w:t>
            </w:r>
            <w:r w:rsidRPr="003C43C4">
              <w:rPr>
                <w:rFonts w:ascii="Arial" w:hAnsi="Arial" w:cs="Arial"/>
                <w:b/>
                <w:bCs/>
                <w:sz w:val="18"/>
                <w:szCs w:val="18"/>
              </w:rPr>
              <w:t>559</w:t>
            </w:r>
            <w:r w:rsidR="00B74011">
              <w:rPr>
                <w:rFonts w:ascii="Arial" w:hAnsi="Arial" w:cs="Arial"/>
                <w:b/>
                <w:bCs/>
                <w:sz w:val="18"/>
                <w:szCs w:val="18"/>
              </w:rPr>
              <w:t xml:space="preserve"> </w:t>
            </w:r>
            <w:r w:rsidRPr="003C43C4">
              <w:rPr>
                <w:rFonts w:ascii="Arial" w:hAnsi="Arial" w:cs="Arial"/>
                <w:b/>
                <w:bCs/>
                <w:sz w:val="18"/>
                <w:szCs w:val="18"/>
              </w:rPr>
              <w:t xml:space="preserve">888 </w:t>
            </w:r>
          </w:p>
        </w:tc>
        <w:tc>
          <w:tcPr>
            <w:tcW w:w="1350" w:type="dxa"/>
            <w:shd w:val="clear" w:color="auto" w:fill="BDD6EE" w:themeFill="accent5" w:themeFillTint="66"/>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14</w:t>
            </w:r>
            <w:r w:rsidR="00B74011">
              <w:rPr>
                <w:rFonts w:ascii="Arial" w:hAnsi="Arial" w:cs="Arial"/>
                <w:b/>
                <w:bCs/>
                <w:sz w:val="18"/>
                <w:szCs w:val="18"/>
              </w:rPr>
              <w:t xml:space="preserve"> </w:t>
            </w:r>
            <w:r w:rsidRPr="003C43C4">
              <w:rPr>
                <w:rFonts w:ascii="Arial" w:hAnsi="Arial" w:cs="Arial"/>
                <w:b/>
                <w:bCs/>
                <w:sz w:val="18"/>
                <w:szCs w:val="18"/>
              </w:rPr>
              <w:t xml:space="preserve">085 </w:t>
            </w:r>
          </w:p>
        </w:tc>
        <w:tc>
          <w:tcPr>
            <w:tcW w:w="1350" w:type="dxa"/>
            <w:shd w:val="clear" w:color="auto" w:fill="BDD6EE" w:themeFill="accent5" w:themeFillTint="66"/>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2</w:t>
            </w:r>
            <w:r w:rsidR="00B74011">
              <w:rPr>
                <w:rFonts w:ascii="Arial" w:hAnsi="Arial" w:cs="Arial"/>
                <w:b/>
                <w:bCs/>
                <w:sz w:val="18"/>
                <w:szCs w:val="18"/>
              </w:rPr>
              <w:t xml:space="preserve"> </w:t>
            </w:r>
            <w:r w:rsidRPr="003C43C4">
              <w:rPr>
                <w:rFonts w:ascii="Arial" w:hAnsi="Arial" w:cs="Arial"/>
                <w:b/>
                <w:bCs/>
                <w:sz w:val="18"/>
                <w:szCs w:val="18"/>
              </w:rPr>
              <w:t>067</w:t>
            </w:r>
            <w:r w:rsidR="00B74011">
              <w:rPr>
                <w:rFonts w:ascii="Arial" w:hAnsi="Arial" w:cs="Arial"/>
                <w:b/>
                <w:bCs/>
                <w:sz w:val="18"/>
                <w:szCs w:val="18"/>
              </w:rPr>
              <w:t xml:space="preserve"> </w:t>
            </w:r>
            <w:r w:rsidRPr="003C43C4">
              <w:rPr>
                <w:rFonts w:ascii="Arial" w:hAnsi="Arial" w:cs="Arial"/>
                <w:b/>
                <w:bCs/>
                <w:sz w:val="18"/>
                <w:szCs w:val="18"/>
              </w:rPr>
              <w:t xml:space="preserve">590 </w:t>
            </w:r>
          </w:p>
        </w:tc>
        <w:tc>
          <w:tcPr>
            <w:tcW w:w="1260" w:type="dxa"/>
            <w:shd w:val="clear" w:color="auto" w:fill="BDD6EE" w:themeFill="accent5" w:themeFillTint="66"/>
            <w:noWrap/>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2</w:t>
            </w:r>
            <w:r w:rsidR="00B74011">
              <w:rPr>
                <w:rFonts w:ascii="Arial" w:hAnsi="Arial" w:cs="Arial"/>
                <w:b/>
                <w:bCs/>
                <w:sz w:val="18"/>
                <w:szCs w:val="18"/>
              </w:rPr>
              <w:t xml:space="preserve"> </w:t>
            </w:r>
            <w:r w:rsidRPr="003C43C4">
              <w:rPr>
                <w:rFonts w:ascii="Arial" w:hAnsi="Arial" w:cs="Arial"/>
                <w:b/>
                <w:bCs/>
                <w:sz w:val="18"/>
                <w:szCs w:val="18"/>
              </w:rPr>
              <w:t>599</w:t>
            </w:r>
            <w:r w:rsidR="00B74011">
              <w:rPr>
                <w:rFonts w:ascii="Arial" w:hAnsi="Arial" w:cs="Arial"/>
                <w:b/>
                <w:bCs/>
                <w:sz w:val="18"/>
                <w:szCs w:val="18"/>
              </w:rPr>
              <w:t xml:space="preserve"> </w:t>
            </w:r>
            <w:r w:rsidRPr="003C43C4">
              <w:rPr>
                <w:rFonts w:ascii="Arial" w:hAnsi="Arial" w:cs="Arial"/>
                <w:b/>
                <w:bCs/>
                <w:sz w:val="18"/>
                <w:szCs w:val="18"/>
              </w:rPr>
              <w:t xml:space="preserve">329 </w:t>
            </w:r>
          </w:p>
        </w:tc>
        <w:tc>
          <w:tcPr>
            <w:tcW w:w="1260" w:type="dxa"/>
            <w:shd w:val="clear" w:color="auto" w:fill="BDD6EE" w:themeFill="accent5" w:themeFillTint="66"/>
            <w:noWrap/>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113</w:t>
            </w:r>
            <w:r w:rsidR="00B74011">
              <w:rPr>
                <w:rFonts w:ascii="Arial" w:hAnsi="Arial" w:cs="Arial"/>
                <w:b/>
                <w:bCs/>
                <w:sz w:val="18"/>
                <w:szCs w:val="18"/>
              </w:rPr>
              <w:t xml:space="preserve"> </w:t>
            </w:r>
            <w:r w:rsidRPr="003C43C4">
              <w:rPr>
                <w:rFonts w:ascii="Arial" w:hAnsi="Arial" w:cs="Arial"/>
                <w:b/>
                <w:bCs/>
                <w:sz w:val="18"/>
                <w:szCs w:val="18"/>
              </w:rPr>
              <w:t xml:space="preserve">000 </w:t>
            </w:r>
          </w:p>
        </w:tc>
        <w:tc>
          <w:tcPr>
            <w:tcW w:w="1170" w:type="dxa"/>
            <w:shd w:val="clear" w:color="auto" w:fill="BDD6EE" w:themeFill="accent5" w:themeFillTint="66"/>
            <w:noWrap/>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2</w:t>
            </w:r>
            <w:r w:rsidR="00B74011">
              <w:rPr>
                <w:rFonts w:ascii="Arial" w:hAnsi="Arial" w:cs="Arial"/>
                <w:b/>
                <w:bCs/>
                <w:sz w:val="18"/>
                <w:szCs w:val="18"/>
              </w:rPr>
              <w:t xml:space="preserve"> </w:t>
            </w:r>
            <w:r w:rsidRPr="003C43C4">
              <w:rPr>
                <w:rFonts w:ascii="Arial" w:hAnsi="Arial" w:cs="Arial"/>
                <w:b/>
                <w:bCs/>
                <w:sz w:val="18"/>
                <w:szCs w:val="18"/>
              </w:rPr>
              <w:t>050</w:t>
            </w:r>
            <w:r w:rsidR="00B74011">
              <w:rPr>
                <w:rFonts w:ascii="Arial" w:hAnsi="Arial" w:cs="Arial"/>
                <w:b/>
                <w:bCs/>
                <w:sz w:val="18"/>
                <w:szCs w:val="18"/>
              </w:rPr>
              <w:t xml:space="preserve"> </w:t>
            </w:r>
            <w:r w:rsidRPr="003C43C4">
              <w:rPr>
                <w:rFonts w:ascii="Arial" w:hAnsi="Arial" w:cs="Arial"/>
                <w:b/>
                <w:bCs/>
                <w:sz w:val="18"/>
                <w:szCs w:val="18"/>
              </w:rPr>
              <w:t xml:space="preserve">993 </w:t>
            </w:r>
          </w:p>
        </w:tc>
        <w:tc>
          <w:tcPr>
            <w:tcW w:w="1080" w:type="dxa"/>
            <w:shd w:val="clear" w:color="auto" w:fill="BDD6EE" w:themeFill="accent5" w:themeFillTint="66"/>
            <w:noWrap/>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188</w:t>
            </w:r>
            <w:r w:rsidR="00B74011">
              <w:rPr>
                <w:rFonts w:ascii="Arial" w:hAnsi="Arial" w:cs="Arial"/>
                <w:b/>
                <w:bCs/>
                <w:sz w:val="18"/>
                <w:szCs w:val="18"/>
              </w:rPr>
              <w:t xml:space="preserve"> </w:t>
            </w:r>
            <w:r w:rsidRPr="003C43C4">
              <w:rPr>
                <w:rFonts w:ascii="Arial" w:hAnsi="Arial" w:cs="Arial"/>
                <w:b/>
                <w:bCs/>
                <w:sz w:val="18"/>
                <w:szCs w:val="18"/>
              </w:rPr>
              <w:t xml:space="preserve">423 </w:t>
            </w:r>
          </w:p>
        </w:tc>
        <w:tc>
          <w:tcPr>
            <w:tcW w:w="1260" w:type="dxa"/>
            <w:shd w:val="clear" w:color="auto" w:fill="BDD6EE" w:themeFill="accent5" w:themeFillTint="66"/>
            <w:noWrap/>
            <w:vAlign w:val="center"/>
            <w:hideMark/>
          </w:tcPr>
          <w:p w:rsidR="00561DAF" w:rsidRPr="003C43C4" w:rsidRDefault="00561DAF" w:rsidP="00561DAF">
            <w:pPr>
              <w:tabs>
                <w:tab w:val="left" w:pos="8370"/>
              </w:tabs>
              <w:jc w:val="right"/>
              <w:rPr>
                <w:rFonts w:ascii="Arial" w:hAnsi="Arial" w:cs="Arial"/>
                <w:b/>
                <w:bCs/>
                <w:sz w:val="18"/>
                <w:szCs w:val="18"/>
              </w:rPr>
            </w:pPr>
            <w:r w:rsidRPr="003C43C4">
              <w:rPr>
                <w:rFonts w:ascii="Arial" w:hAnsi="Arial" w:cs="Arial"/>
                <w:b/>
                <w:bCs/>
                <w:sz w:val="18"/>
                <w:szCs w:val="18"/>
              </w:rPr>
              <w:t>2</w:t>
            </w:r>
            <w:r w:rsidR="00B74011">
              <w:rPr>
                <w:rFonts w:ascii="Arial" w:hAnsi="Arial" w:cs="Arial"/>
                <w:b/>
                <w:bCs/>
                <w:sz w:val="18"/>
                <w:szCs w:val="18"/>
              </w:rPr>
              <w:t xml:space="preserve"> </w:t>
            </w:r>
            <w:r w:rsidRPr="003C43C4">
              <w:rPr>
                <w:rFonts w:ascii="Arial" w:hAnsi="Arial" w:cs="Arial"/>
                <w:b/>
                <w:bCs/>
                <w:sz w:val="18"/>
                <w:szCs w:val="18"/>
              </w:rPr>
              <w:t>239</w:t>
            </w:r>
            <w:r w:rsidR="00B74011">
              <w:rPr>
                <w:rFonts w:ascii="Arial" w:hAnsi="Arial" w:cs="Arial"/>
                <w:b/>
                <w:bCs/>
                <w:sz w:val="18"/>
                <w:szCs w:val="18"/>
              </w:rPr>
              <w:t xml:space="preserve"> </w:t>
            </w:r>
            <w:r w:rsidRPr="003C43C4">
              <w:rPr>
                <w:rFonts w:ascii="Arial" w:hAnsi="Arial" w:cs="Arial"/>
                <w:b/>
                <w:bCs/>
                <w:sz w:val="18"/>
                <w:szCs w:val="18"/>
              </w:rPr>
              <w:t xml:space="preserve">416 </w:t>
            </w:r>
          </w:p>
        </w:tc>
      </w:tr>
    </w:tbl>
    <w:p w:rsidR="00561DAF" w:rsidRDefault="00561DAF" w:rsidP="00561DAF">
      <w:pPr>
        <w:jc w:val="both"/>
        <w:rPr>
          <w:sz w:val="16"/>
          <w:szCs w:val="16"/>
        </w:rPr>
      </w:pPr>
    </w:p>
    <w:p w:rsidR="00561DAF" w:rsidRPr="001F56E8" w:rsidRDefault="00561DAF" w:rsidP="00561DAF">
      <w:pPr>
        <w:jc w:val="both"/>
      </w:pPr>
      <w:r w:rsidRPr="00F00869">
        <w:rPr>
          <w:vertAlign w:val="superscript"/>
        </w:rPr>
        <w:t xml:space="preserve"> </w:t>
      </w:r>
    </w:p>
    <w:p w:rsidR="00561DAF" w:rsidRPr="00360838" w:rsidRDefault="00561DAF" w:rsidP="00561DAF">
      <w:pPr>
        <w:pStyle w:val="Firstnumbering"/>
        <w:numPr>
          <w:ilvl w:val="0"/>
          <w:numId w:val="0"/>
        </w:numPr>
        <w:ind w:left="567" w:hanging="567"/>
      </w:pPr>
    </w:p>
    <w:p w:rsidR="00561DAF" w:rsidRPr="00561DAF" w:rsidRDefault="00561DAF" w:rsidP="00561DAF">
      <w:pPr>
        <w:pStyle w:val="FourthnumberingA"/>
        <w:numPr>
          <w:ilvl w:val="0"/>
          <w:numId w:val="0"/>
        </w:numPr>
      </w:pPr>
    </w:p>
    <w:sectPr w:rsidR="00561DAF" w:rsidRPr="00561DAF" w:rsidSect="00561DAF">
      <w:headerReference w:type="even" r:id="rId20"/>
      <w:headerReference w:type="first" r:id="rId21"/>
      <w:pgSz w:w="16838" w:h="11906" w:orient="landscape"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011" w:rsidRDefault="00B74011" w:rsidP="00EC2A58">
      <w:pPr>
        <w:spacing w:after="0" w:line="240" w:lineRule="auto"/>
      </w:pPr>
      <w:r>
        <w:separator/>
      </w:r>
    </w:p>
  </w:endnote>
  <w:endnote w:type="continuationSeparator" w:id="0">
    <w:p w:rsidR="00B74011" w:rsidRDefault="00B74011" w:rsidP="00EC2A58">
      <w:pPr>
        <w:spacing w:after="0" w:line="240" w:lineRule="auto"/>
      </w:pPr>
      <w:r>
        <w:continuationSeparator/>
      </w:r>
    </w:p>
  </w:endnote>
  <w:endnote w:id="1">
    <w:p w:rsidR="00B74011" w:rsidRPr="00E62ABB" w:rsidRDefault="00B74011" w:rsidP="00561DAF">
      <w:pPr>
        <w:pStyle w:val="EndnoteText"/>
        <w:rPr>
          <w:lang w:val="fr-FR"/>
        </w:rPr>
      </w:pPr>
      <w:r>
        <w:rPr>
          <w:rStyle w:val="EndnoteReference"/>
        </w:rPr>
        <w:endnoteRef/>
      </w:r>
      <w:r w:rsidRPr="00E62ABB">
        <w:rPr>
          <w:lang w:val="fr-FR"/>
        </w:rPr>
        <w:t xml:space="preserve"> </w:t>
      </w:r>
      <w:r w:rsidR="00E62ABB" w:rsidRPr="00B25451">
        <w:rPr>
          <w:sz w:val="16"/>
          <w:szCs w:val="16"/>
          <w:lang w:val="fr-FR"/>
        </w:rPr>
        <w:t>Les comptes officiels du PNUE sont tenus en dollars des États-Unis. Toutefois, aux fins du présent rapport, les dépenses en euros ont été estimées en utilisant une moyenne des taux de change officiels mensuels des Nations Unies pendant la période de dépenses – Jan-</w:t>
      </w:r>
      <w:proofErr w:type="spellStart"/>
      <w:r w:rsidR="00E62ABB" w:rsidRPr="00B25451">
        <w:rPr>
          <w:sz w:val="16"/>
          <w:szCs w:val="16"/>
          <w:lang w:val="fr-FR"/>
        </w:rPr>
        <w:t>Dec</w:t>
      </w:r>
      <w:proofErr w:type="spellEnd"/>
      <w:r w:rsidR="00E62ABB" w:rsidRPr="00B25451">
        <w:rPr>
          <w:sz w:val="16"/>
          <w:szCs w:val="16"/>
          <w:lang w:val="fr-FR"/>
        </w:rPr>
        <w:t xml:space="preserve"> 2018 (1 USD = 0.846 EUR</w:t>
      </w:r>
    </w:p>
  </w:endnote>
  <w:endnote w:id="2">
    <w:p w:rsidR="00B74011" w:rsidRPr="00E62ABB" w:rsidRDefault="00B74011" w:rsidP="00561DAF">
      <w:pPr>
        <w:pStyle w:val="EndnoteText"/>
        <w:rPr>
          <w:lang w:val="fr-FR"/>
        </w:rPr>
      </w:pPr>
      <w:r>
        <w:rPr>
          <w:rStyle w:val="EndnoteReference"/>
        </w:rPr>
        <w:endnoteRef/>
      </w:r>
      <w:r w:rsidRPr="00E62ABB">
        <w:rPr>
          <w:lang w:val="fr-FR"/>
        </w:rPr>
        <w:t xml:space="preserve"> </w:t>
      </w:r>
      <w:r w:rsidR="00E62ABB" w:rsidRPr="00B25451">
        <w:rPr>
          <w:sz w:val="16"/>
          <w:szCs w:val="16"/>
          <w:lang w:val="fr-FR"/>
        </w:rPr>
        <w:t>Les comptes officiels du PNUE sont tenus en dollars des États-Unis. Toutefois, aux fins du présent rapport, les dépenses en euros ont été estimées en utilisant une moyenne des taux de change officiels mensuels des Nations Unies pendant la période de dépenses –</w:t>
      </w:r>
      <w:r w:rsidRPr="00E62ABB">
        <w:rPr>
          <w:sz w:val="16"/>
          <w:szCs w:val="16"/>
          <w:lang w:val="fr-FR"/>
        </w:rPr>
        <w:t>– Jan-</w:t>
      </w:r>
      <w:proofErr w:type="spellStart"/>
      <w:r w:rsidRPr="00E62ABB">
        <w:rPr>
          <w:sz w:val="16"/>
          <w:szCs w:val="16"/>
          <w:lang w:val="fr-FR"/>
        </w:rPr>
        <w:t>Nov</w:t>
      </w:r>
      <w:proofErr w:type="spellEnd"/>
      <w:r w:rsidRPr="00E62ABB">
        <w:rPr>
          <w:sz w:val="16"/>
          <w:szCs w:val="16"/>
          <w:lang w:val="fr-FR"/>
        </w:rPr>
        <w:t xml:space="preserve"> 2019 (1 US$ = €0.892).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694040889"/>
      <w:docPartObj>
        <w:docPartGallery w:val="Page Numbers (Bottom of Page)"/>
        <w:docPartUnique/>
      </w:docPartObj>
    </w:sdtPr>
    <w:sdtEndPr>
      <w:rPr>
        <w:noProof/>
      </w:rPr>
    </w:sdtEndPr>
    <w:sdtContent>
      <w:p w:rsidR="00B74011" w:rsidRPr="008A3F5F" w:rsidRDefault="00B74011" w:rsidP="00561DAF">
        <w:pPr>
          <w:pStyle w:val="Footer"/>
          <w:jc w:val="center"/>
          <w:rPr>
            <w:sz w:val="18"/>
            <w:szCs w:val="18"/>
          </w:rPr>
        </w:pPr>
        <w:r w:rsidRPr="008A3F5F">
          <w:rPr>
            <w:sz w:val="18"/>
            <w:szCs w:val="18"/>
          </w:rPr>
          <w:fldChar w:fldCharType="begin"/>
        </w:r>
        <w:r w:rsidRPr="008A3F5F">
          <w:rPr>
            <w:sz w:val="18"/>
            <w:szCs w:val="18"/>
          </w:rPr>
          <w:instrText xml:space="preserve"> PAGE   \* MERGEFORMAT </w:instrText>
        </w:r>
        <w:r w:rsidRPr="008A3F5F">
          <w:rPr>
            <w:sz w:val="18"/>
            <w:szCs w:val="18"/>
          </w:rPr>
          <w:fldChar w:fldCharType="separate"/>
        </w:r>
        <w:r w:rsidRPr="008A3F5F">
          <w:rPr>
            <w:noProof/>
            <w:sz w:val="18"/>
            <w:szCs w:val="18"/>
          </w:rPr>
          <w:t>2</w:t>
        </w:r>
        <w:r w:rsidRPr="008A3F5F">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640930632"/>
      <w:docPartObj>
        <w:docPartGallery w:val="Page Numbers (Bottom of Page)"/>
        <w:docPartUnique/>
      </w:docPartObj>
    </w:sdtPr>
    <w:sdtEndPr>
      <w:rPr>
        <w:noProof/>
      </w:rPr>
    </w:sdtEndPr>
    <w:sdtContent>
      <w:p w:rsidR="00B74011" w:rsidRPr="008A3F5F" w:rsidRDefault="00B74011" w:rsidP="00561DAF">
        <w:pPr>
          <w:pStyle w:val="Footer"/>
          <w:jc w:val="center"/>
          <w:rPr>
            <w:sz w:val="18"/>
            <w:szCs w:val="18"/>
          </w:rPr>
        </w:pPr>
        <w:r w:rsidRPr="008A3F5F">
          <w:rPr>
            <w:sz w:val="18"/>
            <w:szCs w:val="18"/>
          </w:rPr>
          <w:fldChar w:fldCharType="begin"/>
        </w:r>
        <w:r w:rsidRPr="008A3F5F">
          <w:rPr>
            <w:sz w:val="18"/>
            <w:szCs w:val="18"/>
          </w:rPr>
          <w:instrText xml:space="preserve"> PAGE   \* MERGEFORMAT </w:instrText>
        </w:r>
        <w:r w:rsidRPr="008A3F5F">
          <w:rPr>
            <w:sz w:val="18"/>
            <w:szCs w:val="18"/>
          </w:rPr>
          <w:fldChar w:fldCharType="separate"/>
        </w:r>
        <w:r w:rsidRPr="008A3F5F">
          <w:rPr>
            <w:noProof/>
            <w:sz w:val="18"/>
            <w:szCs w:val="18"/>
          </w:rPr>
          <w:t>2</w:t>
        </w:r>
        <w:r w:rsidRPr="008A3F5F">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05425224"/>
      <w:docPartObj>
        <w:docPartGallery w:val="Page Numbers (Bottom of Page)"/>
        <w:docPartUnique/>
      </w:docPartObj>
    </w:sdtPr>
    <w:sdtEndPr>
      <w:rPr>
        <w:noProof/>
      </w:rPr>
    </w:sdtEndPr>
    <w:sdtContent>
      <w:p w:rsidR="00B74011" w:rsidRPr="00FD3DCA" w:rsidRDefault="00B74011" w:rsidP="00561DAF">
        <w:pPr>
          <w:pStyle w:val="Footer"/>
          <w:jc w:val="center"/>
          <w:rPr>
            <w:sz w:val="18"/>
            <w:szCs w:val="18"/>
          </w:rPr>
        </w:pPr>
        <w:r w:rsidRPr="00FD3DCA">
          <w:rPr>
            <w:sz w:val="18"/>
            <w:szCs w:val="18"/>
          </w:rPr>
          <w:fldChar w:fldCharType="begin"/>
        </w:r>
        <w:r w:rsidRPr="00FD3DCA">
          <w:rPr>
            <w:sz w:val="18"/>
            <w:szCs w:val="18"/>
          </w:rPr>
          <w:instrText xml:space="preserve"> PAGE   \* MERGEFORMAT </w:instrText>
        </w:r>
        <w:r w:rsidRPr="00FD3DCA">
          <w:rPr>
            <w:sz w:val="18"/>
            <w:szCs w:val="18"/>
          </w:rPr>
          <w:fldChar w:fldCharType="separate"/>
        </w:r>
        <w:r w:rsidRPr="00FD3DCA">
          <w:rPr>
            <w:noProof/>
            <w:sz w:val="18"/>
            <w:szCs w:val="18"/>
          </w:rPr>
          <w:t>2</w:t>
        </w:r>
        <w:r w:rsidRPr="00FD3DCA">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7487"/>
      <w:docPartObj>
        <w:docPartGallery w:val="Page Numbers (Bottom of Page)"/>
        <w:docPartUnique/>
      </w:docPartObj>
    </w:sdtPr>
    <w:sdtEndPr>
      <w:rPr>
        <w:noProof/>
        <w:sz w:val="18"/>
        <w:szCs w:val="18"/>
      </w:rPr>
    </w:sdtEndPr>
    <w:sdtContent>
      <w:p w:rsidR="00B74011" w:rsidRPr="00EC2A58" w:rsidRDefault="00B74011">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9031"/>
      <w:docPartObj>
        <w:docPartGallery w:val="Page Numbers (Bottom of Page)"/>
        <w:docPartUnique/>
      </w:docPartObj>
    </w:sdtPr>
    <w:sdtEndPr>
      <w:rPr>
        <w:noProof/>
        <w:sz w:val="18"/>
        <w:szCs w:val="18"/>
      </w:rPr>
    </w:sdtEndPr>
    <w:sdtContent>
      <w:p w:rsidR="00B74011" w:rsidRPr="00EC2A58" w:rsidRDefault="00B74011">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p w:rsidR="00B74011" w:rsidRPr="00EC2A58" w:rsidRDefault="00B7401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011" w:rsidRDefault="00B74011" w:rsidP="00EC2A58">
      <w:pPr>
        <w:spacing w:after="0" w:line="240" w:lineRule="auto"/>
      </w:pPr>
      <w:r>
        <w:separator/>
      </w:r>
    </w:p>
  </w:footnote>
  <w:footnote w:type="continuationSeparator" w:id="0">
    <w:p w:rsidR="00B74011" w:rsidRDefault="00B74011" w:rsidP="00EC2A58">
      <w:pPr>
        <w:spacing w:after="0" w:line="240" w:lineRule="auto"/>
      </w:pPr>
      <w:r>
        <w:continuationSeparator/>
      </w:r>
    </w:p>
  </w:footnote>
  <w:footnote w:id="1">
    <w:p w:rsidR="00B74011" w:rsidRDefault="00B74011" w:rsidP="00FC16D8">
      <w:pPr>
        <w:pStyle w:val="FootnoteText"/>
        <w:jc w:val="both"/>
        <w:rPr>
          <w:sz w:val="16"/>
          <w:szCs w:val="16"/>
          <w:lang w:val="fr-FR"/>
        </w:rPr>
      </w:pPr>
      <w:r w:rsidRPr="00407783">
        <w:rPr>
          <w:rStyle w:val="FootnoteReference"/>
          <w:sz w:val="18"/>
        </w:rPr>
        <w:footnoteRef/>
      </w:r>
      <w:r w:rsidRPr="00FC16D8">
        <w:rPr>
          <w:sz w:val="18"/>
          <w:lang w:val="fr-FR"/>
        </w:rPr>
        <w:t xml:space="preserve"> </w:t>
      </w:r>
      <w:r w:rsidRPr="00FC16D8">
        <w:rPr>
          <w:sz w:val="16"/>
          <w:szCs w:val="16"/>
          <w:lang w:val="fr-FR"/>
        </w:rPr>
        <w:t xml:space="preserve"> Équivalent à 500 000 </w:t>
      </w:r>
      <w:r>
        <w:rPr>
          <w:sz w:val="16"/>
          <w:szCs w:val="16"/>
          <w:lang w:val="fr-FR"/>
        </w:rPr>
        <w:t>US D</w:t>
      </w:r>
      <w:r w:rsidRPr="00FC16D8">
        <w:rPr>
          <w:sz w:val="16"/>
          <w:szCs w:val="16"/>
          <w:lang w:val="fr-FR"/>
        </w:rPr>
        <w:t xml:space="preserve">ollars ., converti au taux de change opérationnel des Nations Unies au 31 décembre 2017 de </w:t>
      </w:r>
    </w:p>
    <w:p w:rsidR="00B74011" w:rsidRPr="00FC16D8" w:rsidRDefault="00B74011" w:rsidP="00FC16D8">
      <w:pPr>
        <w:pStyle w:val="FootnoteText"/>
        <w:jc w:val="both"/>
        <w:rPr>
          <w:highlight w:val="yellow"/>
          <w:lang w:val="fr-FR"/>
        </w:rPr>
      </w:pPr>
      <w:r w:rsidRPr="00FC16D8">
        <w:rPr>
          <w:sz w:val="16"/>
          <w:szCs w:val="16"/>
          <w:lang w:val="fr-FR"/>
        </w:rPr>
        <w:t xml:space="preserve">1 </w:t>
      </w:r>
      <w:r>
        <w:rPr>
          <w:sz w:val="16"/>
          <w:szCs w:val="16"/>
          <w:lang w:val="fr-FR"/>
        </w:rPr>
        <w:t>US D</w:t>
      </w:r>
      <w:r w:rsidRPr="00FC16D8">
        <w:rPr>
          <w:sz w:val="16"/>
          <w:szCs w:val="16"/>
          <w:lang w:val="fr-FR"/>
        </w:rPr>
        <w:t>ollar . = 0,837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011" w:rsidRPr="008A3F5F" w:rsidRDefault="00B74011" w:rsidP="00561DAF">
    <w:pPr>
      <w:pStyle w:val="Header"/>
      <w:pBdr>
        <w:bottom w:val="single" w:sz="4" w:space="1" w:color="auto"/>
      </w:pBdr>
      <w:rPr>
        <w:i/>
        <w:sz w:val="18"/>
        <w:szCs w:val="18"/>
        <w:lang w:val="en-GB"/>
      </w:rPr>
    </w:pPr>
    <w:r w:rsidRPr="008A3F5F">
      <w:rPr>
        <w:i/>
        <w:sz w:val="18"/>
        <w:szCs w:val="18"/>
        <w:lang w:val="en-GB"/>
      </w:rPr>
      <w:t>UNEP/CMS/</w:t>
    </w:r>
    <w:r>
      <w:rPr>
        <w:i/>
        <w:sz w:val="18"/>
        <w:szCs w:val="18"/>
        <w:lang w:val="en-GB"/>
      </w:rPr>
      <w:t>COP13/Doc.13.1</w:t>
    </w:r>
  </w:p>
  <w:p w:rsidR="00B74011" w:rsidRPr="008A3F5F" w:rsidRDefault="00B74011">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011" w:rsidRPr="00991170" w:rsidRDefault="00B74011" w:rsidP="00561DAF">
    <w:pPr>
      <w:pStyle w:val="Header"/>
      <w:pBdr>
        <w:bottom w:val="single" w:sz="4" w:space="1" w:color="auto"/>
      </w:pBdr>
      <w:jc w:val="right"/>
      <w:rPr>
        <w:i/>
        <w:sz w:val="18"/>
        <w:szCs w:val="18"/>
      </w:rPr>
    </w:pPr>
    <w:r w:rsidRPr="00991170">
      <w:rPr>
        <w:i/>
        <w:sz w:val="18"/>
        <w:szCs w:val="18"/>
      </w:rPr>
      <w:t>UNEP/CMS/</w:t>
    </w:r>
    <w:r>
      <w:rPr>
        <w:i/>
        <w:sz w:val="18"/>
        <w:szCs w:val="18"/>
      </w:rPr>
      <w:t>COP13/Doc.13.1</w:t>
    </w:r>
  </w:p>
  <w:p w:rsidR="00B74011" w:rsidRPr="008A3F5F" w:rsidRDefault="00B74011" w:rsidP="00561D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011" w:rsidRPr="00EC2A58" w:rsidRDefault="00B74011" w:rsidP="000A7D2C">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sidRPr="00EC2A58">
      <w:rPr>
        <w:rFonts w:eastAsia="Times New Roman" w:cs="Times New Roman"/>
        <w:noProof/>
        <w:sz w:val="18"/>
        <w:szCs w:val="20"/>
      </w:rPr>
      <w:drawing>
        <wp:anchor distT="0" distB="0" distL="114300" distR="114300" simplePos="0" relativeHeight="251663360" behindDoc="0" locked="0" layoutInCell="1" allowOverlap="1" wp14:anchorId="477EAD2E" wp14:editId="61C6880A">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6"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lang w:val="en-GB"/>
      </w:rPr>
      <w:drawing>
        <wp:anchor distT="0" distB="0" distL="114300" distR="114300" simplePos="0" relativeHeight="251665408" behindDoc="0" locked="0" layoutInCell="1" allowOverlap="1" wp14:anchorId="185DC8AB" wp14:editId="60E80436">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7"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EC2A58">
      <w:rPr>
        <w:rFonts w:eastAsia="Times New Roman" w:cs="Times New Roman"/>
        <w:noProof/>
        <w:sz w:val="18"/>
        <w:szCs w:val="20"/>
      </w:rPr>
      <w:drawing>
        <wp:anchor distT="0" distB="0" distL="114300" distR="114300" simplePos="0" relativeHeight="251664384" behindDoc="0" locked="0" layoutInCell="1" allowOverlap="1" wp14:anchorId="3FF67F62" wp14:editId="6E819E6D">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8"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rsidR="00B74011" w:rsidRPr="000A7D2C" w:rsidRDefault="00B74011" w:rsidP="000A7D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011" w:rsidRPr="00991170" w:rsidRDefault="00B74011" w:rsidP="00561DAF">
    <w:pPr>
      <w:pStyle w:val="Header"/>
      <w:pBdr>
        <w:bottom w:val="single" w:sz="4" w:space="1" w:color="auto"/>
      </w:pBdr>
      <w:rPr>
        <w:i/>
        <w:sz w:val="18"/>
        <w:szCs w:val="18"/>
      </w:rPr>
    </w:pPr>
    <w:r w:rsidRPr="00991170">
      <w:rPr>
        <w:i/>
        <w:sz w:val="18"/>
        <w:szCs w:val="18"/>
      </w:rPr>
      <w:t>UNEP/CMS/</w:t>
    </w:r>
    <w:r>
      <w:rPr>
        <w:i/>
        <w:sz w:val="18"/>
        <w:szCs w:val="18"/>
      </w:rPr>
      <w:t>COP13/Doc.13.1/</w:t>
    </w:r>
    <w:proofErr w:type="spellStart"/>
    <w:r>
      <w:rPr>
        <w:i/>
        <w:sz w:val="18"/>
        <w:szCs w:val="18"/>
      </w:rPr>
      <w:t>Annexe</w:t>
    </w:r>
    <w:proofErr w:type="spellEnd"/>
    <w:r>
      <w:rPr>
        <w:i/>
        <w:sz w:val="18"/>
        <w:szCs w:val="18"/>
      </w:rPr>
      <w:t xml:space="preserve"> 1</w:t>
    </w:r>
  </w:p>
  <w:p w:rsidR="00B74011" w:rsidRPr="00561DAF" w:rsidRDefault="00B74011" w:rsidP="00561D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011" w:rsidRPr="00991170" w:rsidRDefault="00B74011" w:rsidP="00561DAF">
    <w:pPr>
      <w:pStyle w:val="Header"/>
      <w:pBdr>
        <w:bottom w:val="single" w:sz="4" w:space="1" w:color="auto"/>
      </w:pBdr>
      <w:jc w:val="right"/>
      <w:rPr>
        <w:i/>
        <w:sz w:val="18"/>
        <w:szCs w:val="18"/>
      </w:rPr>
    </w:pPr>
    <w:r w:rsidRPr="00991170">
      <w:rPr>
        <w:i/>
        <w:sz w:val="18"/>
        <w:szCs w:val="18"/>
      </w:rPr>
      <w:t>UNEP/CMS/</w:t>
    </w:r>
    <w:r>
      <w:rPr>
        <w:i/>
        <w:sz w:val="18"/>
        <w:szCs w:val="18"/>
      </w:rPr>
      <w:t>COP13/Doc.13.1/</w:t>
    </w:r>
    <w:proofErr w:type="spellStart"/>
    <w:r>
      <w:rPr>
        <w:i/>
        <w:sz w:val="18"/>
        <w:szCs w:val="18"/>
      </w:rPr>
      <w:t>Annexe</w:t>
    </w:r>
    <w:proofErr w:type="spellEnd"/>
    <w:r>
      <w:rPr>
        <w:i/>
        <w:sz w:val="18"/>
        <w:szCs w:val="18"/>
      </w:rPr>
      <w:t xml:space="preserve"> 1</w:t>
    </w:r>
  </w:p>
  <w:p w:rsidR="00B74011" w:rsidRPr="00561DAF" w:rsidRDefault="00B74011" w:rsidP="00561DA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011" w:rsidRPr="00991170" w:rsidRDefault="00B74011" w:rsidP="00561DAF">
    <w:pPr>
      <w:pStyle w:val="Header"/>
      <w:pBdr>
        <w:bottom w:val="single" w:sz="4" w:space="1" w:color="auto"/>
      </w:pBdr>
      <w:rPr>
        <w:i/>
        <w:sz w:val="18"/>
        <w:szCs w:val="18"/>
      </w:rPr>
    </w:pPr>
    <w:r w:rsidRPr="00991170">
      <w:rPr>
        <w:i/>
        <w:sz w:val="18"/>
        <w:szCs w:val="18"/>
      </w:rPr>
      <w:t>UNEP/CMS/</w:t>
    </w:r>
    <w:r>
      <w:rPr>
        <w:i/>
        <w:sz w:val="18"/>
        <w:szCs w:val="18"/>
      </w:rPr>
      <w:t>COP13/Doc.13.1/</w:t>
    </w:r>
    <w:proofErr w:type="spellStart"/>
    <w:r>
      <w:rPr>
        <w:i/>
        <w:sz w:val="18"/>
        <w:szCs w:val="18"/>
      </w:rPr>
      <w:t>Annexe</w:t>
    </w:r>
    <w:proofErr w:type="spellEnd"/>
    <w:r>
      <w:rPr>
        <w:i/>
        <w:sz w:val="18"/>
        <w:szCs w:val="18"/>
      </w:rPr>
      <w:t xml:space="preserve"> 1</w:t>
    </w:r>
  </w:p>
  <w:p w:rsidR="00B74011" w:rsidRDefault="00B7401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011" w:rsidRPr="00991170" w:rsidRDefault="00B74011" w:rsidP="00561DAF">
    <w:pPr>
      <w:pStyle w:val="Header"/>
      <w:pBdr>
        <w:bottom w:val="single" w:sz="4" w:space="1" w:color="auto"/>
      </w:pBdr>
      <w:rPr>
        <w:i/>
        <w:sz w:val="18"/>
        <w:szCs w:val="18"/>
      </w:rPr>
    </w:pPr>
    <w:r w:rsidRPr="00991170">
      <w:rPr>
        <w:i/>
        <w:sz w:val="18"/>
        <w:szCs w:val="18"/>
      </w:rPr>
      <w:t>UNEP/CMS/</w:t>
    </w:r>
    <w:r>
      <w:rPr>
        <w:i/>
        <w:sz w:val="18"/>
        <w:szCs w:val="18"/>
      </w:rPr>
      <w:t>COP13/Doc.13.1/</w:t>
    </w:r>
    <w:proofErr w:type="spellStart"/>
    <w:r>
      <w:rPr>
        <w:i/>
        <w:sz w:val="18"/>
        <w:szCs w:val="18"/>
      </w:rPr>
      <w:t>Annexe</w:t>
    </w:r>
    <w:proofErr w:type="spellEnd"/>
    <w:r>
      <w:rPr>
        <w:i/>
        <w:sz w:val="18"/>
        <w:szCs w:val="18"/>
      </w:rPr>
      <w:t xml:space="preserve"> 2</w:t>
    </w:r>
  </w:p>
  <w:p w:rsidR="00B74011" w:rsidRPr="00561DAF" w:rsidRDefault="00B74011" w:rsidP="00561DA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011" w:rsidRPr="00991170" w:rsidRDefault="00B74011" w:rsidP="00561DAF">
    <w:pPr>
      <w:pStyle w:val="Header"/>
      <w:pBdr>
        <w:bottom w:val="single" w:sz="4" w:space="1" w:color="auto"/>
      </w:pBdr>
      <w:jc w:val="right"/>
      <w:rPr>
        <w:i/>
        <w:sz w:val="18"/>
        <w:szCs w:val="18"/>
      </w:rPr>
    </w:pPr>
    <w:r w:rsidRPr="00991170">
      <w:rPr>
        <w:i/>
        <w:sz w:val="18"/>
        <w:szCs w:val="18"/>
      </w:rPr>
      <w:t>UNEP/CMS/</w:t>
    </w:r>
    <w:r>
      <w:rPr>
        <w:i/>
        <w:sz w:val="18"/>
        <w:szCs w:val="18"/>
      </w:rPr>
      <w:t>COP13/Doc.13.1/</w:t>
    </w:r>
    <w:proofErr w:type="spellStart"/>
    <w:r>
      <w:rPr>
        <w:i/>
        <w:sz w:val="18"/>
        <w:szCs w:val="18"/>
      </w:rPr>
      <w:t>Annexe</w:t>
    </w:r>
    <w:proofErr w:type="spellEnd"/>
    <w:r>
      <w:rPr>
        <w:i/>
        <w:sz w:val="18"/>
        <w:szCs w:val="18"/>
      </w:rPr>
      <w:t xml:space="preserve"> 2</w:t>
    </w:r>
  </w:p>
  <w:p w:rsidR="00B74011" w:rsidRDefault="00B74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6811"/>
    <w:multiLevelType w:val="hybridMultilevel"/>
    <w:tmpl w:val="14207250"/>
    <w:lvl w:ilvl="0" w:tplc="287C99C8">
      <w:start w:val="5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A73DA"/>
    <w:multiLevelType w:val="hybridMultilevel"/>
    <w:tmpl w:val="EF40078A"/>
    <w:lvl w:ilvl="0" w:tplc="7F1E1924">
      <w:start w:val="540"/>
      <w:numFmt w:val="bullet"/>
      <w:lvlText w:val=""/>
      <w:lvlJc w:val="left"/>
      <w:pPr>
        <w:ind w:left="720" w:hanging="360"/>
      </w:pPr>
      <w:rPr>
        <w:rFonts w:ascii="Symbol" w:eastAsiaTheme="minorHAnsi" w:hAnsi="Symbol"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245BE"/>
    <w:multiLevelType w:val="hybridMultilevel"/>
    <w:tmpl w:val="591A9FE8"/>
    <w:lvl w:ilvl="0" w:tplc="1F463DA8">
      <w:start w:val="1"/>
      <w:numFmt w:val="upperLetter"/>
      <w:pStyle w:val="ThirdnumberingiChar"/>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 w15:restartNumberingAfterBreak="0">
    <w:nsid w:val="0CD20318"/>
    <w:multiLevelType w:val="hybridMultilevel"/>
    <w:tmpl w:val="D638CF4E"/>
    <w:lvl w:ilvl="0" w:tplc="3702CAAE">
      <w:start w:val="1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0250F"/>
    <w:multiLevelType w:val="hybridMultilevel"/>
    <w:tmpl w:val="87B4A796"/>
    <w:lvl w:ilvl="0" w:tplc="F92EF4B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2A435A6"/>
    <w:multiLevelType w:val="hybridMultilevel"/>
    <w:tmpl w:val="210ADCA4"/>
    <w:lvl w:ilvl="0" w:tplc="25406D76">
      <w:start w:val="1"/>
      <w:numFmt w:val="lowerLetter"/>
      <w:pStyle w:val="Secondnumberinga"/>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23DF48E4"/>
    <w:multiLevelType w:val="hybridMultilevel"/>
    <w:tmpl w:val="86841666"/>
    <w:lvl w:ilvl="0" w:tplc="93A4A280">
      <w:start w:val="1"/>
      <w:numFmt w:val="lowerLetter"/>
      <w:pStyle w:val="FirstnumberingChar"/>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CBD1754"/>
    <w:multiLevelType w:val="hybridMultilevel"/>
    <w:tmpl w:val="29EC8866"/>
    <w:lvl w:ilvl="0" w:tplc="5C302D7C">
      <w:start w:val="1"/>
      <w:numFmt w:val="upperLetter"/>
      <w:pStyle w:val="FourthnumberingA"/>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 w15:restartNumberingAfterBreak="0">
    <w:nsid w:val="2DED2A6A"/>
    <w:multiLevelType w:val="hybridMultilevel"/>
    <w:tmpl w:val="09CC4E18"/>
    <w:lvl w:ilvl="0" w:tplc="6DBAEE78">
      <w:start w:val="1"/>
      <w:numFmt w:val="decimal"/>
      <w:pStyle w:val="Firstnumbering"/>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E3706CF"/>
    <w:multiLevelType w:val="hybridMultilevel"/>
    <w:tmpl w:val="F8AA1D36"/>
    <w:lvl w:ilvl="0" w:tplc="07A0D14C">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43845F6F"/>
    <w:multiLevelType w:val="hybridMultilevel"/>
    <w:tmpl w:val="0A34E070"/>
    <w:lvl w:ilvl="0" w:tplc="EB385B04">
      <w:start w:val="540"/>
      <w:numFmt w:val="bullet"/>
      <w:lvlText w:val=""/>
      <w:lvlJc w:val="left"/>
      <w:pPr>
        <w:ind w:left="720" w:hanging="360"/>
      </w:pPr>
      <w:rPr>
        <w:rFonts w:ascii="Symbol" w:eastAsiaTheme="minorHAnsi" w:hAnsi="Symbol" w:cs="Arial" w:hint="default"/>
        <w:color w:val="333333"/>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D2237E"/>
    <w:multiLevelType w:val="hybridMultilevel"/>
    <w:tmpl w:val="BE0EA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3F7345"/>
    <w:multiLevelType w:val="hybridMultilevel"/>
    <w:tmpl w:val="3868690A"/>
    <w:lvl w:ilvl="0" w:tplc="B9E03566">
      <w:start w:val="1"/>
      <w:numFmt w:val="decimal"/>
      <w:lvlText w:val="%1."/>
      <w:lvlJc w:val="left"/>
      <w:pPr>
        <w:ind w:left="360" w:hanging="360"/>
      </w:pPr>
      <w:rPr>
        <w:rFonts w:ascii="Arial" w:hAnsi="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8630E2"/>
    <w:multiLevelType w:val="hybridMultilevel"/>
    <w:tmpl w:val="C3D082E8"/>
    <w:lvl w:ilvl="0" w:tplc="AAE6B464">
      <w:start w:val="1"/>
      <w:numFmt w:val="decimal"/>
      <w:lvlText w:val="%1."/>
      <w:lvlJc w:val="left"/>
      <w:pPr>
        <w:ind w:left="360" w:hanging="360"/>
      </w:pPr>
      <w:rPr>
        <w:b w:val="0"/>
        <w:i w:val="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0D82C95"/>
    <w:multiLevelType w:val="hybridMultilevel"/>
    <w:tmpl w:val="1BC4A8C6"/>
    <w:lvl w:ilvl="0" w:tplc="6EA659D4">
      <w:start w:val="1"/>
      <w:numFmt w:val="upperLetter"/>
      <w:lvlText w:val="%1."/>
      <w:lvlJc w:val="righ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15" w15:restartNumberingAfterBreak="0">
    <w:nsid w:val="51A62060"/>
    <w:multiLevelType w:val="hybridMultilevel"/>
    <w:tmpl w:val="E45C30C4"/>
    <w:lvl w:ilvl="0" w:tplc="5046ED82">
      <w:start w:val="1"/>
      <w:numFmt w:val="lowerRoman"/>
      <w:pStyle w:val="SecondnumberingChar"/>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6" w15:restartNumberingAfterBreak="0">
    <w:nsid w:val="5607070F"/>
    <w:multiLevelType w:val="hybridMultilevel"/>
    <w:tmpl w:val="6C08CB9A"/>
    <w:lvl w:ilvl="0" w:tplc="5AB89676">
      <w:start w:val="1"/>
      <w:numFmt w:val="lowerLetter"/>
      <w:pStyle w:val="Secondnumbering"/>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57895B50"/>
    <w:multiLevelType w:val="hybridMultilevel"/>
    <w:tmpl w:val="AE72E5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F15A0C"/>
    <w:multiLevelType w:val="hybridMultilevel"/>
    <w:tmpl w:val="9D8C8C64"/>
    <w:lvl w:ilvl="0" w:tplc="6CDA74E2">
      <w:start w:val="5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B30392"/>
    <w:multiLevelType w:val="hybridMultilevel"/>
    <w:tmpl w:val="DB1A317A"/>
    <w:lvl w:ilvl="0" w:tplc="90442228">
      <w:start w:val="1"/>
      <w:numFmt w:val="decimal"/>
      <w:pStyle w:val="Second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3C464C"/>
    <w:multiLevelType w:val="hybridMultilevel"/>
    <w:tmpl w:val="C51E91E6"/>
    <w:lvl w:ilvl="0" w:tplc="B3FC783C">
      <w:start w:val="1"/>
      <w:numFmt w:val="lowerRoman"/>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2" w15:restartNumberingAfterBreak="0">
    <w:nsid w:val="73072241"/>
    <w:multiLevelType w:val="hybridMultilevel"/>
    <w:tmpl w:val="C3820172"/>
    <w:lvl w:ilvl="0" w:tplc="F2321902">
      <w:start w:val="1"/>
      <w:numFmt w:val="lowerRoman"/>
      <w:pStyle w:val="Thirdnumbering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BA3729"/>
    <w:multiLevelType w:val="hybridMultilevel"/>
    <w:tmpl w:val="DAFC78AC"/>
    <w:lvl w:ilvl="0" w:tplc="E29C3E0E">
      <w:start w:val="20"/>
      <w:numFmt w:val="decimal"/>
      <w:lvlText w:val="%1."/>
      <w:lvlJc w:val="left"/>
      <w:pPr>
        <w:ind w:left="36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2C1749"/>
    <w:multiLevelType w:val="hybridMultilevel"/>
    <w:tmpl w:val="16946978"/>
    <w:lvl w:ilvl="0" w:tplc="C672B958">
      <w:start w:val="19"/>
      <w:numFmt w:val="bullet"/>
      <w:lvlText w:val=""/>
      <w:lvlJc w:val="left"/>
      <w:pPr>
        <w:ind w:left="720" w:hanging="360"/>
      </w:pPr>
      <w:rPr>
        <w:rFonts w:ascii="Symbol" w:eastAsiaTheme="minorHAnsi"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21"/>
  </w:num>
  <w:num w:numId="4">
    <w:abstractNumId w:val="14"/>
  </w:num>
  <w:num w:numId="5">
    <w:abstractNumId w:val="5"/>
  </w:num>
  <w:num w:numId="6">
    <w:abstractNumId w:val="22"/>
  </w:num>
  <w:num w:numId="7">
    <w:abstractNumId w:val="7"/>
  </w:num>
  <w:num w:numId="8">
    <w:abstractNumId w:val="13"/>
  </w:num>
  <w:num w:numId="9">
    <w:abstractNumId w:val="4"/>
  </w:num>
  <w:num w:numId="10">
    <w:abstractNumId w:val="19"/>
  </w:num>
  <w:num w:numId="11">
    <w:abstractNumId w:val="17"/>
  </w:num>
  <w:num w:numId="12">
    <w:abstractNumId w:val="3"/>
  </w:num>
  <w:num w:numId="13">
    <w:abstractNumId w:val="23"/>
  </w:num>
  <w:num w:numId="14">
    <w:abstractNumId w:val="18"/>
  </w:num>
  <w:num w:numId="15">
    <w:abstractNumId w:val="20"/>
  </w:num>
  <w:num w:numId="16">
    <w:abstractNumId w:val="6"/>
  </w:num>
  <w:num w:numId="17">
    <w:abstractNumId w:val="15"/>
  </w:num>
  <w:num w:numId="18">
    <w:abstractNumId w:val="2"/>
  </w:num>
  <w:num w:numId="19">
    <w:abstractNumId w:val="12"/>
  </w:num>
  <w:num w:numId="20">
    <w:abstractNumId w:val="9"/>
  </w:num>
  <w:num w:numId="21">
    <w:abstractNumId w:val="0"/>
  </w:num>
  <w:num w:numId="22">
    <w:abstractNumId w:val="1"/>
  </w:num>
  <w:num w:numId="23">
    <w:abstractNumId w:val="10"/>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A7D2C"/>
    <w:rsid w:val="000B03CC"/>
    <w:rsid w:val="000F2EB4"/>
    <w:rsid w:val="000F31D8"/>
    <w:rsid w:val="0012615F"/>
    <w:rsid w:val="0026594E"/>
    <w:rsid w:val="00293B2E"/>
    <w:rsid w:val="002D489D"/>
    <w:rsid w:val="004D2819"/>
    <w:rsid w:val="005330F7"/>
    <w:rsid w:val="00561DAF"/>
    <w:rsid w:val="00563598"/>
    <w:rsid w:val="00705C1D"/>
    <w:rsid w:val="0074459A"/>
    <w:rsid w:val="008219FB"/>
    <w:rsid w:val="00853DCA"/>
    <w:rsid w:val="00870459"/>
    <w:rsid w:val="00882CD0"/>
    <w:rsid w:val="00896FBB"/>
    <w:rsid w:val="008C067D"/>
    <w:rsid w:val="009B2192"/>
    <w:rsid w:val="00A02506"/>
    <w:rsid w:val="00AB773C"/>
    <w:rsid w:val="00B74011"/>
    <w:rsid w:val="00BB40EC"/>
    <w:rsid w:val="00C14346"/>
    <w:rsid w:val="00C771C2"/>
    <w:rsid w:val="00C87CA3"/>
    <w:rsid w:val="00D67AF1"/>
    <w:rsid w:val="00D71837"/>
    <w:rsid w:val="00DC42A6"/>
    <w:rsid w:val="00E62ABB"/>
    <w:rsid w:val="00EC2A58"/>
    <w:rsid w:val="00EF7FC8"/>
    <w:rsid w:val="00FC16D8"/>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95D05"/>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9"/>
    <w:semiHidden/>
    <w:unhideWhenUsed/>
    <w:qFormat/>
    <w:rsid w:val="00561DAF"/>
    <w:pPr>
      <w:keepNext/>
      <w:widowControl w:val="0"/>
      <w:tabs>
        <w:tab w:val="left" w:pos="-720"/>
        <w:tab w:val="left" w:pos="310"/>
        <w:tab w:val="left" w:pos="835"/>
      </w:tabs>
      <w:spacing w:after="0" w:line="240" w:lineRule="auto"/>
      <w:jc w:val="both"/>
      <w:outlineLvl w:val="1"/>
    </w:pPr>
    <w:rPr>
      <w:rFonts w:ascii="Times New Roman" w:eastAsia="Times New Roman" w:hAnsi="Times New Roman" w:cs="Times New Roman"/>
      <w:b/>
      <w:bCs/>
      <w:sz w:val="24"/>
      <w:szCs w:val="20"/>
      <w:lang w:val="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0F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B4"/>
    <w:rPr>
      <w:rFonts w:ascii="Segoe UI" w:hAnsi="Segoe UI" w:cs="Segoe UI"/>
      <w:sz w:val="18"/>
      <w:szCs w:val="18"/>
    </w:rPr>
  </w:style>
  <w:style w:type="paragraph" w:styleId="ListParagraph">
    <w:name w:val="List Paragraph"/>
    <w:basedOn w:val="Normal"/>
    <w:link w:val="ListParagraphChar"/>
    <w:uiPriority w:val="34"/>
    <w:qFormat/>
    <w:rsid w:val="00705C1D"/>
    <w:pPr>
      <w:ind w:left="720"/>
      <w:contextualSpacing/>
    </w:pPr>
  </w:style>
  <w:style w:type="paragraph" w:customStyle="1" w:styleId="Firstnumbering">
    <w:name w:val="First numbering"/>
    <w:basedOn w:val="ListParagraph"/>
    <w:link w:val="FirstnumberingChar"/>
    <w:qFormat/>
    <w:rsid w:val="0026594E"/>
    <w:pPr>
      <w:numPr>
        <w:numId w:val="1"/>
      </w:numPr>
      <w:spacing w:after="0" w:line="240" w:lineRule="auto"/>
      <w:ind w:left="567" w:hanging="567"/>
      <w:jc w:val="both"/>
    </w:pPr>
    <w:rPr>
      <w:lang w:val="fr-FR"/>
    </w:rPr>
  </w:style>
  <w:style w:type="paragraph" w:customStyle="1" w:styleId="Secondnumbering">
    <w:name w:val="Second numbering"/>
    <w:basedOn w:val="Firstnumbering"/>
    <w:link w:val="SecondnumberingChar"/>
    <w:qFormat/>
    <w:rsid w:val="00C87CA3"/>
    <w:pPr>
      <w:numPr>
        <w:numId w:val="2"/>
      </w:numPr>
    </w:pPr>
  </w:style>
  <w:style w:type="character" w:customStyle="1" w:styleId="ListParagraphChar">
    <w:name w:val="List Paragraph Char"/>
    <w:basedOn w:val="DefaultParagraphFont"/>
    <w:link w:val="ListParagraph"/>
    <w:uiPriority w:val="34"/>
    <w:rsid w:val="00705C1D"/>
  </w:style>
  <w:style w:type="character" w:customStyle="1" w:styleId="FirstnumberingChar">
    <w:name w:val="First numbering Char"/>
    <w:basedOn w:val="ListParagraphChar"/>
    <w:link w:val="Firstnumbering"/>
    <w:rsid w:val="0026594E"/>
    <w:rPr>
      <w:lang w:val="fr-FR"/>
    </w:rPr>
  </w:style>
  <w:style w:type="paragraph" w:customStyle="1" w:styleId="Thirdnumberingi">
    <w:name w:val="Third numbering i)"/>
    <w:basedOn w:val="Secondnumbering"/>
    <w:link w:val="ThirdnumberingiChar"/>
    <w:qFormat/>
    <w:rsid w:val="00EF7FC8"/>
    <w:pPr>
      <w:numPr>
        <w:numId w:val="6"/>
      </w:numPr>
      <w:ind w:left="1701" w:hanging="283"/>
    </w:pPr>
  </w:style>
  <w:style w:type="character" w:customStyle="1" w:styleId="SecondnumberingChar">
    <w:name w:val="Second numbering Char"/>
    <w:basedOn w:val="FirstnumberingChar"/>
    <w:link w:val="Secondnumbering"/>
    <w:rsid w:val="00C87CA3"/>
    <w:rPr>
      <w:lang w:val="fr-FR"/>
    </w:rPr>
  </w:style>
  <w:style w:type="paragraph" w:customStyle="1" w:styleId="Secondnumberinga">
    <w:name w:val="Second numbering a)"/>
    <w:basedOn w:val="ListParagraph"/>
    <w:link w:val="SecondnumberingaChar"/>
    <w:qFormat/>
    <w:rsid w:val="0026594E"/>
    <w:pPr>
      <w:numPr>
        <w:numId w:val="5"/>
      </w:numPr>
      <w:ind w:left="1134" w:hanging="283"/>
      <w:jc w:val="both"/>
    </w:pPr>
  </w:style>
  <w:style w:type="character" w:customStyle="1" w:styleId="ThirdnumberingiChar">
    <w:name w:val="Third numbering i) Char"/>
    <w:basedOn w:val="SecondnumberingChar"/>
    <w:link w:val="Thirdnumberingi"/>
    <w:rsid w:val="00EF7FC8"/>
    <w:rPr>
      <w:lang w:val="fr-FR"/>
    </w:rPr>
  </w:style>
  <w:style w:type="character" w:customStyle="1" w:styleId="SecondnumberingaChar">
    <w:name w:val="Second numbering a) Char"/>
    <w:basedOn w:val="ListParagraphChar"/>
    <w:link w:val="Secondnumberinga"/>
    <w:rsid w:val="0026594E"/>
  </w:style>
  <w:style w:type="paragraph" w:customStyle="1" w:styleId="FourthnumberingA">
    <w:name w:val="Fourth numbering A."/>
    <w:basedOn w:val="Thirdnumberingi"/>
    <w:link w:val="FourthnumberingAChar"/>
    <w:qFormat/>
    <w:rsid w:val="00EF7FC8"/>
    <w:pPr>
      <w:numPr>
        <w:numId w:val="7"/>
      </w:numPr>
      <w:ind w:left="2268" w:hanging="283"/>
    </w:pPr>
  </w:style>
  <w:style w:type="paragraph" w:customStyle="1" w:styleId="Title1">
    <w:name w:val="Title1"/>
    <w:basedOn w:val="Normal"/>
    <w:link w:val="TITLEChar"/>
    <w:qFormat/>
    <w:rsid w:val="00FE5D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Arial" w:cs="Arial"/>
      <w:b/>
      <w:bCs/>
      <w:caps/>
      <w:sz w:val="24"/>
      <w:szCs w:val="24"/>
      <w:lang w:val="fr-FR"/>
    </w:rPr>
  </w:style>
  <w:style w:type="character" w:customStyle="1" w:styleId="FourthnumberingAChar">
    <w:name w:val="Fourth numbering A. Char"/>
    <w:basedOn w:val="ThirdnumberingiChar"/>
    <w:link w:val="FourthnumberingA"/>
    <w:rsid w:val="00EF7FC8"/>
    <w:rPr>
      <w:lang w:val="fr-FR"/>
    </w:rPr>
  </w:style>
  <w:style w:type="character" w:customStyle="1" w:styleId="TITLEChar">
    <w:name w:val="TITLE Char"/>
    <w:basedOn w:val="DefaultParagraphFont"/>
    <w:link w:val="Title1"/>
    <w:rsid w:val="00FE5D71"/>
    <w:rPr>
      <w:rFonts w:eastAsia="Arial" w:cs="Arial"/>
      <w:b/>
      <w:bCs/>
      <w:caps/>
      <w:sz w:val="24"/>
      <w:szCs w:val="24"/>
      <w:lang w:val="fr-FR"/>
    </w:rPr>
  </w:style>
  <w:style w:type="character" w:styleId="Hyperlink">
    <w:name w:val="Hyperlink"/>
    <w:basedOn w:val="DefaultParagraphFont"/>
    <w:uiPriority w:val="99"/>
    <w:semiHidden/>
    <w:unhideWhenUsed/>
    <w:rsid w:val="000A7D2C"/>
    <w:rPr>
      <w:color w:val="0563C1" w:themeColor="hyperlink"/>
      <w:u w:val="single"/>
    </w:rPr>
  </w:style>
  <w:style w:type="paragraph" w:styleId="FootnoteText">
    <w:name w:val="footnote text"/>
    <w:basedOn w:val="Normal"/>
    <w:link w:val="FootnoteTextChar"/>
    <w:uiPriority w:val="99"/>
    <w:semiHidden/>
    <w:unhideWhenUsed/>
    <w:rsid w:val="00FC16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16D8"/>
    <w:rPr>
      <w:sz w:val="20"/>
      <w:szCs w:val="20"/>
    </w:rPr>
  </w:style>
  <w:style w:type="character" w:styleId="FootnoteReference">
    <w:name w:val="footnote reference"/>
    <w:basedOn w:val="DefaultParagraphFont"/>
    <w:uiPriority w:val="99"/>
    <w:semiHidden/>
    <w:unhideWhenUsed/>
    <w:rsid w:val="00FC16D8"/>
    <w:rPr>
      <w:vertAlign w:val="superscript"/>
    </w:rPr>
  </w:style>
  <w:style w:type="character" w:customStyle="1" w:styleId="Heading2Char">
    <w:name w:val="Heading 2 Char"/>
    <w:basedOn w:val="DefaultParagraphFont"/>
    <w:link w:val="Heading2"/>
    <w:uiPriority w:val="99"/>
    <w:semiHidden/>
    <w:rsid w:val="00561DAF"/>
    <w:rPr>
      <w:rFonts w:ascii="Times New Roman" w:eastAsia="Times New Roman" w:hAnsi="Times New Roman" w:cs="Times New Roman"/>
      <w:b/>
      <w:bCs/>
      <w:sz w:val="24"/>
      <w:szCs w:val="20"/>
      <w:lang w:val="de-DE"/>
    </w:rPr>
  </w:style>
  <w:style w:type="character" w:customStyle="1" w:styleId="EndnoteTextChar">
    <w:name w:val="Endnote Text Char"/>
    <w:basedOn w:val="DefaultParagraphFont"/>
    <w:link w:val="EndnoteText"/>
    <w:uiPriority w:val="99"/>
    <w:semiHidden/>
    <w:rsid w:val="00561DAF"/>
    <w:rPr>
      <w:sz w:val="20"/>
      <w:szCs w:val="20"/>
    </w:rPr>
  </w:style>
  <w:style w:type="paragraph" w:styleId="EndnoteText">
    <w:name w:val="endnote text"/>
    <w:basedOn w:val="Normal"/>
    <w:link w:val="EndnoteTextChar"/>
    <w:uiPriority w:val="99"/>
    <w:semiHidden/>
    <w:unhideWhenUsed/>
    <w:rsid w:val="00561DAF"/>
    <w:pPr>
      <w:spacing w:after="0" w:line="240" w:lineRule="auto"/>
    </w:pPr>
    <w:rPr>
      <w:sz w:val="20"/>
      <w:szCs w:val="20"/>
    </w:rPr>
  </w:style>
  <w:style w:type="character" w:customStyle="1" w:styleId="EndnoteTextChar1">
    <w:name w:val="Endnote Text Char1"/>
    <w:basedOn w:val="DefaultParagraphFont"/>
    <w:uiPriority w:val="99"/>
    <w:semiHidden/>
    <w:rsid w:val="00561DAF"/>
    <w:rPr>
      <w:sz w:val="20"/>
      <w:szCs w:val="20"/>
    </w:rPr>
  </w:style>
  <w:style w:type="character" w:customStyle="1" w:styleId="CommentTextChar">
    <w:name w:val="Comment Text Char"/>
    <w:basedOn w:val="DefaultParagraphFont"/>
    <w:link w:val="CommentText"/>
    <w:uiPriority w:val="99"/>
    <w:semiHidden/>
    <w:rsid w:val="00561DAF"/>
    <w:rPr>
      <w:sz w:val="20"/>
      <w:szCs w:val="20"/>
    </w:rPr>
  </w:style>
  <w:style w:type="paragraph" w:styleId="CommentText">
    <w:name w:val="annotation text"/>
    <w:basedOn w:val="Normal"/>
    <w:link w:val="CommentTextChar"/>
    <w:uiPriority w:val="99"/>
    <w:semiHidden/>
    <w:unhideWhenUsed/>
    <w:rsid w:val="00561DAF"/>
    <w:pPr>
      <w:spacing w:after="0" w:line="240" w:lineRule="auto"/>
    </w:pPr>
    <w:rPr>
      <w:sz w:val="20"/>
      <w:szCs w:val="20"/>
    </w:rPr>
  </w:style>
  <w:style w:type="character" w:customStyle="1" w:styleId="CommentTextChar1">
    <w:name w:val="Comment Text Char1"/>
    <w:basedOn w:val="DefaultParagraphFont"/>
    <w:uiPriority w:val="99"/>
    <w:semiHidden/>
    <w:rsid w:val="00561DAF"/>
    <w:rPr>
      <w:sz w:val="20"/>
      <w:szCs w:val="20"/>
    </w:rPr>
  </w:style>
  <w:style w:type="character" w:customStyle="1" w:styleId="CommentSubjectChar">
    <w:name w:val="Comment Subject Char"/>
    <w:basedOn w:val="CommentTextChar"/>
    <w:link w:val="CommentSubject"/>
    <w:uiPriority w:val="99"/>
    <w:semiHidden/>
    <w:rsid w:val="00561DAF"/>
    <w:rPr>
      <w:b/>
      <w:bCs/>
      <w:sz w:val="20"/>
      <w:szCs w:val="20"/>
    </w:rPr>
  </w:style>
  <w:style w:type="paragraph" w:styleId="CommentSubject">
    <w:name w:val="annotation subject"/>
    <w:basedOn w:val="CommentText"/>
    <w:next w:val="CommentText"/>
    <w:link w:val="CommentSubjectChar"/>
    <w:uiPriority w:val="99"/>
    <w:semiHidden/>
    <w:unhideWhenUsed/>
    <w:rsid w:val="00561DAF"/>
    <w:rPr>
      <w:b/>
      <w:bCs/>
    </w:rPr>
  </w:style>
  <w:style w:type="character" w:customStyle="1" w:styleId="CommentSubjectChar1">
    <w:name w:val="Comment Subject Char1"/>
    <w:basedOn w:val="CommentTextChar1"/>
    <w:uiPriority w:val="99"/>
    <w:semiHidden/>
    <w:rsid w:val="00561DAF"/>
    <w:rPr>
      <w:b/>
      <w:bCs/>
      <w:sz w:val="20"/>
      <w:szCs w:val="20"/>
    </w:rPr>
  </w:style>
  <w:style w:type="character" w:styleId="EndnoteReference">
    <w:name w:val="endnote reference"/>
    <w:basedOn w:val="DefaultParagraphFont"/>
    <w:uiPriority w:val="99"/>
    <w:semiHidden/>
    <w:unhideWhenUsed/>
    <w:rsid w:val="00561DAF"/>
    <w:rPr>
      <w:vertAlign w:val="superscript"/>
    </w:rPr>
  </w:style>
  <w:style w:type="table" w:styleId="TableGrid">
    <w:name w:val="Table Grid"/>
    <w:basedOn w:val="TableNormal"/>
    <w:uiPriority w:val="39"/>
    <w:rsid w:val="00561DAF"/>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30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F391F-A44B-4CB7-91DE-5BF34EEE1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3119</Words>
  <Characters>17780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2</cp:revision>
  <dcterms:created xsi:type="dcterms:W3CDTF">2019-12-18T10:04:00Z</dcterms:created>
  <dcterms:modified xsi:type="dcterms:W3CDTF">2019-12-18T10:04:00Z</dcterms:modified>
</cp:coreProperties>
</file>