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0657525A" w14:textId="77777777" w:rsidR="00E829C9" w:rsidRDefault="00E829C9" w:rsidP="00ED70A0">
      <w:pPr>
        <w:rPr>
          <w:rFonts w:ascii="Arial" w:hAnsi="Arial" w:cs="Arial"/>
          <w:b/>
          <w:sz w:val="22"/>
          <w:szCs w:val="22"/>
        </w:rPr>
      </w:pPr>
    </w:p>
    <w:p w14:paraId="31B7E191"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r w:rsidRPr="00405281">
        <w:rPr>
          <w:rFonts w:ascii="Arial" w:hAnsi="Arial" w:cs="Arial"/>
          <w:b/>
          <w:bCs/>
          <w:sz w:val="22"/>
          <w:szCs w:val="22"/>
          <w:lang w:val="fr-FR"/>
        </w:rPr>
        <w:t>PROPOSITION POUR LA POURSUITE DE L’ACTION CONCERTÉE POUR LA MÉGAFAUNE SAHÉLO-SAHARIENNE :</w:t>
      </w:r>
    </w:p>
    <w:p w14:paraId="6470E776" w14:textId="0849F19F" w:rsidR="00405281" w:rsidRPr="00405281" w:rsidRDefault="00405281" w:rsidP="00405281">
      <w:pPr>
        <w:jc w:val="center"/>
        <w:rPr>
          <w:rFonts w:ascii="Arial" w:hAnsi="Arial" w:cs="Arial"/>
          <w:b/>
          <w:sz w:val="22"/>
          <w:szCs w:val="22"/>
          <w:lang w:val="fr-FR"/>
        </w:rPr>
      </w:pPr>
      <w:r w:rsidRPr="00405281">
        <w:rPr>
          <w:rFonts w:ascii="Arial" w:hAnsi="Arial" w:cs="Arial"/>
          <w:b/>
          <w:sz w:val="22"/>
          <w:szCs w:val="22"/>
          <w:lang w:val="fr-FR"/>
        </w:rPr>
        <w:t>ORYX ALGAZELLE (</w:t>
      </w:r>
      <w:r w:rsidRPr="00405281">
        <w:rPr>
          <w:rFonts w:ascii="Arial" w:hAnsi="Arial" w:cs="Arial"/>
          <w:b/>
          <w:i/>
          <w:sz w:val="22"/>
          <w:szCs w:val="22"/>
          <w:lang w:val="fr-FR"/>
        </w:rPr>
        <w:t xml:space="preserve">oryx </w:t>
      </w:r>
      <w:proofErr w:type="spellStart"/>
      <w:r w:rsidRPr="00405281">
        <w:rPr>
          <w:rFonts w:ascii="Arial" w:hAnsi="Arial" w:cs="Arial"/>
          <w:b/>
          <w:i/>
          <w:sz w:val="22"/>
          <w:szCs w:val="22"/>
          <w:lang w:val="fr-FR"/>
        </w:rPr>
        <w:t>dammah</w:t>
      </w:r>
      <w:proofErr w:type="spellEnd"/>
      <w:r w:rsidRPr="00405281">
        <w:rPr>
          <w:rFonts w:ascii="Arial" w:hAnsi="Arial" w:cs="Arial"/>
          <w:b/>
          <w:sz w:val="22"/>
          <w:szCs w:val="22"/>
          <w:lang w:val="fr-FR"/>
        </w:rPr>
        <w:t>), ADDAX (</w:t>
      </w:r>
      <w:r w:rsidRPr="00405281">
        <w:rPr>
          <w:rFonts w:ascii="Arial" w:hAnsi="Arial" w:cs="Arial"/>
          <w:b/>
          <w:i/>
          <w:sz w:val="22"/>
          <w:szCs w:val="22"/>
          <w:lang w:val="fr-FR"/>
        </w:rPr>
        <w:t xml:space="preserve">addax </w:t>
      </w:r>
      <w:proofErr w:type="spellStart"/>
      <w:r w:rsidRPr="00405281">
        <w:rPr>
          <w:rFonts w:ascii="Arial" w:hAnsi="Arial" w:cs="Arial"/>
          <w:b/>
          <w:i/>
          <w:sz w:val="22"/>
          <w:szCs w:val="22"/>
          <w:lang w:val="fr-FR"/>
        </w:rPr>
        <w:t>nasomaculatus</w:t>
      </w:r>
      <w:proofErr w:type="spellEnd"/>
      <w:r w:rsidRPr="00405281">
        <w:rPr>
          <w:rFonts w:ascii="Arial" w:hAnsi="Arial" w:cs="Arial"/>
          <w:b/>
          <w:sz w:val="22"/>
          <w:szCs w:val="22"/>
          <w:lang w:val="fr-FR"/>
        </w:rPr>
        <w:t>), GAZELLE DAMA (</w:t>
      </w:r>
      <w:proofErr w:type="spellStart"/>
      <w:r w:rsidRPr="00405281">
        <w:rPr>
          <w:rFonts w:ascii="Arial" w:hAnsi="Arial" w:cs="Arial"/>
          <w:b/>
          <w:i/>
          <w:sz w:val="22"/>
          <w:szCs w:val="22"/>
          <w:lang w:val="fr-FR"/>
        </w:rPr>
        <w:t>nanger</w:t>
      </w:r>
      <w:proofErr w:type="spellEnd"/>
      <w:r w:rsidRPr="00405281">
        <w:rPr>
          <w:rFonts w:ascii="Arial" w:hAnsi="Arial" w:cs="Arial"/>
          <w:b/>
          <w:i/>
          <w:sz w:val="22"/>
          <w:szCs w:val="22"/>
          <w:lang w:val="fr-FR"/>
        </w:rPr>
        <w:t xml:space="preserve"> dama</w:t>
      </w:r>
      <w:r w:rsidRPr="00405281">
        <w:rPr>
          <w:rFonts w:ascii="Arial" w:hAnsi="Arial" w:cs="Arial"/>
          <w:b/>
          <w:sz w:val="22"/>
          <w:szCs w:val="22"/>
          <w:lang w:val="fr-FR"/>
        </w:rPr>
        <w:t>), GAZELLE LEPTOCÈRE (</w:t>
      </w:r>
      <w:proofErr w:type="spellStart"/>
      <w:r w:rsidRPr="00405281">
        <w:rPr>
          <w:rFonts w:ascii="Arial" w:hAnsi="Arial" w:cs="Arial"/>
          <w:b/>
          <w:i/>
          <w:sz w:val="22"/>
          <w:szCs w:val="22"/>
          <w:lang w:val="fr-FR"/>
        </w:rPr>
        <w:t>gazella</w:t>
      </w:r>
      <w:proofErr w:type="spellEnd"/>
      <w:r w:rsidRPr="00405281">
        <w:rPr>
          <w:rFonts w:ascii="Arial" w:hAnsi="Arial" w:cs="Arial"/>
          <w:b/>
          <w:i/>
          <w:sz w:val="22"/>
          <w:szCs w:val="22"/>
          <w:lang w:val="fr-FR"/>
        </w:rPr>
        <w:t xml:space="preserve"> </w:t>
      </w:r>
      <w:proofErr w:type="spellStart"/>
      <w:r w:rsidRPr="00405281">
        <w:rPr>
          <w:rFonts w:ascii="Arial" w:hAnsi="Arial" w:cs="Arial"/>
          <w:b/>
          <w:i/>
          <w:sz w:val="22"/>
          <w:szCs w:val="22"/>
          <w:lang w:val="fr-FR"/>
        </w:rPr>
        <w:t>leptoceros</w:t>
      </w:r>
      <w:proofErr w:type="spellEnd"/>
      <w:r w:rsidRPr="00405281">
        <w:rPr>
          <w:rFonts w:ascii="Arial" w:hAnsi="Arial" w:cs="Arial"/>
          <w:b/>
          <w:sz w:val="22"/>
          <w:szCs w:val="22"/>
          <w:lang w:val="fr-FR"/>
        </w:rPr>
        <w:t>), GAZELLE DE CUVIER (</w:t>
      </w:r>
      <w:proofErr w:type="spellStart"/>
      <w:r w:rsidRPr="00405281">
        <w:rPr>
          <w:rFonts w:ascii="Arial" w:hAnsi="Arial" w:cs="Arial"/>
          <w:b/>
          <w:i/>
          <w:sz w:val="22"/>
          <w:szCs w:val="22"/>
          <w:lang w:val="fr-FR"/>
        </w:rPr>
        <w:t>gazella</w:t>
      </w:r>
      <w:proofErr w:type="spellEnd"/>
      <w:r w:rsidRPr="00405281">
        <w:rPr>
          <w:rFonts w:ascii="Arial" w:hAnsi="Arial" w:cs="Arial"/>
          <w:b/>
          <w:i/>
          <w:sz w:val="22"/>
          <w:szCs w:val="22"/>
          <w:lang w:val="fr-FR"/>
        </w:rPr>
        <w:t xml:space="preserve"> </w:t>
      </w:r>
      <w:proofErr w:type="spellStart"/>
      <w:r w:rsidRPr="00405281">
        <w:rPr>
          <w:rFonts w:ascii="Arial" w:hAnsi="Arial" w:cs="Arial"/>
          <w:b/>
          <w:i/>
          <w:sz w:val="22"/>
          <w:szCs w:val="22"/>
          <w:lang w:val="fr-FR"/>
        </w:rPr>
        <w:t>cuvieri</w:t>
      </w:r>
      <w:proofErr w:type="spellEnd"/>
      <w:r w:rsidRPr="00405281">
        <w:rPr>
          <w:rFonts w:ascii="Arial" w:hAnsi="Arial" w:cs="Arial"/>
          <w:b/>
          <w:sz w:val="22"/>
          <w:szCs w:val="22"/>
          <w:lang w:val="fr-FR"/>
        </w:rPr>
        <w:t>), GAZELLE DORCAS (</w:t>
      </w:r>
      <w:proofErr w:type="spellStart"/>
      <w:r w:rsidRPr="00405281">
        <w:rPr>
          <w:rFonts w:ascii="Arial" w:hAnsi="Arial" w:cs="Arial"/>
          <w:b/>
          <w:i/>
          <w:sz w:val="22"/>
          <w:szCs w:val="22"/>
          <w:lang w:val="fr-FR"/>
        </w:rPr>
        <w:t>gazella</w:t>
      </w:r>
      <w:proofErr w:type="spellEnd"/>
      <w:r w:rsidRPr="00405281">
        <w:rPr>
          <w:rFonts w:ascii="Arial" w:hAnsi="Arial" w:cs="Arial"/>
          <w:b/>
          <w:i/>
          <w:sz w:val="22"/>
          <w:szCs w:val="22"/>
          <w:lang w:val="fr-FR"/>
        </w:rPr>
        <w:t xml:space="preserve"> dorcas</w:t>
      </w:r>
      <w:r w:rsidRPr="00405281">
        <w:rPr>
          <w:rFonts w:ascii="Arial" w:hAnsi="Arial" w:cs="Arial"/>
          <w:b/>
          <w:sz w:val="22"/>
          <w:szCs w:val="22"/>
          <w:lang w:val="fr-FR"/>
        </w:rPr>
        <w:t>), GAZELLE À FRONT ROUX (</w:t>
      </w:r>
      <w:proofErr w:type="spellStart"/>
      <w:r w:rsidRPr="00405281">
        <w:rPr>
          <w:rFonts w:ascii="Arial" w:hAnsi="Arial" w:cs="Arial"/>
          <w:b/>
          <w:i/>
          <w:sz w:val="22"/>
          <w:szCs w:val="22"/>
          <w:lang w:val="fr-FR"/>
        </w:rPr>
        <w:t>eurdorcas</w:t>
      </w:r>
      <w:proofErr w:type="spellEnd"/>
      <w:r w:rsidRPr="00405281">
        <w:rPr>
          <w:rFonts w:ascii="Arial" w:hAnsi="Arial" w:cs="Arial"/>
          <w:b/>
          <w:i/>
          <w:sz w:val="22"/>
          <w:szCs w:val="22"/>
          <w:lang w:val="fr-FR"/>
        </w:rPr>
        <w:t xml:space="preserve"> </w:t>
      </w:r>
      <w:proofErr w:type="spellStart"/>
      <w:r w:rsidRPr="00405281">
        <w:rPr>
          <w:rFonts w:ascii="Arial" w:hAnsi="Arial" w:cs="Arial"/>
          <w:b/>
          <w:i/>
          <w:sz w:val="22"/>
          <w:szCs w:val="22"/>
          <w:lang w:val="fr-FR"/>
        </w:rPr>
        <w:t>rufifrons</w:t>
      </w:r>
      <w:proofErr w:type="spellEnd"/>
      <w:r w:rsidRPr="00405281">
        <w:rPr>
          <w:rFonts w:ascii="Arial" w:hAnsi="Arial" w:cs="Arial"/>
          <w:b/>
          <w:sz w:val="22"/>
          <w:szCs w:val="22"/>
          <w:lang w:val="fr-FR"/>
        </w:rPr>
        <w:t>) ET MONFLON DE BARBARIE (</w:t>
      </w:r>
      <w:proofErr w:type="spellStart"/>
      <w:r w:rsidRPr="00405281">
        <w:rPr>
          <w:rFonts w:ascii="Arial" w:hAnsi="Arial" w:cs="Arial"/>
          <w:b/>
          <w:i/>
          <w:sz w:val="22"/>
          <w:szCs w:val="22"/>
          <w:lang w:val="fr-FR"/>
        </w:rPr>
        <w:t>ammotragus</w:t>
      </w:r>
      <w:proofErr w:type="spellEnd"/>
      <w:r w:rsidRPr="00405281">
        <w:rPr>
          <w:rFonts w:ascii="Arial" w:hAnsi="Arial" w:cs="Arial"/>
          <w:b/>
          <w:i/>
          <w:sz w:val="22"/>
          <w:szCs w:val="22"/>
          <w:lang w:val="fr-FR"/>
        </w:rPr>
        <w:t xml:space="preserve"> </w:t>
      </w:r>
      <w:proofErr w:type="spellStart"/>
      <w:r w:rsidRPr="00405281">
        <w:rPr>
          <w:rFonts w:ascii="Arial" w:hAnsi="Arial" w:cs="Arial"/>
          <w:b/>
          <w:i/>
          <w:sz w:val="22"/>
          <w:szCs w:val="22"/>
          <w:lang w:val="fr-FR"/>
        </w:rPr>
        <w:t>lervia</w:t>
      </w:r>
      <w:proofErr w:type="spellEnd"/>
      <w:r w:rsidRPr="00405281">
        <w:rPr>
          <w:rFonts w:ascii="Arial" w:hAnsi="Arial" w:cs="Arial"/>
          <w:b/>
          <w:sz w:val="22"/>
          <w:szCs w:val="22"/>
          <w:lang w:val="fr-FR"/>
        </w:rPr>
        <w:t>)</w:t>
      </w:r>
    </w:p>
    <w:p w14:paraId="5874B301" w14:textId="77777777" w:rsidR="00BC4E01" w:rsidRDefault="00BC4E01" w:rsidP="00405281">
      <w:pPr>
        <w:jc w:val="center"/>
        <w:rPr>
          <w:rFonts w:ascii="Arial" w:hAnsi="Arial" w:cs="Arial"/>
          <w:sz w:val="22"/>
          <w:szCs w:val="22"/>
          <w:lang w:val="fr-FR"/>
        </w:rPr>
      </w:pPr>
    </w:p>
    <w:p w14:paraId="0932BDEC" w14:textId="77777777" w:rsidR="00BC4E01" w:rsidRDefault="00BC4E01" w:rsidP="00ED70A0">
      <w:pPr>
        <w:rPr>
          <w:rFonts w:ascii="Arial" w:hAnsi="Arial" w:cs="Arial"/>
          <w:sz w:val="22"/>
          <w:szCs w:val="22"/>
          <w:lang w:val="fr-FR"/>
        </w:rPr>
      </w:pPr>
    </w:p>
    <w:p w14:paraId="77BA811D" w14:textId="10041F55" w:rsidR="00D82C56" w:rsidRPr="00405281" w:rsidRDefault="005D43E4" w:rsidP="00405281">
      <w:pPr>
        <w:jc w:val="center"/>
        <w:rPr>
          <w:rFonts w:ascii="Arial" w:hAnsi="Arial" w:cs="Arial"/>
          <w:sz w:val="22"/>
          <w:szCs w:val="22"/>
          <w:lang w:val="fr-FR"/>
        </w:rPr>
      </w:pPr>
      <w:r w:rsidRPr="00405281">
        <w:rPr>
          <w:rFonts w:ascii="Arial" w:hAnsi="Arial" w:cs="Arial"/>
          <w:sz w:val="22"/>
          <w:szCs w:val="22"/>
          <w:lang w:val="fr-FR"/>
        </w:rPr>
        <w:t>UNEP/CMS/COP13/Doc.</w:t>
      </w:r>
      <w:r w:rsidR="00405281" w:rsidRPr="00405281">
        <w:rPr>
          <w:rFonts w:ascii="Arial" w:hAnsi="Arial" w:cs="Arial"/>
          <w:sz w:val="22"/>
          <w:szCs w:val="22"/>
          <w:lang w:val="fr-FR"/>
        </w:rPr>
        <w:t>28.2.4</w:t>
      </w:r>
    </w:p>
    <w:p w14:paraId="48F82B79" w14:textId="77777777" w:rsidR="00D82C56" w:rsidRPr="00405281" w:rsidRDefault="00D82C56" w:rsidP="00E829C9">
      <w:pPr>
        <w:jc w:val="center"/>
        <w:rPr>
          <w:rFonts w:ascii="Arial" w:hAnsi="Arial" w:cs="Arial"/>
          <w:sz w:val="22"/>
          <w:szCs w:val="22"/>
          <w:lang w:val="fr-FR"/>
        </w:rPr>
      </w:pPr>
    </w:p>
    <w:p w14:paraId="25BD5BFE" w14:textId="2513B7F4" w:rsidR="00D82C56" w:rsidRDefault="005D43E4" w:rsidP="00405281">
      <w:pPr>
        <w:jc w:val="center"/>
        <w:rPr>
          <w:rFonts w:ascii="Arial" w:hAnsi="Arial" w:cs="Arial"/>
          <w:i/>
          <w:sz w:val="22"/>
          <w:szCs w:val="22"/>
          <w:lang w:val="fr-FR"/>
        </w:rPr>
      </w:pPr>
      <w:r w:rsidRPr="00A048E3">
        <w:rPr>
          <w:rFonts w:ascii="Arial" w:hAnsi="Arial" w:cs="Arial"/>
          <w:i/>
          <w:sz w:val="22"/>
          <w:szCs w:val="22"/>
          <w:lang w:val="fr-FR"/>
        </w:rPr>
        <w:t>(Pr</w:t>
      </w:r>
      <w:r w:rsidR="00405281">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405281">
        <w:rPr>
          <w:rFonts w:ascii="Arial" w:hAnsi="Arial" w:cs="Arial"/>
          <w:i/>
          <w:sz w:val="22"/>
          <w:szCs w:val="22"/>
          <w:lang w:val="fr-FR"/>
        </w:rPr>
        <w:t>le Groupe de travail sur les espèces terrestres)</w:t>
      </w:r>
    </w:p>
    <w:p w14:paraId="13E71D89" w14:textId="77777777" w:rsidR="00D82C56" w:rsidRPr="00A048E3" w:rsidRDefault="00D82C56" w:rsidP="00E829C9">
      <w:pPr>
        <w:rPr>
          <w:rFonts w:ascii="Arial" w:hAnsi="Arial" w:cs="Arial"/>
          <w:sz w:val="22"/>
          <w:szCs w:val="22"/>
          <w:lang w:val="fr-FR"/>
        </w:rPr>
      </w:pPr>
    </w:p>
    <w:p w14:paraId="2464D46F" w14:textId="77777777" w:rsidR="00D82C56" w:rsidRPr="00A048E3" w:rsidRDefault="00D82C56" w:rsidP="00E829C9">
      <w:pPr>
        <w:rPr>
          <w:rFonts w:ascii="Arial" w:hAnsi="Arial" w:cs="Arial"/>
          <w:sz w:val="22"/>
          <w:szCs w:val="22"/>
          <w:lang w:val="fr-FR"/>
        </w:rPr>
      </w:pPr>
    </w:p>
    <w:p w14:paraId="4B365AA0" w14:textId="739B2C80" w:rsidR="00D82C56" w:rsidRPr="00A048E3" w:rsidRDefault="00A048E3" w:rsidP="00E829C9">
      <w:pPr>
        <w:jc w:val="center"/>
        <w:rPr>
          <w:rFonts w:ascii="Arial" w:hAnsi="Arial" w:cs="Arial"/>
          <w:sz w:val="22"/>
          <w:szCs w:val="22"/>
          <w:lang w:val="fr-FR"/>
        </w:rPr>
      </w:pPr>
      <w:r>
        <w:rPr>
          <w:rFonts w:ascii="Arial" w:hAnsi="Arial" w:cs="Arial"/>
          <w:sz w:val="22"/>
          <w:szCs w:val="22"/>
          <w:lang w:val="fr-FR"/>
        </w:rPr>
        <w:t>PROJET D’</w:t>
      </w:r>
      <w:r w:rsidR="005D43E4" w:rsidRPr="00A048E3">
        <w:rPr>
          <w:rFonts w:ascii="Arial" w:hAnsi="Arial" w:cs="Arial"/>
          <w:sz w:val="22"/>
          <w:szCs w:val="22"/>
          <w:lang w:val="fr-FR"/>
        </w:rPr>
        <w:t>ACTION</w:t>
      </w:r>
      <w:r>
        <w:rPr>
          <w:rFonts w:ascii="Arial" w:hAnsi="Arial" w:cs="Arial"/>
          <w:sz w:val="22"/>
          <w:szCs w:val="22"/>
          <w:lang w:val="fr-FR"/>
        </w:rPr>
        <w:t xml:space="preserve"> CONCERTÉE</w:t>
      </w:r>
    </w:p>
    <w:p w14:paraId="7F3F7DB8" w14:textId="77777777" w:rsidR="00D82C56" w:rsidRPr="00A048E3" w:rsidRDefault="00D82C56">
      <w:pPr>
        <w:rPr>
          <w:rFonts w:ascii="Arial" w:hAnsi="Arial" w:cs="Arial"/>
          <w:sz w:val="22"/>
          <w:szCs w:val="22"/>
          <w:lang w:val="fr-FR"/>
        </w:rPr>
      </w:pPr>
    </w:p>
    <w:p w14:paraId="41C6F4A1" w14:textId="505EB7C3" w:rsidR="00D82C56" w:rsidRPr="00405281" w:rsidRDefault="00405281" w:rsidP="00405281">
      <w:pPr>
        <w:jc w:val="center"/>
        <w:rPr>
          <w:rFonts w:ascii="Arial" w:hAnsi="Arial" w:cs="Arial"/>
          <w:b/>
          <w:bCs/>
          <w:sz w:val="22"/>
          <w:szCs w:val="22"/>
          <w:lang w:val="fr-FR"/>
        </w:rPr>
      </w:pPr>
      <w:r w:rsidRPr="00405281">
        <w:rPr>
          <w:rFonts w:ascii="Arial" w:hAnsi="Arial" w:cs="Arial"/>
          <w:b/>
          <w:bCs/>
          <w:sz w:val="22"/>
          <w:szCs w:val="22"/>
          <w:lang w:val="fr-FR"/>
        </w:rPr>
        <w:t xml:space="preserve">ACTION CONCERTÉE POUR LA </w:t>
      </w:r>
      <w:r w:rsidR="00BC4E01">
        <w:rPr>
          <w:rFonts w:ascii="Arial" w:hAnsi="Arial" w:cs="Arial"/>
          <w:b/>
          <w:bCs/>
          <w:sz w:val="22"/>
          <w:szCs w:val="22"/>
          <w:lang w:val="fr-FR"/>
        </w:rPr>
        <w:t>MÉGA</w:t>
      </w:r>
      <w:r w:rsidRPr="00405281">
        <w:rPr>
          <w:rFonts w:ascii="Arial" w:hAnsi="Arial" w:cs="Arial"/>
          <w:b/>
          <w:bCs/>
          <w:sz w:val="22"/>
          <w:szCs w:val="22"/>
          <w:lang w:val="fr-FR"/>
        </w:rPr>
        <w:t>FAUNE SAHÉLO-SAHARIENNE</w:t>
      </w:r>
    </w:p>
    <w:p w14:paraId="08A396D7" w14:textId="77777777" w:rsidR="00D82C56" w:rsidRPr="00A048E3" w:rsidRDefault="00D82C56">
      <w:pPr>
        <w:rPr>
          <w:rFonts w:ascii="Arial" w:hAnsi="Arial" w:cs="Arial"/>
          <w:sz w:val="22"/>
          <w:szCs w:val="22"/>
          <w:lang w:val="fr-FR"/>
        </w:rPr>
      </w:pPr>
    </w:p>
    <w:p w14:paraId="7E12E92E" w14:textId="77777777" w:rsidR="00405281" w:rsidRDefault="00405281" w:rsidP="00405281">
      <w:pPr>
        <w:pBdr>
          <w:top w:val="single" w:sz="6" w:space="0" w:color="FFFFFF"/>
          <w:left w:val="single" w:sz="6" w:space="0" w:color="FFFFFF"/>
          <w:bottom w:val="single" w:sz="6" w:space="0" w:color="FFFFFF"/>
          <w:right w:val="single" w:sz="6" w:space="0" w:color="FFFFFF"/>
        </w:pBdr>
        <w:jc w:val="both"/>
        <w:outlineLvl w:val="1"/>
        <w:rPr>
          <w:szCs w:val="22"/>
          <w:lang w:val="fr-FR"/>
        </w:rPr>
      </w:pPr>
    </w:p>
    <w:p w14:paraId="368887D1" w14:textId="77777777" w:rsidR="00405281" w:rsidRPr="00405281" w:rsidRDefault="00405281" w:rsidP="00405281">
      <w:pPr>
        <w:numPr>
          <w:ilvl w:val="0"/>
          <w:numId w:val="1"/>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405281">
        <w:rPr>
          <w:rFonts w:ascii="Arial" w:hAnsi="Arial" w:cs="Arial"/>
          <w:b/>
          <w:sz w:val="22"/>
          <w:szCs w:val="22"/>
          <w:lang w:val="fr-FR"/>
        </w:rPr>
        <w:t>Auteur de la proposition :</w:t>
      </w:r>
      <w:r w:rsidRPr="00405281">
        <w:rPr>
          <w:rFonts w:ascii="Arial" w:hAnsi="Arial" w:cs="Arial"/>
          <w:sz w:val="22"/>
          <w:szCs w:val="22"/>
          <w:lang w:val="fr-FR"/>
        </w:rPr>
        <w:t xml:space="preserve"> </w:t>
      </w:r>
    </w:p>
    <w:p w14:paraId="2ECF2B61"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bookmarkStart w:id="0" w:name="_GoBack"/>
      <w:bookmarkEnd w:id="0"/>
    </w:p>
    <w:p w14:paraId="5CBFE288"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Secrétariat de la CMS</w:t>
      </w:r>
      <w:r w:rsidRPr="00405281">
        <w:rPr>
          <w:rFonts w:ascii="Arial" w:hAnsi="Arial" w:cs="Arial"/>
          <w:sz w:val="22"/>
          <w:szCs w:val="22"/>
          <w:vertAlign w:val="superscript"/>
          <w:lang w:val="en-GB"/>
        </w:rPr>
        <w:footnoteReference w:id="1"/>
      </w:r>
    </w:p>
    <w:p w14:paraId="48626162"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013ECE9D" w14:textId="77777777" w:rsidR="00405281" w:rsidRPr="00405281" w:rsidRDefault="00405281" w:rsidP="00405281">
      <w:pPr>
        <w:numPr>
          <w:ilvl w:val="0"/>
          <w:numId w:val="1"/>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405281">
        <w:rPr>
          <w:rFonts w:ascii="Arial" w:hAnsi="Arial" w:cs="Arial"/>
          <w:b/>
          <w:sz w:val="22"/>
          <w:szCs w:val="22"/>
          <w:lang w:val="fr-FR"/>
        </w:rPr>
        <w:t>Espèces cibles, taxon ou population inférieurs ou groupe de taxons ayant des besoins communs :</w:t>
      </w:r>
      <w:r w:rsidRPr="00405281">
        <w:rPr>
          <w:rFonts w:ascii="Arial" w:hAnsi="Arial" w:cs="Arial"/>
          <w:sz w:val="22"/>
          <w:szCs w:val="22"/>
          <w:lang w:val="fr-FR"/>
        </w:rPr>
        <w:t xml:space="preserve"> </w:t>
      </w:r>
    </w:p>
    <w:p w14:paraId="618900A0"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5FE9DEAE"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Historiquement, l’Action concertée pour la mégafaune sahélo-saharienne couvrait les six espèces suivantes : oryx algazelle (</w:t>
      </w:r>
      <w:r w:rsidRPr="00405281">
        <w:rPr>
          <w:rFonts w:ascii="Arial" w:hAnsi="Arial" w:cs="Arial"/>
          <w:i/>
          <w:sz w:val="22"/>
          <w:szCs w:val="22"/>
          <w:lang w:val="fr-FR"/>
        </w:rPr>
        <w:t xml:space="preserve">oryx </w:t>
      </w:r>
      <w:proofErr w:type="spellStart"/>
      <w:r w:rsidRPr="00405281">
        <w:rPr>
          <w:rFonts w:ascii="Arial" w:hAnsi="Arial" w:cs="Arial"/>
          <w:i/>
          <w:sz w:val="22"/>
          <w:szCs w:val="22"/>
          <w:lang w:val="fr-FR"/>
        </w:rPr>
        <w:t>dammah</w:t>
      </w:r>
      <w:proofErr w:type="spellEnd"/>
      <w:r w:rsidRPr="00405281">
        <w:rPr>
          <w:rFonts w:ascii="Arial" w:hAnsi="Arial" w:cs="Arial"/>
          <w:sz w:val="22"/>
          <w:szCs w:val="22"/>
          <w:lang w:val="fr-FR"/>
        </w:rPr>
        <w:t>), addax (</w:t>
      </w:r>
      <w:r w:rsidRPr="00405281">
        <w:rPr>
          <w:rFonts w:ascii="Arial" w:hAnsi="Arial" w:cs="Arial"/>
          <w:i/>
          <w:sz w:val="22"/>
          <w:szCs w:val="22"/>
          <w:lang w:val="fr-FR"/>
        </w:rPr>
        <w:t xml:space="preserve">addax </w:t>
      </w:r>
      <w:proofErr w:type="spellStart"/>
      <w:r w:rsidRPr="00405281">
        <w:rPr>
          <w:rFonts w:ascii="Arial" w:hAnsi="Arial" w:cs="Arial"/>
          <w:i/>
          <w:sz w:val="22"/>
          <w:szCs w:val="22"/>
          <w:lang w:val="fr-FR"/>
        </w:rPr>
        <w:t>nasomaculatus</w:t>
      </w:r>
      <w:proofErr w:type="spellEnd"/>
      <w:r w:rsidRPr="00405281">
        <w:rPr>
          <w:rFonts w:ascii="Arial" w:hAnsi="Arial" w:cs="Arial"/>
          <w:sz w:val="22"/>
          <w:szCs w:val="22"/>
          <w:lang w:val="fr-FR"/>
        </w:rPr>
        <w:t xml:space="preserve">), gazelle dama </w:t>
      </w:r>
      <w:r w:rsidRPr="00405281">
        <w:rPr>
          <w:rFonts w:ascii="Arial" w:hAnsi="Arial" w:cs="Arial"/>
          <w:i/>
          <w:sz w:val="22"/>
          <w:szCs w:val="22"/>
          <w:lang w:val="fr-FR"/>
        </w:rPr>
        <w:t>(</w:t>
      </w:r>
      <w:proofErr w:type="spellStart"/>
      <w:r w:rsidRPr="00405281">
        <w:rPr>
          <w:rFonts w:ascii="Arial" w:hAnsi="Arial" w:cs="Arial"/>
          <w:i/>
          <w:sz w:val="22"/>
          <w:szCs w:val="22"/>
          <w:lang w:val="fr-FR"/>
        </w:rPr>
        <w:t>nanger</w:t>
      </w:r>
      <w:proofErr w:type="spellEnd"/>
      <w:r w:rsidRPr="00405281">
        <w:rPr>
          <w:rFonts w:ascii="Arial" w:hAnsi="Arial" w:cs="Arial"/>
          <w:i/>
          <w:sz w:val="22"/>
          <w:szCs w:val="22"/>
          <w:lang w:val="fr-FR"/>
        </w:rPr>
        <w:t xml:space="preserve"> dama</w:t>
      </w:r>
      <w:r w:rsidRPr="00405281">
        <w:rPr>
          <w:rFonts w:ascii="Arial" w:hAnsi="Arial" w:cs="Arial"/>
          <w:sz w:val="22"/>
          <w:szCs w:val="22"/>
          <w:lang w:val="fr-FR"/>
        </w:rPr>
        <w:t xml:space="preserve">), gazelle </w:t>
      </w:r>
      <w:proofErr w:type="spellStart"/>
      <w:r w:rsidRPr="00405281">
        <w:rPr>
          <w:rFonts w:ascii="Arial" w:hAnsi="Arial" w:cs="Arial"/>
          <w:sz w:val="22"/>
          <w:szCs w:val="22"/>
          <w:lang w:val="fr-FR"/>
        </w:rPr>
        <w:t>leptocère</w:t>
      </w:r>
      <w:proofErr w:type="spellEnd"/>
      <w:r w:rsidRPr="00405281">
        <w:rPr>
          <w:rFonts w:ascii="Arial" w:hAnsi="Arial" w:cs="Arial"/>
          <w:sz w:val="22"/>
          <w:szCs w:val="22"/>
          <w:lang w:val="fr-FR"/>
        </w:rPr>
        <w:t xml:space="preserve"> (</w:t>
      </w:r>
      <w:proofErr w:type="spellStart"/>
      <w:r w:rsidRPr="00405281">
        <w:rPr>
          <w:rFonts w:ascii="Arial" w:hAnsi="Arial" w:cs="Arial"/>
          <w:i/>
          <w:sz w:val="22"/>
          <w:szCs w:val="22"/>
          <w:lang w:val="fr-FR"/>
        </w:rPr>
        <w:t>gazella</w:t>
      </w:r>
      <w:proofErr w:type="spellEnd"/>
      <w:r w:rsidRPr="00405281">
        <w:rPr>
          <w:rFonts w:ascii="Arial" w:hAnsi="Arial" w:cs="Arial"/>
          <w:i/>
          <w:sz w:val="22"/>
          <w:szCs w:val="22"/>
          <w:lang w:val="fr-FR"/>
        </w:rPr>
        <w:t xml:space="preserve"> </w:t>
      </w:r>
      <w:proofErr w:type="spellStart"/>
      <w:r w:rsidRPr="00405281">
        <w:rPr>
          <w:rFonts w:ascii="Arial" w:hAnsi="Arial" w:cs="Arial"/>
          <w:i/>
          <w:sz w:val="22"/>
          <w:szCs w:val="22"/>
          <w:lang w:val="fr-FR"/>
        </w:rPr>
        <w:t>leptoceros</w:t>
      </w:r>
      <w:proofErr w:type="spellEnd"/>
      <w:r w:rsidRPr="00405281">
        <w:rPr>
          <w:rFonts w:ascii="Arial" w:hAnsi="Arial" w:cs="Arial"/>
          <w:sz w:val="22"/>
          <w:szCs w:val="22"/>
          <w:lang w:val="fr-FR"/>
        </w:rPr>
        <w:t>), gazelle de Cuvier (</w:t>
      </w:r>
      <w:proofErr w:type="spellStart"/>
      <w:r w:rsidRPr="00405281">
        <w:rPr>
          <w:rFonts w:ascii="Arial" w:hAnsi="Arial" w:cs="Arial"/>
          <w:i/>
          <w:sz w:val="22"/>
          <w:szCs w:val="22"/>
          <w:lang w:val="fr-FR"/>
        </w:rPr>
        <w:t>gazella</w:t>
      </w:r>
      <w:proofErr w:type="spellEnd"/>
      <w:r w:rsidRPr="00405281">
        <w:rPr>
          <w:rFonts w:ascii="Arial" w:hAnsi="Arial" w:cs="Arial"/>
          <w:i/>
          <w:sz w:val="22"/>
          <w:szCs w:val="22"/>
          <w:lang w:val="fr-FR"/>
        </w:rPr>
        <w:t xml:space="preserve"> </w:t>
      </w:r>
      <w:proofErr w:type="spellStart"/>
      <w:r w:rsidRPr="00405281">
        <w:rPr>
          <w:rFonts w:ascii="Arial" w:hAnsi="Arial" w:cs="Arial"/>
          <w:i/>
          <w:sz w:val="22"/>
          <w:szCs w:val="22"/>
          <w:lang w:val="fr-FR"/>
        </w:rPr>
        <w:t>cuvieri</w:t>
      </w:r>
      <w:proofErr w:type="spellEnd"/>
      <w:r w:rsidRPr="00405281">
        <w:rPr>
          <w:rFonts w:ascii="Arial" w:hAnsi="Arial" w:cs="Arial"/>
          <w:i/>
          <w:sz w:val="22"/>
          <w:szCs w:val="22"/>
          <w:lang w:val="fr-FR"/>
        </w:rPr>
        <w:t>)</w:t>
      </w:r>
      <w:r w:rsidRPr="00405281">
        <w:rPr>
          <w:rFonts w:ascii="Arial" w:hAnsi="Arial" w:cs="Arial"/>
          <w:sz w:val="22"/>
          <w:szCs w:val="22"/>
          <w:lang w:val="fr-FR"/>
        </w:rPr>
        <w:t xml:space="preserve"> et gazelle dorcas (</w:t>
      </w:r>
      <w:proofErr w:type="spellStart"/>
      <w:r w:rsidRPr="00405281">
        <w:rPr>
          <w:rFonts w:ascii="Arial" w:hAnsi="Arial" w:cs="Arial"/>
          <w:i/>
          <w:sz w:val="22"/>
          <w:szCs w:val="22"/>
          <w:lang w:val="fr-FR"/>
        </w:rPr>
        <w:t>gazella</w:t>
      </w:r>
      <w:proofErr w:type="spellEnd"/>
      <w:r w:rsidRPr="00405281">
        <w:rPr>
          <w:rFonts w:ascii="Arial" w:hAnsi="Arial" w:cs="Arial"/>
          <w:i/>
          <w:sz w:val="22"/>
          <w:szCs w:val="22"/>
          <w:lang w:val="fr-FR"/>
        </w:rPr>
        <w:t xml:space="preserve"> dorcas</w:t>
      </w:r>
      <w:r w:rsidRPr="00405281">
        <w:rPr>
          <w:rFonts w:ascii="Arial" w:hAnsi="Arial" w:cs="Arial"/>
          <w:sz w:val="22"/>
          <w:szCs w:val="22"/>
          <w:lang w:val="fr-FR"/>
        </w:rPr>
        <w:t>)</w:t>
      </w:r>
      <w:r w:rsidRPr="00405281">
        <w:rPr>
          <w:rStyle w:val="Heading7Char"/>
          <w:rFonts w:eastAsia="Calibri" w:cs="Arial"/>
          <w:sz w:val="22"/>
          <w:szCs w:val="22"/>
          <w:vertAlign w:val="superscript"/>
          <w:lang w:val="fr-FR"/>
        </w:rPr>
        <w:t xml:space="preserve"> </w:t>
      </w:r>
      <w:r w:rsidRPr="00405281">
        <w:rPr>
          <w:rStyle w:val="FootnoteReference"/>
          <w:rFonts w:ascii="Arial" w:hAnsi="Arial" w:cs="Arial"/>
          <w:sz w:val="22"/>
          <w:szCs w:val="22"/>
          <w:vertAlign w:val="superscript"/>
        </w:rPr>
        <w:footnoteReference w:id="2"/>
      </w:r>
      <w:r w:rsidRPr="00405281">
        <w:rPr>
          <w:rFonts w:ascii="Arial" w:hAnsi="Arial" w:cs="Arial"/>
          <w:sz w:val="22"/>
          <w:szCs w:val="22"/>
          <w:lang w:val="fr-FR"/>
        </w:rPr>
        <w:t xml:space="preserve">. </w:t>
      </w:r>
    </w:p>
    <w:p w14:paraId="2A109560"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593F4762"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Compte tenu du chevauchement des aires de répartition de ces six espèces, il est recommandé d’inclure deux espèces supplémentaires</w:t>
      </w:r>
      <w:r w:rsidRPr="00405281">
        <w:rPr>
          <w:rFonts w:ascii="Arial" w:hAnsi="Arial" w:cs="Arial"/>
          <w:sz w:val="22"/>
          <w:szCs w:val="22"/>
          <w:vertAlign w:val="superscript"/>
          <w:lang w:val="en-GB"/>
        </w:rPr>
        <w:footnoteReference w:id="3"/>
      </w:r>
      <w:r w:rsidRPr="00405281">
        <w:rPr>
          <w:rFonts w:ascii="Arial" w:hAnsi="Arial" w:cs="Arial"/>
          <w:sz w:val="22"/>
          <w:szCs w:val="22"/>
          <w:lang w:val="fr-FR"/>
        </w:rPr>
        <w:t> : gazelle à front roux (</w:t>
      </w:r>
      <w:proofErr w:type="spellStart"/>
      <w:r w:rsidRPr="00405281">
        <w:rPr>
          <w:rFonts w:ascii="Arial" w:hAnsi="Arial" w:cs="Arial"/>
          <w:i/>
          <w:sz w:val="22"/>
          <w:szCs w:val="22"/>
          <w:lang w:val="fr-FR"/>
        </w:rPr>
        <w:t>eurdorcas</w:t>
      </w:r>
      <w:proofErr w:type="spellEnd"/>
      <w:r w:rsidRPr="00405281">
        <w:rPr>
          <w:rFonts w:ascii="Arial" w:hAnsi="Arial" w:cs="Arial"/>
          <w:i/>
          <w:sz w:val="22"/>
          <w:szCs w:val="22"/>
          <w:lang w:val="fr-FR"/>
        </w:rPr>
        <w:t xml:space="preserve"> </w:t>
      </w:r>
      <w:proofErr w:type="spellStart"/>
      <w:r w:rsidRPr="00405281">
        <w:rPr>
          <w:rFonts w:ascii="Arial" w:hAnsi="Arial" w:cs="Arial"/>
          <w:i/>
          <w:sz w:val="22"/>
          <w:szCs w:val="22"/>
          <w:lang w:val="fr-FR"/>
        </w:rPr>
        <w:t>rufifrons</w:t>
      </w:r>
      <w:proofErr w:type="spellEnd"/>
      <w:r w:rsidRPr="00405281">
        <w:rPr>
          <w:rFonts w:ascii="Arial" w:hAnsi="Arial" w:cs="Arial"/>
          <w:sz w:val="22"/>
          <w:szCs w:val="22"/>
          <w:lang w:val="fr-FR"/>
        </w:rPr>
        <w:t>)</w:t>
      </w:r>
      <w:r w:rsidRPr="00405281">
        <w:rPr>
          <w:rFonts w:ascii="Arial" w:hAnsi="Arial" w:cs="Arial"/>
          <w:sz w:val="22"/>
          <w:szCs w:val="22"/>
          <w:vertAlign w:val="superscript"/>
          <w:lang w:val="en-GB"/>
        </w:rPr>
        <w:footnoteReference w:id="4"/>
      </w:r>
      <w:r w:rsidRPr="00405281">
        <w:rPr>
          <w:rFonts w:ascii="Arial" w:hAnsi="Arial" w:cs="Arial"/>
          <w:sz w:val="22"/>
          <w:szCs w:val="22"/>
          <w:lang w:val="fr-FR"/>
        </w:rPr>
        <w:t xml:space="preserve"> et mouflon de Barbarie (</w:t>
      </w:r>
      <w:proofErr w:type="spellStart"/>
      <w:r w:rsidRPr="00405281">
        <w:rPr>
          <w:rFonts w:ascii="Arial" w:hAnsi="Arial" w:cs="Arial"/>
          <w:i/>
          <w:sz w:val="22"/>
          <w:szCs w:val="22"/>
          <w:lang w:val="fr-FR"/>
        </w:rPr>
        <w:t>ammotragus</w:t>
      </w:r>
      <w:proofErr w:type="spellEnd"/>
      <w:r w:rsidRPr="00405281">
        <w:rPr>
          <w:rFonts w:ascii="Arial" w:hAnsi="Arial" w:cs="Arial"/>
          <w:i/>
          <w:sz w:val="22"/>
          <w:szCs w:val="22"/>
          <w:lang w:val="fr-FR"/>
        </w:rPr>
        <w:t xml:space="preserve"> </w:t>
      </w:r>
      <w:proofErr w:type="spellStart"/>
      <w:r w:rsidRPr="00405281">
        <w:rPr>
          <w:rFonts w:ascii="Arial" w:hAnsi="Arial" w:cs="Arial"/>
          <w:i/>
          <w:sz w:val="22"/>
          <w:szCs w:val="22"/>
          <w:lang w:val="fr-FR"/>
        </w:rPr>
        <w:t>lervia</w:t>
      </w:r>
      <w:proofErr w:type="spellEnd"/>
      <w:r w:rsidRPr="00405281">
        <w:rPr>
          <w:rFonts w:ascii="Arial" w:hAnsi="Arial" w:cs="Arial"/>
          <w:sz w:val="22"/>
          <w:szCs w:val="22"/>
          <w:lang w:val="fr-FR"/>
        </w:rPr>
        <w:t>)</w:t>
      </w:r>
      <w:r w:rsidRPr="00405281">
        <w:rPr>
          <w:rFonts w:ascii="Arial" w:hAnsi="Arial" w:cs="Arial"/>
          <w:sz w:val="22"/>
          <w:szCs w:val="22"/>
          <w:vertAlign w:val="superscript"/>
          <w:lang w:val="en-GB"/>
        </w:rPr>
        <w:footnoteReference w:id="5"/>
      </w:r>
      <w:r w:rsidRPr="00405281">
        <w:rPr>
          <w:rFonts w:ascii="Arial" w:hAnsi="Arial" w:cs="Arial"/>
          <w:sz w:val="22"/>
          <w:szCs w:val="22"/>
          <w:lang w:val="fr-FR"/>
        </w:rPr>
        <w:t>.</w:t>
      </w:r>
    </w:p>
    <w:p w14:paraId="6BA26DB0"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5156F924"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Cet ajout sera conforme à la vision de l’Action concertée, qui a pour but, à terme, de couvrir tous les grands mammifères migrateurs menacés des déserts tempérés et froids, des semi-déserts, des steppes et des montagnes associées de la région sahélo-saharienne</w:t>
      </w:r>
      <w:r w:rsidRPr="00405281">
        <w:rPr>
          <w:rFonts w:ascii="Arial" w:hAnsi="Arial" w:cs="Arial"/>
          <w:sz w:val="22"/>
          <w:szCs w:val="22"/>
          <w:vertAlign w:val="superscript"/>
          <w:lang w:val="en-GB"/>
        </w:rPr>
        <w:footnoteReference w:id="6"/>
      </w:r>
      <w:r w:rsidRPr="00405281">
        <w:rPr>
          <w:rFonts w:ascii="Arial" w:hAnsi="Arial" w:cs="Arial"/>
          <w:sz w:val="22"/>
          <w:szCs w:val="22"/>
          <w:lang w:val="fr-FR"/>
        </w:rPr>
        <w:t>.</w:t>
      </w:r>
    </w:p>
    <w:p w14:paraId="10A0ABD4"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7EEC9E02" w14:textId="77777777" w:rsidR="00405281" w:rsidRPr="00405281" w:rsidRDefault="00405281" w:rsidP="00405281">
      <w:pPr>
        <w:numPr>
          <w:ilvl w:val="0"/>
          <w:numId w:val="1"/>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405281">
        <w:rPr>
          <w:rFonts w:ascii="Arial" w:hAnsi="Arial" w:cs="Arial"/>
          <w:b/>
          <w:sz w:val="22"/>
          <w:szCs w:val="22"/>
          <w:lang w:val="fr-FR"/>
        </w:rPr>
        <w:t>Aire géographique :</w:t>
      </w:r>
      <w:r w:rsidRPr="00405281">
        <w:rPr>
          <w:rFonts w:ascii="Arial" w:hAnsi="Arial" w:cs="Arial"/>
          <w:sz w:val="22"/>
          <w:szCs w:val="22"/>
          <w:lang w:val="fr-FR"/>
        </w:rPr>
        <w:t xml:space="preserve"> </w:t>
      </w:r>
    </w:p>
    <w:p w14:paraId="5676A331"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205F815E"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Les États de l’aire de répartition de l’Action concertée sont les suivants : Algérie, Burkina Faso, Égypte, Érythrée, Éthiopie, Libye, Mali, Maroc, Mauritanie, Niger, Nigeria, Sénégal, Soudan, Soudan du Sud, Tchad et Tunisie. </w:t>
      </w:r>
    </w:p>
    <w:p w14:paraId="4B5BC18E" w14:textId="1A1D392F" w:rsidR="00405281" w:rsidRPr="00405281" w:rsidRDefault="000D356C"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Pr>
          <w:rFonts w:ascii="Arial" w:hAnsi="Arial" w:cs="Arial"/>
          <w:sz w:val="22"/>
          <w:szCs w:val="22"/>
          <w:lang w:val="fr-FR"/>
        </w:rPr>
        <w:br w:type="page"/>
      </w:r>
    </w:p>
    <w:p w14:paraId="1E1F4990" w14:textId="77777777" w:rsidR="00405281" w:rsidRPr="00405281" w:rsidRDefault="00405281" w:rsidP="00405281">
      <w:pPr>
        <w:numPr>
          <w:ilvl w:val="0"/>
          <w:numId w:val="1"/>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405281">
        <w:rPr>
          <w:rFonts w:ascii="Arial" w:hAnsi="Arial" w:cs="Arial"/>
          <w:b/>
          <w:sz w:val="22"/>
          <w:szCs w:val="22"/>
          <w:lang w:val="fr-FR"/>
        </w:rPr>
        <w:lastRenderedPageBreak/>
        <w:t>Résumé des activités :</w:t>
      </w:r>
      <w:r w:rsidRPr="00405281">
        <w:rPr>
          <w:rFonts w:ascii="Arial" w:hAnsi="Arial" w:cs="Arial"/>
          <w:sz w:val="22"/>
          <w:szCs w:val="22"/>
          <w:lang w:val="fr-FR"/>
        </w:rPr>
        <w:t xml:space="preserve"> </w:t>
      </w:r>
    </w:p>
    <w:p w14:paraId="3155C9B8"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4328585B"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La présente proposition vise à renouveler l’Action concertée pour la mégafaune sahélo-saharienne dans le nouveau cadre des Actions concertées établi par la Résolution 12.28 sur les </w:t>
      </w:r>
      <w:r w:rsidRPr="00405281">
        <w:rPr>
          <w:rFonts w:ascii="Arial" w:hAnsi="Arial" w:cs="Arial"/>
          <w:i/>
          <w:sz w:val="22"/>
          <w:szCs w:val="22"/>
          <w:lang w:val="fr-FR"/>
        </w:rPr>
        <w:t>Actions concertées</w:t>
      </w:r>
      <w:r w:rsidRPr="00405281">
        <w:rPr>
          <w:rFonts w:ascii="Arial" w:hAnsi="Arial" w:cs="Arial"/>
          <w:sz w:val="22"/>
          <w:szCs w:val="22"/>
          <w:lang w:val="fr-FR"/>
        </w:rPr>
        <w:t xml:space="preserve">. L’Action concertée pour la mégafaune sahélo-saharienne a été d’abord créée en 1994 sous le nom d’Action concertée pour les ongulés sahélo-sahariens. Elle a ensuite été reformulée en Action concertée pour la mégafaune sahélo-saharienne par la </w:t>
      </w:r>
      <w:hyperlink r:id="rId7" w:history="1">
        <w:r w:rsidRPr="00405281">
          <w:rPr>
            <w:rStyle w:val="Hyperlink"/>
            <w:rFonts w:ascii="Arial" w:hAnsi="Arial" w:cs="Arial"/>
            <w:sz w:val="22"/>
            <w:szCs w:val="22"/>
            <w:lang w:val="fr-FR"/>
          </w:rPr>
          <w:t>Recommandation 9.2</w:t>
        </w:r>
      </w:hyperlink>
      <w:r w:rsidRPr="00405281">
        <w:rPr>
          <w:rFonts w:ascii="Arial" w:hAnsi="Arial" w:cs="Arial"/>
          <w:sz w:val="22"/>
          <w:szCs w:val="22"/>
          <w:lang w:val="fr-FR"/>
        </w:rPr>
        <w:t xml:space="preserve"> de la neuvième Réunion de la Conférence des Parties à la CMS (COP9) qui s’est tenue à Rome en 2008 (voir annexe I pour l’historique de l’Action concertée pour la mégafaune sahélo-saharienne). Les activités au titre de l’Action concertée seront poursuivies pour maintenir et restaurer les espèces de la mégafaune sahélo-saharienne. </w:t>
      </w:r>
    </w:p>
    <w:p w14:paraId="7DD283F4"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101D333C"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Le détail des activités prévues pour la période intersessions 2020-2023 est présenté à la section (i). </w:t>
      </w:r>
    </w:p>
    <w:p w14:paraId="6F1D0CB7"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487DCB88" w14:textId="77777777" w:rsidR="00405281" w:rsidRPr="00405281" w:rsidRDefault="00405281" w:rsidP="00405281">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405281">
        <w:rPr>
          <w:rFonts w:ascii="Arial" w:hAnsi="Arial" w:cs="Arial"/>
          <w:b/>
          <w:sz w:val="22"/>
          <w:szCs w:val="22"/>
          <w:lang w:val="fr-FR"/>
        </w:rPr>
        <w:t xml:space="preserve"> Activités et résultats attendus :</w:t>
      </w:r>
      <w:r w:rsidRPr="00405281">
        <w:rPr>
          <w:rFonts w:ascii="Arial" w:hAnsi="Arial" w:cs="Arial"/>
          <w:sz w:val="22"/>
          <w:szCs w:val="22"/>
          <w:lang w:val="fr-FR"/>
        </w:rPr>
        <w:t xml:space="preserve"> </w:t>
      </w:r>
    </w:p>
    <w:p w14:paraId="1CF5EE69"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21C7E8FF"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lang w:val="fr-FR"/>
        </w:rPr>
      </w:pPr>
      <w:r w:rsidRPr="00405281">
        <w:rPr>
          <w:rFonts w:ascii="Arial" w:hAnsi="Arial" w:cs="Arial"/>
          <w:b/>
          <w:sz w:val="22"/>
          <w:szCs w:val="22"/>
          <w:lang w:val="fr-FR"/>
        </w:rPr>
        <w:t xml:space="preserve">A. Résultat global attendu </w:t>
      </w:r>
    </w:p>
    <w:p w14:paraId="0D42309E"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3F4FD6CB"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Maintenir et restaurer la mégafaune sahélo-saharienne et ses habitats par des actions régionales coordonnées. </w:t>
      </w:r>
    </w:p>
    <w:p w14:paraId="74F008D4"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378F9A1D"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lang w:val="fr-FR"/>
        </w:rPr>
      </w:pPr>
      <w:r w:rsidRPr="00405281">
        <w:rPr>
          <w:rFonts w:ascii="Arial" w:hAnsi="Arial" w:cs="Arial"/>
          <w:b/>
          <w:sz w:val="22"/>
          <w:szCs w:val="22"/>
          <w:lang w:val="fr-FR"/>
        </w:rPr>
        <w:t>B. Activités proposées</w:t>
      </w:r>
    </w:p>
    <w:p w14:paraId="1B180FFF"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lang w:val="fr-FR"/>
        </w:rPr>
      </w:pPr>
    </w:p>
    <w:p w14:paraId="052A6BBA"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Au cours de la période 2020-2023, les activités ci-après sont proposées :</w:t>
      </w:r>
    </w:p>
    <w:p w14:paraId="477379FD"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341BBA53" w14:textId="77777777" w:rsidR="00405281" w:rsidRPr="00405281" w:rsidRDefault="00405281" w:rsidP="00405281">
      <w:pPr>
        <w:numPr>
          <w:ilvl w:val="0"/>
          <w:numId w:val="3"/>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bookmarkStart w:id="1" w:name="_Hlk19538540"/>
      <w:r w:rsidRPr="00405281">
        <w:rPr>
          <w:rFonts w:ascii="Arial" w:hAnsi="Arial" w:cs="Arial"/>
          <w:sz w:val="22"/>
          <w:szCs w:val="22"/>
          <w:lang w:val="fr-FR"/>
        </w:rPr>
        <w:t>Dresser le bilan des activités passées et des activités en cours dans la région en matière de conservation de la mégafaune sahélo-saharienne et de ses habitats ;</w:t>
      </w:r>
    </w:p>
    <w:p w14:paraId="26C7CCB5" w14:textId="77777777" w:rsidR="00405281" w:rsidRPr="00405281" w:rsidRDefault="00405281" w:rsidP="00405281">
      <w:pPr>
        <w:numPr>
          <w:ilvl w:val="0"/>
          <w:numId w:val="3"/>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 xml:space="preserve">Préparer un Plan d’action actualisé pour la mégafaune sahélo-saharienne ; </w:t>
      </w:r>
    </w:p>
    <w:p w14:paraId="5A050B54" w14:textId="77777777" w:rsidR="00405281" w:rsidRPr="00405281" w:rsidRDefault="00405281" w:rsidP="00405281">
      <w:pPr>
        <w:numPr>
          <w:ilvl w:val="0"/>
          <w:numId w:val="3"/>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Organiser un troisième séminaire régional sur la conservation et la restauration de la mégafaune sahélo-saharienne ;</w:t>
      </w:r>
    </w:p>
    <w:p w14:paraId="0E906B9D" w14:textId="77777777" w:rsidR="00405281" w:rsidRPr="00405281" w:rsidRDefault="00405281" w:rsidP="00405281">
      <w:pPr>
        <w:numPr>
          <w:ilvl w:val="0"/>
          <w:numId w:val="3"/>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Renforcer les partenariats avec les organisations internationales ou régionales pertinentes et avec les accords multilatéraux sur l’environnement ;</w:t>
      </w:r>
    </w:p>
    <w:p w14:paraId="557D0E32" w14:textId="77777777" w:rsidR="00405281" w:rsidRPr="00405281" w:rsidRDefault="00405281" w:rsidP="00405281">
      <w:pPr>
        <w:numPr>
          <w:ilvl w:val="0"/>
          <w:numId w:val="3"/>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Fournir un appui technique aux États de l’aire de répartition pour la mise en œuvre du Plan d’action actualisé.</w:t>
      </w:r>
    </w:p>
    <w:bookmarkEnd w:id="1"/>
    <w:p w14:paraId="39967BCA"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5D17D63D"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b/>
          <w:sz w:val="22"/>
          <w:szCs w:val="22"/>
          <w:lang w:val="fr-FR"/>
        </w:rPr>
        <w:t>C. Résultats attendus</w:t>
      </w:r>
    </w:p>
    <w:p w14:paraId="7682C48A"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11BACEEF" w14:textId="77777777" w:rsidR="00405281" w:rsidRPr="00405281" w:rsidRDefault="00405281" w:rsidP="00405281">
      <w:pPr>
        <w:numPr>
          <w:ilvl w:val="0"/>
          <w:numId w:val="4"/>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Un rapport de synthèse qui compile les soumissions par les États de l’aire de répartition et les parties prenantes concernées et qui souligne les lacunes des actions pour la conservation de la mégafaune sahélo-saharienne ;</w:t>
      </w:r>
    </w:p>
    <w:p w14:paraId="46A15069" w14:textId="77777777" w:rsidR="00405281" w:rsidRPr="00405281" w:rsidRDefault="00405281" w:rsidP="00405281">
      <w:pPr>
        <w:numPr>
          <w:ilvl w:val="0"/>
          <w:numId w:val="4"/>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 xml:space="preserve">Un Plan d’action actualisé pour la mégafaune sahélo-saharienne ; </w:t>
      </w:r>
    </w:p>
    <w:p w14:paraId="35969EB7" w14:textId="77777777" w:rsidR="00405281" w:rsidRPr="00405281" w:rsidRDefault="00405281" w:rsidP="00405281">
      <w:pPr>
        <w:numPr>
          <w:ilvl w:val="0"/>
          <w:numId w:val="4"/>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 xml:space="preserve">Un rapport du troisième séminaire régional ; </w:t>
      </w:r>
    </w:p>
    <w:p w14:paraId="6E53B2C3" w14:textId="77777777" w:rsidR="00405281" w:rsidRPr="00405281" w:rsidRDefault="00405281" w:rsidP="00405281">
      <w:pPr>
        <w:numPr>
          <w:ilvl w:val="0"/>
          <w:numId w:val="4"/>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Une liste de concepts du projet ;</w:t>
      </w:r>
    </w:p>
    <w:p w14:paraId="1BFDCC57" w14:textId="77777777" w:rsidR="00405281" w:rsidRPr="00405281" w:rsidRDefault="00405281" w:rsidP="00405281">
      <w:pPr>
        <w:numPr>
          <w:ilvl w:val="0"/>
          <w:numId w:val="4"/>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Des documents qui démontrent les engagements des partenaires à l’égard de la mise en œuvre du Plan d’action ;</w:t>
      </w:r>
    </w:p>
    <w:p w14:paraId="7294F5DA" w14:textId="77777777" w:rsidR="00405281" w:rsidRPr="00405281" w:rsidRDefault="00405281" w:rsidP="00405281">
      <w:pPr>
        <w:numPr>
          <w:ilvl w:val="0"/>
          <w:numId w:val="4"/>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Des propositions de projets pour la mise en œuvre du Plan d’action.</w:t>
      </w:r>
    </w:p>
    <w:p w14:paraId="57A89AA3" w14:textId="246EB777" w:rsidR="00ED70A0" w:rsidRDefault="00ED70A0"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Pr>
          <w:rFonts w:ascii="Arial" w:hAnsi="Arial" w:cs="Arial"/>
          <w:sz w:val="22"/>
          <w:szCs w:val="22"/>
          <w:lang w:val="fr-FR"/>
        </w:rPr>
        <w:br w:type="page"/>
      </w:r>
    </w:p>
    <w:p w14:paraId="46810DBF"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7A415586"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lang w:val="fr-FR"/>
        </w:rPr>
      </w:pPr>
      <w:r w:rsidRPr="00405281">
        <w:rPr>
          <w:rFonts w:ascii="Arial" w:hAnsi="Arial" w:cs="Arial"/>
          <w:b/>
          <w:sz w:val="22"/>
          <w:szCs w:val="22"/>
          <w:lang w:val="fr-FR"/>
        </w:rPr>
        <w:t xml:space="preserve">D. Description des activités </w:t>
      </w:r>
    </w:p>
    <w:p w14:paraId="377AEE9D"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0220DD79"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u w:val="single"/>
          <w:lang w:val="fr-FR"/>
        </w:rPr>
      </w:pPr>
      <w:r w:rsidRPr="00405281">
        <w:rPr>
          <w:rFonts w:ascii="Arial" w:hAnsi="Arial" w:cs="Arial"/>
          <w:sz w:val="22"/>
          <w:szCs w:val="22"/>
          <w:u w:val="single"/>
          <w:lang w:val="fr-FR"/>
        </w:rPr>
        <w:t>Activité 1. Dresser le bilan des activités passées et des activités en cours</w:t>
      </w:r>
    </w:p>
    <w:p w14:paraId="41DD15AB"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u w:val="single"/>
          <w:lang w:val="fr-FR"/>
        </w:rPr>
      </w:pPr>
    </w:p>
    <w:p w14:paraId="59950921"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Comme processus préparatoire pour l’élaboration d’un Plan d’action actualisé pour l’Action concertée pour la mégafaune sahélo-saharienne, le Secrétariat de la CMS, en collaboration avec le Groupe d’intérêt sahélo-saharien</w:t>
      </w:r>
      <w:r w:rsidRPr="00405281">
        <w:rPr>
          <w:rFonts w:ascii="Arial" w:hAnsi="Arial" w:cs="Arial"/>
          <w:sz w:val="22"/>
          <w:szCs w:val="22"/>
          <w:vertAlign w:val="superscript"/>
          <w:lang w:val="en-GB"/>
        </w:rPr>
        <w:footnoteReference w:id="7"/>
      </w:r>
      <w:r w:rsidRPr="00405281">
        <w:rPr>
          <w:rFonts w:ascii="Arial" w:hAnsi="Arial" w:cs="Arial"/>
          <w:sz w:val="22"/>
          <w:szCs w:val="22"/>
          <w:lang w:val="fr-FR"/>
        </w:rPr>
        <w:t xml:space="preserve">, prévoit d’entreprendre un exercice de bilan des activités de conservation en cours dans la région. L’étude devrait fournir une vue d’ensemble des activités de conservation dans la région et servira de référence pour l’élaboration d’un Plan d’action actualisé. </w:t>
      </w:r>
    </w:p>
    <w:p w14:paraId="458C16D2"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u w:val="single"/>
          <w:lang w:val="fr-FR"/>
        </w:rPr>
      </w:pPr>
    </w:p>
    <w:p w14:paraId="2A545C58"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u w:val="single"/>
          <w:lang w:val="fr-FR"/>
        </w:rPr>
      </w:pPr>
      <w:r w:rsidRPr="00405281">
        <w:rPr>
          <w:rFonts w:ascii="Arial" w:hAnsi="Arial" w:cs="Arial"/>
          <w:sz w:val="22"/>
          <w:szCs w:val="22"/>
          <w:u w:val="single"/>
          <w:lang w:val="fr-FR"/>
        </w:rPr>
        <w:t>Activité 2. Préparer un Plan d’action actualisé</w:t>
      </w:r>
    </w:p>
    <w:p w14:paraId="01675E96"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75A43FF6"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Un Plan d’action actualisé pour la conservation de la mégafaune sahélo-saharienne et de ses habitats sera élaboré sur la base du Plan d’action pour les antilopes sahélo-sahariennes existant. Ce Plan d’action a été d’abord élaboré en 1998 et actualisé en 2003. Depuis, il n’a plus été actualisé.</w:t>
      </w:r>
    </w:p>
    <w:p w14:paraId="00702D67"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6A8A8542"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Depuis la dernière révision du Plan d’action pour les antilopes sahélo-sahariennes en 2003, divers rapports sur l’état de conservation et plans d’action ont été préparés pour cette espèce dans le cadre de l’Action concertée. En 2006, par exemple, le rapport sur l’état de conservation des six antilopes sahélo-sahariennes a été préparé dans le cadre de l’Action concertée pour les antilopes sahélo-sahariennes. Par la suite, les nouveaux plans d’action par espèce ci-après ont été préparés :</w:t>
      </w:r>
    </w:p>
    <w:p w14:paraId="5F2721B2"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7B44A478" w14:textId="77777777" w:rsidR="00405281" w:rsidRPr="00405281" w:rsidRDefault="00405281" w:rsidP="00405281">
      <w:pPr>
        <w:numPr>
          <w:ilvl w:val="0"/>
          <w:numId w:val="5"/>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UICN (2014) État des lieux sur la conservation de la gazelle dama (</w:t>
      </w:r>
      <w:proofErr w:type="spellStart"/>
      <w:r w:rsidRPr="00405281">
        <w:rPr>
          <w:rFonts w:ascii="Arial" w:hAnsi="Arial" w:cs="Arial"/>
          <w:i/>
          <w:sz w:val="22"/>
          <w:szCs w:val="22"/>
          <w:lang w:val="fr-FR"/>
        </w:rPr>
        <w:t>Nanger</w:t>
      </w:r>
      <w:proofErr w:type="spellEnd"/>
      <w:r w:rsidRPr="00405281">
        <w:rPr>
          <w:rFonts w:ascii="Arial" w:hAnsi="Arial" w:cs="Arial"/>
          <w:i/>
          <w:sz w:val="22"/>
          <w:szCs w:val="22"/>
          <w:lang w:val="fr-FR"/>
        </w:rPr>
        <w:t xml:space="preserve"> dama</w:t>
      </w:r>
      <w:r w:rsidRPr="00405281">
        <w:rPr>
          <w:rFonts w:ascii="Arial" w:hAnsi="Arial" w:cs="Arial"/>
          <w:sz w:val="22"/>
          <w:szCs w:val="22"/>
          <w:lang w:val="fr-FR"/>
        </w:rPr>
        <w:t xml:space="preserve">) ; </w:t>
      </w:r>
    </w:p>
    <w:p w14:paraId="136684A3" w14:textId="77777777" w:rsidR="00405281" w:rsidRPr="00405281" w:rsidRDefault="00405281" w:rsidP="00405281">
      <w:pPr>
        <w:numPr>
          <w:ilvl w:val="0"/>
          <w:numId w:val="5"/>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 xml:space="preserve">Noé (2017) Plan d’Action Régional Addax et Gazelle Dama 2018 -2022 ; </w:t>
      </w:r>
    </w:p>
    <w:p w14:paraId="5EFB0A33" w14:textId="77777777" w:rsidR="00405281" w:rsidRPr="00405281" w:rsidRDefault="00405281" w:rsidP="00405281">
      <w:pPr>
        <w:numPr>
          <w:ilvl w:val="0"/>
          <w:numId w:val="5"/>
        </w:numPr>
        <w:pBdr>
          <w:top w:val="single" w:sz="6" w:space="0" w:color="FFFFFF"/>
          <w:left w:val="single" w:sz="6" w:space="0" w:color="FFFFFF"/>
          <w:bottom w:val="single" w:sz="6" w:space="0" w:color="FFFFFF"/>
          <w:right w:val="single" w:sz="6" w:space="0" w:color="FFFFFF"/>
        </w:pBdr>
        <w:ind w:left="1134" w:hanging="567"/>
        <w:jc w:val="both"/>
        <w:textAlignment w:val="auto"/>
        <w:outlineLvl w:val="1"/>
        <w:rPr>
          <w:rFonts w:ascii="Arial" w:hAnsi="Arial" w:cs="Arial"/>
          <w:sz w:val="22"/>
          <w:szCs w:val="22"/>
          <w:lang w:val="fr-FR"/>
        </w:rPr>
      </w:pPr>
      <w:r w:rsidRPr="00405281">
        <w:rPr>
          <w:rFonts w:ascii="Arial" w:hAnsi="Arial" w:cs="Arial"/>
          <w:sz w:val="22"/>
          <w:szCs w:val="22"/>
          <w:lang w:val="fr-FR"/>
        </w:rPr>
        <w:t>UICN (2018) Stratégie et plan d’action pour la conservation de la gazelle de Cuvier (</w:t>
      </w:r>
      <w:proofErr w:type="spellStart"/>
      <w:r w:rsidRPr="00405281">
        <w:rPr>
          <w:rFonts w:ascii="Arial" w:hAnsi="Arial" w:cs="Arial"/>
          <w:i/>
          <w:sz w:val="22"/>
          <w:szCs w:val="22"/>
          <w:lang w:val="fr-FR"/>
        </w:rPr>
        <w:t>Gazella</w:t>
      </w:r>
      <w:proofErr w:type="spellEnd"/>
      <w:r w:rsidRPr="00405281">
        <w:rPr>
          <w:rFonts w:ascii="Arial" w:hAnsi="Arial" w:cs="Arial"/>
          <w:i/>
          <w:sz w:val="22"/>
          <w:szCs w:val="22"/>
          <w:lang w:val="fr-FR"/>
        </w:rPr>
        <w:t xml:space="preserve"> </w:t>
      </w:r>
      <w:proofErr w:type="spellStart"/>
      <w:r w:rsidRPr="00405281">
        <w:rPr>
          <w:rFonts w:ascii="Arial" w:hAnsi="Arial" w:cs="Arial"/>
          <w:i/>
          <w:sz w:val="22"/>
          <w:szCs w:val="22"/>
          <w:lang w:val="fr-FR"/>
        </w:rPr>
        <w:t>cuvieri</w:t>
      </w:r>
      <w:proofErr w:type="spellEnd"/>
      <w:r w:rsidRPr="00405281">
        <w:rPr>
          <w:rFonts w:ascii="Arial" w:hAnsi="Arial" w:cs="Arial"/>
          <w:sz w:val="22"/>
          <w:szCs w:val="22"/>
          <w:lang w:val="fr-FR"/>
        </w:rPr>
        <w:t>) en Afrique du Nord 2017-2026 ;</w:t>
      </w:r>
    </w:p>
    <w:p w14:paraId="5FC32E14"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5DCB9027"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Le Plan d’action actualisé pour la mégafaune sahélo-saharienne tiendra compte de ces plans d’action existants auxquels il intégrera les meilleures connaissances disponibles sur l’état de conservation de l’espèce. </w:t>
      </w:r>
    </w:p>
    <w:p w14:paraId="65660EAB"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174DA28C"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Pour faire face aux pressions multiples qui ont un impact sur la survie de la mégafaune sahélo-saharienne, inclure une approche écosystémique dans le Plan d’action pourrait s’avérer plus efficace que des efforts uniquement spécifiques aux espèces</w:t>
      </w:r>
      <w:r w:rsidRPr="00405281">
        <w:rPr>
          <w:rFonts w:ascii="Arial" w:hAnsi="Arial" w:cs="Arial"/>
          <w:sz w:val="22"/>
          <w:szCs w:val="22"/>
          <w:vertAlign w:val="superscript"/>
          <w:lang w:val="en-GB"/>
        </w:rPr>
        <w:footnoteReference w:id="8"/>
      </w:r>
      <w:r w:rsidRPr="00405281">
        <w:rPr>
          <w:rFonts w:ascii="Arial" w:hAnsi="Arial" w:cs="Arial"/>
          <w:sz w:val="22"/>
          <w:szCs w:val="22"/>
          <w:lang w:val="fr-FR"/>
        </w:rPr>
        <w:t>. La restauration des habitats, en plus de leur conservation, pourrait également faire partie des stratégies de restauration et de conservation des espèces</w:t>
      </w:r>
      <w:r w:rsidRPr="00405281">
        <w:rPr>
          <w:rFonts w:ascii="Arial" w:hAnsi="Arial" w:cs="Arial"/>
          <w:sz w:val="22"/>
          <w:szCs w:val="22"/>
          <w:vertAlign w:val="superscript"/>
          <w:lang w:val="en-GB"/>
        </w:rPr>
        <w:footnoteReference w:id="9"/>
      </w:r>
      <w:r w:rsidRPr="00405281">
        <w:rPr>
          <w:rFonts w:ascii="Arial" w:hAnsi="Arial" w:cs="Arial"/>
          <w:sz w:val="22"/>
          <w:szCs w:val="22"/>
          <w:lang w:val="fr-FR"/>
        </w:rPr>
        <w:t xml:space="preserve">.  </w:t>
      </w:r>
    </w:p>
    <w:p w14:paraId="186181F8"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6FC3C7E7"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u w:val="single"/>
          <w:lang w:val="fr-FR"/>
        </w:rPr>
      </w:pPr>
      <w:r w:rsidRPr="00405281">
        <w:rPr>
          <w:rFonts w:ascii="Arial" w:hAnsi="Arial" w:cs="Arial"/>
          <w:sz w:val="22"/>
          <w:szCs w:val="22"/>
          <w:u w:val="single"/>
          <w:lang w:val="fr-FR"/>
        </w:rPr>
        <w:t>Activité 3. Organiser le troisième séminaire régional sur la conservation et la restauration de la mégafaune sahélo-saharienne</w:t>
      </w:r>
    </w:p>
    <w:p w14:paraId="44D8EDB1"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5123740B"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Conformément à la Déclaration d’Agadir</w:t>
      </w:r>
      <w:r w:rsidRPr="00405281">
        <w:rPr>
          <w:rFonts w:ascii="Arial" w:hAnsi="Arial" w:cs="Arial"/>
          <w:sz w:val="22"/>
          <w:szCs w:val="22"/>
          <w:vertAlign w:val="superscript"/>
          <w:lang w:val="en-GB"/>
        </w:rPr>
        <w:footnoteReference w:id="10"/>
      </w:r>
      <w:r w:rsidRPr="00405281">
        <w:rPr>
          <w:rFonts w:ascii="Arial" w:hAnsi="Arial" w:cs="Arial"/>
          <w:sz w:val="22"/>
          <w:szCs w:val="22"/>
          <w:lang w:val="fr-FR"/>
        </w:rPr>
        <w:t xml:space="preserve"> et aux recommandations du Conseil scientifique</w:t>
      </w:r>
      <w:r w:rsidRPr="00405281">
        <w:rPr>
          <w:rFonts w:ascii="Arial" w:hAnsi="Arial" w:cs="Arial"/>
          <w:sz w:val="22"/>
          <w:szCs w:val="22"/>
          <w:vertAlign w:val="superscript"/>
          <w:lang w:val="en-GB"/>
        </w:rPr>
        <w:footnoteReference w:id="11"/>
      </w:r>
      <w:r w:rsidRPr="00405281">
        <w:rPr>
          <w:rFonts w:ascii="Arial" w:hAnsi="Arial" w:cs="Arial"/>
          <w:sz w:val="22"/>
          <w:szCs w:val="22"/>
          <w:lang w:val="fr-FR"/>
        </w:rPr>
        <w:t xml:space="preserve">, un troisième séminaire régional sera organisé afin que les États de l’aire de répartition, les donateurs, les milieux universitaires, les organisations non gouvernementales, le secteur privé et d’autres parties prenantes concernées puissent examiner un projet de Plan d’action régional et y contribuer. </w:t>
      </w:r>
    </w:p>
    <w:p w14:paraId="5827B48B" w14:textId="76C38455" w:rsidR="00ED70A0" w:rsidRDefault="00ED70A0"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Pr>
          <w:rFonts w:ascii="Arial" w:hAnsi="Arial" w:cs="Arial"/>
          <w:sz w:val="22"/>
          <w:szCs w:val="22"/>
          <w:lang w:val="fr-FR"/>
        </w:rPr>
        <w:br w:type="page"/>
      </w:r>
    </w:p>
    <w:p w14:paraId="45B8B14E"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06461D94"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Le troisième séminaire régional devrait être l’occasion d’identifier les activités et projets prioritaires pour la mise en œuvre du Plan d’action actualisé. Sur la base des concepts du projet identifiés lors du Séminaire, des propositions de projets pourraient être élaborées pour faciliter les activités de mise en œuvre par les États de l’aire de répartition et les parties prenantes concernées. </w:t>
      </w:r>
    </w:p>
    <w:p w14:paraId="4AE96B84"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77CE7BFE"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Lors du troisième séminaire régional, les États de l’aire de répartition et d’autres parties prenantes pourraient être invités à discuter des orientations futures de l’Action concertée pour la mégafaune sahélo-saharienne, y compris ses dispositions opérationnelles. Des leçons pourraient être tirées des initiatives existantes telles que l’Initiative sur les mammifères d’Asie centrale. </w:t>
      </w:r>
    </w:p>
    <w:p w14:paraId="4777C5B2"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58E81268"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Le Gouvernement marocain a proposé d’accueillir le troisième séminaire régional.  </w:t>
      </w:r>
    </w:p>
    <w:p w14:paraId="40F41D98"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70202B54"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u w:val="single"/>
          <w:lang w:val="fr-FR"/>
        </w:rPr>
      </w:pPr>
      <w:r w:rsidRPr="00405281">
        <w:rPr>
          <w:rFonts w:ascii="Arial" w:hAnsi="Arial" w:cs="Arial"/>
          <w:sz w:val="22"/>
          <w:szCs w:val="22"/>
          <w:u w:val="single"/>
          <w:lang w:val="fr-FR"/>
        </w:rPr>
        <w:t>Activité 4. Renforcer les partenariats avec les organisations internationales ou régionales pertinentes et avec les accords multilatéraux sur l’environnement</w:t>
      </w:r>
    </w:p>
    <w:p w14:paraId="1D2B30ED"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lang w:val="fr-FR"/>
        </w:rPr>
      </w:pPr>
    </w:p>
    <w:p w14:paraId="1D00ADDF" w14:textId="21C7F7C6"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Pour la mise en œuvre du Plan d’action, la coordination intersectorielle et la coopération multipartite sont essentielles. Le Secrétariat s’emploiera donc à renforcer les partenariats avec les organisations pertinentes, à savoir l’Organisation des Nations Unies pour l’alimentation et l’agriculture, le Programme des Nations Unies pour le développement</w:t>
      </w:r>
      <w:r w:rsidR="00A96726">
        <w:rPr>
          <w:rFonts w:ascii="Arial" w:hAnsi="Arial" w:cs="Arial"/>
          <w:sz w:val="22"/>
          <w:szCs w:val="22"/>
          <w:lang w:val="fr-FR"/>
        </w:rPr>
        <w:t>, la Convention sur la diversité</w:t>
      </w:r>
      <w:r w:rsidR="00EA741C">
        <w:rPr>
          <w:rFonts w:ascii="Arial" w:hAnsi="Arial" w:cs="Arial"/>
          <w:sz w:val="22"/>
          <w:szCs w:val="22"/>
          <w:lang w:val="fr-FR"/>
        </w:rPr>
        <w:t xml:space="preserve"> </w:t>
      </w:r>
      <w:r w:rsidR="00A96726">
        <w:rPr>
          <w:rFonts w:ascii="Arial" w:hAnsi="Arial" w:cs="Arial"/>
          <w:sz w:val="22"/>
          <w:szCs w:val="22"/>
          <w:lang w:val="fr-FR"/>
        </w:rPr>
        <w:t>biologique,</w:t>
      </w:r>
      <w:r w:rsidRPr="00405281">
        <w:rPr>
          <w:rFonts w:ascii="Arial" w:hAnsi="Arial" w:cs="Arial"/>
          <w:sz w:val="22"/>
          <w:szCs w:val="22"/>
          <w:lang w:val="fr-FR"/>
        </w:rPr>
        <w:t xml:space="preserve"> la Convention des Nations Unies sur la lutte contre la désertification, </w:t>
      </w:r>
      <w:r w:rsidR="00EA741C">
        <w:rPr>
          <w:rFonts w:ascii="Arial" w:hAnsi="Arial" w:cs="Arial"/>
          <w:sz w:val="22"/>
          <w:szCs w:val="22"/>
          <w:lang w:val="fr-FR"/>
        </w:rPr>
        <w:t xml:space="preserve">l’Initiative Grande muraille verte, le Fonds pour la conservation du Sahara et Noé Conservation, </w:t>
      </w:r>
      <w:r w:rsidRPr="00405281">
        <w:rPr>
          <w:rFonts w:ascii="Arial" w:hAnsi="Arial" w:cs="Arial"/>
          <w:sz w:val="22"/>
          <w:szCs w:val="22"/>
          <w:lang w:val="fr-FR"/>
        </w:rPr>
        <w:t xml:space="preserve">pour l’élaboration et la mise en œuvre du Plan d’action actualisé. </w:t>
      </w:r>
    </w:p>
    <w:p w14:paraId="3E1AF936"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u w:val="single"/>
          <w:lang w:val="fr-FR"/>
        </w:rPr>
      </w:pPr>
    </w:p>
    <w:p w14:paraId="2BD7651C"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u w:val="single"/>
          <w:lang w:val="fr-FR"/>
        </w:rPr>
      </w:pPr>
      <w:r w:rsidRPr="00405281">
        <w:rPr>
          <w:rFonts w:ascii="Arial" w:hAnsi="Arial" w:cs="Arial"/>
          <w:sz w:val="22"/>
          <w:szCs w:val="22"/>
          <w:u w:val="single"/>
          <w:lang w:val="fr-FR"/>
        </w:rPr>
        <w:t>Activité 5. Fournir un appui technique aux États de l’aire de répartition pour la mise en œuvre du Plan d’action actualisé</w:t>
      </w:r>
    </w:p>
    <w:p w14:paraId="014EAA82"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u w:val="single"/>
          <w:lang w:val="fr-FR"/>
        </w:rPr>
      </w:pPr>
    </w:p>
    <w:p w14:paraId="41EFEDB5"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Dès qu’un Plan d’action actualisé est élaboré au titre de l’activité 2 et approuvé par le troisième séminaire régional au titre de l’activité 3, les activités de mise en œuvre seront lancées. Le Secrétariat, en collaboration avec les États de l’aire de répartition et les parties prenantes concernées, aidera les États de l’aire de répartition à élaborer des propositions de projets conformes au Plan d’action. La liste des concepts du projet identifiés dans le cadre de l’activité 3 aidera à façonner les propositions de projets, sur la base des besoins identifiés par les États de l’aire de répartition. </w:t>
      </w:r>
    </w:p>
    <w:p w14:paraId="2C7F003D"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u w:val="single"/>
          <w:lang w:val="fr-FR"/>
        </w:rPr>
      </w:pPr>
    </w:p>
    <w:p w14:paraId="1F38EE0B"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u w:val="single"/>
          <w:lang w:val="fr-FR"/>
        </w:rPr>
      </w:pPr>
      <w:r w:rsidRPr="00405281">
        <w:rPr>
          <w:rFonts w:ascii="Arial" w:hAnsi="Arial" w:cs="Arial"/>
          <w:sz w:val="22"/>
          <w:szCs w:val="22"/>
          <w:u w:val="single"/>
          <w:lang w:val="fr-FR"/>
        </w:rPr>
        <w:t xml:space="preserve">Autres activités administratives et de communication </w:t>
      </w:r>
    </w:p>
    <w:p w14:paraId="6610D337"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2E83E02A"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 xml:space="preserve">Outre les trois activités de fond susmentionnées, le Secrétariat fournira des services administratifs, notamment l’organisation du troisième séminaire, la préparation des documents et des activités habituelles de communication, telles que la tenue à jour des pages Web pertinentes sur l’Action concertée pour la mégafaune sahélo-saharienne. </w:t>
      </w:r>
    </w:p>
    <w:p w14:paraId="143B766A"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483A7B1A"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lang w:val="fr-FR"/>
        </w:rPr>
      </w:pPr>
      <w:r w:rsidRPr="00405281">
        <w:rPr>
          <w:rFonts w:ascii="Arial" w:hAnsi="Arial" w:cs="Arial"/>
          <w:b/>
          <w:sz w:val="22"/>
          <w:szCs w:val="22"/>
          <w:lang w:val="fr-FR"/>
        </w:rPr>
        <w:t>E. Suivi et évaluation</w:t>
      </w:r>
    </w:p>
    <w:p w14:paraId="06916FF0"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147FF559"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405281">
        <w:rPr>
          <w:rFonts w:ascii="Arial" w:hAnsi="Arial" w:cs="Arial"/>
          <w:sz w:val="22"/>
          <w:szCs w:val="22"/>
          <w:lang w:val="fr-FR"/>
        </w:rPr>
        <w:t>Les progrès seront mesurés et évalués à l’aide de critères de réussite (Tableau 1). Il sera rendu compte des progrès réalisés conformément aux lignes directrices pour la mise en œuvre du processus des actions concertées</w:t>
      </w:r>
      <w:r w:rsidRPr="00405281">
        <w:rPr>
          <w:rFonts w:ascii="Arial" w:hAnsi="Arial" w:cs="Arial"/>
          <w:sz w:val="22"/>
          <w:szCs w:val="22"/>
          <w:vertAlign w:val="superscript"/>
          <w:lang w:val="en-GB"/>
        </w:rPr>
        <w:footnoteReference w:id="12"/>
      </w:r>
      <w:r w:rsidRPr="00405281">
        <w:rPr>
          <w:rFonts w:ascii="Arial" w:hAnsi="Arial" w:cs="Arial"/>
          <w:sz w:val="22"/>
          <w:szCs w:val="22"/>
          <w:lang w:val="fr-FR"/>
        </w:rPr>
        <w:t xml:space="preserve">. </w:t>
      </w:r>
    </w:p>
    <w:p w14:paraId="0BF422CA"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41AFE886" w14:textId="77777777" w:rsidR="00405281" w:rsidRDefault="00405281">
      <w:pPr>
        <w:rPr>
          <w:rFonts w:ascii="Arial" w:hAnsi="Arial" w:cs="Arial"/>
          <w:lang w:val="fr-FR"/>
        </w:rPr>
        <w:sectPr w:rsidR="00405281">
          <w:headerReference w:type="even" r:id="rId8"/>
          <w:headerReference w:type="default" r:id="rId9"/>
          <w:footerReference w:type="even" r:id="rId10"/>
          <w:footerReference w:type="default" r:id="rId11"/>
          <w:headerReference w:type="first" r:id="rId12"/>
          <w:pgSz w:w="11906" w:h="16838"/>
          <w:pgMar w:top="1134" w:right="1134" w:bottom="1134" w:left="1134" w:header="720" w:footer="720" w:gutter="0"/>
          <w:cols w:space="720"/>
          <w:titlePg/>
        </w:sectPr>
      </w:pPr>
    </w:p>
    <w:p w14:paraId="2F57C3E9" w14:textId="1478298F" w:rsidR="00D82C56" w:rsidRDefault="00D82C56">
      <w:pPr>
        <w:rPr>
          <w:rFonts w:ascii="Arial" w:hAnsi="Arial" w:cs="Arial"/>
          <w:lang w:val="fr-FR"/>
        </w:rPr>
      </w:pPr>
    </w:p>
    <w:p w14:paraId="63FBFF5E"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Tableau 1 : Résumé des activités proposées au titre de l’Action concertée sahélo-saharienne (2020-2023)</w:t>
      </w:r>
    </w:p>
    <w:p w14:paraId="558099E1"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p>
    <w:tbl>
      <w:tblPr>
        <w:tblStyle w:val="TableGrid"/>
        <w:tblpPr w:leftFromText="180" w:rightFromText="180" w:vertAnchor="text" w:horzAnchor="margin" w:tblpXSpec="center" w:tblpY="176"/>
        <w:tblW w:w="14492" w:type="dxa"/>
        <w:tblInd w:w="0" w:type="dxa"/>
        <w:tblLook w:val="04A0" w:firstRow="1" w:lastRow="0" w:firstColumn="1" w:lastColumn="0" w:noHBand="0" w:noVBand="1"/>
      </w:tblPr>
      <w:tblGrid>
        <w:gridCol w:w="484"/>
        <w:gridCol w:w="1957"/>
        <w:gridCol w:w="1305"/>
        <w:gridCol w:w="1862"/>
        <w:gridCol w:w="2792"/>
        <w:gridCol w:w="1925"/>
        <w:gridCol w:w="1350"/>
        <w:gridCol w:w="15"/>
        <w:gridCol w:w="1181"/>
        <w:gridCol w:w="1621"/>
      </w:tblGrid>
      <w:tr w:rsidR="00405281" w:rsidRPr="00405281" w14:paraId="3E53421B" w14:textId="77777777" w:rsidTr="00405281">
        <w:trPr>
          <w:cantSplit/>
          <w:trHeight w:val="509"/>
          <w:tblHeader/>
        </w:trPr>
        <w:tc>
          <w:tcPr>
            <w:tcW w:w="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C39AF"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No</w:t>
            </w:r>
          </w:p>
        </w:tc>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DCC76"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Activité</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99533"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Échéancier</w:t>
            </w:r>
          </w:p>
        </w:tc>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D8033"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Organisation responsable</w:t>
            </w:r>
          </w:p>
        </w:tc>
        <w:tc>
          <w:tcPr>
            <w:tcW w:w="2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BE09F"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Objectifs</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B5012A"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 xml:space="preserve">Résultats </w:t>
            </w:r>
          </w:p>
          <w:p w14:paraId="07FA7417"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proofErr w:type="gramStart"/>
            <w:r w:rsidRPr="00405281">
              <w:rPr>
                <w:rFonts w:ascii="Arial" w:hAnsi="Arial" w:cs="Arial"/>
                <w:b/>
                <w:szCs w:val="20"/>
                <w:lang w:val="fr-FR"/>
              </w:rPr>
              <w:t>attendus</w:t>
            </w:r>
            <w:proofErr w:type="gramEnd"/>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442F0"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Critères de réussite</w:t>
            </w:r>
          </w:p>
        </w:tc>
        <w:tc>
          <w:tcPr>
            <w:tcW w:w="1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8CDF4"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Montant requis</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1B82C"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b/>
                <w:szCs w:val="20"/>
                <w:lang w:val="fr-FR"/>
              </w:rPr>
              <w:t>Source de financement proposée</w:t>
            </w:r>
          </w:p>
        </w:tc>
      </w:tr>
      <w:tr w:rsidR="00405281" w:rsidRPr="00405281" w14:paraId="607F0BBF" w14:textId="77777777" w:rsidTr="00405281">
        <w:trPr>
          <w:trHeight w:val="509"/>
        </w:trPr>
        <w:tc>
          <w:tcPr>
            <w:tcW w:w="432" w:type="dxa"/>
            <w:tcBorders>
              <w:top w:val="single" w:sz="4" w:space="0" w:color="auto"/>
              <w:left w:val="single" w:sz="4" w:space="0" w:color="auto"/>
              <w:bottom w:val="single" w:sz="4" w:space="0" w:color="auto"/>
              <w:right w:val="single" w:sz="4" w:space="0" w:color="auto"/>
            </w:tcBorders>
            <w:hideMark/>
          </w:tcPr>
          <w:p w14:paraId="1B1BE2A6"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1</w:t>
            </w:r>
          </w:p>
        </w:tc>
        <w:tc>
          <w:tcPr>
            <w:tcW w:w="1998" w:type="dxa"/>
            <w:tcBorders>
              <w:top w:val="single" w:sz="4" w:space="0" w:color="auto"/>
              <w:left w:val="single" w:sz="4" w:space="0" w:color="auto"/>
              <w:bottom w:val="single" w:sz="4" w:space="0" w:color="auto"/>
              <w:right w:val="single" w:sz="4" w:space="0" w:color="auto"/>
            </w:tcBorders>
            <w:hideMark/>
          </w:tcPr>
          <w:p w14:paraId="17D2AFCE"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Bilan des activités passées et des activités en cours dans la région dans le cadre de l’Action concertée</w:t>
            </w:r>
          </w:p>
        </w:tc>
        <w:tc>
          <w:tcPr>
            <w:tcW w:w="1308" w:type="dxa"/>
            <w:tcBorders>
              <w:top w:val="single" w:sz="4" w:space="0" w:color="auto"/>
              <w:left w:val="single" w:sz="4" w:space="0" w:color="auto"/>
              <w:bottom w:val="single" w:sz="4" w:space="0" w:color="auto"/>
              <w:right w:val="single" w:sz="4" w:space="0" w:color="auto"/>
            </w:tcBorders>
            <w:hideMark/>
          </w:tcPr>
          <w:p w14:paraId="08AF3FD7"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2020</w:t>
            </w:r>
          </w:p>
        </w:tc>
        <w:tc>
          <w:tcPr>
            <w:tcW w:w="1693" w:type="dxa"/>
            <w:tcBorders>
              <w:top w:val="single" w:sz="4" w:space="0" w:color="auto"/>
              <w:left w:val="single" w:sz="4" w:space="0" w:color="auto"/>
              <w:bottom w:val="single" w:sz="4" w:space="0" w:color="auto"/>
              <w:right w:val="single" w:sz="4" w:space="0" w:color="auto"/>
            </w:tcBorders>
            <w:hideMark/>
          </w:tcPr>
          <w:p w14:paraId="4630D1F4"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Secrétariat de la CMS </w:t>
            </w:r>
          </w:p>
        </w:tc>
        <w:tc>
          <w:tcPr>
            <w:tcW w:w="2922" w:type="dxa"/>
            <w:tcBorders>
              <w:top w:val="single" w:sz="4" w:space="0" w:color="auto"/>
              <w:left w:val="single" w:sz="4" w:space="0" w:color="auto"/>
              <w:bottom w:val="single" w:sz="4" w:space="0" w:color="auto"/>
              <w:right w:val="single" w:sz="4" w:space="0" w:color="auto"/>
            </w:tcBorders>
            <w:hideMark/>
          </w:tcPr>
          <w:p w14:paraId="59F355FB"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Cartographier les efforts de conservation des espèces pertinentes dans la région afin d’identifier les lacunes qui nécessitent des efforts de conservation supplémentaires. </w:t>
            </w:r>
          </w:p>
        </w:tc>
        <w:tc>
          <w:tcPr>
            <w:tcW w:w="1956" w:type="dxa"/>
            <w:tcBorders>
              <w:top w:val="single" w:sz="4" w:space="0" w:color="auto"/>
              <w:left w:val="single" w:sz="4" w:space="0" w:color="auto"/>
              <w:bottom w:val="single" w:sz="4" w:space="0" w:color="auto"/>
              <w:right w:val="single" w:sz="4" w:space="0" w:color="auto"/>
            </w:tcBorders>
            <w:hideMark/>
          </w:tcPr>
          <w:p w14:paraId="67365DF1"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Un rapport de synthèse qui compile les soumissions par les États de l’aire de répartition et les parties prenantes concernées et qui souligne les lacunes.</w:t>
            </w:r>
          </w:p>
        </w:tc>
        <w:tc>
          <w:tcPr>
            <w:tcW w:w="1339" w:type="dxa"/>
            <w:tcBorders>
              <w:top w:val="single" w:sz="4" w:space="0" w:color="auto"/>
              <w:left w:val="single" w:sz="4" w:space="0" w:color="auto"/>
              <w:bottom w:val="single" w:sz="4" w:space="0" w:color="auto"/>
              <w:right w:val="single" w:sz="4" w:space="0" w:color="auto"/>
            </w:tcBorders>
            <w:hideMark/>
          </w:tcPr>
          <w:p w14:paraId="2BBEC5A3"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Un rapport est préparé qui résume les activités de conservation passées ou en cours dans la région.</w:t>
            </w:r>
          </w:p>
        </w:tc>
        <w:tc>
          <w:tcPr>
            <w:tcW w:w="1221" w:type="dxa"/>
            <w:gridSpan w:val="2"/>
            <w:tcBorders>
              <w:top w:val="single" w:sz="4" w:space="0" w:color="auto"/>
              <w:left w:val="single" w:sz="4" w:space="0" w:color="auto"/>
              <w:bottom w:val="single" w:sz="4" w:space="0" w:color="auto"/>
              <w:right w:val="single" w:sz="4" w:space="0" w:color="auto"/>
            </w:tcBorders>
            <w:hideMark/>
          </w:tcPr>
          <w:p w14:paraId="50B0C4F2"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 </w:t>
            </w:r>
          </w:p>
        </w:tc>
        <w:tc>
          <w:tcPr>
            <w:tcW w:w="1623" w:type="dxa"/>
            <w:tcBorders>
              <w:top w:val="single" w:sz="4" w:space="0" w:color="auto"/>
              <w:left w:val="single" w:sz="4" w:space="0" w:color="auto"/>
              <w:bottom w:val="single" w:sz="4" w:space="0" w:color="auto"/>
              <w:right w:val="single" w:sz="4" w:space="0" w:color="auto"/>
            </w:tcBorders>
            <w:hideMark/>
          </w:tcPr>
          <w:p w14:paraId="288063BD"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szCs w:val="20"/>
                <w:lang w:val="fr-FR"/>
              </w:rPr>
              <w:t>Temps de travail du personnel du Secrétariat de la CMS</w:t>
            </w:r>
          </w:p>
        </w:tc>
      </w:tr>
      <w:tr w:rsidR="00405281" w:rsidRPr="00405281" w14:paraId="29D0CBFA" w14:textId="77777777" w:rsidTr="00405281">
        <w:trPr>
          <w:trHeight w:val="509"/>
        </w:trPr>
        <w:tc>
          <w:tcPr>
            <w:tcW w:w="432" w:type="dxa"/>
            <w:tcBorders>
              <w:top w:val="single" w:sz="4" w:space="0" w:color="auto"/>
              <w:left w:val="single" w:sz="4" w:space="0" w:color="auto"/>
              <w:bottom w:val="single" w:sz="4" w:space="0" w:color="auto"/>
              <w:right w:val="single" w:sz="4" w:space="0" w:color="auto"/>
            </w:tcBorders>
            <w:hideMark/>
          </w:tcPr>
          <w:p w14:paraId="04F2802C"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2</w:t>
            </w:r>
          </w:p>
        </w:tc>
        <w:tc>
          <w:tcPr>
            <w:tcW w:w="1998" w:type="dxa"/>
            <w:tcBorders>
              <w:top w:val="single" w:sz="4" w:space="0" w:color="auto"/>
              <w:left w:val="single" w:sz="4" w:space="0" w:color="auto"/>
              <w:bottom w:val="single" w:sz="4" w:space="0" w:color="auto"/>
              <w:right w:val="single" w:sz="4" w:space="0" w:color="auto"/>
            </w:tcBorders>
            <w:hideMark/>
          </w:tcPr>
          <w:p w14:paraId="662BCD08"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Préparation d’un Plan d’action actualisé</w:t>
            </w:r>
          </w:p>
        </w:tc>
        <w:tc>
          <w:tcPr>
            <w:tcW w:w="1308" w:type="dxa"/>
            <w:tcBorders>
              <w:top w:val="single" w:sz="4" w:space="0" w:color="auto"/>
              <w:left w:val="single" w:sz="4" w:space="0" w:color="auto"/>
              <w:bottom w:val="single" w:sz="4" w:space="0" w:color="auto"/>
              <w:right w:val="single" w:sz="4" w:space="0" w:color="auto"/>
            </w:tcBorders>
            <w:hideMark/>
          </w:tcPr>
          <w:p w14:paraId="39659CD3"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2020</w:t>
            </w:r>
          </w:p>
        </w:tc>
        <w:tc>
          <w:tcPr>
            <w:tcW w:w="1693" w:type="dxa"/>
            <w:tcBorders>
              <w:top w:val="single" w:sz="4" w:space="0" w:color="auto"/>
              <w:left w:val="single" w:sz="4" w:space="0" w:color="auto"/>
              <w:bottom w:val="single" w:sz="4" w:space="0" w:color="auto"/>
              <w:right w:val="single" w:sz="4" w:space="0" w:color="auto"/>
            </w:tcBorders>
            <w:hideMark/>
          </w:tcPr>
          <w:p w14:paraId="0A3E1A3B"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Secrétariat de la CMS en consultation avec : </w:t>
            </w:r>
          </w:p>
          <w:p w14:paraId="0B80F92B"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États de l’aire de répartition et parties prenantes concernées (OIG, ONG, milieux universitaires, secteur privé)</w:t>
            </w:r>
          </w:p>
        </w:tc>
        <w:tc>
          <w:tcPr>
            <w:tcW w:w="2922" w:type="dxa"/>
            <w:tcBorders>
              <w:top w:val="single" w:sz="4" w:space="0" w:color="auto"/>
              <w:left w:val="single" w:sz="4" w:space="0" w:color="auto"/>
              <w:bottom w:val="single" w:sz="4" w:space="0" w:color="auto"/>
              <w:right w:val="single" w:sz="4" w:space="0" w:color="auto"/>
            </w:tcBorders>
            <w:hideMark/>
          </w:tcPr>
          <w:p w14:paraId="6DE38EC8"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Disposer d’une stratégie régionale pour des actions de conservation coordonnées sur la mégafaune sahélo-saharienne dans la région. </w:t>
            </w:r>
          </w:p>
        </w:tc>
        <w:tc>
          <w:tcPr>
            <w:tcW w:w="1956" w:type="dxa"/>
            <w:tcBorders>
              <w:top w:val="single" w:sz="4" w:space="0" w:color="auto"/>
              <w:left w:val="single" w:sz="4" w:space="0" w:color="auto"/>
              <w:bottom w:val="single" w:sz="4" w:space="0" w:color="auto"/>
              <w:right w:val="single" w:sz="4" w:space="0" w:color="auto"/>
            </w:tcBorders>
            <w:hideMark/>
          </w:tcPr>
          <w:p w14:paraId="4DE97648"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Un Plan d’action actualisé </w:t>
            </w:r>
          </w:p>
        </w:tc>
        <w:tc>
          <w:tcPr>
            <w:tcW w:w="1339" w:type="dxa"/>
            <w:tcBorders>
              <w:top w:val="single" w:sz="4" w:space="0" w:color="auto"/>
              <w:left w:val="single" w:sz="4" w:space="0" w:color="auto"/>
              <w:bottom w:val="single" w:sz="4" w:space="0" w:color="auto"/>
              <w:right w:val="single" w:sz="4" w:space="0" w:color="auto"/>
            </w:tcBorders>
            <w:hideMark/>
          </w:tcPr>
          <w:p w14:paraId="106B8A17"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Un plan d’action actualisé est approuvé par les États de l’aire de répartition d’ici 2022.</w:t>
            </w:r>
          </w:p>
        </w:tc>
        <w:tc>
          <w:tcPr>
            <w:tcW w:w="1221" w:type="dxa"/>
            <w:gridSpan w:val="2"/>
            <w:tcBorders>
              <w:top w:val="single" w:sz="4" w:space="0" w:color="auto"/>
              <w:left w:val="single" w:sz="4" w:space="0" w:color="auto"/>
              <w:bottom w:val="single" w:sz="4" w:space="0" w:color="auto"/>
              <w:right w:val="single" w:sz="4" w:space="0" w:color="auto"/>
            </w:tcBorders>
            <w:hideMark/>
          </w:tcPr>
          <w:p w14:paraId="089D5758"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20 000 USD</w:t>
            </w:r>
          </w:p>
        </w:tc>
        <w:tc>
          <w:tcPr>
            <w:tcW w:w="1623" w:type="dxa"/>
            <w:tcBorders>
              <w:top w:val="single" w:sz="4" w:space="0" w:color="auto"/>
              <w:left w:val="single" w:sz="4" w:space="0" w:color="auto"/>
              <w:bottom w:val="single" w:sz="4" w:space="0" w:color="auto"/>
              <w:right w:val="single" w:sz="4" w:space="0" w:color="auto"/>
            </w:tcBorders>
          </w:tcPr>
          <w:p w14:paraId="172C8D48"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Temps de travail du personnel du Secrétariat de la CMS</w:t>
            </w:r>
          </w:p>
          <w:p w14:paraId="2334D37B"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p>
          <w:p w14:paraId="3CA1E4BC"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b/>
                <w:szCs w:val="20"/>
                <w:lang w:val="fr-FR"/>
              </w:rPr>
            </w:pPr>
            <w:r w:rsidRPr="00405281">
              <w:rPr>
                <w:rFonts w:ascii="Arial" w:hAnsi="Arial" w:cs="Arial"/>
                <w:szCs w:val="20"/>
                <w:lang w:val="fr-FR"/>
              </w:rPr>
              <w:t>Financement extrabudgétaire</w:t>
            </w:r>
          </w:p>
        </w:tc>
      </w:tr>
      <w:tr w:rsidR="00405281" w:rsidRPr="00405281" w14:paraId="18A5FFE1" w14:textId="77777777" w:rsidTr="00405281">
        <w:trPr>
          <w:trHeight w:val="509"/>
        </w:trPr>
        <w:tc>
          <w:tcPr>
            <w:tcW w:w="432" w:type="dxa"/>
            <w:tcBorders>
              <w:top w:val="single" w:sz="4" w:space="0" w:color="auto"/>
              <w:left w:val="single" w:sz="4" w:space="0" w:color="auto"/>
              <w:bottom w:val="single" w:sz="4" w:space="0" w:color="auto"/>
              <w:right w:val="single" w:sz="4" w:space="0" w:color="auto"/>
            </w:tcBorders>
            <w:hideMark/>
          </w:tcPr>
          <w:p w14:paraId="4A2DFAD4"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3</w:t>
            </w:r>
          </w:p>
        </w:tc>
        <w:tc>
          <w:tcPr>
            <w:tcW w:w="1998" w:type="dxa"/>
            <w:tcBorders>
              <w:top w:val="single" w:sz="4" w:space="0" w:color="auto"/>
              <w:left w:val="single" w:sz="4" w:space="0" w:color="auto"/>
              <w:bottom w:val="single" w:sz="4" w:space="0" w:color="auto"/>
              <w:right w:val="single" w:sz="4" w:space="0" w:color="auto"/>
            </w:tcBorders>
            <w:hideMark/>
          </w:tcPr>
          <w:p w14:paraId="60FC7C04"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Organisation du troisième séminaire régional</w:t>
            </w:r>
          </w:p>
        </w:tc>
        <w:tc>
          <w:tcPr>
            <w:tcW w:w="1308" w:type="dxa"/>
            <w:tcBorders>
              <w:top w:val="single" w:sz="4" w:space="0" w:color="auto"/>
              <w:left w:val="single" w:sz="4" w:space="0" w:color="auto"/>
              <w:bottom w:val="single" w:sz="4" w:space="0" w:color="auto"/>
              <w:right w:val="single" w:sz="4" w:space="0" w:color="auto"/>
            </w:tcBorders>
            <w:hideMark/>
          </w:tcPr>
          <w:p w14:paraId="512E9FF6"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2021</w:t>
            </w:r>
          </w:p>
        </w:tc>
        <w:tc>
          <w:tcPr>
            <w:tcW w:w="1693" w:type="dxa"/>
            <w:tcBorders>
              <w:top w:val="single" w:sz="4" w:space="0" w:color="auto"/>
              <w:left w:val="single" w:sz="4" w:space="0" w:color="auto"/>
              <w:bottom w:val="single" w:sz="4" w:space="0" w:color="auto"/>
              <w:right w:val="single" w:sz="4" w:space="0" w:color="auto"/>
            </w:tcBorders>
            <w:hideMark/>
          </w:tcPr>
          <w:p w14:paraId="04BB7989"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Secrétariat de la CMS en consultation avec : </w:t>
            </w:r>
          </w:p>
          <w:p w14:paraId="27323617"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États de l’aire de répartition et parties prenantes concernées (OIG, ONG, milieux universitaires, secteur privé)</w:t>
            </w:r>
          </w:p>
        </w:tc>
        <w:tc>
          <w:tcPr>
            <w:tcW w:w="2922" w:type="dxa"/>
            <w:tcBorders>
              <w:top w:val="single" w:sz="4" w:space="0" w:color="auto"/>
              <w:left w:val="single" w:sz="4" w:space="0" w:color="auto"/>
              <w:bottom w:val="single" w:sz="4" w:space="0" w:color="auto"/>
              <w:right w:val="single" w:sz="4" w:space="0" w:color="auto"/>
            </w:tcBorders>
          </w:tcPr>
          <w:p w14:paraId="4C51E879"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Procéder à un examen technique et obtenir l’approbation politique du Plan d’action.</w:t>
            </w:r>
          </w:p>
          <w:p w14:paraId="7D5034CF"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p>
          <w:p w14:paraId="0906D4A6"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Identifier les concepts du projet prioritaires pour la mise en œuvre du Plan d’action</w:t>
            </w:r>
          </w:p>
        </w:tc>
        <w:tc>
          <w:tcPr>
            <w:tcW w:w="1956" w:type="dxa"/>
            <w:tcBorders>
              <w:top w:val="single" w:sz="4" w:space="0" w:color="auto"/>
              <w:left w:val="single" w:sz="4" w:space="0" w:color="auto"/>
              <w:bottom w:val="single" w:sz="4" w:space="0" w:color="auto"/>
              <w:right w:val="single" w:sz="4" w:space="0" w:color="auto"/>
            </w:tcBorders>
          </w:tcPr>
          <w:p w14:paraId="6618AA10"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Un rapport de réunion </w:t>
            </w:r>
          </w:p>
          <w:p w14:paraId="5B4105C5"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p>
          <w:p w14:paraId="68874E3A"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Une liste de concepts du projet </w:t>
            </w:r>
          </w:p>
        </w:tc>
        <w:tc>
          <w:tcPr>
            <w:tcW w:w="1355" w:type="dxa"/>
            <w:gridSpan w:val="2"/>
            <w:tcBorders>
              <w:top w:val="single" w:sz="4" w:space="0" w:color="auto"/>
              <w:left w:val="single" w:sz="4" w:space="0" w:color="auto"/>
              <w:bottom w:val="single" w:sz="4" w:space="0" w:color="auto"/>
              <w:right w:val="single" w:sz="4" w:space="0" w:color="auto"/>
            </w:tcBorders>
          </w:tcPr>
          <w:p w14:paraId="29D0E3FC"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Une réunion des États de l’aire de répartition est organisée d’ici 2023</w:t>
            </w:r>
          </w:p>
          <w:p w14:paraId="4DC6F703"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p>
          <w:p w14:paraId="64FF1E55"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Un rapport de réunion est préparé d’ici 2023.</w:t>
            </w:r>
          </w:p>
        </w:tc>
        <w:tc>
          <w:tcPr>
            <w:tcW w:w="1205" w:type="dxa"/>
            <w:tcBorders>
              <w:top w:val="single" w:sz="4" w:space="0" w:color="auto"/>
              <w:left w:val="single" w:sz="4" w:space="0" w:color="auto"/>
              <w:bottom w:val="single" w:sz="4" w:space="0" w:color="auto"/>
              <w:right w:val="single" w:sz="4" w:space="0" w:color="auto"/>
            </w:tcBorders>
            <w:hideMark/>
          </w:tcPr>
          <w:p w14:paraId="2A3B8077"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100 000 USD</w:t>
            </w:r>
          </w:p>
        </w:tc>
        <w:tc>
          <w:tcPr>
            <w:tcW w:w="1623" w:type="dxa"/>
            <w:tcBorders>
              <w:top w:val="single" w:sz="4" w:space="0" w:color="auto"/>
              <w:left w:val="single" w:sz="4" w:space="0" w:color="auto"/>
              <w:bottom w:val="single" w:sz="4" w:space="0" w:color="auto"/>
              <w:right w:val="single" w:sz="4" w:space="0" w:color="auto"/>
            </w:tcBorders>
            <w:hideMark/>
          </w:tcPr>
          <w:p w14:paraId="47BC2A0D"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Financement extrabudgétaire</w:t>
            </w:r>
          </w:p>
        </w:tc>
      </w:tr>
      <w:tr w:rsidR="00405281" w:rsidRPr="00405281" w14:paraId="5669C605" w14:textId="77777777" w:rsidTr="00405281">
        <w:trPr>
          <w:trHeight w:val="509"/>
        </w:trPr>
        <w:tc>
          <w:tcPr>
            <w:tcW w:w="432" w:type="dxa"/>
            <w:tcBorders>
              <w:top w:val="single" w:sz="4" w:space="0" w:color="auto"/>
              <w:left w:val="single" w:sz="4" w:space="0" w:color="auto"/>
              <w:bottom w:val="single" w:sz="4" w:space="0" w:color="auto"/>
              <w:right w:val="single" w:sz="4" w:space="0" w:color="auto"/>
            </w:tcBorders>
            <w:hideMark/>
          </w:tcPr>
          <w:p w14:paraId="33561555"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lastRenderedPageBreak/>
              <w:t>4</w:t>
            </w:r>
          </w:p>
        </w:tc>
        <w:tc>
          <w:tcPr>
            <w:tcW w:w="1998" w:type="dxa"/>
            <w:tcBorders>
              <w:top w:val="single" w:sz="4" w:space="0" w:color="auto"/>
              <w:left w:val="single" w:sz="4" w:space="0" w:color="auto"/>
              <w:bottom w:val="single" w:sz="4" w:space="0" w:color="auto"/>
              <w:right w:val="single" w:sz="4" w:space="0" w:color="auto"/>
            </w:tcBorders>
            <w:hideMark/>
          </w:tcPr>
          <w:p w14:paraId="087D395F"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Renforcer les partenariats avec les organisations internationales ou régionales pertinentes et avec les accords multilatéraux sur l’environnement</w:t>
            </w:r>
          </w:p>
        </w:tc>
        <w:tc>
          <w:tcPr>
            <w:tcW w:w="1308" w:type="dxa"/>
            <w:tcBorders>
              <w:top w:val="single" w:sz="4" w:space="0" w:color="auto"/>
              <w:left w:val="single" w:sz="4" w:space="0" w:color="auto"/>
              <w:bottom w:val="single" w:sz="4" w:space="0" w:color="auto"/>
              <w:right w:val="single" w:sz="4" w:space="0" w:color="auto"/>
            </w:tcBorders>
            <w:hideMark/>
          </w:tcPr>
          <w:p w14:paraId="470E9CAC"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2020-2023</w:t>
            </w:r>
          </w:p>
        </w:tc>
        <w:tc>
          <w:tcPr>
            <w:tcW w:w="1693" w:type="dxa"/>
            <w:tcBorders>
              <w:top w:val="single" w:sz="4" w:space="0" w:color="auto"/>
              <w:left w:val="single" w:sz="4" w:space="0" w:color="auto"/>
              <w:bottom w:val="single" w:sz="4" w:space="0" w:color="auto"/>
              <w:right w:val="single" w:sz="4" w:space="0" w:color="auto"/>
            </w:tcBorders>
            <w:hideMark/>
          </w:tcPr>
          <w:p w14:paraId="169D3DF1"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Secrétariat de la CMS</w:t>
            </w:r>
          </w:p>
        </w:tc>
        <w:tc>
          <w:tcPr>
            <w:tcW w:w="2922" w:type="dxa"/>
            <w:tcBorders>
              <w:top w:val="single" w:sz="4" w:space="0" w:color="auto"/>
              <w:left w:val="single" w:sz="4" w:space="0" w:color="auto"/>
              <w:bottom w:val="single" w:sz="4" w:space="0" w:color="auto"/>
              <w:right w:val="single" w:sz="4" w:space="0" w:color="auto"/>
            </w:tcBorders>
            <w:hideMark/>
          </w:tcPr>
          <w:p w14:paraId="295DF6A8"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Mettre en œuvre une approche écosystémique à travers une coordination intersectorielle</w:t>
            </w:r>
          </w:p>
        </w:tc>
        <w:tc>
          <w:tcPr>
            <w:tcW w:w="1956" w:type="dxa"/>
            <w:tcBorders>
              <w:top w:val="single" w:sz="4" w:space="0" w:color="auto"/>
              <w:left w:val="single" w:sz="4" w:space="0" w:color="auto"/>
              <w:bottom w:val="single" w:sz="4" w:space="0" w:color="auto"/>
              <w:right w:val="single" w:sz="4" w:space="0" w:color="auto"/>
            </w:tcBorders>
            <w:hideMark/>
          </w:tcPr>
          <w:p w14:paraId="14CC560A"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Documents qui démontrent les engagements des partenaires à l’égard de la mise en œuvre du Plan d’action régional </w:t>
            </w:r>
          </w:p>
        </w:tc>
        <w:tc>
          <w:tcPr>
            <w:tcW w:w="1355" w:type="dxa"/>
            <w:gridSpan w:val="2"/>
            <w:tcBorders>
              <w:top w:val="single" w:sz="4" w:space="0" w:color="auto"/>
              <w:left w:val="single" w:sz="4" w:space="0" w:color="auto"/>
              <w:bottom w:val="single" w:sz="4" w:space="0" w:color="auto"/>
              <w:right w:val="single" w:sz="4" w:space="0" w:color="auto"/>
            </w:tcBorders>
            <w:hideMark/>
          </w:tcPr>
          <w:p w14:paraId="7E0D6A49"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 Au moins un partenaire reconnaît ou approuve le Plan d’action régional d’ici 2023.</w:t>
            </w:r>
          </w:p>
        </w:tc>
        <w:tc>
          <w:tcPr>
            <w:tcW w:w="1205" w:type="dxa"/>
            <w:tcBorders>
              <w:top w:val="single" w:sz="4" w:space="0" w:color="auto"/>
              <w:left w:val="single" w:sz="4" w:space="0" w:color="auto"/>
              <w:bottom w:val="single" w:sz="4" w:space="0" w:color="auto"/>
              <w:right w:val="single" w:sz="4" w:space="0" w:color="auto"/>
            </w:tcBorders>
            <w:hideMark/>
          </w:tcPr>
          <w:p w14:paraId="63B37C9C"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w:t>
            </w:r>
          </w:p>
        </w:tc>
        <w:tc>
          <w:tcPr>
            <w:tcW w:w="1623" w:type="dxa"/>
            <w:tcBorders>
              <w:top w:val="single" w:sz="4" w:space="0" w:color="auto"/>
              <w:left w:val="single" w:sz="4" w:space="0" w:color="auto"/>
              <w:bottom w:val="single" w:sz="4" w:space="0" w:color="auto"/>
              <w:right w:val="single" w:sz="4" w:space="0" w:color="auto"/>
            </w:tcBorders>
          </w:tcPr>
          <w:p w14:paraId="77C063E1"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Temps de travail du personnel du Secrétariat de la CMS</w:t>
            </w:r>
          </w:p>
          <w:p w14:paraId="2AC4AE91"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p>
        </w:tc>
      </w:tr>
      <w:tr w:rsidR="00405281" w:rsidRPr="00405281" w14:paraId="04566AE5" w14:textId="77777777" w:rsidTr="00405281">
        <w:trPr>
          <w:trHeight w:val="509"/>
        </w:trPr>
        <w:tc>
          <w:tcPr>
            <w:tcW w:w="432" w:type="dxa"/>
            <w:tcBorders>
              <w:top w:val="single" w:sz="4" w:space="0" w:color="auto"/>
              <w:left w:val="single" w:sz="4" w:space="0" w:color="auto"/>
              <w:bottom w:val="single" w:sz="4" w:space="0" w:color="auto"/>
              <w:right w:val="single" w:sz="4" w:space="0" w:color="auto"/>
            </w:tcBorders>
            <w:hideMark/>
          </w:tcPr>
          <w:p w14:paraId="32DE8363"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5</w:t>
            </w:r>
          </w:p>
        </w:tc>
        <w:tc>
          <w:tcPr>
            <w:tcW w:w="1998" w:type="dxa"/>
            <w:tcBorders>
              <w:top w:val="single" w:sz="4" w:space="0" w:color="auto"/>
              <w:left w:val="single" w:sz="4" w:space="0" w:color="auto"/>
              <w:bottom w:val="single" w:sz="4" w:space="0" w:color="auto"/>
              <w:right w:val="single" w:sz="4" w:space="0" w:color="auto"/>
            </w:tcBorders>
            <w:hideMark/>
          </w:tcPr>
          <w:p w14:paraId="1D633114"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Fournir un appui technique aux États de l’aire de répartition pour la mise en œuvre du Plan d’action actualisé</w:t>
            </w:r>
          </w:p>
        </w:tc>
        <w:tc>
          <w:tcPr>
            <w:tcW w:w="1308" w:type="dxa"/>
            <w:tcBorders>
              <w:top w:val="single" w:sz="4" w:space="0" w:color="auto"/>
              <w:left w:val="single" w:sz="4" w:space="0" w:color="auto"/>
              <w:bottom w:val="single" w:sz="4" w:space="0" w:color="auto"/>
              <w:right w:val="single" w:sz="4" w:space="0" w:color="auto"/>
            </w:tcBorders>
            <w:hideMark/>
          </w:tcPr>
          <w:p w14:paraId="015E8404"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2020-2023</w:t>
            </w:r>
          </w:p>
        </w:tc>
        <w:tc>
          <w:tcPr>
            <w:tcW w:w="1693" w:type="dxa"/>
            <w:tcBorders>
              <w:top w:val="single" w:sz="4" w:space="0" w:color="auto"/>
              <w:left w:val="single" w:sz="4" w:space="0" w:color="auto"/>
              <w:bottom w:val="single" w:sz="4" w:space="0" w:color="auto"/>
              <w:right w:val="single" w:sz="4" w:space="0" w:color="auto"/>
            </w:tcBorders>
          </w:tcPr>
          <w:p w14:paraId="21FB4653"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 xml:space="preserve">Secrétariat de la CMS en collaboration avec : </w:t>
            </w:r>
          </w:p>
          <w:p w14:paraId="3FC5B2D3"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p>
          <w:p w14:paraId="1E6A115F"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Organisations internationales ou régionales, organismes de financement, milieux universitaires, organisations non gouvernementales</w:t>
            </w:r>
          </w:p>
        </w:tc>
        <w:tc>
          <w:tcPr>
            <w:tcW w:w="2922" w:type="dxa"/>
            <w:tcBorders>
              <w:top w:val="single" w:sz="4" w:space="0" w:color="auto"/>
              <w:left w:val="single" w:sz="4" w:space="0" w:color="auto"/>
              <w:bottom w:val="single" w:sz="4" w:space="0" w:color="auto"/>
              <w:right w:val="single" w:sz="4" w:space="0" w:color="auto"/>
            </w:tcBorders>
            <w:hideMark/>
          </w:tcPr>
          <w:p w14:paraId="66293B08"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Faciliter la mise en œuvre du Plan d’action actualisé dès que le Plan est approuvé par les États de l’aire de répartition.</w:t>
            </w:r>
          </w:p>
        </w:tc>
        <w:tc>
          <w:tcPr>
            <w:tcW w:w="1956" w:type="dxa"/>
            <w:tcBorders>
              <w:top w:val="single" w:sz="4" w:space="0" w:color="auto"/>
              <w:left w:val="single" w:sz="4" w:space="0" w:color="auto"/>
              <w:bottom w:val="single" w:sz="4" w:space="0" w:color="auto"/>
              <w:right w:val="single" w:sz="4" w:space="0" w:color="auto"/>
            </w:tcBorders>
            <w:hideMark/>
          </w:tcPr>
          <w:p w14:paraId="56CA93B9"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Propositions de projets</w:t>
            </w:r>
          </w:p>
        </w:tc>
        <w:tc>
          <w:tcPr>
            <w:tcW w:w="1355" w:type="dxa"/>
            <w:gridSpan w:val="2"/>
            <w:tcBorders>
              <w:top w:val="single" w:sz="4" w:space="0" w:color="auto"/>
              <w:left w:val="single" w:sz="4" w:space="0" w:color="auto"/>
              <w:bottom w:val="single" w:sz="4" w:space="0" w:color="auto"/>
              <w:right w:val="single" w:sz="4" w:space="0" w:color="auto"/>
            </w:tcBorders>
            <w:hideMark/>
          </w:tcPr>
          <w:p w14:paraId="3491F6AD"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Au moins une proposition de projets est préparée d’ici 2023</w:t>
            </w:r>
          </w:p>
        </w:tc>
        <w:tc>
          <w:tcPr>
            <w:tcW w:w="1205" w:type="dxa"/>
            <w:tcBorders>
              <w:top w:val="single" w:sz="4" w:space="0" w:color="auto"/>
              <w:left w:val="single" w:sz="4" w:space="0" w:color="auto"/>
              <w:bottom w:val="single" w:sz="4" w:space="0" w:color="auto"/>
              <w:right w:val="single" w:sz="4" w:space="0" w:color="auto"/>
            </w:tcBorders>
            <w:hideMark/>
          </w:tcPr>
          <w:p w14:paraId="5EB115D9"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w:t>
            </w:r>
          </w:p>
        </w:tc>
        <w:tc>
          <w:tcPr>
            <w:tcW w:w="1623" w:type="dxa"/>
            <w:tcBorders>
              <w:top w:val="single" w:sz="4" w:space="0" w:color="auto"/>
              <w:left w:val="single" w:sz="4" w:space="0" w:color="auto"/>
              <w:bottom w:val="single" w:sz="4" w:space="0" w:color="auto"/>
              <w:right w:val="single" w:sz="4" w:space="0" w:color="auto"/>
            </w:tcBorders>
          </w:tcPr>
          <w:p w14:paraId="4AA01F37"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r w:rsidRPr="00405281">
              <w:rPr>
                <w:rFonts w:ascii="Arial" w:hAnsi="Arial" w:cs="Arial"/>
                <w:szCs w:val="20"/>
                <w:lang w:val="fr-FR"/>
              </w:rPr>
              <w:t>Temps de travail du personnel du Secrétariat de la CMS</w:t>
            </w:r>
          </w:p>
          <w:p w14:paraId="7BDA64B5" w14:textId="77777777" w:rsidR="00405281" w:rsidRPr="00405281" w:rsidRDefault="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p>
        </w:tc>
      </w:tr>
    </w:tbl>
    <w:p w14:paraId="024F7F7A" w14:textId="77777777" w:rsidR="00405281" w:rsidRPr="00405281" w:rsidRDefault="00405281" w:rsidP="00405281">
      <w:pPr>
        <w:pBdr>
          <w:top w:val="single" w:sz="6" w:space="0" w:color="FFFFFF"/>
          <w:left w:val="single" w:sz="6" w:space="0" w:color="FFFFFF"/>
          <w:bottom w:val="single" w:sz="6" w:space="0" w:color="FFFFFF"/>
          <w:right w:val="single" w:sz="6" w:space="0" w:color="FFFFFF"/>
        </w:pBdr>
        <w:jc w:val="both"/>
        <w:outlineLvl w:val="1"/>
        <w:rPr>
          <w:rFonts w:ascii="Arial" w:hAnsi="Arial" w:cs="Arial"/>
          <w:szCs w:val="20"/>
          <w:lang w:val="fr-FR"/>
        </w:rPr>
      </w:pPr>
    </w:p>
    <w:p w14:paraId="0A953E5F" w14:textId="77777777" w:rsidR="00405281" w:rsidRDefault="00405281">
      <w:pPr>
        <w:rPr>
          <w:rFonts w:ascii="Arial" w:hAnsi="Arial" w:cs="Arial"/>
          <w:szCs w:val="20"/>
          <w:lang w:val="fr-FR"/>
        </w:rPr>
        <w:sectPr w:rsidR="00405281" w:rsidSect="00405281">
          <w:footerReference w:type="first" r:id="rId13"/>
          <w:pgSz w:w="16838" w:h="11906" w:orient="landscape"/>
          <w:pgMar w:top="1134" w:right="1134" w:bottom="1134" w:left="1134" w:header="720" w:footer="720" w:gutter="0"/>
          <w:cols w:space="720"/>
          <w:titlePg/>
          <w:docGrid w:linePitch="272"/>
        </w:sectPr>
      </w:pPr>
    </w:p>
    <w:p w14:paraId="2B0DD8F8"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0D356C">
        <w:rPr>
          <w:rFonts w:ascii="Arial" w:hAnsi="Arial" w:cs="Arial"/>
          <w:b/>
          <w:sz w:val="22"/>
          <w:szCs w:val="22"/>
          <w:lang w:val="fr-FR"/>
        </w:rPr>
        <w:lastRenderedPageBreak/>
        <w:t>Avantages associés :</w:t>
      </w:r>
      <w:r w:rsidRPr="000D356C">
        <w:rPr>
          <w:rFonts w:ascii="Arial" w:hAnsi="Arial" w:cs="Arial"/>
          <w:sz w:val="22"/>
          <w:szCs w:val="22"/>
          <w:lang w:val="fr-FR"/>
        </w:rPr>
        <w:t xml:space="preserve"> </w:t>
      </w:r>
    </w:p>
    <w:p w14:paraId="4D497B2F"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170792CB"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L’Action concertée renouvelée ou actualisée inclura des activités alignées sur une approche écosystémique, visant à maintenir ou à restaurer les habitats de la mégafaune sahélo-saharienne</w:t>
      </w:r>
      <w:r w:rsidRPr="000D356C">
        <w:rPr>
          <w:rFonts w:ascii="Arial" w:hAnsi="Arial" w:cs="Arial"/>
          <w:sz w:val="22"/>
          <w:szCs w:val="22"/>
          <w:vertAlign w:val="superscript"/>
          <w:lang w:val="en-GB"/>
        </w:rPr>
        <w:footnoteReference w:id="13"/>
      </w:r>
      <w:r w:rsidRPr="000D356C">
        <w:rPr>
          <w:rFonts w:ascii="Arial" w:hAnsi="Arial" w:cs="Arial"/>
          <w:sz w:val="22"/>
          <w:szCs w:val="22"/>
          <w:lang w:val="fr-FR"/>
        </w:rPr>
        <w:t xml:space="preserve">. Cette approche profitera également à d’autres espèces qui partagent des habitats dans la région. Par exemple, des oiseaux migrateurs partagent leurs habitats avec l’addax et la gazelle dama au Niger. Il s’agit notamment du vautour de </w:t>
      </w:r>
      <w:proofErr w:type="spellStart"/>
      <w:r w:rsidRPr="000D356C">
        <w:rPr>
          <w:rFonts w:ascii="Arial" w:hAnsi="Arial" w:cs="Arial"/>
          <w:sz w:val="22"/>
          <w:szCs w:val="22"/>
          <w:lang w:val="fr-FR"/>
        </w:rPr>
        <w:t>Rüppell</w:t>
      </w:r>
      <w:proofErr w:type="spellEnd"/>
      <w:r w:rsidRPr="000D356C">
        <w:rPr>
          <w:rFonts w:ascii="Arial" w:hAnsi="Arial" w:cs="Arial"/>
          <w:sz w:val="22"/>
          <w:szCs w:val="22"/>
          <w:lang w:val="fr-FR"/>
        </w:rPr>
        <w:t xml:space="preserve"> (</w:t>
      </w:r>
      <w:proofErr w:type="spellStart"/>
      <w:r w:rsidRPr="000D356C">
        <w:rPr>
          <w:rFonts w:ascii="Arial" w:hAnsi="Arial" w:cs="Arial"/>
          <w:i/>
          <w:sz w:val="22"/>
          <w:szCs w:val="22"/>
          <w:lang w:val="fr-FR"/>
        </w:rPr>
        <w:t>Gyps</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rueppelli</w:t>
      </w:r>
      <w:proofErr w:type="spellEnd"/>
      <w:r w:rsidRPr="000D356C">
        <w:rPr>
          <w:rFonts w:ascii="Arial" w:hAnsi="Arial" w:cs="Arial"/>
          <w:sz w:val="22"/>
          <w:szCs w:val="22"/>
          <w:lang w:val="fr-FR"/>
        </w:rPr>
        <w:t>), du vautour charognard (</w:t>
      </w:r>
      <w:proofErr w:type="spellStart"/>
      <w:r w:rsidRPr="000D356C">
        <w:rPr>
          <w:rFonts w:ascii="Arial" w:hAnsi="Arial" w:cs="Arial"/>
          <w:i/>
          <w:sz w:val="22"/>
          <w:szCs w:val="22"/>
          <w:lang w:val="fr-FR"/>
        </w:rPr>
        <w:t>Necrosyrtes</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monachus</w:t>
      </w:r>
      <w:proofErr w:type="spellEnd"/>
      <w:r w:rsidRPr="000D356C">
        <w:rPr>
          <w:rFonts w:ascii="Arial" w:hAnsi="Arial" w:cs="Arial"/>
          <w:sz w:val="22"/>
          <w:szCs w:val="22"/>
          <w:lang w:val="fr-FR"/>
        </w:rPr>
        <w:t>) et du vautour africain (</w:t>
      </w:r>
      <w:proofErr w:type="spellStart"/>
      <w:r w:rsidRPr="000D356C">
        <w:rPr>
          <w:rFonts w:ascii="Arial" w:hAnsi="Arial" w:cs="Arial"/>
          <w:i/>
          <w:sz w:val="22"/>
          <w:szCs w:val="22"/>
          <w:lang w:val="fr-FR"/>
        </w:rPr>
        <w:t>Gyps</w:t>
      </w:r>
      <w:proofErr w:type="spellEnd"/>
      <w:r w:rsidRPr="000D356C">
        <w:rPr>
          <w:rFonts w:ascii="Arial" w:hAnsi="Arial" w:cs="Arial"/>
          <w:i/>
          <w:sz w:val="22"/>
          <w:szCs w:val="22"/>
          <w:lang w:val="fr-FR"/>
        </w:rPr>
        <w:t xml:space="preserve"> africanus</w:t>
      </w:r>
      <w:r w:rsidRPr="000D356C">
        <w:rPr>
          <w:rFonts w:ascii="Arial" w:hAnsi="Arial" w:cs="Arial"/>
          <w:sz w:val="22"/>
          <w:szCs w:val="22"/>
          <w:lang w:val="fr-FR"/>
        </w:rPr>
        <w:t xml:space="preserve">) qui figurent dans les Annexes de la CMS. </w:t>
      </w:r>
    </w:p>
    <w:p w14:paraId="18972B9F"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7A713D3D"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En outre, l’Action concertée contribuera à la Décennie des Nations Unies pour la restauration des écosystèmes (2021-2023) tout en aidant à restaurer la mégafaune sahélo-saharienne. </w:t>
      </w:r>
    </w:p>
    <w:p w14:paraId="65473C21"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78DA9846"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0D356C">
        <w:rPr>
          <w:rFonts w:ascii="Arial" w:hAnsi="Arial" w:cs="Arial"/>
          <w:b/>
          <w:sz w:val="22"/>
          <w:szCs w:val="22"/>
          <w:lang w:val="fr-FR"/>
        </w:rPr>
        <w:t>Délais :</w:t>
      </w:r>
    </w:p>
    <w:p w14:paraId="7510B0E9"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1C5FC1AC"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Le calendrier des actions susmentionnées est fixé pour 2020-2023.  </w:t>
      </w:r>
    </w:p>
    <w:p w14:paraId="2095B409"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2A287ADD"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0D356C">
        <w:rPr>
          <w:rFonts w:ascii="Arial" w:hAnsi="Arial" w:cs="Arial"/>
          <w:b/>
          <w:sz w:val="22"/>
          <w:szCs w:val="22"/>
          <w:lang w:val="fr-FR"/>
        </w:rPr>
        <w:t>Relation avec d’autres actions de la CMS :</w:t>
      </w:r>
      <w:r w:rsidRPr="000D356C">
        <w:rPr>
          <w:rFonts w:ascii="Arial" w:hAnsi="Arial" w:cs="Arial"/>
          <w:sz w:val="22"/>
          <w:szCs w:val="22"/>
          <w:lang w:val="fr-FR"/>
        </w:rPr>
        <w:t xml:space="preserve"> </w:t>
      </w:r>
    </w:p>
    <w:p w14:paraId="6DFE2F99"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4B74ED14"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lang w:val="fr-FR"/>
        </w:rPr>
      </w:pPr>
      <w:r w:rsidRPr="000D356C">
        <w:rPr>
          <w:rFonts w:ascii="Arial" w:hAnsi="Arial" w:cs="Arial"/>
          <w:b/>
          <w:sz w:val="22"/>
          <w:szCs w:val="22"/>
          <w:lang w:val="fr-FR"/>
        </w:rPr>
        <w:t>A. Mise en œuvre du Plan stratégique pour les espèces migratrices 2015-2023</w:t>
      </w:r>
    </w:p>
    <w:p w14:paraId="5FB7F2B4"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b/>
          <w:sz w:val="22"/>
          <w:szCs w:val="22"/>
          <w:lang w:val="fr-FR"/>
        </w:rPr>
      </w:pPr>
    </w:p>
    <w:p w14:paraId="2EE6C672"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L’Action concertée contribuera à la réalisation des objectifs 7, 8 et 9 du Plan stratégique pour les espèces migratrices (2015-2023). </w:t>
      </w:r>
    </w:p>
    <w:p w14:paraId="6657E232"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548D8FC0"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55D08EB1"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b/>
          <w:sz w:val="22"/>
          <w:szCs w:val="22"/>
          <w:lang w:val="fr-FR"/>
        </w:rPr>
        <w:t>B. Synergies avec l’Initiative pour les carnivores d’Afrique</w:t>
      </w:r>
    </w:p>
    <w:p w14:paraId="3CFF0341"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1E2C9E1F"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À la COP12 de la CMS organisée à Manille en 2017, le Secrétariat de la CMS a été prié d’établir l’Initiative conjointe CITES-CMS pour les carnivores d’Afrique à travers la Décision 12.60. L’Initiative comprend le guépard (</w:t>
      </w:r>
      <w:proofErr w:type="spellStart"/>
      <w:r w:rsidRPr="000D356C">
        <w:rPr>
          <w:rFonts w:ascii="Arial" w:hAnsi="Arial" w:cs="Arial"/>
          <w:i/>
          <w:sz w:val="22"/>
          <w:szCs w:val="22"/>
          <w:lang w:val="fr-FR"/>
        </w:rPr>
        <w:t>acinonyx</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jubatus</w:t>
      </w:r>
      <w:proofErr w:type="spellEnd"/>
      <w:r w:rsidRPr="000D356C">
        <w:rPr>
          <w:rFonts w:ascii="Arial" w:hAnsi="Arial" w:cs="Arial"/>
          <w:sz w:val="22"/>
          <w:szCs w:val="22"/>
          <w:lang w:val="fr-FR"/>
        </w:rPr>
        <w:t>), le lion d’Afrique (</w:t>
      </w:r>
      <w:r w:rsidRPr="000D356C">
        <w:rPr>
          <w:rFonts w:ascii="Arial" w:hAnsi="Arial" w:cs="Arial"/>
          <w:i/>
          <w:sz w:val="22"/>
          <w:szCs w:val="22"/>
          <w:lang w:val="fr-FR"/>
        </w:rPr>
        <w:t xml:space="preserve">panthera </w:t>
      </w:r>
      <w:proofErr w:type="spellStart"/>
      <w:r w:rsidRPr="000D356C">
        <w:rPr>
          <w:rFonts w:ascii="Arial" w:hAnsi="Arial" w:cs="Arial"/>
          <w:i/>
          <w:sz w:val="22"/>
          <w:szCs w:val="22"/>
          <w:lang w:val="fr-FR"/>
        </w:rPr>
        <w:t>leo</w:t>
      </w:r>
      <w:proofErr w:type="spellEnd"/>
      <w:r w:rsidRPr="000D356C">
        <w:rPr>
          <w:rFonts w:ascii="Arial" w:hAnsi="Arial" w:cs="Arial"/>
          <w:sz w:val="22"/>
          <w:szCs w:val="22"/>
          <w:lang w:val="fr-FR"/>
        </w:rPr>
        <w:t>), le léopard (</w:t>
      </w:r>
      <w:r w:rsidRPr="000D356C">
        <w:rPr>
          <w:rFonts w:ascii="Arial" w:hAnsi="Arial" w:cs="Arial"/>
          <w:i/>
          <w:sz w:val="22"/>
          <w:szCs w:val="22"/>
          <w:lang w:val="fr-FR"/>
        </w:rPr>
        <w:t xml:space="preserve">panthera </w:t>
      </w:r>
      <w:proofErr w:type="spellStart"/>
      <w:r w:rsidRPr="000D356C">
        <w:rPr>
          <w:rFonts w:ascii="Arial" w:hAnsi="Arial" w:cs="Arial"/>
          <w:i/>
          <w:sz w:val="22"/>
          <w:szCs w:val="22"/>
          <w:lang w:val="fr-FR"/>
        </w:rPr>
        <w:t>pardus</w:t>
      </w:r>
      <w:proofErr w:type="spellEnd"/>
      <w:r w:rsidRPr="000D356C">
        <w:rPr>
          <w:rFonts w:ascii="Arial" w:hAnsi="Arial" w:cs="Arial"/>
          <w:sz w:val="22"/>
          <w:szCs w:val="22"/>
          <w:lang w:val="fr-FR"/>
        </w:rPr>
        <w:t>) et le lycaon (</w:t>
      </w:r>
      <w:r w:rsidRPr="000D356C">
        <w:rPr>
          <w:rFonts w:ascii="Arial" w:hAnsi="Arial" w:cs="Arial"/>
          <w:i/>
          <w:sz w:val="22"/>
          <w:szCs w:val="22"/>
          <w:lang w:val="fr-FR"/>
        </w:rPr>
        <w:t xml:space="preserve">lycaon </w:t>
      </w:r>
      <w:proofErr w:type="spellStart"/>
      <w:r w:rsidRPr="000D356C">
        <w:rPr>
          <w:rFonts w:ascii="Arial" w:hAnsi="Arial" w:cs="Arial"/>
          <w:i/>
          <w:sz w:val="22"/>
          <w:szCs w:val="22"/>
          <w:lang w:val="fr-FR"/>
        </w:rPr>
        <w:t>pictus</w:t>
      </w:r>
      <w:proofErr w:type="spellEnd"/>
      <w:r w:rsidRPr="000D356C">
        <w:rPr>
          <w:rFonts w:ascii="Arial" w:hAnsi="Arial" w:cs="Arial"/>
          <w:sz w:val="22"/>
          <w:szCs w:val="22"/>
          <w:lang w:val="fr-FR"/>
        </w:rPr>
        <w:t xml:space="preserve">).  </w:t>
      </w:r>
    </w:p>
    <w:p w14:paraId="30BAC602"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084AFDCB"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Ces espèces étant présentes dans les États de l’aire de répartition de la mégafaune sahélo-saharienne, il devrait y avoir des synergies de mesures de conservation entre l’Action concertée pour la mégafaune sahélo-saharienne et l’Initiative conjointe CITES-CMS pour les carnivores d’Afrique. </w:t>
      </w:r>
    </w:p>
    <w:p w14:paraId="3FF6F7AA"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008800F7"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0D356C">
        <w:rPr>
          <w:rFonts w:ascii="Arial" w:hAnsi="Arial" w:cs="Arial"/>
          <w:b/>
          <w:sz w:val="22"/>
          <w:szCs w:val="22"/>
          <w:lang w:val="fr-FR"/>
        </w:rPr>
        <w:t>Priorité de conservation :</w:t>
      </w:r>
      <w:r w:rsidRPr="000D356C">
        <w:rPr>
          <w:rFonts w:ascii="Arial" w:hAnsi="Arial" w:cs="Arial"/>
          <w:sz w:val="22"/>
          <w:szCs w:val="22"/>
          <w:lang w:val="fr-FR"/>
        </w:rPr>
        <w:t xml:space="preserve"> </w:t>
      </w:r>
    </w:p>
    <w:p w14:paraId="7C99ACCA"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2E86AFE8"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La mégafaune sahélo-saharienne est actuellement confrontée à un déclin catastrophique en raison de menaces multiples telles que la chasse non durable, le développement des infrastructures, l’expansion de l’agriculture, l’urbanisation et les activités d’extraction de ressources. La région est également confrontée à des défis croissants en matière de sécurité, ce qui compromet les efforts de conservation. Cette situation nécessite une action urgente pour faire face à l’impact cumulatif des activités humaines sur les espèces de la mégafaune sahélo-saharienne et sur leurs habitats</w:t>
      </w:r>
      <w:r w:rsidRPr="000D356C">
        <w:rPr>
          <w:rFonts w:ascii="Arial" w:hAnsi="Arial" w:cs="Arial"/>
          <w:sz w:val="22"/>
          <w:szCs w:val="22"/>
          <w:vertAlign w:val="superscript"/>
          <w:lang w:val="en-GB"/>
        </w:rPr>
        <w:footnoteReference w:id="14"/>
      </w:r>
      <w:r w:rsidRPr="000D356C">
        <w:rPr>
          <w:rFonts w:ascii="Arial" w:hAnsi="Arial" w:cs="Arial"/>
          <w:sz w:val="22"/>
          <w:szCs w:val="22"/>
          <w:lang w:val="fr-FR"/>
        </w:rPr>
        <w:t>.</w:t>
      </w:r>
    </w:p>
    <w:p w14:paraId="0017134E"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br w:type="page"/>
      </w:r>
    </w:p>
    <w:p w14:paraId="104C3769"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fr-FR"/>
        </w:rPr>
      </w:pPr>
      <w:r w:rsidRPr="000D356C">
        <w:rPr>
          <w:rFonts w:ascii="Arial" w:hAnsi="Arial" w:cs="Arial"/>
          <w:b/>
          <w:sz w:val="22"/>
          <w:szCs w:val="22"/>
          <w:lang w:val="fr-FR"/>
        </w:rPr>
        <w:lastRenderedPageBreak/>
        <w:t xml:space="preserve">Tableau 2 : Résumé de l’état de conservation des huit espèces couvertes par l’Action concertée pour la mégafaune sahélo-saharienne </w:t>
      </w:r>
    </w:p>
    <w:p w14:paraId="56F660BB"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fr-FR"/>
        </w:rPr>
      </w:pPr>
    </w:p>
    <w:tbl>
      <w:tblPr>
        <w:tblStyle w:val="TableGrid"/>
        <w:tblW w:w="8505" w:type="dxa"/>
        <w:tblInd w:w="421" w:type="dxa"/>
        <w:tblLook w:val="04A0" w:firstRow="1" w:lastRow="0" w:firstColumn="1" w:lastColumn="0" w:noHBand="0" w:noVBand="1"/>
      </w:tblPr>
      <w:tblGrid>
        <w:gridCol w:w="5244"/>
        <w:gridCol w:w="3261"/>
      </w:tblGrid>
      <w:tr w:rsidR="000D356C" w:rsidRPr="000D356C" w14:paraId="2F9D588C" w14:textId="77777777" w:rsidTr="000D356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9C629"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fr-FR"/>
              </w:rPr>
            </w:pPr>
            <w:r w:rsidRPr="000D356C">
              <w:rPr>
                <w:rFonts w:ascii="Arial" w:hAnsi="Arial" w:cs="Arial"/>
                <w:b/>
                <w:sz w:val="22"/>
                <w:szCs w:val="22"/>
                <w:lang w:val="fr-FR"/>
              </w:rPr>
              <w:t xml:space="preserve">Espèce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3ED8F"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fr-FR"/>
              </w:rPr>
            </w:pPr>
            <w:r w:rsidRPr="000D356C">
              <w:rPr>
                <w:rFonts w:ascii="Arial" w:hAnsi="Arial" w:cs="Arial"/>
                <w:b/>
                <w:sz w:val="22"/>
                <w:szCs w:val="22"/>
                <w:lang w:val="fr-FR"/>
              </w:rPr>
              <w:t>État de conservation</w:t>
            </w:r>
          </w:p>
        </w:tc>
      </w:tr>
      <w:tr w:rsidR="000D356C" w:rsidRPr="000D356C" w14:paraId="66E50F05" w14:textId="77777777" w:rsidTr="000D356C">
        <w:tc>
          <w:tcPr>
            <w:tcW w:w="5244" w:type="dxa"/>
            <w:tcBorders>
              <w:top w:val="single" w:sz="4" w:space="0" w:color="auto"/>
              <w:left w:val="single" w:sz="4" w:space="0" w:color="auto"/>
              <w:bottom w:val="single" w:sz="4" w:space="0" w:color="auto"/>
              <w:right w:val="single" w:sz="4" w:space="0" w:color="auto"/>
            </w:tcBorders>
            <w:hideMark/>
          </w:tcPr>
          <w:p w14:paraId="425AC548"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Addax (a</w:t>
            </w:r>
            <w:r w:rsidRPr="000D356C">
              <w:rPr>
                <w:rFonts w:ascii="Arial" w:hAnsi="Arial" w:cs="Arial"/>
                <w:i/>
                <w:sz w:val="22"/>
                <w:szCs w:val="22"/>
                <w:lang w:val="fr-FR"/>
              </w:rPr>
              <w:t xml:space="preserve">ddax </w:t>
            </w:r>
            <w:proofErr w:type="spellStart"/>
            <w:r w:rsidRPr="000D356C">
              <w:rPr>
                <w:rFonts w:ascii="Arial" w:hAnsi="Arial" w:cs="Arial"/>
                <w:i/>
                <w:sz w:val="22"/>
                <w:szCs w:val="22"/>
                <w:lang w:val="fr-FR"/>
              </w:rPr>
              <w:t>nasomaculatus</w:t>
            </w:r>
            <w:proofErr w:type="spellEnd"/>
            <w:r w:rsidRPr="000D356C">
              <w:rPr>
                <w:rFonts w:ascii="Arial" w:hAnsi="Arial" w:cs="Arial"/>
                <w:sz w:val="22"/>
                <w:szCs w:val="22"/>
                <w:lang w:val="fr-FR"/>
              </w:rPr>
              <w:t>)</w:t>
            </w:r>
          </w:p>
        </w:tc>
        <w:tc>
          <w:tcPr>
            <w:tcW w:w="3261" w:type="dxa"/>
            <w:tcBorders>
              <w:top w:val="single" w:sz="4" w:space="0" w:color="auto"/>
              <w:left w:val="single" w:sz="4" w:space="0" w:color="auto"/>
              <w:bottom w:val="single" w:sz="4" w:space="0" w:color="auto"/>
              <w:right w:val="single" w:sz="4" w:space="0" w:color="auto"/>
            </w:tcBorders>
            <w:hideMark/>
          </w:tcPr>
          <w:p w14:paraId="2F4F2D81"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En danger critique d’extinction A2cd ; C2a(ii) ; D </w:t>
            </w:r>
          </w:p>
          <w:p w14:paraId="0B91793F"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(UICN 2016)</w:t>
            </w:r>
          </w:p>
        </w:tc>
      </w:tr>
      <w:tr w:rsidR="000D356C" w:rsidRPr="000D356C" w14:paraId="4E013593" w14:textId="77777777" w:rsidTr="000D356C">
        <w:tc>
          <w:tcPr>
            <w:tcW w:w="5244" w:type="dxa"/>
            <w:tcBorders>
              <w:top w:val="single" w:sz="4" w:space="0" w:color="auto"/>
              <w:left w:val="single" w:sz="4" w:space="0" w:color="auto"/>
              <w:bottom w:val="single" w:sz="4" w:space="0" w:color="auto"/>
              <w:right w:val="single" w:sz="4" w:space="0" w:color="auto"/>
            </w:tcBorders>
            <w:hideMark/>
          </w:tcPr>
          <w:p w14:paraId="7C7E284D"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Mouflon de Barbarie (</w:t>
            </w:r>
            <w:proofErr w:type="spellStart"/>
            <w:r w:rsidRPr="000D356C">
              <w:rPr>
                <w:rFonts w:ascii="Arial" w:hAnsi="Arial" w:cs="Arial"/>
                <w:i/>
                <w:sz w:val="22"/>
                <w:szCs w:val="22"/>
                <w:lang w:val="fr-FR"/>
              </w:rPr>
              <w:t>ammotragus</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lervia</w:t>
            </w:r>
            <w:proofErr w:type="spellEnd"/>
            <w:r w:rsidRPr="000D356C">
              <w:rPr>
                <w:rFonts w:ascii="Arial" w:hAnsi="Arial" w:cs="Arial"/>
                <w:sz w:val="22"/>
                <w:szCs w:val="22"/>
                <w:lang w:val="fr-FR"/>
              </w:rPr>
              <w:t>)</w:t>
            </w:r>
          </w:p>
        </w:tc>
        <w:tc>
          <w:tcPr>
            <w:tcW w:w="3261" w:type="dxa"/>
            <w:tcBorders>
              <w:top w:val="single" w:sz="4" w:space="0" w:color="auto"/>
              <w:left w:val="single" w:sz="4" w:space="0" w:color="auto"/>
              <w:bottom w:val="single" w:sz="4" w:space="0" w:color="auto"/>
              <w:right w:val="single" w:sz="4" w:space="0" w:color="auto"/>
            </w:tcBorders>
            <w:hideMark/>
          </w:tcPr>
          <w:p w14:paraId="0EDD0AFC"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Vulnérable C1</w:t>
            </w:r>
          </w:p>
          <w:p w14:paraId="50FB2682"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(UICN 2008)</w:t>
            </w:r>
          </w:p>
        </w:tc>
      </w:tr>
      <w:tr w:rsidR="000D356C" w:rsidRPr="000D356C" w14:paraId="2C2D92B8" w14:textId="77777777" w:rsidTr="000D356C">
        <w:tc>
          <w:tcPr>
            <w:tcW w:w="5244" w:type="dxa"/>
            <w:tcBorders>
              <w:top w:val="single" w:sz="4" w:space="0" w:color="auto"/>
              <w:left w:val="single" w:sz="4" w:space="0" w:color="auto"/>
              <w:bottom w:val="single" w:sz="4" w:space="0" w:color="auto"/>
              <w:right w:val="single" w:sz="4" w:space="0" w:color="auto"/>
            </w:tcBorders>
            <w:hideMark/>
          </w:tcPr>
          <w:p w14:paraId="1F7114E8"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Gazelle de Cuvier (</w:t>
            </w:r>
            <w:proofErr w:type="spellStart"/>
            <w:r w:rsidRPr="000D356C">
              <w:rPr>
                <w:rFonts w:ascii="Arial" w:hAnsi="Arial" w:cs="Arial"/>
                <w:i/>
                <w:sz w:val="22"/>
                <w:szCs w:val="22"/>
                <w:lang w:val="fr-FR"/>
              </w:rPr>
              <w:t>gazella</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cuvieri</w:t>
            </w:r>
            <w:proofErr w:type="spellEnd"/>
            <w:r w:rsidRPr="000D356C">
              <w:rPr>
                <w:rFonts w:ascii="Arial" w:hAnsi="Arial" w:cs="Arial"/>
                <w:sz w:val="22"/>
                <w:szCs w:val="22"/>
                <w:lang w:val="fr-FR"/>
              </w:rPr>
              <w:t>)</w:t>
            </w:r>
          </w:p>
        </w:tc>
        <w:tc>
          <w:tcPr>
            <w:tcW w:w="3261" w:type="dxa"/>
            <w:tcBorders>
              <w:top w:val="single" w:sz="4" w:space="0" w:color="auto"/>
              <w:left w:val="single" w:sz="4" w:space="0" w:color="auto"/>
              <w:bottom w:val="single" w:sz="4" w:space="0" w:color="auto"/>
              <w:right w:val="single" w:sz="4" w:space="0" w:color="auto"/>
            </w:tcBorders>
            <w:hideMark/>
          </w:tcPr>
          <w:p w14:paraId="503BCD37"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Vulnérable C2a(i) </w:t>
            </w:r>
          </w:p>
          <w:p w14:paraId="213C9505"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(UICN 2016)</w:t>
            </w:r>
          </w:p>
        </w:tc>
      </w:tr>
      <w:tr w:rsidR="000D356C" w:rsidRPr="000D356C" w14:paraId="477A24CF" w14:textId="77777777" w:rsidTr="000D356C">
        <w:tc>
          <w:tcPr>
            <w:tcW w:w="5244" w:type="dxa"/>
            <w:tcBorders>
              <w:top w:val="single" w:sz="4" w:space="0" w:color="auto"/>
              <w:left w:val="single" w:sz="4" w:space="0" w:color="auto"/>
              <w:bottom w:val="single" w:sz="4" w:space="0" w:color="auto"/>
              <w:right w:val="single" w:sz="4" w:space="0" w:color="auto"/>
            </w:tcBorders>
            <w:hideMark/>
          </w:tcPr>
          <w:p w14:paraId="6B6275A2"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Gazelle dama (</w:t>
            </w:r>
            <w:proofErr w:type="spellStart"/>
            <w:r w:rsidRPr="000D356C">
              <w:rPr>
                <w:rFonts w:ascii="Arial" w:hAnsi="Arial" w:cs="Arial"/>
                <w:i/>
                <w:sz w:val="22"/>
                <w:szCs w:val="22"/>
                <w:lang w:val="fr-FR"/>
              </w:rPr>
              <w:t>nanger</w:t>
            </w:r>
            <w:proofErr w:type="spellEnd"/>
            <w:r w:rsidRPr="000D356C">
              <w:rPr>
                <w:rFonts w:ascii="Arial" w:hAnsi="Arial" w:cs="Arial"/>
                <w:i/>
                <w:sz w:val="22"/>
                <w:szCs w:val="22"/>
                <w:lang w:val="fr-FR"/>
              </w:rPr>
              <w:t xml:space="preserve"> dama</w:t>
            </w:r>
            <w:r w:rsidRPr="000D356C">
              <w:rPr>
                <w:rFonts w:ascii="Arial" w:hAnsi="Arial" w:cs="Arial"/>
                <w:sz w:val="22"/>
                <w:szCs w:val="22"/>
                <w:lang w:val="fr-FR"/>
              </w:rPr>
              <w:t>)</w:t>
            </w:r>
          </w:p>
        </w:tc>
        <w:tc>
          <w:tcPr>
            <w:tcW w:w="3261" w:type="dxa"/>
            <w:tcBorders>
              <w:top w:val="single" w:sz="4" w:space="0" w:color="auto"/>
              <w:left w:val="single" w:sz="4" w:space="0" w:color="auto"/>
              <w:bottom w:val="single" w:sz="4" w:space="0" w:color="auto"/>
              <w:right w:val="single" w:sz="4" w:space="0" w:color="auto"/>
            </w:tcBorders>
            <w:hideMark/>
          </w:tcPr>
          <w:p w14:paraId="3B47AB0F"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En danger critique d’extinction C2a(i) (UICN 2015)</w:t>
            </w:r>
          </w:p>
        </w:tc>
      </w:tr>
      <w:tr w:rsidR="000D356C" w:rsidRPr="000D356C" w14:paraId="0AA74D2D" w14:textId="77777777" w:rsidTr="000D356C">
        <w:tc>
          <w:tcPr>
            <w:tcW w:w="5244" w:type="dxa"/>
            <w:tcBorders>
              <w:top w:val="single" w:sz="4" w:space="0" w:color="auto"/>
              <w:left w:val="single" w:sz="4" w:space="0" w:color="auto"/>
              <w:bottom w:val="single" w:sz="4" w:space="0" w:color="auto"/>
              <w:right w:val="single" w:sz="4" w:space="0" w:color="auto"/>
            </w:tcBorders>
            <w:hideMark/>
          </w:tcPr>
          <w:p w14:paraId="33E2E22E"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Gazelle dorcas (</w:t>
            </w:r>
            <w:proofErr w:type="spellStart"/>
            <w:r w:rsidRPr="000D356C">
              <w:rPr>
                <w:rFonts w:ascii="Arial" w:hAnsi="Arial" w:cs="Arial"/>
                <w:i/>
                <w:sz w:val="22"/>
                <w:szCs w:val="22"/>
                <w:lang w:val="fr-FR"/>
              </w:rPr>
              <w:t>gazella</w:t>
            </w:r>
            <w:proofErr w:type="spellEnd"/>
            <w:r w:rsidRPr="000D356C">
              <w:rPr>
                <w:rFonts w:ascii="Arial" w:hAnsi="Arial" w:cs="Arial"/>
                <w:i/>
                <w:sz w:val="22"/>
                <w:szCs w:val="22"/>
                <w:lang w:val="fr-FR"/>
              </w:rPr>
              <w:t xml:space="preserve"> dorcas</w:t>
            </w:r>
            <w:r w:rsidRPr="000D356C">
              <w:rPr>
                <w:rFonts w:ascii="Arial" w:hAnsi="Arial" w:cs="Arial"/>
                <w:sz w:val="22"/>
                <w:szCs w:val="22"/>
                <w:lang w:val="fr-FR"/>
              </w:rPr>
              <w:t>)</w:t>
            </w:r>
          </w:p>
        </w:tc>
        <w:tc>
          <w:tcPr>
            <w:tcW w:w="3261" w:type="dxa"/>
            <w:tcBorders>
              <w:top w:val="single" w:sz="4" w:space="0" w:color="auto"/>
              <w:left w:val="single" w:sz="4" w:space="0" w:color="auto"/>
              <w:bottom w:val="single" w:sz="4" w:space="0" w:color="auto"/>
              <w:right w:val="single" w:sz="4" w:space="0" w:color="auto"/>
            </w:tcBorders>
            <w:hideMark/>
          </w:tcPr>
          <w:p w14:paraId="220BD568"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Vulnérable A2cd</w:t>
            </w:r>
          </w:p>
          <w:p w14:paraId="3B06B054"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(UICN 2016)</w:t>
            </w:r>
          </w:p>
        </w:tc>
      </w:tr>
      <w:tr w:rsidR="000D356C" w:rsidRPr="000D356C" w14:paraId="4AC73787" w14:textId="77777777" w:rsidTr="000D356C">
        <w:tc>
          <w:tcPr>
            <w:tcW w:w="5244" w:type="dxa"/>
            <w:tcBorders>
              <w:top w:val="single" w:sz="4" w:space="0" w:color="auto"/>
              <w:left w:val="single" w:sz="4" w:space="0" w:color="auto"/>
              <w:bottom w:val="single" w:sz="4" w:space="0" w:color="auto"/>
              <w:right w:val="single" w:sz="4" w:space="0" w:color="auto"/>
            </w:tcBorders>
            <w:hideMark/>
          </w:tcPr>
          <w:p w14:paraId="4F4875D6"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Gazelle à front roux (</w:t>
            </w:r>
            <w:proofErr w:type="spellStart"/>
            <w:r w:rsidRPr="000D356C">
              <w:rPr>
                <w:rFonts w:ascii="Arial" w:hAnsi="Arial" w:cs="Arial"/>
                <w:i/>
                <w:sz w:val="22"/>
                <w:szCs w:val="22"/>
                <w:lang w:val="fr-FR"/>
              </w:rPr>
              <w:t>eudorcas</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rufifrons</w:t>
            </w:r>
            <w:proofErr w:type="spellEnd"/>
            <w:r w:rsidRPr="000D356C">
              <w:rPr>
                <w:rFonts w:ascii="Arial" w:hAnsi="Arial" w:cs="Arial"/>
                <w:sz w:val="22"/>
                <w:szCs w:val="22"/>
                <w:lang w:val="fr-FR"/>
              </w:rPr>
              <w:t>)</w:t>
            </w:r>
          </w:p>
        </w:tc>
        <w:tc>
          <w:tcPr>
            <w:tcW w:w="3261" w:type="dxa"/>
            <w:tcBorders>
              <w:top w:val="single" w:sz="4" w:space="0" w:color="auto"/>
              <w:left w:val="single" w:sz="4" w:space="0" w:color="auto"/>
              <w:bottom w:val="single" w:sz="4" w:space="0" w:color="auto"/>
              <w:right w:val="single" w:sz="4" w:space="0" w:color="auto"/>
            </w:tcBorders>
            <w:hideMark/>
          </w:tcPr>
          <w:p w14:paraId="29DD7F51"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Vulnérable A2cd </w:t>
            </w:r>
          </w:p>
          <w:p w14:paraId="316A0178"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(UICN 2016)</w:t>
            </w:r>
          </w:p>
        </w:tc>
      </w:tr>
      <w:tr w:rsidR="000D356C" w:rsidRPr="00ED70A0" w14:paraId="0258596A" w14:textId="77777777" w:rsidTr="000D356C">
        <w:tc>
          <w:tcPr>
            <w:tcW w:w="5244" w:type="dxa"/>
            <w:tcBorders>
              <w:top w:val="single" w:sz="4" w:space="0" w:color="auto"/>
              <w:left w:val="single" w:sz="4" w:space="0" w:color="auto"/>
              <w:bottom w:val="single" w:sz="4" w:space="0" w:color="auto"/>
              <w:right w:val="single" w:sz="4" w:space="0" w:color="auto"/>
            </w:tcBorders>
            <w:hideMark/>
          </w:tcPr>
          <w:p w14:paraId="57AA1533"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Oryx algazelle (oryx </w:t>
            </w:r>
            <w:proofErr w:type="spellStart"/>
            <w:r w:rsidRPr="000D356C">
              <w:rPr>
                <w:rFonts w:ascii="Arial" w:hAnsi="Arial" w:cs="Arial"/>
                <w:sz w:val="22"/>
                <w:szCs w:val="22"/>
                <w:lang w:val="fr-FR"/>
              </w:rPr>
              <w:t>dammah</w:t>
            </w:r>
            <w:proofErr w:type="spellEnd"/>
            <w:r w:rsidRPr="000D356C">
              <w:rPr>
                <w:rFonts w:ascii="Arial" w:hAnsi="Arial" w:cs="Arial"/>
                <w:sz w:val="22"/>
                <w:szCs w:val="22"/>
                <w:lang w:val="fr-FR"/>
              </w:rPr>
              <w:t>)</w:t>
            </w:r>
          </w:p>
        </w:tc>
        <w:tc>
          <w:tcPr>
            <w:tcW w:w="3261" w:type="dxa"/>
            <w:tcBorders>
              <w:top w:val="single" w:sz="4" w:space="0" w:color="auto"/>
              <w:left w:val="single" w:sz="4" w:space="0" w:color="auto"/>
              <w:bottom w:val="single" w:sz="4" w:space="0" w:color="auto"/>
              <w:right w:val="single" w:sz="4" w:space="0" w:color="auto"/>
            </w:tcBorders>
            <w:hideMark/>
          </w:tcPr>
          <w:p w14:paraId="32FC3998"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Éteint à l’état sauvage </w:t>
            </w:r>
          </w:p>
          <w:p w14:paraId="113A3D8F"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br/>
              <w:t>(UICN 2016)</w:t>
            </w:r>
          </w:p>
        </w:tc>
      </w:tr>
      <w:tr w:rsidR="000D356C" w:rsidRPr="000D356C" w14:paraId="7D95A6C7" w14:textId="77777777" w:rsidTr="000D356C">
        <w:tc>
          <w:tcPr>
            <w:tcW w:w="5244" w:type="dxa"/>
            <w:tcBorders>
              <w:top w:val="single" w:sz="4" w:space="0" w:color="auto"/>
              <w:left w:val="single" w:sz="4" w:space="0" w:color="auto"/>
              <w:bottom w:val="single" w:sz="4" w:space="0" w:color="auto"/>
              <w:right w:val="single" w:sz="4" w:space="0" w:color="auto"/>
            </w:tcBorders>
            <w:hideMark/>
          </w:tcPr>
          <w:p w14:paraId="126AEF68"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Gazelle </w:t>
            </w:r>
            <w:proofErr w:type="spellStart"/>
            <w:r w:rsidRPr="000D356C">
              <w:rPr>
                <w:rFonts w:ascii="Arial" w:hAnsi="Arial" w:cs="Arial"/>
                <w:sz w:val="22"/>
                <w:szCs w:val="22"/>
                <w:lang w:val="fr-FR"/>
              </w:rPr>
              <w:t>leptocère</w:t>
            </w:r>
            <w:proofErr w:type="spellEnd"/>
            <w:r w:rsidRPr="000D356C">
              <w:rPr>
                <w:rFonts w:ascii="Arial" w:hAnsi="Arial" w:cs="Arial"/>
                <w:sz w:val="22"/>
                <w:szCs w:val="22"/>
                <w:lang w:val="fr-FR"/>
              </w:rPr>
              <w:t xml:space="preserve"> (</w:t>
            </w:r>
            <w:proofErr w:type="spellStart"/>
            <w:r w:rsidRPr="000D356C">
              <w:rPr>
                <w:rFonts w:ascii="Arial" w:hAnsi="Arial" w:cs="Arial"/>
                <w:i/>
                <w:sz w:val="22"/>
                <w:szCs w:val="22"/>
                <w:lang w:val="fr-FR"/>
              </w:rPr>
              <w:t>gazella</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leptoceros</w:t>
            </w:r>
            <w:proofErr w:type="spellEnd"/>
            <w:r w:rsidRPr="000D356C">
              <w:rPr>
                <w:rFonts w:ascii="Arial" w:hAnsi="Arial" w:cs="Arial"/>
                <w:sz w:val="22"/>
                <w:szCs w:val="22"/>
                <w:lang w:val="fr-FR"/>
              </w:rPr>
              <w:t>)</w:t>
            </w:r>
          </w:p>
        </w:tc>
        <w:tc>
          <w:tcPr>
            <w:tcW w:w="3261" w:type="dxa"/>
            <w:tcBorders>
              <w:top w:val="single" w:sz="4" w:space="0" w:color="auto"/>
              <w:left w:val="single" w:sz="4" w:space="0" w:color="auto"/>
              <w:bottom w:val="single" w:sz="4" w:space="0" w:color="auto"/>
              <w:right w:val="single" w:sz="4" w:space="0" w:color="auto"/>
            </w:tcBorders>
            <w:hideMark/>
          </w:tcPr>
          <w:p w14:paraId="2B6F2F98"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En danger C2a(i)</w:t>
            </w:r>
          </w:p>
          <w:p w14:paraId="63819749"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(UICN 2016)</w:t>
            </w:r>
          </w:p>
        </w:tc>
      </w:tr>
    </w:tbl>
    <w:p w14:paraId="712C29A2"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46462A1B"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0CCA2A33"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b/>
          <w:sz w:val="22"/>
          <w:szCs w:val="22"/>
          <w:lang w:val="fr-FR"/>
        </w:rPr>
      </w:pPr>
      <w:r w:rsidRPr="000D356C">
        <w:rPr>
          <w:rFonts w:ascii="Arial" w:hAnsi="Arial" w:cs="Arial"/>
          <w:b/>
          <w:sz w:val="22"/>
          <w:szCs w:val="22"/>
          <w:lang w:val="fr-FR"/>
        </w:rPr>
        <w:t>Pertinence :</w:t>
      </w:r>
      <w:r w:rsidRPr="000D356C">
        <w:rPr>
          <w:rFonts w:ascii="Arial" w:hAnsi="Arial" w:cs="Arial"/>
          <w:sz w:val="22"/>
          <w:szCs w:val="22"/>
          <w:lang w:val="fr-FR"/>
        </w:rPr>
        <w:t xml:space="preserve"> </w:t>
      </w:r>
    </w:p>
    <w:p w14:paraId="42C19894"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en-GB"/>
        </w:rPr>
      </w:pPr>
    </w:p>
    <w:p w14:paraId="18074C7F"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Bon nombre des grands herbivores qui vivent dans la région sahélo-saharienne sont des nomades et ont une répartition très étendue. Les populations de la région sont aussi traditionnellement nomades et pastorales ; elles s’adaptent aux variations des précipitations et à la disponibilité des ressources pastorales. Prendre en compte la migration et la mobilité des personnes et de la faune sauvage comporte des défis sociopolitiques uniques pour la région, en particulier pour les mouvements transfrontières</w:t>
      </w:r>
      <w:r w:rsidRPr="000D356C">
        <w:rPr>
          <w:rFonts w:ascii="Arial" w:hAnsi="Arial" w:cs="Arial"/>
          <w:sz w:val="22"/>
          <w:szCs w:val="22"/>
          <w:vertAlign w:val="superscript"/>
          <w:lang w:val="en-GB"/>
        </w:rPr>
        <w:footnoteReference w:id="15"/>
      </w:r>
      <w:r w:rsidRPr="000D356C">
        <w:rPr>
          <w:rFonts w:ascii="Arial" w:hAnsi="Arial" w:cs="Arial"/>
          <w:sz w:val="22"/>
          <w:szCs w:val="22"/>
          <w:lang w:val="fr-FR"/>
        </w:rPr>
        <w:t>. Le comportement migratoire de l’homme et de la faune sauvage est essentiel à l’utilisation efficace des ressources des zones arides</w:t>
      </w:r>
      <w:r w:rsidRPr="000D356C">
        <w:rPr>
          <w:rFonts w:ascii="Arial" w:hAnsi="Arial" w:cs="Arial"/>
          <w:sz w:val="22"/>
          <w:szCs w:val="22"/>
          <w:vertAlign w:val="superscript"/>
          <w:lang w:val="en-GB"/>
        </w:rPr>
        <w:footnoteReference w:id="16"/>
      </w:r>
      <w:r w:rsidRPr="000D356C">
        <w:rPr>
          <w:rFonts w:ascii="Arial" w:hAnsi="Arial" w:cs="Arial"/>
          <w:sz w:val="22"/>
          <w:szCs w:val="22"/>
          <w:lang w:val="fr-FR"/>
        </w:rPr>
        <w:t xml:space="preserve"> et, partant, à la conservation et à la gestion durable des écosystèmes désertiques. </w:t>
      </w:r>
    </w:p>
    <w:p w14:paraId="6B0E58BC"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206F11C5"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La conservation de la mégafaune sahélo-saharienne et de ses habitats nécessite une coopération régionale. Les actions coordonnées en matière de politiques et de conservation sont essentielles pour une mise en œuvre efficace des mesures de conservation et de gestion. </w:t>
      </w:r>
    </w:p>
    <w:p w14:paraId="60097494"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65CA2C94"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C’est dans cet esprit que l’Action concertée pour les antilopes sahélo-sahariennes a été lancée en 1994. L’Action concertée continue d’être pertinente pour la conservation de la mégafaune sahélo-saharienne et pour cette raison, un renouvellement de l’Action concertée pour la mégafaune sahélo-saharienne est recommandé dans le présent document (voir </w:t>
      </w:r>
      <w:r w:rsidRPr="000D356C">
        <w:rPr>
          <w:rFonts w:ascii="Arial" w:hAnsi="Arial" w:cs="Arial"/>
          <w:i/>
          <w:sz w:val="22"/>
          <w:szCs w:val="22"/>
          <w:lang w:val="fr-FR"/>
        </w:rPr>
        <w:fldChar w:fldCharType="begin"/>
      </w:r>
      <w:r w:rsidRPr="000D356C">
        <w:rPr>
          <w:rFonts w:ascii="Arial" w:hAnsi="Arial" w:cs="Arial"/>
          <w:i/>
          <w:sz w:val="22"/>
          <w:szCs w:val="22"/>
          <w:lang w:val="fr-FR"/>
        </w:rPr>
        <w:instrText xml:space="preserve"> REF _Ref18681819 \h  \* MERGEFORMAT </w:instrText>
      </w:r>
      <w:r w:rsidRPr="000D356C">
        <w:rPr>
          <w:rFonts w:ascii="Arial" w:hAnsi="Arial" w:cs="Arial"/>
          <w:i/>
          <w:sz w:val="22"/>
          <w:szCs w:val="22"/>
          <w:lang w:val="fr-FR"/>
        </w:rPr>
      </w:r>
      <w:r w:rsidRPr="000D356C">
        <w:rPr>
          <w:rFonts w:ascii="Arial" w:hAnsi="Arial" w:cs="Arial"/>
          <w:i/>
          <w:sz w:val="22"/>
          <w:szCs w:val="22"/>
          <w:lang w:val="fr-FR"/>
        </w:rPr>
        <w:fldChar w:fldCharType="separate"/>
      </w:r>
      <w:r w:rsidRPr="000D356C">
        <w:rPr>
          <w:rFonts w:ascii="Arial" w:hAnsi="Arial" w:cs="Arial"/>
          <w:i/>
          <w:sz w:val="22"/>
          <w:szCs w:val="22"/>
          <w:lang w:val="fr-FR"/>
        </w:rPr>
        <w:t>ANNEXE</w:t>
      </w:r>
      <w:r w:rsidRPr="000D356C">
        <w:rPr>
          <w:rFonts w:ascii="Arial" w:hAnsi="Arial" w:cs="Arial"/>
          <w:sz w:val="22"/>
          <w:szCs w:val="22"/>
          <w:lang w:val="fr-FR"/>
        </w:rPr>
        <w:fldChar w:fldCharType="end"/>
      </w:r>
      <w:r w:rsidRPr="000D356C">
        <w:rPr>
          <w:rFonts w:ascii="Arial" w:hAnsi="Arial" w:cs="Arial"/>
          <w:sz w:val="22"/>
          <w:szCs w:val="22"/>
          <w:lang w:val="fr-FR"/>
        </w:rPr>
        <w:t>).</w:t>
      </w:r>
    </w:p>
    <w:p w14:paraId="181D094D"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br w:type="page"/>
      </w:r>
    </w:p>
    <w:p w14:paraId="2CFA9927"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24D24044"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0D356C">
        <w:rPr>
          <w:rFonts w:ascii="Arial" w:hAnsi="Arial" w:cs="Arial"/>
          <w:b/>
          <w:sz w:val="22"/>
          <w:szCs w:val="22"/>
          <w:lang w:val="fr-FR"/>
        </w:rPr>
        <w:t>Absence de meilleures solutions :</w:t>
      </w:r>
      <w:r w:rsidRPr="000D356C">
        <w:rPr>
          <w:rFonts w:ascii="Arial" w:hAnsi="Arial" w:cs="Arial"/>
          <w:sz w:val="22"/>
          <w:szCs w:val="22"/>
          <w:lang w:val="fr-FR"/>
        </w:rPr>
        <w:t xml:space="preserve"> </w:t>
      </w:r>
    </w:p>
    <w:p w14:paraId="30F8350A"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3D178D49" w14:textId="5C507BD4"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L’Action concertée est en place depuis 1994 et a fait des progrès significatifs dans la conservation des six espèces inscrites aux Annexes de la CMS. À titre d’exemple, dans le cadre de l’Action concertée, le Gouvernement tchadien a entrepris avec succès la réintroduction de l’oryx algazelle (</w:t>
      </w:r>
      <w:r w:rsidRPr="000D356C">
        <w:rPr>
          <w:rFonts w:ascii="Arial" w:hAnsi="Arial" w:cs="Arial"/>
          <w:i/>
          <w:sz w:val="22"/>
          <w:szCs w:val="22"/>
          <w:lang w:val="fr-FR"/>
        </w:rPr>
        <w:t xml:space="preserve">oryx </w:t>
      </w:r>
      <w:proofErr w:type="spellStart"/>
      <w:r w:rsidRPr="000D356C">
        <w:rPr>
          <w:rFonts w:ascii="Arial" w:hAnsi="Arial" w:cs="Arial"/>
          <w:i/>
          <w:sz w:val="22"/>
          <w:szCs w:val="22"/>
          <w:lang w:val="fr-FR"/>
        </w:rPr>
        <w:t>dammah</w:t>
      </w:r>
      <w:proofErr w:type="spellEnd"/>
      <w:r w:rsidRPr="000D356C">
        <w:rPr>
          <w:rFonts w:ascii="Arial" w:hAnsi="Arial" w:cs="Arial"/>
          <w:sz w:val="22"/>
          <w:szCs w:val="22"/>
          <w:lang w:val="fr-FR"/>
        </w:rPr>
        <w:t xml:space="preserve">) au Tchad avec l’aide du Gouvernement </w:t>
      </w:r>
      <w:r w:rsidR="00D50AB8">
        <w:rPr>
          <w:rFonts w:ascii="Arial" w:hAnsi="Arial" w:cs="Arial"/>
          <w:sz w:val="22"/>
          <w:szCs w:val="22"/>
          <w:lang w:val="fr-FR"/>
        </w:rPr>
        <w:t>des Émirats arabes unis représentés par</w:t>
      </w:r>
      <w:r w:rsidRPr="000D356C">
        <w:rPr>
          <w:rFonts w:ascii="Arial" w:hAnsi="Arial" w:cs="Arial"/>
          <w:sz w:val="22"/>
          <w:szCs w:val="22"/>
          <w:lang w:val="fr-FR"/>
        </w:rPr>
        <w:t xml:space="preserve"> l’Agence pour l’environnement d’Abou Dhabi et avec le soutien technique du Fonds pour la conservation du Sahara. </w:t>
      </w:r>
    </w:p>
    <w:p w14:paraId="4B93FC64"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07465E20"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L’Action concertée a fourni un cadre unique de coopération régionale pour la conservation de la mégafaune sahélo-saharienne au cours des 25 dernières années. Les parties prenantes ont accumulé des connaissances et une expérience inestimables dans ce cadre. D’autres approches pour soutenir la coopération régionale, par exemple à travers des projets régionaux, pourraient ne pas déboucher sur un mécanisme de coopération à long terme. La poursuite de l’Action concertée est donc la meilleure option pour une planification et une action de conservation à long terme concernant la mégafaune sahélo-saharienne.</w:t>
      </w:r>
    </w:p>
    <w:p w14:paraId="3195A447"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54CC098A"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0D356C">
        <w:rPr>
          <w:rFonts w:ascii="Arial" w:hAnsi="Arial" w:cs="Arial"/>
          <w:b/>
          <w:sz w:val="22"/>
          <w:szCs w:val="22"/>
          <w:lang w:val="fr-FR"/>
        </w:rPr>
        <w:t>Degré de préparation et faisabilité :</w:t>
      </w:r>
      <w:r w:rsidRPr="000D356C">
        <w:rPr>
          <w:rFonts w:ascii="Arial" w:hAnsi="Arial" w:cs="Arial"/>
          <w:sz w:val="22"/>
          <w:szCs w:val="22"/>
          <w:lang w:val="fr-FR"/>
        </w:rPr>
        <w:t xml:space="preserve"> </w:t>
      </w:r>
    </w:p>
    <w:p w14:paraId="3296D37E"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5F3C52E0"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L’Action concertée est en place depuis 1994.  Elle est donc considérée comme prête et faisable. </w:t>
      </w:r>
    </w:p>
    <w:p w14:paraId="28444DDE"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5F6C061A"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0D356C">
        <w:rPr>
          <w:rFonts w:ascii="Arial" w:hAnsi="Arial" w:cs="Arial"/>
          <w:b/>
          <w:sz w:val="22"/>
          <w:szCs w:val="22"/>
          <w:lang w:val="fr-FR"/>
        </w:rPr>
        <w:t>Probabilité de succès :</w:t>
      </w:r>
      <w:r w:rsidRPr="000D356C">
        <w:rPr>
          <w:rFonts w:ascii="Arial" w:hAnsi="Arial" w:cs="Arial"/>
          <w:sz w:val="22"/>
          <w:szCs w:val="22"/>
          <w:lang w:val="fr-FR"/>
        </w:rPr>
        <w:t xml:space="preserve"> </w:t>
      </w:r>
    </w:p>
    <w:p w14:paraId="4E330616"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167D5063" w14:textId="48BECE43"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Les activités proposées pour 2020-2023 ont de grandes chances de succès, car elles s’appuient sur les efforts déployés dans le cadre de l’Action concertée depuis 1994. Les risques éventuels pour les activités comprennent des ressources financières et humaines limitées pour mener les activités, ainsi que des priorités concurrentes et une éventuelle volonté politique limitée</w:t>
      </w:r>
      <w:r w:rsidR="00D50AB8">
        <w:rPr>
          <w:rFonts w:ascii="Arial" w:hAnsi="Arial" w:cs="Arial"/>
          <w:sz w:val="22"/>
          <w:szCs w:val="22"/>
          <w:lang w:val="fr-FR"/>
        </w:rPr>
        <w:t>, de même qu’une insécurité grandissante dans l’ensemble de la région sahélo-saharienne</w:t>
      </w:r>
      <w:r w:rsidRPr="000D356C">
        <w:rPr>
          <w:rFonts w:ascii="Arial" w:hAnsi="Arial" w:cs="Arial"/>
          <w:sz w:val="22"/>
          <w:szCs w:val="22"/>
          <w:lang w:val="fr-FR"/>
        </w:rPr>
        <w:t xml:space="preserve">. </w:t>
      </w:r>
    </w:p>
    <w:p w14:paraId="6081AA00"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69639924"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0D356C">
        <w:rPr>
          <w:rFonts w:ascii="Arial" w:hAnsi="Arial" w:cs="Arial"/>
          <w:b/>
          <w:sz w:val="22"/>
          <w:szCs w:val="22"/>
          <w:lang w:val="fr-FR"/>
        </w:rPr>
        <w:t>Ampleur de l’impact attendu :</w:t>
      </w:r>
      <w:r w:rsidRPr="000D356C">
        <w:rPr>
          <w:rFonts w:ascii="Arial" w:hAnsi="Arial" w:cs="Arial"/>
          <w:sz w:val="22"/>
          <w:szCs w:val="22"/>
          <w:lang w:val="fr-FR"/>
        </w:rPr>
        <w:t xml:space="preserve"> </w:t>
      </w:r>
    </w:p>
    <w:p w14:paraId="2CF6DD6F"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n-GB"/>
        </w:rPr>
      </w:pPr>
    </w:p>
    <w:p w14:paraId="1599BF9F"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hanging="567"/>
        <w:jc w:val="both"/>
        <w:outlineLvl w:val="1"/>
        <w:rPr>
          <w:rFonts w:ascii="Arial" w:hAnsi="Arial" w:cs="Arial"/>
          <w:sz w:val="22"/>
          <w:szCs w:val="22"/>
          <w:lang w:val="fr-FR"/>
        </w:rPr>
      </w:pPr>
      <w:r w:rsidRPr="000D356C">
        <w:rPr>
          <w:rFonts w:ascii="Arial" w:hAnsi="Arial" w:cs="Arial"/>
          <w:b/>
          <w:sz w:val="22"/>
          <w:szCs w:val="22"/>
          <w:lang w:val="fr-FR"/>
        </w:rPr>
        <w:t>Nombre d’espèces relevant de l’Action concertée :</w:t>
      </w:r>
      <w:r w:rsidRPr="000D356C">
        <w:rPr>
          <w:rFonts w:ascii="Arial" w:hAnsi="Arial" w:cs="Arial"/>
          <w:sz w:val="22"/>
          <w:szCs w:val="22"/>
          <w:lang w:val="fr-FR"/>
        </w:rPr>
        <w:t xml:space="preserve"> 8</w:t>
      </w:r>
    </w:p>
    <w:p w14:paraId="4658F780"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hanging="567"/>
        <w:jc w:val="both"/>
        <w:outlineLvl w:val="1"/>
        <w:rPr>
          <w:rFonts w:ascii="Arial" w:hAnsi="Arial" w:cs="Arial"/>
          <w:sz w:val="22"/>
          <w:szCs w:val="22"/>
          <w:lang w:val="fr-FR"/>
        </w:rPr>
      </w:pPr>
    </w:p>
    <w:p w14:paraId="5E1BC0F1"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hanging="567"/>
        <w:jc w:val="both"/>
        <w:outlineLvl w:val="1"/>
        <w:rPr>
          <w:rFonts w:ascii="Arial" w:hAnsi="Arial" w:cs="Arial"/>
          <w:sz w:val="22"/>
          <w:szCs w:val="22"/>
          <w:lang w:val="fr-FR"/>
        </w:rPr>
      </w:pPr>
      <w:r w:rsidRPr="000D356C">
        <w:rPr>
          <w:rFonts w:ascii="Arial" w:hAnsi="Arial" w:cs="Arial"/>
          <w:b/>
          <w:sz w:val="22"/>
          <w:szCs w:val="22"/>
          <w:lang w:val="fr-FR"/>
        </w:rPr>
        <w:t>Nombre d’États de l’aire de répartition :</w:t>
      </w:r>
      <w:r w:rsidRPr="000D356C">
        <w:rPr>
          <w:rFonts w:ascii="Arial" w:hAnsi="Arial" w:cs="Arial"/>
          <w:sz w:val="22"/>
          <w:szCs w:val="22"/>
          <w:lang w:val="fr-FR"/>
        </w:rPr>
        <w:t xml:space="preserve"> 16</w:t>
      </w:r>
    </w:p>
    <w:p w14:paraId="69C5B66A"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hanging="567"/>
        <w:jc w:val="both"/>
        <w:outlineLvl w:val="1"/>
        <w:rPr>
          <w:rFonts w:ascii="Arial" w:hAnsi="Arial" w:cs="Arial"/>
          <w:sz w:val="22"/>
          <w:szCs w:val="22"/>
          <w:lang w:val="fr-FR"/>
        </w:rPr>
      </w:pPr>
    </w:p>
    <w:p w14:paraId="60F3EAAE"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hanging="567"/>
        <w:jc w:val="both"/>
        <w:outlineLvl w:val="1"/>
        <w:rPr>
          <w:rFonts w:ascii="Arial" w:hAnsi="Arial" w:cs="Arial"/>
          <w:sz w:val="22"/>
          <w:szCs w:val="22"/>
          <w:lang w:val="fr-FR"/>
        </w:rPr>
      </w:pPr>
      <w:r w:rsidRPr="000D356C">
        <w:rPr>
          <w:rFonts w:ascii="Arial" w:hAnsi="Arial" w:cs="Arial"/>
          <w:b/>
          <w:sz w:val="22"/>
          <w:szCs w:val="22"/>
          <w:lang w:val="fr-FR"/>
        </w:rPr>
        <w:t>Avantages connexes et synergies possibles :</w:t>
      </w:r>
      <w:r w:rsidRPr="000D356C">
        <w:rPr>
          <w:rFonts w:ascii="Arial" w:hAnsi="Arial" w:cs="Arial"/>
          <w:sz w:val="22"/>
          <w:szCs w:val="22"/>
          <w:lang w:val="fr-FR"/>
        </w:rPr>
        <w:t xml:space="preserve"> Voir les sections (ii) et (iv</w:t>
      </w:r>
      <w:proofErr w:type="gramStart"/>
      <w:r w:rsidRPr="000D356C">
        <w:rPr>
          <w:rFonts w:ascii="Arial" w:hAnsi="Arial" w:cs="Arial"/>
          <w:sz w:val="22"/>
          <w:szCs w:val="22"/>
          <w:lang w:val="fr-FR"/>
        </w:rPr>
        <w:t>).B.</w:t>
      </w:r>
      <w:proofErr w:type="gramEnd"/>
    </w:p>
    <w:p w14:paraId="087EFDD1"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hanging="567"/>
        <w:jc w:val="both"/>
        <w:outlineLvl w:val="1"/>
        <w:rPr>
          <w:rFonts w:ascii="Arial" w:hAnsi="Arial" w:cs="Arial"/>
          <w:sz w:val="22"/>
          <w:szCs w:val="22"/>
          <w:lang w:val="fr-FR"/>
        </w:rPr>
      </w:pPr>
    </w:p>
    <w:p w14:paraId="0ADBDDEC"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hanging="567"/>
        <w:jc w:val="both"/>
        <w:outlineLvl w:val="1"/>
        <w:rPr>
          <w:rFonts w:ascii="Arial" w:hAnsi="Arial" w:cs="Arial"/>
          <w:b/>
          <w:sz w:val="22"/>
          <w:szCs w:val="22"/>
          <w:lang w:val="fr-FR"/>
        </w:rPr>
      </w:pPr>
      <w:r w:rsidRPr="000D356C">
        <w:rPr>
          <w:rFonts w:ascii="Arial" w:hAnsi="Arial" w:cs="Arial"/>
          <w:b/>
          <w:sz w:val="22"/>
          <w:szCs w:val="22"/>
          <w:lang w:val="fr-FR"/>
        </w:rPr>
        <w:t xml:space="preserve">Ampleur de l’impact : </w:t>
      </w:r>
    </w:p>
    <w:p w14:paraId="2FDD538B"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hanging="567"/>
        <w:jc w:val="both"/>
        <w:outlineLvl w:val="1"/>
        <w:rPr>
          <w:rFonts w:ascii="Arial" w:hAnsi="Arial" w:cs="Arial"/>
          <w:sz w:val="22"/>
          <w:szCs w:val="22"/>
          <w:lang w:val="fr-FR"/>
        </w:rPr>
      </w:pPr>
    </w:p>
    <w:p w14:paraId="58DAC6CC"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L’Action concertée élaborera un Plan d’action actualisé qui définira le déroulement des futurs travaux de conservation dans le cadre de l’Action concertée. Les activités futures seront basées sur le Plan d’action et les activités prioritaires identifiées. Le niveau d’impact dépendra du niveau de mise en œuvre du Plan d’action. </w:t>
      </w:r>
    </w:p>
    <w:p w14:paraId="5C096F00"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70F44C9B"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b/>
          <w:sz w:val="22"/>
          <w:szCs w:val="22"/>
          <w:lang w:val="fr-FR"/>
        </w:rPr>
      </w:pPr>
      <w:r w:rsidRPr="000D356C">
        <w:rPr>
          <w:rFonts w:ascii="Arial" w:hAnsi="Arial" w:cs="Arial"/>
          <w:b/>
          <w:sz w:val="22"/>
          <w:szCs w:val="22"/>
          <w:lang w:val="fr-FR"/>
        </w:rPr>
        <w:t>Rapport coût / efficacité :</w:t>
      </w:r>
      <w:r w:rsidRPr="000D356C">
        <w:rPr>
          <w:rFonts w:ascii="Arial" w:hAnsi="Arial" w:cs="Arial"/>
          <w:sz w:val="22"/>
          <w:szCs w:val="22"/>
          <w:lang w:val="fr-FR"/>
        </w:rPr>
        <w:t xml:space="preserve"> </w:t>
      </w:r>
    </w:p>
    <w:p w14:paraId="672BCEF1"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en-GB"/>
        </w:rPr>
      </w:pPr>
    </w:p>
    <w:p w14:paraId="16AEDE7A"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Le Tableau 1 résume les ressources financières requises pour 2020-2023. Il est plus rentable d’élaborer un Plan d’action commun et de mettre en œuvre le plan pour des actions de conservation coordonnées, car cela réduira la possibilité de duplication des efforts ou d’actions non coordonnées entre les États de l’aire de répartition. </w:t>
      </w:r>
    </w:p>
    <w:p w14:paraId="4D99A983"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br w:type="page"/>
      </w:r>
    </w:p>
    <w:p w14:paraId="1B08F377"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4170CCC9" w14:textId="77777777" w:rsidR="000D356C" w:rsidRPr="000D356C" w:rsidRDefault="000D356C" w:rsidP="000D356C">
      <w:pPr>
        <w:numPr>
          <w:ilvl w:val="0"/>
          <w:numId w:val="2"/>
        </w:numPr>
        <w:pBdr>
          <w:top w:val="single" w:sz="6" w:space="0" w:color="FFFFFF"/>
          <w:left w:val="single" w:sz="6" w:space="0" w:color="FFFFFF"/>
          <w:bottom w:val="single" w:sz="6" w:space="0" w:color="FFFFFF"/>
          <w:right w:val="single" w:sz="6" w:space="0" w:color="FFFFFF"/>
        </w:pBdr>
        <w:ind w:left="567" w:hanging="567"/>
        <w:jc w:val="both"/>
        <w:textAlignment w:val="auto"/>
        <w:outlineLvl w:val="1"/>
        <w:rPr>
          <w:rFonts w:ascii="Arial" w:hAnsi="Arial" w:cs="Arial"/>
          <w:sz w:val="22"/>
          <w:szCs w:val="22"/>
          <w:lang w:val="fr-FR"/>
        </w:rPr>
      </w:pPr>
      <w:r w:rsidRPr="000D356C">
        <w:rPr>
          <w:rFonts w:ascii="Arial" w:hAnsi="Arial" w:cs="Arial"/>
          <w:b/>
          <w:sz w:val="22"/>
          <w:szCs w:val="22"/>
          <w:lang w:val="fr-FR"/>
        </w:rPr>
        <w:t>Consultations planifiées / entreprises :</w:t>
      </w:r>
      <w:r w:rsidRPr="000D356C">
        <w:rPr>
          <w:rFonts w:ascii="Arial" w:hAnsi="Arial" w:cs="Arial"/>
          <w:sz w:val="22"/>
          <w:szCs w:val="22"/>
          <w:lang w:val="fr-FR"/>
        </w:rPr>
        <w:t xml:space="preserve"> </w:t>
      </w:r>
    </w:p>
    <w:p w14:paraId="1F6D0979"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en-GB"/>
        </w:rPr>
      </w:pPr>
    </w:p>
    <w:p w14:paraId="35112141"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À la 19</w:t>
      </w:r>
      <w:r w:rsidRPr="000D356C">
        <w:rPr>
          <w:rFonts w:ascii="Arial" w:hAnsi="Arial" w:cs="Arial"/>
          <w:sz w:val="22"/>
          <w:szCs w:val="22"/>
          <w:vertAlign w:val="superscript"/>
          <w:lang w:val="fr-FR"/>
        </w:rPr>
        <w:t>e</w:t>
      </w:r>
      <w:r w:rsidRPr="000D356C">
        <w:rPr>
          <w:rFonts w:ascii="Arial" w:hAnsi="Arial" w:cs="Arial"/>
          <w:sz w:val="22"/>
          <w:szCs w:val="22"/>
          <w:lang w:val="fr-FR"/>
        </w:rPr>
        <w:t xml:space="preserve"> Réunion du Groupe d’intérêt sahélo-saharien qui s’est tenue en mai 2019 à Tunis, le Secrétariat de la CMS a présenté le concept pour l’élaboration d’un Plan d’action actualisé et l’organisation du troisième séminaire pour consultation avec les États de l'aire de répartition et les parties prenantes concernées. </w:t>
      </w:r>
    </w:p>
    <w:p w14:paraId="6D357A3A"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p>
    <w:p w14:paraId="379EE514"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ind w:left="567"/>
        <w:jc w:val="both"/>
        <w:outlineLvl w:val="1"/>
        <w:rPr>
          <w:rFonts w:ascii="Arial" w:hAnsi="Arial" w:cs="Arial"/>
          <w:sz w:val="22"/>
          <w:szCs w:val="22"/>
          <w:lang w:val="fr-FR"/>
        </w:rPr>
      </w:pPr>
      <w:r w:rsidRPr="000D356C">
        <w:rPr>
          <w:rFonts w:ascii="Arial" w:hAnsi="Arial" w:cs="Arial"/>
          <w:sz w:val="22"/>
          <w:szCs w:val="22"/>
          <w:lang w:val="fr-FR"/>
        </w:rPr>
        <w:t xml:space="preserve">En outre, le troisième séminaire régional sera l’occasion de poursuivre les consultations avec les États de l’aire de répartition et les parties prenantes concernées dans la région sur les orientations futures de l’Action concertée. Grâce à ces processus consultatifs, le Plan d’action actualisé devrait définir une vision et des stratégies régionales communes pour la conservation de la mégafaune sahélo-saharienne.   </w:t>
      </w:r>
    </w:p>
    <w:p w14:paraId="65C6FA38" w14:textId="77777777" w:rsidR="000D356C" w:rsidRPr="000D356C" w:rsidRDefault="000D356C" w:rsidP="000D356C">
      <w:pPr>
        <w:suppressAutoHyphens w:val="0"/>
        <w:autoSpaceDN/>
        <w:rPr>
          <w:rFonts w:ascii="Arial" w:hAnsi="Arial" w:cs="Arial"/>
          <w:sz w:val="22"/>
          <w:szCs w:val="22"/>
          <w:lang w:val="fr-FR"/>
        </w:rPr>
        <w:sectPr w:rsidR="000D356C" w:rsidRPr="000D356C">
          <w:pgSz w:w="11905" w:h="16837"/>
          <w:pgMar w:top="1008" w:right="1411" w:bottom="1152" w:left="1411" w:header="432" w:footer="432" w:gutter="0"/>
          <w:cols w:space="720"/>
        </w:sectPr>
      </w:pPr>
    </w:p>
    <w:p w14:paraId="7DAB478D"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right"/>
        <w:outlineLvl w:val="1"/>
        <w:rPr>
          <w:rFonts w:ascii="Arial" w:hAnsi="Arial" w:cs="Arial"/>
          <w:sz w:val="22"/>
          <w:szCs w:val="22"/>
          <w:lang w:val="fr-FR"/>
        </w:rPr>
      </w:pPr>
      <w:bookmarkStart w:id="2" w:name="_Ref18681819"/>
      <w:r w:rsidRPr="000D356C">
        <w:rPr>
          <w:rFonts w:ascii="Arial" w:hAnsi="Arial" w:cs="Arial"/>
          <w:b/>
          <w:sz w:val="22"/>
          <w:szCs w:val="22"/>
          <w:lang w:val="fr-FR"/>
        </w:rPr>
        <w:lastRenderedPageBreak/>
        <w:t>ANNEXE</w:t>
      </w:r>
      <w:bookmarkEnd w:id="2"/>
    </w:p>
    <w:p w14:paraId="2EE4E05D"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fr-FR"/>
        </w:rPr>
      </w:pPr>
    </w:p>
    <w:p w14:paraId="1D80183E"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center"/>
        <w:outlineLvl w:val="1"/>
        <w:rPr>
          <w:rFonts w:ascii="Arial" w:hAnsi="Arial" w:cs="Arial"/>
          <w:b/>
          <w:sz w:val="22"/>
          <w:szCs w:val="22"/>
          <w:lang w:val="fr-FR"/>
        </w:rPr>
      </w:pPr>
      <w:r w:rsidRPr="000D356C">
        <w:rPr>
          <w:rFonts w:ascii="Arial" w:hAnsi="Arial" w:cs="Arial"/>
          <w:b/>
          <w:sz w:val="22"/>
          <w:szCs w:val="22"/>
          <w:lang w:val="fr-FR"/>
        </w:rPr>
        <w:t xml:space="preserve">HISTORIQUE DE L’ACTION CONCERTÉE POUR </w:t>
      </w:r>
    </w:p>
    <w:p w14:paraId="562ECECD"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center"/>
        <w:outlineLvl w:val="1"/>
        <w:rPr>
          <w:rFonts w:ascii="Arial" w:hAnsi="Arial" w:cs="Arial"/>
          <w:b/>
          <w:sz w:val="22"/>
          <w:szCs w:val="22"/>
          <w:lang w:val="fr-FR"/>
        </w:rPr>
      </w:pPr>
      <w:r w:rsidRPr="000D356C">
        <w:rPr>
          <w:rFonts w:ascii="Arial" w:hAnsi="Arial" w:cs="Arial"/>
          <w:b/>
          <w:sz w:val="22"/>
          <w:szCs w:val="22"/>
          <w:lang w:val="fr-FR"/>
        </w:rPr>
        <w:t>LA MÉGAFAUNE SAHÉLO-SAHARIENNE*</w:t>
      </w:r>
    </w:p>
    <w:p w14:paraId="5CC064DD"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fr-FR"/>
        </w:rPr>
      </w:pPr>
    </w:p>
    <w:tbl>
      <w:tblPr>
        <w:tblStyle w:val="TableGrid"/>
        <w:tblW w:w="9354" w:type="dxa"/>
        <w:tblInd w:w="0" w:type="dxa"/>
        <w:tblLook w:val="04A0" w:firstRow="1" w:lastRow="0" w:firstColumn="1" w:lastColumn="0" w:noHBand="0" w:noVBand="1"/>
      </w:tblPr>
      <w:tblGrid>
        <w:gridCol w:w="1056"/>
        <w:gridCol w:w="3259"/>
        <w:gridCol w:w="5039"/>
      </w:tblGrid>
      <w:tr w:rsidR="000D356C" w:rsidRPr="000D356C" w14:paraId="447AF509" w14:textId="77777777" w:rsidTr="000D356C">
        <w:trPr>
          <w:trHeight w:val="428"/>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A5CAF"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fr-FR"/>
              </w:rPr>
            </w:pPr>
            <w:r w:rsidRPr="000D356C">
              <w:rPr>
                <w:rFonts w:ascii="Arial" w:hAnsi="Arial" w:cs="Arial"/>
                <w:b/>
                <w:sz w:val="22"/>
                <w:szCs w:val="22"/>
                <w:lang w:val="fr-FR"/>
              </w:rPr>
              <w:t>Année</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27CB7"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fr-FR"/>
              </w:rPr>
            </w:pPr>
            <w:r w:rsidRPr="000D356C">
              <w:rPr>
                <w:rFonts w:ascii="Arial" w:hAnsi="Arial" w:cs="Arial"/>
                <w:b/>
                <w:sz w:val="22"/>
                <w:szCs w:val="22"/>
                <w:lang w:val="fr-FR"/>
              </w:rPr>
              <w:t>Réunion</w:t>
            </w:r>
          </w:p>
        </w:tc>
        <w:tc>
          <w:tcPr>
            <w:tcW w:w="5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75BD7"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b/>
                <w:sz w:val="22"/>
                <w:szCs w:val="22"/>
                <w:lang w:val="fr-FR"/>
              </w:rPr>
            </w:pPr>
            <w:r w:rsidRPr="000D356C">
              <w:rPr>
                <w:rFonts w:ascii="Arial" w:hAnsi="Arial" w:cs="Arial"/>
                <w:b/>
                <w:sz w:val="22"/>
                <w:szCs w:val="22"/>
                <w:lang w:val="fr-FR"/>
              </w:rPr>
              <w:t xml:space="preserve">Principaux résultats </w:t>
            </w:r>
          </w:p>
        </w:tc>
      </w:tr>
      <w:tr w:rsidR="000D356C" w:rsidRPr="00ED70A0" w14:paraId="4BF205DE" w14:textId="77777777" w:rsidTr="000D356C">
        <w:trPr>
          <w:trHeight w:val="964"/>
        </w:trPr>
        <w:tc>
          <w:tcPr>
            <w:tcW w:w="1056" w:type="dxa"/>
            <w:tcBorders>
              <w:top w:val="single" w:sz="4" w:space="0" w:color="auto"/>
              <w:left w:val="single" w:sz="4" w:space="0" w:color="auto"/>
              <w:bottom w:val="single" w:sz="4" w:space="0" w:color="auto"/>
              <w:right w:val="single" w:sz="4" w:space="0" w:color="auto"/>
            </w:tcBorders>
            <w:hideMark/>
          </w:tcPr>
          <w:p w14:paraId="3C17415F"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1994</w:t>
            </w:r>
          </w:p>
        </w:tc>
        <w:tc>
          <w:tcPr>
            <w:tcW w:w="3259" w:type="dxa"/>
            <w:tcBorders>
              <w:top w:val="single" w:sz="4" w:space="0" w:color="auto"/>
              <w:left w:val="single" w:sz="4" w:space="0" w:color="auto"/>
              <w:bottom w:val="single" w:sz="4" w:space="0" w:color="auto"/>
              <w:right w:val="single" w:sz="4" w:space="0" w:color="auto"/>
            </w:tcBorders>
            <w:hideMark/>
          </w:tcPr>
          <w:p w14:paraId="6333B0F4"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Quatrième Réunion de la Conférence des Parties à la CMS à Nairobi (Kenya)</w:t>
            </w:r>
          </w:p>
        </w:tc>
        <w:tc>
          <w:tcPr>
            <w:tcW w:w="5039" w:type="dxa"/>
            <w:tcBorders>
              <w:top w:val="single" w:sz="4" w:space="0" w:color="auto"/>
              <w:left w:val="single" w:sz="4" w:space="0" w:color="auto"/>
              <w:bottom w:val="single" w:sz="4" w:space="0" w:color="auto"/>
              <w:right w:val="single" w:sz="4" w:space="0" w:color="auto"/>
            </w:tcBorders>
            <w:hideMark/>
          </w:tcPr>
          <w:p w14:paraId="51185981" w14:textId="77777777" w:rsidR="000D356C" w:rsidRPr="000D356C" w:rsidRDefault="00ED70A0">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hyperlink r:id="rId14" w:history="1">
              <w:r w:rsidR="000D356C" w:rsidRPr="000D356C">
                <w:rPr>
                  <w:rStyle w:val="Hyperlink"/>
                  <w:rFonts w:ascii="Arial" w:hAnsi="Arial" w:cs="Arial"/>
                  <w:sz w:val="22"/>
                  <w:szCs w:val="22"/>
                  <w:lang w:val="fr-FR"/>
                </w:rPr>
                <w:t>Recommandation 4.5</w:t>
              </w:r>
            </w:hyperlink>
          </w:p>
          <w:p w14:paraId="2E2E940A" w14:textId="77777777" w:rsidR="000D356C" w:rsidRPr="000D356C" w:rsidRDefault="000D356C" w:rsidP="000D356C">
            <w:pPr>
              <w:numPr>
                <w:ilvl w:val="0"/>
                <w:numId w:val="6"/>
              </w:num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Lancement de l’Action concertée concernant six espèces d’ongulés sahélo-sahariens : </w:t>
            </w:r>
            <w:r w:rsidRPr="000D356C">
              <w:rPr>
                <w:rFonts w:ascii="Arial" w:hAnsi="Arial" w:cs="Arial"/>
                <w:i/>
                <w:sz w:val="22"/>
                <w:szCs w:val="22"/>
                <w:lang w:val="fr-FR"/>
              </w:rPr>
              <w:t xml:space="preserve">addax </w:t>
            </w:r>
            <w:proofErr w:type="spellStart"/>
            <w:r w:rsidRPr="000D356C">
              <w:rPr>
                <w:rFonts w:ascii="Arial" w:hAnsi="Arial" w:cs="Arial"/>
                <w:i/>
                <w:sz w:val="22"/>
                <w:szCs w:val="22"/>
                <w:lang w:val="fr-FR"/>
              </w:rPr>
              <w:t>nasomaculatus</w:t>
            </w:r>
            <w:proofErr w:type="spellEnd"/>
            <w:r w:rsidRPr="000D356C">
              <w:rPr>
                <w:rFonts w:ascii="Arial" w:hAnsi="Arial" w:cs="Arial"/>
                <w:i/>
                <w:sz w:val="22"/>
                <w:szCs w:val="22"/>
                <w:lang w:val="fr-FR"/>
              </w:rPr>
              <w:t xml:space="preserve">, oryx </w:t>
            </w:r>
            <w:proofErr w:type="spellStart"/>
            <w:r w:rsidRPr="000D356C">
              <w:rPr>
                <w:rFonts w:ascii="Arial" w:hAnsi="Arial" w:cs="Arial"/>
                <w:i/>
                <w:sz w:val="22"/>
                <w:szCs w:val="22"/>
                <w:lang w:val="fr-FR"/>
              </w:rPr>
              <w:t>dammah</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gazella</w:t>
            </w:r>
            <w:proofErr w:type="spellEnd"/>
            <w:r w:rsidRPr="000D356C">
              <w:rPr>
                <w:rFonts w:ascii="Arial" w:hAnsi="Arial" w:cs="Arial"/>
                <w:i/>
                <w:sz w:val="22"/>
                <w:szCs w:val="22"/>
                <w:lang w:val="fr-FR"/>
              </w:rPr>
              <w:t xml:space="preserve"> dama, </w:t>
            </w:r>
            <w:proofErr w:type="spellStart"/>
            <w:r w:rsidRPr="000D356C">
              <w:rPr>
                <w:rFonts w:ascii="Arial" w:hAnsi="Arial" w:cs="Arial"/>
                <w:i/>
                <w:sz w:val="22"/>
                <w:szCs w:val="22"/>
                <w:lang w:val="fr-FR"/>
              </w:rPr>
              <w:t>gazella</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leptoceros</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gazella</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cuvieri</w:t>
            </w:r>
            <w:proofErr w:type="spellEnd"/>
            <w:r w:rsidRPr="000D356C">
              <w:rPr>
                <w:rFonts w:ascii="Arial" w:hAnsi="Arial" w:cs="Arial"/>
                <w:i/>
                <w:sz w:val="22"/>
                <w:szCs w:val="22"/>
                <w:lang w:val="fr-FR"/>
              </w:rPr>
              <w:t xml:space="preserve">, </w:t>
            </w:r>
            <w:proofErr w:type="spellStart"/>
            <w:r w:rsidRPr="000D356C">
              <w:rPr>
                <w:rFonts w:ascii="Arial" w:hAnsi="Arial" w:cs="Arial"/>
                <w:i/>
                <w:sz w:val="22"/>
                <w:szCs w:val="22"/>
                <w:lang w:val="fr-FR"/>
              </w:rPr>
              <w:t>gazella</w:t>
            </w:r>
            <w:proofErr w:type="spellEnd"/>
            <w:r w:rsidRPr="000D356C">
              <w:rPr>
                <w:rFonts w:ascii="Arial" w:hAnsi="Arial" w:cs="Arial"/>
                <w:i/>
                <w:sz w:val="22"/>
                <w:szCs w:val="22"/>
                <w:lang w:val="fr-FR"/>
              </w:rPr>
              <w:t xml:space="preserve"> dorcas</w:t>
            </w:r>
          </w:p>
        </w:tc>
      </w:tr>
      <w:tr w:rsidR="000D356C" w:rsidRPr="000D356C" w14:paraId="0D1B288F" w14:textId="77777777" w:rsidTr="000D356C">
        <w:trPr>
          <w:trHeight w:val="964"/>
        </w:trPr>
        <w:tc>
          <w:tcPr>
            <w:tcW w:w="1056" w:type="dxa"/>
            <w:tcBorders>
              <w:top w:val="single" w:sz="4" w:space="0" w:color="auto"/>
              <w:left w:val="single" w:sz="4" w:space="0" w:color="auto"/>
              <w:bottom w:val="single" w:sz="4" w:space="0" w:color="auto"/>
              <w:right w:val="single" w:sz="4" w:space="0" w:color="auto"/>
            </w:tcBorders>
            <w:hideMark/>
          </w:tcPr>
          <w:p w14:paraId="1ED8055E"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1998</w:t>
            </w:r>
          </w:p>
        </w:tc>
        <w:tc>
          <w:tcPr>
            <w:tcW w:w="3259" w:type="dxa"/>
            <w:tcBorders>
              <w:top w:val="single" w:sz="4" w:space="0" w:color="auto"/>
              <w:left w:val="single" w:sz="4" w:space="0" w:color="auto"/>
              <w:bottom w:val="single" w:sz="4" w:space="0" w:color="auto"/>
              <w:right w:val="single" w:sz="4" w:space="0" w:color="auto"/>
            </w:tcBorders>
          </w:tcPr>
          <w:p w14:paraId="6052BA51"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Séminaire sur la conservation et la restauration des antilopes sahélo-sahariennes à Djerba (Tunisie)</w:t>
            </w:r>
          </w:p>
          <w:p w14:paraId="60C2A717"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26910C40"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tc>
        <w:tc>
          <w:tcPr>
            <w:tcW w:w="5039" w:type="dxa"/>
            <w:tcBorders>
              <w:top w:val="single" w:sz="4" w:space="0" w:color="auto"/>
              <w:left w:val="single" w:sz="4" w:space="0" w:color="auto"/>
              <w:bottom w:val="single" w:sz="4" w:space="0" w:color="auto"/>
              <w:right w:val="single" w:sz="4" w:space="0" w:color="auto"/>
            </w:tcBorders>
            <w:hideMark/>
          </w:tcPr>
          <w:p w14:paraId="258FC67F" w14:textId="77777777" w:rsidR="000D356C" w:rsidRPr="000D356C" w:rsidRDefault="00ED70A0">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u w:val="single"/>
                <w:lang w:val="fr-FR"/>
              </w:rPr>
            </w:pPr>
            <w:hyperlink r:id="rId15" w:history="1">
              <w:r w:rsidR="000D356C" w:rsidRPr="000D356C">
                <w:rPr>
                  <w:rStyle w:val="Hyperlink"/>
                  <w:rFonts w:ascii="Arial" w:hAnsi="Arial" w:cs="Arial"/>
                  <w:sz w:val="22"/>
                  <w:szCs w:val="22"/>
                  <w:lang w:val="fr-FR"/>
                </w:rPr>
                <w:t>Déclaration de Djerba</w:t>
              </w:r>
            </w:hyperlink>
          </w:p>
          <w:p w14:paraId="17BEC869" w14:textId="77777777" w:rsidR="000D356C" w:rsidRPr="000D356C" w:rsidRDefault="000D356C" w:rsidP="000D356C">
            <w:pPr>
              <w:numPr>
                <w:ilvl w:val="0"/>
                <w:numId w:val="7"/>
              </w:num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Adoption du </w:t>
            </w:r>
            <w:hyperlink r:id="rId16" w:history="1">
              <w:r w:rsidRPr="000D356C">
                <w:rPr>
                  <w:rStyle w:val="Hyperlink"/>
                  <w:rFonts w:ascii="Arial" w:hAnsi="Arial" w:cs="Arial"/>
                  <w:sz w:val="22"/>
                  <w:szCs w:val="22"/>
                  <w:lang w:val="fr-FR"/>
                </w:rPr>
                <w:t>Plan d’action pour les antilopes sahélo-sahariennes</w:t>
              </w:r>
            </w:hyperlink>
          </w:p>
        </w:tc>
      </w:tr>
      <w:tr w:rsidR="000D356C" w:rsidRPr="000D356C" w14:paraId="189629AF" w14:textId="77777777" w:rsidTr="000D356C">
        <w:trPr>
          <w:trHeight w:val="1020"/>
        </w:trPr>
        <w:tc>
          <w:tcPr>
            <w:tcW w:w="1056" w:type="dxa"/>
            <w:tcBorders>
              <w:top w:val="single" w:sz="4" w:space="0" w:color="auto"/>
              <w:left w:val="single" w:sz="4" w:space="0" w:color="auto"/>
              <w:bottom w:val="single" w:sz="4" w:space="0" w:color="auto"/>
              <w:right w:val="single" w:sz="4" w:space="0" w:color="auto"/>
            </w:tcBorders>
            <w:hideMark/>
          </w:tcPr>
          <w:p w14:paraId="65EFA334"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2003</w:t>
            </w:r>
          </w:p>
        </w:tc>
        <w:tc>
          <w:tcPr>
            <w:tcW w:w="3259" w:type="dxa"/>
            <w:tcBorders>
              <w:top w:val="single" w:sz="4" w:space="0" w:color="auto"/>
              <w:left w:val="single" w:sz="4" w:space="0" w:color="auto"/>
              <w:bottom w:val="single" w:sz="4" w:space="0" w:color="auto"/>
              <w:right w:val="single" w:sz="4" w:space="0" w:color="auto"/>
            </w:tcBorders>
            <w:hideMark/>
          </w:tcPr>
          <w:p w14:paraId="3554F701"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Deuxième séminaire régional sur la conservation et la restauration des antilopes sahélo-sahariennes à Agadir (Maroc) </w:t>
            </w:r>
          </w:p>
        </w:tc>
        <w:tc>
          <w:tcPr>
            <w:tcW w:w="5039" w:type="dxa"/>
            <w:tcBorders>
              <w:top w:val="single" w:sz="4" w:space="0" w:color="auto"/>
              <w:left w:val="single" w:sz="4" w:space="0" w:color="auto"/>
              <w:bottom w:val="single" w:sz="4" w:space="0" w:color="auto"/>
              <w:right w:val="single" w:sz="4" w:space="0" w:color="auto"/>
            </w:tcBorders>
            <w:hideMark/>
          </w:tcPr>
          <w:p w14:paraId="1794B789" w14:textId="77777777" w:rsidR="000D356C" w:rsidRPr="000D356C" w:rsidRDefault="00ED70A0">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u w:val="single"/>
                <w:lang w:val="fr-FR"/>
              </w:rPr>
            </w:pPr>
            <w:hyperlink r:id="rId17" w:history="1">
              <w:r w:rsidR="000D356C" w:rsidRPr="000D356C">
                <w:rPr>
                  <w:rStyle w:val="Hyperlink"/>
                  <w:rFonts w:ascii="Arial" w:hAnsi="Arial" w:cs="Arial"/>
                  <w:sz w:val="22"/>
                  <w:szCs w:val="22"/>
                  <w:lang w:val="fr-FR"/>
                </w:rPr>
                <w:t>Déclaration d’Agadir</w:t>
              </w:r>
            </w:hyperlink>
          </w:p>
          <w:p w14:paraId="3F51B1E6" w14:textId="77777777" w:rsidR="000D356C" w:rsidRPr="000D356C" w:rsidRDefault="000D356C" w:rsidP="000D356C">
            <w:pPr>
              <w:numPr>
                <w:ilvl w:val="0"/>
                <w:numId w:val="7"/>
              </w:num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Révision du plan d’action</w:t>
            </w:r>
          </w:p>
          <w:p w14:paraId="3C22A80F" w14:textId="77777777" w:rsidR="000D356C" w:rsidRPr="000D356C" w:rsidRDefault="000D356C" w:rsidP="000D356C">
            <w:pPr>
              <w:numPr>
                <w:ilvl w:val="0"/>
                <w:numId w:val="7"/>
              </w:num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A demandé pour un troisième séminaire régional</w:t>
            </w:r>
          </w:p>
        </w:tc>
      </w:tr>
      <w:tr w:rsidR="000D356C" w:rsidRPr="000D356C" w14:paraId="2BCC05BA" w14:textId="77777777" w:rsidTr="000D356C">
        <w:trPr>
          <w:trHeight w:val="1187"/>
        </w:trPr>
        <w:tc>
          <w:tcPr>
            <w:tcW w:w="1056" w:type="dxa"/>
            <w:tcBorders>
              <w:top w:val="single" w:sz="4" w:space="0" w:color="auto"/>
              <w:left w:val="single" w:sz="4" w:space="0" w:color="auto"/>
              <w:bottom w:val="single" w:sz="4" w:space="0" w:color="auto"/>
              <w:right w:val="single" w:sz="4" w:space="0" w:color="auto"/>
            </w:tcBorders>
            <w:hideMark/>
          </w:tcPr>
          <w:p w14:paraId="53C9D712"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2006</w:t>
            </w:r>
          </w:p>
        </w:tc>
        <w:tc>
          <w:tcPr>
            <w:tcW w:w="3259" w:type="dxa"/>
            <w:tcBorders>
              <w:top w:val="single" w:sz="4" w:space="0" w:color="auto"/>
              <w:left w:val="single" w:sz="4" w:space="0" w:color="auto"/>
              <w:bottom w:val="single" w:sz="4" w:space="0" w:color="auto"/>
              <w:right w:val="single" w:sz="4" w:space="0" w:color="auto"/>
            </w:tcBorders>
            <w:hideMark/>
          </w:tcPr>
          <w:p w14:paraId="014CA5BC"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w:t>
            </w:r>
          </w:p>
        </w:tc>
        <w:tc>
          <w:tcPr>
            <w:tcW w:w="5039" w:type="dxa"/>
            <w:tcBorders>
              <w:top w:val="single" w:sz="4" w:space="0" w:color="auto"/>
              <w:left w:val="single" w:sz="4" w:space="0" w:color="auto"/>
              <w:bottom w:val="single" w:sz="4" w:space="0" w:color="auto"/>
              <w:right w:val="single" w:sz="4" w:space="0" w:color="auto"/>
            </w:tcBorders>
          </w:tcPr>
          <w:p w14:paraId="747EC8C1" w14:textId="77777777" w:rsidR="000D356C" w:rsidRPr="000D356C" w:rsidRDefault="00ED70A0">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hyperlink r:id="rId18" w:history="1">
              <w:r w:rsidR="000D356C" w:rsidRPr="000D356C">
                <w:rPr>
                  <w:rStyle w:val="Hyperlink"/>
                  <w:rFonts w:ascii="Arial" w:hAnsi="Arial" w:cs="Arial"/>
                  <w:sz w:val="22"/>
                  <w:szCs w:val="22"/>
                  <w:lang w:val="fr-FR"/>
                </w:rPr>
                <w:t>Antilopes sahélo-sahariennes - Situation et perspectives</w:t>
              </w:r>
            </w:hyperlink>
            <w:r w:rsidR="000D356C" w:rsidRPr="000D356C">
              <w:rPr>
                <w:rFonts w:ascii="Arial" w:hAnsi="Arial" w:cs="Arial"/>
                <w:sz w:val="22"/>
                <w:szCs w:val="22"/>
                <w:lang w:val="fr-FR"/>
              </w:rPr>
              <w:t xml:space="preserve">  </w:t>
            </w:r>
          </w:p>
          <w:p w14:paraId="3EE87B71" w14:textId="77777777" w:rsidR="000D356C" w:rsidRPr="000D356C" w:rsidRDefault="000D356C" w:rsidP="000D356C">
            <w:pPr>
              <w:numPr>
                <w:ilvl w:val="0"/>
                <w:numId w:val="8"/>
              </w:num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A fourni l’état de conservation actualisé pour les six espèces</w:t>
            </w:r>
          </w:p>
          <w:p w14:paraId="77D46FA5"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tc>
      </w:tr>
      <w:tr w:rsidR="000D356C" w:rsidRPr="000D356C" w14:paraId="74A11191" w14:textId="77777777" w:rsidTr="000D356C">
        <w:trPr>
          <w:trHeight w:val="1205"/>
        </w:trPr>
        <w:tc>
          <w:tcPr>
            <w:tcW w:w="1056" w:type="dxa"/>
            <w:tcBorders>
              <w:top w:val="single" w:sz="4" w:space="0" w:color="auto"/>
              <w:left w:val="single" w:sz="4" w:space="0" w:color="auto"/>
              <w:bottom w:val="single" w:sz="4" w:space="0" w:color="auto"/>
              <w:right w:val="single" w:sz="4" w:space="0" w:color="auto"/>
            </w:tcBorders>
            <w:hideMark/>
          </w:tcPr>
          <w:p w14:paraId="4D0482EB"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2008</w:t>
            </w:r>
          </w:p>
        </w:tc>
        <w:tc>
          <w:tcPr>
            <w:tcW w:w="3259" w:type="dxa"/>
            <w:tcBorders>
              <w:top w:val="single" w:sz="4" w:space="0" w:color="auto"/>
              <w:left w:val="single" w:sz="4" w:space="0" w:color="auto"/>
              <w:bottom w:val="single" w:sz="4" w:space="0" w:color="auto"/>
              <w:right w:val="single" w:sz="4" w:space="0" w:color="auto"/>
            </w:tcBorders>
            <w:hideMark/>
          </w:tcPr>
          <w:p w14:paraId="411F3CC0"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Neuvième Réunion de la Conférence des Parties à la CMS à Rome (Italie) </w:t>
            </w:r>
          </w:p>
        </w:tc>
        <w:tc>
          <w:tcPr>
            <w:tcW w:w="5039" w:type="dxa"/>
            <w:tcBorders>
              <w:top w:val="single" w:sz="4" w:space="0" w:color="auto"/>
              <w:left w:val="single" w:sz="4" w:space="0" w:color="auto"/>
              <w:bottom w:val="single" w:sz="4" w:space="0" w:color="auto"/>
              <w:right w:val="single" w:sz="4" w:space="0" w:color="auto"/>
            </w:tcBorders>
          </w:tcPr>
          <w:p w14:paraId="666A613F" w14:textId="77777777" w:rsidR="000D356C" w:rsidRPr="000D356C" w:rsidRDefault="00ED70A0">
            <w:pPr>
              <w:pBdr>
                <w:top w:val="single" w:sz="6" w:space="0" w:color="FFFFFF"/>
                <w:left w:val="single" w:sz="6" w:space="0" w:color="FFFFFF"/>
                <w:bottom w:val="single" w:sz="6" w:space="0" w:color="FFFFFF"/>
                <w:right w:val="single" w:sz="6" w:space="0" w:color="FFFFFF"/>
              </w:pBdr>
              <w:jc w:val="both"/>
              <w:outlineLvl w:val="1"/>
              <w:rPr>
                <w:rStyle w:val="Hyperlink"/>
                <w:rFonts w:ascii="Arial" w:hAnsi="Arial" w:cs="Arial"/>
                <w:sz w:val="22"/>
                <w:szCs w:val="22"/>
              </w:rPr>
            </w:pPr>
            <w:hyperlink r:id="rId19" w:history="1">
              <w:r w:rsidR="000D356C" w:rsidRPr="000D356C">
                <w:rPr>
                  <w:rStyle w:val="Hyperlink"/>
                  <w:rFonts w:ascii="Arial" w:hAnsi="Arial" w:cs="Arial"/>
                  <w:sz w:val="22"/>
                  <w:szCs w:val="22"/>
                  <w:lang w:val="fr-FR"/>
                </w:rPr>
                <w:t>Recommandation 9.2</w:t>
              </w:r>
            </w:hyperlink>
          </w:p>
          <w:p w14:paraId="1A21A360" w14:textId="77777777" w:rsidR="000D356C" w:rsidRPr="000D356C" w:rsidRDefault="000D356C" w:rsidP="000D356C">
            <w:pPr>
              <w:numPr>
                <w:ilvl w:val="0"/>
                <w:numId w:val="9"/>
              </w:num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rPr>
            </w:pPr>
            <w:r w:rsidRPr="000D356C">
              <w:rPr>
                <w:rFonts w:ascii="Arial" w:hAnsi="Arial" w:cs="Arial"/>
                <w:sz w:val="22"/>
                <w:szCs w:val="22"/>
                <w:lang w:val="fr-FR"/>
              </w:rPr>
              <w:t>L’Action concertée pour les ongulés sahélo-sahariens a été reformulée sous le nom d’Action concertée pour la mégafaune sahélo-saharienne.</w:t>
            </w:r>
          </w:p>
          <w:p w14:paraId="17856C86"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tc>
      </w:tr>
      <w:tr w:rsidR="000D356C" w:rsidRPr="000D356C" w14:paraId="01D8232C" w14:textId="77777777" w:rsidTr="000D356C">
        <w:trPr>
          <w:trHeight w:val="964"/>
        </w:trPr>
        <w:tc>
          <w:tcPr>
            <w:tcW w:w="1056" w:type="dxa"/>
            <w:tcBorders>
              <w:top w:val="single" w:sz="4" w:space="0" w:color="auto"/>
              <w:left w:val="single" w:sz="4" w:space="0" w:color="auto"/>
              <w:bottom w:val="single" w:sz="4" w:space="0" w:color="auto"/>
              <w:right w:val="single" w:sz="4" w:space="0" w:color="auto"/>
            </w:tcBorders>
            <w:hideMark/>
          </w:tcPr>
          <w:p w14:paraId="622BCD0D"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2011</w:t>
            </w:r>
          </w:p>
        </w:tc>
        <w:tc>
          <w:tcPr>
            <w:tcW w:w="3259" w:type="dxa"/>
            <w:tcBorders>
              <w:top w:val="single" w:sz="4" w:space="0" w:color="auto"/>
              <w:left w:val="single" w:sz="4" w:space="0" w:color="auto"/>
              <w:bottom w:val="single" w:sz="4" w:space="0" w:color="auto"/>
              <w:right w:val="single" w:sz="4" w:space="0" w:color="auto"/>
            </w:tcBorders>
            <w:hideMark/>
          </w:tcPr>
          <w:p w14:paraId="456662C9"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Dix-septième Réunion du Conseil scientifique à Bergen (Norvège)</w:t>
            </w:r>
          </w:p>
        </w:tc>
        <w:tc>
          <w:tcPr>
            <w:tcW w:w="5039" w:type="dxa"/>
            <w:tcBorders>
              <w:top w:val="single" w:sz="4" w:space="0" w:color="auto"/>
              <w:left w:val="single" w:sz="4" w:space="0" w:color="auto"/>
              <w:bottom w:val="single" w:sz="4" w:space="0" w:color="auto"/>
              <w:right w:val="single" w:sz="4" w:space="0" w:color="auto"/>
            </w:tcBorders>
          </w:tcPr>
          <w:p w14:paraId="03E8848D" w14:textId="77777777" w:rsidR="000D356C" w:rsidRPr="000D356C" w:rsidRDefault="00ED70A0">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hyperlink r:id="rId20" w:history="1">
              <w:r w:rsidR="000D356C" w:rsidRPr="000D356C">
                <w:rPr>
                  <w:rStyle w:val="Hyperlink"/>
                  <w:rFonts w:ascii="Arial" w:hAnsi="Arial" w:cs="Arial"/>
                  <w:sz w:val="22"/>
                  <w:szCs w:val="22"/>
                  <w:lang w:val="fr-FR"/>
                </w:rPr>
                <w:t>Rapport de la réunion (UNEP/CMS/ScC17/Rapport Annexe II</w:t>
              </w:r>
            </w:hyperlink>
            <w:r w:rsidR="000D356C" w:rsidRPr="000D356C">
              <w:rPr>
                <w:rFonts w:ascii="Arial" w:hAnsi="Arial" w:cs="Arial"/>
                <w:sz w:val="22"/>
                <w:szCs w:val="22"/>
                <w:vertAlign w:val="superscript"/>
                <w:lang w:val="fr-FR"/>
              </w:rPr>
              <w:footnoteReference w:id="17"/>
            </w:r>
            <w:r w:rsidR="000D356C" w:rsidRPr="000D356C">
              <w:rPr>
                <w:rFonts w:ascii="Arial" w:hAnsi="Arial" w:cs="Arial"/>
                <w:sz w:val="22"/>
                <w:szCs w:val="22"/>
                <w:lang w:val="fr-FR"/>
              </w:rPr>
              <w:t>)</w:t>
            </w:r>
          </w:p>
          <w:p w14:paraId="0A31CC4C" w14:textId="77777777" w:rsidR="000D356C" w:rsidRPr="000D356C" w:rsidRDefault="000D356C" w:rsidP="000D356C">
            <w:pPr>
              <w:numPr>
                <w:ilvl w:val="0"/>
                <w:numId w:val="10"/>
              </w:num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Le troisième séminaire régional a été identifié comme une priorité absolue pour l’Action concertée. </w:t>
            </w:r>
          </w:p>
          <w:p w14:paraId="3377467E"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tc>
      </w:tr>
      <w:tr w:rsidR="000D356C" w:rsidRPr="000D356C" w14:paraId="4021B36F" w14:textId="77777777" w:rsidTr="000D356C">
        <w:trPr>
          <w:trHeight w:val="964"/>
        </w:trPr>
        <w:tc>
          <w:tcPr>
            <w:tcW w:w="1056" w:type="dxa"/>
            <w:tcBorders>
              <w:top w:val="single" w:sz="4" w:space="0" w:color="auto"/>
              <w:left w:val="single" w:sz="4" w:space="0" w:color="auto"/>
              <w:bottom w:val="single" w:sz="4" w:space="0" w:color="auto"/>
              <w:right w:val="single" w:sz="4" w:space="0" w:color="auto"/>
            </w:tcBorders>
            <w:hideMark/>
          </w:tcPr>
          <w:p w14:paraId="5BCA08D4"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2014</w:t>
            </w:r>
          </w:p>
        </w:tc>
        <w:tc>
          <w:tcPr>
            <w:tcW w:w="3259" w:type="dxa"/>
            <w:tcBorders>
              <w:top w:val="single" w:sz="4" w:space="0" w:color="auto"/>
              <w:left w:val="single" w:sz="4" w:space="0" w:color="auto"/>
              <w:bottom w:val="single" w:sz="4" w:space="0" w:color="auto"/>
              <w:right w:val="single" w:sz="4" w:space="0" w:color="auto"/>
            </w:tcBorders>
            <w:hideMark/>
          </w:tcPr>
          <w:p w14:paraId="70C18F8C"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Dix-huitième Réunion du Conseil scientifique à Bonn (Allemagne)</w:t>
            </w:r>
          </w:p>
        </w:tc>
        <w:tc>
          <w:tcPr>
            <w:tcW w:w="5039" w:type="dxa"/>
            <w:tcBorders>
              <w:top w:val="single" w:sz="4" w:space="0" w:color="auto"/>
              <w:left w:val="single" w:sz="4" w:space="0" w:color="auto"/>
              <w:bottom w:val="single" w:sz="4" w:space="0" w:color="auto"/>
              <w:right w:val="single" w:sz="4" w:space="0" w:color="auto"/>
            </w:tcBorders>
          </w:tcPr>
          <w:p w14:paraId="4CACD93B" w14:textId="77777777" w:rsidR="000D356C" w:rsidRPr="000D356C" w:rsidRDefault="00ED70A0">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hyperlink r:id="rId21" w:history="1">
              <w:r w:rsidR="000D356C" w:rsidRPr="000D356C">
                <w:rPr>
                  <w:rStyle w:val="Hyperlink"/>
                  <w:rFonts w:ascii="Arial" w:hAnsi="Arial" w:cs="Arial"/>
                  <w:sz w:val="22"/>
                  <w:szCs w:val="22"/>
                  <w:lang w:val="fr-FR"/>
                </w:rPr>
                <w:t>Rapport de la réunion (UNEP/CMS/COP11/Inf.8</w:t>
              </w:r>
            </w:hyperlink>
            <w:r w:rsidR="000D356C" w:rsidRPr="000D356C">
              <w:rPr>
                <w:rFonts w:ascii="Arial" w:hAnsi="Arial" w:cs="Arial"/>
                <w:sz w:val="22"/>
                <w:szCs w:val="22"/>
                <w:vertAlign w:val="superscript"/>
                <w:lang w:val="fr-FR"/>
              </w:rPr>
              <w:footnoteReference w:id="18"/>
            </w:r>
            <w:r w:rsidR="000D356C" w:rsidRPr="000D356C">
              <w:rPr>
                <w:rFonts w:ascii="Arial" w:hAnsi="Arial" w:cs="Arial"/>
                <w:sz w:val="22"/>
                <w:szCs w:val="22"/>
                <w:lang w:val="fr-FR"/>
              </w:rPr>
              <w:t>)</w:t>
            </w:r>
          </w:p>
          <w:p w14:paraId="1E169184" w14:textId="77777777" w:rsidR="000D356C" w:rsidRPr="000D356C" w:rsidRDefault="000D356C" w:rsidP="000D356C">
            <w:pPr>
              <w:numPr>
                <w:ilvl w:val="0"/>
                <w:numId w:val="10"/>
              </w:num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A fortement recommandé le troisième séminaire régional</w:t>
            </w:r>
          </w:p>
          <w:p w14:paraId="62D929B3"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tc>
      </w:tr>
      <w:tr w:rsidR="000D356C" w:rsidRPr="000D356C" w14:paraId="19681D9E" w14:textId="77777777" w:rsidTr="000D356C">
        <w:trPr>
          <w:trHeight w:val="1020"/>
        </w:trPr>
        <w:tc>
          <w:tcPr>
            <w:tcW w:w="1056" w:type="dxa"/>
            <w:tcBorders>
              <w:top w:val="single" w:sz="4" w:space="0" w:color="auto"/>
              <w:left w:val="single" w:sz="4" w:space="0" w:color="auto"/>
              <w:bottom w:val="single" w:sz="4" w:space="0" w:color="auto"/>
              <w:right w:val="single" w:sz="4" w:space="0" w:color="auto"/>
            </w:tcBorders>
            <w:hideMark/>
          </w:tcPr>
          <w:p w14:paraId="67ED8961"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2017</w:t>
            </w:r>
          </w:p>
        </w:tc>
        <w:tc>
          <w:tcPr>
            <w:tcW w:w="3259" w:type="dxa"/>
            <w:tcBorders>
              <w:top w:val="single" w:sz="4" w:space="0" w:color="auto"/>
              <w:left w:val="single" w:sz="4" w:space="0" w:color="auto"/>
              <w:bottom w:val="single" w:sz="4" w:space="0" w:color="auto"/>
              <w:right w:val="single" w:sz="4" w:space="0" w:color="auto"/>
            </w:tcBorders>
            <w:hideMark/>
          </w:tcPr>
          <w:p w14:paraId="1EBC4933" w14:textId="77777777" w:rsidR="000D356C" w:rsidRPr="000D356C" w:rsidRDefault="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 xml:space="preserve">Douzième Réunion de la Conférence des Parties à la CMS à Manille (Philippines) </w:t>
            </w:r>
          </w:p>
        </w:tc>
        <w:tc>
          <w:tcPr>
            <w:tcW w:w="5039" w:type="dxa"/>
            <w:tcBorders>
              <w:top w:val="single" w:sz="4" w:space="0" w:color="auto"/>
              <w:left w:val="single" w:sz="4" w:space="0" w:color="auto"/>
              <w:bottom w:val="single" w:sz="4" w:space="0" w:color="auto"/>
              <w:right w:val="single" w:sz="4" w:space="0" w:color="auto"/>
            </w:tcBorders>
            <w:hideMark/>
          </w:tcPr>
          <w:p w14:paraId="3850DFC7" w14:textId="77777777" w:rsidR="000D356C" w:rsidRPr="000D356C" w:rsidRDefault="00ED70A0">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hyperlink r:id="rId22" w:history="1">
              <w:r w:rsidR="000D356C" w:rsidRPr="000D356C">
                <w:rPr>
                  <w:rStyle w:val="Hyperlink"/>
                  <w:rFonts w:ascii="Arial" w:hAnsi="Arial" w:cs="Arial"/>
                  <w:sz w:val="22"/>
                  <w:szCs w:val="22"/>
                  <w:lang w:val="fr-FR"/>
                </w:rPr>
                <w:t>Résolution 9.21 (Rev.COP12)</w:t>
              </w:r>
            </w:hyperlink>
          </w:p>
          <w:p w14:paraId="11A59C41" w14:textId="77777777" w:rsidR="000D356C" w:rsidRPr="000D356C" w:rsidRDefault="000D356C" w:rsidP="000D356C">
            <w:pPr>
              <w:numPr>
                <w:ilvl w:val="0"/>
                <w:numId w:val="9"/>
              </w:num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A encouragé l’examen d’une extension de la zone d’action vers les déserts de la Corne d’Afrique et les biomes associés</w:t>
            </w:r>
          </w:p>
        </w:tc>
      </w:tr>
    </w:tbl>
    <w:p w14:paraId="4A44EC1F" w14:textId="77777777" w:rsidR="000D356C"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60DF145C" w14:textId="2D0BDE9E" w:rsidR="00405281" w:rsidRPr="000D356C" w:rsidRDefault="000D356C" w:rsidP="000D356C">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r w:rsidRPr="000D356C">
        <w:rPr>
          <w:rFonts w:ascii="Arial" w:hAnsi="Arial" w:cs="Arial"/>
          <w:sz w:val="22"/>
          <w:szCs w:val="22"/>
          <w:lang w:val="fr-FR"/>
        </w:rPr>
        <w:t>*Cette liste exclut les activités du projet menées dans le cadre de l’Action concertée pour la mise en œuvre des Recommandations, Déclarations et Résolutions</w:t>
      </w:r>
    </w:p>
    <w:sectPr w:rsidR="00405281" w:rsidRPr="000D356C" w:rsidSect="00405281">
      <w:footerReference w:type="first" r:id="rId23"/>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5521737"/>
      <w:docPartObj>
        <w:docPartGallery w:val="Page Numbers (Bottom of Page)"/>
        <w:docPartUnique/>
      </w:docPartObj>
    </w:sdtPr>
    <w:sdtEndPr>
      <w:rPr>
        <w:noProof/>
      </w:rPr>
    </w:sdtEndPr>
    <w:sdtContent>
      <w:p w14:paraId="33BDCE4E" w14:textId="1608FB85" w:rsidR="000D356C" w:rsidRPr="000D356C" w:rsidRDefault="000D356C" w:rsidP="000D356C">
        <w:pPr>
          <w:pStyle w:val="Footer"/>
          <w:jc w:val="center"/>
          <w:rPr>
            <w:rFonts w:ascii="Arial" w:hAnsi="Arial" w:cs="Arial"/>
            <w:sz w:val="18"/>
            <w:szCs w:val="18"/>
          </w:rPr>
        </w:pPr>
        <w:r w:rsidRPr="000D356C">
          <w:rPr>
            <w:rFonts w:ascii="Arial" w:hAnsi="Arial" w:cs="Arial"/>
            <w:sz w:val="18"/>
            <w:szCs w:val="18"/>
          </w:rPr>
          <w:fldChar w:fldCharType="begin"/>
        </w:r>
        <w:r w:rsidRPr="000D356C">
          <w:rPr>
            <w:rFonts w:ascii="Arial" w:hAnsi="Arial" w:cs="Arial"/>
            <w:sz w:val="18"/>
            <w:szCs w:val="18"/>
          </w:rPr>
          <w:instrText xml:space="preserve"> PAGE   \* MERGEFORMAT </w:instrText>
        </w:r>
        <w:r w:rsidRPr="000D356C">
          <w:rPr>
            <w:rFonts w:ascii="Arial" w:hAnsi="Arial" w:cs="Arial"/>
            <w:sz w:val="18"/>
            <w:szCs w:val="18"/>
          </w:rPr>
          <w:fldChar w:fldCharType="separate"/>
        </w:r>
        <w:r w:rsidRPr="000D356C">
          <w:rPr>
            <w:rFonts w:ascii="Arial" w:hAnsi="Arial" w:cs="Arial"/>
            <w:noProof/>
            <w:sz w:val="18"/>
            <w:szCs w:val="18"/>
          </w:rPr>
          <w:t>2</w:t>
        </w:r>
        <w:r w:rsidRPr="000D356C">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692955155"/>
      <w:docPartObj>
        <w:docPartGallery w:val="Page Numbers (Bottom of Page)"/>
        <w:docPartUnique/>
      </w:docPartObj>
    </w:sdtPr>
    <w:sdtEndPr>
      <w:rPr>
        <w:noProof/>
      </w:rPr>
    </w:sdtEndPr>
    <w:sdtContent>
      <w:p w14:paraId="6BF41F38" w14:textId="4AC5E2E1" w:rsidR="000D356C" w:rsidRPr="000D356C" w:rsidRDefault="000D356C" w:rsidP="000D356C">
        <w:pPr>
          <w:pStyle w:val="Footer"/>
          <w:jc w:val="center"/>
          <w:rPr>
            <w:rFonts w:ascii="Arial" w:hAnsi="Arial" w:cs="Arial"/>
            <w:sz w:val="18"/>
            <w:szCs w:val="18"/>
          </w:rPr>
        </w:pPr>
        <w:r w:rsidRPr="000D356C">
          <w:rPr>
            <w:rFonts w:ascii="Arial" w:hAnsi="Arial" w:cs="Arial"/>
            <w:sz w:val="18"/>
            <w:szCs w:val="18"/>
          </w:rPr>
          <w:fldChar w:fldCharType="begin"/>
        </w:r>
        <w:r w:rsidRPr="000D356C">
          <w:rPr>
            <w:rFonts w:ascii="Arial" w:hAnsi="Arial" w:cs="Arial"/>
            <w:sz w:val="18"/>
            <w:szCs w:val="18"/>
          </w:rPr>
          <w:instrText xml:space="preserve"> PAGE   \* MERGEFORMAT </w:instrText>
        </w:r>
        <w:r w:rsidRPr="000D356C">
          <w:rPr>
            <w:rFonts w:ascii="Arial" w:hAnsi="Arial" w:cs="Arial"/>
            <w:sz w:val="18"/>
            <w:szCs w:val="18"/>
          </w:rPr>
          <w:fldChar w:fldCharType="separate"/>
        </w:r>
        <w:r w:rsidRPr="000D356C">
          <w:rPr>
            <w:rFonts w:ascii="Arial" w:hAnsi="Arial" w:cs="Arial"/>
            <w:noProof/>
            <w:sz w:val="18"/>
            <w:szCs w:val="18"/>
          </w:rPr>
          <w:t>2</w:t>
        </w:r>
        <w:r w:rsidRPr="000D356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2FE74F7D"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À la 19</w:t>
      </w:r>
      <w:r>
        <w:rPr>
          <w:sz w:val="16"/>
          <w:szCs w:val="16"/>
          <w:vertAlign w:val="superscript"/>
          <w:lang w:val="fr-FR"/>
        </w:rPr>
        <w:t>e</w:t>
      </w:r>
      <w:r>
        <w:rPr>
          <w:sz w:val="16"/>
          <w:szCs w:val="16"/>
          <w:lang w:val="fr-FR"/>
        </w:rPr>
        <w:t xml:space="preserve"> Réunion du Groupe d’intérêt sahélo-saharien qui s’est tenue en mai 2019 à Tunis, le Secrétariat de la CMS a présenté la proposition visant à élaborer un Plan d’action actualisé et à organiser le troisième séminaire pour consultation avec les parties prenantes concernées.</w:t>
      </w:r>
    </w:p>
  </w:footnote>
  <w:footnote w:id="2">
    <w:p w14:paraId="57E1396A"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Voir Recommandation 4.5 (Nairobi, 1994) et Paragraphe 1 de la </w:t>
      </w:r>
      <w:r>
        <w:rPr>
          <w:sz w:val="16"/>
          <w:szCs w:val="16"/>
          <w:lang w:val="fr-FR" w:eastAsia="ja-JP"/>
        </w:rPr>
        <w:t>Recommandation 9.2 (Rome, 2008)</w:t>
      </w:r>
    </w:p>
  </w:footnote>
  <w:footnote w:id="3">
    <w:p w14:paraId="76646A86"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Pour plus de détails sur la discussion, voir UNEP/CMS/COP13/Doc.26.3.4.</w:t>
      </w:r>
    </w:p>
  </w:footnote>
  <w:footnote w:id="4">
    <w:p w14:paraId="0557A0C7"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Inscrit à l’Annexe I à la COP11 (Quito, 2014) </w:t>
      </w:r>
    </w:p>
  </w:footnote>
  <w:footnote w:id="5">
    <w:p w14:paraId="0DBF9CC8"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Inscrit à l’Annexe II à la COP9 (Rome, 2008)</w:t>
      </w:r>
    </w:p>
  </w:footnote>
  <w:footnote w:id="6">
    <w:p w14:paraId="0AEE57C3"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Paragraphe 1 de la Recommandation 9.2 (Rome, 2008)</w:t>
      </w:r>
    </w:p>
  </w:footnote>
  <w:footnote w:id="7">
    <w:p w14:paraId="74A982AB" w14:textId="77777777" w:rsidR="00405281" w:rsidRDefault="00405281" w:rsidP="00405281">
      <w:pPr>
        <w:pStyle w:val="FootnoteText"/>
        <w:rPr>
          <w:lang w:val="fr-FR"/>
        </w:rPr>
      </w:pPr>
      <w:r>
        <w:rPr>
          <w:rStyle w:val="FootnoteReference"/>
        </w:rPr>
        <w:footnoteRef/>
      </w:r>
      <w:r>
        <w:rPr>
          <w:lang w:val="fr-FR"/>
        </w:rPr>
        <w:t xml:space="preserve"> Voir </w:t>
      </w:r>
      <w:hyperlink r:id="rId1" w:history="1">
        <w:r>
          <w:rPr>
            <w:rStyle w:val="Hyperlink"/>
            <w:lang w:val="fr-FR"/>
          </w:rPr>
          <w:t>https://www.saharaconservation.org/Science/SSIG</w:t>
        </w:r>
      </w:hyperlink>
    </w:p>
  </w:footnote>
  <w:footnote w:id="8">
    <w:p w14:paraId="2606C81E"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Voir UNEP/CMS/COP13/Doc.26.3.4 pour une discussion plus approfondie.</w:t>
      </w:r>
    </w:p>
  </w:footnote>
  <w:footnote w:id="9">
    <w:p w14:paraId="6D37F33F"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Voir UNEP/CMS/COP13/Doc.26.3.4 sur la </w:t>
      </w:r>
      <w:r>
        <w:rPr>
          <w:i/>
          <w:sz w:val="16"/>
          <w:szCs w:val="16"/>
          <w:lang w:val="fr-FR"/>
        </w:rPr>
        <w:t>mégafaune sahélo-saharienne</w:t>
      </w:r>
      <w:r>
        <w:rPr>
          <w:sz w:val="16"/>
          <w:szCs w:val="16"/>
          <w:lang w:val="fr-FR"/>
        </w:rPr>
        <w:t xml:space="preserve"> pour une discussion plus approfondie.</w:t>
      </w:r>
    </w:p>
  </w:footnote>
  <w:footnote w:id="10">
    <w:p w14:paraId="167BBB9D"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Voir </w:t>
      </w:r>
      <w:hyperlink r:id="rId2" w:history="1">
        <w:r>
          <w:rPr>
            <w:rStyle w:val="Hyperlink"/>
            <w:sz w:val="16"/>
            <w:szCs w:val="16"/>
            <w:lang w:val="fr-FR"/>
          </w:rPr>
          <w:t>https://www.cms.int/sites/default/files/document/ssa_agadir_declaration_f_0.pdf</w:t>
        </w:r>
      </w:hyperlink>
    </w:p>
  </w:footnote>
  <w:footnote w:id="11">
    <w:p w14:paraId="23D9361A"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w:t>
      </w:r>
      <w:hyperlink r:id="rId3" w:history="1">
        <w:r>
          <w:rPr>
            <w:rStyle w:val="Hyperlink"/>
            <w:sz w:val="16"/>
            <w:szCs w:val="16"/>
            <w:lang w:val="fr-FR"/>
          </w:rPr>
          <w:t>UNEP/CMS/COP11/Inf.8 de 2014</w:t>
        </w:r>
      </w:hyperlink>
      <w:r>
        <w:rPr>
          <w:sz w:val="16"/>
          <w:szCs w:val="16"/>
          <w:lang w:val="fr-FR"/>
        </w:rPr>
        <w:t xml:space="preserve">; </w:t>
      </w:r>
      <w:hyperlink r:id="rId4" w:history="1">
        <w:r>
          <w:rPr>
            <w:rStyle w:val="Hyperlink"/>
            <w:sz w:val="16"/>
            <w:szCs w:val="16"/>
            <w:lang w:val="fr-FR"/>
          </w:rPr>
          <w:t>UNEP/CMS/ScC17/Rapport Annexe II de 2011</w:t>
        </w:r>
      </w:hyperlink>
    </w:p>
  </w:footnote>
  <w:footnote w:id="12">
    <w:p w14:paraId="5EFD4289" w14:textId="77777777" w:rsidR="00405281" w:rsidRDefault="00405281" w:rsidP="00405281">
      <w:pPr>
        <w:pStyle w:val="FootnoteText"/>
        <w:rPr>
          <w:sz w:val="16"/>
          <w:szCs w:val="16"/>
          <w:lang w:val="fr-FR"/>
        </w:rPr>
      </w:pPr>
      <w:r>
        <w:rPr>
          <w:rStyle w:val="FootnoteReference"/>
          <w:sz w:val="16"/>
          <w:szCs w:val="16"/>
        </w:rPr>
        <w:footnoteRef/>
      </w:r>
      <w:r>
        <w:rPr>
          <w:sz w:val="16"/>
          <w:szCs w:val="16"/>
          <w:lang w:val="fr-FR"/>
        </w:rPr>
        <w:t xml:space="preserve"> </w:t>
      </w:r>
      <w:hyperlink r:id="rId5" w:history="1">
        <w:r>
          <w:rPr>
            <w:rStyle w:val="Hyperlink"/>
            <w:sz w:val="16"/>
            <w:szCs w:val="16"/>
            <w:lang w:val="fr-FR"/>
          </w:rPr>
          <w:t>UNEP/CMS/Résolution 12.28/Annexe 1</w:t>
        </w:r>
      </w:hyperlink>
    </w:p>
  </w:footnote>
  <w:footnote w:id="13">
    <w:p w14:paraId="1D7A1AE6" w14:textId="77777777" w:rsidR="000D356C" w:rsidRDefault="000D356C" w:rsidP="000D356C">
      <w:pPr>
        <w:pStyle w:val="FootnoteText"/>
        <w:rPr>
          <w:sz w:val="16"/>
          <w:szCs w:val="16"/>
          <w:lang w:val="fr-FR"/>
        </w:rPr>
      </w:pPr>
      <w:r>
        <w:rPr>
          <w:rStyle w:val="FootnoteReference"/>
          <w:sz w:val="16"/>
          <w:szCs w:val="16"/>
        </w:rPr>
        <w:footnoteRef/>
      </w:r>
      <w:r>
        <w:rPr>
          <w:sz w:val="16"/>
          <w:szCs w:val="16"/>
          <w:lang w:val="fr-FR"/>
        </w:rPr>
        <w:t xml:space="preserve"> Voir UNEP/CMS/COP13/Doc.26.3.4 pour une discussion plus approfondie.</w:t>
      </w:r>
    </w:p>
  </w:footnote>
  <w:footnote w:id="14">
    <w:p w14:paraId="7066BA40" w14:textId="77777777" w:rsidR="000D356C" w:rsidRDefault="000D356C" w:rsidP="000D356C">
      <w:pPr>
        <w:pStyle w:val="FootnoteText"/>
        <w:rPr>
          <w:sz w:val="16"/>
          <w:szCs w:val="16"/>
          <w:lang w:val="fr-FR"/>
        </w:rPr>
      </w:pPr>
      <w:r>
        <w:rPr>
          <w:rStyle w:val="FootnoteReference"/>
          <w:sz w:val="16"/>
          <w:szCs w:val="16"/>
        </w:rPr>
        <w:footnoteRef/>
      </w:r>
      <w:r>
        <w:rPr>
          <w:sz w:val="16"/>
          <w:szCs w:val="16"/>
          <w:lang w:val="fr-FR"/>
        </w:rPr>
        <w:t xml:space="preserve"> Voir UNEP/CMS/COP13/Doc.26.3.4 pour une discussion plus approfondie.</w:t>
      </w:r>
    </w:p>
  </w:footnote>
  <w:footnote w:id="15">
    <w:p w14:paraId="30041B24" w14:textId="77777777" w:rsidR="000D356C" w:rsidRDefault="000D356C" w:rsidP="000D356C">
      <w:pPr>
        <w:pStyle w:val="FootnoteText"/>
        <w:rPr>
          <w:sz w:val="16"/>
          <w:szCs w:val="16"/>
          <w:lang w:val="en-GB"/>
        </w:rPr>
      </w:pPr>
      <w:r>
        <w:rPr>
          <w:rStyle w:val="FootnoteReference"/>
          <w:sz w:val="16"/>
          <w:szCs w:val="16"/>
        </w:rPr>
        <w:footnoteRef/>
      </w:r>
      <w:r>
        <w:rPr>
          <w:sz w:val="16"/>
          <w:szCs w:val="16"/>
          <w:lang w:val="fr-FR"/>
        </w:rPr>
        <w:t xml:space="preserve"> </w:t>
      </w:r>
      <w:r>
        <w:rPr>
          <w:color w:val="222222"/>
          <w:sz w:val="16"/>
          <w:szCs w:val="16"/>
          <w:shd w:val="clear" w:color="auto" w:fill="FFFFFF"/>
          <w:lang w:val="fr-FR"/>
        </w:rPr>
        <w:t xml:space="preserve">Durant, S. M., </w:t>
      </w:r>
      <w:proofErr w:type="spellStart"/>
      <w:r>
        <w:rPr>
          <w:color w:val="222222"/>
          <w:sz w:val="16"/>
          <w:szCs w:val="16"/>
          <w:shd w:val="clear" w:color="auto" w:fill="FFFFFF"/>
          <w:lang w:val="fr-FR"/>
        </w:rPr>
        <w:t>Wacher</w:t>
      </w:r>
      <w:proofErr w:type="spellEnd"/>
      <w:r>
        <w:rPr>
          <w:color w:val="222222"/>
          <w:sz w:val="16"/>
          <w:szCs w:val="16"/>
          <w:shd w:val="clear" w:color="auto" w:fill="FFFFFF"/>
          <w:lang w:val="fr-FR"/>
        </w:rPr>
        <w:t xml:space="preserve">, T., Bashir, S., </w:t>
      </w:r>
      <w:proofErr w:type="spellStart"/>
      <w:r>
        <w:rPr>
          <w:color w:val="222222"/>
          <w:sz w:val="16"/>
          <w:szCs w:val="16"/>
          <w:shd w:val="clear" w:color="auto" w:fill="FFFFFF"/>
          <w:lang w:val="fr-FR"/>
        </w:rPr>
        <w:t>Woodroffe</w:t>
      </w:r>
      <w:proofErr w:type="spellEnd"/>
      <w:r>
        <w:rPr>
          <w:color w:val="222222"/>
          <w:sz w:val="16"/>
          <w:szCs w:val="16"/>
          <w:shd w:val="clear" w:color="auto" w:fill="FFFFFF"/>
          <w:lang w:val="fr-FR"/>
        </w:rPr>
        <w:t xml:space="preserve">, R., De </w:t>
      </w:r>
      <w:proofErr w:type="spellStart"/>
      <w:r>
        <w:rPr>
          <w:color w:val="222222"/>
          <w:sz w:val="16"/>
          <w:szCs w:val="16"/>
          <w:shd w:val="clear" w:color="auto" w:fill="FFFFFF"/>
          <w:lang w:val="fr-FR"/>
        </w:rPr>
        <w:t>Ornellas</w:t>
      </w:r>
      <w:proofErr w:type="spellEnd"/>
      <w:r>
        <w:rPr>
          <w:color w:val="222222"/>
          <w:sz w:val="16"/>
          <w:szCs w:val="16"/>
          <w:shd w:val="clear" w:color="auto" w:fill="FFFFFF"/>
          <w:lang w:val="fr-FR"/>
        </w:rPr>
        <w:t xml:space="preserve">, P., </w:t>
      </w:r>
      <w:proofErr w:type="spellStart"/>
      <w:r>
        <w:rPr>
          <w:color w:val="222222"/>
          <w:sz w:val="16"/>
          <w:szCs w:val="16"/>
          <w:shd w:val="clear" w:color="auto" w:fill="FFFFFF"/>
          <w:lang w:val="fr-FR"/>
        </w:rPr>
        <w:t>Ransom</w:t>
      </w:r>
      <w:proofErr w:type="spellEnd"/>
      <w:r>
        <w:rPr>
          <w:color w:val="222222"/>
          <w:sz w:val="16"/>
          <w:szCs w:val="16"/>
          <w:shd w:val="clear" w:color="auto" w:fill="FFFFFF"/>
          <w:lang w:val="fr-FR"/>
        </w:rPr>
        <w:t xml:space="preserve">, C., .... &amp; Baillie, J. (2014). </w:t>
      </w:r>
      <w:proofErr w:type="spellStart"/>
      <w:r>
        <w:rPr>
          <w:color w:val="222222"/>
          <w:sz w:val="16"/>
          <w:szCs w:val="16"/>
          <w:shd w:val="clear" w:color="auto" w:fill="FFFFFF"/>
          <w:lang w:val="fr-FR"/>
        </w:rPr>
        <w:t>Fiddling</w:t>
      </w:r>
      <w:proofErr w:type="spellEnd"/>
      <w:r>
        <w:rPr>
          <w:color w:val="222222"/>
          <w:sz w:val="16"/>
          <w:szCs w:val="16"/>
          <w:shd w:val="clear" w:color="auto" w:fill="FFFFFF"/>
          <w:lang w:val="fr-FR"/>
        </w:rPr>
        <w:t xml:space="preserve"> in </w:t>
      </w:r>
      <w:proofErr w:type="spellStart"/>
      <w:r>
        <w:rPr>
          <w:color w:val="222222"/>
          <w:sz w:val="16"/>
          <w:szCs w:val="16"/>
          <w:shd w:val="clear" w:color="auto" w:fill="FFFFFF"/>
          <w:lang w:val="fr-FR"/>
        </w:rPr>
        <w:t>biodiversity</w:t>
      </w:r>
      <w:proofErr w:type="spellEnd"/>
      <w:r>
        <w:rPr>
          <w:color w:val="222222"/>
          <w:sz w:val="16"/>
          <w:szCs w:val="16"/>
          <w:shd w:val="clear" w:color="auto" w:fill="FFFFFF"/>
          <w:lang w:val="fr-FR"/>
        </w:rPr>
        <w:t xml:space="preserve"> hotspots </w:t>
      </w:r>
      <w:proofErr w:type="spellStart"/>
      <w:r>
        <w:rPr>
          <w:color w:val="222222"/>
          <w:sz w:val="16"/>
          <w:szCs w:val="16"/>
          <w:shd w:val="clear" w:color="auto" w:fill="FFFFFF"/>
          <w:lang w:val="fr-FR"/>
        </w:rPr>
        <w:t>while</w:t>
      </w:r>
      <w:proofErr w:type="spellEnd"/>
      <w:r>
        <w:rPr>
          <w:color w:val="222222"/>
          <w:sz w:val="16"/>
          <w:szCs w:val="16"/>
          <w:shd w:val="clear" w:color="auto" w:fill="FFFFFF"/>
          <w:lang w:val="fr-FR"/>
        </w:rPr>
        <w:t xml:space="preserve"> </w:t>
      </w:r>
      <w:proofErr w:type="spellStart"/>
      <w:r>
        <w:rPr>
          <w:color w:val="222222"/>
          <w:sz w:val="16"/>
          <w:szCs w:val="16"/>
          <w:shd w:val="clear" w:color="auto" w:fill="FFFFFF"/>
          <w:lang w:val="fr-FR"/>
        </w:rPr>
        <w:t>deserts</w:t>
      </w:r>
      <w:proofErr w:type="spellEnd"/>
      <w:r>
        <w:rPr>
          <w:color w:val="222222"/>
          <w:sz w:val="16"/>
          <w:szCs w:val="16"/>
          <w:shd w:val="clear" w:color="auto" w:fill="FFFFFF"/>
          <w:lang w:val="fr-FR"/>
        </w:rPr>
        <w:t xml:space="preserve"> </w:t>
      </w:r>
      <w:proofErr w:type="spellStart"/>
      <w:proofErr w:type="gramStart"/>
      <w:r>
        <w:rPr>
          <w:color w:val="222222"/>
          <w:sz w:val="16"/>
          <w:szCs w:val="16"/>
          <w:shd w:val="clear" w:color="auto" w:fill="FFFFFF"/>
          <w:lang w:val="fr-FR"/>
        </w:rPr>
        <w:t>burn</w:t>
      </w:r>
      <w:proofErr w:type="spellEnd"/>
      <w:r>
        <w:rPr>
          <w:color w:val="222222"/>
          <w:sz w:val="16"/>
          <w:szCs w:val="16"/>
          <w:shd w:val="clear" w:color="auto" w:fill="FFFFFF"/>
          <w:lang w:val="fr-FR"/>
        </w:rPr>
        <w:t>?</w:t>
      </w:r>
      <w:proofErr w:type="gramEnd"/>
      <w:r>
        <w:rPr>
          <w:color w:val="222222"/>
          <w:sz w:val="16"/>
          <w:szCs w:val="16"/>
          <w:shd w:val="clear" w:color="auto" w:fill="FFFFFF"/>
          <w:lang w:val="fr-FR"/>
        </w:rPr>
        <w:t xml:space="preserve"> </w:t>
      </w:r>
      <w:r>
        <w:rPr>
          <w:color w:val="222222"/>
          <w:sz w:val="16"/>
          <w:szCs w:val="16"/>
          <w:shd w:val="clear" w:color="auto" w:fill="FFFFFF"/>
          <w:lang w:val="en-GB"/>
        </w:rPr>
        <w:t>Collapse of the Sahara's megafauna. </w:t>
      </w:r>
      <w:r>
        <w:rPr>
          <w:i/>
          <w:color w:val="222222"/>
          <w:sz w:val="16"/>
          <w:szCs w:val="16"/>
          <w:shd w:val="clear" w:color="auto" w:fill="FFFFFF"/>
          <w:lang w:val="en-GB"/>
        </w:rPr>
        <w:t>Diversity and Distributions, 20(</w:t>
      </w:r>
      <w:r>
        <w:rPr>
          <w:color w:val="222222"/>
          <w:sz w:val="16"/>
          <w:szCs w:val="16"/>
          <w:shd w:val="clear" w:color="auto" w:fill="FFFFFF"/>
          <w:lang w:val="en-GB"/>
        </w:rPr>
        <w:t>1), 114-122.</w:t>
      </w:r>
    </w:p>
  </w:footnote>
  <w:footnote w:id="16">
    <w:p w14:paraId="28921184" w14:textId="77777777" w:rsidR="000D356C" w:rsidRDefault="000D356C" w:rsidP="000D356C">
      <w:pPr>
        <w:pStyle w:val="FootnoteText"/>
        <w:rPr>
          <w:sz w:val="16"/>
          <w:szCs w:val="16"/>
          <w:lang w:val="fr-FR"/>
        </w:rPr>
      </w:pPr>
      <w:r>
        <w:rPr>
          <w:rStyle w:val="FootnoteReference"/>
          <w:sz w:val="16"/>
          <w:szCs w:val="16"/>
        </w:rPr>
        <w:footnoteRef/>
      </w:r>
      <w:r>
        <w:rPr>
          <w:sz w:val="16"/>
          <w:szCs w:val="16"/>
          <w:lang w:val="en-GB"/>
        </w:rPr>
        <w:t xml:space="preserve"> IIED (2013) Global public policy narratives on the drylands and pastoralism. </w:t>
      </w:r>
      <w:r>
        <w:rPr>
          <w:sz w:val="16"/>
          <w:szCs w:val="16"/>
          <w:lang w:val="fr-FR"/>
        </w:rPr>
        <w:t xml:space="preserve">Disponible sur </w:t>
      </w:r>
      <w:hyperlink r:id="rId6" w:history="1">
        <w:r>
          <w:rPr>
            <w:rStyle w:val="Hyperlink"/>
            <w:sz w:val="16"/>
            <w:szCs w:val="16"/>
            <w:lang w:val="fr-FR"/>
          </w:rPr>
          <w:t>https://pubs.iied.org/10040IIED/</w:t>
        </w:r>
      </w:hyperlink>
      <w:r>
        <w:rPr>
          <w:sz w:val="16"/>
          <w:szCs w:val="16"/>
          <w:lang w:val="fr-FR"/>
        </w:rPr>
        <w:t>. (</w:t>
      </w:r>
      <w:proofErr w:type="gramStart"/>
      <w:r>
        <w:rPr>
          <w:sz w:val="16"/>
          <w:szCs w:val="16"/>
          <w:lang w:val="fr-FR"/>
        </w:rPr>
        <w:t>consulté</w:t>
      </w:r>
      <w:proofErr w:type="gramEnd"/>
      <w:r>
        <w:rPr>
          <w:sz w:val="16"/>
          <w:szCs w:val="16"/>
          <w:lang w:val="fr-FR"/>
        </w:rPr>
        <w:t xml:space="preserve"> le jeudi 5 septembre 2013).</w:t>
      </w:r>
    </w:p>
  </w:footnote>
  <w:footnote w:id="17">
    <w:p w14:paraId="50FAF678" w14:textId="77777777" w:rsidR="000D356C" w:rsidRDefault="000D356C" w:rsidP="000D356C">
      <w:pPr>
        <w:pStyle w:val="FootnoteText"/>
        <w:rPr>
          <w:sz w:val="16"/>
          <w:szCs w:val="16"/>
        </w:rPr>
      </w:pPr>
      <w:r>
        <w:rPr>
          <w:rStyle w:val="FootnoteReference"/>
          <w:rFonts w:ascii="Arial" w:hAnsi="Arial"/>
          <w:sz w:val="16"/>
          <w:szCs w:val="16"/>
        </w:rPr>
        <w:footnoteRef/>
      </w:r>
      <w:r>
        <w:rPr>
          <w:sz w:val="16"/>
          <w:szCs w:val="16"/>
        </w:rPr>
        <w:t xml:space="preserve"> </w:t>
      </w:r>
      <w:proofErr w:type="spellStart"/>
      <w:r>
        <w:rPr>
          <w:sz w:val="16"/>
          <w:szCs w:val="16"/>
        </w:rPr>
        <w:t>Voir</w:t>
      </w:r>
      <w:proofErr w:type="spellEnd"/>
      <w:r>
        <w:rPr>
          <w:sz w:val="16"/>
          <w:szCs w:val="16"/>
        </w:rPr>
        <w:t xml:space="preserve"> section 2.1</w:t>
      </w:r>
    </w:p>
  </w:footnote>
  <w:footnote w:id="18">
    <w:p w14:paraId="46CE330F" w14:textId="77777777" w:rsidR="000D356C" w:rsidRDefault="000D356C" w:rsidP="000D356C">
      <w:pPr>
        <w:pStyle w:val="FootnoteText"/>
        <w:rPr>
          <w:sz w:val="16"/>
          <w:szCs w:val="16"/>
        </w:rPr>
      </w:pPr>
      <w:r>
        <w:rPr>
          <w:rStyle w:val="FootnoteReference"/>
          <w:rFonts w:ascii="Arial" w:hAnsi="Arial"/>
          <w:sz w:val="16"/>
          <w:szCs w:val="16"/>
        </w:rPr>
        <w:footnoteRef/>
      </w:r>
      <w:r>
        <w:rPr>
          <w:sz w:val="16"/>
          <w:szCs w:val="16"/>
        </w:rPr>
        <w:t xml:space="preserve"> </w:t>
      </w:r>
      <w:proofErr w:type="spellStart"/>
      <w:r>
        <w:rPr>
          <w:sz w:val="16"/>
          <w:szCs w:val="16"/>
        </w:rPr>
        <w:t>Voir</w:t>
      </w:r>
      <w:proofErr w:type="spellEnd"/>
      <w:r>
        <w:rPr>
          <w:sz w:val="16"/>
          <w:szCs w:val="16"/>
        </w:rPr>
        <w:t xml:space="preserve"> </w:t>
      </w:r>
      <w:proofErr w:type="spellStart"/>
      <w:r>
        <w:rPr>
          <w:sz w:val="16"/>
          <w:szCs w:val="16"/>
        </w:rPr>
        <w:t>annexe</w:t>
      </w:r>
      <w:proofErr w:type="spellEnd"/>
      <w:r>
        <w:rPr>
          <w:sz w:val="16"/>
          <w:szCs w:val="16"/>
        </w:rPr>
        <w:t xml:space="preserv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12320763"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w:t>
    </w:r>
    <w:r w:rsidR="00405281">
      <w:rPr>
        <w:rFonts w:ascii="Arial" w:hAnsi="Arial" w:cs="Arial"/>
        <w:i/>
        <w:szCs w:val="20"/>
        <w:lang w:val="en-GB"/>
      </w:rPr>
      <w:t>P28.2.4</w:t>
    </w:r>
  </w:p>
  <w:p w14:paraId="50B9F4CC" w14:textId="77777777" w:rsidR="00A16E93" w:rsidRDefault="00ED7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55076725" w:rsidR="00A16E93" w:rsidRDefault="005D43E4" w:rsidP="00405281">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w:t>
    </w:r>
    <w:r w:rsidR="00405281">
      <w:rPr>
        <w:rFonts w:ascii="Arial" w:hAnsi="Arial" w:cs="Arial"/>
        <w:i/>
        <w:szCs w:val="20"/>
        <w:lang w:val="en-GB"/>
      </w:rPr>
      <w:t>P28.2.4</w:t>
    </w:r>
  </w:p>
  <w:p w14:paraId="75025A37" w14:textId="77777777" w:rsidR="00A16E93" w:rsidRDefault="00ED7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F4875A5"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w:t>
    </w:r>
    <w:r w:rsidR="00405281">
      <w:rPr>
        <w:rFonts w:ascii="Arial" w:hAnsi="Arial" w:cs="Arial"/>
        <w:bCs/>
        <w:i/>
        <w:iCs/>
        <w:szCs w:val="20"/>
        <w:lang w:val="en-GB"/>
      </w:rPr>
      <w:t>P28.2.4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A53"/>
    <w:multiLevelType w:val="hybridMultilevel"/>
    <w:tmpl w:val="8DAC6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AB6333"/>
    <w:multiLevelType w:val="multilevel"/>
    <w:tmpl w:val="E8BC0A12"/>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5A2CC2"/>
    <w:multiLevelType w:val="hybridMultilevel"/>
    <w:tmpl w:val="290AB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C31D37"/>
    <w:multiLevelType w:val="multilevel"/>
    <w:tmpl w:val="60168290"/>
    <w:lvl w:ilvl="0">
      <w:start w:val="5"/>
      <w:numFmt w:val="lowerRoman"/>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A27EC"/>
    <w:multiLevelType w:val="hybridMultilevel"/>
    <w:tmpl w:val="FA9CF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2415AA2"/>
    <w:multiLevelType w:val="hybridMultilevel"/>
    <w:tmpl w:val="6C067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8E782C"/>
    <w:multiLevelType w:val="multilevel"/>
    <w:tmpl w:val="88A227BC"/>
    <w:lvl w:ilvl="0">
      <w:start w:val="1"/>
      <w:numFmt w:val="lowerRoman"/>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8737D"/>
    <w:multiLevelType w:val="hybridMultilevel"/>
    <w:tmpl w:val="98C8CF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6595686"/>
    <w:multiLevelType w:val="hybridMultilevel"/>
    <w:tmpl w:val="1F487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72B09B6"/>
    <w:multiLevelType w:val="hybridMultilevel"/>
    <w:tmpl w:val="95DC85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D356C"/>
    <w:rsid w:val="001648A3"/>
    <w:rsid w:val="002223BB"/>
    <w:rsid w:val="003F1AD8"/>
    <w:rsid w:val="00405281"/>
    <w:rsid w:val="0043102F"/>
    <w:rsid w:val="00487D0A"/>
    <w:rsid w:val="005645C4"/>
    <w:rsid w:val="005D43E4"/>
    <w:rsid w:val="005F0639"/>
    <w:rsid w:val="007A1066"/>
    <w:rsid w:val="009573CA"/>
    <w:rsid w:val="00A048E3"/>
    <w:rsid w:val="00A80C7F"/>
    <w:rsid w:val="00A96726"/>
    <w:rsid w:val="00BC4E01"/>
    <w:rsid w:val="00C32FF1"/>
    <w:rsid w:val="00D264AE"/>
    <w:rsid w:val="00D50AB8"/>
    <w:rsid w:val="00D82C56"/>
    <w:rsid w:val="00E829C9"/>
    <w:rsid w:val="00EA741C"/>
    <w:rsid w:val="00ED70A0"/>
    <w:rsid w:val="00F3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character" w:styleId="Hyperlink">
    <w:name w:val="Hyperlink"/>
    <w:semiHidden/>
    <w:unhideWhenUsed/>
    <w:rsid w:val="00405281"/>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405281"/>
    <w:pPr>
      <w:textAlignment w:val="auto"/>
    </w:pPr>
    <w:rPr>
      <w:rFonts w:ascii="Arial" w:hAnsi="Arial"/>
      <w:sz w:val="18"/>
      <w:szCs w:val="20"/>
    </w:rPr>
  </w:style>
  <w:style w:type="character" w:customStyle="1" w:styleId="FootnoteTextChar">
    <w:name w:val="Footnote Text Char"/>
    <w:basedOn w:val="DefaultParagraphFont"/>
    <w:link w:val="FootnoteText"/>
    <w:uiPriority w:val="99"/>
    <w:semiHidden/>
    <w:rsid w:val="00405281"/>
    <w:rPr>
      <w:rFonts w:eastAsia="Times New Roman"/>
      <w:sz w:val="18"/>
      <w:szCs w:val="20"/>
    </w:rPr>
  </w:style>
  <w:style w:type="character" w:styleId="FootnoteReference">
    <w:name w:val="footnote reference"/>
    <w:uiPriority w:val="99"/>
    <w:semiHidden/>
    <w:unhideWhenUsed/>
    <w:rsid w:val="00405281"/>
    <w:rPr>
      <w:rFonts w:ascii="Times New Roman" w:hAnsi="Times New Roman" w:cs="Times New Roman" w:hint="default"/>
    </w:rPr>
  </w:style>
  <w:style w:type="character" w:customStyle="1" w:styleId="Heading7Char">
    <w:name w:val="Heading 7 Char"/>
    <w:basedOn w:val="DefaultParagraphFont"/>
    <w:rsid w:val="00405281"/>
    <w:rPr>
      <w:rFonts w:ascii="Arial" w:eastAsia="Times New Roman" w:hAnsi="Arial" w:cs="Times New Roman" w:hint="default"/>
      <w:b/>
      <w:bCs/>
      <w:sz w:val="26"/>
      <w:szCs w:val="26"/>
      <w:lang w:val="en-GB"/>
    </w:rPr>
  </w:style>
  <w:style w:type="table" w:styleId="TableGrid">
    <w:name w:val="Table Grid"/>
    <w:basedOn w:val="TableNormal"/>
    <w:uiPriority w:val="39"/>
    <w:rsid w:val="00405281"/>
    <w:pPr>
      <w:spacing w:after="0" w:line="240" w:lineRule="auto"/>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7081">
      <w:bodyDiv w:val="1"/>
      <w:marLeft w:val="0"/>
      <w:marRight w:val="0"/>
      <w:marTop w:val="0"/>
      <w:marBottom w:val="0"/>
      <w:divBdr>
        <w:top w:val="none" w:sz="0" w:space="0" w:color="auto"/>
        <w:left w:val="none" w:sz="0" w:space="0" w:color="auto"/>
        <w:bottom w:val="none" w:sz="0" w:space="0" w:color="auto"/>
        <w:right w:val="none" w:sz="0" w:space="0" w:color="auto"/>
      </w:divBdr>
    </w:div>
    <w:div w:id="1014266678">
      <w:bodyDiv w:val="1"/>
      <w:marLeft w:val="0"/>
      <w:marRight w:val="0"/>
      <w:marTop w:val="0"/>
      <w:marBottom w:val="0"/>
      <w:divBdr>
        <w:top w:val="none" w:sz="0" w:space="0" w:color="auto"/>
        <w:left w:val="none" w:sz="0" w:space="0" w:color="auto"/>
        <w:bottom w:val="none" w:sz="0" w:space="0" w:color="auto"/>
        <w:right w:val="none" w:sz="0" w:space="0" w:color="auto"/>
      </w:divBdr>
    </w:div>
    <w:div w:id="1213493806">
      <w:bodyDiv w:val="1"/>
      <w:marLeft w:val="0"/>
      <w:marRight w:val="0"/>
      <w:marTop w:val="0"/>
      <w:marBottom w:val="0"/>
      <w:divBdr>
        <w:top w:val="none" w:sz="0" w:space="0" w:color="auto"/>
        <w:left w:val="none" w:sz="0" w:space="0" w:color="auto"/>
        <w:bottom w:val="none" w:sz="0" w:space="0" w:color="auto"/>
        <w:right w:val="none" w:sz="0" w:space="0" w:color="auto"/>
      </w:divBdr>
    </w:div>
    <w:div w:id="1839225666">
      <w:bodyDiv w:val="1"/>
      <w:marLeft w:val="0"/>
      <w:marRight w:val="0"/>
      <w:marTop w:val="0"/>
      <w:marBottom w:val="0"/>
      <w:divBdr>
        <w:top w:val="none" w:sz="0" w:space="0" w:color="auto"/>
        <w:left w:val="none" w:sz="0" w:space="0" w:color="auto"/>
        <w:bottom w:val="none" w:sz="0" w:space="0" w:color="auto"/>
        <w:right w:val="none" w:sz="0" w:space="0" w:color="auto"/>
      </w:divBdr>
    </w:div>
    <w:div w:id="209049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ms.int/en/publication/sahelo-saharan-antelopes-&#8211;-status-and-perspectives-ts-no-11" TargetMode="External"/><Relationship Id="rId3" Type="http://schemas.openxmlformats.org/officeDocument/2006/relationships/settings" Target="settings.xml"/><Relationship Id="rId21" Type="http://schemas.openxmlformats.org/officeDocument/2006/relationships/hyperlink" Target="https://www.cms.int/sites/default/files/document/COP11_Inf_08_Rapport_de_la_Re%CC%81union_ScC18_F_0.pdf" TargetMode="External"/><Relationship Id="rId7" Type="http://schemas.openxmlformats.org/officeDocument/2006/relationships/hyperlink" Target="https://www.cms.int/sites/default/files/document/Rec_9_02_Sahelo_Saharan_Fr.pdf" TargetMode="External"/><Relationship Id="rId12" Type="http://schemas.openxmlformats.org/officeDocument/2006/relationships/header" Target="header3.xml"/><Relationship Id="rId17" Type="http://schemas.openxmlformats.org/officeDocument/2006/relationships/hyperlink" Target="https://www.cms.int/sites/default/files/document/ssa_agadir_declaration_f_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ms.int/sites/default/files/publication/SSA_tech_serie_eng_3_0_0.pdf" TargetMode="External"/><Relationship Id="rId20" Type="http://schemas.openxmlformats.org/officeDocument/2006/relationships/hyperlink" Target="https://www.cms.int/sites/default/files/document/Annex_II_WG_Report_Terrestrial_Mammals_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ms.int/sites/default/files/document/ssa_djerba_declaration_e_0.pdf"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cms.int/sites/default/files/document/Rec_9_02_Sahelo_Saharan_Fr.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ms.int/sites/default/files/document/Rec4.5_F_0_0.pdf" TargetMode="External"/><Relationship Id="rId22" Type="http://schemas.openxmlformats.org/officeDocument/2006/relationships/hyperlink" Target="https://www.cms.int/sites/default/files/document/cms_cop12_res.9.21(rev.cop12)_f.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ms.int/sites/default/files/document/COP11_Inf_08_Rapport_de_la_Re%CC%81union_ScC18_F.pdf" TargetMode="External"/><Relationship Id="rId2" Type="http://schemas.openxmlformats.org/officeDocument/2006/relationships/hyperlink" Target="https://www.cms.int/sites/default/files/document/ssa_agadir_declaration_f_0.pdf" TargetMode="External"/><Relationship Id="rId1" Type="http://schemas.openxmlformats.org/officeDocument/2006/relationships/hyperlink" Target="https://www.saharaconservation.org/Science/SSIG" TargetMode="External"/><Relationship Id="rId6" Type="http://schemas.openxmlformats.org/officeDocument/2006/relationships/hyperlink" Target="https://pubs.iied.org/10040IIED/" TargetMode="External"/><Relationship Id="rId5" Type="http://schemas.openxmlformats.org/officeDocument/2006/relationships/hyperlink" Target="https://www.cms.int/sites/default/files/document/cms_cop12_res.12.28_actions-concertees_f.pdf" TargetMode="External"/><Relationship Id="rId4" Type="http://schemas.openxmlformats.org/officeDocument/2006/relationships/hyperlink" Target="https://www.cms.int/sites/default/files/document/Annex_II_WG_Report_Terrestrial_Mammals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3617</Words>
  <Characters>20618</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2020-02-21T10:27:00Z</dcterms:created>
  <dcterms:modified xsi:type="dcterms:W3CDTF">2020-02-21T10:27:00Z</dcterms:modified>
</cp:coreProperties>
</file>