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EB253F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SUSTAINABLE BOAT-BASED MARINE WILDLIFE WATCHING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</w:t>
      </w:r>
      <w:r w:rsidR="00553C50">
        <w:rPr>
          <w:rFonts w:cs="Arial"/>
          <w:sz w:val="22"/>
          <w:szCs w:val="22"/>
          <w:lang w:val="en-GB"/>
        </w:rPr>
        <w:t>4</w:t>
      </w:r>
      <w:r w:rsidR="003D4255">
        <w:rPr>
          <w:rFonts w:cs="Arial"/>
          <w:sz w:val="22"/>
          <w:szCs w:val="22"/>
          <w:lang w:val="en-GB"/>
        </w:rPr>
        <w:t>.</w:t>
      </w:r>
      <w:r w:rsidR="00EB253F">
        <w:rPr>
          <w:rFonts w:cs="Arial"/>
          <w:sz w:val="22"/>
          <w:szCs w:val="22"/>
          <w:lang w:val="en-GB"/>
        </w:rPr>
        <w:t>5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F92E1B" w:rsidP="0089518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Sessional Committee considered the draft guidelines as comprehensive and well-structured.</w:t>
      </w:r>
    </w:p>
    <w:p w:rsidR="006356C5" w:rsidRDefault="00F92E1B" w:rsidP="0089518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considered important that in the coming triennium the guidance on boat-based and in-water activities was brought together, since these activities often occur together.</w:t>
      </w:r>
    </w:p>
    <w:p w:rsidR="006356C5" w:rsidRDefault="00F92E1B" w:rsidP="00895187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Some concerns were raised whether the guidelines relating to seabirds and sharks were practical and would indeed result in reduced disturbance as intended.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895187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CC3038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, </w:t>
      </w:r>
      <w:r w:rsidR="00CC3038">
        <w:rPr>
          <w:rFonts w:cs="Arial"/>
          <w:sz w:val="22"/>
          <w:szCs w:val="22"/>
        </w:rPr>
        <w:t>10</w:t>
      </w:r>
      <w:r w:rsidR="00CC3038" w:rsidRPr="00CC3038">
        <w:rPr>
          <w:rFonts w:cs="Arial"/>
          <w:sz w:val="22"/>
          <w:szCs w:val="22"/>
          <w:vertAlign w:val="superscript"/>
        </w:rPr>
        <w:t>th</w:t>
      </w:r>
      <w:r w:rsidR="00CC3038">
        <w:rPr>
          <w:rFonts w:cs="Arial"/>
          <w:sz w:val="22"/>
          <w:szCs w:val="22"/>
        </w:rPr>
        <w:t xml:space="preserve"> </w:t>
      </w:r>
      <w:r w:rsidR="00AE45FB">
        <w:rPr>
          <w:rFonts w:cs="Arial"/>
          <w:sz w:val="22"/>
          <w:szCs w:val="22"/>
        </w:rPr>
        <w:t>p</w:t>
      </w:r>
      <w:r w:rsidR="00CC3038">
        <w:rPr>
          <w:rFonts w:cs="Arial"/>
          <w:sz w:val="22"/>
          <w:szCs w:val="22"/>
        </w:rPr>
        <w:t>reambular paragraph</w:t>
      </w:r>
    </w:p>
    <w:p w:rsidR="006356C5" w:rsidRDefault="00CC3038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 the full name of ACCOBAMS</w:t>
      </w:r>
      <w:r w:rsidR="00895187">
        <w:rPr>
          <w:rFonts w:cs="Arial"/>
          <w:sz w:val="22"/>
          <w:szCs w:val="22"/>
        </w:rPr>
        <w:t>.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CC3038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, </w:t>
      </w:r>
      <w:r w:rsidR="00CC3038">
        <w:rPr>
          <w:rFonts w:cs="Arial"/>
          <w:sz w:val="22"/>
          <w:szCs w:val="22"/>
        </w:rPr>
        <w:t>explanation to 4</w:t>
      </w:r>
      <w:r w:rsidR="00CC3038" w:rsidRPr="00CC3038">
        <w:rPr>
          <w:rFonts w:cs="Arial"/>
          <w:sz w:val="22"/>
          <w:szCs w:val="22"/>
          <w:vertAlign w:val="superscript"/>
        </w:rPr>
        <w:t>th</w:t>
      </w:r>
      <w:r w:rsidR="00CC3038">
        <w:rPr>
          <w:rFonts w:cs="Arial"/>
          <w:sz w:val="22"/>
          <w:szCs w:val="22"/>
        </w:rPr>
        <w:t xml:space="preserve"> bullet point</w:t>
      </w:r>
    </w:p>
    <w:p w:rsidR="008F20D3" w:rsidRDefault="00CC3038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Correct “feeding areas” to “inter-nesting habitat”</w:t>
      </w:r>
      <w:r w:rsidR="00895187">
        <w:rPr>
          <w:rFonts w:cs="Arial"/>
          <w:sz w:val="22"/>
          <w:szCs w:val="22"/>
        </w:rPr>
        <w:t>.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8F20D3">
        <w:rPr>
          <w:rFonts w:cs="Arial"/>
          <w:sz w:val="22"/>
          <w:szCs w:val="22"/>
        </w:rPr>
        <w:t xml:space="preserve">age </w:t>
      </w:r>
      <w:r w:rsidR="00CC3038">
        <w:rPr>
          <w:rFonts w:cs="Arial"/>
          <w:sz w:val="22"/>
          <w:szCs w:val="22"/>
        </w:rPr>
        <w:t>50</w:t>
      </w:r>
      <w:r>
        <w:rPr>
          <w:rFonts w:cs="Arial"/>
          <w:sz w:val="22"/>
          <w:szCs w:val="22"/>
        </w:rPr>
        <w:t xml:space="preserve">, </w:t>
      </w:r>
      <w:r w:rsidR="00AE45F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ara</w:t>
      </w:r>
      <w:r w:rsidR="00CC3038">
        <w:rPr>
          <w:rFonts w:cs="Arial"/>
          <w:sz w:val="22"/>
          <w:szCs w:val="22"/>
        </w:rPr>
        <w:t>graph 12.BB</w:t>
      </w:r>
    </w:p>
    <w:p w:rsidR="008F20D3" w:rsidRDefault="00CC3038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point b), add a reference to ACCOBAMS, since they also work on whale watching and are also members of the IWC Standing Working Group on Whale Watching</w:t>
      </w:r>
      <w:r w:rsidR="00895187">
        <w:rPr>
          <w:rFonts w:cs="Arial"/>
          <w:sz w:val="22"/>
          <w:szCs w:val="22"/>
        </w:rPr>
        <w:t>.</w:t>
      </w:r>
    </w:p>
    <w:p w:rsidR="006356C5" w:rsidRPr="00895187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895187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CC3038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895187">
        <w:rPr>
          <w:rFonts w:cs="Arial"/>
          <w:sz w:val="22"/>
          <w:szCs w:val="22"/>
        </w:rPr>
        <w:t>.</w:t>
      </w:r>
      <w:bookmarkStart w:id="0" w:name="_GoBack"/>
      <w:bookmarkEnd w:id="0"/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51" w:rsidRDefault="006D6951">
      <w:r>
        <w:separator/>
      </w:r>
    </w:p>
  </w:endnote>
  <w:endnote w:type="continuationSeparator" w:id="0">
    <w:p w:rsidR="006D6951" w:rsidRDefault="006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51" w:rsidRDefault="006D6951">
      <w:r>
        <w:separator/>
      </w:r>
    </w:p>
  </w:footnote>
  <w:footnote w:type="continuationSeparator" w:id="0">
    <w:p w:rsidR="006D6951" w:rsidRDefault="006D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EB253F">
      <w:rPr>
        <w:rFonts w:cs="Arial"/>
        <w:i/>
        <w:szCs w:val="18"/>
      </w:rPr>
      <w:t>5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EB253F">
      <w:rPr>
        <w:rFonts w:cs="Arial"/>
        <w:i/>
        <w:szCs w:val="18"/>
      </w:rPr>
      <w:t>5</w:t>
    </w:r>
    <w:r w:rsidRPr="007C3B56">
      <w:rPr>
        <w:rFonts w:cs="Arial"/>
        <w:i/>
        <w:szCs w:val="18"/>
      </w:rPr>
      <w:t>/Add.In-S.1</w:t>
    </w:r>
    <w:r w:rsidR="00895187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D6951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4CE4"/>
    <w:rsid w:val="00846A99"/>
    <w:rsid w:val="008641D1"/>
    <w:rsid w:val="008648EB"/>
    <w:rsid w:val="00872F67"/>
    <w:rsid w:val="00893346"/>
    <w:rsid w:val="00895187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3038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B253F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2E1B"/>
    <w:rsid w:val="00F978B9"/>
    <w:rsid w:val="00FA61AF"/>
    <w:rsid w:val="00FD3A06"/>
    <w:rsid w:val="00FD7D14"/>
    <w:rsid w:val="00FE356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0025C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30A2-EFA0-4337-9838-5ED89828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2017-07-12T14:01:00Z</dcterms:created>
  <dcterms:modified xsi:type="dcterms:W3CDTF">2017-07-12T14:01:00Z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