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22" w:rsidRPr="00682B31" w:rsidRDefault="005F0822" w:rsidP="007C6FCF">
      <w:pPr>
        <w:tabs>
          <w:tab w:val="left" w:pos="-1057"/>
          <w:tab w:val="left" w:pos="-720"/>
        </w:tabs>
        <w:rPr>
          <w:rFonts w:cs="Arial"/>
          <w:spacing w:val="-8"/>
          <w:sz w:val="12"/>
          <w:szCs w:val="12"/>
        </w:rPr>
      </w:pPr>
    </w:p>
    <w:p w:rsidR="005F0822" w:rsidRPr="00420040" w:rsidRDefault="005F0822" w:rsidP="00B13919">
      <w:pPr>
        <w:tabs>
          <w:tab w:val="left" w:pos="-1057"/>
          <w:tab w:val="left" w:pos="-720"/>
        </w:tabs>
        <w:rPr>
          <w:rFonts w:cs="Arial"/>
          <w:sz w:val="22"/>
          <w:szCs w:val="22"/>
        </w:rPr>
      </w:pPr>
      <w:r>
        <w:rPr>
          <w:sz w:val="22"/>
        </w:rPr>
        <w:t>12ª REUNIÓN DE LA CONFERENCIA DE LAS PARTES</w:t>
      </w:r>
    </w:p>
    <w:p w:rsidR="005F0822" w:rsidRPr="00420040" w:rsidRDefault="005F0822" w:rsidP="006C6502">
      <w:pPr>
        <w:pStyle w:val="Heading2"/>
        <w:keepNext w:val="0"/>
        <w:spacing w:line="228" w:lineRule="auto"/>
        <w:rPr>
          <w:rFonts w:cs="Arial"/>
          <w:b w:val="0"/>
          <w:bCs w:val="0"/>
          <w:sz w:val="22"/>
          <w:szCs w:val="22"/>
        </w:rPr>
      </w:pPr>
      <w:r>
        <w:rPr>
          <w:b w:val="0"/>
          <w:sz w:val="22"/>
        </w:rPr>
        <w:t>Manila (Filipinas), 23 - 28 de octubre de 2017</w:t>
      </w:r>
    </w:p>
    <w:p w:rsidR="005F0822" w:rsidRPr="00420040" w:rsidRDefault="005F0822" w:rsidP="007C6FCF">
      <w:pPr>
        <w:spacing w:line="228" w:lineRule="auto"/>
        <w:rPr>
          <w:rFonts w:cs="Arial"/>
          <w:iCs/>
          <w:sz w:val="22"/>
          <w:szCs w:val="22"/>
        </w:rPr>
      </w:pPr>
      <w:r>
        <w:rPr>
          <w:sz w:val="22"/>
        </w:rPr>
        <w:t>Punto 24.1.11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F0822"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5F0822" w:rsidRPr="00FA61AF" w:rsidRDefault="005F0822" w:rsidP="007C6FCF">
            <w:pPr>
              <w:tabs>
                <w:tab w:val="left" w:pos="-1057"/>
                <w:tab w:val="left" w:pos="-720"/>
                <w:tab w:val="left" w:pos="0"/>
                <w:tab w:val="left" w:pos="141"/>
                <w:tab w:val="left" w:pos="720"/>
                <w:tab w:val="left" w:pos="1155"/>
                <w:tab w:val="right" w:pos="9072"/>
                <w:tab w:val="right" w:pos="9432"/>
              </w:tabs>
              <w:rPr>
                <w:rFonts w:cs="Arial"/>
                <w:sz w:val="22"/>
              </w:rPr>
            </w:pPr>
            <w:r>
              <w:tab/>
            </w:r>
            <w:r>
              <w:tab/>
            </w:r>
            <w:r>
              <w:tab/>
            </w:r>
            <w:r>
              <w:tab/>
            </w:r>
            <w:r>
              <w:rPr>
                <w:b/>
                <w:sz w:val="28"/>
              </w:rPr>
              <w:t>CMS</w:t>
            </w:r>
          </w:p>
          <w:p w:rsidR="005F0822" w:rsidRPr="002F6F9B" w:rsidRDefault="005F0822" w:rsidP="007C6FCF">
            <w:pPr>
              <w:tabs>
                <w:tab w:val="left" w:pos="-1057"/>
                <w:tab w:val="left" w:pos="-720"/>
                <w:tab w:val="left" w:pos="0"/>
                <w:tab w:val="left" w:pos="141"/>
                <w:tab w:val="left" w:pos="720"/>
                <w:tab w:val="right" w:pos="9072"/>
              </w:tabs>
              <w:rPr>
                <w:rFonts w:cs="Arial"/>
                <w:sz w:val="22"/>
              </w:rPr>
            </w:pPr>
          </w:p>
        </w:tc>
      </w:tr>
      <w:tr w:rsidR="005F0822"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5F0822" w:rsidRPr="00682B31" w:rsidRDefault="00E34B8B" w:rsidP="00B13919">
            <w:pPr>
              <w:rPr>
                <w:rFonts w:cs="Arial"/>
                <w:sz w:val="22"/>
              </w:rPr>
            </w:pPr>
            <w:r>
              <w:rPr>
                <w:rFonts w:cs="Arial"/>
                <w:noProof/>
                <w:sz w:val="22"/>
                <w:lang w:val="en-US" w:eastAsia="en-US"/>
              </w:rPr>
              <w:drawing>
                <wp:inline distT="0" distB="0" distL="0" distR="0">
                  <wp:extent cx="72390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97" t="-740" r="-2597" b="-740"/>
                          <a:stretch>
                            <a:fillRect/>
                          </a:stretch>
                        </pic:blipFill>
                        <pic:spPr bwMode="auto">
                          <a:xfrm>
                            <a:off x="0" y="0"/>
                            <a:ext cx="723900" cy="771525"/>
                          </a:xfrm>
                          <a:prstGeom prst="rect">
                            <a:avLst/>
                          </a:prstGeom>
                          <a:noFill/>
                          <a:ln>
                            <a:noFill/>
                          </a:ln>
                        </pic:spPr>
                      </pic:pic>
                    </a:graphicData>
                  </a:graphic>
                </wp:inline>
              </w:drawing>
            </w:r>
          </w:p>
          <w:p w:rsidR="005F0822" w:rsidRPr="00682B31" w:rsidRDefault="005F0822" w:rsidP="006C6502">
            <w:pPr>
              <w:rPr>
                <w:rFonts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5F0822" w:rsidRPr="00682B31" w:rsidRDefault="005F0822" w:rsidP="007C6FCF">
            <w:pPr>
              <w:pStyle w:val="Heading2"/>
              <w:pBdr>
                <w:top w:val="none" w:sz="0" w:space="0" w:color="auto"/>
                <w:left w:val="none" w:sz="0" w:space="0" w:color="auto"/>
                <w:bottom w:val="none" w:sz="0" w:space="0" w:color="auto"/>
                <w:right w:val="none" w:sz="0" w:space="0" w:color="auto"/>
              </w:pBdr>
              <w:rPr>
                <w:rFonts w:cs="Arial"/>
                <w:b w:val="0"/>
                <w:bCs w:val="0"/>
                <w:sz w:val="12"/>
                <w:szCs w:val="12"/>
              </w:rPr>
            </w:pPr>
          </w:p>
          <w:p w:rsidR="005F0822" w:rsidRPr="00972D36" w:rsidRDefault="005F0822" w:rsidP="007C6FCF">
            <w:pPr>
              <w:pStyle w:val="Heading2"/>
              <w:pBdr>
                <w:top w:val="none" w:sz="0" w:space="0" w:color="auto"/>
                <w:left w:val="none" w:sz="0" w:space="0" w:color="auto"/>
                <w:bottom w:val="none" w:sz="0" w:space="0" w:color="auto"/>
                <w:right w:val="none" w:sz="0" w:space="0" w:color="auto"/>
              </w:pBdr>
              <w:rPr>
                <w:rFonts w:cs="Arial"/>
                <w:bCs w:val="0"/>
                <w:sz w:val="32"/>
                <w:szCs w:val="32"/>
              </w:rPr>
            </w:pPr>
            <w:r>
              <w:rPr>
                <w:sz w:val="32"/>
              </w:rPr>
              <w:t>CONVENCIÓN SOBRE</w:t>
            </w:r>
          </w:p>
          <w:p w:rsidR="005F0822" w:rsidRPr="00972D36" w:rsidRDefault="005F0822" w:rsidP="007C6FCF">
            <w:pPr>
              <w:pStyle w:val="Heading2"/>
              <w:pBdr>
                <w:top w:val="none" w:sz="0" w:space="0" w:color="auto"/>
                <w:left w:val="none" w:sz="0" w:space="0" w:color="auto"/>
                <w:bottom w:val="none" w:sz="0" w:space="0" w:color="auto"/>
                <w:right w:val="none" w:sz="0" w:space="0" w:color="auto"/>
              </w:pBdr>
              <w:rPr>
                <w:rFonts w:cs="Arial"/>
                <w:bCs w:val="0"/>
                <w:sz w:val="32"/>
                <w:szCs w:val="32"/>
              </w:rPr>
            </w:pPr>
            <w:r>
              <w:rPr>
                <w:sz w:val="32"/>
              </w:rPr>
              <w:t>LAS ESPECIES</w:t>
            </w:r>
          </w:p>
          <w:p w:rsidR="005F0822" w:rsidRPr="00682B31" w:rsidRDefault="005F0822" w:rsidP="007C6FCF">
            <w:pPr>
              <w:pStyle w:val="Heading2"/>
              <w:pBdr>
                <w:top w:val="none" w:sz="0" w:space="0" w:color="auto"/>
                <w:left w:val="none" w:sz="0" w:space="0" w:color="auto"/>
                <w:bottom w:val="none" w:sz="0" w:space="0" w:color="auto"/>
                <w:right w:val="none" w:sz="0" w:space="0" w:color="auto"/>
              </w:pBdr>
              <w:rPr>
                <w:rFonts w:cs="Arial"/>
                <w:b w:val="0"/>
                <w:bCs w:val="0"/>
                <w:sz w:val="22"/>
              </w:rPr>
            </w:pPr>
            <w:r>
              <w:rPr>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5F0822" w:rsidRPr="00682B31" w:rsidRDefault="005F0822" w:rsidP="00B13919">
            <w:pPr>
              <w:tabs>
                <w:tab w:val="left" w:pos="5040"/>
                <w:tab w:val="left" w:pos="5760"/>
                <w:tab w:val="left" w:pos="6008"/>
                <w:tab w:val="left" w:pos="6480"/>
                <w:tab w:val="left" w:pos="7200"/>
                <w:tab w:val="left" w:pos="7920"/>
                <w:tab w:val="left" w:pos="8640"/>
              </w:tabs>
              <w:rPr>
                <w:rFonts w:cs="Arial"/>
                <w:sz w:val="12"/>
                <w:szCs w:val="12"/>
              </w:rPr>
            </w:pPr>
          </w:p>
          <w:p w:rsidR="005F0822" w:rsidRPr="00420040" w:rsidRDefault="005F0822" w:rsidP="006C6502">
            <w:pPr>
              <w:tabs>
                <w:tab w:val="left" w:pos="5040"/>
                <w:tab w:val="left" w:pos="5760"/>
                <w:tab w:val="left" w:pos="6008"/>
                <w:tab w:val="left" w:pos="6480"/>
                <w:tab w:val="left" w:pos="7200"/>
                <w:tab w:val="left" w:pos="7920"/>
                <w:tab w:val="left" w:pos="8640"/>
              </w:tabs>
              <w:rPr>
                <w:rFonts w:cs="Arial"/>
                <w:sz w:val="22"/>
              </w:rPr>
            </w:pPr>
            <w:r>
              <w:rPr>
                <w:sz w:val="22"/>
              </w:rPr>
              <w:t>Distribución: General</w:t>
            </w:r>
          </w:p>
          <w:p w:rsidR="005F0822" w:rsidRPr="00155D8A" w:rsidRDefault="005F0822" w:rsidP="007C6FCF">
            <w:pPr>
              <w:tabs>
                <w:tab w:val="left" w:pos="-1057"/>
                <w:tab w:val="left" w:pos="-720"/>
                <w:tab w:val="left" w:pos="5040"/>
                <w:tab w:val="left" w:pos="5760"/>
                <w:tab w:val="left" w:pos="6008"/>
                <w:tab w:val="left" w:pos="6480"/>
                <w:tab w:val="left" w:pos="7200"/>
                <w:tab w:val="left" w:pos="7920"/>
                <w:tab w:val="left" w:pos="8640"/>
              </w:tabs>
              <w:rPr>
                <w:rFonts w:cs="Arial"/>
                <w:sz w:val="20"/>
                <w:szCs w:val="12"/>
              </w:rPr>
            </w:pPr>
          </w:p>
          <w:p w:rsidR="005F0822" w:rsidRPr="009B4E56" w:rsidRDefault="005F0822" w:rsidP="007C6FCF">
            <w:pPr>
              <w:tabs>
                <w:tab w:val="left" w:pos="5040"/>
                <w:tab w:val="left" w:pos="5760"/>
                <w:tab w:val="left" w:pos="6008"/>
                <w:tab w:val="left" w:pos="6480"/>
                <w:tab w:val="left" w:pos="7200"/>
                <w:tab w:val="left" w:pos="7920"/>
                <w:tab w:val="left" w:pos="8640"/>
              </w:tabs>
              <w:rPr>
                <w:rFonts w:cs="Arial"/>
                <w:sz w:val="22"/>
                <w:lang w:val="en-US"/>
              </w:rPr>
            </w:pPr>
            <w:r w:rsidRPr="009B4E56">
              <w:rPr>
                <w:sz w:val="22"/>
                <w:lang w:val="en-US"/>
              </w:rPr>
              <w:t>UNEP/CMS/COP12/Doc.24.1.11</w:t>
            </w:r>
            <w:r w:rsidR="009B4E56" w:rsidRPr="009B4E56">
              <w:rPr>
                <w:sz w:val="22"/>
                <w:lang w:val="en-US"/>
              </w:rPr>
              <w:t>/Rev.1</w:t>
            </w:r>
          </w:p>
          <w:p w:rsidR="005F0822" w:rsidRPr="00420040" w:rsidRDefault="009B4E56" w:rsidP="007C6FCF">
            <w:pPr>
              <w:tabs>
                <w:tab w:val="left" w:pos="5040"/>
                <w:tab w:val="left" w:pos="5760"/>
                <w:tab w:val="left" w:pos="6008"/>
                <w:tab w:val="left" w:pos="6480"/>
                <w:tab w:val="left" w:pos="7200"/>
                <w:tab w:val="left" w:pos="7920"/>
                <w:tab w:val="left" w:pos="8640"/>
              </w:tabs>
              <w:rPr>
                <w:rFonts w:cs="Arial"/>
                <w:sz w:val="22"/>
              </w:rPr>
            </w:pPr>
            <w:r>
              <w:rPr>
                <w:sz w:val="22"/>
              </w:rPr>
              <w:t>20 de junio</w:t>
            </w:r>
            <w:r w:rsidR="005F0822">
              <w:rPr>
                <w:sz w:val="22"/>
              </w:rPr>
              <w:t xml:space="preserve"> de 2017</w:t>
            </w:r>
          </w:p>
          <w:p w:rsidR="005F0822" w:rsidRPr="00155D8A" w:rsidRDefault="005F0822" w:rsidP="007C6FCF">
            <w:pPr>
              <w:tabs>
                <w:tab w:val="left" w:pos="5040"/>
                <w:tab w:val="left" w:pos="5760"/>
                <w:tab w:val="left" w:pos="6008"/>
                <w:tab w:val="left" w:pos="6480"/>
                <w:tab w:val="left" w:pos="7200"/>
                <w:tab w:val="left" w:pos="7920"/>
                <w:tab w:val="left" w:pos="8640"/>
              </w:tabs>
              <w:rPr>
                <w:rFonts w:cs="Arial"/>
                <w:i/>
                <w:sz w:val="20"/>
              </w:rPr>
            </w:pPr>
          </w:p>
          <w:p w:rsidR="005F0822" w:rsidRPr="00420040" w:rsidRDefault="005F0822" w:rsidP="007C6FCF">
            <w:pPr>
              <w:rPr>
                <w:rFonts w:cs="Arial"/>
                <w:sz w:val="22"/>
              </w:rPr>
            </w:pPr>
            <w:r>
              <w:rPr>
                <w:sz w:val="22"/>
              </w:rPr>
              <w:t>Original: Inglés</w:t>
            </w:r>
          </w:p>
          <w:p w:rsidR="005F0822" w:rsidRPr="00682B31" w:rsidRDefault="005F0822" w:rsidP="007C6FCF">
            <w:pPr>
              <w:rPr>
                <w:rFonts w:cs="Arial"/>
                <w:sz w:val="12"/>
                <w:szCs w:val="12"/>
              </w:rPr>
            </w:pPr>
          </w:p>
        </w:tc>
      </w:tr>
    </w:tbl>
    <w:p w:rsidR="005F0822" w:rsidRPr="00682B31" w:rsidRDefault="005F0822" w:rsidP="00B13919">
      <w:pPr>
        <w:tabs>
          <w:tab w:val="left" w:pos="7020"/>
        </w:tabs>
        <w:rPr>
          <w:rFonts w:cs="Arial"/>
          <w:sz w:val="22"/>
          <w:szCs w:val="22"/>
        </w:rPr>
      </w:pPr>
    </w:p>
    <w:p w:rsidR="005F0822" w:rsidRPr="00682B31" w:rsidRDefault="005F0822" w:rsidP="006C6502">
      <w:pPr>
        <w:tabs>
          <w:tab w:val="left" w:pos="7020"/>
        </w:tabs>
        <w:rPr>
          <w:rFonts w:cs="Arial"/>
          <w:sz w:val="22"/>
          <w:szCs w:val="22"/>
        </w:rPr>
      </w:pPr>
    </w:p>
    <w:p w:rsidR="005F0822" w:rsidRPr="00682B31" w:rsidRDefault="005F0822" w:rsidP="006C6502">
      <w:pPr>
        <w:rPr>
          <w:rFonts w:cs="Arial"/>
          <w:sz w:val="22"/>
          <w:szCs w:val="22"/>
        </w:rPr>
      </w:pPr>
    </w:p>
    <w:p w:rsidR="005F0822" w:rsidRPr="00406761" w:rsidRDefault="005F0822" w:rsidP="007C6FCF">
      <w:pPr>
        <w:pStyle w:val="Heading2"/>
        <w:keepNext w:val="0"/>
        <w:jc w:val="center"/>
        <w:rPr>
          <w:rFonts w:cs="Arial"/>
          <w:sz w:val="22"/>
          <w:szCs w:val="22"/>
        </w:rPr>
      </w:pPr>
      <w:r w:rsidRPr="00406761">
        <w:rPr>
          <w:rFonts w:cs="Arial"/>
          <w:sz w:val="22"/>
          <w:szCs w:val="22"/>
        </w:rPr>
        <w:t>PLANES DE ACCIÓN PARA LAS AVES</w:t>
      </w:r>
    </w:p>
    <w:p w:rsidR="005F0822" w:rsidRPr="00754FE2" w:rsidRDefault="005F0822" w:rsidP="00B13919">
      <w:pPr>
        <w:jc w:val="center"/>
        <w:rPr>
          <w:rFonts w:cs="Arial"/>
          <w:sz w:val="22"/>
          <w:szCs w:val="22"/>
        </w:rPr>
      </w:pPr>
    </w:p>
    <w:p w:rsidR="005F0822" w:rsidRPr="00406761" w:rsidRDefault="005F0822" w:rsidP="006C6502">
      <w:pPr>
        <w:jc w:val="center"/>
        <w:rPr>
          <w:rFonts w:cs="Arial"/>
          <w:i/>
          <w:sz w:val="22"/>
          <w:szCs w:val="22"/>
        </w:rPr>
      </w:pPr>
      <w:r w:rsidRPr="00406761">
        <w:rPr>
          <w:rFonts w:cs="Arial"/>
          <w:i/>
          <w:sz w:val="22"/>
          <w:szCs w:val="22"/>
        </w:rPr>
        <w:t>(Preparado por la Secretaría)</w:t>
      </w:r>
    </w:p>
    <w:p w:rsidR="005F0822" w:rsidRPr="00754FE2" w:rsidRDefault="005F0822" w:rsidP="006C6502">
      <w:pPr>
        <w:jc w:val="center"/>
        <w:rPr>
          <w:rFonts w:cs="Arial"/>
          <w:sz w:val="22"/>
          <w:szCs w:val="22"/>
        </w:rPr>
      </w:pPr>
    </w:p>
    <w:p w:rsidR="005F0822" w:rsidRPr="00406761" w:rsidRDefault="005F0822" w:rsidP="007C6FCF">
      <w:pPr>
        <w:jc w:val="center"/>
        <w:rPr>
          <w:rFonts w:cs="Arial"/>
          <w:i/>
          <w:sz w:val="22"/>
          <w:szCs w:val="22"/>
        </w:rPr>
      </w:pPr>
    </w:p>
    <w:p w:rsidR="005F0822" w:rsidRPr="00406761" w:rsidRDefault="005F0822" w:rsidP="007C6FCF">
      <w:pPr>
        <w:jc w:val="center"/>
        <w:rPr>
          <w:rFonts w:cs="Arial"/>
          <w:i/>
          <w:sz w:val="22"/>
          <w:szCs w:val="22"/>
        </w:rPr>
      </w:pPr>
    </w:p>
    <w:p w:rsidR="005F0822" w:rsidRPr="00754FE2" w:rsidRDefault="005F0822" w:rsidP="007C6FCF">
      <w:pPr>
        <w:jc w:val="both"/>
        <w:rPr>
          <w:rFonts w:cs="Arial"/>
          <w:sz w:val="22"/>
          <w:szCs w:val="22"/>
        </w:rPr>
      </w:pPr>
    </w:p>
    <w:p w:rsidR="005F0822" w:rsidRPr="00754FE2" w:rsidRDefault="005F0822" w:rsidP="007C6FCF">
      <w:pPr>
        <w:tabs>
          <w:tab w:val="left" w:pos="8295"/>
        </w:tabs>
        <w:jc w:val="both"/>
        <w:rPr>
          <w:rFonts w:cs="Arial"/>
          <w:sz w:val="22"/>
          <w:szCs w:val="22"/>
        </w:rPr>
      </w:pPr>
    </w:p>
    <w:p w:rsidR="005F0822" w:rsidRPr="00754FE2" w:rsidRDefault="00E34B8B" w:rsidP="007C6FCF">
      <w:pPr>
        <w:rPr>
          <w:rFonts w:cs="Arial"/>
          <w:sz w:val="22"/>
          <w:szCs w:val="22"/>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789940</wp:posOffset>
                </wp:positionH>
                <wp:positionV relativeFrom="paragraph">
                  <wp:posOffset>17145</wp:posOffset>
                </wp:positionV>
                <wp:extent cx="4305300" cy="27051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705100"/>
                        </a:xfrm>
                        <a:prstGeom prst="rect">
                          <a:avLst/>
                        </a:prstGeom>
                        <a:solidFill>
                          <a:srgbClr val="FFFFFF"/>
                        </a:solidFill>
                        <a:ln w="3175">
                          <a:solidFill>
                            <a:srgbClr val="000000"/>
                          </a:solidFill>
                          <a:miter lim="800000"/>
                          <a:headEnd/>
                          <a:tailEnd/>
                        </a:ln>
                      </wps:spPr>
                      <wps:txbx>
                        <w:txbxContent>
                          <w:p w:rsidR="005F0822" w:rsidRPr="00420040" w:rsidRDefault="005F0822" w:rsidP="00E475D4">
                            <w:pPr>
                              <w:rPr>
                                <w:rFonts w:cs="Arial"/>
                                <w:sz w:val="22"/>
                                <w:szCs w:val="22"/>
                              </w:rPr>
                            </w:pPr>
                            <w:r>
                              <w:rPr>
                                <w:sz w:val="22"/>
                              </w:rPr>
                              <w:t>Resumen:</w:t>
                            </w:r>
                          </w:p>
                          <w:p w:rsidR="005F0822" w:rsidRDefault="005F0822" w:rsidP="00E8776E">
                            <w:pPr>
                              <w:rPr>
                                <w:rFonts w:cs="Arial"/>
                                <w:i/>
                                <w:sz w:val="22"/>
                                <w:szCs w:val="22"/>
                              </w:rPr>
                            </w:pPr>
                          </w:p>
                          <w:p w:rsidR="005F0822" w:rsidRPr="00420040" w:rsidRDefault="005F0822" w:rsidP="00E8776E">
                            <w:pPr>
                              <w:rPr>
                                <w:rFonts w:cs="Arial"/>
                                <w:sz w:val="22"/>
                                <w:szCs w:val="22"/>
                              </w:rPr>
                            </w:pPr>
                            <w:r>
                              <w:rPr>
                                <w:sz w:val="22"/>
                              </w:rPr>
                              <w:t>En la Resolución 11.14 sobre el Programa de trabajo para las aves migratorias y sus corredores aéreos se recomienda la elaboración de planes de acción para el escribano aureolado, el porrón de Baer y el zarapito siberiano, y en la Resolución 11.17 sobre el Plan de acción para las aves terrestres migratorias en la región de África y Eurasia, y se solicita la elaboración de planes de acción para la tórtola europea y la carraca europea.</w:t>
                            </w:r>
                          </w:p>
                          <w:p w:rsidR="005F0822" w:rsidRDefault="005F0822" w:rsidP="00E475D4">
                            <w:pPr>
                              <w:rPr>
                                <w:rFonts w:cs="Arial"/>
                                <w:sz w:val="21"/>
                                <w:szCs w:val="21"/>
                              </w:rPr>
                            </w:pPr>
                          </w:p>
                          <w:p w:rsidR="005F0822" w:rsidRDefault="005F0822" w:rsidP="00E475D4">
                            <w:pPr>
                              <w:rPr>
                                <w:sz w:val="22"/>
                              </w:rPr>
                            </w:pPr>
                            <w:r>
                              <w:rPr>
                                <w:sz w:val="22"/>
                              </w:rPr>
                              <w:t xml:space="preserve">La aplicación de estos planes de acción contribuirá a la aplicación de las Metas 8, 9 y 10 del Plan Estratégico 2015 – 2023 para las especies migratorias. </w:t>
                            </w:r>
                          </w:p>
                          <w:p w:rsidR="009B4E56" w:rsidRDefault="009B4E56" w:rsidP="00E475D4">
                            <w:pPr>
                              <w:rPr>
                                <w:sz w:val="22"/>
                              </w:rPr>
                            </w:pPr>
                          </w:p>
                          <w:p w:rsidR="009B4E56" w:rsidRPr="00B025B7" w:rsidRDefault="009B4E56" w:rsidP="00E475D4">
                            <w:pPr>
                              <w:rPr>
                                <w:rFonts w:cs="Arial"/>
                                <w:sz w:val="22"/>
                                <w:szCs w:val="22"/>
                              </w:rPr>
                            </w:pPr>
                            <w:r>
                              <w:rPr>
                                <w:sz w:val="22"/>
                              </w:rPr>
                              <w:t>Rev.1 incluye provisiones específicas para el Plan de Acción para el Escribano Aureolado.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2.2pt;margin-top:1.35pt;width:339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" strokeweight=".25pt">
                <v:textbox>
                  <w:txbxContent>
                    <w:p w:rsidR="005F0822" w:rsidRPr="00420040" w:rsidRDefault="005F0822" w:rsidP="00E475D4">
                      <w:pPr>
                        <w:rPr>
                          <w:rFonts w:cs="Arial"/>
                          <w:sz w:val="22"/>
                          <w:szCs w:val="22"/>
                        </w:rPr>
                      </w:pPr>
                      <w:r>
                        <w:rPr>
                          <w:sz w:val="22"/>
                        </w:rPr>
                        <w:t>Resumen:</w:t>
                      </w:r>
                    </w:p>
                    <w:p w:rsidR="005F0822" w:rsidRDefault="005F0822" w:rsidP="00E8776E">
                      <w:pPr>
                        <w:rPr>
                          <w:rFonts w:cs="Arial"/>
                          <w:i/>
                          <w:sz w:val="22"/>
                          <w:szCs w:val="22"/>
                        </w:rPr>
                      </w:pPr>
                    </w:p>
                    <w:p w:rsidR="005F0822" w:rsidRPr="00420040" w:rsidRDefault="005F0822" w:rsidP="00E8776E">
                      <w:pPr>
                        <w:rPr>
                          <w:rFonts w:cs="Arial"/>
                          <w:sz w:val="22"/>
                          <w:szCs w:val="22"/>
                        </w:rPr>
                      </w:pPr>
                      <w:r>
                        <w:rPr>
                          <w:sz w:val="22"/>
                        </w:rPr>
                        <w:t>En la Resolución 11.14 sobre el Programa de trabajo para las aves migratorias y sus corredores aéreos se recomienda la elaboración de planes de acción para el escribano aureolado, el porrón de Baer y el zarapito siberiano, y en la Resolución 11.17 sobre el Plan de acción para las aves terrestres migratorias en la región de África y Eurasia, y se solicita la elaboración de planes de acción para la tórtola europea y la carraca europea.</w:t>
                      </w:r>
                    </w:p>
                    <w:p w:rsidR="005F0822" w:rsidRDefault="005F0822" w:rsidP="00E475D4">
                      <w:pPr>
                        <w:rPr>
                          <w:rFonts w:cs="Arial"/>
                          <w:sz w:val="21"/>
                          <w:szCs w:val="21"/>
                        </w:rPr>
                      </w:pPr>
                    </w:p>
                    <w:p w:rsidR="005F0822" w:rsidRDefault="005F0822" w:rsidP="00E475D4">
                      <w:pPr>
                        <w:rPr>
                          <w:sz w:val="22"/>
                        </w:rPr>
                      </w:pPr>
                      <w:r>
                        <w:rPr>
                          <w:sz w:val="22"/>
                        </w:rPr>
                        <w:t xml:space="preserve">La aplicación de estos planes de acción contribuirá a la aplicación de las Metas 8, 9 y 10 del Plan Estratégico 2015 – 2023 para las especies migratorias. </w:t>
                      </w:r>
                    </w:p>
                    <w:p w:rsidR="009B4E56" w:rsidRDefault="009B4E56" w:rsidP="00E475D4">
                      <w:pPr>
                        <w:rPr>
                          <w:sz w:val="22"/>
                        </w:rPr>
                      </w:pPr>
                    </w:p>
                    <w:p w:rsidR="009B4E56" w:rsidRPr="00B025B7" w:rsidRDefault="009B4E56" w:rsidP="00E475D4">
                      <w:pPr>
                        <w:rPr>
                          <w:rFonts w:cs="Arial"/>
                          <w:sz w:val="22"/>
                          <w:szCs w:val="22"/>
                        </w:rPr>
                      </w:pPr>
                      <w:r>
                        <w:rPr>
                          <w:sz w:val="22"/>
                        </w:rPr>
                        <w:t>Rev.1 incluye provisiones específicas para el Plan de Acción para el Escribano Aureolado.</w:t>
                      </w:r>
                    </w:p>
                  </w:txbxContent>
                </v:textbox>
              </v:shape>
            </w:pict>
          </mc:Fallback>
        </mc:AlternateContent>
      </w: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754FE2" w:rsidRDefault="005F0822" w:rsidP="007C6FCF">
      <w:pPr>
        <w:rPr>
          <w:rFonts w:cs="Arial"/>
          <w:sz w:val="22"/>
          <w:szCs w:val="22"/>
        </w:rPr>
      </w:pPr>
    </w:p>
    <w:p w:rsidR="005F0822" w:rsidRPr="00406761" w:rsidRDefault="005F0822" w:rsidP="007C6FCF">
      <w:pPr>
        <w:tabs>
          <w:tab w:val="left" w:pos="1020"/>
        </w:tabs>
        <w:rPr>
          <w:rFonts w:cs="Arial"/>
          <w:sz w:val="22"/>
          <w:szCs w:val="22"/>
        </w:rPr>
        <w:sectPr w:rsidR="005F0822" w:rsidRPr="00406761"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rtlGutter/>
          <w:docGrid w:linePitch="272"/>
        </w:sectPr>
      </w:pPr>
    </w:p>
    <w:p w:rsidR="005F0822" w:rsidRPr="00406761" w:rsidRDefault="005F0822" w:rsidP="007C6FCF">
      <w:pPr>
        <w:pBdr>
          <w:top w:val="single" w:sz="6" w:space="0" w:color="FFFFFF"/>
          <w:left w:val="single" w:sz="6" w:space="0" w:color="FFFFFF"/>
          <w:bottom w:val="single" w:sz="6" w:space="0" w:color="FFFFFF"/>
          <w:right w:val="single" w:sz="6" w:space="0" w:color="FFFFFF"/>
        </w:pBdr>
        <w:jc w:val="center"/>
        <w:rPr>
          <w:rFonts w:cs="Arial"/>
          <w:b/>
          <w:caps/>
          <w:sz w:val="22"/>
          <w:szCs w:val="22"/>
        </w:rPr>
      </w:pPr>
      <w:r w:rsidRPr="00406761">
        <w:rPr>
          <w:rFonts w:cs="Arial"/>
          <w:b/>
          <w:caps/>
          <w:sz w:val="22"/>
          <w:szCs w:val="22"/>
        </w:rPr>
        <w:lastRenderedPageBreak/>
        <w:t>PLANES DE ACCIÓN PARA LAS AVES</w:t>
      </w:r>
    </w:p>
    <w:p w:rsidR="005F0822" w:rsidRPr="00406761" w:rsidRDefault="005F0822" w:rsidP="00B13919">
      <w:pPr>
        <w:jc w:val="center"/>
        <w:rPr>
          <w:rFonts w:cs="Arial"/>
          <w:sz w:val="22"/>
          <w:szCs w:val="22"/>
        </w:rPr>
      </w:pPr>
    </w:p>
    <w:p w:rsidR="005F0822" w:rsidRPr="00406761" w:rsidRDefault="005F0822" w:rsidP="00AE0ACC">
      <w:pPr>
        <w:ind w:firstLine="142"/>
        <w:jc w:val="both"/>
        <w:rPr>
          <w:rFonts w:cs="Arial"/>
          <w:sz w:val="22"/>
          <w:szCs w:val="22"/>
        </w:rPr>
      </w:pPr>
    </w:p>
    <w:p w:rsidR="005F0822" w:rsidRPr="00406761" w:rsidRDefault="005F0822" w:rsidP="00AE0ACC">
      <w:pPr>
        <w:pStyle w:val="ListParagraph"/>
        <w:numPr>
          <w:ilvl w:val="0"/>
          <w:numId w:val="2"/>
        </w:numPr>
        <w:jc w:val="both"/>
        <w:rPr>
          <w:rFonts w:cs="Arial"/>
          <w:sz w:val="22"/>
          <w:szCs w:val="22"/>
        </w:rPr>
      </w:pPr>
      <w:r w:rsidRPr="00406761">
        <w:rPr>
          <w:rFonts w:cs="Arial"/>
          <w:sz w:val="22"/>
          <w:szCs w:val="22"/>
        </w:rPr>
        <w:t>En la 11ª reunión de la Conferencia de las Partes celebrada en Quito en 2014, se habían adoptado dos resoluciones solicitando la elaboración de planes de acción de especies individuales para las especies de aves migratorias. Estas resoluciones son la 11.14 sobre el Programa de trabajo para las aves migratorias y sus corredores aéreos y la 11.17 sobre el Plan de acción para las aves terrestres migratorias en la región de África y Eurasia.</w:t>
      </w:r>
    </w:p>
    <w:p w:rsidR="005F0822" w:rsidRPr="00406761" w:rsidRDefault="005F0822" w:rsidP="00AE0ACC">
      <w:pPr>
        <w:contextualSpacing/>
        <w:jc w:val="both"/>
        <w:rPr>
          <w:rFonts w:cs="Arial"/>
          <w:sz w:val="22"/>
          <w:szCs w:val="22"/>
        </w:rPr>
      </w:pPr>
    </w:p>
    <w:p w:rsidR="005F0822" w:rsidRPr="00754FE2" w:rsidRDefault="005F0822" w:rsidP="00AE0ACC">
      <w:pPr>
        <w:pStyle w:val="ListParagraph"/>
        <w:numPr>
          <w:ilvl w:val="0"/>
          <w:numId w:val="2"/>
        </w:numPr>
        <w:jc w:val="both"/>
        <w:rPr>
          <w:rFonts w:cs="Arial"/>
          <w:sz w:val="22"/>
          <w:szCs w:val="22"/>
        </w:rPr>
      </w:pPr>
      <w:r w:rsidRPr="00754FE2">
        <w:rPr>
          <w:rFonts w:cs="Arial"/>
          <w:sz w:val="22"/>
          <w:szCs w:val="22"/>
        </w:rPr>
        <w:t>El Anexo 1 contiene un proyecto de resolución por el que se adoptan planes de acción para cinco especies de aves: el escribano aureolado (</w:t>
      </w:r>
      <w:r w:rsidRPr="00406761">
        <w:rPr>
          <w:rFonts w:cs="Arial"/>
          <w:i/>
          <w:sz w:val="22"/>
          <w:szCs w:val="22"/>
        </w:rPr>
        <w:t>Emberiza aureola</w:t>
      </w:r>
      <w:r w:rsidRPr="00754FE2">
        <w:rPr>
          <w:rFonts w:cs="Arial"/>
          <w:sz w:val="22"/>
          <w:szCs w:val="22"/>
        </w:rPr>
        <w:t>) (UNEP/CMS/COP12/Doc.24.1.5), la tórtola europea (</w:t>
      </w:r>
      <w:r w:rsidRPr="00406761">
        <w:rPr>
          <w:rFonts w:cs="Arial"/>
          <w:i/>
          <w:sz w:val="22"/>
          <w:szCs w:val="22"/>
        </w:rPr>
        <w:t>Streptopelia turtur</w:t>
      </w:r>
      <w:r w:rsidRPr="00754FE2">
        <w:rPr>
          <w:rFonts w:cs="Arial"/>
          <w:sz w:val="22"/>
          <w:szCs w:val="22"/>
        </w:rPr>
        <w:t>) (UNEP/CMS/COP12/Doc.24.1.6), el zarapito siberiano (</w:t>
      </w:r>
      <w:r w:rsidRPr="00406761">
        <w:rPr>
          <w:rFonts w:cs="Arial"/>
          <w:i/>
          <w:sz w:val="22"/>
          <w:szCs w:val="22"/>
        </w:rPr>
        <w:t>Numenius madagascariensis</w:t>
      </w:r>
      <w:r w:rsidRPr="00754FE2">
        <w:rPr>
          <w:rFonts w:cs="Arial"/>
          <w:sz w:val="22"/>
          <w:szCs w:val="22"/>
        </w:rPr>
        <w:t>) (UNEP/CMS/COP12/Doc.24.1.7), el porrón de Baer (</w:t>
      </w:r>
      <w:r w:rsidRPr="00406761">
        <w:rPr>
          <w:rFonts w:cs="Arial"/>
          <w:i/>
          <w:sz w:val="22"/>
          <w:szCs w:val="22"/>
        </w:rPr>
        <w:t>Aythya baeri</w:t>
      </w:r>
      <w:r w:rsidRPr="00754FE2">
        <w:rPr>
          <w:rFonts w:cs="Arial"/>
          <w:sz w:val="22"/>
          <w:szCs w:val="22"/>
        </w:rPr>
        <w:t>) (UNEP/CMS/CP12/24.1.8) y la carraca europea (</w:t>
      </w:r>
      <w:r w:rsidRPr="00406761">
        <w:rPr>
          <w:rFonts w:cs="Arial"/>
          <w:i/>
          <w:sz w:val="22"/>
          <w:szCs w:val="22"/>
        </w:rPr>
        <w:t>Coracias garrulus</w:t>
      </w:r>
      <w:r w:rsidRPr="00754FE2">
        <w:rPr>
          <w:rFonts w:cs="Arial"/>
          <w:sz w:val="22"/>
          <w:szCs w:val="22"/>
        </w:rPr>
        <w:t>) (UNEP/CMS/COP12/Doc.24.1.9).</w:t>
      </w:r>
    </w:p>
    <w:p w:rsidR="005F0822" w:rsidRPr="00406761" w:rsidRDefault="005F0822" w:rsidP="00AE0ACC">
      <w:pPr>
        <w:contextualSpacing/>
        <w:jc w:val="both"/>
        <w:rPr>
          <w:rFonts w:cs="Arial"/>
          <w:sz w:val="22"/>
          <w:szCs w:val="22"/>
        </w:rPr>
      </w:pPr>
    </w:p>
    <w:p w:rsidR="009B4E56" w:rsidRDefault="009B4E56" w:rsidP="000C4C76">
      <w:pPr>
        <w:pStyle w:val="ListParagraph"/>
        <w:numPr>
          <w:ilvl w:val="0"/>
          <w:numId w:val="2"/>
        </w:numPr>
        <w:jc w:val="both"/>
        <w:rPr>
          <w:rFonts w:cs="Arial"/>
          <w:sz w:val="22"/>
          <w:szCs w:val="22"/>
        </w:rPr>
      </w:pPr>
      <w:r>
        <w:rPr>
          <w:rFonts w:cs="Arial"/>
          <w:sz w:val="22"/>
          <w:szCs w:val="22"/>
        </w:rPr>
        <w:t xml:space="preserve">El Plan de Acción para el </w:t>
      </w:r>
      <w:r w:rsidR="000C4C76">
        <w:rPr>
          <w:rFonts w:cs="Arial"/>
          <w:sz w:val="22"/>
          <w:szCs w:val="22"/>
        </w:rPr>
        <w:t>e</w:t>
      </w:r>
      <w:r>
        <w:rPr>
          <w:rFonts w:cs="Arial"/>
          <w:sz w:val="22"/>
          <w:szCs w:val="22"/>
        </w:rPr>
        <w:t>scribano aureolado (</w:t>
      </w:r>
      <w:r w:rsidRPr="009B4E56">
        <w:rPr>
          <w:rFonts w:cs="Arial"/>
          <w:i/>
          <w:sz w:val="22"/>
          <w:szCs w:val="22"/>
        </w:rPr>
        <w:t>Emberiza aureola</w:t>
      </w:r>
      <w:r>
        <w:rPr>
          <w:rFonts w:cs="Arial"/>
          <w:sz w:val="22"/>
          <w:szCs w:val="22"/>
        </w:rPr>
        <w:t xml:space="preserve">) no estará listo </w:t>
      </w:r>
      <w:r w:rsidR="000C4C76" w:rsidRPr="000C4C76">
        <w:rPr>
          <w:rFonts w:cs="Arial"/>
          <w:sz w:val="22"/>
          <w:szCs w:val="22"/>
        </w:rPr>
        <w:t xml:space="preserve">para ser adoptado por la COP. Por lo tanto, se propone que el Comité Permanente apruebe este documento durante el período entre </w:t>
      </w:r>
      <w:r w:rsidR="000C4C76">
        <w:rPr>
          <w:rFonts w:cs="Arial"/>
          <w:sz w:val="22"/>
          <w:szCs w:val="22"/>
        </w:rPr>
        <w:t>sesiones</w:t>
      </w:r>
      <w:r w:rsidR="000C4C76" w:rsidRPr="000C4C76">
        <w:rPr>
          <w:rFonts w:cs="Arial"/>
          <w:sz w:val="22"/>
          <w:szCs w:val="22"/>
        </w:rPr>
        <w:t xml:space="preserve"> entre </w:t>
      </w:r>
      <w:r w:rsidR="000C4C76">
        <w:rPr>
          <w:rFonts w:cs="Arial"/>
          <w:sz w:val="22"/>
          <w:szCs w:val="22"/>
        </w:rPr>
        <w:t>la COP12 y la COP</w:t>
      </w:r>
      <w:r w:rsidR="000C4C76" w:rsidRPr="000C4C76">
        <w:rPr>
          <w:rFonts w:cs="Arial"/>
          <w:sz w:val="22"/>
          <w:szCs w:val="22"/>
        </w:rPr>
        <w:t xml:space="preserve">13. Para más información sobre la situación de este Plan de Acción, véase </w:t>
      </w:r>
      <w:r w:rsidR="000C4C76">
        <w:rPr>
          <w:rFonts w:cs="Arial"/>
          <w:sz w:val="22"/>
          <w:szCs w:val="22"/>
        </w:rPr>
        <w:t xml:space="preserve">el documento </w:t>
      </w:r>
      <w:r w:rsidR="000C4C76" w:rsidRPr="000C4C76">
        <w:rPr>
          <w:rFonts w:cs="Arial"/>
          <w:sz w:val="22"/>
          <w:szCs w:val="22"/>
        </w:rPr>
        <w:t>UNEP</w:t>
      </w:r>
      <w:r w:rsidR="000C4C76">
        <w:rPr>
          <w:rFonts w:cs="Arial"/>
          <w:sz w:val="22"/>
          <w:szCs w:val="22"/>
        </w:rPr>
        <w:t>/</w:t>
      </w:r>
      <w:r w:rsidR="000C4C76" w:rsidRPr="000C4C76">
        <w:rPr>
          <w:rFonts w:cs="Arial"/>
          <w:sz w:val="22"/>
          <w:szCs w:val="22"/>
        </w:rPr>
        <w:t>CMS</w:t>
      </w:r>
      <w:r w:rsidR="000C4C76">
        <w:rPr>
          <w:rFonts w:cs="Arial"/>
          <w:sz w:val="22"/>
          <w:szCs w:val="22"/>
        </w:rPr>
        <w:t>/</w:t>
      </w:r>
      <w:r w:rsidR="000C4C76" w:rsidRPr="000C4C76">
        <w:rPr>
          <w:rFonts w:cs="Arial"/>
          <w:sz w:val="22"/>
          <w:szCs w:val="22"/>
        </w:rPr>
        <w:t>COP12</w:t>
      </w:r>
      <w:r w:rsidR="000C4C76">
        <w:rPr>
          <w:rFonts w:cs="Arial"/>
          <w:sz w:val="22"/>
          <w:szCs w:val="22"/>
        </w:rPr>
        <w:t>/</w:t>
      </w:r>
      <w:r w:rsidR="000C4C76" w:rsidRPr="000C4C76">
        <w:rPr>
          <w:rFonts w:cs="Arial"/>
          <w:sz w:val="22"/>
          <w:szCs w:val="22"/>
        </w:rPr>
        <w:t>Doc.24.1.5.</w:t>
      </w:r>
    </w:p>
    <w:p w:rsidR="009B4E56" w:rsidRPr="009B4E56" w:rsidRDefault="009B4E56" w:rsidP="009B4E56">
      <w:pPr>
        <w:pStyle w:val="ListParagraph"/>
        <w:rPr>
          <w:rFonts w:cs="Arial"/>
          <w:sz w:val="22"/>
          <w:szCs w:val="22"/>
        </w:rPr>
      </w:pPr>
    </w:p>
    <w:p w:rsidR="005F0822" w:rsidRPr="00406761" w:rsidRDefault="005F0822" w:rsidP="00AE0ACC">
      <w:pPr>
        <w:pStyle w:val="ListParagraph"/>
        <w:numPr>
          <w:ilvl w:val="0"/>
          <w:numId w:val="2"/>
        </w:numPr>
        <w:jc w:val="both"/>
        <w:rPr>
          <w:rFonts w:cs="Arial"/>
          <w:sz w:val="22"/>
          <w:szCs w:val="22"/>
        </w:rPr>
      </w:pPr>
      <w:r w:rsidRPr="00406761">
        <w:rPr>
          <w:rFonts w:cs="Arial"/>
          <w:sz w:val="22"/>
          <w:szCs w:val="22"/>
        </w:rPr>
        <w:t>En la Resolución 11.14 se pide también que se elaboren planes de ac</w:t>
      </w:r>
      <w:r w:rsidR="00E34B8B">
        <w:rPr>
          <w:rFonts w:cs="Arial"/>
          <w:sz w:val="22"/>
          <w:szCs w:val="22"/>
        </w:rPr>
        <w:t>ción para todos los buitres de Á</w:t>
      </w:r>
      <w:r w:rsidRPr="00406761">
        <w:rPr>
          <w:rFonts w:cs="Arial"/>
          <w:sz w:val="22"/>
          <w:szCs w:val="22"/>
        </w:rPr>
        <w:t>frica-Eurasia, excepto el buitre palmero (</w:t>
      </w:r>
      <w:r w:rsidRPr="00406761">
        <w:rPr>
          <w:rFonts w:cs="Arial"/>
          <w:i/>
          <w:sz w:val="22"/>
          <w:szCs w:val="22"/>
        </w:rPr>
        <w:t>Gypohierax angolensis</w:t>
      </w:r>
      <w:r w:rsidRPr="00406761">
        <w:rPr>
          <w:rFonts w:cs="Arial"/>
          <w:sz w:val="22"/>
          <w:szCs w:val="22"/>
        </w:rPr>
        <w:t>), a través del MdE sobre rapaces. El Plan de acción de múltiples especies para la conservación de los buitres de África y Eurasia (PAME) figura en el documento UNEP/CMS/COP12/Doc.24.1.4, que contiene también un proyecto de resolución por el que se adopta separadamente el PAME para el buitre.</w:t>
      </w:r>
    </w:p>
    <w:p w:rsidR="005F0822" w:rsidRPr="00406761" w:rsidRDefault="005F0822" w:rsidP="00AE0ACC">
      <w:pPr>
        <w:contextualSpacing/>
        <w:jc w:val="both"/>
        <w:rPr>
          <w:rFonts w:cs="Arial"/>
          <w:sz w:val="22"/>
          <w:szCs w:val="22"/>
        </w:rPr>
      </w:pPr>
    </w:p>
    <w:p w:rsidR="005F0822" w:rsidRPr="00406761" w:rsidRDefault="005F0822" w:rsidP="00AE0ACC">
      <w:pPr>
        <w:rPr>
          <w:rFonts w:cs="Arial"/>
          <w:sz w:val="22"/>
          <w:szCs w:val="22"/>
        </w:rPr>
      </w:pPr>
      <w:r w:rsidRPr="00406761">
        <w:rPr>
          <w:rFonts w:cs="Arial"/>
          <w:sz w:val="22"/>
          <w:szCs w:val="22"/>
          <w:u w:val="single"/>
        </w:rPr>
        <w:t>Medidas que se recomiendan</w:t>
      </w:r>
    </w:p>
    <w:p w:rsidR="005F0822" w:rsidRPr="00406761" w:rsidRDefault="005F0822" w:rsidP="00AE0ACC">
      <w:pPr>
        <w:rPr>
          <w:rFonts w:cs="Arial"/>
          <w:sz w:val="22"/>
          <w:szCs w:val="22"/>
        </w:rPr>
      </w:pPr>
    </w:p>
    <w:p w:rsidR="005F0822" w:rsidRPr="00406761" w:rsidRDefault="005F0822" w:rsidP="00AE0ACC">
      <w:pPr>
        <w:pStyle w:val="ListParagraph"/>
        <w:numPr>
          <w:ilvl w:val="0"/>
          <w:numId w:val="2"/>
        </w:numPr>
        <w:jc w:val="both"/>
        <w:rPr>
          <w:rFonts w:cs="Arial"/>
          <w:sz w:val="22"/>
          <w:szCs w:val="22"/>
        </w:rPr>
      </w:pPr>
      <w:r w:rsidRPr="00406761">
        <w:rPr>
          <w:rFonts w:cs="Arial"/>
          <w:sz w:val="22"/>
          <w:szCs w:val="22"/>
        </w:rPr>
        <w:t>Se recomienda a la Conferencia de las Partes que:</w:t>
      </w:r>
    </w:p>
    <w:p w:rsidR="005F0822" w:rsidRPr="00406761" w:rsidRDefault="005F0822" w:rsidP="00AE0ACC">
      <w:pPr>
        <w:ind w:firstLine="142"/>
        <w:jc w:val="both"/>
        <w:rPr>
          <w:rFonts w:cs="Arial"/>
          <w:sz w:val="22"/>
          <w:szCs w:val="22"/>
        </w:rPr>
      </w:pPr>
    </w:p>
    <w:p w:rsidR="005F0822" w:rsidRPr="00406761" w:rsidRDefault="005F0822" w:rsidP="00AE0ACC">
      <w:pPr>
        <w:widowControl/>
        <w:numPr>
          <w:ilvl w:val="0"/>
          <w:numId w:val="3"/>
        </w:numPr>
        <w:autoSpaceDE/>
        <w:adjustRightInd/>
        <w:ind w:hanging="731"/>
        <w:contextualSpacing/>
        <w:jc w:val="both"/>
        <w:rPr>
          <w:rFonts w:cs="Arial"/>
          <w:sz w:val="22"/>
          <w:szCs w:val="22"/>
        </w:rPr>
      </w:pPr>
      <w:r w:rsidRPr="00406761">
        <w:rPr>
          <w:rFonts w:cs="Arial"/>
          <w:sz w:val="22"/>
          <w:szCs w:val="22"/>
        </w:rPr>
        <w:t>Apruebe el proyecto de resolución que figura en el Anexo 1 del presente documento.</w:t>
      </w:r>
    </w:p>
    <w:p w:rsidR="005F0822" w:rsidRPr="00406761" w:rsidRDefault="005F0822" w:rsidP="00AE0ACC">
      <w:pPr>
        <w:widowControl/>
        <w:autoSpaceDE/>
        <w:adjustRightInd/>
        <w:ind w:firstLine="142"/>
        <w:contextualSpacing/>
        <w:jc w:val="both"/>
        <w:rPr>
          <w:rFonts w:cs="Arial"/>
          <w:sz w:val="22"/>
          <w:szCs w:val="22"/>
        </w:rPr>
      </w:pPr>
    </w:p>
    <w:p w:rsidR="005F0822" w:rsidRPr="00406761" w:rsidRDefault="005F0822" w:rsidP="00AE0ACC">
      <w:pPr>
        <w:widowControl/>
        <w:numPr>
          <w:ilvl w:val="0"/>
          <w:numId w:val="3"/>
        </w:numPr>
        <w:autoSpaceDE/>
        <w:adjustRightInd/>
        <w:ind w:hanging="731"/>
        <w:contextualSpacing/>
        <w:jc w:val="both"/>
        <w:rPr>
          <w:rFonts w:cs="Arial"/>
          <w:sz w:val="22"/>
          <w:szCs w:val="22"/>
        </w:rPr>
      </w:pPr>
      <w:r w:rsidRPr="00406761">
        <w:rPr>
          <w:rFonts w:cs="Arial"/>
          <w:sz w:val="22"/>
          <w:szCs w:val="22"/>
        </w:rPr>
        <w:t>Apruebe el proyecto de Decisiones que figura en el Anexo 2 del presente documento.</w:t>
      </w:r>
    </w:p>
    <w:p w:rsidR="005F0822" w:rsidRPr="00406761" w:rsidRDefault="005F0822" w:rsidP="007C6FCF">
      <w:pPr>
        <w:widowControl/>
        <w:autoSpaceDE/>
        <w:adjustRightInd/>
        <w:contextualSpacing/>
        <w:jc w:val="both"/>
        <w:rPr>
          <w:rFonts w:cs="Arial"/>
          <w:sz w:val="22"/>
          <w:szCs w:val="22"/>
        </w:rPr>
      </w:pPr>
    </w:p>
    <w:p w:rsidR="005F0822" w:rsidRPr="00406761" w:rsidRDefault="005F0822" w:rsidP="00B13919">
      <w:pPr>
        <w:jc w:val="both"/>
        <w:rPr>
          <w:rFonts w:cs="Arial"/>
          <w:i/>
          <w:sz w:val="22"/>
          <w:szCs w:val="22"/>
        </w:rPr>
      </w:pPr>
    </w:p>
    <w:p w:rsidR="005F0822" w:rsidRPr="00406761" w:rsidRDefault="005F0822" w:rsidP="00102318">
      <w:pPr>
        <w:jc w:val="both"/>
        <w:rPr>
          <w:rFonts w:cs="Arial"/>
          <w:sz w:val="22"/>
          <w:szCs w:val="22"/>
        </w:rPr>
      </w:pPr>
    </w:p>
    <w:p w:rsidR="005F0822" w:rsidRPr="00406761" w:rsidRDefault="005F0822" w:rsidP="007C6FCF">
      <w:pPr>
        <w:widowControl/>
        <w:autoSpaceDE/>
        <w:autoSpaceDN/>
        <w:adjustRightInd/>
        <w:spacing w:line="259" w:lineRule="auto"/>
        <w:jc w:val="right"/>
        <w:rPr>
          <w:rFonts w:cs="Arial"/>
          <w:b/>
          <w:sz w:val="22"/>
          <w:szCs w:val="22"/>
        </w:rPr>
        <w:sectPr w:rsidR="005F0822" w:rsidRPr="00406761" w:rsidSect="00620809">
          <w:headerReference w:type="first" r:id="rId14"/>
          <w:footerReference w:type="first" r:id="rId15"/>
          <w:endnotePr>
            <w:numFmt w:val="decimal"/>
          </w:endnotePr>
          <w:pgSz w:w="11905" w:h="16837" w:code="9"/>
          <w:pgMar w:top="1008" w:right="1411" w:bottom="1152" w:left="1411" w:header="432" w:footer="432" w:gutter="0"/>
          <w:cols w:space="720"/>
          <w:noEndnote/>
          <w:titlePg/>
          <w:rtlGutter/>
          <w:docGrid w:linePitch="272"/>
        </w:sectPr>
      </w:pPr>
    </w:p>
    <w:p w:rsidR="005F0822" w:rsidRPr="00406761" w:rsidRDefault="005F0822" w:rsidP="007C6FCF">
      <w:pPr>
        <w:widowControl/>
        <w:autoSpaceDE/>
        <w:autoSpaceDN/>
        <w:adjustRightInd/>
        <w:spacing w:line="259" w:lineRule="auto"/>
        <w:jc w:val="right"/>
        <w:rPr>
          <w:rFonts w:cs="Arial"/>
          <w:b/>
          <w:sz w:val="22"/>
          <w:szCs w:val="22"/>
        </w:rPr>
      </w:pPr>
      <w:r w:rsidRPr="00406761">
        <w:rPr>
          <w:rFonts w:cs="Arial"/>
          <w:b/>
          <w:sz w:val="22"/>
          <w:szCs w:val="22"/>
        </w:rPr>
        <w:lastRenderedPageBreak/>
        <w:t>ANEXO 1</w:t>
      </w:r>
    </w:p>
    <w:p w:rsidR="005F0822" w:rsidRPr="00406761" w:rsidRDefault="005F0822" w:rsidP="007C6FCF">
      <w:pPr>
        <w:widowControl/>
        <w:autoSpaceDE/>
        <w:autoSpaceDN/>
        <w:adjustRightInd/>
        <w:spacing w:line="259" w:lineRule="auto"/>
        <w:jc w:val="center"/>
        <w:rPr>
          <w:rFonts w:cs="Arial"/>
          <w:b/>
          <w:sz w:val="22"/>
          <w:szCs w:val="22"/>
        </w:rPr>
      </w:pPr>
    </w:p>
    <w:p w:rsidR="005F0822" w:rsidRPr="00406761" w:rsidRDefault="005F0822" w:rsidP="007C6FCF">
      <w:pPr>
        <w:widowControl/>
        <w:autoSpaceDE/>
        <w:autoSpaceDN/>
        <w:adjustRightInd/>
        <w:jc w:val="center"/>
        <w:rPr>
          <w:rFonts w:cs="Arial"/>
          <w:b/>
          <w:sz w:val="22"/>
          <w:szCs w:val="22"/>
        </w:rPr>
      </w:pPr>
      <w:r w:rsidRPr="00406761">
        <w:rPr>
          <w:rFonts w:cs="Arial"/>
          <w:sz w:val="22"/>
          <w:szCs w:val="22"/>
        </w:rPr>
        <w:t>PROYECTO DE RESOLUCIÓN</w:t>
      </w:r>
    </w:p>
    <w:p w:rsidR="005F0822" w:rsidRPr="00406761" w:rsidRDefault="005F0822" w:rsidP="007C6FCF">
      <w:pPr>
        <w:widowControl/>
        <w:autoSpaceDE/>
        <w:autoSpaceDN/>
        <w:adjustRightInd/>
        <w:jc w:val="center"/>
        <w:rPr>
          <w:rFonts w:cs="Arial"/>
          <w:b/>
          <w:sz w:val="22"/>
          <w:szCs w:val="22"/>
        </w:rPr>
      </w:pPr>
    </w:p>
    <w:p w:rsidR="005F0822" w:rsidRPr="00406761" w:rsidRDefault="005F0822" w:rsidP="007C6FCF">
      <w:pPr>
        <w:widowControl/>
        <w:autoSpaceDE/>
        <w:autoSpaceDN/>
        <w:adjustRightInd/>
        <w:jc w:val="center"/>
        <w:rPr>
          <w:rFonts w:cs="Arial"/>
          <w:b/>
          <w:sz w:val="22"/>
          <w:szCs w:val="22"/>
        </w:rPr>
      </w:pPr>
      <w:r w:rsidRPr="00406761">
        <w:rPr>
          <w:rFonts w:cs="Arial"/>
          <w:b/>
          <w:caps/>
          <w:sz w:val="22"/>
          <w:szCs w:val="22"/>
        </w:rPr>
        <w:t>PLANES DE ACCIÓN PARA LAS AVES</w:t>
      </w:r>
    </w:p>
    <w:p w:rsidR="005F0822" w:rsidRPr="00406761" w:rsidRDefault="005F0822" w:rsidP="007C6FCF">
      <w:pPr>
        <w:widowControl/>
        <w:autoSpaceDE/>
        <w:autoSpaceDN/>
        <w:adjustRightInd/>
        <w:jc w:val="center"/>
        <w:rPr>
          <w:rFonts w:cs="Arial"/>
          <w:i/>
          <w:sz w:val="22"/>
          <w:szCs w:val="22"/>
        </w:rPr>
      </w:pPr>
    </w:p>
    <w:p w:rsidR="005F0822" w:rsidRPr="00406761" w:rsidRDefault="005F0822" w:rsidP="007C6FCF">
      <w:pPr>
        <w:widowControl/>
        <w:autoSpaceDE/>
        <w:autoSpaceDN/>
        <w:adjustRightInd/>
        <w:jc w:val="both"/>
        <w:rPr>
          <w:rFonts w:cs="Arial"/>
          <w:sz w:val="22"/>
          <w:szCs w:val="22"/>
        </w:rPr>
      </w:pPr>
      <w:r w:rsidRPr="00406761">
        <w:rPr>
          <w:rFonts w:cs="Arial"/>
          <w:i/>
          <w:sz w:val="22"/>
          <w:szCs w:val="22"/>
        </w:rPr>
        <w:t xml:space="preserve">Recordando </w:t>
      </w:r>
      <w:r w:rsidRPr="00754FE2">
        <w:rPr>
          <w:rFonts w:cs="Arial"/>
          <w:sz w:val="22"/>
          <w:szCs w:val="22"/>
        </w:rPr>
        <w:t>la</w:t>
      </w:r>
      <w:r w:rsidRPr="00406761">
        <w:rPr>
          <w:rFonts w:cs="Arial"/>
          <w:i/>
          <w:sz w:val="22"/>
          <w:szCs w:val="22"/>
        </w:rPr>
        <w:t xml:space="preserve"> </w:t>
      </w:r>
      <w:r w:rsidRPr="00406761">
        <w:rPr>
          <w:rFonts w:cs="Arial"/>
          <w:sz w:val="22"/>
          <w:szCs w:val="22"/>
        </w:rPr>
        <w:t>Resolución 11.14 sobre el Programa de traba</w:t>
      </w:r>
      <w:r>
        <w:rPr>
          <w:rFonts w:cs="Arial"/>
          <w:sz w:val="22"/>
          <w:szCs w:val="22"/>
        </w:rPr>
        <w:t>jo para las aves migratorias y</w:t>
      </w:r>
      <w:r w:rsidRPr="00406761">
        <w:rPr>
          <w:rFonts w:cs="Arial"/>
          <w:sz w:val="22"/>
          <w:szCs w:val="22"/>
        </w:rPr>
        <w:t xml:space="preserve"> sus corredores aéreos, en la que </w:t>
      </w:r>
      <w:r>
        <w:rPr>
          <w:rFonts w:cs="Arial"/>
          <w:sz w:val="22"/>
          <w:szCs w:val="22"/>
        </w:rPr>
        <w:t xml:space="preserve">se </w:t>
      </w:r>
      <w:r w:rsidRPr="00406761">
        <w:rPr>
          <w:rFonts w:cs="Arial"/>
          <w:sz w:val="22"/>
          <w:szCs w:val="22"/>
        </w:rPr>
        <w:t>recomienda la elaboración, adopción y aplicación de planes de acción para las especies prioritarias, en consonancia con las prioridades de la CMS para la acción concertada y cooperativa, entre ellas el escribano aureolado, el porrón de Baer y el zarapito siberiano,</w:t>
      </w:r>
    </w:p>
    <w:p w:rsidR="005F0822" w:rsidRPr="00406761" w:rsidRDefault="005F0822" w:rsidP="007C6FCF">
      <w:pPr>
        <w:widowControl/>
        <w:autoSpaceDE/>
        <w:autoSpaceDN/>
        <w:adjustRightInd/>
        <w:jc w:val="both"/>
        <w:rPr>
          <w:rFonts w:cs="Arial"/>
          <w:i/>
          <w:sz w:val="22"/>
          <w:szCs w:val="22"/>
        </w:rPr>
      </w:pPr>
    </w:p>
    <w:p w:rsidR="005F0822" w:rsidRPr="00406761" w:rsidRDefault="005F0822" w:rsidP="007C6FCF">
      <w:pPr>
        <w:widowControl/>
        <w:autoSpaceDE/>
        <w:autoSpaceDN/>
        <w:adjustRightInd/>
        <w:jc w:val="both"/>
        <w:rPr>
          <w:rFonts w:cs="Arial"/>
          <w:sz w:val="22"/>
          <w:szCs w:val="22"/>
        </w:rPr>
      </w:pPr>
      <w:r w:rsidRPr="00406761">
        <w:rPr>
          <w:rFonts w:cs="Arial"/>
          <w:i/>
          <w:sz w:val="22"/>
          <w:szCs w:val="22"/>
        </w:rPr>
        <w:t xml:space="preserve">Recordando además </w:t>
      </w:r>
      <w:r w:rsidRPr="00754FE2">
        <w:rPr>
          <w:rFonts w:cs="Arial"/>
          <w:sz w:val="22"/>
          <w:szCs w:val="22"/>
        </w:rPr>
        <w:t>la</w:t>
      </w:r>
      <w:r w:rsidRPr="00406761">
        <w:rPr>
          <w:rFonts w:cs="Arial"/>
          <w:i/>
          <w:sz w:val="22"/>
          <w:szCs w:val="22"/>
        </w:rPr>
        <w:t xml:space="preserve"> </w:t>
      </w:r>
      <w:r w:rsidRPr="00406761">
        <w:rPr>
          <w:rFonts w:cs="Arial"/>
          <w:sz w:val="22"/>
          <w:szCs w:val="22"/>
        </w:rPr>
        <w:t xml:space="preserve">resolución 11.17 sobre el Plan de acción para las aves terrestres migratorias en la región de África y Eurasia, por </w:t>
      </w:r>
      <w:r>
        <w:rPr>
          <w:rFonts w:cs="Arial"/>
          <w:sz w:val="22"/>
          <w:szCs w:val="22"/>
        </w:rPr>
        <w:t>el</w:t>
      </w:r>
      <w:r w:rsidRPr="00406761">
        <w:rPr>
          <w:rFonts w:cs="Arial"/>
          <w:sz w:val="22"/>
          <w:szCs w:val="22"/>
        </w:rPr>
        <w:t xml:space="preserve"> que se pide al Grupo de trabajo sobre las aves terrestres y al Consejo Científico</w:t>
      </w:r>
      <w:r w:rsidRPr="00406994">
        <w:rPr>
          <w:rFonts w:cs="Arial"/>
          <w:sz w:val="22"/>
          <w:szCs w:val="22"/>
        </w:rPr>
        <w:t xml:space="preserve"> </w:t>
      </w:r>
      <w:r w:rsidRPr="00406761">
        <w:rPr>
          <w:rFonts w:cs="Arial"/>
          <w:sz w:val="22"/>
          <w:szCs w:val="22"/>
        </w:rPr>
        <w:t>que, con el apoyo de la Secretaría de la CMS, elaboren como cuestión emergente planes de acción para el escribano aureolado, la tórtola europea y la carraca europea,</w:t>
      </w:r>
    </w:p>
    <w:p w:rsidR="005F0822" w:rsidRPr="00406761" w:rsidRDefault="005F0822" w:rsidP="007C6FCF">
      <w:pPr>
        <w:widowControl/>
        <w:autoSpaceDE/>
        <w:autoSpaceDN/>
        <w:adjustRightInd/>
        <w:jc w:val="both"/>
        <w:rPr>
          <w:rFonts w:cs="Arial"/>
          <w:i/>
          <w:sz w:val="22"/>
          <w:szCs w:val="22"/>
        </w:rPr>
      </w:pPr>
    </w:p>
    <w:p w:rsidR="005F0822" w:rsidRPr="00754FE2" w:rsidRDefault="005F0822" w:rsidP="007C6FCF">
      <w:pPr>
        <w:widowControl/>
        <w:autoSpaceDE/>
        <w:autoSpaceDN/>
        <w:adjustRightInd/>
        <w:jc w:val="both"/>
        <w:rPr>
          <w:rFonts w:cs="Arial"/>
          <w:sz w:val="22"/>
          <w:szCs w:val="22"/>
        </w:rPr>
      </w:pPr>
      <w:r w:rsidRPr="00406761">
        <w:rPr>
          <w:rFonts w:cs="Arial"/>
          <w:i/>
          <w:sz w:val="22"/>
          <w:szCs w:val="22"/>
        </w:rPr>
        <w:t>Tomando nota</w:t>
      </w:r>
      <w:r w:rsidRPr="00754FE2">
        <w:rPr>
          <w:rFonts w:cs="Arial"/>
          <w:sz w:val="22"/>
          <w:szCs w:val="22"/>
        </w:rPr>
        <w:t xml:space="preserve"> de que</w:t>
      </w:r>
      <w:r>
        <w:rPr>
          <w:rFonts w:cs="Arial"/>
          <w:sz w:val="22"/>
          <w:szCs w:val="22"/>
        </w:rPr>
        <w:t>,</w:t>
      </w:r>
      <w:r w:rsidRPr="00754FE2">
        <w:rPr>
          <w:rFonts w:cs="Arial"/>
          <w:sz w:val="22"/>
          <w:szCs w:val="22"/>
        </w:rPr>
        <w:t xml:space="preserve"> </w:t>
      </w:r>
      <w:r w:rsidRPr="00406761">
        <w:rPr>
          <w:rFonts w:cs="Arial"/>
          <w:sz w:val="22"/>
          <w:szCs w:val="22"/>
        </w:rPr>
        <w:t>mediante la Resolución 11.13 sobre acciones concertadas y cooperativas</w:t>
      </w:r>
      <w:r>
        <w:rPr>
          <w:rFonts w:cs="Arial"/>
          <w:sz w:val="22"/>
          <w:szCs w:val="22"/>
        </w:rPr>
        <w:t>,</w:t>
      </w:r>
      <w:r w:rsidRPr="00406761">
        <w:rPr>
          <w:rFonts w:cs="Arial"/>
          <w:sz w:val="22"/>
          <w:szCs w:val="22"/>
        </w:rPr>
        <w:t xml:space="preserve"> </w:t>
      </w:r>
      <w:r w:rsidRPr="00754FE2">
        <w:rPr>
          <w:rFonts w:cs="Arial"/>
          <w:sz w:val="22"/>
          <w:szCs w:val="22"/>
        </w:rPr>
        <w:t>el zarapito siberiano estaba designado para acciones concertadas durante 2015-2017,</w:t>
      </w:r>
    </w:p>
    <w:p w:rsidR="005F0822" w:rsidRPr="00406761" w:rsidRDefault="005F0822" w:rsidP="007C6FCF">
      <w:pPr>
        <w:widowControl/>
        <w:autoSpaceDE/>
        <w:autoSpaceDN/>
        <w:adjustRightInd/>
        <w:jc w:val="both"/>
        <w:rPr>
          <w:rFonts w:cs="Arial"/>
          <w:i/>
          <w:sz w:val="22"/>
          <w:szCs w:val="22"/>
        </w:rPr>
      </w:pPr>
    </w:p>
    <w:p w:rsidR="005F0822" w:rsidRPr="00406761" w:rsidRDefault="005F0822" w:rsidP="007C6FCF">
      <w:pPr>
        <w:widowControl/>
        <w:autoSpaceDE/>
        <w:autoSpaceDN/>
        <w:adjustRightInd/>
        <w:jc w:val="both"/>
        <w:rPr>
          <w:rFonts w:cs="Arial"/>
          <w:sz w:val="22"/>
          <w:szCs w:val="22"/>
        </w:rPr>
      </w:pPr>
      <w:r w:rsidRPr="00406761">
        <w:rPr>
          <w:rFonts w:cs="Arial"/>
          <w:i/>
          <w:sz w:val="22"/>
          <w:szCs w:val="22"/>
        </w:rPr>
        <w:t xml:space="preserve">Tomando nota también </w:t>
      </w:r>
      <w:r w:rsidRPr="00754FE2">
        <w:rPr>
          <w:rFonts w:cs="Arial"/>
          <w:sz w:val="22"/>
          <w:szCs w:val="22"/>
        </w:rPr>
        <w:t>de</w:t>
      </w:r>
      <w:r w:rsidRPr="00406761">
        <w:rPr>
          <w:rFonts w:cs="Arial"/>
          <w:sz w:val="22"/>
          <w:szCs w:val="22"/>
        </w:rPr>
        <w:t xml:space="preserve"> que el Plan de acción para el porrón de Baer </w:t>
      </w:r>
      <w:r>
        <w:rPr>
          <w:rFonts w:cs="Arial"/>
          <w:sz w:val="22"/>
          <w:szCs w:val="22"/>
        </w:rPr>
        <w:t>había sido</w:t>
      </w:r>
      <w:r w:rsidRPr="00406761">
        <w:rPr>
          <w:rFonts w:cs="Arial"/>
          <w:sz w:val="22"/>
          <w:szCs w:val="22"/>
        </w:rPr>
        <w:t xml:space="preserve"> aprobado por la octava reunión de los socios de la Asociación del corredor aéreo Asia oriental-Australasia) (EAAFP) celebrada en Japón en 2015; y que el Plan de acción para el zarapito siberiano </w:t>
      </w:r>
      <w:r>
        <w:rPr>
          <w:rFonts w:cs="Arial"/>
          <w:sz w:val="22"/>
          <w:szCs w:val="22"/>
        </w:rPr>
        <w:t>había sido</w:t>
      </w:r>
      <w:r w:rsidRPr="00406761">
        <w:rPr>
          <w:rFonts w:cs="Arial"/>
          <w:sz w:val="22"/>
          <w:szCs w:val="22"/>
        </w:rPr>
        <w:t xml:space="preserve"> aprobado por la 9ª reunión de socios de la EEAFP en Singapur en 2017,</w:t>
      </w:r>
    </w:p>
    <w:p w:rsidR="005F0822" w:rsidRPr="00406761" w:rsidRDefault="005F0822" w:rsidP="007C6FCF">
      <w:pPr>
        <w:widowControl/>
        <w:autoSpaceDE/>
        <w:autoSpaceDN/>
        <w:adjustRightInd/>
        <w:jc w:val="both"/>
        <w:rPr>
          <w:rFonts w:cs="Arial"/>
          <w:i/>
          <w:sz w:val="22"/>
          <w:szCs w:val="22"/>
        </w:rPr>
      </w:pPr>
    </w:p>
    <w:p w:rsidR="005F0822" w:rsidRPr="00406761" w:rsidRDefault="005F0822" w:rsidP="007C6FCF">
      <w:pPr>
        <w:widowControl/>
        <w:autoSpaceDE/>
        <w:autoSpaceDN/>
        <w:adjustRightInd/>
        <w:jc w:val="both"/>
        <w:rPr>
          <w:rFonts w:cs="Arial"/>
          <w:sz w:val="22"/>
          <w:szCs w:val="22"/>
        </w:rPr>
      </w:pPr>
      <w:r w:rsidRPr="00406761">
        <w:rPr>
          <w:rFonts w:cs="Arial"/>
          <w:i/>
          <w:sz w:val="22"/>
          <w:szCs w:val="22"/>
        </w:rPr>
        <w:t xml:space="preserve">Agradeciendo </w:t>
      </w:r>
      <w:r w:rsidRPr="00406761">
        <w:rPr>
          <w:rFonts w:cs="Arial"/>
          <w:sz w:val="22"/>
          <w:szCs w:val="22"/>
        </w:rPr>
        <w:t xml:space="preserve">a Wildfowl and Wetlands Trust (WWT) por su liderazgo en la elaboración del Plan de acción del porrón de Baer; </w:t>
      </w:r>
      <w:r>
        <w:rPr>
          <w:rFonts w:cs="Arial"/>
          <w:sz w:val="22"/>
          <w:szCs w:val="22"/>
        </w:rPr>
        <w:t xml:space="preserve">a </w:t>
      </w:r>
      <w:r w:rsidRPr="00406761">
        <w:rPr>
          <w:rFonts w:cs="Arial"/>
          <w:sz w:val="22"/>
          <w:szCs w:val="22"/>
        </w:rPr>
        <w:t xml:space="preserve">Australia </w:t>
      </w:r>
      <w:r>
        <w:rPr>
          <w:rFonts w:cs="Arial"/>
          <w:sz w:val="22"/>
          <w:szCs w:val="22"/>
        </w:rPr>
        <w:t>por</w:t>
      </w:r>
      <w:r w:rsidRPr="00406761">
        <w:rPr>
          <w:rFonts w:cs="Arial"/>
          <w:sz w:val="22"/>
          <w:szCs w:val="22"/>
        </w:rPr>
        <w:t xml:space="preserve"> el Plan de acción para el zarapito siberiano; y </w:t>
      </w:r>
      <w:r>
        <w:rPr>
          <w:rFonts w:cs="Arial"/>
          <w:sz w:val="22"/>
          <w:szCs w:val="22"/>
        </w:rPr>
        <w:t xml:space="preserve">a </w:t>
      </w:r>
      <w:r w:rsidRPr="00406761">
        <w:rPr>
          <w:rFonts w:cs="Arial"/>
          <w:sz w:val="22"/>
          <w:szCs w:val="22"/>
        </w:rPr>
        <w:t xml:space="preserve">BirdLife International </w:t>
      </w:r>
      <w:r>
        <w:rPr>
          <w:rFonts w:cs="Arial"/>
          <w:sz w:val="22"/>
          <w:szCs w:val="22"/>
        </w:rPr>
        <w:t>por</w:t>
      </w:r>
      <w:r w:rsidRPr="00406761">
        <w:rPr>
          <w:rFonts w:cs="Arial"/>
          <w:sz w:val="22"/>
          <w:szCs w:val="22"/>
        </w:rPr>
        <w:t xml:space="preserve"> los planes de acción para el escribano aureolado, la tórtola europea y la carraca europea,</w:t>
      </w:r>
    </w:p>
    <w:p w:rsidR="005F0822" w:rsidRPr="00406761" w:rsidRDefault="005F0822" w:rsidP="007C6FCF">
      <w:pPr>
        <w:widowControl/>
        <w:autoSpaceDE/>
        <w:autoSpaceDN/>
        <w:adjustRightInd/>
        <w:jc w:val="both"/>
        <w:rPr>
          <w:rFonts w:cs="Arial"/>
          <w:i/>
          <w:sz w:val="22"/>
          <w:szCs w:val="22"/>
        </w:rPr>
      </w:pPr>
    </w:p>
    <w:p w:rsidR="005F0822" w:rsidRPr="00406761" w:rsidRDefault="005F0822" w:rsidP="007C6FCF">
      <w:pPr>
        <w:widowControl/>
        <w:autoSpaceDE/>
        <w:autoSpaceDN/>
        <w:adjustRightInd/>
        <w:jc w:val="both"/>
        <w:rPr>
          <w:rFonts w:cs="Arial"/>
          <w:sz w:val="22"/>
          <w:szCs w:val="22"/>
        </w:rPr>
      </w:pPr>
      <w:r w:rsidRPr="00406761">
        <w:rPr>
          <w:rFonts w:cs="Arial"/>
          <w:i/>
          <w:sz w:val="22"/>
          <w:szCs w:val="22"/>
        </w:rPr>
        <w:t xml:space="preserve">Reconociendo </w:t>
      </w:r>
      <w:r w:rsidRPr="00406761">
        <w:rPr>
          <w:rFonts w:cs="Arial"/>
          <w:sz w:val="22"/>
          <w:szCs w:val="22"/>
        </w:rPr>
        <w:t xml:space="preserve">las contribuciones financieras aportadas por Australia </w:t>
      </w:r>
      <w:r>
        <w:rPr>
          <w:rFonts w:cs="Arial"/>
          <w:sz w:val="22"/>
          <w:szCs w:val="22"/>
        </w:rPr>
        <w:t>a</w:t>
      </w:r>
      <w:r w:rsidRPr="00406761">
        <w:rPr>
          <w:rFonts w:cs="Arial"/>
          <w:sz w:val="22"/>
          <w:szCs w:val="22"/>
        </w:rPr>
        <w:t xml:space="preserve">l Plan de acción para el zarapito siberiano; por BirdLife International </w:t>
      </w:r>
      <w:r>
        <w:rPr>
          <w:rFonts w:cs="Arial"/>
          <w:sz w:val="22"/>
          <w:szCs w:val="22"/>
        </w:rPr>
        <w:t>a</w:t>
      </w:r>
      <w:r w:rsidRPr="00406761">
        <w:rPr>
          <w:rFonts w:cs="Arial"/>
          <w:sz w:val="22"/>
          <w:szCs w:val="22"/>
        </w:rPr>
        <w:t xml:space="preserve">l </w:t>
      </w:r>
      <w:r>
        <w:rPr>
          <w:rFonts w:cs="Arial"/>
          <w:sz w:val="22"/>
          <w:szCs w:val="22"/>
        </w:rPr>
        <w:t xml:space="preserve">Plan de acción para el </w:t>
      </w:r>
      <w:r w:rsidRPr="00406761">
        <w:rPr>
          <w:rFonts w:cs="Arial"/>
          <w:sz w:val="22"/>
          <w:szCs w:val="22"/>
        </w:rPr>
        <w:t>escribano aureolado; y por la Unión Europea a los planes de acción para la tórtola europea y la carraca europea,</w:t>
      </w:r>
    </w:p>
    <w:p w:rsidR="005F0822" w:rsidRPr="00406761" w:rsidRDefault="005F0822" w:rsidP="007C6FCF">
      <w:pPr>
        <w:widowControl/>
        <w:autoSpaceDE/>
        <w:autoSpaceDN/>
        <w:adjustRightInd/>
        <w:jc w:val="both"/>
        <w:rPr>
          <w:rFonts w:cs="Arial"/>
          <w:i/>
          <w:sz w:val="22"/>
          <w:szCs w:val="22"/>
        </w:rPr>
      </w:pPr>
    </w:p>
    <w:p w:rsidR="005F0822" w:rsidRPr="00406761" w:rsidRDefault="005F0822" w:rsidP="007C6FCF">
      <w:pPr>
        <w:widowControl/>
        <w:autoSpaceDE/>
        <w:autoSpaceDN/>
        <w:adjustRightInd/>
        <w:jc w:val="center"/>
        <w:rPr>
          <w:rFonts w:cs="Arial"/>
          <w:i/>
          <w:sz w:val="22"/>
          <w:szCs w:val="22"/>
        </w:rPr>
      </w:pPr>
      <w:r w:rsidRPr="00406761">
        <w:rPr>
          <w:rFonts w:cs="Arial"/>
          <w:i/>
          <w:sz w:val="22"/>
          <w:szCs w:val="22"/>
        </w:rPr>
        <w:t xml:space="preserve">La Conferencia de las Partes en la </w:t>
      </w:r>
    </w:p>
    <w:p w:rsidR="005F0822" w:rsidRPr="00406761" w:rsidRDefault="005F0822" w:rsidP="007C6FCF">
      <w:pPr>
        <w:widowControl/>
        <w:autoSpaceDE/>
        <w:autoSpaceDN/>
        <w:adjustRightInd/>
        <w:jc w:val="center"/>
        <w:rPr>
          <w:rFonts w:cs="Arial"/>
          <w:i/>
          <w:sz w:val="22"/>
          <w:szCs w:val="22"/>
        </w:rPr>
      </w:pPr>
      <w:r w:rsidRPr="00406761">
        <w:rPr>
          <w:rFonts w:cs="Arial"/>
          <w:i/>
          <w:sz w:val="22"/>
          <w:szCs w:val="22"/>
        </w:rPr>
        <w:t>Convención sobre la Conservación de las Especies Migratorias de Animales Silvestres</w:t>
      </w:r>
    </w:p>
    <w:p w:rsidR="005F0822" w:rsidRPr="00406761" w:rsidRDefault="005F0822" w:rsidP="007C6FCF">
      <w:pPr>
        <w:widowControl/>
        <w:autoSpaceDE/>
        <w:autoSpaceDN/>
        <w:adjustRightInd/>
        <w:jc w:val="both"/>
        <w:rPr>
          <w:rFonts w:cs="Arial"/>
          <w:i/>
          <w:sz w:val="22"/>
          <w:szCs w:val="22"/>
        </w:rPr>
      </w:pPr>
    </w:p>
    <w:p w:rsidR="005F0822" w:rsidRPr="00406761" w:rsidRDefault="005F0822" w:rsidP="007C6FCF">
      <w:pPr>
        <w:widowControl/>
        <w:numPr>
          <w:ilvl w:val="0"/>
          <w:numId w:val="10"/>
        </w:numPr>
        <w:autoSpaceDE/>
        <w:autoSpaceDN/>
        <w:adjustRightInd/>
        <w:ind w:left="360"/>
        <w:contextualSpacing/>
        <w:jc w:val="both"/>
        <w:rPr>
          <w:rFonts w:cs="Arial"/>
          <w:sz w:val="22"/>
          <w:szCs w:val="22"/>
        </w:rPr>
      </w:pPr>
      <w:r w:rsidRPr="00406761">
        <w:rPr>
          <w:rFonts w:cs="Arial"/>
          <w:i/>
          <w:sz w:val="22"/>
          <w:szCs w:val="22"/>
        </w:rPr>
        <w:t xml:space="preserve">Adopta </w:t>
      </w:r>
      <w:r w:rsidRPr="00406761">
        <w:rPr>
          <w:rFonts w:cs="Arial"/>
          <w:sz w:val="22"/>
          <w:szCs w:val="22"/>
        </w:rPr>
        <w:t>los siguientes planes de acción para las especies en la forma presentada a la COP12 en los documentos:</w:t>
      </w:r>
    </w:p>
    <w:p w:rsidR="005F0822" w:rsidRPr="00406761" w:rsidRDefault="005F0822" w:rsidP="007C6FCF">
      <w:pPr>
        <w:widowControl/>
        <w:autoSpaceDE/>
        <w:autoSpaceDN/>
        <w:adjustRightInd/>
        <w:contextualSpacing/>
        <w:jc w:val="both"/>
        <w:rPr>
          <w:rFonts w:cs="Arial"/>
          <w:sz w:val="22"/>
          <w:szCs w:val="22"/>
        </w:rPr>
      </w:pPr>
    </w:p>
    <w:p w:rsidR="005F0822" w:rsidRPr="00406761" w:rsidRDefault="005F0822" w:rsidP="007C6FCF">
      <w:pPr>
        <w:widowControl/>
        <w:autoSpaceDE/>
        <w:autoSpaceDN/>
        <w:adjustRightInd/>
        <w:ind w:firstLine="360"/>
        <w:jc w:val="both"/>
        <w:rPr>
          <w:rFonts w:cs="Arial"/>
          <w:sz w:val="22"/>
          <w:szCs w:val="22"/>
        </w:rPr>
      </w:pPr>
      <w:r w:rsidRPr="00406761">
        <w:rPr>
          <w:rFonts w:cs="Arial"/>
          <w:sz w:val="22"/>
          <w:szCs w:val="22"/>
        </w:rPr>
        <w:t>UNEP/CMS/COP12/Doc.24.1.6.- Plan de acción para la tórtola europea;</w:t>
      </w:r>
    </w:p>
    <w:p w:rsidR="005F0822" w:rsidRPr="00406761" w:rsidRDefault="005F0822" w:rsidP="007C6FCF">
      <w:pPr>
        <w:widowControl/>
        <w:autoSpaceDE/>
        <w:autoSpaceDN/>
        <w:adjustRightInd/>
        <w:ind w:firstLine="360"/>
        <w:jc w:val="both"/>
        <w:rPr>
          <w:rFonts w:cs="Arial"/>
          <w:sz w:val="22"/>
          <w:szCs w:val="22"/>
        </w:rPr>
      </w:pPr>
      <w:r w:rsidRPr="00406761">
        <w:rPr>
          <w:rFonts w:cs="Arial"/>
          <w:sz w:val="22"/>
          <w:szCs w:val="22"/>
        </w:rPr>
        <w:t>UNEP/CMS/COP12/Doc.24.1.7.- Plan de acción para el zarapito siberiano;</w:t>
      </w:r>
    </w:p>
    <w:p w:rsidR="005F0822" w:rsidRPr="00406761" w:rsidRDefault="005F0822" w:rsidP="007C6FCF">
      <w:pPr>
        <w:widowControl/>
        <w:autoSpaceDE/>
        <w:autoSpaceDN/>
        <w:adjustRightInd/>
        <w:ind w:firstLine="360"/>
        <w:jc w:val="both"/>
        <w:rPr>
          <w:rFonts w:cs="Arial"/>
          <w:sz w:val="22"/>
          <w:szCs w:val="22"/>
        </w:rPr>
      </w:pPr>
      <w:r w:rsidRPr="00406761">
        <w:rPr>
          <w:rFonts w:cs="Arial"/>
          <w:sz w:val="22"/>
          <w:szCs w:val="22"/>
        </w:rPr>
        <w:t>UNEP/CMS/COP12/Doc.24.1.8.- Plan de acción para el porrón de Baer;</w:t>
      </w:r>
    </w:p>
    <w:p w:rsidR="005F0822" w:rsidRPr="00406761" w:rsidRDefault="005F0822" w:rsidP="007C6FCF">
      <w:pPr>
        <w:widowControl/>
        <w:autoSpaceDE/>
        <w:autoSpaceDN/>
        <w:adjustRightInd/>
        <w:ind w:firstLine="360"/>
        <w:jc w:val="both"/>
        <w:rPr>
          <w:rFonts w:cs="Arial"/>
          <w:sz w:val="22"/>
          <w:szCs w:val="22"/>
        </w:rPr>
      </w:pPr>
      <w:r w:rsidRPr="00406761">
        <w:rPr>
          <w:rFonts w:cs="Arial"/>
          <w:sz w:val="22"/>
          <w:szCs w:val="22"/>
        </w:rPr>
        <w:t>UNEP/CMS/COP12/Doc.24.1.9.- Plan de acción para la carraca europea.</w:t>
      </w:r>
    </w:p>
    <w:p w:rsidR="005F0822" w:rsidRPr="00406761" w:rsidRDefault="005F0822" w:rsidP="007C6FCF">
      <w:pPr>
        <w:widowControl/>
        <w:autoSpaceDE/>
        <w:autoSpaceDN/>
        <w:adjustRightInd/>
        <w:ind w:firstLine="360"/>
        <w:jc w:val="both"/>
        <w:rPr>
          <w:rFonts w:cs="Arial"/>
          <w:sz w:val="22"/>
          <w:szCs w:val="22"/>
        </w:rPr>
      </w:pPr>
    </w:p>
    <w:p w:rsidR="005F0822" w:rsidRPr="00406761" w:rsidRDefault="005F0822" w:rsidP="006C6502">
      <w:pPr>
        <w:widowControl/>
        <w:numPr>
          <w:ilvl w:val="0"/>
          <w:numId w:val="10"/>
        </w:numPr>
        <w:autoSpaceDE/>
        <w:autoSpaceDN/>
        <w:adjustRightInd/>
        <w:ind w:left="360"/>
        <w:contextualSpacing/>
        <w:jc w:val="both"/>
        <w:rPr>
          <w:rFonts w:cs="Arial"/>
          <w:sz w:val="22"/>
          <w:szCs w:val="22"/>
        </w:rPr>
      </w:pPr>
      <w:r w:rsidRPr="00406761">
        <w:rPr>
          <w:rFonts w:cs="Arial"/>
          <w:i/>
          <w:sz w:val="22"/>
          <w:szCs w:val="22"/>
        </w:rPr>
        <w:t xml:space="preserve">Insta </w:t>
      </w:r>
      <w:r w:rsidRPr="00754FE2">
        <w:rPr>
          <w:rFonts w:cs="Arial"/>
          <w:sz w:val="22"/>
          <w:szCs w:val="22"/>
        </w:rPr>
        <w:t>a</w:t>
      </w:r>
      <w:r w:rsidRPr="00406761">
        <w:rPr>
          <w:rFonts w:cs="Arial"/>
          <w:i/>
          <w:sz w:val="22"/>
          <w:szCs w:val="22"/>
        </w:rPr>
        <w:t xml:space="preserve"> </w:t>
      </w:r>
      <w:r w:rsidRPr="00406761">
        <w:rPr>
          <w:rFonts w:cs="Arial"/>
          <w:sz w:val="22"/>
          <w:szCs w:val="22"/>
        </w:rPr>
        <w:t xml:space="preserve">las Partes e </w:t>
      </w:r>
      <w:r w:rsidRPr="00406761">
        <w:rPr>
          <w:rFonts w:cs="Arial"/>
          <w:i/>
          <w:sz w:val="22"/>
          <w:szCs w:val="22"/>
        </w:rPr>
        <w:t xml:space="preserve">invita </w:t>
      </w:r>
      <w:r w:rsidRPr="003840CC">
        <w:rPr>
          <w:rFonts w:cs="Arial"/>
          <w:sz w:val="22"/>
          <w:szCs w:val="22"/>
        </w:rPr>
        <w:t>a los</w:t>
      </w:r>
      <w:r w:rsidRPr="00406761">
        <w:rPr>
          <w:rFonts w:cs="Arial"/>
          <w:sz w:val="22"/>
          <w:szCs w:val="22"/>
        </w:rPr>
        <w:t xml:space="preserve"> Estados del área de distribución que no son partes a aplicar las disposiciones pertinentes de los planes de acción.</w:t>
      </w:r>
    </w:p>
    <w:p w:rsidR="005F0822" w:rsidRPr="00406761" w:rsidRDefault="005F0822" w:rsidP="006C6502">
      <w:pPr>
        <w:jc w:val="both"/>
        <w:rPr>
          <w:rFonts w:cs="Arial"/>
          <w:sz w:val="22"/>
          <w:szCs w:val="22"/>
        </w:rPr>
      </w:pPr>
    </w:p>
    <w:p w:rsidR="005F0822" w:rsidRPr="00754FE2" w:rsidRDefault="005F0822" w:rsidP="006C6502">
      <w:pPr>
        <w:pStyle w:val="ListParagraph"/>
        <w:widowControl/>
        <w:numPr>
          <w:ilvl w:val="0"/>
          <w:numId w:val="10"/>
        </w:numPr>
        <w:autoSpaceDE/>
        <w:autoSpaceDN/>
        <w:adjustRightInd/>
        <w:ind w:left="360"/>
        <w:jc w:val="both"/>
        <w:rPr>
          <w:rFonts w:cs="Arial"/>
          <w:sz w:val="22"/>
          <w:szCs w:val="22"/>
        </w:rPr>
      </w:pPr>
      <w:r w:rsidRPr="00754FE2">
        <w:rPr>
          <w:rFonts w:cs="Arial"/>
          <w:i/>
          <w:sz w:val="22"/>
          <w:szCs w:val="22"/>
        </w:rPr>
        <w:t>Alienta</w:t>
      </w:r>
      <w:r w:rsidRPr="00754FE2">
        <w:rPr>
          <w:rFonts w:cs="Arial"/>
          <w:sz w:val="22"/>
          <w:szCs w:val="22"/>
        </w:rPr>
        <w:t xml:space="preserve"> a otras Partes a proporcionar asistencia técnica y/o apoyo financiero para las actividades descritas en los planes de acción;</w:t>
      </w:r>
    </w:p>
    <w:p w:rsidR="005F0822" w:rsidRPr="00406761" w:rsidRDefault="005F0822" w:rsidP="006C6502">
      <w:pPr>
        <w:widowControl/>
        <w:autoSpaceDE/>
        <w:autoSpaceDN/>
        <w:adjustRightInd/>
        <w:ind w:left="360"/>
        <w:contextualSpacing/>
        <w:jc w:val="both"/>
        <w:rPr>
          <w:rFonts w:cs="Arial"/>
          <w:sz w:val="22"/>
          <w:szCs w:val="22"/>
        </w:rPr>
      </w:pPr>
    </w:p>
    <w:p w:rsidR="005F0822" w:rsidRPr="00406761" w:rsidRDefault="005F0822" w:rsidP="006C6502">
      <w:pPr>
        <w:widowControl/>
        <w:numPr>
          <w:ilvl w:val="0"/>
          <w:numId w:val="13"/>
        </w:numPr>
        <w:autoSpaceDE/>
        <w:autoSpaceDN/>
        <w:adjustRightInd/>
        <w:ind w:left="360"/>
        <w:contextualSpacing/>
        <w:jc w:val="both"/>
        <w:rPr>
          <w:rFonts w:cs="Arial"/>
          <w:sz w:val="22"/>
          <w:szCs w:val="22"/>
        </w:rPr>
      </w:pPr>
      <w:r w:rsidRPr="00406761">
        <w:rPr>
          <w:rFonts w:cs="Arial"/>
          <w:i/>
          <w:sz w:val="22"/>
          <w:szCs w:val="22"/>
        </w:rPr>
        <w:t>Pide</w:t>
      </w:r>
      <w:r w:rsidRPr="00406761">
        <w:rPr>
          <w:rFonts w:cs="Arial"/>
          <w:sz w:val="22"/>
          <w:szCs w:val="22"/>
        </w:rPr>
        <w:t xml:space="preserve"> a las Partes que informen sobre los progresos realizados en la aplicación de los planes de acción en cada COP a través de sus informes nacionales.</w:t>
      </w:r>
    </w:p>
    <w:p w:rsidR="005F0822" w:rsidRPr="00406761" w:rsidRDefault="005F0822" w:rsidP="006C6502">
      <w:pPr>
        <w:pStyle w:val="ListParagraph"/>
        <w:widowControl/>
        <w:numPr>
          <w:ilvl w:val="0"/>
          <w:numId w:val="13"/>
        </w:numPr>
        <w:autoSpaceDE/>
        <w:autoSpaceDN/>
        <w:adjustRightInd/>
        <w:ind w:left="360"/>
        <w:jc w:val="both"/>
        <w:rPr>
          <w:rFonts w:cs="Arial"/>
          <w:sz w:val="22"/>
          <w:szCs w:val="22"/>
        </w:rPr>
        <w:sectPr w:rsidR="005F0822" w:rsidRPr="00406761" w:rsidSect="00620809">
          <w:headerReference w:type="first" r:id="rId16"/>
          <w:endnotePr>
            <w:numFmt w:val="decimal"/>
          </w:endnotePr>
          <w:pgSz w:w="11905" w:h="16837" w:code="9"/>
          <w:pgMar w:top="1008" w:right="1411" w:bottom="1152" w:left="1411" w:header="432" w:footer="432" w:gutter="0"/>
          <w:cols w:space="720"/>
          <w:noEndnote/>
          <w:titlePg/>
          <w:docGrid w:linePitch="272"/>
        </w:sectPr>
      </w:pPr>
    </w:p>
    <w:p w:rsidR="005F0822" w:rsidRPr="00406761" w:rsidRDefault="005F0822" w:rsidP="007C6FCF">
      <w:pPr>
        <w:widowControl/>
        <w:autoSpaceDE/>
        <w:autoSpaceDN/>
        <w:adjustRightInd/>
        <w:jc w:val="right"/>
        <w:rPr>
          <w:rFonts w:cs="Arial"/>
          <w:b/>
          <w:sz w:val="22"/>
          <w:szCs w:val="22"/>
        </w:rPr>
      </w:pPr>
    </w:p>
    <w:p w:rsidR="005F0822" w:rsidRPr="00406761" w:rsidRDefault="005F0822" w:rsidP="007C6FCF">
      <w:pPr>
        <w:widowControl/>
        <w:autoSpaceDE/>
        <w:autoSpaceDN/>
        <w:adjustRightInd/>
        <w:jc w:val="right"/>
        <w:rPr>
          <w:rFonts w:cs="Arial"/>
          <w:b/>
          <w:sz w:val="22"/>
          <w:szCs w:val="22"/>
        </w:rPr>
      </w:pPr>
      <w:r w:rsidRPr="00406761">
        <w:rPr>
          <w:rFonts w:cs="Arial"/>
          <w:b/>
          <w:sz w:val="22"/>
          <w:szCs w:val="22"/>
        </w:rPr>
        <w:t>ANEXO 2</w:t>
      </w:r>
    </w:p>
    <w:p w:rsidR="005F0822" w:rsidRPr="00406761" w:rsidRDefault="005F0822" w:rsidP="007C6FCF">
      <w:pPr>
        <w:widowControl/>
        <w:autoSpaceDE/>
        <w:autoSpaceDN/>
        <w:adjustRightInd/>
        <w:jc w:val="both"/>
        <w:rPr>
          <w:rFonts w:cs="Arial"/>
          <w:b/>
          <w:sz w:val="22"/>
          <w:szCs w:val="22"/>
        </w:rPr>
      </w:pPr>
    </w:p>
    <w:p w:rsidR="005F0822" w:rsidRPr="00406761" w:rsidRDefault="005F0822" w:rsidP="006E5A28">
      <w:pPr>
        <w:jc w:val="center"/>
        <w:rPr>
          <w:rFonts w:cs="Arial"/>
          <w:sz w:val="22"/>
          <w:szCs w:val="22"/>
        </w:rPr>
      </w:pPr>
      <w:r w:rsidRPr="00406761">
        <w:rPr>
          <w:rFonts w:cs="Arial"/>
          <w:sz w:val="22"/>
          <w:szCs w:val="22"/>
        </w:rPr>
        <w:t>PROYECTO DE DECISIONES</w:t>
      </w:r>
    </w:p>
    <w:p w:rsidR="005F0822" w:rsidRPr="00406761" w:rsidRDefault="005F0822" w:rsidP="006E5A28">
      <w:pPr>
        <w:jc w:val="center"/>
        <w:rPr>
          <w:rFonts w:cs="Arial"/>
          <w:sz w:val="22"/>
          <w:szCs w:val="22"/>
        </w:rPr>
      </w:pPr>
    </w:p>
    <w:p w:rsidR="005F0822" w:rsidRPr="00406761" w:rsidRDefault="005F0822" w:rsidP="006E5A28">
      <w:pPr>
        <w:jc w:val="center"/>
        <w:rPr>
          <w:rFonts w:cs="Arial"/>
          <w:sz w:val="22"/>
          <w:szCs w:val="22"/>
        </w:rPr>
      </w:pPr>
      <w:r w:rsidRPr="00406761">
        <w:rPr>
          <w:rFonts w:cs="Arial"/>
          <w:b/>
          <w:caps/>
          <w:sz w:val="22"/>
          <w:szCs w:val="22"/>
        </w:rPr>
        <w:t>PLANES DE ACCIÓN PARA LAS AVES</w:t>
      </w:r>
    </w:p>
    <w:p w:rsidR="005F0822" w:rsidRPr="00406761" w:rsidRDefault="005F0822" w:rsidP="007C6FCF">
      <w:pPr>
        <w:widowControl/>
        <w:autoSpaceDE/>
        <w:autoSpaceDN/>
        <w:adjustRightInd/>
        <w:jc w:val="both"/>
        <w:rPr>
          <w:rFonts w:cs="Arial"/>
          <w:b/>
          <w:sz w:val="22"/>
          <w:szCs w:val="22"/>
        </w:rPr>
      </w:pPr>
    </w:p>
    <w:p w:rsidR="005F0822" w:rsidRPr="00406761" w:rsidRDefault="005F0822" w:rsidP="007C6FCF">
      <w:pPr>
        <w:widowControl/>
        <w:autoSpaceDE/>
        <w:autoSpaceDN/>
        <w:adjustRightInd/>
        <w:jc w:val="both"/>
        <w:rPr>
          <w:rFonts w:cs="Arial"/>
          <w:b/>
          <w:i/>
          <w:sz w:val="22"/>
          <w:szCs w:val="22"/>
        </w:rPr>
      </w:pPr>
      <w:r w:rsidRPr="00406761">
        <w:rPr>
          <w:rFonts w:cs="Arial"/>
          <w:b/>
          <w:i/>
          <w:sz w:val="22"/>
          <w:szCs w:val="22"/>
        </w:rPr>
        <w:t>Dirigido a la Secretaría</w:t>
      </w:r>
    </w:p>
    <w:p w:rsidR="005F0822" w:rsidRPr="00406761" w:rsidRDefault="005F0822" w:rsidP="007C6FCF">
      <w:pPr>
        <w:widowControl/>
        <w:autoSpaceDE/>
        <w:autoSpaceDN/>
        <w:adjustRightInd/>
        <w:jc w:val="both"/>
        <w:rPr>
          <w:rFonts w:cs="Arial"/>
          <w:i/>
          <w:sz w:val="22"/>
          <w:szCs w:val="22"/>
        </w:rPr>
      </w:pPr>
    </w:p>
    <w:p w:rsidR="005F0822" w:rsidRPr="00406761" w:rsidRDefault="005F0822" w:rsidP="007C6FCF">
      <w:pPr>
        <w:widowControl/>
        <w:autoSpaceDE/>
        <w:autoSpaceDN/>
        <w:adjustRightInd/>
        <w:jc w:val="both"/>
        <w:rPr>
          <w:rFonts w:cs="Arial"/>
          <w:sz w:val="22"/>
          <w:szCs w:val="22"/>
        </w:rPr>
      </w:pPr>
      <w:r w:rsidRPr="00406761">
        <w:rPr>
          <w:rFonts w:cs="Arial"/>
          <w:sz w:val="22"/>
          <w:szCs w:val="22"/>
        </w:rPr>
        <w:t>12.AA. La Secretaría deberá:</w:t>
      </w:r>
    </w:p>
    <w:p w:rsidR="005F0822" w:rsidRPr="00406761" w:rsidRDefault="005F0822" w:rsidP="007C6FCF">
      <w:pPr>
        <w:widowControl/>
        <w:autoSpaceDE/>
        <w:autoSpaceDN/>
        <w:adjustRightInd/>
        <w:jc w:val="both"/>
        <w:rPr>
          <w:rFonts w:cs="Arial"/>
          <w:sz w:val="22"/>
          <w:szCs w:val="22"/>
        </w:rPr>
      </w:pPr>
    </w:p>
    <w:p w:rsidR="005F0822" w:rsidRPr="00406761" w:rsidRDefault="005F0822" w:rsidP="00967CAA">
      <w:pPr>
        <w:pStyle w:val="ListParagraph"/>
        <w:widowControl/>
        <w:numPr>
          <w:ilvl w:val="0"/>
          <w:numId w:val="14"/>
        </w:numPr>
        <w:autoSpaceDE/>
        <w:autoSpaceDN/>
        <w:adjustRightInd/>
        <w:jc w:val="both"/>
        <w:rPr>
          <w:rFonts w:cs="Arial"/>
          <w:sz w:val="22"/>
          <w:szCs w:val="22"/>
        </w:rPr>
      </w:pPr>
      <w:r w:rsidRPr="00406761">
        <w:rPr>
          <w:rFonts w:cs="Arial"/>
          <w:sz w:val="22"/>
          <w:szCs w:val="22"/>
        </w:rPr>
        <w:t xml:space="preserve">señalar los planes de acción a la atención de todos los Estados del área de distribución y a las organizaciones intergubernamentales competentes y supervisar su aplicación durante el período entre reuniones hasta la celebración de la COP13; </w:t>
      </w:r>
    </w:p>
    <w:p w:rsidR="005F0822" w:rsidRPr="00406761" w:rsidRDefault="005F0822" w:rsidP="007C6FCF">
      <w:pPr>
        <w:widowControl/>
        <w:autoSpaceDE/>
        <w:autoSpaceDN/>
        <w:adjustRightInd/>
        <w:jc w:val="both"/>
        <w:rPr>
          <w:rFonts w:cs="Arial"/>
          <w:sz w:val="22"/>
          <w:szCs w:val="22"/>
        </w:rPr>
      </w:pPr>
    </w:p>
    <w:p w:rsidR="005F0822" w:rsidRDefault="005F0822" w:rsidP="00967CAA">
      <w:pPr>
        <w:pStyle w:val="ListParagraph"/>
        <w:widowControl/>
        <w:numPr>
          <w:ilvl w:val="0"/>
          <w:numId w:val="14"/>
        </w:numPr>
        <w:autoSpaceDE/>
        <w:autoSpaceDN/>
        <w:adjustRightInd/>
        <w:jc w:val="both"/>
        <w:rPr>
          <w:rFonts w:cs="Arial"/>
          <w:sz w:val="22"/>
          <w:szCs w:val="22"/>
        </w:rPr>
      </w:pPr>
      <w:r w:rsidRPr="00406761">
        <w:rPr>
          <w:rFonts w:cs="Arial"/>
          <w:sz w:val="22"/>
          <w:szCs w:val="22"/>
        </w:rPr>
        <w:t>coordinar con la secretaría de la Asociación del corredor aéreo Asia oriental-Australasia (EAAFP) la aplicación de los planes de acción para el porrón de Baer y el zarapito siberiano durante el período entre reuniones hasta la celebración de la COP13.</w:t>
      </w:r>
    </w:p>
    <w:p w:rsidR="000C4C76" w:rsidRPr="000C4C76" w:rsidRDefault="000C4C76" w:rsidP="000C4C76">
      <w:pPr>
        <w:widowControl/>
        <w:autoSpaceDE/>
        <w:autoSpaceDN/>
        <w:adjustRightInd/>
        <w:jc w:val="both"/>
        <w:rPr>
          <w:rFonts w:cs="Arial"/>
          <w:sz w:val="22"/>
          <w:szCs w:val="22"/>
        </w:rPr>
      </w:pPr>
    </w:p>
    <w:p w:rsidR="000C4C76" w:rsidRDefault="000C4C76" w:rsidP="000C4C76">
      <w:pPr>
        <w:rPr>
          <w:rFonts w:cs="Arial"/>
          <w:b/>
          <w:bCs/>
          <w:sz w:val="22"/>
          <w:szCs w:val="22"/>
        </w:rPr>
      </w:pPr>
      <w:r>
        <w:rPr>
          <w:rFonts w:cs="Arial"/>
          <w:b/>
          <w:bCs/>
          <w:sz w:val="22"/>
          <w:szCs w:val="22"/>
        </w:rPr>
        <w:t>Dirigido al Comité Permanente</w:t>
      </w:r>
    </w:p>
    <w:p w:rsidR="000C4C76" w:rsidRDefault="000C4C76" w:rsidP="000C4C76">
      <w:pPr>
        <w:rPr>
          <w:rFonts w:cs="Arial"/>
          <w:b/>
          <w:bCs/>
          <w:sz w:val="22"/>
          <w:szCs w:val="22"/>
        </w:rPr>
      </w:pPr>
    </w:p>
    <w:p w:rsidR="000C4C76" w:rsidRDefault="000C4C76" w:rsidP="000C4C76">
      <w:pPr>
        <w:rPr>
          <w:rFonts w:cs="Arial"/>
          <w:bCs/>
          <w:sz w:val="22"/>
          <w:szCs w:val="22"/>
        </w:rPr>
      </w:pPr>
      <w:r w:rsidRPr="000C4C76">
        <w:rPr>
          <w:rFonts w:cs="Arial"/>
          <w:bCs/>
          <w:sz w:val="22"/>
          <w:szCs w:val="22"/>
        </w:rPr>
        <w:t>12.BB</w:t>
      </w:r>
      <w:r>
        <w:rPr>
          <w:rFonts w:cs="Arial"/>
          <w:bCs/>
          <w:sz w:val="22"/>
          <w:szCs w:val="22"/>
        </w:rPr>
        <w:t>. El Comité Permanente deberá:</w:t>
      </w:r>
    </w:p>
    <w:p w:rsidR="000C4C76" w:rsidRDefault="000C4C76" w:rsidP="000C4C76">
      <w:pPr>
        <w:rPr>
          <w:rFonts w:cs="Arial"/>
          <w:bCs/>
          <w:sz w:val="22"/>
          <w:szCs w:val="22"/>
        </w:rPr>
      </w:pPr>
    </w:p>
    <w:p w:rsidR="000C4C76" w:rsidRPr="000C4C76" w:rsidRDefault="000C4C76" w:rsidP="000C4C76">
      <w:pPr>
        <w:pStyle w:val="ListParagraph"/>
        <w:numPr>
          <w:ilvl w:val="0"/>
          <w:numId w:val="15"/>
        </w:numPr>
        <w:rPr>
          <w:sz w:val="22"/>
          <w:szCs w:val="22"/>
        </w:rPr>
      </w:pPr>
      <w:r w:rsidRPr="000C4C76">
        <w:rPr>
          <w:sz w:val="22"/>
          <w:szCs w:val="22"/>
        </w:rPr>
        <w:t>a</w:t>
      </w:r>
      <w:r>
        <w:rPr>
          <w:sz w:val="22"/>
          <w:szCs w:val="22"/>
        </w:rPr>
        <w:t xml:space="preserve">doptar el plan de acción para el escribano aureolado en el periodo entre sesiones de las </w:t>
      </w:r>
      <w:bookmarkStart w:id="0" w:name="_GoBack"/>
      <w:bookmarkEnd w:id="0"/>
      <w:r>
        <w:rPr>
          <w:sz w:val="22"/>
          <w:szCs w:val="22"/>
        </w:rPr>
        <w:t>reuniones 12ª y 13ª de la Conferencia de las Partes.</w:t>
      </w:r>
    </w:p>
    <w:sectPr w:rsidR="000C4C76" w:rsidRPr="000C4C76" w:rsidSect="00620809">
      <w:headerReference w:type="first" r:id="rId17"/>
      <w:endnotePr>
        <w:numFmt w:val="decimal"/>
      </w:endnotePr>
      <w:pgSz w:w="11905" w:h="16837" w:code="9"/>
      <w:pgMar w:top="1008" w:right="1411" w:bottom="1152" w:left="1411" w:header="432" w:footer="432"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22" w:rsidRDefault="005F0822">
      <w:r>
        <w:separator/>
      </w:r>
    </w:p>
  </w:endnote>
  <w:endnote w:type="continuationSeparator" w:id="0">
    <w:p w:rsidR="005F0822" w:rsidRDefault="005F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22" w:rsidRPr="00922791" w:rsidRDefault="005F0822"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Pr>
        <w:rFonts w:cs="Arial"/>
        <w:noProof/>
        <w:szCs w:val="18"/>
      </w:rPr>
      <w:t>4</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22" w:rsidRPr="0032499C" w:rsidRDefault="005F0822" w:rsidP="00056DC1">
    <w:pPr>
      <w:pStyle w:val="Footer"/>
      <w:ind w:right="-367"/>
      <w:jc w:val="center"/>
      <w:rPr>
        <w:rFonts w:cs="Arial"/>
        <w:szCs w:val="18"/>
      </w:rPr>
    </w:pPr>
    <w:r w:rsidRPr="0032499C">
      <w:rPr>
        <w:rFonts w:cs="Arial"/>
        <w:szCs w:val="18"/>
      </w:rPr>
      <w:fldChar w:fldCharType="begin"/>
    </w:r>
    <w:r w:rsidRPr="0032499C">
      <w:rPr>
        <w:rFonts w:cs="Arial"/>
        <w:szCs w:val="18"/>
      </w:rPr>
      <w:instrText xml:space="preserve"> PAGE   \* MERGEFORMAT </w:instrText>
    </w:r>
    <w:r w:rsidRPr="0032499C">
      <w:rPr>
        <w:rFonts w:cs="Arial"/>
        <w:szCs w:val="18"/>
      </w:rPr>
      <w:fldChar w:fldCharType="separate"/>
    </w:r>
    <w:r w:rsidR="00E34B8B">
      <w:rPr>
        <w:rFonts w:cs="Arial"/>
        <w:noProof/>
        <w:szCs w:val="18"/>
      </w:rPr>
      <w:t>4</w:t>
    </w:r>
    <w:r w:rsidRPr="0032499C">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22" w:rsidRPr="00CD7355" w:rsidRDefault="005F0822"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22" w:rsidRPr="00AE0ACC" w:rsidRDefault="005F0822" w:rsidP="00AE0ACC">
    <w:pPr>
      <w:pStyle w:val="Footer"/>
      <w:tabs>
        <w:tab w:val="clear" w:pos="8640"/>
        <w:tab w:val="right" w:pos="9083"/>
      </w:tabs>
      <w:jc w:val="center"/>
      <w:rPr>
        <w:rFonts w:cs="Arial"/>
        <w:szCs w:val="18"/>
      </w:rPr>
    </w:pPr>
    <w:r>
      <w:tab/>
    </w:r>
    <w:r w:rsidRPr="0032499C">
      <w:rPr>
        <w:rFonts w:cs="Arial"/>
        <w:szCs w:val="18"/>
      </w:rPr>
      <w:fldChar w:fldCharType="begin"/>
    </w:r>
    <w:r w:rsidRPr="0032499C">
      <w:rPr>
        <w:rFonts w:cs="Arial"/>
        <w:szCs w:val="18"/>
      </w:rPr>
      <w:instrText xml:space="preserve"> PAGE   \* MERGEFORMAT </w:instrText>
    </w:r>
    <w:r w:rsidRPr="0032499C">
      <w:rPr>
        <w:rFonts w:cs="Arial"/>
        <w:szCs w:val="18"/>
      </w:rPr>
      <w:fldChar w:fldCharType="separate"/>
    </w:r>
    <w:r w:rsidR="00B4714A">
      <w:rPr>
        <w:rFonts w:cs="Arial"/>
        <w:noProof/>
        <w:szCs w:val="18"/>
      </w:rPr>
      <w:t>4</w:t>
    </w:r>
    <w:r w:rsidRPr="0032499C">
      <w:rPr>
        <w:rFonts w:cs="Arial"/>
        <w:szCs w:val="1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22" w:rsidRDefault="005F0822">
      <w:r>
        <w:separator/>
      </w:r>
    </w:p>
  </w:footnote>
  <w:footnote w:type="continuationSeparator" w:id="0">
    <w:p w:rsidR="005F0822" w:rsidRDefault="005F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22" w:rsidRPr="00754FE2" w:rsidRDefault="005F0822" w:rsidP="00922791">
    <w:pPr>
      <w:pStyle w:val="Heading1"/>
      <w:keepNext w:val="0"/>
      <w:pBdr>
        <w:bottom w:val="single" w:sz="4" w:space="1" w:color="auto"/>
      </w:pBdr>
      <w:tabs>
        <w:tab w:val="clear" w:pos="-720"/>
      </w:tabs>
      <w:ind w:left="261" w:right="-277" w:hanging="261"/>
      <w:rPr>
        <w:rFonts w:cs="Arial"/>
        <w:b w:val="0"/>
        <w:i/>
        <w:sz w:val="18"/>
        <w:szCs w:val="18"/>
        <w:lang w:val="fr-FR"/>
      </w:rPr>
    </w:pPr>
    <w:r w:rsidRPr="00754FE2">
      <w:rPr>
        <w:b w:val="0"/>
        <w:i/>
        <w:sz w:val="18"/>
        <w:lang w:val="fr-FR"/>
      </w:rPr>
      <w:t>UNEP/CMS/COP12/Doc.x.x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22" w:rsidRPr="00497E66" w:rsidRDefault="005F0822" w:rsidP="00922791">
    <w:pPr>
      <w:pStyle w:val="Heading1"/>
      <w:keepNext w:val="0"/>
      <w:pBdr>
        <w:bottom w:val="single" w:sz="4" w:space="1" w:color="auto"/>
      </w:pBdr>
      <w:tabs>
        <w:tab w:val="clear" w:pos="-720"/>
      </w:tabs>
      <w:ind w:left="261" w:right="-277" w:hanging="261"/>
      <w:jc w:val="right"/>
      <w:rPr>
        <w:rFonts w:cs="Arial"/>
        <w:b w:val="0"/>
        <w:i/>
        <w:sz w:val="18"/>
        <w:szCs w:val="18"/>
      </w:rPr>
    </w:pPr>
    <w:r>
      <w:rPr>
        <w:b w:val="0"/>
        <w:i/>
        <w:sz w:val="18"/>
      </w:rPr>
      <w:t>UNEP/CMS/COP12/Doc.24.1.11</w:t>
    </w:r>
  </w:p>
  <w:p w:rsidR="005F0822" w:rsidRPr="00497E66" w:rsidRDefault="005F0822"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22" w:rsidRDefault="00E72522" w:rsidP="00894D19">
    <w:pPr>
      <w:pStyle w:val="Header"/>
    </w:pPr>
    <w:r>
      <w:rPr>
        <w:noProof/>
        <w:lang w:val="en-US" w:eastAsia="en-US"/>
      </w:rPr>
      <w:drawing>
        <wp:anchor distT="0" distB="0" distL="114300" distR="114300" simplePos="0" relativeHeight="251659264" behindDoc="1" locked="0" layoutInCell="1" allowOverlap="1">
          <wp:simplePos x="0" y="0"/>
          <wp:positionH relativeFrom="column">
            <wp:posOffset>873760</wp:posOffset>
          </wp:positionH>
          <wp:positionV relativeFrom="paragraph">
            <wp:posOffset>1905</wp:posOffset>
          </wp:positionV>
          <wp:extent cx="431165" cy="441325"/>
          <wp:effectExtent l="0" t="0" r="6985" b="0"/>
          <wp:wrapTight wrapText="bothSides">
            <wp:wrapPolygon edited="0">
              <wp:start x="0" y="0"/>
              <wp:lineTo x="0" y="20512"/>
              <wp:lineTo x="20996" y="20512"/>
              <wp:lineTo x="2099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1" locked="0" layoutInCell="1" allowOverlap="1" wp14:anchorId="1050B7FE" wp14:editId="03AF493E">
          <wp:simplePos x="0" y="0"/>
          <wp:positionH relativeFrom="column">
            <wp:posOffset>0</wp:posOffset>
          </wp:positionH>
          <wp:positionV relativeFrom="paragraph">
            <wp:posOffset>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822" w:rsidRDefault="005F08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22" w:rsidRPr="009B4E56" w:rsidRDefault="005F0822" w:rsidP="008A074D">
    <w:pPr>
      <w:pStyle w:val="Header"/>
      <w:pBdr>
        <w:bottom w:val="single" w:sz="4" w:space="1" w:color="auto"/>
      </w:pBdr>
      <w:rPr>
        <w:rFonts w:cs="Arial"/>
        <w:i/>
        <w:szCs w:val="18"/>
        <w:lang w:val="en-US"/>
      </w:rPr>
    </w:pPr>
    <w:r w:rsidRPr="009B4E56">
      <w:rPr>
        <w:i/>
        <w:lang w:val="en-US"/>
      </w:rPr>
      <w:t>UNEP/CMS/COP12/Doc.24.1.11</w:t>
    </w:r>
    <w:r w:rsidR="009B4E56" w:rsidRPr="009B4E56">
      <w:rPr>
        <w:i/>
        <w:lang w:val="en-US"/>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22" w:rsidRPr="009B4E56" w:rsidRDefault="005F0822" w:rsidP="00AE0ACC">
    <w:pPr>
      <w:pStyle w:val="Header"/>
      <w:pBdr>
        <w:bottom w:val="single" w:sz="4" w:space="1" w:color="auto"/>
      </w:pBdr>
      <w:jc w:val="right"/>
      <w:rPr>
        <w:rFonts w:cs="Arial"/>
        <w:i/>
        <w:szCs w:val="18"/>
        <w:lang w:val="en-US"/>
      </w:rPr>
    </w:pPr>
    <w:r w:rsidRPr="009B4E56">
      <w:rPr>
        <w:i/>
        <w:lang w:val="en-US"/>
      </w:rPr>
      <w:t>UNEP/CMS/COP12/Doc.24.1.11/</w:t>
    </w:r>
    <w:r w:rsidR="009B4E56" w:rsidRPr="009B4E56">
      <w:rPr>
        <w:i/>
        <w:lang w:val="en-US"/>
      </w:rPr>
      <w:t>Rev.1/</w:t>
    </w:r>
    <w:r w:rsidRPr="009B4E56">
      <w:rPr>
        <w:i/>
        <w:lang w:val="en-US"/>
      </w:rPr>
      <w:t>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22" w:rsidRPr="009B4E56" w:rsidRDefault="005F0822" w:rsidP="00AE0ACC">
    <w:pPr>
      <w:pStyle w:val="Header"/>
      <w:pBdr>
        <w:bottom w:val="single" w:sz="4" w:space="1" w:color="auto"/>
      </w:pBdr>
      <w:rPr>
        <w:rFonts w:cs="Arial"/>
        <w:i/>
        <w:szCs w:val="18"/>
        <w:lang w:val="en-US"/>
      </w:rPr>
    </w:pPr>
    <w:r w:rsidRPr="009B4E56">
      <w:rPr>
        <w:i/>
        <w:lang w:val="en-US"/>
      </w:rPr>
      <w:t>UNEP/CMS/COP12/Doc.24.1.11/</w:t>
    </w:r>
    <w:r w:rsidR="009B4E56" w:rsidRPr="009B4E56">
      <w:rPr>
        <w:i/>
        <w:lang w:val="en-US"/>
      </w:rPr>
      <w:t>Rev.1/Anexo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205C16A7"/>
    <w:multiLevelType w:val="hybridMultilevel"/>
    <w:tmpl w:val="C6040D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15:restartNumberingAfterBreak="0">
    <w:nsid w:val="3C217987"/>
    <w:multiLevelType w:val="hybridMultilevel"/>
    <w:tmpl w:val="FFA61A40"/>
    <w:lvl w:ilvl="0" w:tplc="4D86A45A">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460D21CD"/>
    <w:multiLevelType w:val="hybridMultilevel"/>
    <w:tmpl w:val="C9F076A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58D476AB"/>
    <w:multiLevelType w:val="hybridMultilevel"/>
    <w:tmpl w:val="21063EC6"/>
    <w:lvl w:ilvl="0" w:tplc="9B1ACD4E">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7AB36ADE"/>
    <w:multiLevelType w:val="hybridMultilevel"/>
    <w:tmpl w:val="0ADC1920"/>
    <w:lvl w:ilvl="0" w:tplc="802EF5F8">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5"/>
  </w:num>
  <w:num w:numId="13">
    <w:abstractNumId w:val="12"/>
  </w:num>
  <w:num w:numId="14">
    <w:abstractNumId w:val="7"/>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0112"/>
    <w:rsid w:val="00007296"/>
    <w:rsid w:val="00013C44"/>
    <w:rsid w:val="00015E07"/>
    <w:rsid w:val="000254DF"/>
    <w:rsid w:val="00031A88"/>
    <w:rsid w:val="0003449E"/>
    <w:rsid w:val="00036C53"/>
    <w:rsid w:val="000518C2"/>
    <w:rsid w:val="00056DC1"/>
    <w:rsid w:val="00060156"/>
    <w:rsid w:val="00070BBC"/>
    <w:rsid w:val="00073C92"/>
    <w:rsid w:val="00080F03"/>
    <w:rsid w:val="000900E1"/>
    <w:rsid w:val="0009076A"/>
    <w:rsid w:val="000A7927"/>
    <w:rsid w:val="000B6220"/>
    <w:rsid w:val="000C21B1"/>
    <w:rsid w:val="000C3C87"/>
    <w:rsid w:val="000C4C76"/>
    <w:rsid w:val="000C7460"/>
    <w:rsid w:val="000E01C1"/>
    <w:rsid w:val="000F0B93"/>
    <w:rsid w:val="000F1156"/>
    <w:rsid w:val="000F52BA"/>
    <w:rsid w:val="00102318"/>
    <w:rsid w:val="001111A9"/>
    <w:rsid w:val="001151A3"/>
    <w:rsid w:val="001245DF"/>
    <w:rsid w:val="00130BFD"/>
    <w:rsid w:val="001419C7"/>
    <w:rsid w:val="00150AC4"/>
    <w:rsid w:val="00155D8A"/>
    <w:rsid w:val="00162D88"/>
    <w:rsid w:val="00166ABA"/>
    <w:rsid w:val="001743FD"/>
    <w:rsid w:val="001764E6"/>
    <w:rsid w:val="001808F1"/>
    <w:rsid w:val="001A33B6"/>
    <w:rsid w:val="001C069F"/>
    <w:rsid w:val="001C6038"/>
    <w:rsid w:val="001F60A1"/>
    <w:rsid w:val="00200759"/>
    <w:rsid w:val="00200A67"/>
    <w:rsid w:val="00201F88"/>
    <w:rsid w:val="00202332"/>
    <w:rsid w:val="00206E42"/>
    <w:rsid w:val="002210F4"/>
    <w:rsid w:val="00224DAD"/>
    <w:rsid w:val="00232999"/>
    <w:rsid w:val="0023376A"/>
    <w:rsid w:val="00235D8D"/>
    <w:rsid w:val="00254721"/>
    <w:rsid w:val="00257709"/>
    <w:rsid w:val="00263159"/>
    <w:rsid w:val="002779F7"/>
    <w:rsid w:val="002838EF"/>
    <w:rsid w:val="00287939"/>
    <w:rsid w:val="002A0A1C"/>
    <w:rsid w:val="002A380C"/>
    <w:rsid w:val="002C187A"/>
    <w:rsid w:val="002C20F1"/>
    <w:rsid w:val="002D2863"/>
    <w:rsid w:val="002D5EC0"/>
    <w:rsid w:val="002E3DEA"/>
    <w:rsid w:val="002E7CC2"/>
    <w:rsid w:val="002F50FF"/>
    <w:rsid w:val="002F6F9B"/>
    <w:rsid w:val="003147BB"/>
    <w:rsid w:val="0032499C"/>
    <w:rsid w:val="003331C6"/>
    <w:rsid w:val="00340908"/>
    <w:rsid w:val="00345044"/>
    <w:rsid w:val="00351095"/>
    <w:rsid w:val="00354A9C"/>
    <w:rsid w:val="0036002F"/>
    <w:rsid w:val="00364973"/>
    <w:rsid w:val="00364C8C"/>
    <w:rsid w:val="00372347"/>
    <w:rsid w:val="003779D4"/>
    <w:rsid w:val="00382398"/>
    <w:rsid w:val="003840CC"/>
    <w:rsid w:val="003909E4"/>
    <w:rsid w:val="003A3E30"/>
    <w:rsid w:val="003A70FE"/>
    <w:rsid w:val="003B0C35"/>
    <w:rsid w:val="003B219E"/>
    <w:rsid w:val="003B55E0"/>
    <w:rsid w:val="003E21B3"/>
    <w:rsid w:val="00406761"/>
    <w:rsid w:val="00406994"/>
    <w:rsid w:val="00411E65"/>
    <w:rsid w:val="00412DE9"/>
    <w:rsid w:val="00420040"/>
    <w:rsid w:val="00423388"/>
    <w:rsid w:val="00426D73"/>
    <w:rsid w:val="00454913"/>
    <w:rsid w:val="00457441"/>
    <w:rsid w:val="004579F6"/>
    <w:rsid w:val="004656D0"/>
    <w:rsid w:val="00465B53"/>
    <w:rsid w:val="00473ABD"/>
    <w:rsid w:val="00482DCA"/>
    <w:rsid w:val="004922A0"/>
    <w:rsid w:val="00497E66"/>
    <w:rsid w:val="004B6CFD"/>
    <w:rsid w:val="004C204D"/>
    <w:rsid w:val="004C4962"/>
    <w:rsid w:val="004D0436"/>
    <w:rsid w:val="004D0936"/>
    <w:rsid w:val="004E7ED7"/>
    <w:rsid w:val="004F243D"/>
    <w:rsid w:val="004F3D8D"/>
    <w:rsid w:val="005076F1"/>
    <w:rsid w:val="00512B91"/>
    <w:rsid w:val="005158EB"/>
    <w:rsid w:val="0052082F"/>
    <w:rsid w:val="00531EBF"/>
    <w:rsid w:val="00542FCC"/>
    <w:rsid w:val="0055762E"/>
    <w:rsid w:val="00565445"/>
    <w:rsid w:val="00575334"/>
    <w:rsid w:val="00593736"/>
    <w:rsid w:val="005A3181"/>
    <w:rsid w:val="005B0F06"/>
    <w:rsid w:val="005B6141"/>
    <w:rsid w:val="005C3F15"/>
    <w:rsid w:val="005F0822"/>
    <w:rsid w:val="005F3989"/>
    <w:rsid w:val="005F4303"/>
    <w:rsid w:val="005F7B20"/>
    <w:rsid w:val="00601B52"/>
    <w:rsid w:val="0060280B"/>
    <w:rsid w:val="00604422"/>
    <w:rsid w:val="00620809"/>
    <w:rsid w:val="00623F5D"/>
    <w:rsid w:val="00651341"/>
    <w:rsid w:val="00666F8B"/>
    <w:rsid w:val="006815B2"/>
    <w:rsid w:val="006826E0"/>
    <w:rsid w:val="00682B31"/>
    <w:rsid w:val="006864E1"/>
    <w:rsid w:val="00691001"/>
    <w:rsid w:val="00694D13"/>
    <w:rsid w:val="006B1037"/>
    <w:rsid w:val="006C6502"/>
    <w:rsid w:val="006E56AD"/>
    <w:rsid w:val="006E5763"/>
    <w:rsid w:val="006E5A28"/>
    <w:rsid w:val="007101BB"/>
    <w:rsid w:val="00713308"/>
    <w:rsid w:val="00725A91"/>
    <w:rsid w:val="00727E01"/>
    <w:rsid w:val="00745222"/>
    <w:rsid w:val="00752E19"/>
    <w:rsid w:val="00754FE2"/>
    <w:rsid w:val="00757614"/>
    <w:rsid w:val="007728B4"/>
    <w:rsid w:val="0077622E"/>
    <w:rsid w:val="00777FE4"/>
    <w:rsid w:val="0079075D"/>
    <w:rsid w:val="007910DD"/>
    <w:rsid w:val="007B42FC"/>
    <w:rsid w:val="007C1468"/>
    <w:rsid w:val="007C20BC"/>
    <w:rsid w:val="007C41D7"/>
    <w:rsid w:val="007C6FCF"/>
    <w:rsid w:val="007F16FB"/>
    <w:rsid w:val="007F1BBA"/>
    <w:rsid w:val="0081600F"/>
    <w:rsid w:val="0082672F"/>
    <w:rsid w:val="0082722D"/>
    <w:rsid w:val="008274F7"/>
    <w:rsid w:val="008441F9"/>
    <w:rsid w:val="00846A99"/>
    <w:rsid w:val="008641D1"/>
    <w:rsid w:val="00870FB9"/>
    <w:rsid w:val="00872F67"/>
    <w:rsid w:val="00881C9E"/>
    <w:rsid w:val="008845AE"/>
    <w:rsid w:val="00886DB1"/>
    <w:rsid w:val="008879E9"/>
    <w:rsid w:val="008927DE"/>
    <w:rsid w:val="00893346"/>
    <w:rsid w:val="00894D19"/>
    <w:rsid w:val="008A074D"/>
    <w:rsid w:val="008A0D8D"/>
    <w:rsid w:val="008A3F14"/>
    <w:rsid w:val="008A4E43"/>
    <w:rsid w:val="008B1A69"/>
    <w:rsid w:val="008C1A39"/>
    <w:rsid w:val="008D1B43"/>
    <w:rsid w:val="008E075C"/>
    <w:rsid w:val="008E7DFB"/>
    <w:rsid w:val="008F7327"/>
    <w:rsid w:val="0090059C"/>
    <w:rsid w:val="009076C8"/>
    <w:rsid w:val="00915BBE"/>
    <w:rsid w:val="00921D62"/>
    <w:rsid w:val="00922791"/>
    <w:rsid w:val="00927CD6"/>
    <w:rsid w:val="00933572"/>
    <w:rsid w:val="009363C7"/>
    <w:rsid w:val="00944BF1"/>
    <w:rsid w:val="00967CAA"/>
    <w:rsid w:val="00972D36"/>
    <w:rsid w:val="00973BFB"/>
    <w:rsid w:val="00980406"/>
    <w:rsid w:val="009806D5"/>
    <w:rsid w:val="00994621"/>
    <w:rsid w:val="00996D85"/>
    <w:rsid w:val="009A2C8F"/>
    <w:rsid w:val="009A7B65"/>
    <w:rsid w:val="009B4E56"/>
    <w:rsid w:val="009D2AD6"/>
    <w:rsid w:val="009D3A07"/>
    <w:rsid w:val="009D4524"/>
    <w:rsid w:val="009D4711"/>
    <w:rsid w:val="009D5DA6"/>
    <w:rsid w:val="009E3A84"/>
    <w:rsid w:val="009E72D7"/>
    <w:rsid w:val="009E7ACC"/>
    <w:rsid w:val="009F450E"/>
    <w:rsid w:val="009F54DA"/>
    <w:rsid w:val="00A06984"/>
    <w:rsid w:val="00A1324E"/>
    <w:rsid w:val="00A27BE3"/>
    <w:rsid w:val="00A339B9"/>
    <w:rsid w:val="00A40EDF"/>
    <w:rsid w:val="00A568DF"/>
    <w:rsid w:val="00A73A79"/>
    <w:rsid w:val="00A73B39"/>
    <w:rsid w:val="00A93C52"/>
    <w:rsid w:val="00A94EA7"/>
    <w:rsid w:val="00AA7368"/>
    <w:rsid w:val="00AB4FF9"/>
    <w:rsid w:val="00AD61CC"/>
    <w:rsid w:val="00AE0ACC"/>
    <w:rsid w:val="00AE4905"/>
    <w:rsid w:val="00AE7B21"/>
    <w:rsid w:val="00AF0C60"/>
    <w:rsid w:val="00AF1980"/>
    <w:rsid w:val="00AF2021"/>
    <w:rsid w:val="00B012B4"/>
    <w:rsid w:val="00B016F8"/>
    <w:rsid w:val="00B025B7"/>
    <w:rsid w:val="00B13919"/>
    <w:rsid w:val="00B4714A"/>
    <w:rsid w:val="00B471BD"/>
    <w:rsid w:val="00B50C2D"/>
    <w:rsid w:val="00B64904"/>
    <w:rsid w:val="00B85217"/>
    <w:rsid w:val="00BA60CE"/>
    <w:rsid w:val="00BB7AB8"/>
    <w:rsid w:val="00BC5607"/>
    <w:rsid w:val="00BE0D1D"/>
    <w:rsid w:val="00BE2448"/>
    <w:rsid w:val="00BE24D4"/>
    <w:rsid w:val="00BF2BE7"/>
    <w:rsid w:val="00BF4512"/>
    <w:rsid w:val="00C05102"/>
    <w:rsid w:val="00C110C2"/>
    <w:rsid w:val="00C13FA6"/>
    <w:rsid w:val="00C169ED"/>
    <w:rsid w:val="00C25FC0"/>
    <w:rsid w:val="00C4167D"/>
    <w:rsid w:val="00C44645"/>
    <w:rsid w:val="00C450E6"/>
    <w:rsid w:val="00C506B2"/>
    <w:rsid w:val="00C5484D"/>
    <w:rsid w:val="00C618F2"/>
    <w:rsid w:val="00C73207"/>
    <w:rsid w:val="00C7602A"/>
    <w:rsid w:val="00C82160"/>
    <w:rsid w:val="00C82ED9"/>
    <w:rsid w:val="00C87D68"/>
    <w:rsid w:val="00C9281B"/>
    <w:rsid w:val="00CA367A"/>
    <w:rsid w:val="00CA447F"/>
    <w:rsid w:val="00CB1D26"/>
    <w:rsid w:val="00CC4C21"/>
    <w:rsid w:val="00CC57AD"/>
    <w:rsid w:val="00CD0FE9"/>
    <w:rsid w:val="00CD7355"/>
    <w:rsid w:val="00CE5B83"/>
    <w:rsid w:val="00CF6EDD"/>
    <w:rsid w:val="00D03D59"/>
    <w:rsid w:val="00D05922"/>
    <w:rsid w:val="00D107A3"/>
    <w:rsid w:val="00D147EA"/>
    <w:rsid w:val="00D21383"/>
    <w:rsid w:val="00D3069C"/>
    <w:rsid w:val="00D42AE1"/>
    <w:rsid w:val="00D605A4"/>
    <w:rsid w:val="00D61B13"/>
    <w:rsid w:val="00D7746A"/>
    <w:rsid w:val="00D8099D"/>
    <w:rsid w:val="00D838FE"/>
    <w:rsid w:val="00D8406F"/>
    <w:rsid w:val="00D859C7"/>
    <w:rsid w:val="00D9021F"/>
    <w:rsid w:val="00DA1080"/>
    <w:rsid w:val="00DA12C2"/>
    <w:rsid w:val="00DA29B0"/>
    <w:rsid w:val="00DB30A6"/>
    <w:rsid w:val="00DD4CE5"/>
    <w:rsid w:val="00DD6A9E"/>
    <w:rsid w:val="00E23367"/>
    <w:rsid w:val="00E31B92"/>
    <w:rsid w:val="00E34B8B"/>
    <w:rsid w:val="00E475D4"/>
    <w:rsid w:val="00E72522"/>
    <w:rsid w:val="00E74D1C"/>
    <w:rsid w:val="00E8776E"/>
    <w:rsid w:val="00E9237A"/>
    <w:rsid w:val="00EA0B88"/>
    <w:rsid w:val="00EB2285"/>
    <w:rsid w:val="00EC4294"/>
    <w:rsid w:val="00EC681E"/>
    <w:rsid w:val="00ED02D3"/>
    <w:rsid w:val="00ED477B"/>
    <w:rsid w:val="00ED5E31"/>
    <w:rsid w:val="00EE4815"/>
    <w:rsid w:val="00EE64C1"/>
    <w:rsid w:val="00F05AA0"/>
    <w:rsid w:val="00F061CB"/>
    <w:rsid w:val="00F11793"/>
    <w:rsid w:val="00F23E15"/>
    <w:rsid w:val="00F24050"/>
    <w:rsid w:val="00F247E4"/>
    <w:rsid w:val="00F248AA"/>
    <w:rsid w:val="00F31539"/>
    <w:rsid w:val="00F444EC"/>
    <w:rsid w:val="00F45FE3"/>
    <w:rsid w:val="00F54D03"/>
    <w:rsid w:val="00F6347A"/>
    <w:rsid w:val="00F71E19"/>
    <w:rsid w:val="00F7503A"/>
    <w:rsid w:val="00F81FEF"/>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0C04EA"/>
  <w14:defaultImageDpi w14:val="0"/>
  <w15:docId w15:val="{09317668-34BF-4230-9245-854B0252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18"/>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semiHidden/>
    <w:locked/>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lang w:val="es-ES" w:eastAsia="es-ES"/>
    </w:rPr>
  </w:style>
  <w:style w:type="paragraph" w:customStyle="1" w:styleId="footnotetex">
    <w:name w:val="footnote tex"/>
    <w:uiPriority w:val="99"/>
    <w:rsid w:val="002779F7"/>
    <w:pPr>
      <w:widowControl w:val="0"/>
      <w:autoSpaceDE w:val="0"/>
      <w:autoSpaceDN w:val="0"/>
      <w:adjustRightInd w:val="0"/>
      <w:jc w:val="both"/>
    </w:pPr>
    <w:rPr>
      <w:sz w:val="18"/>
      <w:szCs w:val="24"/>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basedOn w:val="DefaultParagraphFont"/>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4781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964</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barbara.schoenberg@cms.int</dc:creator>
  <cp:keywords/>
  <dc:description/>
  <cp:lastModifiedBy>Ximena Cancino</cp:lastModifiedBy>
  <cp:revision>2</cp:revision>
  <cp:lastPrinted>2017-01-20T10:09:00Z</cp:lastPrinted>
  <dcterms:created xsi:type="dcterms:W3CDTF">2017-06-20T11:59:00Z</dcterms:created>
  <dcterms:modified xsi:type="dcterms:W3CDTF">2017-06-20T11:59:00Z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