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B31" w:rsidRPr="00BA7075" w:rsidRDefault="00682B31" w:rsidP="00682B31">
      <w:pPr>
        <w:tabs>
          <w:tab w:val="left" w:pos="-1057"/>
          <w:tab w:val="left" w:pos="-720"/>
        </w:tabs>
        <w:ind w:left="-90"/>
        <w:rPr>
          <w:rFonts w:ascii="Arial" w:hAnsi="Arial" w:cs="Arial"/>
          <w:spacing w:val="-8"/>
          <w:sz w:val="12"/>
          <w:szCs w:val="12"/>
          <w:lang w:val="es-ES"/>
        </w:rPr>
      </w:pPr>
    </w:p>
    <w:p w:rsidR="00992727" w:rsidRPr="00BA7075" w:rsidRDefault="00992727" w:rsidP="00992727">
      <w:pPr>
        <w:spacing w:line="228" w:lineRule="auto"/>
        <w:ind w:left="-90"/>
        <w:rPr>
          <w:rFonts w:ascii="Arial" w:hAnsi="Arial" w:cs="Arial"/>
          <w:iCs/>
          <w:sz w:val="22"/>
          <w:szCs w:val="22"/>
          <w:lang w:val="es-ES"/>
        </w:rPr>
      </w:pP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BA7075"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rsidR="00FA61AF" w:rsidRPr="00BA7075" w:rsidRDefault="00FA61AF" w:rsidP="00040591">
            <w:pPr>
              <w:tabs>
                <w:tab w:val="left" w:pos="-1057"/>
                <w:tab w:val="left" w:pos="-720"/>
                <w:tab w:val="left" w:pos="0"/>
                <w:tab w:val="left" w:pos="141"/>
                <w:tab w:val="left" w:pos="720"/>
                <w:tab w:val="left" w:pos="1155"/>
                <w:tab w:val="right" w:pos="9072"/>
                <w:tab w:val="right" w:pos="9432"/>
              </w:tabs>
              <w:rPr>
                <w:rFonts w:ascii="Arial" w:hAnsi="Arial" w:cs="Arial"/>
                <w:sz w:val="22"/>
                <w:szCs w:val="22"/>
                <w:lang w:val="es-ES"/>
              </w:rPr>
            </w:pPr>
          </w:p>
        </w:tc>
      </w:tr>
      <w:tr w:rsidR="0081600F" w:rsidRPr="0072556D"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rsidR="0081600F" w:rsidRPr="00BA7075" w:rsidRDefault="00DA6312">
            <w:pPr>
              <w:rPr>
                <w:rFonts w:ascii="Arial" w:hAnsi="Arial" w:cs="Arial"/>
                <w:sz w:val="22"/>
                <w:szCs w:val="22"/>
                <w:lang w:val="es-ES"/>
              </w:rPr>
            </w:pPr>
            <w:r w:rsidRPr="00BA7075">
              <w:rPr>
                <w:rFonts w:ascii="Arial" w:hAnsi="Arial" w:cs="Arial"/>
                <w:noProof/>
                <w:sz w:val="22"/>
                <w:szCs w:val="22"/>
                <w:lang w:val="en-GB" w:eastAsia="en-GB"/>
              </w:rPr>
              <w:drawing>
                <wp:inline distT="0" distB="0" distL="0" distR="0">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rsidR="0081600F" w:rsidRPr="00BA7075" w:rsidRDefault="0081600F">
            <w:pPr>
              <w:rPr>
                <w:rFonts w:ascii="Arial" w:hAnsi="Arial" w:cs="Arial"/>
                <w:sz w:val="22"/>
                <w:szCs w:val="22"/>
                <w:lang w:val="es-ES"/>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rsidR="00682B31" w:rsidRPr="00BA7075" w:rsidRDefault="00682B31"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lang w:val="es-ES"/>
              </w:rPr>
            </w:pPr>
          </w:p>
          <w:p w:rsidR="00992727" w:rsidRPr="00BA7075" w:rsidRDefault="00992727" w:rsidP="00992727">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es-ES"/>
              </w:rPr>
            </w:pPr>
            <w:r w:rsidRPr="00BA7075">
              <w:rPr>
                <w:rFonts w:ascii="Arial" w:hAnsi="Arial" w:cs="Arial"/>
                <w:bCs w:val="0"/>
                <w:sz w:val="28"/>
                <w:szCs w:val="28"/>
                <w:lang w:val="es-ES"/>
              </w:rPr>
              <w:t>CONVENCIÓN SOBRE</w:t>
            </w:r>
          </w:p>
          <w:p w:rsidR="00992727" w:rsidRPr="00BA7075" w:rsidRDefault="00992727" w:rsidP="00992727">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es-ES"/>
              </w:rPr>
            </w:pPr>
            <w:r w:rsidRPr="00BA7075">
              <w:rPr>
                <w:rFonts w:ascii="Arial" w:hAnsi="Arial" w:cs="Arial"/>
                <w:bCs w:val="0"/>
                <w:sz w:val="28"/>
                <w:szCs w:val="28"/>
                <w:lang w:val="es-ES"/>
              </w:rPr>
              <w:t>LAS ESPECIES</w:t>
            </w:r>
          </w:p>
          <w:p w:rsidR="0081600F" w:rsidRPr="00BA7075" w:rsidRDefault="00992727" w:rsidP="0099272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es-ES"/>
              </w:rPr>
            </w:pPr>
            <w:r w:rsidRPr="00BA7075">
              <w:rPr>
                <w:rFonts w:ascii="Arial" w:hAnsi="Arial" w:cs="Arial"/>
                <w:bCs w:val="0"/>
                <w:sz w:val="28"/>
                <w:szCs w:val="28"/>
                <w:lang w:val="es-ES"/>
              </w:rPr>
              <w:t>MIGRATORIAS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rsidR="00992727" w:rsidRPr="006A709B" w:rsidRDefault="00992727" w:rsidP="00992727">
            <w:pPr>
              <w:tabs>
                <w:tab w:val="left" w:pos="5040"/>
                <w:tab w:val="left" w:pos="5760"/>
                <w:tab w:val="left" w:pos="6008"/>
                <w:tab w:val="left" w:pos="6480"/>
                <w:tab w:val="left" w:pos="7200"/>
                <w:tab w:val="left" w:pos="7920"/>
                <w:tab w:val="left" w:pos="8640"/>
              </w:tabs>
              <w:rPr>
                <w:rFonts w:ascii="Arial" w:hAnsi="Arial" w:cs="Arial"/>
                <w:sz w:val="18"/>
                <w:szCs w:val="18"/>
                <w:lang w:val="es-ES"/>
              </w:rPr>
            </w:pPr>
          </w:p>
          <w:p w:rsidR="00992727" w:rsidRPr="00BA7075" w:rsidRDefault="00992727" w:rsidP="00F50CF5">
            <w:pPr>
              <w:tabs>
                <w:tab w:val="left" w:pos="5040"/>
                <w:tab w:val="left" w:pos="5760"/>
                <w:tab w:val="left" w:pos="6008"/>
                <w:tab w:val="left" w:pos="6480"/>
                <w:tab w:val="left" w:pos="7200"/>
                <w:tab w:val="left" w:pos="7920"/>
                <w:tab w:val="left" w:pos="8640"/>
              </w:tabs>
              <w:rPr>
                <w:rFonts w:ascii="Arial" w:hAnsi="Arial" w:cs="Arial"/>
                <w:sz w:val="22"/>
                <w:szCs w:val="22"/>
                <w:lang w:val="es-ES"/>
              </w:rPr>
            </w:pPr>
            <w:r w:rsidRPr="00BA7075">
              <w:rPr>
                <w:rFonts w:ascii="Arial" w:hAnsi="Arial" w:cs="Arial"/>
                <w:sz w:val="22"/>
                <w:szCs w:val="22"/>
                <w:lang w:val="es-ES"/>
              </w:rPr>
              <w:t>UNEP/CMS/COP12/</w:t>
            </w:r>
            <w:r w:rsidR="006A709B">
              <w:rPr>
                <w:rFonts w:ascii="Arial" w:hAnsi="Arial" w:cs="Arial"/>
                <w:sz w:val="22"/>
                <w:szCs w:val="22"/>
                <w:lang w:val="es-ES"/>
              </w:rPr>
              <w:t>CRP</w:t>
            </w:r>
            <w:r w:rsidR="006E6D44">
              <w:rPr>
                <w:rFonts w:ascii="Arial" w:hAnsi="Arial" w:cs="Arial"/>
                <w:sz w:val="22"/>
                <w:szCs w:val="22"/>
                <w:lang w:val="es-ES"/>
              </w:rPr>
              <w:t>3</w:t>
            </w:r>
          </w:p>
          <w:p w:rsidR="00992727" w:rsidRPr="00BA7075" w:rsidRDefault="006E6D44" w:rsidP="006A709B">
            <w:pPr>
              <w:tabs>
                <w:tab w:val="left" w:pos="5040"/>
                <w:tab w:val="left" w:pos="5760"/>
                <w:tab w:val="left" w:pos="6008"/>
                <w:tab w:val="left" w:pos="6480"/>
                <w:tab w:val="left" w:pos="7200"/>
                <w:tab w:val="left" w:pos="7920"/>
                <w:tab w:val="left" w:pos="8640"/>
              </w:tabs>
              <w:rPr>
                <w:rFonts w:ascii="Arial" w:hAnsi="Arial" w:cs="Arial"/>
                <w:sz w:val="22"/>
                <w:szCs w:val="22"/>
                <w:lang w:val="es-ES"/>
              </w:rPr>
            </w:pPr>
            <w:r>
              <w:rPr>
                <w:rFonts w:ascii="Arial" w:hAnsi="Arial" w:cs="Arial"/>
                <w:sz w:val="22"/>
                <w:szCs w:val="22"/>
                <w:lang w:val="es-ES"/>
              </w:rPr>
              <w:t>25</w:t>
            </w:r>
            <w:r w:rsidR="00BA7075">
              <w:rPr>
                <w:rFonts w:ascii="Arial" w:hAnsi="Arial" w:cs="Arial"/>
                <w:sz w:val="22"/>
                <w:szCs w:val="22"/>
                <w:lang w:val="es-ES"/>
              </w:rPr>
              <w:t xml:space="preserve"> de </w:t>
            </w:r>
            <w:r w:rsidR="006A709B">
              <w:rPr>
                <w:rFonts w:ascii="Arial" w:hAnsi="Arial" w:cs="Arial"/>
                <w:sz w:val="22"/>
                <w:szCs w:val="22"/>
                <w:lang w:val="es-ES"/>
              </w:rPr>
              <w:t>octubre</w:t>
            </w:r>
            <w:r w:rsidR="00227850" w:rsidRPr="00BA7075">
              <w:rPr>
                <w:rFonts w:ascii="Arial" w:hAnsi="Arial" w:cs="Arial"/>
                <w:sz w:val="22"/>
                <w:szCs w:val="22"/>
                <w:lang w:val="es-ES"/>
              </w:rPr>
              <w:t xml:space="preserve"> de 2017</w:t>
            </w:r>
          </w:p>
          <w:p w:rsidR="00992727" w:rsidRPr="00BA7075" w:rsidRDefault="00992727" w:rsidP="00992727">
            <w:pPr>
              <w:tabs>
                <w:tab w:val="left" w:pos="5040"/>
                <w:tab w:val="left" w:pos="5760"/>
                <w:tab w:val="left" w:pos="6008"/>
                <w:tab w:val="left" w:pos="6480"/>
                <w:tab w:val="left" w:pos="7200"/>
                <w:tab w:val="left" w:pos="7920"/>
                <w:tab w:val="left" w:pos="8640"/>
              </w:tabs>
              <w:rPr>
                <w:rFonts w:ascii="Arial" w:hAnsi="Arial" w:cs="Arial"/>
                <w:sz w:val="12"/>
                <w:szCs w:val="12"/>
                <w:lang w:val="es-ES"/>
              </w:rPr>
            </w:pPr>
          </w:p>
          <w:p w:rsidR="00682B31" w:rsidRPr="00BA7075" w:rsidRDefault="00682B31" w:rsidP="006A709B">
            <w:pPr>
              <w:rPr>
                <w:rFonts w:ascii="Arial" w:hAnsi="Arial" w:cs="Arial"/>
                <w:sz w:val="12"/>
                <w:szCs w:val="12"/>
                <w:lang w:val="es-ES"/>
              </w:rPr>
            </w:pPr>
          </w:p>
        </w:tc>
      </w:tr>
    </w:tbl>
    <w:p w:rsidR="00E8776E" w:rsidRPr="00BA7075" w:rsidRDefault="00E8776E" w:rsidP="00E8776E">
      <w:pPr>
        <w:tabs>
          <w:tab w:val="left" w:pos="7020"/>
        </w:tabs>
        <w:rPr>
          <w:rFonts w:ascii="Arial" w:hAnsi="Arial" w:cs="Arial"/>
          <w:sz w:val="22"/>
          <w:szCs w:val="22"/>
          <w:lang w:val="es-ES"/>
        </w:rPr>
      </w:pPr>
    </w:p>
    <w:p w:rsidR="003623EB" w:rsidRDefault="004C3C75" w:rsidP="006E6D44">
      <w:pPr>
        <w:pStyle w:val="Heading2"/>
        <w:keepNext w:val="0"/>
        <w:ind w:left="-90" w:right="-367"/>
        <w:jc w:val="center"/>
        <w:rPr>
          <w:rFonts w:ascii="Arial" w:hAnsi="Arial"/>
          <w:sz w:val="22"/>
          <w:lang w:val="es-ES"/>
        </w:rPr>
      </w:pPr>
      <w:r>
        <w:rPr>
          <w:rFonts w:ascii="Arial" w:hAnsi="Arial"/>
          <w:sz w:val="22"/>
          <w:lang w:val="es-ES"/>
        </w:rPr>
        <w:t>CAPTURA</w:t>
      </w:r>
      <w:r w:rsidR="006E6D44" w:rsidRPr="003623EB">
        <w:rPr>
          <w:rFonts w:ascii="Arial" w:hAnsi="Arial"/>
          <w:sz w:val="22"/>
          <w:lang w:val="es-ES"/>
        </w:rPr>
        <w:t xml:space="preserve"> DE CETÁCEOS VIVOS EN SU AMBIENTE NATURAL </w:t>
      </w:r>
    </w:p>
    <w:p w:rsidR="006E6D44" w:rsidRPr="003623EB" w:rsidRDefault="006E6D44" w:rsidP="006E6D44">
      <w:pPr>
        <w:pStyle w:val="Heading2"/>
        <w:keepNext w:val="0"/>
        <w:ind w:left="-90" w:right="-367"/>
        <w:jc w:val="center"/>
        <w:rPr>
          <w:rFonts w:ascii="Arial" w:hAnsi="Arial" w:cs="Arial"/>
          <w:sz w:val="22"/>
          <w:szCs w:val="22"/>
          <w:lang w:val="es-ES"/>
        </w:rPr>
      </w:pPr>
      <w:r w:rsidRPr="003623EB">
        <w:rPr>
          <w:rFonts w:ascii="Arial" w:hAnsi="Arial"/>
          <w:sz w:val="22"/>
          <w:lang w:val="es-ES"/>
        </w:rPr>
        <w:t>PARA FINES COMERCIALES</w:t>
      </w:r>
    </w:p>
    <w:p w:rsidR="006A709B" w:rsidRPr="0008301C" w:rsidRDefault="006A709B" w:rsidP="00040591">
      <w:pPr>
        <w:pBdr>
          <w:top w:val="single" w:sz="6" w:space="2" w:color="FFFFFF"/>
          <w:left w:val="single" w:sz="6" w:space="0" w:color="FFFFFF"/>
          <w:bottom w:val="single" w:sz="6" w:space="0" w:color="FFFFFF"/>
          <w:right w:val="single" w:sz="6" w:space="0" w:color="FFFFFF"/>
        </w:pBdr>
        <w:ind w:left="-90" w:right="-367"/>
        <w:jc w:val="center"/>
        <w:outlineLvl w:val="1"/>
        <w:rPr>
          <w:rFonts w:ascii="Arial" w:hAnsi="Arial" w:cs="Arial"/>
          <w:b/>
          <w:bCs/>
          <w:caps/>
          <w:sz w:val="22"/>
          <w:szCs w:val="22"/>
          <w:lang w:val="es-ES"/>
        </w:rPr>
      </w:pPr>
      <w:r w:rsidRPr="006A709B">
        <w:rPr>
          <w:rFonts w:ascii="Arial" w:hAnsi="Arial" w:cs="Arial"/>
          <w:b/>
          <w:bCs/>
          <w:caps/>
          <w:sz w:val="22"/>
          <w:szCs w:val="22"/>
          <w:lang w:val="es-ES"/>
        </w:rPr>
        <w:cr/>
      </w:r>
      <w:r w:rsidRPr="0008301C">
        <w:rPr>
          <w:rFonts w:ascii="Arial" w:hAnsi="Arial" w:cs="Arial"/>
          <w:caps/>
          <w:sz w:val="22"/>
          <w:szCs w:val="22"/>
          <w:lang w:val="es-ES"/>
        </w:rPr>
        <w:t>(UNEP/CMS/COP12/</w:t>
      </w:r>
      <w:r w:rsidR="00040591" w:rsidRPr="0008301C">
        <w:rPr>
          <w:rFonts w:ascii="Arial" w:hAnsi="Arial" w:cs="Arial"/>
          <w:sz w:val="22"/>
          <w:szCs w:val="22"/>
          <w:lang w:val="es-ES"/>
        </w:rPr>
        <w:t>Doc</w:t>
      </w:r>
      <w:r w:rsidR="006E6D44" w:rsidRPr="0008301C">
        <w:rPr>
          <w:rFonts w:ascii="Arial" w:hAnsi="Arial" w:cs="Arial"/>
          <w:caps/>
          <w:sz w:val="22"/>
          <w:szCs w:val="22"/>
          <w:lang w:val="es-ES"/>
        </w:rPr>
        <w:t>.24.2.4</w:t>
      </w:r>
      <w:r w:rsidRPr="0008301C">
        <w:rPr>
          <w:rFonts w:ascii="Arial" w:hAnsi="Arial" w:cs="Arial"/>
          <w:caps/>
          <w:sz w:val="22"/>
          <w:szCs w:val="22"/>
          <w:lang w:val="es-ES"/>
        </w:rPr>
        <w:t>)</w:t>
      </w:r>
    </w:p>
    <w:p w:rsidR="006A709B" w:rsidRPr="0008301C" w:rsidRDefault="006A709B" w:rsidP="006A709B">
      <w:pPr>
        <w:pBdr>
          <w:top w:val="single" w:sz="6" w:space="2" w:color="FFFFFF"/>
          <w:left w:val="single" w:sz="6" w:space="0" w:color="FFFFFF"/>
          <w:bottom w:val="single" w:sz="6" w:space="0" w:color="FFFFFF"/>
          <w:right w:val="single" w:sz="6" w:space="0" w:color="FFFFFF"/>
        </w:pBdr>
        <w:ind w:left="-90" w:right="-367"/>
        <w:jc w:val="center"/>
        <w:outlineLvl w:val="1"/>
        <w:rPr>
          <w:rFonts w:ascii="Arial" w:hAnsi="Arial" w:cs="Arial"/>
          <w:b/>
          <w:bCs/>
          <w:caps/>
          <w:sz w:val="22"/>
          <w:szCs w:val="22"/>
          <w:lang w:val="es-ES"/>
        </w:rPr>
      </w:pPr>
    </w:p>
    <w:p w:rsidR="00B64904" w:rsidRPr="006A709B" w:rsidRDefault="00B64904" w:rsidP="006A709B">
      <w:pPr>
        <w:pBdr>
          <w:top w:val="single" w:sz="6" w:space="2" w:color="FFFFFF"/>
          <w:left w:val="single" w:sz="6" w:space="0" w:color="FFFFFF"/>
          <w:bottom w:val="single" w:sz="6" w:space="0" w:color="FFFFFF"/>
          <w:right w:val="single" w:sz="6" w:space="0" w:color="FFFFFF"/>
        </w:pBdr>
        <w:ind w:left="-90" w:right="-367"/>
        <w:jc w:val="center"/>
        <w:outlineLvl w:val="1"/>
        <w:rPr>
          <w:rFonts w:ascii="Arial" w:hAnsi="Arial" w:cs="Arial"/>
          <w:b/>
          <w:bCs/>
          <w:caps/>
          <w:sz w:val="22"/>
          <w:szCs w:val="22"/>
          <w:lang w:val="es-ES"/>
        </w:rPr>
      </w:pPr>
      <w:r w:rsidRPr="003623EB">
        <w:rPr>
          <w:rFonts w:ascii="Arial" w:hAnsi="Arial" w:cs="Arial"/>
          <w:i/>
          <w:sz w:val="22"/>
          <w:szCs w:val="22"/>
          <w:lang w:val="es-ES"/>
        </w:rPr>
        <w:t>(</w:t>
      </w:r>
      <w:r w:rsidR="00B12998" w:rsidRPr="003623EB">
        <w:rPr>
          <w:rFonts w:ascii="Arial" w:hAnsi="Arial" w:cs="Arial"/>
          <w:i/>
          <w:sz w:val="22"/>
          <w:szCs w:val="22"/>
          <w:lang w:val="es-ES"/>
        </w:rPr>
        <w:t>P</w:t>
      </w:r>
      <w:r w:rsidR="00227850" w:rsidRPr="003623EB">
        <w:rPr>
          <w:rFonts w:ascii="Arial" w:hAnsi="Arial" w:cs="Arial"/>
          <w:i/>
          <w:sz w:val="22"/>
          <w:szCs w:val="22"/>
          <w:lang w:val="es-ES"/>
        </w:rPr>
        <w:t>reparado</w:t>
      </w:r>
      <w:r w:rsidR="00F21FE2" w:rsidRPr="003623EB">
        <w:rPr>
          <w:rFonts w:ascii="Arial" w:hAnsi="Arial" w:cs="Arial"/>
          <w:i/>
          <w:sz w:val="22"/>
          <w:szCs w:val="22"/>
          <w:lang w:val="es-ES"/>
        </w:rPr>
        <w:t xml:space="preserve"> por</w:t>
      </w:r>
      <w:r w:rsidR="0079075D" w:rsidRPr="003623EB">
        <w:rPr>
          <w:rFonts w:ascii="Arial" w:hAnsi="Arial" w:cs="Arial"/>
          <w:i/>
          <w:sz w:val="22"/>
          <w:szCs w:val="22"/>
          <w:lang w:val="es-ES"/>
        </w:rPr>
        <w:t xml:space="preserve"> </w:t>
      </w:r>
      <w:r w:rsidR="003623EB">
        <w:rPr>
          <w:rFonts w:ascii="Arial" w:hAnsi="Arial" w:cs="Arial"/>
          <w:i/>
          <w:sz w:val="22"/>
          <w:szCs w:val="22"/>
          <w:lang w:val="es-ES"/>
        </w:rPr>
        <w:t>el Grupo de Trabajo a</w:t>
      </w:r>
      <w:r w:rsidR="003623EB" w:rsidRPr="003623EB">
        <w:rPr>
          <w:rFonts w:ascii="Arial" w:hAnsi="Arial" w:cs="Arial"/>
          <w:i/>
          <w:sz w:val="22"/>
          <w:szCs w:val="22"/>
          <w:lang w:val="es-ES"/>
        </w:rPr>
        <w:t>cuático</w:t>
      </w:r>
      <w:r w:rsidR="006A709B" w:rsidRPr="003623EB">
        <w:rPr>
          <w:rFonts w:ascii="Arial" w:hAnsi="Arial" w:cs="Arial"/>
          <w:i/>
          <w:sz w:val="22"/>
          <w:szCs w:val="22"/>
          <w:lang w:val="es-ES"/>
        </w:rPr>
        <w:t>)</w:t>
      </w:r>
    </w:p>
    <w:p w:rsidR="001764E6" w:rsidRPr="006A709B" w:rsidRDefault="001764E6" w:rsidP="001764E6">
      <w:pPr>
        <w:jc w:val="both"/>
        <w:rPr>
          <w:rFonts w:ascii="Arial" w:hAnsi="Arial" w:cs="Arial"/>
          <w:sz w:val="22"/>
          <w:szCs w:val="22"/>
          <w:lang w:val="es-ES"/>
        </w:rPr>
      </w:pPr>
    </w:p>
    <w:p w:rsidR="006A709B" w:rsidRPr="006A709B" w:rsidRDefault="006A709B" w:rsidP="001764E6">
      <w:pPr>
        <w:jc w:val="both"/>
        <w:rPr>
          <w:rFonts w:ascii="Arial" w:hAnsi="Arial" w:cs="Arial"/>
          <w:sz w:val="22"/>
          <w:szCs w:val="22"/>
          <w:lang w:val="es-ES"/>
        </w:rPr>
      </w:pPr>
    </w:p>
    <w:p w:rsidR="006A709B" w:rsidRPr="006A709B" w:rsidRDefault="003623EB" w:rsidP="006A709B">
      <w:pPr>
        <w:tabs>
          <w:tab w:val="left" w:pos="7020"/>
        </w:tabs>
        <w:jc w:val="center"/>
        <w:rPr>
          <w:rFonts w:ascii="Arial" w:hAnsi="Arial" w:cs="Arial"/>
          <w:sz w:val="22"/>
          <w:szCs w:val="22"/>
          <w:lang w:val="es-ES"/>
        </w:rPr>
      </w:pPr>
      <w:r>
        <w:rPr>
          <w:rFonts w:ascii="Arial" w:hAnsi="Arial" w:cs="Arial"/>
          <w:sz w:val="22"/>
          <w:szCs w:val="22"/>
          <w:lang w:val="es-ES"/>
        </w:rPr>
        <w:t>ENMIENDAS PROPUESTAS A LA RESOLUCIÓN 11.22</w:t>
      </w:r>
    </w:p>
    <w:p w:rsidR="006E6D44" w:rsidRPr="006E6D44" w:rsidRDefault="006E6D44" w:rsidP="00E26B4D">
      <w:pPr>
        <w:pBdr>
          <w:top w:val="single" w:sz="6" w:space="0" w:color="FFFFFF"/>
          <w:left w:val="single" w:sz="6" w:space="0" w:color="FFFFFF"/>
          <w:bottom w:val="single" w:sz="6" w:space="0" w:color="FFFFFF"/>
          <w:right w:val="single" w:sz="6" w:space="0" w:color="FFFFFF"/>
        </w:pBdr>
        <w:outlineLvl w:val="1"/>
        <w:rPr>
          <w:rFonts w:ascii="Arial" w:hAnsi="Arial" w:cs="Arial"/>
          <w:b/>
          <w:caps/>
          <w:sz w:val="22"/>
          <w:szCs w:val="22"/>
          <w:lang w:val="es-ES" w:eastAsia="es-ES"/>
        </w:rPr>
      </w:pPr>
    </w:p>
    <w:p w:rsidR="00DF0F13" w:rsidRPr="003623EB" w:rsidRDefault="00DF0F13" w:rsidP="00DF0F13">
      <w:pPr>
        <w:jc w:val="both"/>
        <w:rPr>
          <w:rFonts w:ascii="Arial" w:hAnsi="Arial" w:cs="Arial"/>
          <w:i/>
          <w:sz w:val="22"/>
          <w:szCs w:val="22"/>
          <w:lang w:val="es-ES"/>
        </w:rPr>
      </w:pPr>
    </w:p>
    <w:p w:rsidR="00DF0F13" w:rsidRPr="003623EB" w:rsidRDefault="00DF0F13" w:rsidP="00DF0F13">
      <w:pPr>
        <w:widowControl/>
        <w:autoSpaceDE/>
        <w:adjustRightInd/>
        <w:jc w:val="both"/>
        <w:rPr>
          <w:rFonts w:ascii="Arial" w:hAnsi="Arial" w:cs="Arial"/>
          <w:sz w:val="22"/>
          <w:szCs w:val="22"/>
          <w:lang w:val="es-ES"/>
        </w:rPr>
      </w:pPr>
      <w:r w:rsidRPr="003623EB">
        <w:rPr>
          <w:rFonts w:ascii="Arial" w:hAnsi="Arial"/>
          <w:i/>
          <w:sz w:val="22"/>
          <w:lang w:val="es-ES"/>
        </w:rPr>
        <w:t>Tomando nota</w:t>
      </w:r>
      <w:r w:rsidRPr="003623EB">
        <w:rPr>
          <w:rFonts w:ascii="Arial" w:hAnsi="Arial"/>
          <w:sz w:val="22"/>
          <w:lang w:val="es-ES"/>
        </w:rPr>
        <w:t xml:space="preserve"> </w:t>
      </w:r>
      <w:r w:rsidRPr="00CA666B">
        <w:rPr>
          <w:rFonts w:ascii="Arial" w:hAnsi="Arial"/>
          <w:sz w:val="22"/>
          <w:lang w:val="es-ES"/>
        </w:rPr>
        <w:t>con preocupación</w:t>
      </w:r>
      <w:r w:rsidRPr="003623EB">
        <w:rPr>
          <w:rFonts w:ascii="Arial" w:hAnsi="Arial"/>
          <w:sz w:val="22"/>
          <w:lang w:val="es-ES"/>
        </w:rPr>
        <w:t xml:space="preserve"> de las continuas actividades orientadas a las poblaciones de pequeños cetáceos silvestres para su captura en vivo, entre ellas varias especies incluidas en los Apéndices I y II, para exhibirlos en acuarios comerciales y en espectáculos itinerantes;</w:t>
      </w:r>
    </w:p>
    <w:p w:rsidR="00DF0F13" w:rsidRPr="003623EB" w:rsidRDefault="00DF0F13" w:rsidP="00DF0F13">
      <w:pPr>
        <w:widowControl/>
        <w:autoSpaceDE/>
        <w:adjustRightInd/>
        <w:jc w:val="both"/>
        <w:rPr>
          <w:rFonts w:ascii="Arial" w:hAnsi="Arial" w:cs="Arial"/>
          <w:sz w:val="22"/>
          <w:szCs w:val="22"/>
          <w:lang w:val="es-ES"/>
        </w:rPr>
      </w:pPr>
    </w:p>
    <w:p w:rsidR="00DF0F13" w:rsidRPr="003623EB" w:rsidRDefault="00DF0F13" w:rsidP="00DF0F13">
      <w:pPr>
        <w:widowControl/>
        <w:autoSpaceDE/>
        <w:adjustRightInd/>
        <w:jc w:val="both"/>
        <w:rPr>
          <w:rFonts w:ascii="Arial" w:hAnsi="Arial" w:cs="Arial"/>
          <w:sz w:val="22"/>
          <w:szCs w:val="22"/>
          <w:lang w:val="es-ES"/>
        </w:rPr>
      </w:pPr>
      <w:r w:rsidRPr="0042672D">
        <w:rPr>
          <w:rFonts w:ascii="Arial" w:hAnsi="Arial" w:cs="Arial"/>
          <w:i/>
          <w:iCs/>
          <w:sz w:val="22"/>
          <w:szCs w:val="22"/>
          <w:lang w:val="es-ES_tradnl"/>
        </w:rPr>
        <w:t xml:space="preserve">Tomando nota </w:t>
      </w:r>
      <w:r w:rsidRPr="0042672D">
        <w:rPr>
          <w:rFonts w:ascii="Arial" w:hAnsi="Arial" w:cs="Arial"/>
          <w:sz w:val="22"/>
          <w:szCs w:val="22"/>
          <w:lang w:val="es-ES_tradnl"/>
        </w:rPr>
        <w:t>de que la UICN, a través del Grupo de especialistas en cetáceos de la Comisión de Supervivencia de Especies reconoce que la captura en vivo puede constituir una grave amenaza para las poblaciones de cetáceos locales cuando no son objeto de gestión y de un programa riguroso de investigación y seguimiento, debido a que la extracción de cetáceos en vivo del medio natural, para su exhibición en cautiverio y/o la investigación, equivale a la muerte incidental o deliberada, dado que los animales mantenidos en cautiverio o que mueren durante las operaciones de captura ya no son útiles para ayudar a mantener sus poblaciones naturales</w:t>
      </w:r>
      <w:r w:rsidRPr="003623EB">
        <w:rPr>
          <w:rFonts w:ascii="Arial" w:hAnsi="Arial"/>
          <w:sz w:val="22"/>
          <w:lang w:val="es-ES"/>
        </w:rPr>
        <w:t>;</w:t>
      </w:r>
    </w:p>
    <w:p w:rsidR="00DF0F13" w:rsidRPr="003623EB" w:rsidRDefault="00DF0F13" w:rsidP="00DF0F13">
      <w:pPr>
        <w:widowControl/>
        <w:autoSpaceDE/>
        <w:adjustRightInd/>
        <w:jc w:val="both"/>
        <w:rPr>
          <w:rFonts w:ascii="Arial" w:hAnsi="Arial" w:cs="Arial"/>
          <w:sz w:val="22"/>
          <w:szCs w:val="22"/>
          <w:lang w:val="es-ES"/>
        </w:rPr>
      </w:pPr>
    </w:p>
    <w:p w:rsidR="00DF0F13" w:rsidRPr="003623EB" w:rsidRDefault="00DF0F13" w:rsidP="00DF0F13">
      <w:pPr>
        <w:widowControl/>
        <w:autoSpaceDE/>
        <w:adjustRightInd/>
        <w:jc w:val="both"/>
        <w:rPr>
          <w:rFonts w:ascii="Arial" w:hAnsi="Arial" w:cs="Arial"/>
          <w:i/>
          <w:sz w:val="22"/>
          <w:szCs w:val="22"/>
          <w:lang w:val="es-ES"/>
        </w:rPr>
      </w:pPr>
      <w:r w:rsidRPr="003623EB">
        <w:rPr>
          <w:rFonts w:ascii="Arial" w:hAnsi="Arial"/>
          <w:i/>
          <w:sz w:val="22"/>
          <w:lang w:val="es-ES"/>
        </w:rPr>
        <w:t>Tomando nota</w:t>
      </w:r>
      <w:r w:rsidRPr="003623EB">
        <w:rPr>
          <w:rFonts w:ascii="Arial" w:hAnsi="Arial"/>
          <w:sz w:val="22"/>
          <w:lang w:val="es-ES"/>
        </w:rPr>
        <w:t xml:space="preserve"> del consejo repetido regularmente por la Comisión Ballenera Internacional (CBI) de que las poblaciones de pequeños cetáceos no deberían ser objeto de capturas si no se ha demostrado que tales capturas son sostenibles;</w:t>
      </w:r>
    </w:p>
    <w:p w:rsidR="00DF0F13" w:rsidRPr="003623EB" w:rsidRDefault="00DF0F13" w:rsidP="00DF0F13">
      <w:pPr>
        <w:widowControl/>
        <w:autoSpaceDE/>
        <w:adjustRightInd/>
        <w:jc w:val="both"/>
        <w:rPr>
          <w:rFonts w:ascii="Arial" w:hAnsi="Arial" w:cs="Arial"/>
          <w:sz w:val="22"/>
          <w:szCs w:val="22"/>
          <w:lang w:val="es-ES"/>
        </w:rPr>
      </w:pPr>
    </w:p>
    <w:p w:rsidR="00DF0F13" w:rsidRPr="003623EB" w:rsidRDefault="00DF0F13" w:rsidP="00DF0F13">
      <w:pPr>
        <w:widowControl/>
        <w:autoSpaceDE/>
        <w:adjustRightInd/>
        <w:jc w:val="both"/>
        <w:rPr>
          <w:rFonts w:ascii="Arial" w:hAnsi="Arial" w:cs="Arial"/>
          <w:i/>
          <w:sz w:val="22"/>
          <w:szCs w:val="22"/>
          <w:lang w:val="es-ES"/>
        </w:rPr>
      </w:pPr>
      <w:r w:rsidRPr="0042672D">
        <w:rPr>
          <w:rFonts w:ascii="Arial" w:hAnsi="Arial" w:cs="Arial"/>
          <w:i/>
          <w:iCs/>
          <w:sz w:val="22"/>
          <w:szCs w:val="22"/>
          <w:lang w:val="es-ES_tradnl"/>
        </w:rPr>
        <w:t xml:space="preserve">Recordando </w:t>
      </w:r>
      <w:r>
        <w:rPr>
          <w:rFonts w:ascii="Arial" w:hAnsi="Arial" w:cs="Arial"/>
          <w:sz w:val="22"/>
          <w:szCs w:val="22"/>
          <w:lang w:val="es-ES_tradnl"/>
        </w:rPr>
        <w:t xml:space="preserve">que el Artículo III </w:t>
      </w:r>
      <w:r w:rsidRPr="0042672D">
        <w:rPr>
          <w:rFonts w:ascii="Arial" w:hAnsi="Arial" w:cs="Arial"/>
          <w:sz w:val="22"/>
          <w:szCs w:val="22"/>
          <w:lang w:val="es-ES_tradnl"/>
        </w:rPr>
        <w:t>5) de la CMS requiere que las Partes que sean Estados del área de distribución de una especie migratoria que figure en el Apéndice I prohibirán en principio sacar de su ambiente natural animales de tal especie</w:t>
      </w:r>
      <w:r w:rsidRPr="003623EB">
        <w:rPr>
          <w:rFonts w:ascii="Arial" w:hAnsi="Arial"/>
          <w:sz w:val="22"/>
          <w:lang w:val="es-ES"/>
        </w:rPr>
        <w:t>;</w:t>
      </w:r>
    </w:p>
    <w:p w:rsidR="00DF0F13" w:rsidRPr="003623EB" w:rsidRDefault="00DF0F13" w:rsidP="00DF0F13">
      <w:pPr>
        <w:widowControl/>
        <w:autoSpaceDE/>
        <w:adjustRightInd/>
        <w:jc w:val="both"/>
        <w:rPr>
          <w:rFonts w:ascii="Arial" w:hAnsi="Arial" w:cs="Arial"/>
          <w:sz w:val="22"/>
          <w:szCs w:val="22"/>
          <w:lang w:val="es-ES"/>
        </w:rPr>
      </w:pPr>
    </w:p>
    <w:p w:rsidR="00DF0F13" w:rsidRPr="003623EB" w:rsidRDefault="00DF0F13" w:rsidP="00DF0F13">
      <w:pPr>
        <w:widowControl/>
        <w:autoSpaceDE/>
        <w:adjustRightInd/>
        <w:jc w:val="both"/>
        <w:rPr>
          <w:rFonts w:ascii="Arial" w:hAnsi="Arial" w:cs="Arial"/>
          <w:sz w:val="22"/>
          <w:szCs w:val="22"/>
          <w:lang w:val="es-ES"/>
        </w:rPr>
      </w:pPr>
      <w:r w:rsidRPr="0042672D">
        <w:rPr>
          <w:rFonts w:ascii="Arial" w:hAnsi="Arial" w:cs="Arial"/>
          <w:i/>
          <w:iCs/>
          <w:sz w:val="22"/>
          <w:szCs w:val="22"/>
          <w:lang w:val="es-ES_tradnl"/>
        </w:rPr>
        <w:t xml:space="preserve">Recordando también </w:t>
      </w:r>
      <w:r w:rsidRPr="0042672D">
        <w:rPr>
          <w:rFonts w:ascii="Arial" w:hAnsi="Arial" w:cs="Arial"/>
          <w:sz w:val="22"/>
          <w:szCs w:val="22"/>
          <w:lang w:val="es-ES_tradnl"/>
        </w:rPr>
        <w:t>que en la Resolución 10.15 de la CMS sobre un Programa mundial de trabajo para los cetáceos se solicita a la Secretaría y al Consejo Científico de la CMS proseguir e intensificar los esfuerzos para colaborar con otros foros internacionales pertinentes; con vista</w:t>
      </w:r>
      <w:r>
        <w:rPr>
          <w:rFonts w:ascii="Arial" w:hAnsi="Arial" w:cs="Arial"/>
          <w:sz w:val="22"/>
          <w:szCs w:val="22"/>
          <w:lang w:val="es-ES_tradnl"/>
        </w:rPr>
        <w:t>s</w:t>
      </w:r>
      <w:r w:rsidRPr="0042672D">
        <w:rPr>
          <w:rFonts w:ascii="Arial" w:hAnsi="Arial" w:cs="Arial"/>
          <w:sz w:val="22"/>
          <w:szCs w:val="22"/>
          <w:lang w:val="es-ES_tradnl"/>
        </w:rPr>
        <w:t xml:space="preserve"> a evitar la duplicación, incrementando las sinergias y mejorando el perfil de la CMS y de los acuerdos de la CMS relativos a cetáceos en estos foros</w:t>
      </w:r>
    </w:p>
    <w:p w:rsidR="00DF0F13" w:rsidRPr="003623EB" w:rsidRDefault="00DF0F13" w:rsidP="00DF0F13">
      <w:pPr>
        <w:widowControl/>
        <w:autoSpaceDE/>
        <w:adjustRightInd/>
        <w:jc w:val="both"/>
        <w:rPr>
          <w:rFonts w:ascii="Arial" w:hAnsi="Arial" w:cs="Arial"/>
          <w:sz w:val="22"/>
          <w:szCs w:val="22"/>
          <w:lang w:val="es-ES"/>
        </w:rPr>
      </w:pPr>
    </w:p>
    <w:p w:rsidR="00DF0F13" w:rsidRPr="003623EB" w:rsidRDefault="00DF0F13" w:rsidP="00DF0F13">
      <w:pPr>
        <w:widowControl/>
        <w:autoSpaceDE/>
        <w:adjustRightInd/>
        <w:jc w:val="both"/>
        <w:rPr>
          <w:rFonts w:ascii="Arial" w:hAnsi="Arial" w:cs="Arial"/>
          <w:sz w:val="22"/>
          <w:szCs w:val="22"/>
          <w:lang w:val="es-ES"/>
        </w:rPr>
      </w:pPr>
      <w:r w:rsidRPr="0042672D">
        <w:rPr>
          <w:rFonts w:ascii="Arial" w:hAnsi="Arial" w:cs="Arial"/>
          <w:i/>
          <w:iCs/>
          <w:sz w:val="22"/>
          <w:szCs w:val="22"/>
          <w:lang w:val="es-ES_tradnl"/>
        </w:rPr>
        <w:t xml:space="preserve">Recordando además </w:t>
      </w:r>
      <w:r w:rsidRPr="0042672D">
        <w:rPr>
          <w:rFonts w:ascii="Arial" w:hAnsi="Arial" w:cs="Arial"/>
          <w:sz w:val="22"/>
          <w:szCs w:val="22"/>
          <w:lang w:val="es-ES_tradnl"/>
        </w:rPr>
        <w:t xml:space="preserve">que en la Resolución 9.9 sobre las especies migratorias marinas se expresa preocupación por las amenazas múltiples, acumulativas y a menudo sinérgicas a las que se enfrentan las especies migratorias marinas, con posibles efectos sobre vastas áreas, como la captura accidental, </w:t>
      </w:r>
      <w:r w:rsidR="00E43D57">
        <w:rPr>
          <w:rFonts w:ascii="Arial" w:hAnsi="Arial" w:cs="Arial"/>
          <w:sz w:val="22"/>
          <w:szCs w:val="22"/>
          <w:lang w:val="es-ES_tradnl"/>
        </w:rPr>
        <w:t xml:space="preserve">el creciente tráfico marino y riesgo de colisiones, </w:t>
      </w:r>
      <w:r w:rsidRPr="0042672D">
        <w:rPr>
          <w:rFonts w:ascii="Arial" w:hAnsi="Arial" w:cs="Arial"/>
          <w:sz w:val="22"/>
          <w:szCs w:val="22"/>
          <w:lang w:val="es-ES_tradnl"/>
        </w:rPr>
        <w:t>la sobrepesca, la contaminación, la destrucción o degradación del hábitat, los impactos acústicos marinos, la caza deliberada, así como el cambio climático</w:t>
      </w:r>
      <w:r w:rsidRPr="003623EB">
        <w:rPr>
          <w:rFonts w:ascii="Arial" w:hAnsi="Arial"/>
          <w:sz w:val="22"/>
          <w:lang w:val="es-ES"/>
        </w:rPr>
        <w:t>;</w:t>
      </w:r>
    </w:p>
    <w:p w:rsidR="00DF0F13" w:rsidRPr="003623EB" w:rsidRDefault="00DF0F13" w:rsidP="00DF0F13">
      <w:pPr>
        <w:widowControl/>
        <w:autoSpaceDE/>
        <w:adjustRightInd/>
        <w:jc w:val="both"/>
        <w:rPr>
          <w:rFonts w:ascii="Arial" w:hAnsi="Arial" w:cs="Arial"/>
          <w:sz w:val="22"/>
          <w:szCs w:val="22"/>
          <w:lang w:val="es-ES"/>
        </w:rPr>
      </w:pPr>
    </w:p>
    <w:p w:rsidR="00DF0F13" w:rsidRPr="003623EB" w:rsidRDefault="00DF0F13" w:rsidP="00DF0F13">
      <w:pPr>
        <w:widowControl/>
        <w:autoSpaceDE/>
        <w:adjustRightInd/>
        <w:jc w:val="both"/>
        <w:rPr>
          <w:rFonts w:ascii="Arial" w:hAnsi="Arial" w:cs="Arial"/>
          <w:sz w:val="22"/>
          <w:szCs w:val="22"/>
          <w:lang w:val="es-ES"/>
        </w:rPr>
      </w:pPr>
      <w:r w:rsidRPr="0042672D">
        <w:rPr>
          <w:rFonts w:ascii="Arial" w:hAnsi="Arial" w:cs="Arial"/>
          <w:i/>
          <w:iCs/>
          <w:sz w:val="22"/>
          <w:szCs w:val="22"/>
          <w:lang w:val="es-ES_tradnl"/>
        </w:rPr>
        <w:t xml:space="preserve">Tomando nota </w:t>
      </w:r>
      <w:r w:rsidRPr="0042672D">
        <w:rPr>
          <w:rFonts w:ascii="Arial" w:hAnsi="Arial" w:cs="Arial"/>
          <w:sz w:val="22"/>
          <w:szCs w:val="22"/>
          <w:lang w:val="es-ES_tradnl"/>
        </w:rPr>
        <w:t>de que en la Resolución 8.22 sobre los impactos adversos inducidos por el hombre sobre los cetáceos no se aborda suficientemente la cuestión de la captura en vivo para fines comerciales</w:t>
      </w:r>
      <w:r w:rsidRPr="003623EB">
        <w:rPr>
          <w:rFonts w:ascii="Arial" w:hAnsi="Arial"/>
          <w:sz w:val="22"/>
          <w:lang w:val="es-ES"/>
        </w:rPr>
        <w:t>;</w:t>
      </w:r>
    </w:p>
    <w:p w:rsidR="00DF0F13" w:rsidRPr="003623EB" w:rsidRDefault="00DF0F13" w:rsidP="00DF0F13">
      <w:pPr>
        <w:widowControl/>
        <w:autoSpaceDE/>
        <w:adjustRightInd/>
        <w:jc w:val="both"/>
        <w:rPr>
          <w:rFonts w:ascii="Arial" w:hAnsi="Arial" w:cs="Arial"/>
          <w:sz w:val="22"/>
          <w:szCs w:val="22"/>
          <w:lang w:val="es-ES"/>
        </w:rPr>
      </w:pPr>
    </w:p>
    <w:p w:rsidR="00DF0F13" w:rsidRPr="003623EB" w:rsidRDefault="00DF0F13" w:rsidP="00DF0F13">
      <w:pPr>
        <w:widowControl/>
        <w:autoSpaceDE/>
        <w:adjustRightInd/>
        <w:jc w:val="both"/>
        <w:rPr>
          <w:rFonts w:ascii="Arial" w:hAnsi="Arial" w:cs="Arial"/>
          <w:sz w:val="22"/>
          <w:szCs w:val="22"/>
          <w:lang w:val="es-ES"/>
        </w:rPr>
      </w:pPr>
      <w:r w:rsidRPr="0042672D">
        <w:rPr>
          <w:rFonts w:ascii="Arial" w:hAnsi="Arial" w:cs="Arial"/>
          <w:i/>
          <w:iCs/>
          <w:sz w:val="22"/>
          <w:szCs w:val="22"/>
          <w:lang w:val="es-ES_tradnl"/>
        </w:rPr>
        <w:t xml:space="preserve">Reiterando </w:t>
      </w:r>
      <w:r w:rsidRPr="0042672D">
        <w:rPr>
          <w:rFonts w:ascii="Arial" w:hAnsi="Arial" w:cs="Arial"/>
          <w:sz w:val="22"/>
          <w:szCs w:val="22"/>
          <w:lang w:val="es-ES_tradnl"/>
        </w:rPr>
        <w:t>su llamamiento urgente formulado en la Resolución 10.15 por la que se insta a las Partes a promover la integración de la conservación de cetáceos en todos los sectores importantes, coordinando sus posiciones nacionales entre las distintas convenciones, acuerdos y otros foros internacionales</w:t>
      </w:r>
      <w:r w:rsidRPr="003623EB">
        <w:rPr>
          <w:rFonts w:ascii="Arial" w:hAnsi="Arial"/>
          <w:sz w:val="22"/>
          <w:lang w:val="es-ES"/>
        </w:rPr>
        <w:t>;</w:t>
      </w:r>
    </w:p>
    <w:p w:rsidR="00DF0F13" w:rsidRPr="003623EB" w:rsidRDefault="00DF0F13" w:rsidP="00DF0F13">
      <w:pPr>
        <w:widowControl/>
        <w:autoSpaceDE/>
        <w:adjustRightInd/>
        <w:jc w:val="both"/>
        <w:rPr>
          <w:rFonts w:ascii="Arial" w:hAnsi="Arial" w:cs="Arial"/>
          <w:sz w:val="22"/>
          <w:szCs w:val="22"/>
          <w:lang w:val="es-ES"/>
        </w:rPr>
      </w:pPr>
    </w:p>
    <w:p w:rsidR="00DF0F13" w:rsidRPr="003623EB" w:rsidRDefault="00DF0F13" w:rsidP="00DF0F13">
      <w:pPr>
        <w:widowControl/>
        <w:autoSpaceDE/>
        <w:adjustRightInd/>
        <w:jc w:val="both"/>
        <w:rPr>
          <w:rFonts w:ascii="Arial" w:hAnsi="Arial" w:cs="Arial"/>
          <w:sz w:val="22"/>
          <w:szCs w:val="22"/>
          <w:lang w:val="es-ES"/>
        </w:rPr>
      </w:pPr>
      <w:r w:rsidRPr="0042672D">
        <w:rPr>
          <w:rFonts w:ascii="Arial" w:hAnsi="Arial" w:cs="Arial"/>
          <w:i/>
          <w:iCs/>
          <w:sz w:val="22"/>
          <w:szCs w:val="22"/>
          <w:lang w:val="es-ES_tradnl"/>
        </w:rPr>
        <w:t xml:space="preserve">Consciente </w:t>
      </w:r>
      <w:r w:rsidRPr="0042672D">
        <w:rPr>
          <w:rFonts w:ascii="Arial" w:hAnsi="Arial" w:cs="Arial"/>
          <w:sz w:val="22"/>
          <w:szCs w:val="22"/>
          <w:lang w:val="es-ES_tradnl"/>
        </w:rPr>
        <w:t xml:space="preserve">de que todos los instrumentos regionales relacionados con los cetáceos, establecidos en el marco de </w:t>
      </w:r>
      <w:r>
        <w:rPr>
          <w:rFonts w:ascii="Arial" w:hAnsi="Arial" w:cs="Arial"/>
          <w:sz w:val="22"/>
          <w:szCs w:val="22"/>
          <w:lang w:val="es-ES_tradnl"/>
        </w:rPr>
        <w:t>la CMS, contienen disposiciones</w:t>
      </w:r>
      <w:r w:rsidRPr="0042672D">
        <w:rPr>
          <w:rFonts w:ascii="Arial" w:hAnsi="Arial" w:cs="Arial"/>
          <w:sz w:val="22"/>
          <w:szCs w:val="22"/>
          <w:lang w:val="es-ES_tradnl"/>
        </w:rPr>
        <w:t>, o tienen planes en funcionamiento, relevantes para el tema de la captura en vivo, a saber, que</w:t>
      </w:r>
      <w:r w:rsidRPr="003623EB">
        <w:rPr>
          <w:rFonts w:ascii="Arial" w:hAnsi="Arial"/>
          <w:sz w:val="22"/>
          <w:lang w:val="es-ES"/>
        </w:rPr>
        <w:t>:</w:t>
      </w:r>
    </w:p>
    <w:p w:rsidR="00DF0F13" w:rsidRPr="003623EB" w:rsidRDefault="00DF0F13" w:rsidP="00DF0F13">
      <w:pPr>
        <w:widowControl/>
        <w:autoSpaceDE/>
        <w:adjustRightInd/>
        <w:jc w:val="both"/>
        <w:rPr>
          <w:rFonts w:ascii="Arial" w:hAnsi="Arial" w:cs="Arial"/>
          <w:sz w:val="22"/>
          <w:szCs w:val="22"/>
          <w:lang w:val="es-ES"/>
        </w:rPr>
      </w:pPr>
    </w:p>
    <w:p w:rsidR="00DF0F13" w:rsidRPr="003623EB" w:rsidRDefault="00DF0F13" w:rsidP="00DF0F13">
      <w:pPr>
        <w:widowControl/>
        <w:numPr>
          <w:ilvl w:val="0"/>
          <w:numId w:val="9"/>
        </w:numPr>
        <w:autoSpaceDE/>
        <w:adjustRightInd/>
        <w:jc w:val="both"/>
        <w:rPr>
          <w:rFonts w:ascii="Arial" w:hAnsi="Arial" w:cs="Arial"/>
          <w:sz w:val="22"/>
          <w:szCs w:val="22"/>
          <w:lang w:val="es-ES"/>
        </w:rPr>
      </w:pPr>
      <w:r w:rsidRPr="0042672D">
        <w:rPr>
          <w:rFonts w:ascii="Arial" w:hAnsi="Arial" w:cs="Arial"/>
          <w:spacing w:val="2"/>
          <w:sz w:val="22"/>
          <w:szCs w:val="22"/>
          <w:lang w:val="es-ES_tradnl"/>
        </w:rPr>
        <w:t>en el Plan de acción para ballenas y delfines (2013-2017) del Memorando de Entendimiento de la CMS para la conservación de los cetáceos y sus hábitats en la región de las Islas del Pacífico se incluye la "captura directa", como uno de los cinco peligros principales para las poblaciones de ballenas y delfines en la región de las islas del Pacífico e incluye la reducción al mínimo de su impacto como un objetivo del Plan</w:t>
      </w:r>
    </w:p>
    <w:p w:rsidR="00DF0F13" w:rsidRPr="003623EB" w:rsidRDefault="00DF0F13" w:rsidP="00DF0F13">
      <w:pPr>
        <w:widowControl/>
        <w:autoSpaceDE/>
        <w:adjustRightInd/>
        <w:ind w:left="360"/>
        <w:jc w:val="both"/>
        <w:rPr>
          <w:rFonts w:ascii="Arial" w:hAnsi="Arial" w:cs="Arial"/>
          <w:sz w:val="22"/>
          <w:szCs w:val="22"/>
          <w:lang w:val="es-ES"/>
        </w:rPr>
      </w:pPr>
    </w:p>
    <w:p w:rsidR="00DF0F13" w:rsidRPr="003623EB" w:rsidRDefault="00DF0F13" w:rsidP="00DF0F13">
      <w:pPr>
        <w:widowControl/>
        <w:numPr>
          <w:ilvl w:val="0"/>
          <w:numId w:val="10"/>
        </w:numPr>
        <w:autoSpaceDE/>
        <w:adjustRightInd/>
        <w:jc w:val="both"/>
        <w:rPr>
          <w:rFonts w:ascii="Arial" w:hAnsi="Arial" w:cs="Arial"/>
          <w:sz w:val="22"/>
          <w:szCs w:val="22"/>
          <w:lang w:val="es-ES"/>
        </w:rPr>
      </w:pPr>
      <w:r w:rsidRPr="0042672D">
        <w:rPr>
          <w:rFonts w:ascii="Arial" w:hAnsi="Arial" w:cs="Arial"/>
          <w:sz w:val="22"/>
          <w:szCs w:val="22"/>
          <w:lang w:val="es-ES_tradnl"/>
        </w:rPr>
        <w:t>en el Plan de acción para los pequeño</w:t>
      </w:r>
      <w:r w:rsidR="00467E93">
        <w:rPr>
          <w:rFonts w:ascii="Arial" w:hAnsi="Arial" w:cs="Arial"/>
          <w:sz w:val="22"/>
          <w:szCs w:val="22"/>
          <w:lang w:val="es-ES_tradnl"/>
        </w:rPr>
        <w:t>s</w:t>
      </w:r>
      <w:r w:rsidRPr="0042672D">
        <w:rPr>
          <w:rFonts w:ascii="Arial" w:hAnsi="Arial" w:cs="Arial"/>
          <w:sz w:val="22"/>
          <w:szCs w:val="22"/>
          <w:lang w:val="es-ES_tradnl"/>
        </w:rPr>
        <w:t xml:space="preserve"> cetáceos del Memorando de Entendimiento de la CMS relativo a la conservación de los cetáceos de África occidental y la </w:t>
      </w:r>
      <w:proofErr w:type="spellStart"/>
      <w:r w:rsidRPr="0042672D">
        <w:rPr>
          <w:rFonts w:ascii="Arial" w:hAnsi="Arial" w:cs="Arial"/>
          <w:sz w:val="22"/>
          <w:szCs w:val="22"/>
          <w:lang w:val="es-ES_tradnl"/>
        </w:rPr>
        <w:t>Macaronesia</w:t>
      </w:r>
      <w:proofErr w:type="spellEnd"/>
      <w:r w:rsidRPr="0042672D">
        <w:rPr>
          <w:rFonts w:ascii="Arial" w:hAnsi="Arial" w:cs="Arial"/>
          <w:sz w:val="22"/>
          <w:szCs w:val="22"/>
          <w:lang w:val="es-ES_tradnl"/>
        </w:rPr>
        <w:t xml:space="preserve"> se pide a los signatarios que velen por que toda actividad de captura en vivo llevada a cabo en la región no afecte a la viabilidad de las poblaciones locales y se ajuste a los reglamentos y acuerdos internacionales</w:t>
      </w:r>
      <w:r w:rsidRPr="003623EB">
        <w:rPr>
          <w:rFonts w:ascii="Arial" w:hAnsi="Arial"/>
          <w:sz w:val="22"/>
          <w:lang w:val="es-ES"/>
        </w:rPr>
        <w:t>;</w:t>
      </w:r>
    </w:p>
    <w:p w:rsidR="00DF0F13" w:rsidRPr="003623EB" w:rsidRDefault="00DF0F13" w:rsidP="00DF0F13">
      <w:pPr>
        <w:widowControl/>
        <w:autoSpaceDE/>
        <w:adjustRightInd/>
        <w:jc w:val="both"/>
        <w:rPr>
          <w:rFonts w:ascii="Arial" w:hAnsi="Arial" w:cs="Arial"/>
          <w:sz w:val="22"/>
          <w:szCs w:val="22"/>
          <w:lang w:val="es-ES"/>
        </w:rPr>
      </w:pPr>
    </w:p>
    <w:p w:rsidR="00DF0F13" w:rsidRPr="003623EB" w:rsidRDefault="00DF0F13" w:rsidP="00DF0F13">
      <w:pPr>
        <w:widowControl/>
        <w:numPr>
          <w:ilvl w:val="0"/>
          <w:numId w:val="10"/>
        </w:numPr>
        <w:autoSpaceDE/>
        <w:adjustRightInd/>
        <w:jc w:val="both"/>
        <w:rPr>
          <w:rFonts w:ascii="Arial" w:hAnsi="Arial" w:cs="Arial"/>
          <w:sz w:val="22"/>
          <w:szCs w:val="22"/>
          <w:lang w:val="es-ES"/>
        </w:rPr>
      </w:pPr>
      <w:r w:rsidRPr="0042672D">
        <w:rPr>
          <w:rFonts w:ascii="Arial" w:hAnsi="Arial" w:cs="Arial"/>
          <w:sz w:val="22"/>
          <w:szCs w:val="22"/>
          <w:lang w:val="es-ES_tradnl"/>
        </w:rPr>
        <w:t xml:space="preserve">el párrafo 4 del Anexo del Acuerdo ASCOBANS pide a las Partes que "traten de establecer en la legislación nacional (a) la prohibición de la captura y eliminación intencional de pequeños cetáceos cuando tales normas no están todavía en vigor", de acuerdo </w:t>
      </w:r>
      <w:r>
        <w:rPr>
          <w:rFonts w:ascii="Arial" w:hAnsi="Arial" w:cs="Arial"/>
          <w:sz w:val="22"/>
          <w:szCs w:val="22"/>
          <w:lang w:val="es-ES_tradnl"/>
        </w:rPr>
        <w:t>con e</w:t>
      </w:r>
      <w:r w:rsidRPr="0042672D">
        <w:rPr>
          <w:rFonts w:ascii="Arial" w:hAnsi="Arial" w:cs="Arial"/>
          <w:sz w:val="22"/>
          <w:szCs w:val="22"/>
          <w:lang w:val="es-ES_tradnl"/>
        </w:rPr>
        <w:t>l Artículo 2.1 que tiene como objetivo lograr y mantener un estado favorable de conservación para los pequeños cetáceos</w:t>
      </w:r>
      <w:r w:rsidRPr="003623EB">
        <w:rPr>
          <w:rFonts w:ascii="Arial" w:hAnsi="Arial"/>
          <w:sz w:val="22"/>
          <w:lang w:val="es-ES"/>
        </w:rPr>
        <w:t>; y</w:t>
      </w:r>
    </w:p>
    <w:p w:rsidR="00DF0F13" w:rsidRPr="003623EB" w:rsidRDefault="00DF0F13" w:rsidP="00DF0F13">
      <w:pPr>
        <w:widowControl/>
        <w:autoSpaceDE/>
        <w:adjustRightInd/>
        <w:jc w:val="both"/>
        <w:rPr>
          <w:rFonts w:ascii="Arial" w:hAnsi="Arial" w:cs="Arial"/>
          <w:sz w:val="22"/>
          <w:szCs w:val="22"/>
          <w:lang w:val="es-ES"/>
        </w:rPr>
      </w:pPr>
    </w:p>
    <w:p w:rsidR="00DF0F13" w:rsidRPr="003623EB" w:rsidRDefault="00DF0F13" w:rsidP="00DF0F13">
      <w:pPr>
        <w:widowControl/>
        <w:numPr>
          <w:ilvl w:val="0"/>
          <w:numId w:val="10"/>
        </w:numPr>
        <w:autoSpaceDE/>
        <w:adjustRightInd/>
        <w:jc w:val="both"/>
        <w:rPr>
          <w:rFonts w:ascii="Arial" w:hAnsi="Arial" w:cs="Arial"/>
          <w:sz w:val="22"/>
          <w:szCs w:val="22"/>
          <w:lang w:val="es-ES"/>
        </w:rPr>
      </w:pPr>
      <w:r w:rsidRPr="0042672D">
        <w:rPr>
          <w:rFonts w:ascii="Arial" w:hAnsi="Arial" w:cs="Arial"/>
          <w:sz w:val="22"/>
          <w:szCs w:val="22"/>
          <w:lang w:val="es-ES_tradnl"/>
        </w:rPr>
        <w:t>en el Artículo II del Acuerdo ACCOBAMS se pide a las Partes que "prohíban y adopten todas las medidas necesarias, donde no se haya hecho todavía, para eliminar toda captura deliberada de cetáceos"; sujeto a excepciones limitadas “sólo en situaciones de emergencia” y “para el propósito de investigación in situ no letal dirigida a mantener un estado de conservación favorable para los cetáceos”</w:t>
      </w:r>
      <w:r w:rsidRPr="003623EB">
        <w:rPr>
          <w:rFonts w:ascii="Arial" w:hAnsi="Arial"/>
          <w:sz w:val="22"/>
          <w:lang w:val="es-ES"/>
        </w:rPr>
        <w:t>;</w:t>
      </w:r>
    </w:p>
    <w:p w:rsidR="00DF0F13" w:rsidRPr="003623EB" w:rsidRDefault="00DF0F13" w:rsidP="00DF0F13">
      <w:pPr>
        <w:widowControl/>
        <w:autoSpaceDE/>
        <w:adjustRightInd/>
        <w:jc w:val="both"/>
        <w:rPr>
          <w:rFonts w:ascii="Arial" w:hAnsi="Arial" w:cs="Arial"/>
          <w:sz w:val="22"/>
          <w:szCs w:val="22"/>
          <w:lang w:val="es-ES"/>
        </w:rPr>
      </w:pPr>
    </w:p>
    <w:p w:rsidR="00DF0F13" w:rsidRPr="006A0739" w:rsidRDefault="00DF0F13" w:rsidP="00DF0F13">
      <w:pPr>
        <w:widowControl/>
        <w:autoSpaceDE/>
        <w:adjustRightInd/>
        <w:jc w:val="both"/>
        <w:rPr>
          <w:rFonts w:ascii="Arial" w:hAnsi="Arial" w:cs="Arial"/>
          <w:sz w:val="22"/>
          <w:szCs w:val="22"/>
        </w:rPr>
      </w:pPr>
      <w:proofErr w:type="spellStart"/>
      <w:r>
        <w:rPr>
          <w:rFonts w:ascii="Arial" w:hAnsi="Arial"/>
          <w:i/>
          <w:sz w:val="22"/>
        </w:rPr>
        <w:t>Consciente</w:t>
      </w:r>
      <w:proofErr w:type="spellEnd"/>
      <w:r>
        <w:rPr>
          <w:rFonts w:ascii="Arial" w:hAnsi="Arial"/>
          <w:i/>
          <w:sz w:val="22"/>
        </w:rPr>
        <w:t xml:space="preserve"> </w:t>
      </w:r>
      <w:proofErr w:type="spellStart"/>
      <w:r>
        <w:rPr>
          <w:rFonts w:ascii="Arial" w:hAnsi="Arial"/>
          <w:i/>
          <w:sz w:val="22"/>
        </w:rPr>
        <w:t>también</w:t>
      </w:r>
      <w:proofErr w:type="spellEnd"/>
      <w:r>
        <w:rPr>
          <w:rFonts w:ascii="Arial" w:hAnsi="Arial"/>
          <w:sz w:val="22"/>
        </w:rPr>
        <w:t xml:space="preserve"> de que:</w:t>
      </w:r>
    </w:p>
    <w:p w:rsidR="00DF0F13" w:rsidRPr="006A0739" w:rsidRDefault="00DF0F13" w:rsidP="00DF0F13">
      <w:pPr>
        <w:widowControl/>
        <w:autoSpaceDE/>
        <w:adjustRightInd/>
        <w:jc w:val="both"/>
        <w:rPr>
          <w:rFonts w:ascii="Arial" w:hAnsi="Arial" w:cs="Arial"/>
          <w:sz w:val="22"/>
          <w:szCs w:val="22"/>
        </w:rPr>
      </w:pPr>
    </w:p>
    <w:p w:rsidR="00DF0F13" w:rsidRPr="003623EB" w:rsidRDefault="00DF0F13" w:rsidP="00DF0F13">
      <w:pPr>
        <w:widowControl/>
        <w:numPr>
          <w:ilvl w:val="0"/>
          <w:numId w:val="11"/>
        </w:numPr>
        <w:autoSpaceDE/>
        <w:adjustRightInd/>
        <w:jc w:val="both"/>
        <w:rPr>
          <w:rFonts w:ascii="Arial" w:hAnsi="Arial" w:cs="Arial"/>
          <w:sz w:val="22"/>
          <w:szCs w:val="22"/>
          <w:lang w:val="es-ES"/>
        </w:rPr>
      </w:pPr>
      <w:r w:rsidRPr="0042672D">
        <w:rPr>
          <w:rFonts w:ascii="Arial" w:hAnsi="Arial" w:cs="Arial"/>
          <w:sz w:val="22"/>
          <w:szCs w:val="22"/>
          <w:lang w:val="es-ES_tradnl"/>
        </w:rPr>
        <w:t xml:space="preserve">en la Convención sobre el comercio internacional de especies amenazadas de fauna y flora silvestres (CITES) se incluye a todas las especies de cetáceos en sus Apéndices I o II, en que se prohíben las importaciones de especímenes de especies del Apéndice I de </w:t>
      </w:r>
      <w:r>
        <w:rPr>
          <w:rFonts w:ascii="Arial" w:hAnsi="Arial" w:cs="Arial"/>
          <w:sz w:val="22"/>
          <w:szCs w:val="22"/>
          <w:lang w:val="es-ES_tradnl"/>
        </w:rPr>
        <w:t xml:space="preserve">la </w:t>
      </w:r>
      <w:r w:rsidRPr="0042672D">
        <w:rPr>
          <w:rFonts w:ascii="Arial" w:hAnsi="Arial" w:cs="Arial"/>
          <w:sz w:val="22"/>
          <w:szCs w:val="22"/>
          <w:lang w:val="es-ES_tradnl"/>
        </w:rPr>
        <w:t>CITES que habrán de utilizarse para fines primordialmente comerciales</w:t>
      </w:r>
      <w:r w:rsidRPr="003623EB">
        <w:rPr>
          <w:rFonts w:ascii="Arial" w:hAnsi="Arial"/>
          <w:sz w:val="22"/>
          <w:lang w:val="es-ES"/>
        </w:rPr>
        <w:t>;</w:t>
      </w:r>
    </w:p>
    <w:p w:rsidR="00DF0F13" w:rsidRPr="003623EB" w:rsidRDefault="00DF0F13" w:rsidP="00DF0F13">
      <w:pPr>
        <w:widowControl/>
        <w:autoSpaceDE/>
        <w:adjustRightInd/>
        <w:jc w:val="both"/>
        <w:rPr>
          <w:rFonts w:ascii="Arial" w:hAnsi="Arial" w:cs="Arial"/>
          <w:sz w:val="22"/>
          <w:szCs w:val="22"/>
          <w:lang w:val="es-ES"/>
        </w:rPr>
      </w:pPr>
    </w:p>
    <w:p w:rsidR="00DF0F13" w:rsidRPr="003623EB" w:rsidRDefault="00DF0F13" w:rsidP="00DF0F13">
      <w:pPr>
        <w:widowControl/>
        <w:numPr>
          <w:ilvl w:val="0"/>
          <w:numId w:val="11"/>
        </w:numPr>
        <w:autoSpaceDE/>
        <w:adjustRightInd/>
        <w:jc w:val="both"/>
        <w:rPr>
          <w:rFonts w:ascii="Arial" w:hAnsi="Arial" w:cs="Arial"/>
          <w:sz w:val="22"/>
          <w:szCs w:val="22"/>
          <w:lang w:val="es-ES"/>
        </w:rPr>
      </w:pPr>
      <w:r w:rsidRPr="0042672D">
        <w:rPr>
          <w:rFonts w:ascii="Arial" w:hAnsi="Arial" w:cs="Arial"/>
          <w:sz w:val="22"/>
          <w:szCs w:val="22"/>
          <w:lang w:val="es-ES_tradnl"/>
        </w:rPr>
        <w:t>en el Convenio de Berna sobre la conservación de la fauna y flora silvestres y hábitats naturales en Europa se prohíbe "toda forma de captura y posesión deliberada" de las especies incluidas en el Apéndice II, entre ellos el delfín mular (</w:t>
      </w:r>
      <w:proofErr w:type="spellStart"/>
      <w:r w:rsidRPr="0042672D">
        <w:rPr>
          <w:rFonts w:ascii="Arial" w:hAnsi="Arial" w:cs="Arial"/>
          <w:i/>
          <w:iCs/>
          <w:sz w:val="22"/>
          <w:szCs w:val="22"/>
          <w:lang w:val="es-ES_tradnl"/>
        </w:rPr>
        <w:t>Tursiops</w:t>
      </w:r>
      <w:proofErr w:type="spellEnd"/>
      <w:r w:rsidRPr="0042672D">
        <w:rPr>
          <w:rFonts w:ascii="Arial" w:hAnsi="Arial" w:cs="Arial"/>
          <w:i/>
          <w:iCs/>
          <w:sz w:val="22"/>
          <w:szCs w:val="22"/>
          <w:lang w:val="es-ES_tradnl"/>
        </w:rPr>
        <w:t xml:space="preserve"> </w:t>
      </w:r>
      <w:proofErr w:type="spellStart"/>
      <w:r w:rsidRPr="0042672D">
        <w:rPr>
          <w:rFonts w:ascii="Arial" w:hAnsi="Arial" w:cs="Arial"/>
          <w:i/>
          <w:iCs/>
          <w:sz w:val="22"/>
          <w:szCs w:val="22"/>
          <w:lang w:val="es-ES_tradnl"/>
        </w:rPr>
        <w:t>truncatus</w:t>
      </w:r>
      <w:proofErr w:type="spellEnd"/>
      <w:r w:rsidRPr="0042672D">
        <w:rPr>
          <w:rFonts w:ascii="Arial" w:hAnsi="Arial" w:cs="Arial"/>
          <w:sz w:val="22"/>
          <w:szCs w:val="22"/>
          <w:lang w:val="es-ES_tradnl"/>
        </w:rPr>
        <w:t>) y la orca (</w:t>
      </w:r>
      <w:proofErr w:type="spellStart"/>
      <w:r w:rsidRPr="0042672D">
        <w:rPr>
          <w:rFonts w:ascii="Arial" w:hAnsi="Arial" w:cs="Arial"/>
          <w:i/>
          <w:iCs/>
          <w:sz w:val="22"/>
          <w:szCs w:val="22"/>
          <w:lang w:val="es-ES_tradnl"/>
        </w:rPr>
        <w:t>Orcinus</w:t>
      </w:r>
      <w:proofErr w:type="spellEnd"/>
      <w:r w:rsidRPr="0042672D">
        <w:rPr>
          <w:rFonts w:ascii="Arial" w:hAnsi="Arial" w:cs="Arial"/>
          <w:i/>
          <w:iCs/>
          <w:sz w:val="22"/>
          <w:szCs w:val="22"/>
          <w:lang w:val="es-ES_tradnl"/>
        </w:rPr>
        <w:t xml:space="preserve"> orca</w:t>
      </w:r>
      <w:r w:rsidRPr="0042672D">
        <w:rPr>
          <w:rFonts w:ascii="Arial" w:hAnsi="Arial" w:cs="Arial"/>
          <w:sz w:val="22"/>
          <w:szCs w:val="22"/>
          <w:lang w:val="es-ES_tradnl"/>
        </w:rPr>
        <w:t>)</w:t>
      </w:r>
      <w:r w:rsidRPr="003623EB">
        <w:rPr>
          <w:rFonts w:ascii="Arial" w:hAnsi="Arial"/>
          <w:sz w:val="22"/>
          <w:lang w:val="es-ES"/>
        </w:rPr>
        <w:t>;</w:t>
      </w:r>
    </w:p>
    <w:p w:rsidR="00DF0F13" w:rsidRPr="003623EB" w:rsidRDefault="00DF0F13" w:rsidP="00DF0F13">
      <w:pPr>
        <w:widowControl/>
        <w:autoSpaceDE/>
        <w:adjustRightInd/>
        <w:jc w:val="both"/>
        <w:rPr>
          <w:rFonts w:ascii="Arial" w:hAnsi="Arial" w:cs="Arial"/>
          <w:sz w:val="22"/>
          <w:szCs w:val="22"/>
          <w:lang w:val="es-ES"/>
        </w:rPr>
      </w:pPr>
    </w:p>
    <w:p w:rsidR="00DF0F13" w:rsidRPr="003623EB" w:rsidRDefault="00DF0F13" w:rsidP="00DF0F13">
      <w:pPr>
        <w:widowControl/>
        <w:numPr>
          <w:ilvl w:val="0"/>
          <w:numId w:val="11"/>
        </w:numPr>
        <w:autoSpaceDE/>
        <w:adjustRightInd/>
        <w:jc w:val="both"/>
        <w:rPr>
          <w:rFonts w:ascii="Arial" w:hAnsi="Arial" w:cs="Arial"/>
          <w:sz w:val="22"/>
          <w:szCs w:val="22"/>
          <w:lang w:val="es-ES"/>
        </w:rPr>
      </w:pPr>
      <w:r w:rsidRPr="0042672D">
        <w:rPr>
          <w:rFonts w:ascii="Arial" w:hAnsi="Arial" w:cs="Arial"/>
          <w:sz w:val="22"/>
          <w:szCs w:val="22"/>
          <w:lang w:val="es-ES_tradnl"/>
        </w:rPr>
        <w:t>en la Directiva del Consejo Europeo de la Unión 92/43/CEE relativa a la conservación de los hábitats naturales y de la fauna y flora se incluye a todos los cetáceos en su Anexo IV y sujeto a excepciones, requiere que los Estados miembros de la UE para tomar medidas de requisitos para establecer un sistema de protección estricta para estas especies en su área de distribución natural, prohibiendo todas las formas de captura o matanza deliberada de especímenes, así como prohibir la venta o el intercambio comercial de cetáceos</w:t>
      </w:r>
      <w:r w:rsidRPr="003623EB">
        <w:rPr>
          <w:rFonts w:ascii="Arial" w:hAnsi="Arial"/>
          <w:sz w:val="22"/>
          <w:lang w:val="es-ES"/>
        </w:rPr>
        <w:t>;</w:t>
      </w:r>
    </w:p>
    <w:p w:rsidR="00DF0F13" w:rsidRPr="003623EB" w:rsidRDefault="00DF0F13" w:rsidP="00DF0F13">
      <w:pPr>
        <w:widowControl/>
        <w:autoSpaceDE/>
        <w:adjustRightInd/>
        <w:jc w:val="both"/>
        <w:rPr>
          <w:rFonts w:ascii="Arial" w:hAnsi="Arial" w:cs="Arial"/>
          <w:sz w:val="22"/>
          <w:szCs w:val="22"/>
          <w:lang w:val="es-ES"/>
        </w:rPr>
      </w:pPr>
    </w:p>
    <w:p w:rsidR="00DF0F13" w:rsidRPr="003623EB" w:rsidRDefault="00DF0F13" w:rsidP="00DF0F13">
      <w:pPr>
        <w:widowControl/>
        <w:numPr>
          <w:ilvl w:val="0"/>
          <w:numId w:val="11"/>
        </w:numPr>
        <w:autoSpaceDE/>
        <w:adjustRightInd/>
        <w:jc w:val="both"/>
        <w:rPr>
          <w:rFonts w:ascii="Arial" w:hAnsi="Arial" w:cs="Arial"/>
          <w:sz w:val="22"/>
          <w:szCs w:val="22"/>
          <w:lang w:val="es-ES"/>
        </w:rPr>
      </w:pPr>
      <w:r w:rsidRPr="0042672D">
        <w:rPr>
          <w:rFonts w:ascii="Arial" w:hAnsi="Arial" w:cs="Arial"/>
          <w:sz w:val="22"/>
          <w:szCs w:val="22"/>
          <w:lang w:val="es-ES_tradnl"/>
        </w:rPr>
        <w:t xml:space="preserve">el artículo 11 (1) (b) del Protocolo relativo a las áreas y la flora y fauna silvestres especialmente protegidas de la Región del Gran Caribe requiere que cada Parte asegure la protección y recuperación de especies de fauna en su Anexo 2 (incluyendo </w:t>
      </w:r>
      <w:r w:rsidRPr="0042672D">
        <w:rPr>
          <w:rFonts w:ascii="Arial" w:hAnsi="Arial" w:cs="Arial"/>
          <w:sz w:val="22"/>
          <w:szCs w:val="22"/>
          <w:lang w:val="es-ES_tradnl"/>
        </w:rPr>
        <w:lastRenderedPageBreak/>
        <w:t>cetáceos) mediante la prohibición de "la captura, posesión o muerte (incluidas, en la medida de lo posible, la captura, posesión o muerte incidentales) o el intercambio comercial" de dichas especies o sus partes o productos</w:t>
      </w:r>
      <w:r w:rsidRPr="003623EB">
        <w:rPr>
          <w:rFonts w:ascii="Arial" w:hAnsi="Arial"/>
          <w:sz w:val="22"/>
          <w:lang w:val="es-ES"/>
        </w:rPr>
        <w:t>; y</w:t>
      </w:r>
    </w:p>
    <w:p w:rsidR="00DF0F13" w:rsidRPr="003623EB" w:rsidRDefault="00DF0F13" w:rsidP="00DF0F13">
      <w:pPr>
        <w:widowControl/>
        <w:autoSpaceDE/>
        <w:adjustRightInd/>
        <w:jc w:val="both"/>
        <w:rPr>
          <w:rFonts w:ascii="Arial" w:hAnsi="Arial" w:cs="Arial"/>
          <w:sz w:val="22"/>
          <w:szCs w:val="22"/>
          <w:lang w:val="es-ES"/>
        </w:rPr>
      </w:pPr>
    </w:p>
    <w:p w:rsidR="00DF0F13" w:rsidRPr="003623EB" w:rsidRDefault="00DF0F13" w:rsidP="00DF0F13">
      <w:pPr>
        <w:widowControl/>
        <w:numPr>
          <w:ilvl w:val="0"/>
          <w:numId w:val="11"/>
        </w:numPr>
        <w:autoSpaceDE/>
        <w:adjustRightInd/>
        <w:jc w:val="both"/>
        <w:rPr>
          <w:rFonts w:ascii="Arial" w:hAnsi="Arial" w:cs="Arial"/>
          <w:sz w:val="22"/>
          <w:szCs w:val="22"/>
          <w:lang w:val="es-ES"/>
        </w:rPr>
      </w:pPr>
      <w:r w:rsidRPr="0042672D">
        <w:rPr>
          <w:rFonts w:ascii="Arial" w:hAnsi="Arial" w:cs="Arial"/>
          <w:sz w:val="22"/>
          <w:szCs w:val="22"/>
          <w:lang w:val="es-ES_tradnl"/>
        </w:rPr>
        <w:t>el llamado Grupo de Buenos Aires, que comprende a la mayoría de los países Latinoamericanos miembros de la CBI, adoptó en 2007 la Estrategia Latinoamericana para la Cooperación en Conservación de Cetáceos, la cual asume entre sus principales compromisos el uso no letal de cetáceos</w:t>
      </w:r>
      <w:r w:rsidRPr="003623EB">
        <w:rPr>
          <w:rFonts w:ascii="Arial" w:hAnsi="Arial"/>
          <w:sz w:val="22"/>
          <w:lang w:val="es-ES"/>
        </w:rPr>
        <w:t>.</w:t>
      </w:r>
    </w:p>
    <w:p w:rsidR="00DF0F13" w:rsidRPr="003623EB" w:rsidRDefault="00DF0F13" w:rsidP="00DF0F13">
      <w:pPr>
        <w:widowControl/>
        <w:autoSpaceDE/>
        <w:adjustRightInd/>
        <w:jc w:val="both"/>
        <w:rPr>
          <w:rFonts w:ascii="Arial" w:hAnsi="Arial" w:cs="Arial"/>
          <w:sz w:val="22"/>
          <w:szCs w:val="22"/>
          <w:lang w:val="es-ES"/>
        </w:rPr>
      </w:pPr>
    </w:p>
    <w:p w:rsidR="00DF0F13" w:rsidRPr="003623EB" w:rsidRDefault="00DF0F13" w:rsidP="00DF0F13">
      <w:pPr>
        <w:widowControl/>
        <w:autoSpaceDE/>
        <w:adjustRightInd/>
        <w:jc w:val="both"/>
        <w:rPr>
          <w:rFonts w:ascii="Arial" w:hAnsi="Arial" w:cs="Arial"/>
          <w:i/>
          <w:sz w:val="22"/>
          <w:szCs w:val="22"/>
          <w:lang w:val="es-ES"/>
        </w:rPr>
      </w:pPr>
      <w:r w:rsidRPr="0042672D">
        <w:rPr>
          <w:rFonts w:ascii="Arial" w:hAnsi="Arial" w:cs="Arial"/>
          <w:i/>
          <w:iCs/>
          <w:sz w:val="22"/>
          <w:szCs w:val="22"/>
          <w:lang w:val="es-ES_tradnl"/>
        </w:rPr>
        <w:t xml:space="preserve">Reconociendo </w:t>
      </w:r>
      <w:r w:rsidRPr="0042672D">
        <w:rPr>
          <w:rFonts w:ascii="Arial" w:hAnsi="Arial" w:cs="Arial"/>
          <w:sz w:val="22"/>
          <w:szCs w:val="22"/>
          <w:lang w:val="es-ES_tradnl"/>
        </w:rPr>
        <w:t xml:space="preserve">la creciente preocupación global por el bienestar animal </w:t>
      </w:r>
      <w:proofErr w:type="gramStart"/>
      <w:r w:rsidRPr="0042672D">
        <w:rPr>
          <w:rFonts w:ascii="Arial" w:hAnsi="Arial" w:cs="Arial"/>
          <w:sz w:val="22"/>
          <w:szCs w:val="22"/>
          <w:lang w:val="es-ES_tradnl"/>
        </w:rPr>
        <w:t>en relación a</w:t>
      </w:r>
      <w:proofErr w:type="gramEnd"/>
      <w:r w:rsidRPr="0042672D">
        <w:rPr>
          <w:rFonts w:ascii="Arial" w:hAnsi="Arial" w:cs="Arial"/>
          <w:sz w:val="22"/>
          <w:szCs w:val="22"/>
          <w:lang w:val="es-ES_tradnl"/>
        </w:rPr>
        <w:t xml:space="preserve"> la captura, transporte y cautiverio de cetáceos vivos</w:t>
      </w:r>
      <w:r w:rsidRPr="003623EB">
        <w:rPr>
          <w:rFonts w:ascii="Arial" w:hAnsi="Arial"/>
          <w:sz w:val="22"/>
          <w:lang w:val="es-ES"/>
        </w:rPr>
        <w:t>; y</w:t>
      </w:r>
    </w:p>
    <w:p w:rsidR="00DF0F13" w:rsidRPr="003623EB" w:rsidRDefault="00DF0F13" w:rsidP="00DF0F13">
      <w:pPr>
        <w:widowControl/>
        <w:autoSpaceDE/>
        <w:adjustRightInd/>
        <w:jc w:val="both"/>
        <w:rPr>
          <w:rFonts w:ascii="Arial" w:hAnsi="Arial" w:cs="Arial"/>
          <w:i/>
          <w:sz w:val="22"/>
          <w:szCs w:val="22"/>
          <w:lang w:val="es-ES"/>
        </w:rPr>
      </w:pPr>
    </w:p>
    <w:p w:rsidR="00DF0F13" w:rsidRPr="003623EB" w:rsidRDefault="00DF0F13" w:rsidP="00DF0F13">
      <w:pPr>
        <w:widowControl/>
        <w:autoSpaceDE/>
        <w:adjustRightInd/>
        <w:jc w:val="both"/>
        <w:rPr>
          <w:rFonts w:ascii="Arial" w:hAnsi="Arial" w:cs="Arial"/>
          <w:sz w:val="22"/>
          <w:szCs w:val="22"/>
          <w:lang w:val="es-ES"/>
        </w:rPr>
      </w:pPr>
      <w:r w:rsidRPr="003623EB">
        <w:rPr>
          <w:rFonts w:ascii="Arial" w:hAnsi="Arial"/>
          <w:i/>
          <w:sz w:val="22"/>
          <w:lang w:val="es-ES"/>
        </w:rPr>
        <w:t>Reconociendo</w:t>
      </w:r>
      <w:r w:rsidRPr="003623EB">
        <w:rPr>
          <w:rFonts w:ascii="Arial" w:hAnsi="Arial"/>
          <w:sz w:val="22"/>
          <w:lang w:val="es-ES"/>
        </w:rPr>
        <w:t xml:space="preserve"> que varios países, entre ellos Argentina, Australia, Brasil, Costa Rica, Chile, China, Filipinas, India, </w:t>
      </w:r>
      <w:r w:rsidRPr="003623EB">
        <w:rPr>
          <w:rFonts w:ascii="Arial" w:hAnsi="Arial"/>
          <w:sz w:val="22"/>
          <w:u w:val="single"/>
          <w:lang w:val="es-ES"/>
        </w:rPr>
        <w:t>Israel</w:t>
      </w:r>
      <w:r w:rsidRPr="003623EB">
        <w:rPr>
          <w:rFonts w:ascii="Arial" w:hAnsi="Arial"/>
          <w:sz w:val="22"/>
          <w:lang w:val="es-ES"/>
        </w:rPr>
        <w:t xml:space="preserve">, Malasia, </w:t>
      </w:r>
      <w:r w:rsidRPr="003623EB">
        <w:rPr>
          <w:rFonts w:ascii="Arial" w:hAnsi="Arial"/>
          <w:sz w:val="22"/>
          <w:u w:val="single"/>
          <w:lang w:val="es-ES"/>
        </w:rPr>
        <w:t>Mauricio</w:t>
      </w:r>
      <w:r w:rsidRPr="003623EB">
        <w:rPr>
          <w:rFonts w:ascii="Arial" w:hAnsi="Arial"/>
          <w:sz w:val="22"/>
          <w:lang w:val="es-ES"/>
        </w:rPr>
        <w:t xml:space="preserve">, México, Mónaco, Nicaragua, Perú, República Democrática Popular Lao, Singapur, </w:t>
      </w:r>
      <w:r w:rsidRPr="003623EB">
        <w:rPr>
          <w:rFonts w:ascii="Arial" w:hAnsi="Arial"/>
          <w:sz w:val="22"/>
          <w:u w:val="single"/>
          <w:lang w:val="es-ES"/>
        </w:rPr>
        <w:t>Sri Lanka</w:t>
      </w:r>
      <w:r w:rsidRPr="003623EB">
        <w:rPr>
          <w:rFonts w:ascii="Arial" w:hAnsi="Arial"/>
          <w:sz w:val="22"/>
          <w:lang w:val="es-ES"/>
        </w:rPr>
        <w:t>, Tailandia, Uruguay y los Estados miembros de la UE han establecido ya prohibiciones totales o parciales de capturas en vivo de cetáceos silvestres en sus aguas nacionales;</w:t>
      </w:r>
    </w:p>
    <w:p w:rsidR="00DF0F13" w:rsidRPr="003623EB" w:rsidRDefault="00DF0F13" w:rsidP="00DF0F13">
      <w:pPr>
        <w:widowControl/>
        <w:autoSpaceDE/>
        <w:adjustRightInd/>
        <w:jc w:val="both"/>
        <w:rPr>
          <w:rFonts w:ascii="Arial" w:hAnsi="Arial" w:cs="Arial"/>
          <w:sz w:val="22"/>
          <w:szCs w:val="22"/>
          <w:lang w:val="es-ES"/>
        </w:rPr>
      </w:pPr>
    </w:p>
    <w:p w:rsidR="00DF0F13" w:rsidRPr="003623EB" w:rsidRDefault="00DF0F13" w:rsidP="00DF0F13">
      <w:pPr>
        <w:jc w:val="both"/>
        <w:rPr>
          <w:rFonts w:ascii="Arial" w:hAnsi="Arial" w:cs="Arial"/>
          <w:i/>
          <w:sz w:val="22"/>
          <w:szCs w:val="22"/>
          <w:lang w:val="es-ES"/>
        </w:rPr>
      </w:pPr>
    </w:p>
    <w:p w:rsidR="00DF0F13" w:rsidRPr="003623EB" w:rsidRDefault="00DF0F13" w:rsidP="00DF0F13">
      <w:pPr>
        <w:jc w:val="center"/>
        <w:rPr>
          <w:rFonts w:ascii="Arial" w:hAnsi="Arial" w:cs="Arial"/>
          <w:i/>
          <w:sz w:val="22"/>
          <w:szCs w:val="22"/>
          <w:lang w:val="es-ES"/>
        </w:rPr>
      </w:pPr>
      <w:r w:rsidRPr="003623EB">
        <w:rPr>
          <w:rFonts w:ascii="Arial" w:hAnsi="Arial"/>
          <w:i/>
          <w:sz w:val="22"/>
          <w:lang w:val="es-ES"/>
        </w:rPr>
        <w:t>La Conferencia de las Partes en la</w:t>
      </w:r>
    </w:p>
    <w:p w:rsidR="00DF0F13" w:rsidRPr="003623EB" w:rsidRDefault="00DF0F13" w:rsidP="00DF0F13">
      <w:pPr>
        <w:jc w:val="center"/>
        <w:rPr>
          <w:rFonts w:ascii="Arial" w:hAnsi="Arial" w:cs="Arial"/>
          <w:i/>
          <w:sz w:val="22"/>
          <w:szCs w:val="22"/>
          <w:lang w:val="es-ES"/>
        </w:rPr>
      </w:pPr>
      <w:r w:rsidRPr="003623EB">
        <w:rPr>
          <w:rFonts w:ascii="Arial" w:hAnsi="Arial"/>
          <w:i/>
          <w:sz w:val="22"/>
          <w:lang w:val="es-ES"/>
        </w:rPr>
        <w:t>Convención sobre la Conservación de las Especies Migratorias de Animales Silvestres</w:t>
      </w:r>
    </w:p>
    <w:p w:rsidR="00DF0F13" w:rsidRPr="003623EB" w:rsidRDefault="00DF0F13" w:rsidP="00DF0F13">
      <w:pPr>
        <w:jc w:val="both"/>
        <w:rPr>
          <w:rFonts w:ascii="Arial" w:hAnsi="Arial" w:cs="Arial"/>
          <w:sz w:val="22"/>
          <w:szCs w:val="22"/>
          <w:lang w:val="es-ES"/>
        </w:rPr>
      </w:pPr>
    </w:p>
    <w:p w:rsidR="00DF0F13" w:rsidRPr="003623EB" w:rsidRDefault="00DF0F13" w:rsidP="00DF0F13">
      <w:pPr>
        <w:numPr>
          <w:ilvl w:val="0"/>
          <w:numId w:val="8"/>
        </w:numPr>
        <w:jc w:val="both"/>
        <w:rPr>
          <w:rFonts w:ascii="Arial" w:hAnsi="Arial" w:cs="Arial"/>
          <w:sz w:val="22"/>
          <w:szCs w:val="22"/>
          <w:lang w:val="es-ES"/>
        </w:rPr>
      </w:pPr>
      <w:r w:rsidRPr="0042672D">
        <w:rPr>
          <w:rFonts w:ascii="Arial" w:hAnsi="Arial" w:cs="Arial"/>
          <w:i/>
          <w:iCs/>
          <w:sz w:val="22"/>
          <w:szCs w:val="22"/>
          <w:lang w:val="es-ES_tradnl"/>
        </w:rPr>
        <w:t xml:space="preserve">Invita </w:t>
      </w:r>
      <w:r w:rsidRPr="0042672D">
        <w:rPr>
          <w:rFonts w:ascii="Arial" w:hAnsi="Arial" w:cs="Arial"/>
          <w:sz w:val="22"/>
          <w:szCs w:val="22"/>
          <w:lang w:val="es-ES_tradnl"/>
        </w:rPr>
        <w:t xml:space="preserve">a las Partes que no lo hayan hecho todavía a elaborar e implementar una legislación nacional, según corresponda, que prohíba la captura en vivo de cetáceos en su medio natural para </w:t>
      </w:r>
      <w:r>
        <w:rPr>
          <w:rFonts w:ascii="Arial" w:hAnsi="Arial" w:cs="Arial"/>
          <w:sz w:val="22"/>
          <w:szCs w:val="22"/>
          <w:lang w:val="es-ES_tradnl"/>
        </w:rPr>
        <w:t>fines</w:t>
      </w:r>
      <w:r w:rsidRPr="0042672D">
        <w:rPr>
          <w:rFonts w:ascii="Arial" w:hAnsi="Arial" w:cs="Arial"/>
          <w:sz w:val="22"/>
          <w:szCs w:val="22"/>
          <w:lang w:val="es-ES_tradnl"/>
        </w:rPr>
        <w:t xml:space="preserve"> comerciales</w:t>
      </w:r>
      <w:r w:rsidRPr="003623EB">
        <w:rPr>
          <w:rFonts w:ascii="Arial" w:hAnsi="Arial"/>
          <w:sz w:val="22"/>
          <w:lang w:val="es-ES"/>
        </w:rPr>
        <w:t>;</w:t>
      </w:r>
    </w:p>
    <w:p w:rsidR="00DF0F13" w:rsidRPr="003623EB" w:rsidRDefault="00DF0F13" w:rsidP="00DF0F13">
      <w:pPr>
        <w:ind w:left="360"/>
        <w:jc w:val="both"/>
        <w:rPr>
          <w:rFonts w:ascii="Arial" w:hAnsi="Arial" w:cs="Arial"/>
          <w:sz w:val="22"/>
          <w:szCs w:val="22"/>
          <w:lang w:val="es-ES"/>
        </w:rPr>
      </w:pPr>
    </w:p>
    <w:p w:rsidR="00DF0F13" w:rsidRPr="003623EB" w:rsidRDefault="00DF0F13" w:rsidP="00DF0F13">
      <w:pPr>
        <w:numPr>
          <w:ilvl w:val="0"/>
          <w:numId w:val="8"/>
        </w:numPr>
        <w:jc w:val="both"/>
        <w:rPr>
          <w:rFonts w:ascii="Arial" w:hAnsi="Arial" w:cs="Arial"/>
          <w:sz w:val="22"/>
          <w:szCs w:val="22"/>
          <w:lang w:val="es-ES"/>
        </w:rPr>
      </w:pPr>
      <w:r w:rsidRPr="0042672D">
        <w:rPr>
          <w:rFonts w:ascii="Arial" w:hAnsi="Arial" w:cs="Arial"/>
          <w:i/>
          <w:iCs/>
          <w:sz w:val="22"/>
          <w:szCs w:val="22"/>
          <w:lang w:val="es-ES_tradnl"/>
        </w:rPr>
        <w:t xml:space="preserve">Insta </w:t>
      </w:r>
      <w:r w:rsidRPr="0042672D">
        <w:rPr>
          <w:rFonts w:ascii="Arial" w:hAnsi="Arial" w:cs="Arial"/>
          <w:sz w:val="22"/>
          <w:szCs w:val="22"/>
          <w:lang w:val="es-ES_tradnl"/>
        </w:rPr>
        <w:t xml:space="preserve">a las Partes a considerar </w:t>
      </w:r>
      <w:r>
        <w:rPr>
          <w:rFonts w:ascii="Arial" w:hAnsi="Arial" w:cs="Arial"/>
          <w:sz w:val="22"/>
          <w:szCs w:val="22"/>
          <w:lang w:val="es-ES_tradnl"/>
        </w:rPr>
        <w:t xml:space="preserve">la posibilidad de </w:t>
      </w:r>
      <w:r w:rsidRPr="0042672D">
        <w:rPr>
          <w:rFonts w:ascii="Arial" w:hAnsi="Arial" w:cs="Arial"/>
          <w:sz w:val="22"/>
          <w:szCs w:val="22"/>
          <w:lang w:val="es-ES_tradnl"/>
        </w:rPr>
        <w:t xml:space="preserve">tomar medidas más estrictas de acuerdo </w:t>
      </w:r>
      <w:r>
        <w:rPr>
          <w:rFonts w:ascii="Arial" w:hAnsi="Arial" w:cs="Arial"/>
          <w:sz w:val="22"/>
          <w:szCs w:val="22"/>
          <w:lang w:val="es-ES_tradnl"/>
        </w:rPr>
        <w:t>con e</w:t>
      </w:r>
      <w:r w:rsidRPr="0042672D">
        <w:rPr>
          <w:rFonts w:ascii="Arial" w:hAnsi="Arial" w:cs="Arial"/>
          <w:sz w:val="22"/>
          <w:szCs w:val="22"/>
          <w:lang w:val="es-ES_tradnl"/>
        </w:rPr>
        <w:t xml:space="preserve">l Artículo XIV </w:t>
      </w:r>
      <w:proofErr w:type="gramStart"/>
      <w:r w:rsidRPr="0042672D">
        <w:rPr>
          <w:rFonts w:ascii="Arial" w:hAnsi="Arial" w:cs="Arial"/>
          <w:sz w:val="22"/>
          <w:szCs w:val="22"/>
          <w:lang w:val="es-ES_tradnl"/>
        </w:rPr>
        <w:t>en relación a</w:t>
      </w:r>
      <w:proofErr w:type="gramEnd"/>
      <w:r w:rsidRPr="0042672D">
        <w:rPr>
          <w:rFonts w:ascii="Arial" w:hAnsi="Arial" w:cs="Arial"/>
          <w:sz w:val="22"/>
          <w:szCs w:val="22"/>
          <w:lang w:val="es-ES_tradnl"/>
        </w:rPr>
        <w:t xml:space="preserve"> la importación y el tránsito internacional de cetáceos vivos para fines comerciales que hayan sido capturados en el medio natural</w:t>
      </w:r>
      <w:r w:rsidRPr="003623EB">
        <w:rPr>
          <w:lang w:val="es-ES"/>
        </w:rPr>
        <w:t>;</w:t>
      </w:r>
    </w:p>
    <w:p w:rsidR="00DF0F13" w:rsidRPr="003623EB" w:rsidRDefault="00DF0F13" w:rsidP="00DF0F13">
      <w:pPr>
        <w:ind w:left="360"/>
        <w:jc w:val="both"/>
        <w:rPr>
          <w:rFonts w:ascii="Arial" w:hAnsi="Arial" w:cs="Arial"/>
          <w:sz w:val="22"/>
          <w:szCs w:val="22"/>
          <w:lang w:val="es-ES"/>
        </w:rPr>
      </w:pPr>
    </w:p>
    <w:p w:rsidR="00DF0F13" w:rsidRPr="00467E93" w:rsidRDefault="00AB3A89" w:rsidP="00DF0F13">
      <w:pPr>
        <w:numPr>
          <w:ilvl w:val="0"/>
          <w:numId w:val="8"/>
        </w:numPr>
        <w:tabs>
          <w:tab w:val="num" w:pos="709"/>
          <w:tab w:val="num" w:pos="1080"/>
        </w:tabs>
        <w:jc w:val="both"/>
        <w:rPr>
          <w:rFonts w:ascii="Arial" w:hAnsi="Arial" w:cs="Arial"/>
          <w:sz w:val="22"/>
          <w:szCs w:val="22"/>
          <w:lang w:val="es-ES"/>
        </w:rPr>
      </w:pPr>
      <w:r>
        <w:rPr>
          <w:rFonts w:ascii="Arial" w:hAnsi="Arial"/>
          <w:i/>
          <w:sz w:val="22"/>
          <w:lang w:val="es-ES"/>
        </w:rPr>
        <w:t>Respalda</w:t>
      </w:r>
      <w:r w:rsidR="00467E93">
        <w:rPr>
          <w:rFonts w:ascii="Arial" w:hAnsi="Arial"/>
          <w:sz w:val="22"/>
          <w:lang w:val="es-ES"/>
        </w:rPr>
        <w:t xml:space="preserve"> las Directrices sobre buenas</w:t>
      </w:r>
      <w:r w:rsidR="00DF0F13" w:rsidRPr="00467E93">
        <w:rPr>
          <w:rFonts w:ascii="Arial" w:hAnsi="Arial"/>
          <w:sz w:val="22"/>
          <w:lang w:val="es-ES"/>
        </w:rPr>
        <w:t xml:space="preserve"> prácticas, contenidas en el Anexo a esta Resolución, con objeto de prestar ayuda a las Partes en la CMS interesadas en mejorar la legislación nacional vigente o elaborar nuevas leyes relativas a la captura, el tránsito o la importación de cetáceos vivos</w:t>
      </w:r>
      <w:r w:rsidR="00FC6DB5">
        <w:rPr>
          <w:rFonts w:ascii="Arial" w:hAnsi="Arial"/>
          <w:sz w:val="22"/>
          <w:lang w:val="es-ES"/>
        </w:rPr>
        <w:t xml:space="preserve"> con fines comerciales</w:t>
      </w:r>
      <w:r w:rsidR="00DF0F13" w:rsidRPr="00467E93">
        <w:rPr>
          <w:rFonts w:ascii="Arial" w:hAnsi="Arial"/>
          <w:sz w:val="22"/>
          <w:lang w:val="es-ES"/>
        </w:rPr>
        <w:t>.</w:t>
      </w:r>
    </w:p>
    <w:p w:rsidR="00DF0F13" w:rsidRPr="003623EB" w:rsidRDefault="00DF0F13" w:rsidP="00DF0F13">
      <w:pPr>
        <w:ind w:left="360"/>
        <w:jc w:val="both"/>
        <w:rPr>
          <w:rFonts w:ascii="Arial" w:hAnsi="Arial" w:cs="Arial"/>
          <w:sz w:val="22"/>
          <w:szCs w:val="22"/>
          <w:lang w:val="es-ES"/>
        </w:rPr>
      </w:pPr>
    </w:p>
    <w:p w:rsidR="00DF0F13" w:rsidRPr="003623EB" w:rsidRDefault="00DF0F13" w:rsidP="00DF0F13">
      <w:pPr>
        <w:numPr>
          <w:ilvl w:val="0"/>
          <w:numId w:val="8"/>
        </w:numPr>
        <w:tabs>
          <w:tab w:val="num" w:pos="709"/>
          <w:tab w:val="num" w:pos="1080"/>
        </w:tabs>
        <w:jc w:val="both"/>
        <w:rPr>
          <w:rFonts w:ascii="Arial" w:hAnsi="Arial" w:cs="Arial"/>
          <w:sz w:val="22"/>
          <w:szCs w:val="22"/>
          <w:lang w:val="es-ES"/>
        </w:rPr>
      </w:pPr>
      <w:r w:rsidRPr="003623EB">
        <w:rPr>
          <w:rFonts w:ascii="Arial" w:hAnsi="Arial"/>
          <w:i/>
          <w:sz w:val="22"/>
          <w:lang w:val="es-ES"/>
        </w:rPr>
        <w:t>Pide</w:t>
      </w:r>
      <w:r w:rsidRPr="003623EB">
        <w:rPr>
          <w:rFonts w:ascii="Arial" w:hAnsi="Arial"/>
          <w:sz w:val="22"/>
          <w:lang w:val="es-ES"/>
        </w:rPr>
        <w:t xml:space="preserve"> a la Secretaría y al Consejo Científico que traten de mejorar la cooperación y la colaboración con la CITES y la CBI sobre los pequeños cetáceos objeto de capturas en vivo en su ambiente natural;</w:t>
      </w:r>
    </w:p>
    <w:p w:rsidR="00DF0F13" w:rsidRPr="003623EB" w:rsidRDefault="00DF0F13" w:rsidP="00DF0F13">
      <w:pPr>
        <w:ind w:left="360"/>
        <w:jc w:val="both"/>
        <w:rPr>
          <w:rFonts w:ascii="Arial" w:hAnsi="Arial" w:cs="Arial"/>
          <w:i/>
          <w:sz w:val="22"/>
          <w:szCs w:val="22"/>
          <w:lang w:val="es-ES"/>
        </w:rPr>
      </w:pPr>
    </w:p>
    <w:p w:rsidR="00DF0F13" w:rsidRPr="003623EB" w:rsidRDefault="00DF0F13" w:rsidP="00DF0F13">
      <w:pPr>
        <w:numPr>
          <w:ilvl w:val="0"/>
          <w:numId w:val="8"/>
        </w:numPr>
        <w:tabs>
          <w:tab w:val="num" w:pos="709"/>
          <w:tab w:val="num" w:pos="1080"/>
        </w:tabs>
        <w:jc w:val="both"/>
        <w:rPr>
          <w:rFonts w:ascii="Arial" w:hAnsi="Arial" w:cs="Arial"/>
          <w:sz w:val="22"/>
          <w:szCs w:val="22"/>
          <w:lang w:val="es-ES"/>
        </w:rPr>
      </w:pPr>
      <w:r w:rsidRPr="003623EB">
        <w:rPr>
          <w:rFonts w:ascii="Arial" w:hAnsi="Arial"/>
          <w:i/>
          <w:sz w:val="22"/>
          <w:lang w:val="es-ES"/>
        </w:rPr>
        <w:t>Pide</w:t>
      </w:r>
      <w:r w:rsidRPr="003623EB">
        <w:rPr>
          <w:rFonts w:ascii="Arial" w:hAnsi="Arial"/>
          <w:sz w:val="22"/>
          <w:lang w:val="es-ES"/>
        </w:rPr>
        <w:t xml:space="preserve"> a las Partes que apoyen y, cuando sea apropiado y posible, contribuyan a la cooperación y la colaboración con la CITES y la CBI sobre los pequeños cetáceos objeto de capturas en vivo en su ambiente natural.</w:t>
      </w:r>
    </w:p>
    <w:p w:rsidR="00DF0F13" w:rsidRPr="003623EB" w:rsidRDefault="00DF0F13" w:rsidP="00DF0F13">
      <w:pPr>
        <w:ind w:left="360"/>
        <w:jc w:val="both"/>
        <w:rPr>
          <w:rFonts w:ascii="Arial" w:hAnsi="Arial" w:cs="Arial"/>
          <w:sz w:val="22"/>
          <w:szCs w:val="22"/>
          <w:lang w:val="es-ES"/>
        </w:rPr>
      </w:pPr>
    </w:p>
    <w:p w:rsidR="00DF0F13" w:rsidRPr="003623EB" w:rsidRDefault="00DF0F13" w:rsidP="00DF0F13">
      <w:pPr>
        <w:numPr>
          <w:ilvl w:val="0"/>
          <w:numId w:val="8"/>
        </w:numPr>
        <w:tabs>
          <w:tab w:val="num" w:pos="709"/>
          <w:tab w:val="num" w:pos="1080"/>
        </w:tabs>
        <w:jc w:val="both"/>
        <w:rPr>
          <w:rFonts w:ascii="Arial" w:hAnsi="Arial" w:cs="Arial"/>
          <w:sz w:val="22"/>
          <w:szCs w:val="22"/>
          <w:lang w:val="es-ES"/>
        </w:rPr>
      </w:pPr>
      <w:r w:rsidRPr="0042672D">
        <w:rPr>
          <w:rFonts w:ascii="Arial" w:hAnsi="Arial" w:cs="Arial"/>
          <w:i/>
          <w:iCs/>
          <w:sz w:val="22"/>
          <w:szCs w:val="22"/>
          <w:lang w:val="es-ES_tradnl"/>
        </w:rPr>
        <w:t xml:space="preserve">Insta </w:t>
      </w:r>
      <w:r w:rsidRPr="0042672D">
        <w:rPr>
          <w:rFonts w:ascii="Arial" w:hAnsi="Arial" w:cs="Arial"/>
          <w:sz w:val="22"/>
          <w:szCs w:val="22"/>
          <w:lang w:val="es-ES_tradnl"/>
        </w:rPr>
        <w:t xml:space="preserve">a la Partes y </w:t>
      </w:r>
      <w:r w:rsidRPr="0042672D">
        <w:rPr>
          <w:rFonts w:ascii="Arial" w:hAnsi="Arial" w:cs="Arial"/>
          <w:i/>
          <w:iCs/>
          <w:sz w:val="22"/>
          <w:szCs w:val="22"/>
          <w:lang w:val="es-ES_tradnl"/>
        </w:rPr>
        <w:t xml:space="preserve">alienta </w:t>
      </w:r>
      <w:r w:rsidRPr="0042672D">
        <w:rPr>
          <w:rFonts w:ascii="Arial" w:hAnsi="Arial" w:cs="Arial"/>
          <w:sz w:val="22"/>
          <w:szCs w:val="22"/>
          <w:lang w:val="es-ES_tradnl"/>
        </w:rPr>
        <w:t xml:space="preserve">a las Partes y Signatarios de los instrumentos relevantes de la CMS y </w:t>
      </w:r>
      <w:r>
        <w:rPr>
          <w:rFonts w:ascii="Arial" w:hAnsi="Arial" w:cs="Arial"/>
          <w:sz w:val="22"/>
          <w:szCs w:val="22"/>
          <w:lang w:val="es-ES_tradnl"/>
        </w:rPr>
        <w:t xml:space="preserve">a </w:t>
      </w:r>
      <w:r w:rsidRPr="0042672D">
        <w:rPr>
          <w:rFonts w:ascii="Arial" w:hAnsi="Arial" w:cs="Arial"/>
          <w:sz w:val="22"/>
          <w:szCs w:val="22"/>
          <w:lang w:val="es-ES_tradnl"/>
        </w:rPr>
        <w:t xml:space="preserve">los Estados </w:t>
      </w:r>
      <w:r>
        <w:rPr>
          <w:rFonts w:ascii="Arial" w:hAnsi="Arial" w:cs="Arial"/>
          <w:sz w:val="22"/>
          <w:szCs w:val="22"/>
          <w:lang w:val="es-ES_tradnl"/>
        </w:rPr>
        <w:t xml:space="preserve">que </w:t>
      </w:r>
      <w:r w:rsidRPr="0042672D">
        <w:rPr>
          <w:rFonts w:ascii="Arial" w:hAnsi="Arial" w:cs="Arial"/>
          <w:sz w:val="22"/>
          <w:szCs w:val="22"/>
          <w:lang w:val="es-ES_tradnl"/>
        </w:rPr>
        <w:t xml:space="preserve">no </w:t>
      </w:r>
      <w:r>
        <w:rPr>
          <w:rFonts w:ascii="Arial" w:hAnsi="Arial" w:cs="Arial"/>
          <w:sz w:val="22"/>
          <w:szCs w:val="22"/>
          <w:lang w:val="es-ES_tradnl"/>
        </w:rPr>
        <w:t xml:space="preserve">son </w:t>
      </w:r>
      <w:proofErr w:type="gramStart"/>
      <w:r w:rsidRPr="0042672D">
        <w:rPr>
          <w:rFonts w:ascii="Arial" w:hAnsi="Arial" w:cs="Arial"/>
          <w:sz w:val="22"/>
          <w:szCs w:val="22"/>
          <w:lang w:val="es-ES_tradnl"/>
        </w:rPr>
        <w:t>Parte</w:t>
      </w:r>
      <w:r>
        <w:rPr>
          <w:rFonts w:ascii="Arial" w:hAnsi="Arial" w:cs="Arial"/>
          <w:sz w:val="22"/>
          <w:szCs w:val="22"/>
          <w:lang w:val="es-ES_tradnl"/>
        </w:rPr>
        <w:t>s</w:t>
      </w:r>
      <w:r w:rsidRPr="0042672D">
        <w:rPr>
          <w:rFonts w:ascii="Arial" w:hAnsi="Arial" w:cs="Arial"/>
          <w:sz w:val="22"/>
          <w:szCs w:val="22"/>
          <w:lang w:val="es-ES_tradnl"/>
        </w:rPr>
        <w:t xml:space="preserve"> a desalentar activamente</w:t>
      </w:r>
      <w:proofErr w:type="gramEnd"/>
      <w:r w:rsidRPr="0042672D">
        <w:rPr>
          <w:rFonts w:ascii="Arial" w:hAnsi="Arial" w:cs="Arial"/>
          <w:sz w:val="22"/>
          <w:szCs w:val="22"/>
          <w:lang w:val="es-ES_tradnl"/>
        </w:rPr>
        <w:t xml:space="preserve"> nuevas capturas en vivo del medio natural para </w:t>
      </w:r>
      <w:r>
        <w:rPr>
          <w:rFonts w:ascii="Arial" w:hAnsi="Arial" w:cs="Arial"/>
          <w:sz w:val="22"/>
          <w:szCs w:val="22"/>
          <w:lang w:val="es-ES_tradnl"/>
        </w:rPr>
        <w:t>fines</w:t>
      </w:r>
      <w:r w:rsidRPr="0042672D">
        <w:rPr>
          <w:rFonts w:ascii="Arial" w:hAnsi="Arial" w:cs="Arial"/>
          <w:sz w:val="22"/>
          <w:szCs w:val="22"/>
          <w:lang w:val="es-ES_tradnl"/>
        </w:rPr>
        <w:t xml:space="preserve"> comerciales</w:t>
      </w:r>
      <w:r w:rsidRPr="003623EB">
        <w:rPr>
          <w:rFonts w:ascii="Arial" w:hAnsi="Arial"/>
          <w:sz w:val="22"/>
          <w:lang w:val="es-ES"/>
        </w:rPr>
        <w:t>; y</w:t>
      </w:r>
    </w:p>
    <w:p w:rsidR="00DF0F13" w:rsidRPr="003623EB" w:rsidRDefault="00DF0F13" w:rsidP="00DF0F13">
      <w:pPr>
        <w:ind w:left="360"/>
        <w:jc w:val="both"/>
        <w:rPr>
          <w:rFonts w:ascii="Arial" w:hAnsi="Arial" w:cs="Arial"/>
          <w:sz w:val="22"/>
          <w:szCs w:val="22"/>
          <w:lang w:val="es-ES"/>
        </w:rPr>
      </w:pPr>
    </w:p>
    <w:p w:rsidR="005E744D" w:rsidRPr="003623EB" w:rsidRDefault="00DF0F13" w:rsidP="00DF0F13">
      <w:pPr>
        <w:numPr>
          <w:ilvl w:val="0"/>
          <w:numId w:val="8"/>
        </w:numPr>
        <w:tabs>
          <w:tab w:val="num" w:pos="709"/>
          <w:tab w:val="num" w:pos="1080"/>
        </w:tabs>
        <w:jc w:val="both"/>
        <w:rPr>
          <w:rFonts w:ascii="Arial" w:hAnsi="Arial"/>
          <w:sz w:val="22"/>
          <w:lang w:val="es-ES"/>
        </w:rPr>
      </w:pPr>
      <w:r w:rsidRPr="0042672D">
        <w:rPr>
          <w:rFonts w:ascii="Arial" w:hAnsi="Arial" w:cs="Arial"/>
          <w:i/>
          <w:iCs/>
          <w:sz w:val="22"/>
          <w:szCs w:val="22"/>
          <w:lang w:val="es-ES_tradnl"/>
        </w:rPr>
        <w:t xml:space="preserve">Alienta </w:t>
      </w:r>
      <w:r w:rsidRPr="0042672D">
        <w:rPr>
          <w:rFonts w:ascii="Arial" w:hAnsi="Arial" w:cs="Arial"/>
          <w:sz w:val="22"/>
          <w:szCs w:val="22"/>
          <w:lang w:val="es-ES_tradnl"/>
        </w:rPr>
        <w:t>a las Partes a compartir los datos y la información sobre capturas en vivo con la CBI y otros foros apropiados</w:t>
      </w:r>
      <w:r w:rsidRPr="003623EB">
        <w:rPr>
          <w:rFonts w:ascii="Arial" w:hAnsi="Arial"/>
          <w:sz w:val="22"/>
          <w:lang w:val="es-ES"/>
        </w:rPr>
        <w:t>.</w:t>
      </w:r>
      <w:r w:rsidR="005E744D" w:rsidRPr="003623EB">
        <w:rPr>
          <w:rFonts w:ascii="Arial" w:hAnsi="Arial"/>
          <w:sz w:val="22"/>
          <w:lang w:val="es-ES"/>
        </w:rPr>
        <w:br w:type="page"/>
      </w:r>
    </w:p>
    <w:p w:rsidR="005E744D" w:rsidRPr="003623EB" w:rsidRDefault="005E744D" w:rsidP="005E744D">
      <w:pPr>
        <w:widowControl/>
        <w:autoSpaceDE/>
        <w:adjustRightInd/>
        <w:jc w:val="right"/>
        <w:rPr>
          <w:rFonts w:ascii="Arial" w:hAnsi="Arial" w:cs="Arial"/>
          <w:b/>
          <w:bCs/>
          <w:caps/>
          <w:sz w:val="22"/>
          <w:szCs w:val="22"/>
          <w:lang w:val="es-ES"/>
        </w:rPr>
      </w:pPr>
      <w:r w:rsidRPr="003623EB">
        <w:rPr>
          <w:rFonts w:ascii="Arial" w:hAnsi="Arial"/>
          <w:b/>
          <w:caps/>
          <w:sz w:val="22"/>
          <w:lang w:val="es-ES"/>
        </w:rPr>
        <w:lastRenderedPageBreak/>
        <w:t>Anexo A LA RESOLUCIÓN</w:t>
      </w:r>
    </w:p>
    <w:p w:rsidR="005E744D" w:rsidRPr="003623EB" w:rsidRDefault="005E744D" w:rsidP="005E744D">
      <w:pPr>
        <w:rPr>
          <w:rFonts w:ascii="Arial" w:hAnsi="Arial" w:cs="Arial"/>
          <w:sz w:val="22"/>
          <w:szCs w:val="22"/>
          <w:lang w:val="es-ES"/>
        </w:rPr>
      </w:pPr>
    </w:p>
    <w:p w:rsidR="005E744D" w:rsidRPr="003623EB" w:rsidRDefault="005E744D" w:rsidP="005E744D">
      <w:pPr>
        <w:pBdr>
          <w:top w:val="single" w:sz="6" w:space="0" w:color="FFFFFF"/>
          <w:left w:val="single" w:sz="6" w:space="0" w:color="FFFFFF"/>
          <w:bottom w:val="single" w:sz="6" w:space="0" w:color="FFFFFF"/>
          <w:right w:val="single" w:sz="6" w:space="0" w:color="FFFFFF"/>
        </w:pBdr>
        <w:jc w:val="center"/>
        <w:outlineLvl w:val="1"/>
        <w:rPr>
          <w:rFonts w:ascii="Arial" w:hAnsi="Arial" w:cs="Arial"/>
          <w:b/>
          <w:caps/>
          <w:sz w:val="22"/>
          <w:szCs w:val="22"/>
          <w:lang w:val="es-ES"/>
        </w:rPr>
      </w:pPr>
      <w:r w:rsidRPr="003623EB">
        <w:rPr>
          <w:rFonts w:ascii="Arial" w:hAnsi="Arial"/>
          <w:b/>
          <w:caps/>
          <w:sz w:val="22"/>
          <w:lang w:val="es-ES"/>
        </w:rPr>
        <w:t xml:space="preserve">Directrices </w:t>
      </w:r>
      <w:r w:rsidR="005E5AB7">
        <w:rPr>
          <w:rFonts w:ascii="Arial" w:hAnsi="Arial"/>
          <w:b/>
          <w:caps/>
          <w:sz w:val="22"/>
          <w:lang w:val="es-ES"/>
        </w:rPr>
        <w:t>de buenas prácticas</w:t>
      </w:r>
      <w:r w:rsidRPr="003623EB">
        <w:rPr>
          <w:rFonts w:ascii="Arial" w:hAnsi="Arial"/>
          <w:b/>
          <w:caps/>
          <w:sz w:val="22"/>
          <w:lang w:val="es-ES"/>
        </w:rPr>
        <w:t xml:space="preserve"> </w:t>
      </w:r>
    </w:p>
    <w:p w:rsidR="005E744D" w:rsidRPr="003623EB" w:rsidRDefault="005E744D" w:rsidP="005E744D">
      <w:pPr>
        <w:pBdr>
          <w:top w:val="single" w:sz="6" w:space="0" w:color="FFFFFF"/>
          <w:left w:val="single" w:sz="6" w:space="0" w:color="FFFFFF"/>
          <w:bottom w:val="single" w:sz="6" w:space="0" w:color="FFFFFF"/>
          <w:right w:val="single" w:sz="6" w:space="0" w:color="FFFFFF"/>
        </w:pBdr>
        <w:jc w:val="center"/>
        <w:outlineLvl w:val="1"/>
        <w:rPr>
          <w:rFonts w:ascii="Arial" w:hAnsi="Arial" w:cs="Arial"/>
          <w:b/>
          <w:caps/>
          <w:sz w:val="22"/>
          <w:szCs w:val="22"/>
          <w:lang w:val="es-ES"/>
        </w:rPr>
      </w:pPr>
      <w:r w:rsidRPr="003623EB">
        <w:rPr>
          <w:rFonts w:ascii="Arial" w:hAnsi="Arial"/>
          <w:b/>
          <w:caps/>
          <w:sz w:val="22"/>
          <w:lang w:val="es-ES"/>
        </w:rPr>
        <w:t>PARA las capturas de cetáceos vivos en su ambiente natural para fines comerciales</w:t>
      </w:r>
    </w:p>
    <w:p w:rsidR="005E744D" w:rsidRPr="003623EB" w:rsidRDefault="005E744D" w:rsidP="005E744D">
      <w:pPr>
        <w:pBdr>
          <w:top w:val="single" w:sz="6" w:space="0" w:color="FFFFFF"/>
          <w:left w:val="single" w:sz="6" w:space="0" w:color="FFFFFF"/>
          <w:bottom w:val="single" w:sz="6" w:space="0" w:color="FFFFFF"/>
          <w:right w:val="single" w:sz="6" w:space="0" w:color="FFFFFF"/>
        </w:pBdr>
        <w:jc w:val="center"/>
        <w:outlineLvl w:val="1"/>
        <w:rPr>
          <w:rFonts w:ascii="Arial" w:hAnsi="Arial" w:cs="Arial"/>
          <w:b/>
          <w:caps/>
          <w:sz w:val="22"/>
          <w:szCs w:val="22"/>
          <w:lang w:val="es-ES"/>
        </w:rPr>
      </w:pPr>
    </w:p>
    <w:p w:rsidR="005E744D" w:rsidRPr="003623EB" w:rsidRDefault="005E744D" w:rsidP="005E744D">
      <w:pPr>
        <w:pBdr>
          <w:top w:val="single" w:sz="6" w:space="0" w:color="FFFFFF"/>
          <w:left w:val="single" w:sz="6" w:space="0" w:color="FFFFFF"/>
          <w:bottom w:val="single" w:sz="6" w:space="0" w:color="FFFFFF"/>
          <w:right w:val="single" w:sz="6" w:space="0" w:color="FFFFFF"/>
        </w:pBdr>
        <w:jc w:val="center"/>
        <w:outlineLvl w:val="1"/>
        <w:rPr>
          <w:rFonts w:ascii="Arial" w:hAnsi="Arial" w:cs="Arial"/>
          <w:b/>
          <w:caps/>
          <w:sz w:val="22"/>
          <w:szCs w:val="22"/>
          <w:lang w:val="es-ES"/>
        </w:rPr>
      </w:pPr>
    </w:p>
    <w:p w:rsidR="005E744D" w:rsidRDefault="005E744D" w:rsidP="005E744D">
      <w:pPr>
        <w:widowControl/>
        <w:numPr>
          <w:ilvl w:val="0"/>
          <w:numId w:val="12"/>
        </w:numPr>
        <w:autoSpaceDE/>
        <w:adjustRightInd/>
        <w:ind w:left="426" w:hanging="437"/>
        <w:jc w:val="both"/>
        <w:rPr>
          <w:rFonts w:ascii="Arial" w:hAnsi="Arial" w:cs="Arial"/>
          <w:sz w:val="22"/>
          <w:szCs w:val="22"/>
        </w:rPr>
      </w:pPr>
      <w:r w:rsidRPr="003623EB">
        <w:rPr>
          <w:rFonts w:ascii="Arial" w:hAnsi="Arial"/>
          <w:sz w:val="22"/>
          <w:lang w:val="es-ES"/>
        </w:rPr>
        <w:t>Estas Directrices sobre las mejores prácticas se basan en el examen que figura en el Anexo 1 del documento PNUMA/CMS/COP12/Doc.22.2.4</w:t>
      </w:r>
      <w:r>
        <w:rPr>
          <w:rStyle w:val="FootnoteReference"/>
          <w:rFonts w:ascii="Arial" w:hAnsi="Arial"/>
          <w:sz w:val="22"/>
          <w:szCs w:val="22"/>
          <w:vertAlign w:val="superscript"/>
        </w:rPr>
        <w:sym w:font="Symbol" w:char="F02A"/>
      </w:r>
      <w:r w:rsidR="009F7213">
        <w:rPr>
          <w:rFonts w:ascii="Arial" w:hAnsi="Arial"/>
          <w:sz w:val="22"/>
          <w:lang w:val="es-ES"/>
        </w:rPr>
        <w:t>.</w:t>
      </w:r>
      <w:r w:rsidRPr="003623EB">
        <w:rPr>
          <w:rFonts w:ascii="Arial" w:hAnsi="Arial"/>
          <w:sz w:val="22"/>
          <w:lang w:val="es-ES"/>
        </w:rPr>
        <w:t xml:space="preserve"> </w:t>
      </w:r>
      <w:proofErr w:type="spellStart"/>
      <w:r>
        <w:rPr>
          <w:rFonts w:ascii="Arial" w:hAnsi="Arial"/>
          <w:sz w:val="22"/>
        </w:rPr>
        <w:t>Constan</w:t>
      </w:r>
      <w:proofErr w:type="spellEnd"/>
      <w:r>
        <w:rPr>
          <w:rFonts w:ascii="Arial" w:hAnsi="Arial"/>
          <w:sz w:val="22"/>
        </w:rPr>
        <w:t xml:space="preserve"> de dos </w:t>
      </w:r>
      <w:proofErr w:type="spellStart"/>
      <w:r>
        <w:rPr>
          <w:rFonts w:ascii="Arial" w:hAnsi="Arial"/>
          <w:sz w:val="22"/>
        </w:rPr>
        <w:t>secciones</w:t>
      </w:r>
      <w:proofErr w:type="spellEnd"/>
      <w:r>
        <w:rPr>
          <w:rFonts w:ascii="Arial" w:hAnsi="Arial"/>
          <w:sz w:val="22"/>
        </w:rPr>
        <w:t>:</w:t>
      </w:r>
    </w:p>
    <w:p w:rsidR="005E744D" w:rsidRDefault="005E744D" w:rsidP="005E744D">
      <w:pPr>
        <w:widowControl/>
        <w:autoSpaceDE/>
        <w:adjustRightInd/>
        <w:ind w:left="709"/>
        <w:jc w:val="both"/>
        <w:rPr>
          <w:rFonts w:ascii="Arial" w:hAnsi="Arial" w:cs="Arial"/>
          <w:sz w:val="22"/>
          <w:szCs w:val="22"/>
        </w:rPr>
      </w:pPr>
    </w:p>
    <w:p w:rsidR="005E744D" w:rsidRPr="003623EB" w:rsidRDefault="005E744D" w:rsidP="005E744D">
      <w:pPr>
        <w:pStyle w:val="ListParagraph"/>
        <w:widowControl/>
        <w:numPr>
          <w:ilvl w:val="0"/>
          <w:numId w:val="13"/>
        </w:numPr>
        <w:autoSpaceDE/>
        <w:adjustRightInd/>
        <w:ind w:left="851" w:hanging="425"/>
        <w:jc w:val="both"/>
        <w:rPr>
          <w:rFonts w:ascii="Arial" w:hAnsi="Arial" w:cs="Arial"/>
          <w:sz w:val="22"/>
          <w:szCs w:val="22"/>
          <w:lang w:val="es-ES"/>
        </w:rPr>
      </w:pPr>
      <w:r w:rsidRPr="003623EB">
        <w:rPr>
          <w:rFonts w:ascii="Arial" w:hAnsi="Arial"/>
          <w:sz w:val="22"/>
          <w:lang w:val="es-ES"/>
        </w:rPr>
        <w:footnoteReference w:customMarkFollows="1" w:id="1"/>
        <w:t>Recomendaciones para la elaboración de legislaciones nacionales que prohíban la captura de cetáceos vivos para fines comerciales</w:t>
      </w:r>
    </w:p>
    <w:p w:rsidR="005E744D" w:rsidRPr="003623EB" w:rsidRDefault="005E744D" w:rsidP="005E744D">
      <w:pPr>
        <w:pStyle w:val="ListParagraph"/>
        <w:widowControl/>
        <w:numPr>
          <w:ilvl w:val="0"/>
          <w:numId w:val="13"/>
        </w:numPr>
        <w:autoSpaceDE/>
        <w:adjustRightInd/>
        <w:ind w:left="851" w:hanging="425"/>
        <w:jc w:val="both"/>
        <w:rPr>
          <w:rFonts w:ascii="Arial" w:hAnsi="Arial" w:cs="Arial"/>
          <w:sz w:val="22"/>
          <w:szCs w:val="22"/>
          <w:lang w:val="es-ES"/>
        </w:rPr>
      </w:pPr>
      <w:r w:rsidRPr="003623EB">
        <w:rPr>
          <w:rFonts w:ascii="Arial" w:hAnsi="Arial"/>
          <w:sz w:val="22"/>
          <w:lang w:val="es-ES"/>
        </w:rPr>
        <w:t>Recomendaciones para la aplicación de medidas internas más estrictas relativas a la importación y el tránsito de cetáceos vivos para fines comerciales</w:t>
      </w:r>
    </w:p>
    <w:p w:rsidR="005E744D" w:rsidRPr="003623EB" w:rsidRDefault="005E744D" w:rsidP="005E744D">
      <w:pPr>
        <w:widowControl/>
        <w:autoSpaceDE/>
        <w:adjustRightInd/>
        <w:ind w:left="-11"/>
        <w:jc w:val="both"/>
        <w:rPr>
          <w:rFonts w:ascii="Arial" w:hAnsi="Arial" w:cs="Arial"/>
          <w:sz w:val="22"/>
          <w:szCs w:val="22"/>
          <w:lang w:val="es-ES"/>
        </w:rPr>
      </w:pPr>
    </w:p>
    <w:p w:rsidR="005E744D" w:rsidRPr="003623EB" w:rsidRDefault="005E744D" w:rsidP="005E744D">
      <w:pPr>
        <w:widowControl/>
        <w:autoSpaceDE/>
        <w:adjustRightInd/>
        <w:jc w:val="both"/>
        <w:rPr>
          <w:rFonts w:ascii="Arial" w:hAnsi="Arial" w:cs="Arial"/>
          <w:sz w:val="22"/>
          <w:szCs w:val="22"/>
          <w:lang w:val="es-ES"/>
        </w:rPr>
      </w:pPr>
    </w:p>
    <w:p w:rsidR="005E744D" w:rsidRPr="003623EB" w:rsidRDefault="005E744D" w:rsidP="005E744D">
      <w:pPr>
        <w:pStyle w:val="ListParagraph"/>
        <w:numPr>
          <w:ilvl w:val="0"/>
          <w:numId w:val="14"/>
        </w:numPr>
        <w:ind w:left="426" w:hanging="426"/>
        <w:jc w:val="both"/>
        <w:rPr>
          <w:rFonts w:ascii="Arial" w:hAnsi="Arial" w:cs="Arial"/>
          <w:b/>
          <w:sz w:val="22"/>
          <w:szCs w:val="22"/>
          <w:lang w:val="es-ES"/>
        </w:rPr>
      </w:pPr>
      <w:r w:rsidRPr="003623EB">
        <w:rPr>
          <w:rFonts w:ascii="Arial" w:hAnsi="Arial"/>
          <w:b/>
          <w:sz w:val="22"/>
          <w:lang w:val="es-ES"/>
        </w:rPr>
        <w:t>Recomendaciones para la elaboración de legislaciones nacionales que prohíban la captura de cetáceos vivos para fines comerciales</w:t>
      </w:r>
    </w:p>
    <w:p w:rsidR="005E744D" w:rsidRPr="003623EB" w:rsidRDefault="005E744D" w:rsidP="005E744D">
      <w:pPr>
        <w:jc w:val="both"/>
        <w:rPr>
          <w:rFonts w:ascii="Arial" w:hAnsi="Arial" w:cs="Arial"/>
          <w:sz w:val="22"/>
          <w:szCs w:val="22"/>
          <w:lang w:val="es-ES"/>
        </w:rPr>
      </w:pPr>
    </w:p>
    <w:p w:rsidR="005E744D" w:rsidRPr="003623EB" w:rsidRDefault="005E744D" w:rsidP="005E744D">
      <w:pPr>
        <w:widowControl/>
        <w:autoSpaceDE/>
        <w:adjustRightInd/>
        <w:ind w:left="426"/>
        <w:jc w:val="both"/>
        <w:outlineLvl w:val="0"/>
        <w:rPr>
          <w:rFonts w:ascii="Arial" w:hAnsi="Arial" w:cs="Arial"/>
          <w:i/>
          <w:sz w:val="22"/>
          <w:szCs w:val="22"/>
          <w:lang w:val="es-ES"/>
        </w:rPr>
      </w:pPr>
      <w:r w:rsidRPr="003623EB">
        <w:rPr>
          <w:rFonts w:ascii="Arial" w:hAnsi="Arial"/>
          <w:i/>
          <w:sz w:val="22"/>
          <w:lang w:val="es-ES"/>
        </w:rPr>
        <w:t>Recomendación 1: Aplicación a los "cetáceos"</w:t>
      </w:r>
    </w:p>
    <w:p w:rsidR="005E744D" w:rsidRPr="003623EB" w:rsidRDefault="005E744D" w:rsidP="005E744D">
      <w:pPr>
        <w:widowControl/>
        <w:autoSpaceDE/>
        <w:adjustRightInd/>
        <w:ind w:left="720"/>
        <w:jc w:val="both"/>
        <w:rPr>
          <w:rFonts w:ascii="Arial" w:hAnsi="Arial" w:cs="Arial"/>
          <w:i/>
          <w:sz w:val="22"/>
          <w:szCs w:val="22"/>
          <w:lang w:val="es-ES"/>
        </w:rPr>
      </w:pPr>
    </w:p>
    <w:p w:rsidR="005E744D" w:rsidRPr="003623EB" w:rsidRDefault="005E744D" w:rsidP="005E744D">
      <w:pPr>
        <w:widowControl/>
        <w:numPr>
          <w:ilvl w:val="0"/>
          <w:numId w:val="12"/>
        </w:numPr>
        <w:autoSpaceDE/>
        <w:adjustRightInd/>
        <w:ind w:left="426" w:hanging="437"/>
        <w:jc w:val="both"/>
        <w:rPr>
          <w:rFonts w:ascii="Arial" w:hAnsi="Arial" w:cs="Arial"/>
          <w:sz w:val="22"/>
          <w:szCs w:val="22"/>
          <w:lang w:val="es-ES"/>
        </w:rPr>
      </w:pPr>
      <w:r w:rsidRPr="003623EB">
        <w:rPr>
          <w:rFonts w:ascii="Arial" w:hAnsi="Arial"/>
          <w:sz w:val="22"/>
          <w:lang w:val="es-ES"/>
        </w:rPr>
        <w:t xml:space="preserve">La Resolución 11.22 (Rev. COP12) se aplica a todos los cetáceos, pero las leyes examinadas no siempre se extienden a todos los cetáceos. Algunas de las Partes en la CMS limitan el ámbito de aplicación de la prohibición de la captura o la "extracción" en vivo a los cetáceos (y otros animales) incluidos en una lista, mientras que otros aplican la prohibición a todos los cetáceos o todos los mamíferos marinos. La utilización de una lista es coherente con el enfoque de la CMS, que limita su prohibición de "sacar de su ambiente natural" a las especies migratorias incluidas en el Apéndice I. El enfoque de la lista, sin embargo, es incoherente con el enfoque de la Resolución 11.22 (Rev. COP12) (así como del ASCOBANS), a no ser que la lista incluya a cada una de las especies de cetáceos. </w:t>
      </w:r>
    </w:p>
    <w:p w:rsidR="005E744D" w:rsidRPr="003623EB" w:rsidRDefault="005E744D" w:rsidP="005E744D">
      <w:pPr>
        <w:widowControl/>
        <w:autoSpaceDE/>
        <w:adjustRightInd/>
        <w:jc w:val="both"/>
        <w:rPr>
          <w:rFonts w:ascii="Arial" w:hAnsi="Arial" w:cs="Arial"/>
          <w:sz w:val="22"/>
          <w:szCs w:val="22"/>
          <w:lang w:val="es-ES"/>
        </w:rPr>
      </w:pPr>
    </w:p>
    <w:p w:rsidR="005E744D" w:rsidRPr="003623EB" w:rsidRDefault="005E744D" w:rsidP="005E744D">
      <w:pPr>
        <w:widowControl/>
        <w:numPr>
          <w:ilvl w:val="0"/>
          <w:numId w:val="12"/>
        </w:numPr>
        <w:autoSpaceDE/>
        <w:adjustRightInd/>
        <w:ind w:left="426" w:hanging="437"/>
        <w:jc w:val="both"/>
        <w:rPr>
          <w:rFonts w:ascii="Arial" w:hAnsi="Arial" w:cs="Arial"/>
          <w:sz w:val="22"/>
          <w:szCs w:val="22"/>
          <w:lang w:val="es-ES"/>
        </w:rPr>
      </w:pPr>
      <w:r w:rsidRPr="003623EB">
        <w:rPr>
          <w:rFonts w:ascii="Arial" w:hAnsi="Arial"/>
          <w:sz w:val="22"/>
          <w:lang w:val="es-ES"/>
        </w:rPr>
        <w:t>Para aplicar plenamente la Resolución 11.22 (Rev. COP12), las Partes deberían considerar la posibilidad de adopt</w:t>
      </w:r>
      <w:r w:rsidR="00424253">
        <w:rPr>
          <w:rFonts w:ascii="Arial" w:hAnsi="Arial"/>
          <w:sz w:val="22"/>
          <w:lang w:val="es-ES"/>
        </w:rPr>
        <w:t xml:space="preserve">ar una legislación destinada a </w:t>
      </w:r>
      <w:r w:rsidRPr="003623EB">
        <w:rPr>
          <w:rFonts w:ascii="Arial" w:hAnsi="Arial"/>
          <w:sz w:val="22"/>
          <w:lang w:val="es-ES"/>
        </w:rPr>
        <w:t xml:space="preserve">prohibir </w:t>
      </w:r>
      <w:r w:rsidR="00424253">
        <w:rPr>
          <w:rFonts w:ascii="Arial" w:hAnsi="Arial"/>
          <w:sz w:val="22"/>
          <w:lang w:val="es-ES"/>
        </w:rPr>
        <w:t>“la captura de cetáceos vivos en su ambiente natural para fines comerciales</w:t>
      </w:r>
      <w:r w:rsidRPr="003623EB">
        <w:rPr>
          <w:rFonts w:ascii="Arial" w:hAnsi="Arial"/>
          <w:sz w:val="22"/>
          <w:lang w:val="es-ES"/>
        </w:rPr>
        <w:t xml:space="preserve">". </w:t>
      </w:r>
      <w:r w:rsidR="005C5F6D">
        <w:rPr>
          <w:rFonts w:ascii="Arial" w:hAnsi="Arial"/>
          <w:sz w:val="22"/>
          <w:lang w:val="es-ES"/>
        </w:rPr>
        <w:t>Como alternativa</w:t>
      </w:r>
      <w:r w:rsidRPr="003623EB">
        <w:rPr>
          <w:rFonts w:ascii="Arial" w:hAnsi="Arial"/>
          <w:sz w:val="22"/>
          <w:lang w:val="es-ES"/>
        </w:rPr>
        <w:t>, la legislación deber</w:t>
      </w:r>
      <w:r w:rsidR="005C5F6D">
        <w:rPr>
          <w:rFonts w:ascii="Arial" w:hAnsi="Arial"/>
          <w:sz w:val="22"/>
          <w:lang w:val="es-ES"/>
        </w:rPr>
        <w:t xml:space="preserve">ía redactarse en el sentido de </w:t>
      </w:r>
      <w:r w:rsidRPr="003623EB">
        <w:rPr>
          <w:rFonts w:ascii="Arial" w:hAnsi="Arial"/>
          <w:sz w:val="22"/>
          <w:lang w:val="es-ES"/>
        </w:rPr>
        <w:t xml:space="preserve">prohibir </w:t>
      </w:r>
      <w:r w:rsidR="005C5F6D">
        <w:rPr>
          <w:rFonts w:ascii="Arial" w:hAnsi="Arial"/>
          <w:sz w:val="22"/>
          <w:lang w:val="es-ES"/>
        </w:rPr>
        <w:t>“</w:t>
      </w:r>
      <w:r w:rsidRPr="003623EB">
        <w:rPr>
          <w:rFonts w:ascii="Arial" w:hAnsi="Arial"/>
          <w:sz w:val="22"/>
          <w:lang w:val="es-ES"/>
        </w:rPr>
        <w:t xml:space="preserve">la </w:t>
      </w:r>
      <w:r w:rsidR="005C5F6D">
        <w:rPr>
          <w:rFonts w:ascii="Arial" w:hAnsi="Arial"/>
          <w:sz w:val="22"/>
          <w:lang w:val="es-ES"/>
        </w:rPr>
        <w:t>captura en vivo</w:t>
      </w:r>
      <w:r w:rsidRPr="003623EB">
        <w:rPr>
          <w:rFonts w:ascii="Arial" w:hAnsi="Arial"/>
          <w:sz w:val="22"/>
          <w:lang w:val="es-ES"/>
        </w:rPr>
        <w:t xml:space="preserve"> </w:t>
      </w:r>
      <w:r w:rsidR="005C5F6D">
        <w:rPr>
          <w:rFonts w:ascii="Arial" w:hAnsi="Arial"/>
          <w:sz w:val="22"/>
          <w:lang w:val="es-ES"/>
        </w:rPr>
        <w:t xml:space="preserve">en su medio natural </w:t>
      </w:r>
      <w:r w:rsidR="004D5E05">
        <w:rPr>
          <w:rFonts w:ascii="Arial" w:hAnsi="Arial"/>
          <w:sz w:val="22"/>
          <w:lang w:val="es-ES"/>
        </w:rPr>
        <w:t xml:space="preserve">con fines comerciales </w:t>
      </w:r>
      <w:r w:rsidRPr="003623EB">
        <w:rPr>
          <w:rFonts w:ascii="Arial" w:hAnsi="Arial"/>
          <w:sz w:val="22"/>
          <w:lang w:val="es-ES"/>
        </w:rPr>
        <w:t>de cetáceos incluidos en el Anexo [X]". En el Anexo X se incluirían en consecuencia "todo</w:t>
      </w:r>
      <w:r w:rsidR="00552BE0">
        <w:rPr>
          <w:rFonts w:ascii="Arial" w:hAnsi="Arial"/>
          <w:sz w:val="22"/>
          <w:lang w:val="es-ES"/>
        </w:rPr>
        <w:t xml:space="preserve">s los cetáceos" o el "orden </w:t>
      </w:r>
      <w:proofErr w:type="spellStart"/>
      <w:r w:rsidR="00552BE0">
        <w:rPr>
          <w:rFonts w:ascii="Arial" w:hAnsi="Arial"/>
          <w:sz w:val="22"/>
          <w:lang w:val="es-ES"/>
        </w:rPr>
        <w:t>Ceta</w:t>
      </w:r>
      <w:r w:rsidRPr="003623EB">
        <w:rPr>
          <w:rFonts w:ascii="Arial" w:hAnsi="Arial"/>
          <w:sz w:val="22"/>
          <w:lang w:val="es-ES"/>
        </w:rPr>
        <w:t>cea</w:t>
      </w:r>
      <w:proofErr w:type="spellEnd"/>
      <w:r w:rsidRPr="003623EB">
        <w:rPr>
          <w:rFonts w:ascii="Arial" w:hAnsi="Arial"/>
          <w:sz w:val="22"/>
          <w:lang w:val="es-ES"/>
        </w:rPr>
        <w:t>". La expresión "mamíferos marinos", en la forma utilizada por Sri Lanka, abarca una variedad más amplia de animales, que podría utilizarse también para aplicar plenamente la Resolución 11.22 (Rev. COP12).</w:t>
      </w:r>
    </w:p>
    <w:p w:rsidR="005E744D" w:rsidRPr="003623EB" w:rsidRDefault="005E744D" w:rsidP="005E744D">
      <w:pPr>
        <w:widowControl/>
        <w:autoSpaceDE/>
        <w:adjustRightInd/>
        <w:jc w:val="both"/>
        <w:rPr>
          <w:rFonts w:ascii="Arial" w:hAnsi="Arial" w:cs="Arial"/>
          <w:sz w:val="22"/>
          <w:szCs w:val="22"/>
          <w:lang w:val="es-ES"/>
        </w:rPr>
      </w:pPr>
    </w:p>
    <w:p w:rsidR="005E744D" w:rsidRPr="003623EB" w:rsidRDefault="005E744D" w:rsidP="005E744D">
      <w:pPr>
        <w:widowControl/>
        <w:autoSpaceDE/>
        <w:adjustRightInd/>
        <w:ind w:firstLine="426"/>
        <w:jc w:val="both"/>
        <w:outlineLvl w:val="0"/>
        <w:rPr>
          <w:rFonts w:ascii="Arial" w:hAnsi="Arial" w:cs="Arial"/>
          <w:i/>
          <w:sz w:val="22"/>
          <w:szCs w:val="22"/>
          <w:lang w:val="es-ES"/>
        </w:rPr>
      </w:pPr>
      <w:r w:rsidRPr="003623EB">
        <w:rPr>
          <w:rFonts w:ascii="Arial" w:hAnsi="Arial"/>
          <w:i/>
          <w:sz w:val="22"/>
          <w:lang w:val="es-ES"/>
        </w:rPr>
        <w:t>Recomendación 2:</w:t>
      </w:r>
      <w:r w:rsidRPr="003623EB">
        <w:rPr>
          <w:rFonts w:ascii="Arial" w:hAnsi="Arial"/>
          <w:sz w:val="22"/>
          <w:lang w:val="es-ES"/>
        </w:rPr>
        <w:t xml:space="preserve"> </w:t>
      </w:r>
      <w:r w:rsidRPr="003623EB">
        <w:rPr>
          <w:rFonts w:ascii="Arial" w:hAnsi="Arial"/>
          <w:i/>
          <w:sz w:val="22"/>
          <w:lang w:val="es-ES"/>
        </w:rPr>
        <w:t>Definir claramente el ámbito de aplicación geográfico</w:t>
      </w:r>
    </w:p>
    <w:p w:rsidR="005E744D" w:rsidRPr="003623EB" w:rsidRDefault="005E744D" w:rsidP="005E744D">
      <w:pPr>
        <w:widowControl/>
        <w:autoSpaceDE/>
        <w:adjustRightInd/>
        <w:ind w:left="720"/>
        <w:jc w:val="both"/>
        <w:rPr>
          <w:rFonts w:ascii="Arial" w:hAnsi="Arial" w:cs="Arial"/>
          <w:b/>
          <w:sz w:val="22"/>
          <w:szCs w:val="22"/>
          <w:lang w:val="es-ES"/>
        </w:rPr>
      </w:pPr>
    </w:p>
    <w:p w:rsidR="005E744D" w:rsidRPr="003623EB" w:rsidRDefault="005E744D" w:rsidP="005E744D">
      <w:pPr>
        <w:widowControl/>
        <w:numPr>
          <w:ilvl w:val="0"/>
          <w:numId w:val="12"/>
        </w:numPr>
        <w:autoSpaceDE/>
        <w:adjustRightInd/>
        <w:ind w:left="426" w:hanging="437"/>
        <w:jc w:val="both"/>
        <w:rPr>
          <w:rFonts w:ascii="Arial" w:hAnsi="Arial" w:cs="Arial"/>
          <w:sz w:val="22"/>
          <w:szCs w:val="22"/>
          <w:lang w:val="es-ES"/>
        </w:rPr>
      </w:pPr>
      <w:r w:rsidRPr="003623EB">
        <w:rPr>
          <w:rFonts w:ascii="Arial" w:hAnsi="Arial"/>
          <w:sz w:val="22"/>
          <w:lang w:val="es-ES"/>
        </w:rPr>
        <w:t xml:space="preserve">La Resolución 11.22 (Rev. COP12) se aplica sin determinar el ámbito de aplicación geográfico. En consecuencia, cualesquiera leyes establecidas para aplicar plenamente la Resolución 11.22 (Rev. COP12), deberían aclarar que toda prohibición de la captura en vivo se aplica 1) a todas las aguas jurisdiccionales del Estado en cuestión y 2) a la alta mar con respecto a sus ciudadanos y los buques que enarbolan su pabellón. </w:t>
      </w:r>
    </w:p>
    <w:p w:rsidR="005E744D" w:rsidRPr="003623EB" w:rsidRDefault="005E744D" w:rsidP="005E744D">
      <w:pPr>
        <w:widowControl/>
        <w:autoSpaceDE/>
        <w:adjustRightInd/>
        <w:jc w:val="both"/>
        <w:rPr>
          <w:rFonts w:ascii="Arial" w:hAnsi="Arial" w:cs="Arial"/>
          <w:sz w:val="22"/>
          <w:szCs w:val="22"/>
          <w:lang w:val="es-ES"/>
        </w:rPr>
      </w:pPr>
    </w:p>
    <w:p w:rsidR="005E744D" w:rsidRPr="003623EB" w:rsidRDefault="005E744D" w:rsidP="005E744D">
      <w:pPr>
        <w:widowControl/>
        <w:numPr>
          <w:ilvl w:val="0"/>
          <w:numId w:val="12"/>
        </w:numPr>
        <w:autoSpaceDE/>
        <w:adjustRightInd/>
        <w:ind w:left="426" w:hanging="437"/>
        <w:jc w:val="both"/>
        <w:rPr>
          <w:rFonts w:ascii="Arial" w:hAnsi="Arial" w:cs="Arial"/>
          <w:sz w:val="22"/>
          <w:szCs w:val="22"/>
          <w:lang w:val="es-ES"/>
        </w:rPr>
      </w:pPr>
      <w:r w:rsidRPr="003623EB">
        <w:rPr>
          <w:rFonts w:ascii="Arial" w:hAnsi="Arial"/>
          <w:sz w:val="22"/>
          <w:lang w:val="es-ES"/>
        </w:rPr>
        <w:t xml:space="preserve">Algunas de las leyes nacionales examinadas son poco claras en cuanto al ámbito de aplicación geográfico de la prohibición. Algunas, por ejemplo, se aplican en las "aguas del Estado X" sin definir qué incluyen esas aguas. Si el ámbito de aplicación geográfico de una ley se basa en una definición de "aguas del Estado X" que se encuentra en una ley diferente, deberá indicarse claramente este hecho. Por ejemplo, si la Ley de pesca del Estado prohíbe la captura en vivo de cetáceos en las "aguas del Estado X", pero esa </w:t>
      </w:r>
      <w:r w:rsidRPr="003623EB">
        <w:rPr>
          <w:rFonts w:ascii="Arial" w:hAnsi="Arial"/>
          <w:sz w:val="22"/>
          <w:lang w:val="es-ES"/>
        </w:rPr>
        <w:lastRenderedPageBreak/>
        <w:t xml:space="preserve">expresión está definida en la Ley de zonas marítimas del Estado, en ese caso en la Ley de pesca debería declararse: </w:t>
      </w:r>
    </w:p>
    <w:p w:rsidR="005E744D" w:rsidRPr="003623EB" w:rsidRDefault="005E744D" w:rsidP="005E744D">
      <w:pPr>
        <w:widowControl/>
        <w:autoSpaceDE/>
        <w:adjustRightInd/>
        <w:jc w:val="both"/>
        <w:rPr>
          <w:rFonts w:ascii="Arial" w:hAnsi="Arial" w:cs="Arial"/>
          <w:sz w:val="22"/>
          <w:szCs w:val="22"/>
          <w:lang w:val="es-ES"/>
        </w:rPr>
      </w:pPr>
    </w:p>
    <w:p w:rsidR="005E744D" w:rsidRPr="003623EB" w:rsidRDefault="005E744D" w:rsidP="005E744D">
      <w:pPr>
        <w:widowControl/>
        <w:autoSpaceDE/>
        <w:adjustRightInd/>
        <w:ind w:left="720" w:right="720"/>
        <w:jc w:val="both"/>
        <w:rPr>
          <w:rFonts w:ascii="Arial" w:hAnsi="Arial" w:cs="Arial"/>
          <w:sz w:val="22"/>
          <w:szCs w:val="22"/>
          <w:lang w:val="es-ES"/>
        </w:rPr>
      </w:pPr>
      <w:r w:rsidRPr="003623EB">
        <w:rPr>
          <w:rFonts w:ascii="Arial" w:hAnsi="Arial"/>
          <w:sz w:val="22"/>
          <w:lang w:val="es-ES"/>
        </w:rPr>
        <w:t>"aguas del Estado X", en la forma utilizada en la Ley de pesca, tiene el mismo significado que el utilizado en el Artículo Z de la Ley de zonas marítimas.</w:t>
      </w:r>
    </w:p>
    <w:p w:rsidR="005E744D" w:rsidRPr="003623EB" w:rsidRDefault="005E744D" w:rsidP="005E744D">
      <w:pPr>
        <w:widowControl/>
        <w:autoSpaceDE/>
        <w:adjustRightInd/>
        <w:ind w:left="720" w:right="720"/>
        <w:jc w:val="both"/>
        <w:rPr>
          <w:rFonts w:ascii="Arial" w:hAnsi="Arial" w:cs="Arial"/>
          <w:sz w:val="22"/>
          <w:szCs w:val="22"/>
          <w:lang w:val="es-ES"/>
        </w:rPr>
      </w:pPr>
    </w:p>
    <w:p w:rsidR="005E744D" w:rsidRPr="003623EB" w:rsidRDefault="005E744D" w:rsidP="005E744D">
      <w:pPr>
        <w:widowControl/>
        <w:numPr>
          <w:ilvl w:val="0"/>
          <w:numId w:val="12"/>
        </w:numPr>
        <w:autoSpaceDE/>
        <w:adjustRightInd/>
        <w:ind w:left="426" w:hanging="437"/>
        <w:jc w:val="both"/>
        <w:rPr>
          <w:rFonts w:ascii="Arial" w:hAnsi="Arial" w:cs="Arial"/>
          <w:sz w:val="22"/>
          <w:szCs w:val="22"/>
          <w:lang w:val="es-ES"/>
        </w:rPr>
      </w:pPr>
      <w:r w:rsidRPr="003623EB">
        <w:rPr>
          <w:rFonts w:ascii="Arial" w:hAnsi="Arial"/>
          <w:sz w:val="22"/>
          <w:lang w:val="es-ES"/>
        </w:rPr>
        <w:t xml:space="preserve">Otras leyes omitían del ámbito de aplicación una zona jurisdiccional fundamental, a veces aguas interiores o la zona económica exclusiva, pero más frecuentemente la alta mar (conocidas también como áreas fuera de la jurisdicción nacional). Para aplicar plenamente la Resolución 11.22 (Rev. COP12) a todos los cetáceos y el Artículo III 5) de la CMS para los cetáceos incluidos en el Apéndice I, las leyes deberían aplicarse a </w:t>
      </w:r>
    </w:p>
    <w:p w:rsidR="005E744D" w:rsidRPr="003623EB" w:rsidRDefault="005E744D" w:rsidP="005E744D">
      <w:pPr>
        <w:widowControl/>
        <w:autoSpaceDE/>
        <w:adjustRightInd/>
        <w:jc w:val="both"/>
        <w:rPr>
          <w:rFonts w:ascii="Arial" w:hAnsi="Arial" w:cs="Arial"/>
          <w:sz w:val="22"/>
          <w:szCs w:val="22"/>
          <w:lang w:val="es-ES"/>
        </w:rPr>
      </w:pPr>
    </w:p>
    <w:p w:rsidR="005E744D" w:rsidRPr="003623EB" w:rsidRDefault="005E744D" w:rsidP="005E744D">
      <w:pPr>
        <w:widowControl/>
        <w:autoSpaceDE/>
        <w:adjustRightInd/>
        <w:ind w:left="720" w:right="720"/>
        <w:jc w:val="both"/>
        <w:rPr>
          <w:rFonts w:ascii="Arial" w:hAnsi="Arial" w:cs="Arial"/>
          <w:sz w:val="22"/>
          <w:szCs w:val="22"/>
          <w:lang w:val="es-ES"/>
        </w:rPr>
      </w:pPr>
      <w:r w:rsidRPr="003623EB">
        <w:rPr>
          <w:rFonts w:ascii="Arial" w:hAnsi="Arial"/>
          <w:sz w:val="22"/>
          <w:lang w:val="es-ES"/>
        </w:rPr>
        <w:t xml:space="preserve">las "aguas interiores, los mares territoriales, la zona económica exclusiva y las áreas fuera de la jurisdicción nacional". </w:t>
      </w:r>
    </w:p>
    <w:p w:rsidR="005E744D" w:rsidRPr="003623EB" w:rsidRDefault="005E744D" w:rsidP="005E744D">
      <w:pPr>
        <w:widowControl/>
        <w:autoSpaceDE/>
        <w:adjustRightInd/>
        <w:jc w:val="both"/>
        <w:rPr>
          <w:rFonts w:ascii="Arial" w:hAnsi="Arial" w:cs="Arial"/>
          <w:sz w:val="22"/>
          <w:szCs w:val="22"/>
          <w:lang w:val="es-ES"/>
        </w:rPr>
      </w:pPr>
    </w:p>
    <w:p w:rsidR="005E744D" w:rsidRPr="003623EB" w:rsidRDefault="005E744D" w:rsidP="005E744D">
      <w:pPr>
        <w:widowControl/>
        <w:numPr>
          <w:ilvl w:val="0"/>
          <w:numId w:val="12"/>
        </w:numPr>
        <w:autoSpaceDE/>
        <w:adjustRightInd/>
        <w:ind w:left="426" w:hanging="437"/>
        <w:jc w:val="both"/>
        <w:rPr>
          <w:rFonts w:ascii="Arial" w:hAnsi="Arial" w:cs="Arial"/>
          <w:sz w:val="22"/>
          <w:szCs w:val="22"/>
          <w:lang w:val="es-ES"/>
        </w:rPr>
      </w:pPr>
      <w:r w:rsidRPr="003623EB">
        <w:rPr>
          <w:rFonts w:ascii="Arial" w:hAnsi="Arial" w:cs="Arial"/>
          <w:sz w:val="22"/>
          <w:szCs w:val="22"/>
          <w:lang w:val="es-ES"/>
        </w:rPr>
        <w:t>Tal como se describe en los párrafos siguientes, un Estado no tiene jurisdicción sobre los buques que navegan con pabellón de otros Estados o los no ciudadanos en áreas fuera de la jurisdicción nacional. Así, una ley que aplica plenamente la Resolución 11.22</w:t>
      </w:r>
      <w:r w:rsidR="0072556D">
        <w:rPr>
          <w:rFonts w:ascii="Arial" w:hAnsi="Arial" w:cs="Arial"/>
          <w:sz w:val="22"/>
          <w:szCs w:val="22"/>
          <w:lang w:val="es-ES"/>
        </w:rPr>
        <w:t xml:space="preserve"> (Rev. COP12)</w:t>
      </w:r>
      <w:r w:rsidRPr="003623EB">
        <w:rPr>
          <w:rFonts w:ascii="Arial" w:hAnsi="Arial" w:cs="Arial"/>
          <w:sz w:val="22"/>
          <w:szCs w:val="22"/>
          <w:lang w:val="es-ES"/>
        </w:rPr>
        <w:t xml:space="preserve"> necesita especificar a quién se aplica la ley en las áreas que se encuentran fuera de la jurisdicción nacional, en forma separada de las disposiciones que se aplican a las áreas que se encuentran en el ámbito de la jurisdicción nacional.</w:t>
      </w:r>
    </w:p>
    <w:p w:rsidR="005E744D" w:rsidRPr="003623EB" w:rsidRDefault="005E744D" w:rsidP="005E744D">
      <w:pPr>
        <w:widowControl/>
        <w:autoSpaceDE/>
        <w:adjustRightInd/>
        <w:jc w:val="both"/>
        <w:rPr>
          <w:rFonts w:ascii="Arial" w:hAnsi="Arial" w:cs="Arial"/>
          <w:sz w:val="22"/>
          <w:szCs w:val="22"/>
          <w:lang w:val="es-ES"/>
        </w:rPr>
      </w:pPr>
    </w:p>
    <w:p w:rsidR="005E744D" w:rsidRPr="003623EB" w:rsidRDefault="005E744D" w:rsidP="005E744D">
      <w:pPr>
        <w:widowControl/>
        <w:autoSpaceDE/>
        <w:adjustRightInd/>
        <w:ind w:left="426"/>
        <w:jc w:val="both"/>
        <w:rPr>
          <w:rFonts w:ascii="Arial" w:hAnsi="Arial" w:cs="Arial"/>
          <w:i/>
          <w:sz w:val="22"/>
          <w:szCs w:val="22"/>
          <w:lang w:val="es-ES"/>
        </w:rPr>
      </w:pPr>
      <w:r w:rsidRPr="003623EB">
        <w:rPr>
          <w:rFonts w:ascii="Arial" w:hAnsi="Arial"/>
          <w:i/>
          <w:sz w:val="22"/>
          <w:lang w:val="es-ES"/>
        </w:rPr>
        <w:t xml:space="preserve">Recomendación 3: Definir claramente la gama de "personas" a las que se aplica la prohibición </w:t>
      </w:r>
    </w:p>
    <w:p w:rsidR="005E744D" w:rsidRPr="003623EB" w:rsidRDefault="005E744D" w:rsidP="005E744D">
      <w:pPr>
        <w:widowControl/>
        <w:autoSpaceDE/>
        <w:adjustRightInd/>
        <w:jc w:val="both"/>
        <w:rPr>
          <w:rFonts w:ascii="Arial" w:hAnsi="Arial" w:cs="Arial"/>
          <w:sz w:val="22"/>
          <w:szCs w:val="22"/>
          <w:lang w:val="es-ES"/>
        </w:rPr>
      </w:pPr>
    </w:p>
    <w:p w:rsidR="005E744D" w:rsidRPr="003623EB" w:rsidRDefault="005E744D" w:rsidP="005E744D">
      <w:pPr>
        <w:widowControl/>
        <w:numPr>
          <w:ilvl w:val="0"/>
          <w:numId w:val="12"/>
        </w:numPr>
        <w:autoSpaceDE/>
        <w:adjustRightInd/>
        <w:ind w:left="426" w:hanging="437"/>
        <w:jc w:val="both"/>
        <w:rPr>
          <w:rFonts w:ascii="Arial" w:hAnsi="Arial" w:cs="Arial"/>
          <w:sz w:val="22"/>
          <w:szCs w:val="22"/>
          <w:lang w:val="es-ES"/>
        </w:rPr>
      </w:pPr>
      <w:r w:rsidRPr="003623EB">
        <w:rPr>
          <w:rFonts w:ascii="Arial" w:hAnsi="Arial"/>
          <w:sz w:val="22"/>
          <w:lang w:val="es-ES"/>
        </w:rPr>
        <w:t xml:space="preserve">En algunas de las leyes nacionales examinadas es ilegal capturar o sacar de otro modo cetáceos de su ambiente natural, pero no se especifica a quién se aplica la prohibición. En otras leyes se prohíbe a "una persona" o a "cualquier persona" capturar o "sacar" de otro modo cetáceos de su ambiente natural, pero no se define el término "persona". En consecuencia, no está claro si la prohibición se aplica, por ejemplo, a organismos gubernamentales o a buques que navegan con el pabellón del Estado en cuestión. Son deficiencias de las leyes por al menos dos razones. En primer lugar, la CMS extiende concretamente sus prohibiciones a los buques que navegan con pabellón de una de las Partes en la CMS con respecto a las especies incluidas en el Apéndice I. En segundo lugar, las tripulaciones de buques que enarbolan el pabellón de un determinado Estado suelen ser nacionales de otro Estado. </w:t>
      </w:r>
    </w:p>
    <w:p w:rsidR="005E744D" w:rsidRPr="003623EB" w:rsidRDefault="005E744D" w:rsidP="005E744D">
      <w:pPr>
        <w:widowControl/>
        <w:autoSpaceDE/>
        <w:adjustRightInd/>
        <w:jc w:val="both"/>
        <w:rPr>
          <w:rFonts w:ascii="Arial" w:hAnsi="Arial" w:cs="Arial"/>
          <w:sz w:val="22"/>
          <w:szCs w:val="22"/>
          <w:lang w:val="es-ES"/>
        </w:rPr>
      </w:pPr>
    </w:p>
    <w:p w:rsidR="005E744D" w:rsidRPr="003623EB" w:rsidRDefault="005E744D" w:rsidP="005E744D">
      <w:pPr>
        <w:widowControl/>
        <w:numPr>
          <w:ilvl w:val="0"/>
          <w:numId w:val="12"/>
        </w:numPr>
        <w:autoSpaceDE/>
        <w:adjustRightInd/>
        <w:ind w:left="426" w:hanging="437"/>
        <w:jc w:val="both"/>
        <w:rPr>
          <w:rFonts w:ascii="Arial" w:hAnsi="Arial" w:cs="Arial"/>
          <w:sz w:val="22"/>
          <w:szCs w:val="22"/>
          <w:lang w:val="es-ES"/>
        </w:rPr>
      </w:pPr>
      <w:r w:rsidRPr="003623EB">
        <w:rPr>
          <w:rFonts w:ascii="Arial" w:hAnsi="Arial"/>
          <w:sz w:val="22"/>
          <w:lang w:val="es-ES"/>
        </w:rPr>
        <w:t>En virtud del derecho internacional, los Estados pueden ejercer su jurisdicción y control sobre personas y entidades en virtud de una serie de principios. A los efectos de la Resolución 11.22 (Rev. COP12), los dos principios pertinentes son los principios de la nacionalidad y de la territorialidad.</w:t>
      </w:r>
    </w:p>
    <w:p w:rsidR="005E744D" w:rsidRPr="003623EB" w:rsidRDefault="005E744D" w:rsidP="005E744D">
      <w:pPr>
        <w:widowControl/>
        <w:autoSpaceDE/>
        <w:adjustRightInd/>
        <w:jc w:val="both"/>
        <w:rPr>
          <w:rFonts w:ascii="Arial" w:hAnsi="Arial" w:cs="Arial"/>
          <w:sz w:val="22"/>
          <w:szCs w:val="22"/>
          <w:lang w:val="es-ES"/>
        </w:rPr>
      </w:pPr>
    </w:p>
    <w:p w:rsidR="005E744D" w:rsidRPr="003623EB" w:rsidRDefault="005E744D" w:rsidP="005E744D">
      <w:pPr>
        <w:widowControl/>
        <w:numPr>
          <w:ilvl w:val="0"/>
          <w:numId w:val="12"/>
        </w:numPr>
        <w:autoSpaceDE/>
        <w:adjustRightInd/>
        <w:ind w:left="426" w:hanging="437"/>
        <w:jc w:val="both"/>
        <w:rPr>
          <w:rFonts w:ascii="Arial" w:hAnsi="Arial" w:cs="Arial"/>
          <w:sz w:val="22"/>
          <w:szCs w:val="22"/>
          <w:lang w:val="es-ES"/>
        </w:rPr>
      </w:pPr>
      <w:r w:rsidRPr="003623EB">
        <w:rPr>
          <w:rFonts w:ascii="Arial" w:hAnsi="Arial"/>
          <w:sz w:val="22"/>
          <w:lang w:val="es-ES"/>
        </w:rPr>
        <w:t xml:space="preserve">El principio de la nacionalidad permite a un Estado ejercer su jurisdicción y control sobre sus ciudadanos, independientemente del lugar donde se encuentren. Se considera que las empresas, los buques y las aeronaves tienen la nacionalidad del Estado en cuyo territorio están registrados (es decir, dotados de su pabellón). Así, el Estado del pabellón tiene el deber de ejercer su jurisdicción y control sobre los buques registrados con su pabellón. Por lo que respecta a la conducta de las personas, un Estado cede a menudo la jurisdicción sobre sus nacionales cuando se encuentran en el extranjero, a fin de que el Estado en el que ha tenido lugar la conducta en cuestión pueda ejercer su jurisdicción de conformidad con el principio de la territorialidad. </w:t>
      </w:r>
    </w:p>
    <w:p w:rsidR="005E744D" w:rsidRPr="003623EB" w:rsidRDefault="005E744D" w:rsidP="005E744D">
      <w:pPr>
        <w:widowControl/>
        <w:autoSpaceDE/>
        <w:adjustRightInd/>
        <w:jc w:val="both"/>
        <w:rPr>
          <w:rFonts w:ascii="Arial" w:hAnsi="Arial" w:cs="Arial"/>
          <w:sz w:val="22"/>
          <w:szCs w:val="22"/>
          <w:lang w:val="es-ES"/>
        </w:rPr>
      </w:pPr>
    </w:p>
    <w:p w:rsidR="005E744D" w:rsidRPr="003623EB" w:rsidRDefault="005E744D" w:rsidP="005E744D">
      <w:pPr>
        <w:widowControl/>
        <w:numPr>
          <w:ilvl w:val="0"/>
          <w:numId w:val="12"/>
        </w:numPr>
        <w:autoSpaceDE/>
        <w:adjustRightInd/>
        <w:ind w:left="426" w:hanging="437"/>
        <w:jc w:val="both"/>
        <w:rPr>
          <w:rFonts w:ascii="Arial" w:hAnsi="Arial" w:cs="Arial"/>
          <w:sz w:val="22"/>
          <w:szCs w:val="22"/>
          <w:lang w:val="es-ES"/>
        </w:rPr>
      </w:pPr>
      <w:r w:rsidRPr="003623EB">
        <w:rPr>
          <w:rFonts w:ascii="Arial" w:hAnsi="Arial"/>
          <w:sz w:val="22"/>
          <w:lang w:val="es-ES"/>
        </w:rPr>
        <w:t xml:space="preserve">El principio de la territorialidad confiere a un Estado la autoridad de regulación sobre las personas, independientemente de su nacionalidad, dentro de sus fronteras. El ejercicio de este tipo de jurisdicción depende del lugar donde ocurre la conducta. Siempre que dicha conducta tiene lugar en el ámbito del territorio del Estado, este tiene jurisdicción. En consecuencia, un Estado puede aplicar sus leyes a los buques comerciales extranjeros </w:t>
      </w:r>
      <w:r w:rsidRPr="003623EB">
        <w:rPr>
          <w:rFonts w:ascii="Arial" w:hAnsi="Arial"/>
          <w:sz w:val="22"/>
          <w:lang w:val="es-ES"/>
        </w:rPr>
        <w:lastRenderedPageBreak/>
        <w:t xml:space="preserve">mientras se encuentren en sus puertos y en las aguas interiores, que se consideran parte de su territorio. </w:t>
      </w:r>
    </w:p>
    <w:p w:rsidR="005E744D" w:rsidRPr="003623EB" w:rsidRDefault="005E744D" w:rsidP="005E744D">
      <w:pPr>
        <w:widowControl/>
        <w:autoSpaceDE/>
        <w:adjustRightInd/>
        <w:jc w:val="both"/>
        <w:rPr>
          <w:rFonts w:ascii="Arial" w:hAnsi="Arial" w:cs="Arial"/>
          <w:sz w:val="22"/>
          <w:szCs w:val="22"/>
          <w:lang w:val="es-ES"/>
        </w:rPr>
      </w:pPr>
    </w:p>
    <w:p w:rsidR="005E744D" w:rsidRPr="003623EB" w:rsidRDefault="005E744D" w:rsidP="005E744D">
      <w:pPr>
        <w:widowControl/>
        <w:numPr>
          <w:ilvl w:val="0"/>
          <w:numId w:val="12"/>
        </w:numPr>
        <w:autoSpaceDE/>
        <w:adjustRightInd/>
        <w:ind w:left="426" w:hanging="437"/>
        <w:jc w:val="both"/>
        <w:rPr>
          <w:rFonts w:ascii="Arial" w:hAnsi="Arial" w:cs="Arial"/>
          <w:sz w:val="22"/>
          <w:szCs w:val="22"/>
          <w:lang w:val="es-ES"/>
        </w:rPr>
      </w:pPr>
      <w:r w:rsidRPr="003623EB">
        <w:rPr>
          <w:rFonts w:ascii="Arial" w:hAnsi="Arial"/>
          <w:sz w:val="22"/>
          <w:lang w:val="es-ES"/>
        </w:rPr>
        <w:t xml:space="preserve">A los efectos de la Resolución 11.22 (Rev. COP12), se invita a las Partes en la CMS a que prohíban la captura en vivo de todos los cetáceos en su ambiente natural. En el Artículo III 5) de la CMS se exige ya a las Partes que son Estados del área de distribución que prohíban la captura en vivo de los cetáceos incluidos en el Apéndice I en el ámbito de sus aguas y, por lo que respecta a los buques que enarbolan su pabellón, en alta mar. Por consiguiente, la Resolución 11.22 (Rev. COP12) extiende la prohibición a la captura en vivo de las especies no incluidas en el Apéndice I. En ella se invita también a las Partes a que prohíban la captura de cetáceos vivos en su ambiente natural para fines comerciales por 1) buques que enarbolan el pabellón de una Partes en la CMS en todas las aguas y 2) todas las "personas" en el ámbito de la jurisdicción de la Parte en la CMS, dondequiera que se encuentren. </w:t>
      </w:r>
    </w:p>
    <w:p w:rsidR="005E744D" w:rsidRPr="003623EB" w:rsidRDefault="005E744D" w:rsidP="005E744D">
      <w:pPr>
        <w:widowControl/>
        <w:autoSpaceDE/>
        <w:adjustRightInd/>
        <w:jc w:val="both"/>
        <w:rPr>
          <w:rFonts w:ascii="Arial" w:hAnsi="Arial" w:cs="Arial"/>
          <w:sz w:val="22"/>
          <w:szCs w:val="22"/>
          <w:lang w:val="es-ES"/>
        </w:rPr>
      </w:pPr>
    </w:p>
    <w:p w:rsidR="005E744D" w:rsidRPr="003623EB" w:rsidRDefault="005E744D" w:rsidP="005E744D">
      <w:pPr>
        <w:widowControl/>
        <w:numPr>
          <w:ilvl w:val="0"/>
          <w:numId w:val="12"/>
        </w:numPr>
        <w:autoSpaceDE/>
        <w:adjustRightInd/>
        <w:ind w:left="426" w:hanging="437"/>
        <w:jc w:val="both"/>
        <w:rPr>
          <w:rFonts w:ascii="Arial" w:hAnsi="Arial" w:cs="Arial"/>
          <w:sz w:val="22"/>
          <w:szCs w:val="22"/>
          <w:lang w:val="es-ES"/>
        </w:rPr>
      </w:pPr>
      <w:r w:rsidRPr="003623EB">
        <w:rPr>
          <w:rFonts w:ascii="Arial" w:hAnsi="Arial"/>
          <w:sz w:val="22"/>
          <w:lang w:val="es-ES"/>
        </w:rPr>
        <w:t>Sobre la base de la legislación examinada, la mayoría de las Partes en la CMS no prohíben la captura de cetáceos vivos en la mayor medida posible prevista en la Resolución 11.22 (Rev. COP12). De las legislaciones examinadas, solo Australia aplicaba claramente la Resolución 11.22 (Rev. COP12) a zonas situadas fuera de su jurisdicción. Su legislación podría constituir un modelo para otras Partes en la CMS.</w:t>
      </w:r>
    </w:p>
    <w:p w:rsidR="005E744D" w:rsidRPr="003623EB" w:rsidRDefault="005E744D" w:rsidP="005E744D">
      <w:pPr>
        <w:widowControl/>
        <w:autoSpaceDE/>
        <w:adjustRightInd/>
        <w:ind w:left="-11"/>
        <w:jc w:val="both"/>
        <w:rPr>
          <w:rFonts w:ascii="Arial" w:hAnsi="Arial" w:cs="Arial"/>
          <w:sz w:val="22"/>
          <w:szCs w:val="22"/>
          <w:lang w:val="es-ES"/>
        </w:rPr>
      </w:pPr>
    </w:p>
    <w:p w:rsidR="005E744D" w:rsidRPr="003623EB" w:rsidRDefault="005E744D" w:rsidP="005E744D">
      <w:pPr>
        <w:widowControl/>
        <w:numPr>
          <w:ilvl w:val="0"/>
          <w:numId w:val="12"/>
        </w:numPr>
        <w:autoSpaceDE/>
        <w:adjustRightInd/>
        <w:ind w:left="426" w:hanging="437"/>
        <w:jc w:val="both"/>
        <w:rPr>
          <w:rFonts w:ascii="Arial" w:hAnsi="Arial" w:cs="Arial"/>
          <w:sz w:val="22"/>
          <w:szCs w:val="22"/>
          <w:lang w:val="es-ES"/>
        </w:rPr>
      </w:pPr>
      <w:r w:rsidRPr="003623EB">
        <w:rPr>
          <w:rFonts w:ascii="Arial" w:hAnsi="Arial"/>
          <w:sz w:val="22"/>
          <w:lang w:val="es-ES"/>
        </w:rPr>
        <w:t>Australia complementa el ámbito de aplicación geográfico de sus prohibiciones sobre la captura en vivo (según se describe en la Recomendación 2) con la aplicación a distintas entidades y personas. Las secciones 5 y 224 de la Ley EPCB disponen lo siguiente:</w:t>
      </w:r>
    </w:p>
    <w:p w:rsidR="005E744D" w:rsidRPr="003623EB" w:rsidRDefault="005E744D" w:rsidP="005E744D">
      <w:pPr>
        <w:widowControl/>
        <w:autoSpaceDE/>
        <w:adjustRightInd/>
        <w:jc w:val="both"/>
        <w:rPr>
          <w:rFonts w:ascii="Arial" w:hAnsi="Arial" w:cs="Arial"/>
          <w:sz w:val="22"/>
          <w:szCs w:val="22"/>
          <w:lang w:val="es-ES"/>
        </w:rPr>
      </w:pPr>
    </w:p>
    <w:p w:rsidR="005E744D" w:rsidRPr="003623EB" w:rsidRDefault="005E744D" w:rsidP="005E744D">
      <w:pPr>
        <w:ind w:firstLine="720"/>
        <w:jc w:val="both"/>
        <w:outlineLvl w:val="0"/>
        <w:rPr>
          <w:rFonts w:ascii="Arial" w:hAnsi="Arial" w:cs="Arial"/>
          <w:b/>
          <w:iCs/>
          <w:sz w:val="22"/>
          <w:szCs w:val="22"/>
          <w:lang w:val="es-ES"/>
        </w:rPr>
      </w:pPr>
      <w:r w:rsidRPr="003623EB">
        <w:rPr>
          <w:rFonts w:ascii="Arial" w:hAnsi="Arial"/>
          <w:b/>
          <w:sz w:val="22"/>
          <w:lang w:val="es-ES"/>
        </w:rPr>
        <w:t>Sección 5</w:t>
      </w:r>
    </w:p>
    <w:p w:rsidR="005E744D" w:rsidRPr="003623EB" w:rsidRDefault="005E744D" w:rsidP="005E744D">
      <w:pPr>
        <w:ind w:firstLine="720"/>
        <w:jc w:val="both"/>
        <w:outlineLvl w:val="0"/>
        <w:rPr>
          <w:rFonts w:ascii="Arial" w:hAnsi="Arial" w:cs="Arial"/>
          <w:sz w:val="22"/>
          <w:szCs w:val="22"/>
          <w:lang w:val="es-ES"/>
        </w:rPr>
      </w:pPr>
      <w:r w:rsidRPr="003623EB">
        <w:rPr>
          <w:rFonts w:ascii="Arial" w:hAnsi="Arial"/>
          <w:i/>
          <w:sz w:val="22"/>
          <w:lang w:val="es-ES"/>
        </w:rPr>
        <w:t xml:space="preserve">Extensión a territorios externos </w:t>
      </w:r>
    </w:p>
    <w:p w:rsidR="005E744D" w:rsidRPr="003623EB" w:rsidRDefault="005E744D" w:rsidP="005E744D">
      <w:pPr>
        <w:widowControl/>
        <w:autoSpaceDE/>
        <w:adjustRightInd/>
        <w:ind w:left="720" w:right="720"/>
        <w:jc w:val="both"/>
        <w:rPr>
          <w:rFonts w:ascii="Arial" w:hAnsi="Arial" w:cs="Arial"/>
          <w:sz w:val="22"/>
          <w:szCs w:val="22"/>
          <w:lang w:val="es-ES"/>
        </w:rPr>
      </w:pPr>
      <w:r w:rsidRPr="003623EB">
        <w:rPr>
          <w:rFonts w:ascii="Arial" w:hAnsi="Arial"/>
          <w:sz w:val="22"/>
          <w:lang w:val="es-ES"/>
        </w:rPr>
        <w:t xml:space="preserve">(1) Esta ley se extiende a cada territorio externo. </w:t>
      </w:r>
    </w:p>
    <w:p w:rsidR="005E744D" w:rsidRPr="003623EB" w:rsidRDefault="005E744D" w:rsidP="005E744D">
      <w:pPr>
        <w:ind w:firstLine="720"/>
        <w:jc w:val="both"/>
        <w:rPr>
          <w:rFonts w:ascii="Arial" w:hAnsi="Arial" w:cs="Arial"/>
          <w:sz w:val="22"/>
          <w:szCs w:val="22"/>
          <w:lang w:val="es-ES"/>
        </w:rPr>
      </w:pPr>
      <w:r w:rsidRPr="003623EB">
        <w:rPr>
          <w:rFonts w:ascii="Arial" w:hAnsi="Arial"/>
          <w:i/>
          <w:sz w:val="22"/>
          <w:lang w:val="es-ES"/>
        </w:rPr>
        <w:t xml:space="preserve">Aplicación extraterritorial limitada </w:t>
      </w:r>
    </w:p>
    <w:p w:rsidR="005E744D" w:rsidRPr="003623EB" w:rsidRDefault="005E744D" w:rsidP="005E744D">
      <w:pPr>
        <w:widowControl/>
        <w:autoSpaceDE/>
        <w:adjustRightInd/>
        <w:ind w:left="720" w:right="720"/>
        <w:jc w:val="both"/>
        <w:rPr>
          <w:rFonts w:ascii="Arial" w:hAnsi="Arial" w:cs="Arial"/>
          <w:sz w:val="22"/>
          <w:szCs w:val="22"/>
          <w:lang w:val="es-ES"/>
        </w:rPr>
      </w:pPr>
      <w:r w:rsidRPr="003623EB">
        <w:rPr>
          <w:rFonts w:ascii="Arial" w:hAnsi="Arial"/>
          <w:sz w:val="22"/>
          <w:lang w:val="es-ES"/>
        </w:rPr>
        <w:t xml:space="preserve">(2) Esta ley se aplica a las acciones, omisiones, asuntos y cosas que tienen lugar en la jurisdicción australiana, y no se aplica a las acciones, omisiones, asuntos y cosas fuera de la jurisdicción australiana, salvo que se exprese una intención contraria. </w:t>
      </w:r>
    </w:p>
    <w:p w:rsidR="005E744D" w:rsidRPr="003623EB" w:rsidRDefault="005E744D" w:rsidP="005E744D">
      <w:pPr>
        <w:ind w:firstLine="720"/>
        <w:jc w:val="both"/>
        <w:rPr>
          <w:rFonts w:ascii="Arial" w:hAnsi="Arial" w:cs="Arial"/>
          <w:sz w:val="22"/>
          <w:szCs w:val="22"/>
          <w:lang w:val="es-ES"/>
        </w:rPr>
      </w:pPr>
      <w:r w:rsidRPr="003623EB">
        <w:rPr>
          <w:rFonts w:ascii="Arial" w:hAnsi="Arial"/>
          <w:i/>
          <w:sz w:val="22"/>
          <w:lang w:val="es-ES"/>
        </w:rPr>
        <w:t xml:space="preserve">Aplicación limitada a los australianos fuera de la zona económica exclusiva </w:t>
      </w:r>
    </w:p>
    <w:p w:rsidR="005E744D" w:rsidRPr="003623EB" w:rsidRDefault="005E744D" w:rsidP="005E744D">
      <w:pPr>
        <w:widowControl/>
        <w:autoSpaceDE/>
        <w:adjustRightInd/>
        <w:ind w:left="720" w:right="720"/>
        <w:jc w:val="both"/>
        <w:rPr>
          <w:rFonts w:ascii="Arial" w:hAnsi="Arial" w:cs="Arial"/>
          <w:sz w:val="22"/>
          <w:szCs w:val="22"/>
          <w:lang w:val="es-ES"/>
        </w:rPr>
      </w:pPr>
      <w:r w:rsidRPr="003623EB">
        <w:rPr>
          <w:rFonts w:ascii="Arial" w:hAnsi="Arial"/>
          <w:sz w:val="22"/>
          <w:lang w:val="es-ES"/>
        </w:rPr>
        <w:t xml:space="preserve">(3) Las disposiciones de esta ley, que tienen efecto con relación a un lugar que se encuentre fuera de los límites exteriores de la zona económica exclusiva y no se encuentre sobre o en la plataforma continental, se aplican solo con relación a: </w:t>
      </w:r>
    </w:p>
    <w:p w:rsidR="005E744D" w:rsidRPr="003623EB" w:rsidRDefault="005E744D" w:rsidP="005E744D">
      <w:pPr>
        <w:ind w:left="1440" w:right="720" w:hanging="360"/>
        <w:jc w:val="both"/>
        <w:rPr>
          <w:rFonts w:ascii="Arial" w:hAnsi="Arial" w:cs="Arial"/>
          <w:sz w:val="22"/>
          <w:szCs w:val="22"/>
          <w:lang w:val="es-ES"/>
        </w:rPr>
      </w:pPr>
      <w:r w:rsidRPr="003623EB">
        <w:rPr>
          <w:rFonts w:ascii="Arial" w:hAnsi="Arial"/>
          <w:sz w:val="22"/>
          <w:lang w:val="es-ES"/>
        </w:rPr>
        <w:t>(a) </w:t>
      </w:r>
      <w:r w:rsidRPr="003623EB">
        <w:rPr>
          <w:lang w:val="es-ES"/>
        </w:rPr>
        <w:tab/>
      </w:r>
      <w:r w:rsidRPr="003623EB">
        <w:rPr>
          <w:rFonts w:ascii="Arial" w:hAnsi="Arial"/>
          <w:sz w:val="22"/>
          <w:lang w:val="es-ES"/>
        </w:rPr>
        <w:t>los ciudadanos australianos;</w:t>
      </w:r>
    </w:p>
    <w:p w:rsidR="005E744D" w:rsidRPr="003623EB" w:rsidRDefault="005E744D" w:rsidP="005E744D">
      <w:pPr>
        <w:ind w:left="1440" w:right="720" w:hanging="360"/>
        <w:jc w:val="both"/>
        <w:rPr>
          <w:rFonts w:ascii="Arial" w:hAnsi="Arial" w:cs="Arial"/>
          <w:sz w:val="22"/>
          <w:szCs w:val="22"/>
          <w:lang w:val="es-ES"/>
        </w:rPr>
      </w:pPr>
      <w:r w:rsidRPr="003623EB">
        <w:rPr>
          <w:rFonts w:ascii="Arial" w:hAnsi="Arial"/>
          <w:sz w:val="22"/>
          <w:lang w:val="es-ES"/>
        </w:rPr>
        <w:t>(b) </w:t>
      </w:r>
      <w:r w:rsidRPr="003623EB">
        <w:rPr>
          <w:lang w:val="es-ES"/>
        </w:rPr>
        <w:tab/>
      </w:r>
      <w:r w:rsidRPr="003623EB">
        <w:rPr>
          <w:rFonts w:ascii="Arial" w:hAnsi="Arial"/>
          <w:sz w:val="22"/>
          <w:lang w:val="es-ES"/>
        </w:rPr>
        <w:t xml:space="preserve">las personas que: </w:t>
      </w:r>
    </w:p>
    <w:p w:rsidR="005E744D" w:rsidRPr="003623EB" w:rsidRDefault="005E744D" w:rsidP="005E744D">
      <w:pPr>
        <w:ind w:left="1800" w:right="720" w:hanging="360"/>
        <w:jc w:val="both"/>
        <w:rPr>
          <w:rFonts w:ascii="Arial" w:hAnsi="Arial" w:cs="Arial"/>
          <w:sz w:val="22"/>
          <w:szCs w:val="22"/>
          <w:lang w:val="es-ES"/>
        </w:rPr>
      </w:pPr>
      <w:r w:rsidRPr="003623EB">
        <w:rPr>
          <w:rFonts w:ascii="Arial" w:hAnsi="Arial"/>
          <w:sz w:val="22"/>
          <w:lang w:val="es-ES"/>
        </w:rPr>
        <w:t>(i) </w:t>
      </w:r>
      <w:r w:rsidRPr="003623EB">
        <w:rPr>
          <w:lang w:val="es-ES"/>
        </w:rPr>
        <w:tab/>
      </w:r>
      <w:r w:rsidRPr="003623EB">
        <w:rPr>
          <w:rFonts w:ascii="Arial" w:hAnsi="Arial"/>
          <w:sz w:val="22"/>
          <w:lang w:val="es-ES"/>
        </w:rPr>
        <w:t>no son ciudadanos australianos;</w:t>
      </w:r>
    </w:p>
    <w:p w:rsidR="005E744D" w:rsidRPr="003623EB" w:rsidRDefault="005E744D" w:rsidP="005E744D">
      <w:pPr>
        <w:ind w:left="1800" w:right="720" w:hanging="360"/>
        <w:jc w:val="both"/>
        <w:rPr>
          <w:rFonts w:ascii="Arial" w:hAnsi="Arial" w:cs="Arial"/>
          <w:sz w:val="22"/>
          <w:szCs w:val="22"/>
          <w:lang w:val="es-ES"/>
        </w:rPr>
      </w:pPr>
      <w:r w:rsidRPr="003623EB">
        <w:rPr>
          <w:rFonts w:ascii="Arial" w:hAnsi="Arial"/>
          <w:sz w:val="22"/>
          <w:lang w:val="es-ES"/>
        </w:rPr>
        <w:t>(ii) </w:t>
      </w:r>
      <w:r w:rsidRPr="003623EB">
        <w:rPr>
          <w:lang w:val="es-ES"/>
        </w:rPr>
        <w:tab/>
      </w:r>
      <w:r w:rsidRPr="003623EB">
        <w:rPr>
          <w:rFonts w:ascii="Arial" w:hAnsi="Arial"/>
          <w:sz w:val="22"/>
          <w:lang w:val="es-ES"/>
        </w:rPr>
        <w:t xml:space="preserve">poseen visados permanentes con arreglo a la </w:t>
      </w:r>
      <w:r w:rsidRPr="003623EB">
        <w:rPr>
          <w:rFonts w:ascii="Arial" w:hAnsi="Arial"/>
          <w:i/>
          <w:sz w:val="22"/>
          <w:lang w:val="es-ES"/>
        </w:rPr>
        <w:t>Ley de Migración</w:t>
      </w:r>
      <w:r w:rsidRPr="003623EB">
        <w:rPr>
          <w:rFonts w:ascii="Arial" w:hAnsi="Arial"/>
          <w:sz w:val="22"/>
          <w:lang w:val="es-ES"/>
        </w:rPr>
        <w:t xml:space="preserve"> de 1958;</w:t>
      </w:r>
    </w:p>
    <w:p w:rsidR="005E744D" w:rsidRPr="003623EB" w:rsidRDefault="005E744D" w:rsidP="005E744D">
      <w:pPr>
        <w:ind w:left="1800" w:right="720" w:hanging="360"/>
        <w:jc w:val="both"/>
        <w:rPr>
          <w:rFonts w:ascii="Arial" w:hAnsi="Arial" w:cs="Arial"/>
          <w:sz w:val="22"/>
          <w:szCs w:val="22"/>
          <w:lang w:val="es-ES"/>
        </w:rPr>
      </w:pPr>
      <w:r w:rsidRPr="003623EB">
        <w:rPr>
          <w:rFonts w:ascii="Arial" w:hAnsi="Arial"/>
          <w:sz w:val="22"/>
          <w:lang w:val="es-ES"/>
        </w:rPr>
        <w:t>(iii)</w:t>
      </w:r>
      <w:r w:rsidRPr="003623EB">
        <w:rPr>
          <w:lang w:val="es-ES"/>
        </w:rPr>
        <w:tab/>
      </w:r>
      <w:r w:rsidRPr="003623EB">
        <w:rPr>
          <w:rFonts w:ascii="Arial" w:hAnsi="Arial"/>
          <w:sz w:val="22"/>
          <w:lang w:val="es-ES"/>
        </w:rPr>
        <w:t>están domiciliados en Australia o un territorio externo;</w:t>
      </w:r>
    </w:p>
    <w:p w:rsidR="005E744D" w:rsidRPr="003623EB" w:rsidRDefault="005E744D" w:rsidP="005E744D">
      <w:pPr>
        <w:ind w:left="1440" w:right="720" w:hanging="360"/>
        <w:jc w:val="both"/>
        <w:rPr>
          <w:rFonts w:ascii="Arial" w:hAnsi="Arial" w:cs="Arial"/>
          <w:sz w:val="22"/>
          <w:szCs w:val="22"/>
          <w:lang w:val="es-ES"/>
        </w:rPr>
      </w:pPr>
      <w:r w:rsidRPr="003623EB">
        <w:rPr>
          <w:rFonts w:ascii="Arial" w:hAnsi="Arial"/>
          <w:sz w:val="22"/>
          <w:lang w:val="es-ES"/>
        </w:rPr>
        <w:t>(c) </w:t>
      </w:r>
      <w:r w:rsidRPr="003623EB">
        <w:rPr>
          <w:lang w:val="es-ES"/>
        </w:rPr>
        <w:tab/>
      </w:r>
      <w:r w:rsidRPr="003623EB">
        <w:rPr>
          <w:rFonts w:ascii="Arial" w:hAnsi="Arial"/>
          <w:sz w:val="22"/>
          <w:lang w:val="es-ES"/>
        </w:rPr>
        <w:t xml:space="preserve">sociedades anónimas constituidas en Australia o un territorio externo; </w:t>
      </w:r>
    </w:p>
    <w:p w:rsidR="005E744D" w:rsidRPr="003623EB" w:rsidRDefault="005E744D" w:rsidP="005E744D">
      <w:pPr>
        <w:ind w:left="1440" w:right="720" w:hanging="360"/>
        <w:jc w:val="both"/>
        <w:rPr>
          <w:rFonts w:ascii="Arial" w:hAnsi="Arial" w:cs="Arial"/>
          <w:sz w:val="22"/>
          <w:szCs w:val="22"/>
          <w:lang w:val="es-ES"/>
        </w:rPr>
      </w:pPr>
      <w:r w:rsidRPr="003623EB">
        <w:rPr>
          <w:rFonts w:ascii="Arial" w:hAnsi="Arial"/>
          <w:sz w:val="22"/>
          <w:lang w:val="es-ES"/>
        </w:rPr>
        <w:t>(d) </w:t>
      </w:r>
      <w:r w:rsidRPr="003623EB">
        <w:rPr>
          <w:lang w:val="es-ES"/>
        </w:rPr>
        <w:tab/>
      </w:r>
      <w:r w:rsidRPr="003623EB">
        <w:rPr>
          <w:rFonts w:ascii="Arial" w:hAnsi="Arial"/>
          <w:sz w:val="22"/>
          <w:lang w:val="es-ES"/>
        </w:rPr>
        <w:t>la Commonwealth;</w:t>
      </w:r>
    </w:p>
    <w:p w:rsidR="005E744D" w:rsidRPr="003623EB" w:rsidRDefault="005E744D" w:rsidP="005E744D">
      <w:pPr>
        <w:ind w:left="1440" w:right="720" w:hanging="360"/>
        <w:jc w:val="both"/>
        <w:rPr>
          <w:rFonts w:ascii="Arial" w:hAnsi="Arial" w:cs="Arial"/>
          <w:sz w:val="22"/>
          <w:szCs w:val="22"/>
          <w:lang w:val="es-ES"/>
        </w:rPr>
      </w:pPr>
      <w:r w:rsidRPr="003623EB">
        <w:rPr>
          <w:rFonts w:ascii="Arial" w:hAnsi="Arial"/>
          <w:sz w:val="22"/>
          <w:lang w:val="es-ES"/>
        </w:rPr>
        <w:t>(e) </w:t>
      </w:r>
      <w:r w:rsidRPr="003623EB">
        <w:rPr>
          <w:lang w:val="es-ES"/>
        </w:rPr>
        <w:tab/>
      </w:r>
      <w:r w:rsidRPr="003623EB">
        <w:rPr>
          <w:rFonts w:ascii="Arial" w:hAnsi="Arial"/>
          <w:sz w:val="22"/>
          <w:lang w:val="es-ES"/>
        </w:rPr>
        <w:t>los organismos de la Commonwealth;</w:t>
      </w:r>
    </w:p>
    <w:p w:rsidR="005E744D" w:rsidRPr="003623EB" w:rsidRDefault="005E744D" w:rsidP="005E744D">
      <w:pPr>
        <w:ind w:left="1440" w:right="720" w:hanging="360"/>
        <w:jc w:val="both"/>
        <w:rPr>
          <w:rFonts w:ascii="Arial" w:hAnsi="Arial" w:cs="Arial"/>
          <w:sz w:val="22"/>
          <w:szCs w:val="22"/>
          <w:lang w:val="es-ES"/>
        </w:rPr>
      </w:pPr>
      <w:r w:rsidRPr="003623EB">
        <w:rPr>
          <w:rFonts w:ascii="Arial" w:hAnsi="Arial"/>
          <w:sz w:val="22"/>
          <w:lang w:val="es-ES"/>
        </w:rPr>
        <w:t>(f) </w:t>
      </w:r>
      <w:r w:rsidRPr="003623EB">
        <w:rPr>
          <w:lang w:val="es-ES"/>
        </w:rPr>
        <w:tab/>
      </w:r>
      <w:r w:rsidRPr="003623EB">
        <w:rPr>
          <w:rFonts w:ascii="Arial" w:hAnsi="Arial"/>
          <w:sz w:val="22"/>
          <w:lang w:val="es-ES"/>
        </w:rPr>
        <w:t>las aeronaves australianas;</w:t>
      </w:r>
    </w:p>
    <w:p w:rsidR="005E744D" w:rsidRPr="003623EB" w:rsidRDefault="005E744D" w:rsidP="005E744D">
      <w:pPr>
        <w:ind w:left="1440" w:right="720" w:hanging="360"/>
        <w:jc w:val="both"/>
        <w:rPr>
          <w:rFonts w:ascii="Arial" w:hAnsi="Arial" w:cs="Arial"/>
          <w:sz w:val="22"/>
          <w:szCs w:val="22"/>
          <w:lang w:val="es-ES"/>
        </w:rPr>
      </w:pPr>
      <w:r w:rsidRPr="003623EB">
        <w:rPr>
          <w:rFonts w:ascii="Arial" w:hAnsi="Arial"/>
          <w:sz w:val="22"/>
          <w:lang w:val="es-ES"/>
        </w:rPr>
        <w:t>(g) </w:t>
      </w:r>
      <w:r w:rsidRPr="003623EB">
        <w:rPr>
          <w:lang w:val="es-ES"/>
        </w:rPr>
        <w:tab/>
      </w:r>
      <w:r w:rsidRPr="003623EB">
        <w:rPr>
          <w:rFonts w:ascii="Arial" w:hAnsi="Arial"/>
          <w:sz w:val="22"/>
          <w:lang w:val="es-ES"/>
        </w:rPr>
        <w:t>los buques australianos;</w:t>
      </w:r>
    </w:p>
    <w:p w:rsidR="005E744D" w:rsidRPr="003623EB" w:rsidRDefault="005E744D" w:rsidP="005E744D">
      <w:pPr>
        <w:ind w:left="1440" w:right="720" w:hanging="360"/>
        <w:jc w:val="both"/>
        <w:rPr>
          <w:rFonts w:ascii="Arial" w:hAnsi="Arial" w:cs="Arial"/>
          <w:sz w:val="22"/>
          <w:szCs w:val="22"/>
          <w:lang w:val="es-ES"/>
        </w:rPr>
      </w:pPr>
      <w:r w:rsidRPr="003623EB">
        <w:rPr>
          <w:rFonts w:ascii="Arial" w:hAnsi="Arial"/>
          <w:sz w:val="22"/>
          <w:lang w:val="es-ES"/>
        </w:rPr>
        <w:t>(h) </w:t>
      </w:r>
      <w:r w:rsidRPr="003623EB">
        <w:rPr>
          <w:lang w:val="es-ES"/>
        </w:rPr>
        <w:tab/>
      </w:r>
      <w:r w:rsidRPr="003623EB">
        <w:rPr>
          <w:rFonts w:ascii="Arial" w:hAnsi="Arial"/>
          <w:sz w:val="22"/>
          <w:lang w:val="es-ES"/>
        </w:rPr>
        <w:t>los miembros de las tripulaciones de las aeronaves y los buques australianos (incluso las personas a cargo de las aeronaves o los buques).</w:t>
      </w:r>
    </w:p>
    <w:p w:rsidR="005E744D" w:rsidRPr="003623EB" w:rsidRDefault="005E744D" w:rsidP="005E744D">
      <w:pPr>
        <w:ind w:left="1800" w:right="720" w:hanging="360"/>
        <w:jc w:val="both"/>
        <w:rPr>
          <w:rFonts w:ascii="Arial" w:hAnsi="Arial" w:cs="Arial"/>
          <w:sz w:val="22"/>
          <w:szCs w:val="22"/>
          <w:lang w:val="es-ES"/>
        </w:rPr>
      </w:pPr>
    </w:p>
    <w:p w:rsidR="005E744D" w:rsidRPr="003623EB" w:rsidRDefault="005E744D" w:rsidP="005E744D">
      <w:pPr>
        <w:widowControl/>
        <w:autoSpaceDE/>
        <w:adjustRightInd/>
        <w:ind w:left="720" w:right="720"/>
        <w:jc w:val="both"/>
        <w:outlineLvl w:val="0"/>
        <w:rPr>
          <w:rFonts w:ascii="Arial" w:hAnsi="Arial" w:cs="Arial"/>
          <w:sz w:val="22"/>
          <w:szCs w:val="22"/>
          <w:lang w:val="es-ES"/>
        </w:rPr>
      </w:pPr>
      <w:r w:rsidRPr="003623EB">
        <w:rPr>
          <w:rFonts w:ascii="Arial" w:hAnsi="Arial"/>
          <w:i/>
          <w:sz w:val="22"/>
          <w:lang w:val="es-ES"/>
        </w:rPr>
        <w:t xml:space="preserve">Aplicación a todos en Australia y la zona económica exclusiva </w:t>
      </w:r>
    </w:p>
    <w:p w:rsidR="005E744D" w:rsidRPr="003623EB" w:rsidRDefault="005E744D" w:rsidP="005E744D">
      <w:pPr>
        <w:widowControl/>
        <w:autoSpaceDE/>
        <w:adjustRightInd/>
        <w:ind w:left="720" w:right="720"/>
        <w:jc w:val="both"/>
        <w:rPr>
          <w:rFonts w:ascii="Arial" w:hAnsi="Arial" w:cs="Arial"/>
          <w:sz w:val="22"/>
          <w:szCs w:val="22"/>
          <w:lang w:val="es-ES"/>
        </w:rPr>
      </w:pPr>
      <w:r w:rsidRPr="003623EB">
        <w:rPr>
          <w:rFonts w:ascii="Arial" w:hAnsi="Arial"/>
          <w:sz w:val="22"/>
          <w:lang w:val="es-ES"/>
        </w:rPr>
        <w:t xml:space="preserve">(4) las disposiciones de esta ley, que tienen efecto con relación a un lugar que se encuentre en el ámbito de los límites exteriores de la zona económica exclusiva (sea que el lugar se encuentra en dicha zona o en Australia o en un </w:t>
      </w:r>
      <w:r w:rsidRPr="003623EB">
        <w:rPr>
          <w:rFonts w:ascii="Arial" w:hAnsi="Arial"/>
          <w:sz w:val="22"/>
          <w:lang w:val="es-ES"/>
        </w:rPr>
        <w:lastRenderedPageBreak/>
        <w:t xml:space="preserve">territorio externo) o que se encuentre sobre o en la plataforma continental se aplican con relación a: </w:t>
      </w:r>
    </w:p>
    <w:p w:rsidR="005E744D" w:rsidRPr="003623EB" w:rsidRDefault="005E744D" w:rsidP="005E744D">
      <w:pPr>
        <w:ind w:left="1440" w:right="720" w:hanging="360"/>
        <w:jc w:val="both"/>
        <w:rPr>
          <w:rFonts w:ascii="Arial" w:hAnsi="Arial" w:cs="Arial"/>
          <w:sz w:val="22"/>
          <w:szCs w:val="22"/>
          <w:lang w:val="es-ES"/>
        </w:rPr>
      </w:pPr>
      <w:r w:rsidRPr="003623EB">
        <w:rPr>
          <w:rFonts w:ascii="Arial" w:hAnsi="Arial"/>
          <w:sz w:val="22"/>
          <w:lang w:val="es-ES"/>
        </w:rPr>
        <w:t>(a) todas las personas (incluso las que no son ciudadanos australianos);</w:t>
      </w:r>
    </w:p>
    <w:p w:rsidR="005E744D" w:rsidRPr="003623EB" w:rsidRDefault="005E744D" w:rsidP="005E744D">
      <w:pPr>
        <w:ind w:left="1440" w:right="720" w:hanging="360"/>
        <w:jc w:val="both"/>
        <w:rPr>
          <w:rFonts w:ascii="Arial" w:hAnsi="Arial" w:cs="Arial"/>
          <w:sz w:val="22"/>
          <w:szCs w:val="22"/>
          <w:lang w:val="es-ES"/>
        </w:rPr>
      </w:pPr>
      <w:r w:rsidRPr="003623EB">
        <w:rPr>
          <w:rFonts w:ascii="Arial" w:hAnsi="Arial"/>
          <w:sz w:val="22"/>
          <w:lang w:val="es-ES"/>
        </w:rPr>
        <w:t>(b) todas las aeronaves (incluso las que no son australianas);</w:t>
      </w:r>
    </w:p>
    <w:p w:rsidR="005E744D" w:rsidRPr="003623EB" w:rsidRDefault="005E744D" w:rsidP="005E744D">
      <w:pPr>
        <w:ind w:left="1440" w:right="720" w:hanging="360"/>
        <w:jc w:val="both"/>
        <w:rPr>
          <w:rFonts w:ascii="Arial" w:hAnsi="Arial" w:cs="Arial"/>
          <w:sz w:val="22"/>
          <w:szCs w:val="22"/>
          <w:lang w:val="es-ES"/>
        </w:rPr>
      </w:pPr>
      <w:r w:rsidRPr="003623EB">
        <w:rPr>
          <w:rFonts w:ascii="Arial" w:hAnsi="Arial"/>
          <w:sz w:val="22"/>
          <w:lang w:val="es-ES"/>
        </w:rPr>
        <w:t>(c) todos los buques (incluso los que no son australianos).</w:t>
      </w:r>
    </w:p>
    <w:p w:rsidR="005E744D" w:rsidRPr="003623EB" w:rsidRDefault="005E744D" w:rsidP="005E744D">
      <w:pPr>
        <w:ind w:right="720"/>
        <w:jc w:val="both"/>
        <w:rPr>
          <w:rFonts w:ascii="Arial" w:hAnsi="Arial" w:cs="Arial"/>
          <w:b/>
          <w:sz w:val="22"/>
          <w:szCs w:val="22"/>
          <w:lang w:val="es-ES"/>
        </w:rPr>
      </w:pPr>
    </w:p>
    <w:p w:rsidR="005E744D" w:rsidRPr="003623EB" w:rsidRDefault="005E744D" w:rsidP="005E744D">
      <w:pPr>
        <w:ind w:firstLine="720"/>
        <w:jc w:val="both"/>
        <w:outlineLvl w:val="0"/>
        <w:rPr>
          <w:rFonts w:ascii="Arial" w:hAnsi="Arial" w:cs="Arial"/>
          <w:sz w:val="22"/>
          <w:szCs w:val="22"/>
          <w:lang w:val="es-ES"/>
        </w:rPr>
      </w:pPr>
      <w:r w:rsidRPr="003623EB">
        <w:rPr>
          <w:rFonts w:ascii="Arial" w:hAnsi="Arial"/>
          <w:b/>
          <w:sz w:val="22"/>
          <w:lang w:val="es-ES"/>
        </w:rPr>
        <w:t xml:space="preserve">224 </w:t>
      </w:r>
      <w:proofErr w:type="gramStart"/>
      <w:r w:rsidRPr="003623EB">
        <w:rPr>
          <w:rFonts w:ascii="Arial" w:hAnsi="Arial"/>
          <w:b/>
          <w:sz w:val="22"/>
          <w:lang w:val="es-ES"/>
        </w:rPr>
        <w:t>Aplicación</w:t>
      </w:r>
      <w:proofErr w:type="gramEnd"/>
      <w:r w:rsidRPr="003623EB">
        <w:rPr>
          <w:rFonts w:ascii="Arial" w:hAnsi="Arial"/>
          <w:b/>
          <w:sz w:val="22"/>
          <w:lang w:val="es-ES"/>
        </w:rPr>
        <w:t xml:space="preserve"> de la División </w:t>
      </w:r>
    </w:p>
    <w:p w:rsidR="005E744D" w:rsidRPr="003623EB" w:rsidRDefault="005E744D" w:rsidP="005E744D">
      <w:pPr>
        <w:widowControl/>
        <w:autoSpaceDE/>
        <w:adjustRightInd/>
        <w:ind w:left="720" w:right="720"/>
        <w:jc w:val="both"/>
        <w:rPr>
          <w:rFonts w:ascii="Arial" w:hAnsi="Arial" w:cs="Arial"/>
          <w:sz w:val="22"/>
          <w:szCs w:val="22"/>
          <w:lang w:val="es-ES"/>
        </w:rPr>
      </w:pPr>
      <w:r w:rsidRPr="003623EB">
        <w:rPr>
          <w:rFonts w:ascii="Arial" w:hAnsi="Arial"/>
          <w:sz w:val="22"/>
          <w:lang w:val="es-ES"/>
        </w:rPr>
        <w:t xml:space="preserve">(1) Esta División se extiende a las acciones, omisiones, asuntos y cosas que tienen lugar fuera de Australia (sea o no en un país extranjero), salvo que se exprese una intención contraria. </w:t>
      </w:r>
    </w:p>
    <w:p w:rsidR="005E744D" w:rsidRPr="003623EB" w:rsidRDefault="005E744D" w:rsidP="005E744D">
      <w:pPr>
        <w:widowControl/>
        <w:autoSpaceDE/>
        <w:adjustRightInd/>
        <w:ind w:left="720" w:right="720"/>
        <w:jc w:val="both"/>
        <w:rPr>
          <w:rFonts w:ascii="Arial" w:hAnsi="Arial" w:cs="Arial"/>
          <w:sz w:val="22"/>
          <w:szCs w:val="22"/>
          <w:lang w:val="es-ES"/>
        </w:rPr>
      </w:pPr>
      <w:r w:rsidRPr="003623EB">
        <w:rPr>
          <w:rFonts w:ascii="Arial" w:hAnsi="Arial"/>
          <w:sz w:val="22"/>
          <w:lang w:val="es-ES"/>
        </w:rPr>
        <w:t>(2) Las disposiciones de esta División, que tienen efecto con relación a un lugar fuera de los límites exteriores del Santuario ballenero australiano se aplican solo con relación a:</w:t>
      </w:r>
    </w:p>
    <w:p w:rsidR="005E744D" w:rsidRPr="003623EB" w:rsidRDefault="005E744D" w:rsidP="005E744D">
      <w:pPr>
        <w:ind w:left="1440" w:right="720" w:hanging="360"/>
        <w:jc w:val="both"/>
        <w:rPr>
          <w:rFonts w:ascii="Arial" w:hAnsi="Arial" w:cs="Arial"/>
          <w:sz w:val="22"/>
          <w:szCs w:val="22"/>
          <w:lang w:val="es-ES"/>
        </w:rPr>
      </w:pPr>
      <w:r w:rsidRPr="003623EB">
        <w:rPr>
          <w:rFonts w:ascii="Arial" w:hAnsi="Arial"/>
          <w:sz w:val="22"/>
          <w:lang w:val="es-ES"/>
        </w:rPr>
        <w:t>(a) </w:t>
      </w:r>
      <w:r w:rsidRPr="003623EB">
        <w:rPr>
          <w:lang w:val="es-ES"/>
        </w:rPr>
        <w:tab/>
      </w:r>
      <w:r w:rsidRPr="003623EB">
        <w:rPr>
          <w:rFonts w:ascii="Arial" w:hAnsi="Arial"/>
          <w:sz w:val="22"/>
          <w:lang w:val="es-ES"/>
        </w:rPr>
        <w:t>los ciudadanos australianos;</w:t>
      </w:r>
    </w:p>
    <w:p w:rsidR="005E744D" w:rsidRPr="003623EB" w:rsidRDefault="005E744D" w:rsidP="005E744D">
      <w:pPr>
        <w:ind w:left="1440" w:right="720" w:hanging="360"/>
        <w:jc w:val="both"/>
        <w:rPr>
          <w:rFonts w:ascii="Arial" w:hAnsi="Arial" w:cs="Arial"/>
          <w:sz w:val="22"/>
          <w:szCs w:val="22"/>
          <w:lang w:val="es-ES"/>
        </w:rPr>
      </w:pPr>
      <w:r w:rsidRPr="003623EB">
        <w:rPr>
          <w:rFonts w:ascii="Arial" w:hAnsi="Arial"/>
          <w:sz w:val="22"/>
          <w:lang w:val="es-ES"/>
        </w:rPr>
        <w:t>(b) </w:t>
      </w:r>
      <w:r w:rsidRPr="003623EB">
        <w:rPr>
          <w:lang w:val="es-ES"/>
        </w:rPr>
        <w:tab/>
      </w:r>
      <w:r w:rsidRPr="003623EB">
        <w:rPr>
          <w:rFonts w:ascii="Arial" w:hAnsi="Arial"/>
          <w:sz w:val="22"/>
          <w:lang w:val="es-ES"/>
        </w:rPr>
        <w:t>las personas que:</w:t>
      </w:r>
    </w:p>
    <w:p w:rsidR="005E744D" w:rsidRPr="003623EB" w:rsidRDefault="005E744D" w:rsidP="005E744D">
      <w:pPr>
        <w:ind w:left="1800" w:hanging="360"/>
        <w:jc w:val="both"/>
        <w:rPr>
          <w:rFonts w:ascii="Arial" w:hAnsi="Arial" w:cs="Arial"/>
          <w:sz w:val="22"/>
          <w:szCs w:val="22"/>
          <w:lang w:val="es-ES"/>
        </w:rPr>
      </w:pPr>
      <w:r w:rsidRPr="003623EB">
        <w:rPr>
          <w:rFonts w:ascii="Arial" w:hAnsi="Arial"/>
          <w:sz w:val="22"/>
          <w:lang w:val="es-ES"/>
        </w:rPr>
        <w:t>i) </w:t>
      </w:r>
      <w:r w:rsidRPr="003623EB">
        <w:rPr>
          <w:lang w:val="es-ES"/>
        </w:rPr>
        <w:tab/>
      </w:r>
      <w:r w:rsidRPr="003623EB">
        <w:rPr>
          <w:rFonts w:ascii="Arial" w:hAnsi="Arial"/>
          <w:sz w:val="22"/>
          <w:lang w:val="es-ES"/>
        </w:rPr>
        <w:t>no son ciudadanos australianos;</w:t>
      </w:r>
    </w:p>
    <w:p w:rsidR="005E744D" w:rsidRPr="003623EB" w:rsidRDefault="005E744D" w:rsidP="005E744D">
      <w:pPr>
        <w:ind w:left="1800" w:hanging="360"/>
        <w:jc w:val="both"/>
        <w:rPr>
          <w:rFonts w:ascii="Arial" w:hAnsi="Arial" w:cs="Arial"/>
          <w:sz w:val="22"/>
          <w:szCs w:val="22"/>
          <w:lang w:val="es-ES"/>
        </w:rPr>
      </w:pPr>
      <w:r w:rsidRPr="003623EB">
        <w:rPr>
          <w:rFonts w:ascii="Arial" w:hAnsi="Arial"/>
          <w:sz w:val="22"/>
          <w:lang w:val="es-ES"/>
        </w:rPr>
        <w:t>ii) </w:t>
      </w:r>
      <w:r w:rsidRPr="003623EB">
        <w:rPr>
          <w:lang w:val="es-ES"/>
        </w:rPr>
        <w:tab/>
      </w:r>
      <w:r w:rsidRPr="003623EB">
        <w:rPr>
          <w:rFonts w:ascii="Arial" w:hAnsi="Arial"/>
          <w:sz w:val="22"/>
          <w:lang w:val="es-ES"/>
        </w:rPr>
        <w:t xml:space="preserve">poseen visados permanentes con arreglo a la </w:t>
      </w:r>
      <w:r w:rsidRPr="003623EB">
        <w:rPr>
          <w:rFonts w:ascii="Arial" w:hAnsi="Arial"/>
          <w:i/>
          <w:sz w:val="22"/>
          <w:lang w:val="es-ES"/>
        </w:rPr>
        <w:t>Ley de Migración</w:t>
      </w:r>
      <w:r w:rsidRPr="003623EB">
        <w:rPr>
          <w:rFonts w:ascii="Arial" w:hAnsi="Arial"/>
          <w:sz w:val="22"/>
          <w:lang w:val="es-ES"/>
        </w:rPr>
        <w:t xml:space="preserve"> de 1958;</w:t>
      </w:r>
    </w:p>
    <w:p w:rsidR="005E744D" w:rsidRPr="003623EB" w:rsidRDefault="005E744D" w:rsidP="005E744D">
      <w:pPr>
        <w:ind w:left="1800" w:hanging="360"/>
        <w:jc w:val="both"/>
        <w:rPr>
          <w:rFonts w:ascii="Arial" w:hAnsi="Arial" w:cs="Arial"/>
          <w:sz w:val="22"/>
          <w:szCs w:val="22"/>
          <w:lang w:val="es-ES"/>
        </w:rPr>
      </w:pPr>
      <w:r w:rsidRPr="003623EB">
        <w:rPr>
          <w:rFonts w:ascii="Arial" w:hAnsi="Arial"/>
          <w:sz w:val="22"/>
          <w:lang w:val="es-ES"/>
        </w:rPr>
        <w:t>iii) </w:t>
      </w:r>
      <w:r w:rsidRPr="003623EB">
        <w:rPr>
          <w:lang w:val="es-ES"/>
        </w:rPr>
        <w:tab/>
      </w:r>
      <w:r w:rsidRPr="003623EB">
        <w:rPr>
          <w:rFonts w:ascii="Arial" w:hAnsi="Arial"/>
          <w:sz w:val="22"/>
          <w:lang w:val="es-ES"/>
        </w:rPr>
        <w:t>están domiciliados en Australia o un territorio externo;</w:t>
      </w:r>
    </w:p>
    <w:p w:rsidR="005E744D" w:rsidRPr="003623EB" w:rsidRDefault="005E744D" w:rsidP="005E744D">
      <w:pPr>
        <w:ind w:left="1440" w:right="720" w:hanging="360"/>
        <w:jc w:val="both"/>
        <w:rPr>
          <w:rFonts w:ascii="Arial" w:hAnsi="Arial" w:cs="Arial"/>
          <w:sz w:val="22"/>
          <w:szCs w:val="22"/>
          <w:lang w:val="es-ES"/>
        </w:rPr>
      </w:pPr>
      <w:r w:rsidRPr="003623EB">
        <w:rPr>
          <w:rFonts w:ascii="Arial" w:hAnsi="Arial"/>
          <w:sz w:val="22"/>
          <w:lang w:val="es-ES"/>
        </w:rPr>
        <w:t>(c) </w:t>
      </w:r>
      <w:r w:rsidRPr="003623EB">
        <w:rPr>
          <w:lang w:val="es-ES"/>
        </w:rPr>
        <w:tab/>
      </w:r>
      <w:r w:rsidRPr="003623EB">
        <w:rPr>
          <w:rFonts w:ascii="Arial" w:hAnsi="Arial"/>
          <w:sz w:val="22"/>
          <w:lang w:val="es-ES"/>
        </w:rPr>
        <w:t>sociedades anónimas constituidas en Australia o un territorio externo;</w:t>
      </w:r>
    </w:p>
    <w:p w:rsidR="005E744D" w:rsidRPr="003623EB" w:rsidRDefault="005E744D" w:rsidP="005E744D">
      <w:pPr>
        <w:ind w:left="1440" w:right="720" w:hanging="360"/>
        <w:jc w:val="both"/>
        <w:rPr>
          <w:rFonts w:ascii="Arial" w:hAnsi="Arial" w:cs="Arial"/>
          <w:sz w:val="22"/>
          <w:szCs w:val="22"/>
          <w:lang w:val="es-ES"/>
        </w:rPr>
      </w:pPr>
      <w:r w:rsidRPr="003623EB">
        <w:rPr>
          <w:rFonts w:ascii="Arial" w:hAnsi="Arial"/>
          <w:sz w:val="22"/>
          <w:lang w:val="es-ES"/>
        </w:rPr>
        <w:t>(d) </w:t>
      </w:r>
      <w:r w:rsidRPr="003623EB">
        <w:rPr>
          <w:lang w:val="es-ES"/>
        </w:rPr>
        <w:tab/>
      </w:r>
      <w:r w:rsidRPr="003623EB">
        <w:rPr>
          <w:rFonts w:ascii="Arial" w:hAnsi="Arial"/>
          <w:sz w:val="22"/>
          <w:lang w:val="es-ES"/>
        </w:rPr>
        <w:t>la Commonwealth;</w:t>
      </w:r>
    </w:p>
    <w:p w:rsidR="005E744D" w:rsidRPr="003623EB" w:rsidRDefault="005E744D" w:rsidP="005E744D">
      <w:pPr>
        <w:ind w:left="1440" w:right="720" w:hanging="360"/>
        <w:jc w:val="both"/>
        <w:rPr>
          <w:rFonts w:ascii="Arial" w:hAnsi="Arial" w:cs="Arial"/>
          <w:sz w:val="22"/>
          <w:szCs w:val="22"/>
          <w:lang w:val="es-ES"/>
        </w:rPr>
      </w:pPr>
      <w:r w:rsidRPr="003623EB">
        <w:rPr>
          <w:rFonts w:ascii="Arial" w:hAnsi="Arial"/>
          <w:sz w:val="22"/>
          <w:lang w:val="es-ES"/>
        </w:rPr>
        <w:t>(e) </w:t>
      </w:r>
      <w:r w:rsidRPr="003623EB">
        <w:rPr>
          <w:lang w:val="es-ES"/>
        </w:rPr>
        <w:tab/>
      </w:r>
      <w:r w:rsidRPr="003623EB">
        <w:rPr>
          <w:rFonts w:ascii="Arial" w:hAnsi="Arial"/>
          <w:sz w:val="22"/>
          <w:lang w:val="es-ES"/>
        </w:rPr>
        <w:t>los organismos de la Commonwealth;</w:t>
      </w:r>
    </w:p>
    <w:p w:rsidR="005E744D" w:rsidRPr="003623EB" w:rsidRDefault="005E744D" w:rsidP="005E744D">
      <w:pPr>
        <w:ind w:left="1440" w:right="720" w:hanging="360"/>
        <w:jc w:val="both"/>
        <w:rPr>
          <w:rFonts w:ascii="Arial" w:hAnsi="Arial" w:cs="Arial"/>
          <w:sz w:val="22"/>
          <w:szCs w:val="22"/>
          <w:lang w:val="es-ES"/>
        </w:rPr>
      </w:pPr>
      <w:r w:rsidRPr="003623EB">
        <w:rPr>
          <w:rFonts w:ascii="Arial" w:hAnsi="Arial"/>
          <w:sz w:val="22"/>
          <w:lang w:val="es-ES"/>
        </w:rPr>
        <w:t>(f) </w:t>
      </w:r>
      <w:r w:rsidRPr="003623EB">
        <w:rPr>
          <w:lang w:val="es-ES"/>
        </w:rPr>
        <w:tab/>
      </w:r>
      <w:r w:rsidRPr="003623EB">
        <w:rPr>
          <w:rFonts w:ascii="Arial" w:hAnsi="Arial"/>
          <w:sz w:val="22"/>
          <w:lang w:val="es-ES"/>
        </w:rPr>
        <w:t>las aeronaves australianas;</w:t>
      </w:r>
    </w:p>
    <w:p w:rsidR="005E744D" w:rsidRPr="003623EB" w:rsidRDefault="005E744D" w:rsidP="005E744D">
      <w:pPr>
        <w:ind w:left="1440" w:right="720" w:hanging="360"/>
        <w:jc w:val="both"/>
        <w:rPr>
          <w:rFonts w:ascii="Arial" w:hAnsi="Arial" w:cs="Arial"/>
          <w:sz w:val="22"/>
          <w:szCs w:val="22"/>
          <w:lang w:val="es-ES"/>
        </w:rPr>
      </w:pPr>
      <w:r w:rsidRPr="003623EB">
        <w:rPr>
          <w:rFonts w:ascii="Arial" w:hAnsi="Arial"/>
          <w:sz w:val="22"/>
          <w:lang w:val="es-ES"/>
        </w:rPr>
        <w:t>(g) </w:t>
      </w:r>
      <w:r w:rsidRPr="003623EB">
        <w:rPr>
          <w:lang w:val="es-ES"/>
        </w:rPr>
        <w:tab/>
      </w:r>
      <w:r w:rsidRPr="003623EB">
        <w:rPr>
          <w:rFonts w:ascii="Arial" w:hAnsi="Arial"/>
          <w:sz w:val="22"/>
          <w:lang w:val="es-ES"/>
        </w:rPr>
        <w:t>los buques australianos;</w:t>
      </w:r>
    </w:p>
    <w:p w:rsidR="005E744D" w:rsidRPr="003623EB" w:rsidRDefault="005E744D" w:rsidP="005E744D">
      <w:pPr>
        <w:ind w:left="1440" w:right="720" w:hanging="360"/>
        <w:jc w:val="both"/>
        <w:rPr>
          <w:rFonts w:ascii="Arial" w:hAnsi="Arial" w:cs="Arial"/>
          <w:sz w:val="22"/>
          <w:szCs w:val="22"/>
          <w:lang w:val="es-ES"/>
        </w:rPr>
      </w:pPr>
      <w:r w:rsidRPr="003623EB">
        <w:rPr>
          <w:rFonts w:ascii="Arial" w:hAnsi="Arial"/>
          <w:sz w:val="22"/>
          <w:lang w:val="es-ES"/>
        </w:rPr>
        <w:t>(h) </w:t>
      </w:r>
      <w:r w:rsidRPr="003623EB">
        <w:rPr>
          <w:lang w:val="es-ES"/>
        </w:rPr>
        <w:tab/>
      </w:r>
      <w:r w:rsidRPr="003623EB">
        <w:rPr>
          <w:rFonts w:ascii="Arial" w:hAnsi="Arial"/>
          <w:sz w:val="22"/>
          <w:lang w:val="es-ES"/>
        </w:rPr>
        <w:t>los miembros de las tripulaciones de las aeronaves y los buques australianos (incluso las personas a cargo de las aeronaves o los buques).</w:t>
      </w:r>
    </w:p>
    <w:p w:rsidR="005E744D" w:rsidRPr="003623EB" w:rsidRDefault="005E744D" w:rsidP="005E744D">
      <w:pPr>
        <w:widowControl/>
        <w:autoSpaceDE/>
        <w:adjustRightInd/>
        <w:ind w:left="720" w:right="720"/>
        <w:jc w:val="both"/>
        <w:rPr>
          <w:rFonts w:ascii="Arial" w:hAnsi="Arial" w:cs="Arial"/>
          <w:sz w:val="22"/>
          <w:szCs w:val="22"/>
          <w:lang w:val="es-ES"/>
        </w:rPr>
      </w:pPr>
      <w:r w:rsidRPr="003623EB">
        <w:rPr>
          <w:rFonts w:ascii="Arial" w:hAnsi="Arial"/>
          <w:sz w:val="22"/>
          <w:lang w:val="es-ES"/>
        </w:rPr>
        <w:t xml:space="preserve">(3) Esta División se aplica a un buque como si se tratara de un buque australiano si: </w:t>
      </w:r>
    </w:p>
    <w:p w:rsidR="005E744D" w:rsidRPr="003623EB" w:rsidRDefault="005E744D" w:rsidP="005E744D">
      <w:pPr>
        <w:ind w:left="1440" w:right="720" w:hanging="360"/>
        <w:jc w:val="both"/>
        <w:rPr>
          <w:rFonts w:ascii="Arial" w:hAnsi="Arial" w:cs="Arial"/>
          <w:sz w:val="22"/>
          <w:szCs w:val="22"/>
          <w:lang w:val="es-ES"/>
        </w:rPr>
      </w:pPr>
      <w:r w:rsidRPr="003623EB">
        <w:rPr>
          <w:rFonts w:ascii="Arial" w:hAnsi="Arial"/>
          <w:sz w:val="22"/>
          <w:lang w:val="es-ES"/>
        </w:rPr>
        <w:t>(a) </w:t>
      </w:r>
      <w:r w:rsidRPr="003623EB">
        <w:rPr>
          <w:lang w:val="es-ES"/>
        </w:rPr>
        <w:tab/>
      </w:r>
      <w:r w:rsidRPr="003623EB">
        <w:rPr>
          <w:rFonts w:ascii="Arial" w:hAnsi="Arial"/>
          <w:sz w:val="22"/>
          <w:lang w:val="es-ES"/>
        </w:rPr>
        <w:t xml:space="preserve">el buque es un barco en el sentido definido en la </w:t>
      </w:r>
      <w:r w:rsidRPr="003623EB">
        <w:rPr>
          <w:rFonts w:ascii="Arial" w:hAnsi="Arial"/>
          <w:i/>
          <w:sz w:val="22"/>
          <w:lang w:val="es-ES"/>
        </w:rPr>
        <w:t>Ley de ordenación de la pesca</w:t>
      </w:r>
      <w:r w:rsidRPr="003623EB">
        <w:rPr>
          <w:rFonts w:ascii="Arial" w:hAnsi="Arial"/>
          <w:sz w:val="22"/>
          <w:lang w:val="es-ES"/>
        </w:rPr>
        <w:t xml:space="preserve"> de 1991;</w:t>
      </w:r>
    </w:p>
    <w:p w:rsidR="005E744D" w:rsidRPr="003623EB" w:rsidRDefault="005E744D" w:rsidP="005E744D">
      <w:pPr>
        <w:ind w:left="1440" w:right="720" w:hanging="360"/>
        <w:jc w:val="both"/>
        <w:rPr>
          <w:rFonts w:ascii="Arial" w:hAnsi="Arial" w:cs="Arial"/>
          <w:b/>
          <w:sz w:val="22"/>
          <w:szCs w:val="22"/>
          <w:lang w:val="es-ES"/>
        </w:rPr>
      </w:pPr>
      <w:r w:rsidRPr="003623EB">
        <w:rPr>
          <w:rFonts w:ascii="Arial" w:hAnsi="Arial"/>
          <w:sz w:val="22"/>
          <w:lang w:val="es-ES"/>
        </w:rPr>
        <w:t>(b) </w:t>
      </w:r>
      <w:r w:rsidRPr="003623EB">
        <w:rPr>
          <w:lang w:val="es-ES"/>
        </w:rPr>
        <w:tab/>
      </w:r>
      <w:r w:rsidRPr="003623EB">
        <w:rPr>
          <w:rFonts w:ascii="Arial" w:hAnsi="Arial"/>
          <w:sz w:val="22"/>
          <w:lang w:val="es-ES"/>
        </w:rPr>
        <w:t>está en vigor una declaración contenida en la subsección 4(2) de dicha ley, en que se considera que el buque es un barco australiano.</w:t>
      </w:r>
    </w:p>
    <w:p w:rsidR="005E744D" w:rsidRPr="003623EB" w:rsidRDefault="005E744D" w:rsidP="005E744D">
      <w:pPr>
        <w:widowControl/>
        <w:autoSpaceDE/>
        <w:adjustRightInd/>
        <w:jc w:val="both"/>
        <w:rPr>
          <w:rFonts w:ascii="Arial" w:hAnsi="Arial" w:cs="Arial"/>
          <w:sz w:val="22"/>
          <w:szCs w:val="22"/>
          <w:lang w:val="es-ES"/>
        </w:rPr>
      </w:pPr>
    </w:p>
    <w:p w:rsidR="005E744D" w:rsidRPr="003623EB" w:rsidRDefault="005E744D" w:rsidP="005E744D">
      <w:pPr>
        <w:widowControl/>
        <w:numPr>
          <w:ilvl w:val="0"/>
          <w:numId w:val="12"/>
        </w:numPr>
        <w:autoSpaceDE/>
        <w:adjustRightInd/>
        <w:ind w:left="426" w:hanging="437"/>
        <w:jc w:val="both"/>
        <w:rPr>
          <w:rFonts w:ascii="Arial" w:hAnsi="Arial" w:cs="Arial"/>
          <w:sz w:val="22"/>
          <w:szCs w:val="22"/>
          <w:lang w:val="es-ES"/>
        </w:rPr>
      </w:pPr>
      <w:r w:rsidRPr="003623EB">
        <w:rPr>
          <w:rFonts w:ascii="Arial" w:hAnsi="Arial"/>
          <w:sz w:val="22"/>
          <w:lang w:val="es-ES"/>
        </w:rPr>
        <w:t xml:space="preserve">Una disposición aparte aplica las disposiciones relativas al santuario ballenero a una lista de entidades diferente. Para eliminar toda ambigüedad, en la Ley EPCB se definen específicamente las expresiones utilizadas en la sección 5, entre ellas la de "jurisdicción australiana", "aeronave australiana", y "buque australiano". </w:t>
      </w:r>
    </w:p>
    <w:p w:rsidR="005E744D" w:rsidRPr="003623EB" w:rsidRDefault="005E744D" w:rsidP="005E744D">
      <w:pPr>
        <w:widowControl/>
        <w:autoSpaceDE/>
        <w:adjustRightInd/>
        <w:jc w:val="both"/>
        <w:rPr>
          <w:rFonts w:ascii="Arial" w:hAnsi="Arial" w:cs="Arial"/>
          <w:sz w:val="22"/>
          <w:szCs w:val="22"/>
          <w:lang w:val="es-ES"/>
        </w:rPr>
      </w:pPr>
    </w:p>
    <w:p w:rsidR="005E744D" w:rsidRPr="003623EB" w:rsidRDefault="005E744D" w:rsidP="005E744D">
      <w:pPr>
        <w:widowControl/>
        <w:numPr>
          <w:ilvl w:val="0"/>
          <w:numId w:val="12"/>
        </w:numPr>
        <w:autoSpaceDE/>
        <w:adjustRightInd/>
        <w:ind w:left="426" w:hanging="437"/>
        <w:jc w:val="both"/>
        <w:rPr>
          <w:rFonts w:ascii="Arial" w:hAnsi="Arial" w:cs="Arial"/>
          <w:sz w:val="22"/>
          <w:szCs w:val="22"/>
          <w:lang w:val="es-ES"/>
        </w:rPr>
      </w:pPr>
      <w:r w:rsidRPr="003623EB">
        <w:rPr>
          <w:rFonts w:ascii="Arial" w:hAnsi="Arial"/>
          <w:sz w:val="22"/>
          <w:lang w:val="es-ES"/>
        </w:rPr>
        <w:t xml:space="preserve">Tal vez no sea necesario que la definición de "persona" sea tan amplia como la formulada por Australia, teniendo en cuenta las leyes de un Estado. Por ejemplo, la U.S. Marine </w:t>
      </w:r>
      <w:proofErr w:type="spellStart"/>
      <w:r w:rsidRPr="003623EB">
        <w:rPr>
          <w:rFonts w:ascii="Arial" w:hAnsi="Arial"/>
          <w:sz w:val="22"/>
          <w:lang w:val="es-ES"/>
        </w:rPr>
        <w:t>Mammal</w:t>
      </w:r>
      <w:proofErr w:type="spellEnd"/>
      <w:r w:rsidRPr="003623EB">
        <w:rPr>
          <w:rFonts w:ascii="Arial" w:hAnsi="Arial"/>
          <w:sz w:val="22"/>
          <w:lang w:val="es-ES"/>
        </w:rPr>
        <w:t xml:space="preserve"> </w:t>
      </w:r>
      <w:proofErr w:type="spellStart"/>
      <w:r w:rsidRPr="003623EB">
        <w:rPr>
          <w:rFonts w:ascii="Arial" w:hAnsi="Arial"/>
          <w:sz w:val="22"/>
          <w:lang w:val="es-ES"/>
        </w:rPr>
        <w:t>Protection</w:t>
      </w:r>
      <w:proofErr w:type="spellEnd"/>
      <w:r w:rsidRPr="003623EB">
        <w:rPr>
          <w:rFonts w:ascii="Arial" w:hAnsi="Arial"/>
          <w:sz w:val="22"/>
          <w:lang w:val="es-ES"/>
        </w:rPr>
        <w:t xml:space="preserve"> </w:t>
      </w:r>
      <w:proofErr w:type="spellStart"/>
      <w:r w:rsidRPr="003623EB">
        <w:rPr>
          <w:rFonts w:ascii="Arial" w:hAnsi="Arial"/>
          <w:sz w:val="22"/>
          <w:lang w:val="es-ES"/>
        </w:rPr>
        <w:t>Act</w:t>
      </w:r>
      <w:proofErr w:type="spellEnd"/>
      <w:r w:rsidRPr="003623EB">
        <w:rPr>
          <w:rFonts w:ascii="Arial" w:hAnsi="Arial"/>
          <w:sz w:val="22"/>
          <w:lang w:val="es-ES"/>
        </w:rPr>
        <w:t xml:space="preserve"> (</w:t>
      </w:r>
      <w:r w:rsidRPr="003623EB">
        <w:rPr>
          <w:rFonts w:ascii="Arial" w:hAnsi="Arial"/>
          <w:i/>
          <w:sz w:val="22"/>
          <w:lang w:val="es-ES"/>
        </w:rPr>
        <w:t xml:space="preserve">Ley de protección de mamíferos marinos de </w:t>
      </w:r>
      <w:proofErr w:type="gramStart"/>
      <w:r w:rsidRPr="003623EB">
        <w:rPr>
          <w:rFonts w:ascii="Arial" w:hAnsi="Arial"/>
          <w:i/>
          <w:sz w:val="22"/>
          <w:lang w:val="es-ES"/>
        </w:rPr>
        <w:t>EE.UU.</w:t>
      </w:r>
      <w:proofErr w:type="gramEnd"/>
      <w:r w:rsidRPr="003623EB">
        <w:rPr>
          <w:rFonts w:ascii="Arial" w:hAnsi="Arial"/>
          <w:sz w:val="22"/>
          <w:lang w:val="es-ES"/>
        </w:rPr>
        <w:t xml:space="preserve">) define "persona" para indicar </w:t>
      </w:r>
    </w:p>
    <w:p w:rsidR="005E744D" w:rsidRPr="003623EB" w:rsidRDefault="005E744D" w:rsidP="005E744D">
      <w:pPr>
        <w:jc w:val="both"/>
        <w:rPr>
          <w:rFonts w:ascii="Arial" w:hAnsi="Arial" w:cs="Arial"/>
          <w:sz w:val="22"/>
          <w:szCs w:val="22"/>
          <w:lang w:val="es-ES"/>
        </w:rPr>
      </w:pPr>
    </w:p>
    <w:p w:rsidR="005E744D" w:rsidRPr="003623EB" w:rsidRDefault="005E744D" w:rsidP="005E744D">
      <w:pPr>
        <w:ind w:left="720" w:right="720"/>
        <w:jc w:val="both"/>
        <w:rPr>
          <w:rFonts w:ascii="Arial" w:hAnsi="Arial" w:cs="Arial"/>
          <w:sz w:val="22"/>
          <w:szCs w:val="22"/>
          <w:lang w:val="es-ES"/>
        </w:rPr>
      </w:pPr>
      <w:r w:rsidRPr="003623EB">
        <w:rPr>
          <w:rFonts w:ascii="Arial" w:hAnsi="Arial"/>
          <w:sz w:val="22"/>
          <w:lang w:val="es-ES"/>
        </w:rPr>
        <w:t>(A) cualquier persona o entidad privada, y</w:t>
      </w:r>
    </w:p>
    <w:p w:rsidR="005E744D" w:rsidRPr="003623EB" w:rsidRDefault="005E744D" w:rsidP="005E744D">
      <w:pPr>
        <w:ind w:left="720" w:right="720"/>
        <w:jc w:val="both"/>
        <w:rPr>
          <w:rFonts w:ascii="Arial" w:hAnsi="Arial" w:cs="Arial"/>
          <w:sz w:val="22"/>
          <w:szCs w:val="22"/>
          <w:lang w:val="es-ES"/>
        </w:rPr>
      </w:pPr>
      <w:r w:rsidRPr="003623EB">
        <w:rPr>
          <w:rFonts w:ascii="Arial" w:hAnsi="Arial"/>
          <w:sz w:val="22"/>
          <w:lang w:val="es-ES"/>
        </w:rPr>
        <w:t>(B) cualquier funcionario, empleado, agente, departamento o institución del Gobierno Federal, de cualquier Estado o subdivisión política del mismo, o de cualquier gobierno extranjero</w:t>
      </w:r>
    </w:p>
    <w:p w:rsidR="005E744D" w:rsidRPr="003623EB" w:rsidRDefault="005E744D" w:rsidP="005E744D">
      <w:pPr>
        <w:widowControl/>
        <w:autoSpaceDE/>
        <w:adjustRightInd/>
        <w:jc w:val="both"/>
        <w:rPr>
          <w:rFonts w:ascii="Arial" w:hAnsi="Arial" w:cs="Arial"/>
          <w:sz w:val="22"/>
          <w:szCs w:val="22"/>
          <w:lang w:val="es-ES"/>
        </w:rPr>
      </w:pPr>
    </w:p>
    <w:p w:rsidR="005E744D" w:rsidRPr="003623EB" w:rsidRDefault="005E744D" w:rsidP="005E744D">
      <w:pPr>
        <w:widowControl/>
        <w:numPr>
          <w:ilvl w:val="0"/>
          <w:numId w:val="12"/>
        </w:numPr>
        <w:autoSpaceDE/>
        <w:adjustRightInd/>
        <w:ind w:left="426" w:hanging="437"/>
        <w:jc w:val="both"/>
        <w:rPr>
          <w:rFonts w:ascii="Arial" w:hAnsi="Arial" w:cs="Arial"/>
          <w:sz w:val="22"/>
          <w:szCs w:val="22"/>
          <w:lang w:val="es-ES"/>
        </w:rPr>
      </w:pPr>
      <w:r w:rsidRPr="003623EB">
        <w:rPr>
          <w:rFonts w:ascii="Arial" w:hAnsi="Arial"/>
          <w:sz w:val="22"/>
          <w:lang w:val="es-ES"/>
        </w:rPr>
        <w:t xml:space="preserve">El párrafo A) de esta definición, al hacer referencia a una "entidad privada", asegura que cualquier persona, empresa, o buque quede comprendido en la definición de "persona". El párrafo B) asegura que cualquier persona que trabaje con el gobierno o en su nombre ("agente"), así como cualquier organismo o el propio gobierno estén comprendidos en la definición. </w:t>
      </w:r>
    </w:p>
    <w:p w:rsidR="005E744D" w:rsidRPr="003623EB" w:rsidRDefault="005E744D" w:rsidP="005E744D">
      <w:pPr>
        <w:widowControl/>
        <w:autoSpaceDE/>
        <w:adjustRightInd/>
        <w:jc w:val="both"/>
        <w:rPr>
          <w:rFonts w:ascii="Arial" w:hAnsi="Arial" w:cs="Arial"/>
          <w:sz w:val="22"/>
          <w:szCs w:val="22"/>
          <w:lang w:val="es-ES"/>
        </w:rPr>
      </w:pPr>
    </w:p>
    <w:p w:rsidR="005E744D" w:rsidRPr="003623EB" w:rsidRDefault="005E744D" w:rsidP="005E744D">
      <w:pPr>
        <w:widowControl/>
        <w:autoSpaceDE/>
        <w:adjustRightInd/>
        <w:ind w:left="426"/>
        <w:jc w:val="both"/>
        <w:outlineLvl w:val="0"/>
        <w:rPr>
          <w:rFonts w:ascii="Arial" w:hAnsi="Arial" w:cs="Arial"/>
          <w:i/>
          <w:sz w:val="22"/>
          <w:szCs w:val="22"/>
          <w:lang w:val="es-ES"/>
        </w:rPr>
      </w:pPr>
      <w:r w:rsidRPr="003623EB">
        <w:rPr>
          <w:rFonts w:ascii="Arial" w:hAnsi="Arial"/>
          <w:i/>
          <w:sz w:val="22"/>
          <w:lang w:val="es-ES"/>
        </w:rPr>
        <w:t>Recomendación 4:</w:t>
      </w:r>
      <w:r w:rsidRPr="003623EB">
        <w:rPr>
          <w:rFonts w:ascii="Arial" w:hAnsi="Arial"/>
          <w:sz w:val="22"/>
          <w:lang w:val="es-ES"/>
        </w:rPr>
        <w:t xml:space="preserve"> </w:t>
      </w:r>
      <w:r w:rsidRPr="003623EB">
        <w:rPr>
          <w:rFonts w:ascii="Arial" w:hAnsi="Arial"/>
          <w:i/>
          <w:sz w:val="22"/>
          <w:lang w:val="es-ES"/>
        </w:rPr>
        <w:t xml:space="preserve">Definir claramente "sacar de su ambiente natural" </w:t>
      </w:r>
    </w:p>
    <w:p w:rsidR="005E744D" w:rsidRPr="003623EB" w:rsidRDefault="005E744D" w:rsidP="005E744D">
      <w:pPr>
        <w:widowControl/>
        <w:autoSpaceDE/>
        <w:adjustRightInd/>
        <w:ind w:left="720"/>
        <w:jc w:val="both"/>
        <w:rPr>
          <w:rFonts w:ascii="Arial" w:hAnsi="Arial" w:cs="Arial"/>
          <w:sz w:val="22"/>
          <w:szCs w:val="22"/>
          <w:lang w:val="es-ES"/>
        </w:rPr>
      </w:pPr>
    </w:p>
    <w:p w:rsidR="005E744D" w:rsidRPr="003623EB" w:rsidRDefault="005E744D" w:rsidP="005E744D">
      <w:pPr>
        <w:widowControl/>
        <w:numPr>
          <w:ilvl w:val="0"/>
          <w:numId w:val="12"/>
        </w:numPr>
        <w:autoSpaceDE/>
        <w:adjustRightInd/>
        <w:ind w:left="426" w:hanging="437"/>
        <w:jc w:val="both"/>
        <w:rPr>
          <w:rFonts w:ascii="Arial" w:hAnsi="Arial" w:cs="Arial"/>
          <w:sz w:val="22"/>
          <w:szCs w:val="22"/>
          <w:lang w:val="es-ES"/>
        </w:rPr>
      </w:pPr>
      <w:r w:rsidRPr="003623EB">
        <w:rPr>
          <w:rFonts w:ascii="Arial" w:hAnsi="Arial"/>
          <w:sz w:val="22"/>
          <w:lang w:val="es-ES"/>
        </w:rPr>
        <w:t xml:space="preserve">En la mayoría de las leyes examinadas se define adecuadamente "sacar de su ambiente natural" o se utilizan palabras que prohíben la captura en vivo de cetáceos. La Unión </w:t>
      </w:r>
      <w:r w:rsidRPr="003623EB">
        <w:rPr>
          <w:rFonts w:ascii="Arial" w:hAnsi="Arial"/>
          <w:sz w:val="22"/>
          <w:lang w:val="es-ES"/>
        </w:rPr>
        <w:lastRenderedPageBreak/>
        <w:t xml:space="preserve">Europea, por ejemplo, prohíbe "todas las formas de captura o eliminación deliberadas de especímenes [de las especies incluidas en el Anexo A]". El uso de la expresión "todas las formas" asegura la prohibición de cualquier método de captura de cetáceos. No obstante, en al menos una de las leyes examinadas no se incluye ninguna definición de "sacar de su ambiente natural" y no se utilizan otras palabras que prohíban la captura en vivo de cetáceos. </w:t>
      </w:r>
    </w:p>
    <w:p w:rsidR="005E744D" w:rsidRPr="003623EB" w:rsidRDefault="005E744D" w:rsidP="005E744D">
      <w:pPr>
        <w:widowControl/>
        <w:autoSpaceDE/>
        <w:adjustRightInd/>
        <w:jc w:val="both"/>
        <w:rPr>
          <w:rFonts w:ascii="Arial" w:hAnsi="Arial" w:cs="Arial"/>
          <w:sz w:val="22"/>
          <w:szCs w:val="22"/>
          <w:lang w:val="es-ES"/>
        </w:rPr>
      </w:pPr>
    </w:p>
    <w:p w:rsidR="005E744D" w:rsidRPr="003623EB" w:rsidRDefault="005E744D" w:rsidP="005E744D">
      <w:pPr>
        <w:widowControl/>
        <w:numPr>
          <w:ilvl w:val="0"/>
          <w:numId w:val="12"/>
        </w:numPr>
        <w:autoSpaceDE/>
        <w:adjustRightInd/>
        <w:ind w:left="426" w:hanging="437"/>
        <w:jc w:val="both"/>
        <w:rPr>
          <w:rFonts w:ascii="Arial" w:hAnsi="Arial" w:cs="Arial"/>
          <w:sz w:val="22"/>
          <w:szCs w:val="22"/>
          <w:lang w:val="es-ES"/>
        </w:rPr>
      </w:pPr>
      <w:r w:rsidRPr="003623EB">
        <w:rPr>
          <w:rFonts w:ascii="Arial" w:hAnsi="Arial"/>
          <w:sz w:val="22"/>
          <w:lang w:val="es-ES"/>
        </w:rPr>
        <w:t>Para mantener la coherencia con el Artículo III 5) de la CMS, si no con la Resolución 11.22 (Rev. COP12), la legislación debería prohibir también los "intentos" de captura de cetáceos. Esta es una omisión observada en la mayor parte de las leyes examinadas.</w:t>
      </w:r>
    </w:p>
    <w:p w:rsidR="005E744D" w:rsidRPr="003623EB" w:rsidRDefault="005E744D" w:rsidP="005E744D">
      <w:pPr>
        <w:widowControl/>
        <w:autoSpaceDE/>
        <w:adjustRightInd/>
        <w:jc w:val="both"/>
        <w:rPr>
          <w:rFonts w:ascii="Arial" w:hAnsi="Arial" w:cs="Arial"/>
          <w:sz w:val="22"/>
          <w:szCs w:val="22"/>
          <w:lang w:val="es-ES"/>
        </w:rPr>
      </w:pPr>
    </w:p>
    <w:p w:rsidR="005E744D" w:rsidRPr="003623EB" w:rsidRDefault="005E744D" w:rsidP="005E744D">
      <w:pPr>
        <w:widowControl/>
        <w:autoSpaceDE/>
        <w:adjustRightInd/>
        <w:ind w:firstLine="426"/>
        <w:jc w:val="both"/>
        <w:outlineLvl w:val="0"/>
        <w:rPr>
          <w:rFonts w:ascii="Arial" w:hAnsi="Arial" w:cs="Arial"/>
          <w:i/>
          <w:sz w:val="22"/>
          <w:szCs w:val="22"/>
          <w:lang w:val="es-ES"/>
        </w:rPr>
      </w:pPr>
      <w:r w:rsidRPr="003623EB">
        <w:rPr>
          <w:rFonts w:ascii="Arial" w:hAnsi="Arial"/>
          <w:i/>
          <w:sz w:val="22"/>
          <w:lang w:val="es-ES"/>
        </w:rPr>
        <w:t xml:space="preserve">Recomendación 5: Definir claramente los criterios para las excepciones </w:t>
      </w:r>
    </w:p>
    <w:p w:rsidR="005E744D" w:rsidRPr="003623EB" w:rsidRDefault="005E744D" w:rsidP="005E744D">
      <w:pPr>
        <w:widowControl/>
        <w:autoSpaceDE/>
        <w:adjustRightInd/>
        <w:jc w:val="both"/>
        <w:rPr>
          <w:rFonts w:ascii="Arial" w:hAnsi="Arial" w:cs="Arial"/>
          <w:sz w:val="22"/>
          <w:szCs w:val="22"/>
          <w:lang w:val="es-ES"/>
        </w:rPr>
      </w:pPr>
    </w:p>
    <w:p w:rsidR="005E744D" w:rsidRPr="003623EB" w:rsidRDefault="005E744D" w:rsidP="005E744D">
      <w:pPr>
        <w:widowControl/>
        <w:numPr>
          <w:ilvl w:val="0"/>
          <w:numId w:val="12"/>
        </w:numPr>
        <w:autoSpaceDE/>
        <w:adjustRightInd/>
        <w:ind w:left="426" w:hanging="437"/>
        <w:jc w:val="both"/>
        <w:rPr>
          <w:rFonts w:ascii="Arial" w:hAnsi="Arial" w:cs="Arial"/>
          <w:sz w:val="22"/>
          <w:szCs w:val="22"/>
          <w:lang w:val="es-ES"/>
        </w:rPr>
      </w:pPr>
      <w:r w:rsidRPr="003623EB">
        <w:rPr>
          <w:rFonts w:ascii="Arial" w:hAnsi="Arial"/>
          <w:sz w:val="22"/>
          <w:lang w:val="es-ES"/>
        </w:rPr>
        <w:t>Muchas de las leyes examinadas contienen solo vagos criterios relativos a la utilización de las excepciones a la prohibición de la captura en vivo de cetáceos. En algunas se incluye explícitamente una excepción para exhibición/espectáculo. En otra legislación se permite la discreción de la autoridad competente para conceder un permiso en el marco de excepciones vagamente definidas. Sea que se apliquen o no estrictamente, la falta de criterios claramente definidos hace que haya incertidumbre en cuanto al ámbito de aplicación de las excepciones.</w:t>
      </w:r>
    </w:p>
    <w:p w:rsidR="005E744D" w:rsidRPr="003623EB" w:rsidRDefault="005E744D" w:rsidP="005E744D">
      <w:pPr>
        <w:widowControl/>
        <w:autoSpaceDE/>
        <w:adjustRightInd/>
        <w:jc w:val="both"/>
        <w:rPr>
          <w:rFonts w:ascii="Arial" w:hAnsi="Arial" w:cs="Arial"/>
          <w:sz w:val="22"/>
          <w:szCs w:val="22"/>
          <w:lang w:val="es-ES"/>
        </w:rPr>
      </w:pPr>
    </w:p>
    <w:p w:rsidR="005E744D" w:rsidRPr="003623EB" w:rsidRDefault="005E744D" w:rsidP="005E744D">
      <w:pPr>
        <w:widowControl/>
        <w:numPr>
          <w:ilvl w:val="0"/>
          <w:numId w:val="12"/>
        </w:numPr>
        <w:autoSpaceDE/>
        <w:adjustRightInd/>
        <w:ind w:left="426" w:hanging="437"/>
        <w:jc w:val="both"/>
        <w:rPr>
          <w:rFonts w:ascii="Arial" w:hAnsi="Arial" w:cs="Arial"/>
          <w:sz w:val="22"/>
          <w:szCs w:val="22"/>
          <w:lang w:val="es-ES"/>
        </w:rPr>
      </w:pPr>
      <w:r w:rsidRPr="003623EB">
        <w:rPr>
          <w:rFonts w:ascii="Arial" w:hAnsi="Arial"/>
          <w:sz w:val="22"/>
          <w:lang w:val="es-ES"/>
        </w:rPr>
        <w:t xml:space="preserve">Australia prohíbe expresamente las excepciones para exposición/espectáculo, mientras que las excepciones de Costa Rica a la prohibición de la captura se limitan a la eutanasia o la rehabilitación. Estas leyes pueden constituir quizás modelos para otras Partes en la CMS, al menos con respecto a excluir una excepción para la captura de cetáceos vivos para fines de exhibición. </w:t>
      </w:r>
    </w:p>
    <w:p w:rsidR="005E744D" w:rsidRPr="003623EB" w:rsidRDefault="005E744D" w:rsidP="005E744D">
      <w:pPr>
        <w:widowControl/>
        <w:autoSpaceDE/>
        <w:adjustRightInd/>
        <w:rPr>
          <w:rFonts w:ascii="Arial" w:hAnsi="Arial" w:cs="Arial"/>
          <w:sz w:val="22"/>
          <w:szCs w:val="22"/>
          <w:lang w:val="es-ES"/>
        </w:rPr>
      </w:pPr>
    </w:p>
    <w:p w:rsidR="005E744D" w:rsidRPr="003623EB" w:rsidRDefault="005E744D" w:rsidP="005E744D">
      <w:pPr>
        <w:pStyle w:val="ListParagraph"/>
        <w:numPr>
          <w:ilvl w:val="0"/>
          <w:numId w:val="14"/>
        </w:numPr>
        <w:pBdr>
          <w:top w:val="single" w:sz="6" w:space="0" w:color="FFFFFF"/>
          <w:left w:val="single" w:sz="6" w:space="0" w:color="FFFFFF"/>
          <w:bottom w:val="single" w:sz="6" w:space="0" w:color="FFFFFF"/>
          <w:right w:val="single" w:sz="6" w:space="0" w:color="FFFFFF"/>
        </w:pBdr>
        <w:ind w:left="426" w:hanging="426"/>
        <w:jc w:val="both"/>
        <w:outlineLvl w:val="1"/>
        <w:rPr>
          <w:rFonts w:ascii="Arial" w:hAnsi="Arial" w:cs="Arial"/>
          <w:b/>
          <w:caps/>
          <w:sz w:val="22"/>
          <w:szCs w:val="22"/>
          <w:lang w:val="es-ES"/>
        </w:rPr>
      </w:pPr>
      <w:r w:rsidRPr="003623EB">
        <w:rPr>
          <w:rFonts w:ascii="Arial" w:hAnsi="Arial"/>
          <w:b/>
          <w:sz w:val="22"/>
          <w:lang w:val="es-ES"/>
        </w:rPr>
        <w:t>Recomendaciones para la aplicación de medidas internas más estrictas relativas a la importación y el tránsito de cetáceos vivos para fines comerciales</w:t>
      </w:r>
    </w:p>
    <w:p w:rsidR="005E744D" w:rsidRPr="003623EB" w:rsidRDefault="005E744D" w:rsidP="005E744D">
      <w:pPr>
        <w:widowControl/>
        <w:autoSpaceDE/>
        <w:adjustRightInd/>
        <w:rPr>
          <w:rFonts w:ascii="Arial" w:hAnsi="Arial" w:cs="Arial"/>
          <w:sz w:val="22"/>
          <w:szCs w:val="22"/>
          <w:lang w:val="es-ES"/>
        </w:rPr>
      </w:pPr>
    </w:p>
    <w:p w:rsidR="005E744D" w:rsidRPr="003623EB" w:rsidRDefault="005E744D" w:rsidP="005E744D">
      <w:pPr>
        <w:widowControl/>
        <w:autoSpaceDE/>
        <w:adjustRightInd/>
        <w:ind w:firstLine="426"/>
        <w:jc w:val="both"/>
        <w:outlineLvl w:val="0"/>
        <w:rPr>
          <w:rFonts w:ascii="Arial" w:hAnsi="Arial" w:cs="Arial"/>
          <w:i/>
          <w:sz w:val="22"/>
          <w:szCs w:val="22"/>
          <w:lang w:val="es-ES"/>
        </w:rPr>
      </w:pPr>
      <w:r w:rsidRPr="003623EB">
        <w:rPr>
          <w:rFonts w:ascii="Arial" w:hAnsi="Arial"/>
          <w:i/>
          <w:sz w:val="22"/>
          <w:lang w:val="es-ES"/>
        </w:rPr>
        <w:t>Recomendación 6: Aplicar requisitos de importación a todos los cetáceos</w:t>
      </w:r>
    </w:p>
    <w:p w:rsidR="005E744D" w:rsidRPr="003623EB" w:rsidRDefault="005E744D" w:rsidP="005E744D">
      <w:pPr>
        <w:widowControl/>
        <w:autoSpaceDE/>
        <w:adjustRightInd/>
        <w:ind w:left="720"/>
        <w:jc w:val="both"/>
        <w:rPr>
          <w:rFonts w:ascii="Arial" w:hAnsi="Arial" w:cs="Arial"/>
          <w:i/>
          <w:sz w:val="22"/>
          <w:szCs w:val="22"/>
          <w:lang w:val="es-ES"/>
        </w:rPr>
      </w:pPr>
    </w:p>
    <w:p w:rsidR="005E744D" w:rsidRPr="003623EB" w:rsidRDefault="005E744D" w:rsidP="005E744D">
      <w:pPr>
        <w:widowControl/>
        <w:numPr>
          <w:ilvl w:val="0"/>
          <w:numId w:val="12"/>
        </w:numPr>
        <w:autoSpaceDE/>
        <w:adjustRightInd/>
        <w:ind w:left="426" w:hanging="426"/>
        <w:jc w:val="both"/>
        <w:rPr>
          <w:rFonts w:ascii="Arial" w:hAnsi="Arial" w:cs="Arial"/>
          <w:b/>
          <w:sz w:val="22"/>
          <w:szCs w:val="22"/>
          <w:lang w:val="es-ES"/>
        </w:rPr>
      </w:pPr>
      <w:r w:rsidRPr="003623EB">
        <w:rPr>
          <w:rFonts w:ascii="Arial" w:hAnsi="Arial"/>
          <w:sz w:val="22"/>
          <w:lang w:val="es-ES"/>
        </w:rPr>
        <w:t xml:space="preserve">Varias de las leyes examinadas prohíben expresamente la importación de todos los cetáceos (p. ej., Australia y Mauricio), independientemente de si están o no incluidos en los Apéndices de la CITES, e independientemente de la finalidad de la importación. Algunos, como Mauricio y Sri Lanka, prohíben simplemente la importación de cualquier mamífero marino, "vivo o muerto". </w:t>
      </w:r>
    </w:p>
    <w:p w:rsidR="005E744D" w:rsidRPr="003623EB" w:rsidRDefault="005E744D" w:rsidP="005E744D">
      <w:pPr>
        <w:widowControl/>
        <w:autoSpaceDE/>
        <w:adjustRightInd/>
        <w:jc w:val="both"/>
        <w:rPr>
          <w:rFonts w:ascii="Arial" w:hAnsi="Arial" w:cs="Arial"/>
          <w:b/>
          <w:sz w:val="22"/>
          <w:szCs w:val="22"/>
          <w:lang w:val="es-ES"/>
        </w:rPr>
      </w:pPr>
    </w:p>
    <w:p w:rsidR="005E744D" w:rsidRPr="003623EB" w:rsidRDefault="005E744D" w:rsidP="005E744D">
      <w:pPr>
        <w:widowControl/>
        <w:numPr>
          <w:ilvl w:val="0"/>
          <w:numId w:val="12"/>
        </w:numPr>
        <w:autoSpaceDE/>
        <w:adjustRightInd/>
        <w:ind w:left="426" w:hanging="426"/>
        <w:jc w:val="both"/>
        <w:rPr>
          <w:rFonts w:ascii="Arial" w:hAnsi="Arial" w:cs="Arial"/>
          <w:b/>
          <w:sz w:val="22"/>
          <w:szCs w:val="22"/>
          <w:lang w:val="es-ES"/>
        </w:rPr>
      </w:pPr>
      <w:r w:rsidRPr="003623EB">
        <w:rPr>
          <w:rFonts w:ascii="Arial" w:hAnsi="Arial"/>
          <w:sz w:val="22"/>
          <w:lang w:val="es-ES"/>
        </w:rPr>
        <w:t>La Unión Europea utiliza un enfoque diferente. Incluye las especies protegidas en uno de los cuatro Anexos y, establece luego normas para el comercio de especies incluidas en dicho Anexo. Ha incluido todos los cetáceos en el Anexo A del Reglamento 338/97 del Consejo, independientemente de si están o no incluidos en los Apéndices de la CITES, y ha aplicado luego el requisito del permiso aplicable a las especies del Apéndice I de la CITES para todas las especies incluidas en el Anexo A. En consecuencia, los Estados miembros de la UE prohíben todo comercio de cualquier especie de cetáceo con fines primordialmente comerciales.</w:t>
      </w:r>
    </w:p>
    <w:p w:rsidR="005E744D" w:rsidRPr="003623EB" w:rsidRDefault="005E744D" w:rsidP="005E744D">
      <w:pPr>
        <w:widowControl/>
        <w:autoSpaceDE/>
        <w:adjustRightInd/>
        <w:jc w:val="both"/>
        <w:rPr>
          <w:rFonts w:ascii="Arial" w:hAnsi="Arial" w:cs="Arial"/>
          <w:b/>
          <w:sz w:val="22"/>
          <w:szCs w:val="22"/>
          <w:lang w:val="es-ES"/>
        </w:rPr>
      </w:pPr>
    </w:p>
    <w:p w:rsidR="005E744D" w:rsidRPr="003623EB" w:rsidRDefault="005E744D" w:rsidP="005E744D">
      <w:pPr>
        <w:widowControl/>
        <w:numPr>
          <w:ilvl w:val="0"/>
          <w:numId w:val="12"/>
        </w:numPr>
        <w:autoSpaceDE/>
        <w:adjustRightInd/>
        <w:ind w:left="426" w:hanging="426"/>
        <w:jc w:val="both"/>
        <w:rPr>
          <w:rFonts w:ascii="Arial" w:hAnsi="Arial" w:cs="Arial"/>
          <w:b/>
          <w:sz w:val="22"/>
          <w:szCs w:val="22"/>
          <w:lang w:val="es-ES"/>
        </w:rPr>
      </w:pPr>
      <w:r w:rsidRPr="003623EB">
        <w:rPr>
          <w:rFonts w:ascii="Arial" w:hAnsi="Arial"/>
          <w:sz w:val="22"/>
          <w:lang w:val="es-ES"/>
        </w:rPr>
        <w:t>En ambos enfoques se prohíben claramente las importaciones de cetáceos vivos capturados en su ambiente natural para fines comerciales. En ambos enfoques se aplica plenamente la Resolución 11.22 (Rev. COP12).</w:t>
      </w:r>
    </w:p>
    <w:p w:rsidR="005E744D" w:rsidRPr="003623EB" w:rsidRDefault="005E744D" w:rsidP="005E744D">
      <w:pPr>
        <w:widowControl/>
        <w:autoSpaceDE/>
        <w:adjustRightInd/>
        <w:jc w:val="both"/>
        <w:rPr>
          <w:rFonts w:ascii="Arial" w:hAnsi="Arial" w:cs="Arial"/>
          <w:b/>
          <w:sz w:val="22"/>
          <w:szCs w:val="22"/>
          <w:lang w:val="es-ES"/>
        </w:rPr>
      </w:pPr>
    </w:p>
    <w:p w:rsidR="005E744D" w:rsidRPr="003623EB" w:rsidRDefault="005E744D" w:rsidP="005E744D">
      <w:pPr>
        <w:widowControl/>
        <w:autoSpaceDE/>
        <w:adjustRightInd/>
        <w:ind w:firstLine="426"/>
        <w:jc w:val="both"/>
        <w:outlineLvl w:val="0"/>
        <w:rPr>
          <w:rFonts w:ascii="Arial" w:hAnsi="Arial" w:cs="Arial"/>
          <w:i/>
          <w:sz w:val="22"/>
          <w:szCs w:val="22"/>
          <w:lang w:val="es-ES"/>
        </w:rPr>
      </w:pPr>
      <w:r w:rsidRPr="003623EB">
        <w:rPr>
          <w:rFonts w:ascii="Arial" w:hAnsi="Arial"/>
          <w:i/>
          <w:sz w:val="22"/>
          <w:lang w:val="es-ES"/>
        </w:rPr>
        <w:t>Recomendación 7: Definir los conceptos de "transporte" o de "tránsito"</w:t>
      </w:r>
    </w:p>
    <w:p w:rsidR="005E744D" w:rsidRPr="003623EB" w:rsidRDefault="005E744D" w:rsidP="005E744D">
      <w:pPr>
        <w:widowControl/>
        <w:autoSpaceDE/>
        <w:adjustRightInd/>
        <w:ind w:left="720"/>
        <w:jc w:val="both"/>
        <w:rPr>
          <w:rFonts w:ascii="Arial" w:hAnsi="Arial" w:cs="Arial"/>
          <w:b/>
          <w:i/>
          <w:sz w:val="22"/>
          <w:szCs w:val="22"/>
          <w:lang w:val="es-ES"/>
        </w:rPr>
      </w:pPr>
    </w:p>
    <w:p w:rsidR="005E744D" w:rsidRPr="003623EB" w:rsidRDefault="005E744D" w:rsidP="005E744D">
      <w:pPr>
        <w:widowControl/>
        <w:numPr>
          <w:ilvl w:val="0"/>
          <w:numId w:val="12"/>
        </w:numPr>
        <w:autoSpaceDE/>
        <w:adjustRightInd/>
        <w:ind w:left="426" w:hanging="426"/>
        <w:jc w:val="both"/>
        <w:rPr>
          <w:rFonts w:ascii="Arial" w:hAnsi="Arial" w:cs="Arial"/>
          <w:b/>
          <w:sz w:val="22"/>
          <w:szCs w:val="22"/>
          <w:lang w:val="es-ES"/>
        </w:rPr>
      </w:pPr>
      <w:r w:rsidRPr="003623EB">
        <w:rPr>
          <w:rFonts w:ascii="Arial" w:hAnsi="Arial"/>
          <w:sz w:val="22"/>
          <w:lang w:val="es-ES"/>
        </w:rPr>
        <w:t xml:space="preserve">Las disposiciones relativas al tránsito eran difíciles de determinar porque los Estados no siempre hacen referencia directa o indirecta al "tránsito". Pueden, sin embargo, establecer normas relativas al "transporte". No siempre queda claro si el "transporte" se entiende </w:t>
      </w:r>
      <w:r w:rsidRPr="003623EB">
        <w:rPr>
          <w:rFonts w:ascii="Arial" w:hAnsi="Arial"/>
          <w:sz w:val="22"/>
          <w:lang w:val="es-ES"/>
        </w:rPr>
        <w:lastRenderedPageBreak/>
        <w:t xml:space="preserve">como sinónimo de "tránsito" o se refiere al desplazamiento interno de especímenes, porque las leyes o no definen la palabra o no la distinguen del "tránsito".  </w:t>
      </w:r>
    </w:p>
    <w:p w:rsidR="005E744D" w:rsidRPr="003623EB" w:rsidRDefault="005E744D" w:rsidP="005E744D">
      <w:pPr>
        <w:widowControl/>
        <w:autoSpaceDE/>
        <w:adjustRightInd/>
        <w:jc w:val="both"/>
        <w:rPr>
          <w:rFonts w:ascii="Arial" w:hAnsi="Arial" w:cs="Arial"/>
          <w:b/>
          <w:sz w:val="22"/>
          <w:szCs w:val="22"/>
          <w:lang w:val="es-ES"/>
        </w:rPr>
      </w:pPr>
    </w:p>
    <w:p w:rsidR="005E744D" w:rsidRPr="003623EB" w:rsidRDefault="005E744D" w:rsidP="005E744D">
      <w:pPr>
        <w:widowControl/>
        <w:numPr>
          <w:ilvl w:val="0"/>
          <w:numId w:val="12"/>
        </w:numPr>
        <w:autoSpaceDE/>
        <w:adjustRightInd/>
        <w:ind w:left="426" w:hanging="426"/>
        <w:jc w:val="both"/>
        <w:rPr>
          <w:rFonts w:ascii="Arial" w:hAnsi="Arial" w:cs="Arial"/>
          <w:sz w:val="22"/>
          <w:szCs w:val="22"/>
          <w:lang w:val="es-ES"/>
        </w:rPr>
      </w:pPr>
      <w:r w:rsidRPr="003623EB">
        <w:rPr>
          <w:rFonts w:ascii="Arial" w:hAnsi="Arial"/>
          <w:sz w:val="22"/>
          <w:lang w:val="es-ES"/>
        </w:rPr>
        <w:t>La Ley de biodiversidad terrestre nativa y de parques nacionales de Mauricio contiene una disposición que atribuye un significado preciso a tránsito, aunque lo hace como parte de una excepción a los requisitos del permiso. Establece que los requisitos de la ley para los permisos "no se aplicarán a: a) el tránsito o el transbordo en Mauricio de cualquier especie mientras se encuentre y permanezca bajo el control de las autoridades aduaneras".</w:t>
      </w:r>
    </w:p>
    <w:p w:rsidR="005E744D" w:rsidRPr="003623EB" w:rsidRDefault="005E744D" w:rsidP="005E744D">
      <w:pPr>
        <w:jc w:val="both"/>
        <w:rPr>
          <w:rFonts w:ascii="Arial" w:hAnsi="Arial" w:cs="Arial"/>
          <w:sz w:val="22"/>
          <w:szCs w:val="22"/>
          <w:lang w:val="es-ES"/>
        </w:rPr>
      </w:pPr>
    </w:p>
    <w:p w:rsidR="005E744D" w:rsidRDefault="005E744D" w:rsidP="005E744D">
      <w:pPr>
        <w:widowControl/>
        <w:numPr>
          <w:ilvl w:val="0"/>
          <w:numId w:val="12"/>
        </w:numPr>
        <w:autoSpaceDE/>
        <w:adjustRightInd/>
        <w:ind w:left="426" w:hanging="426"/>
        <w:jc w:val="both"/>
        <w:rPr>
          <w:rFonts w:ascii="Arial" w:hAnsi="Arial" w:cs="Arial"/>
          <w:sz w:val="22"/>
          <w:szCs w:val="22"/>
        </w:rPr>
      </w:pPr>
      <w:r w:rsidRPr="003623EB">
        <w:rPr>
          <w:rFonts w:ascii="Arial" w:hAnsi="Arial"/>
          <w:sz w:val="22"/>
          <w:lang w:val="es-ES"/>
        </w:rPr>
        <w:t xml:space="preserve">Para eliminar la ambigüedad de si se aplican o no los requisitos de permisos de la CITES para los especímenes en tránsito que permanecen bajo control aduanero y para aplicar plenamente la Resolución 11.22 (Rev. COP12), las Partes en la CMS tal vez deseen incluir una disposición en su legislación que requiera específicamente la concesión de permisos en esas situaciones. </w:t>
      </w:r>
      <w:r>
        <w:rPr>
          <w:rFonts w:ascii="Arial" w:hAnsi="Arial"/>
          <w:sz w:val="22"/>
        </w:rPr>
        <w:t xml:space="preserve">La </w:t>
      </w:r>
      <w:proofErr w:type="spellStart"/>
      <w:r>
        <w:rPr>
          <w:rFonts w:ascii="Arial" w:hAnsi="Arial"/>
          <w:sz w:val="22"/>
        </w:rPr>
        <w:t>disposición</w:t>
      </w:r>
      <w:proofErr w:type="spellEnd"/>
      <w:r>
        <w:rPr>
          <w:rFonts w:ascii="Arial" w:hAnsi="Arial"/>
          <w:sz w:val="22"/>
        </w:rPr>
        <w:t xml:space="preserve"> </w:t>
      </w:r>
      <w:proofErr w:type="spellStart"/>
      <w:r>
        <w:rPr>
          <w:rFonts w:ascii="Arial" w:hAnsi="Arial"/>
          <w:sz w:val="22"/>
        </w:rPr>
        <w:t>podría</w:t>
      </w:r>
      <w:proofErr w:type="spellEnd"/>
      <w:r>
        <w:rPr>
          <w:rFonts w:ascii="Arial" w:hAnsi="Arial"/>
          <w:sz w:val="22"/>
        </w:rPr>
        <w:t xml:space="preserve"> </w:t>
      </w:r>
      <w:proofErr w:type="spellStart"/>
      <w:r>
        <w:rPr>
          <w:rFonts w:ascii="Arial" w:hAnsi="Arial"/>
          <w:sz w:val="22"/>
        </w:rPr>
        <w:t>redactarse</w:t>
      </w:r>
      <w:proofErr w:type="spellEnd"/>
      <w:r>
        <w:rPr>
          <w:rFonts w:ascii="Arial" w:hAnsi="Arial"/>
          <w:sz w:val="22"/>
        </w:rPr>
        <w:t xml:space="preserve"> </w:t>
      </w:r>
      <w:proofErr w:type="spellStart"/>
      <w:r>
        <w:rPr>
          <w:rFonts w:ascii="Arial" w:hAnsi="Arial"/>
          <w:sz w:val="22"/>
        </w:rPr>
        <w:t>como</w:t>
      </w:r>
      <w:proofErr w:type="spellEnd"/>
      <w:r>
        <w:rPr>
          <w:rFonts w:ascii="Arial" w:hAnsi="Arial"/>
          <w:sz w:val="22"/>
        </w:rPr>
        <w:t xml:space="preserve"> </w:t>
      </w:r>
      <w:proofErr w:type="spellStart"/>
      <w:r>
        <w:rPr>
          <w:rFonts w:ascii="Arial" w:hAnsi="Arial"/>
          <w:sz w:val="22"/>
        </w:rPr>
        <w:t>sigue</w:t>
      </w:r>
      <w:proofErr w:type="spellEnd"/>
      <w:r>
        <w:rPr>
          <w:rFonts w:ascii="Arial" w:hAnsi="Arial"/>
          <w:sz w:val="22"/>
        </w:rPr>
        <w:t xml:space="preserve">: </w:t>
      </w:r>
    </w:p>
    <w:p w:rsidR="005E744D" w:rsidRDefault="005E744D" w:rsidP="005E744D">
      <w:pPr>
        <w:jc w:val="both"/>
        <w:rPr>
          <w:rFonts w:ascii="Arial" w:hAnsi="Arial" w:cs="Arial"/>
          <w:sz w:val="22"/>
          <w:szCs w:val="22"/>
        </w:rPr>
      </w:pPr>
    </w:p>
    <w:p w:rsidR="005E744D" w:rsidRPr="003623EB" w:rsidRDefault="005E744D" w:rsidP="005E744D">
      <w:pPr>
        <w:ind w:left="720" w:right="720"/>
        <w:jc w:val="both"/>
        <w:rPr>
          <w:rFonts w:ascii="Arial" w:hAnsi="Arial" w:cs="Arial"/>
          <w:sz w:val="22"/>
          <w:szCs w:val="22"/>
          <w:lang w:val="es-ES"/>
        </w:rPr>
      </w:pPr>
      <w:r w:rsidRPr="003623EB">
        <w:rPr>
          <w:rFonts w:ascii="Arial" w:hAnsi="Arial"/>
          <w:sz w:val="22"/>
          <w:lang w:val="es-ES"/>
        </w:rPr>
        <w:t>los requisitos de la Ley para la concesión de permisos se aplican al tránsito o al transbordo en [nombre del país] de cualquier espécimen vivo de especies de cetáceos capturados en su ambiente natural mientras se encuentre y permanezca bajo el control de las autoridades aduaneras.</w:t>
      </w:r>
    </w:p>
    <w:p w:rsidR="005E744D" w:rsidRPr="003623EB" w:rsidRDefault="005E744D" w:rsidP="005E744D">
      <w:pPr>
        <w:widowControl/>
        <w:autoSpaceDE/>
        <w:adjustRightInd/>
        <w:jc w:val="both"/>
        <w:rPr>
          <w:rFonts w:ascii="Arial" w:hAnsi="Arial" w:cs="Arial"/>
          <w:sz w:val="22"/>
          <w:szCs w:val="22"/>
          <w:lang w:val="es-ES"/>
        </w:rPr>
      </w:pPr>
    </w:p>
    <w:p w:rsidR="005E744D" w:rsidRPr="003623EB" w:rsidRDefault="005E744D" w:rsidP="005E744D">
      <w:pPr>
        <w:widowControl/>
        <w:numPr>
          <w:ilvl w:val="0"/>
          <w:numId w:val="12"/>
        </w:numPr>
        <w:autoSpaceDE/>
        <w:adjustRightInd/>
        <w:ind w:left="426" w:hanging="426"/>
        <w:jc w:val="both"/>
        <w:rPr>
          <w:rFonts w:ascii="Arial" w:hAnsi="Arial" w:cs="Arial"/>
          <w:sz w:val="22"/>
          <w:szCs w:val="22"/>
          <w:lang w:val="es-ES"/>
        </w:rPr>
      </w:pPr>
      <w:r w:rsidRPr="003623EB">
        <w:rPr>
          <w:rFonts w:ascii="Arial" w:hAnsi="Arial"/>
          <w:sz w:val="22"/>
          <w:lang w:val="es-ES"/>
        </w:rPr>
        <w:t>Para eliminar toda ambigüedad en cuanto al significado de "tránsito", las Partes en la CMS podría definir dicho término. La definición formulada en el Reglamento 338/97 del Consejo de la Unión Europea constituye un modelo útil:</w:t>
      </w:r>
    </w:p>
    <w:p w:rsidR="005E744D" w:rsidRPr="003623EB" w:rsidRDefault="005E744D" w:rsidP="005E744D">
      <w:pPr>
        <w:jc w:val="both"/>
        <w:rPr>
          <w:rFonts w:ascii="Arial" w:hAnsi="Arial" w:cs="Arial"/>
          <w:sz w:val="22"/>
          <w:szCs w:val="22"/>
          <w:lang w:val="es-ES"/>
        </w:rPr>
      </w:pPr>
    </w:p>
    <w:p w:rsidR="005E744D" w:rsidRPr="003623EB" w:rsidRDefault="005E744D" w:rsidP="005E744D">
      <w:pPr>
        <w:ind w:left="720" w:right="720"/>
        <w:jc w:val="both"/>
        <w:rPr>
          <w:rFonts w:ascii="Arial" w:hAnsi="Arial"/>
          <w:sz w:val="22"/>
          <w:lang w:val="es-ES"/>
        </w:rPr>
      </w:pPr>
      <w:r w:rsidRPr="003623EB">
        <w:rPr>
          <w:rFonts w:ascii="Arial" w:hAnsi="Arial"/>
          <w:sz w:val="22"/>
          <w:lang w:val="es-ES"/>
        </w:rPr>
        <w:t>Se entenderá por "tránsito" el transporte de especímenes entre dos puntos exteriores a [nombre del país] y a través del territorio de [nombre del país], que se transporten a un consignatario designado, y durante el cual toda interrupción del traslado se deba exclusivamente a las medidas que requiera este tipo de transporte.</w:t>
      </w:r>
    </w:p>
    <w:p w:rsidR="00DF0F13" w:rsidRPr="003623EB" w:rsidRDefault="00DF0F13" w:rsidP="005E744D">
      <w:pPr>
        <w:jc w:val="both"/>
        <w:rPr>
          <w:rFonts w:ascii="Arial" w:hAnsi="Arial" w:cs="Arial"/>
          <w:sz w:val="22"/>
          <w:szCs w:val="22"/>
          <w:lang w:val="es-ES"/>
        </w:rPr>
      </w:pPr>
    </w:p>
    <w:p w:rsidR="00DF0F13" w:rsidRPr="003623EB" w:rsidRDefault="00DF0F13" w:rsidP="00DF0F13">
      <w:pPr>
        <w:ind w:left="360"/>
        <w:jc w:val="both"/>
        <w:rPr>
          <w:rFonts w:ascii="Arial" w:hAnsi="Arial" w:cs="Arial"/>
          <w:sz w:val="22"/>
          <w:szCs w:val="22"/>
          <w:lang w:val="es-ES"/>
        </w:rPr>
      </w:pPr>
    </w:p>
    <w:p w:rsidR="005E744D" w:rsidRPr="003623EB" w:rsidRDefault="005E744D" w:rsidP="00DF0F13">
      <w:pPr>
        <w:jc w:val="both"/>
        <w:rPr>
          <w:rFonts w:ascii="Arial" w:hAnsi="Arial" w:cs="Arial"/>
          <w:sz w:val="22"/>
          <w:szCs w:val="22"/>
          <w:lang w:val="es-ES"/>
        </w:rPr>
      </w:pPr>
      <w:r w:rsidRPr="003623EB">
        <w:rPr>
          <w:rFonts w:ascii="Arial" w:hAnsi="Arial" w:cs="Arial"/>
          <w:sz w:val="22"/>
          <w:szCs w:val="22"/>
          <w:lang w:val="es-ES"/>
        </w:rPr>
        <w:br w:type="page"/>
      </w:r>
    </w:p>
    <w:p w:rsidR="00BA3A74" w:rsidRDefault="00BA3A74" w:rsidP="00BA3A74">
      <w:pPr>
        <w:jc w:val="center"/>
        <w:rPr>
          <w:rFonts w:ascii="Arial" w:hAnsi="Arial" w:cs="Arial"/>
          <w:sz w:val="22"/>
          <w:szCs w:val="22"/>
          <w:lang w:val="es-ES"/>
        </w:rPr>
      </w:pPr>
      <w:bookmarkStart w:id="0" w:name="_GoBack"/>
      <w:bookmarkEnd w:id="0"/>
      <w:r w:rsidRPr="00BA3A74">
        <w:rPr>
          <w:rFonts w:ascii="Arial" w:hAnsi="Arial" w:cs="Arial"/>
          <w:sz w:val="22"/>
          <w:szCs w:val="22"/>
          <w:lang w:val="es-ES"/>
        </w:rPr>
        <w:lastRenderedPageBreak/>
        <w:t>PROPUESTAS DE DECISIONES</w:t>
      </w:r>
    </w:p>
    <w:p w:rsidR="00BA3A74" w:rsidRDefault="00BA3A74" w:rsidP="00BA3A74">
      <w:pPr>
        <w:jc w:val="center"/>
        <w:rPr>
          <w:rFonts w:ascii="Arial" w:hAnsi="Arial" w:cs="Arial"/>
          <w:sz w:val="22"/>
          <w:szCs w:val="22"/>
          <w:lang w:val="es-ES"/>
        </w:rPr>
      </w:pPr>
    </w:p>
    <w:p w:rsidR="006E6D44" w:rsidRPr="003623EB" w:rsidRDefault="006E6D44" w:rsidP="006E6D44">
      <w:pPr>
        <w:ind w:right="720"/>
        <w:rPr>
          <w:rFonts w:ascii="Arial" w:hAnsi="Arial" w:cs="Arial"/>
          <w:b/>
          <w:i/>
          <w:sz w:val="22"/>
          <w:szCs w:val="22"/>
          <w:lang w:val="es-ES"/>
        </w:rPr>
      </w:pPr>
      <w:r w:rsidRPr="003623EB">
        <w:rPr>
          <w:rFonts w:ascii="Arial" w:hAnsi="Arial" w:cs="Arial"/>
          <w:b/>
          <w:i/>
          <w:sz w:val="22"/>
          <w:szCs w:val="22"/>
          <w:lang w:val="es-ES"/>
        </w:rPr>
        <w:t>Dirigido a la Secretaría</w:t>
      </w:r>
    </w:p>
    <w:p w:rsidR="006E6D44" w:rsidRPr="003623EB" w:rsidRDefault="006E6D44" w:rsidP="006E6D44">
      <w:pPr>
        <w:ind w:right="720"/>
        <w:rPr>
          <w:rFonts w:ascii="Arial" w:hAnsi="Arial" w:cs="Arial"/>
          <w:b/>
          <w:sz w:val="22"/>
          <w:szCs w:val="22"/>
          <w:lang w:val="es-ES"/>
        </w:rPr>
      </w:pPr>
    </w:p>
    <w:p w:rsidR="006E6D44" w:rsidRPr="00042FE4" w:rsidRDefault="006E6D44" w:rsidP="006E6D44">
      <w:pPr>
        <w:tabs>
          <w:tab w:val="left" w:pos="720"/>
        </w:tabs>
        <w:ind w:right="720"/>
        <w:jc w:val="both"/>
        <w:rPr>
          <w:rFonts w:ascii="Arial" w:hAnsi="Arial" w:cs="Arial"/>
          <w:sz w:val="22"/>
          <w:szCs w:val="22"/>
        </w:rPr>
      </w:pPr>
      <w:r w:rsidRPr="00042FE4">
        <w:rPr>
          <w:rFonts w:ascii="Arial" w:hAnsi="Arial" w:cs="Arial"/>
          <w:sz w:val="22"/>
          <w:szCs w:val="22"/>
        </w:rPr>
        <w:t>12.AA</w:t>
      </w:r>
      <w:r w:rsidRPr="00042FE4">
        <w:rPr>
          <w:rFonts w:ascii="Arial" w:hAnsi="Arial" w:cs="Arial"/>
          <w:sz w:val="22"/>
          <w:szCs w:val="22"/>
        </w:rPr>
        <w:tab/>
        <w:t xml:space="preserve">La </w:t>
      </w:r>
      <w:proofErr w:type="spellStart"/>
      <w:r w:rsidRPr="00042FE4">
        <w:rPr>
          <w:rFonts w:ascii="Arial" w:hAnsi="Arial" w:cs="Arial"/>
          <w:sz w:val="22"/>
          <w:szCs w:val="22"/>
        </w:rPr>
        <w:t>Secretaría</w:t>
      </w:r>
      <w:proofErr w:type="spellEnd"/>
      <w:r w:rsidRPr="00042FE4">
        <w:rPr>
          <w:rFonts w:ascii="Arial" w:hAnsi="Arial" w:cs="Arial"/>
          <w:sz w:val="22"/>
          <w:szCs w:val="22"/>
        </w:rPr>
        <w:t xml:space="preserve"> </w:t>
      </w:r>
      <w:proofErr w:type="spellStart"/>
      <w:r w:rsidRPr="00042FE4">
        <w:rPr>
          <w:rFonts w:ascii="Arial" w:hAnsi="Arial" w:cs="Arial"/>
          <w:sz w:val="22"/>
          <w:szCs w:val="22"/>
        </w:rPr>
        <w:t>deberá</w:t>
      </w:r>
      <w:proofErr w:type="spellEnd"/>
      <w:r w:rsidRPr="00042FE4">
        <w:rPr>
          <w:rFonts w:ascii="Arial" w:hAnsi="Arial" w:cs="Arial"/>
          <w:sz w:val="22"/>
          <w:szCs w:val="22"/>
        </w:rPr>
        <w:t>:</w:t>
      </w:r>
    </w:p>
    <w:p w:rsidR="006E6D44" w:rsidRPr="00042FE4" w:rsidRDefault="006E6D44" w:rsidP="006E6D44">
      <w:pPr>
        <w:ind w:right="720"/>
        <w:jc w:val="both"/>
        <w:rPr>
          <w:rFonts w:ascii="Arial" w:hAnsi="Arial" w:cs="Arial"/>
          <w:sz w:val="22"/>
          <w:szCs w:val="22"/>
        </w:rPr>
      </w:pPr>
    </w:p>
    <w:p w:rsidR="006E6D44" w:rsidRPr="003623EB" w:rsidRDefault="006E6D44" w:rsidP="006E6D44">
      <w:pPr>
        <w:pStyle w:val="ListParagraph"/>
        <w:numPr>
          <w:ilvl w:val="0"/>
          <w:numId w:val="2"/>
        </w:numPr>
        <w:ind w:left="720" w:right="720"/>
        <w:jc w:val="both"/>
        <w:rPr>
          <w:rFonts w:ascii="Arial" w:hAnsi="Arial" w:cs="Arial"/>
          <w:sz w:val="22"/>
          <w:szCs w:val="22"/>
          <w:lang w:val="es-ES"/>
        </w:rPr>
      </w:pPr>
      <w:r w:rsidRPr="003623EB">
        <w:rPr>
          <w:rFonts w:ascii="Arial" w:hAnsi="Arial" w:cs="Arial"/>
          <w:sz w:val="22"/>
          <w:szCs w:val="22"/>
          <w:lang w:val="es-ES"/>
        </w:rPr>
        <w:t>Solicitar a las Partes entregar información sobre la implementación de las Directrices</w:t>
      </w:r>
      <w:r w:rsidRPr="003623EB">
        <w:rPr>
          <w:lang w:val="es-ES"/>
        </w:rPr>
        <w:t xml:space="preserve"> </w:t>
      </w:r>
      <w:r w:rsidRPr="003623EB">
        <w:rPr>
          <w:rFonts w:ascii="Arial" w:hAnsi="Arial" w:cs="Arial"/>
          <w:sz w:val="22"/>
          <w:szCs w:val="22"/>
          <w:lang w:val="es-ES"/>
        </w:rPr>
        <w:t>sobre las Mejores Prácticas relativas a la captura de cetáceos vivos en su ambiente natural para fines comerciales.</w:t>
      </w:r>
    </w:p>
    <w:p w:rsidR="006E6D44" w:rsidRPr="003623EB" w:rsidRDefault="006E6D44" w:rsidP="006E6D44">
      <w:pPr>
        <w:pStyle w:val="ListParagraph"/>
        <w:ind w:right="720"/>
        <w:jc w:val="both"/>
        <w:rPr>
          <w:rFonts w:ascii="Arial" w:hAnsi="Arial" w:cs="Arial"/>
          <w:sz w:val="22"/>
          <w:szCs w:val="22"/>
          <w:lang w:val="es-ES"/>
        </w:rPr>
      </w:pPr>
    </w:p>
    <w:p w:rsidR="006E6D44" w:rsidRPr="003623EB" w:rsidRDefault="006E6D44" w:rsidP="006E6D44">
      <w:pPr>
        <w:pStyle w:val="ListParagraph"/>
        <w:numPr>
          <w:ilvl w:val="0"/>
          <w:numId w:val="2"/>
        </w:numPr>
        <w:ind w:left="720" w:right="720"/>
        <w:jc w:val="both"/>
        <w:rPr>
          <w:rFonts w:ascii="Arial" w:hAnsi="Arial" w:cs="Arial"/>
          <w:sz w:val="22"/>
          <w:szCs w:val="22"/>
          <w:lang w:val="es-ES"/>
        </w:rPr>
      </w:pPr>
      <w:r w:rsidRPr="003623EB">
        <w:rPr>
          <w:rFonts w:ascii="Arial" w:hAnsi="Arial" w:cs="Arial"/>
          <w:sz w:val="22"/>
          <w:szCs w:val="22"/>
          <w:lang w:val="es-ES"/>
        </w:rPr>
        <w:t>Informar al Comité Permanente en su reunión 49ª sobre el progreso de las Partes en la implementación de esta Resolución.</w:t>
      </w:r>
    </w:p>
    <w:p w:rsidR="006E6D44" w:rsidRPr="003623EB" w:rsidRDefault="006E6D44" w:rsidP="006E6D44">
      <w:pPr>
        <w:ind w:right="720"/>
        <w:jc w:val="both"/>
        <w:rPr>
          <w:rFonts w:ascii="Arial" w:hAnsi="Arial" w:cs="Arial"/>
          <w:sz w:val="22"/>
          <w:szCs w:val="22"/>
          <w:lang w:val="es-ES"/>
        </w:rPr>
      </w:pPr>
    </w:p>
    <w:p w:rsidR="006E6D44" w:rsidRPr="003623EB" w:rsidRDefault="006E6D44" w:rsidP="006E6D44">
      <w:pPr>
        <w:ind w:right="720"/>
        <w:jc w:val="both"/>
        <w:rPr>
          <w:rFonts w:ascii="Arial" w:hAnsi="Arial" w:cs="Arial"/>
          <w:sz w:val="22"/>
          <w:szCs w:val="22"/>
          <w:lang w:val="es-ES"/>
        </w:rPr>
      </w:pPr>
    </w:p>
    <w:p w:rsidR="006E6D44" w:rsidRPr="003623EB" w:rsidRDefault="006E6D44" w:rsidP="006E6D44">
      <w:pPr>
        <w:ind w:right="720"/>
        <w:jc w:val="both"/>
        <w:rPr>
          <w:rFonts w:ascii="Arial" w:hAnsi="Arial" w:cs="Arial"/>
          <w:b/>
          <w:i/>
          <w:sz w:val="22"/>
          <w:szCs w:val="22"/>
          <w:lang w:val="es-ES"/>
        </w:rPr>
      </w:pPr>
      <w:r w:rsidRPr="003623EB">
        <w:rPr>
          <w:rFonts w:ascii="Arial" w:hAnsi="Arial" w:cs="Arial"/>
          <w:b/>
          <w:i/>
          <w:sz w:val="22"/>
          <w:szCs w:val="22"/>
          <w:lang w:val="es-ES"/>
        </w:rPr>
        <w:t>Dirigido a las Partes</w:t>
      </w:r>
    </w:p>
    <w:p w:rsidR="006E6D44" w:rsidRPr="003623EB" w:rsidRDefault="006E6D44" w:rsidP="006E6D44">
      <w:pPr>
        <w:ind w:right="720"/>
        <w:jc w:val="both"/>
        <w:rPr>
          <w:rFonts w:ascii="Arial" w:hAnsi="Arial" w:cs="Arial"/>
          <w:sz w:val="22"/>
          <w:szCs w:val="22"/>
          <w:lang w:val="es-ES"/>
        </w:rPr>
      </w:pPr>
    </w:p>
    <w:p w:rsidR="006E6D44" w:rsidRPr="003623EB" w:rsidRDefault="006E6D44" w:rsidP="006E6D44">
      <w:pPr>
        <w:tabs>
          <w:tab w:val="left" w:pos="720"/>
        </w:tabs>
        <w:ind w:right="720"/>
        <w:jc w:val="both"/>
        <w:rPr>
          <w:rFonts w:ascii="Arial" w:hAnsi="Arial" w:cs="Arial"/>
          <w:sz w:val="22"/>
          <w:szCs w:val="22"/>
          <w:lang w:val="es-ES"/>
        </w:rPr>
      </w:pPr>
      <w:r w:rsidRPr="003623EB">
        <w:rPr>
          <w:rFonts w:ascii="Arial" w:hAnsi="Arial" w:cs="Arial"/>
          <w:sz w:val="22"/>
          <w:szCs w:val="22"/>
          <w:lang w:val="es-ES"/>
        </w:rPr>
        <w:t>12.BB</w:t>
      </w:r>
      <w:r w:rsidRPr="003623EB">
        <w:rPr>
          <w:rFonts w:ascii="Arial" w:hAnsi="Arial" w:cs="Arial"/>
          <w:sz w:val="22"/>
          <w:szCs w:val="22"/>
          <w:lang w:val="es-ES"/>
        </w:rPr>
        <w:tab/>
        <w:t>Se le solicita a las Partes</w:t>
      </w:r>
    </w:p>
    <w:p w:rsidR="006E6D44" w:rsidRPr="003623EB" w:rsidRDefault="006E6D44" w:rsidP="006E6D44">
      <w:pPr>
        <w:ind w:right="720"/>
        <w:jc w:val="both"/>
        <w:rPr>
          <w:rFonts w:ascii="Arial" w:hAnsi="Arial" w:cs="Arial"/>
          <w:sz w:val="22"/>
          <w:szCs w:val="22"/>
          <w:lang w:val="es-ES"/>
        </w:rPr>
      </w:pPr>
    </w:p>
    <w:p w:rsidR="006E6D44" w:rsidRPr="003623EB" w:rsidRDefault="006E6D44" w:rsidP="006E6D44">
      <w:pPr>
        <w:pStyle w:val="ListParagraph"/>
        <w:numPr>
          <w:ilvl w:val="0"/>
          <w:numId w:val="3"/>
        </w:numPr>
        <w:ind w:right="720"/>
        <w:jc w:val="both"/>
        <w:rPr>
          <w:rFonts w:ascii="Arial" w:hAnsi="Arial" w:cs="Arial"/>
          <w:sz w:val="22"/>
          <w:szCs w:val="22"/>
          <w:lang w:val="es-ES"/>
        </w:rPr>
      </w:pPr>
      <w:r w:rsidRPr="003623EB">
        <w:rPr>
          <w:rFonts w:ascii="Arial" w:hAnsi="Arial" w:cs="Arial"/>
          <w:sz w:val="22"/>
          <w:szCs w:val="22"/>
          <w:lang w:val="es-ES"/>
        </w:rPr>
        <w:t xml:space="preserve">Cooperar con la Secretaría en la implementación de las Decisiones </w:t>
      </w:r>
      <w:proofErr w:type="gramStart"/>
      <w:r w:rsidRPr="003623EB">
        <w:rPr>
          <w:rFonts w:ascii="Arial" w:hAnsi="Arial" w:cs="Arial"/>
          <w:sz w:val="22"/>
          <w:szCs w:val="22"/>
          <w:lang w:val="es-ES"/>
        </w:rPr>
        <w:t>12.AA</w:t>
      </w:r>
      <w:proofErr w:type="gramEnd"/>
      <w:r w:rsidRPr="003623EB">
        <w:rPr>
          <w:rFonts w:ascii="Arial" w:hAnsi="Arial" w:cs="Arial"/>
          <w:sz w:val="22"/>
          <w:szCs w:val="22"/>
          <w:lang w:val="es-ES"/>
        </w:rPr>
        <w:t xml:space="preserve"> entregando información en respuesta a la solicitud mencionada en el párrafo a).</w:t>
      </w:r>
    </w:p>
    <w:p w:rsidR="006E6D44" w:rsidRPr="003623EB" w:rsidRDefault="006E6D44" w:rsidP="006E6D44">
      <w:pPr>
        <w:ind w:right="720"/>
        <w:jc w:val="both"/>
        <w:rPr>
          <w:rFonts w:ascii="Arial" w:hAnsi="Arial" w:cs="Arial"/>
          <w:sz w:val="22"/>
          <w:szCs w:val="22"/>
          <w:lang w:val="es-ES"/>
        </w:rPr>
      </w:pPr>
    </w:p>
    <w:p w:rsidR="006E6D44" w:rsidRPr="003623EB" w:rsidRDefault="006E6D44" w:rsidP="006E6D44">
      <w:pPr>
        <w:ind w:right="720"/>
        <w:jc w:val="both"/>
        <w:rPr>
          <w:rFonts w:ascii="Arial" w:hAnsi="Arial" w:cs="Arial"/>
          <w:sz w:val="22"/>
          <w:szCs w:val="22"/>
          <w:lang w:val="es-ES"/>
        </w:rPr>
      </w:pPr>
    </w:p>
    <w:p w:rsidR="006E6D44" w:rsidRPr="003623EB" w:rsidRDefault="006E6D44" w:rsidP="006E6D44">
      <w:pPr>
        <w:ind w:right="720"/>
        <w:jc w:val="both"/>
        <w:rPr>
          <w:rFonts w:ascii="Arial" w:hAnsi="Arial" w:cs="Arial"/>
          <w:b/>
          <w:i/>
          <w:sz w:val="22"/>
          <w:szCs w:val="22"/>
          <w:lang w:val="es-ES"/>
        </w:rPr>
      </w:pPr>
      <w:r w:rsidRPr="003623EB">
        <w:rPr>
          <w:rFonts w:ascii="Arial" w:hAnsi="Arial" w:cs="Arial"/>
          <w:b/>
          <w:i/>
          <w:sz w:val="22"/>
          <w:szCs w:val="22"/>
          <w:lang w:val="es-ES"/>
        </w:rPr>
        <w:t>Dirigido al Comité Permanente</w:t>
      </w:r>
    </w:p>
    <w:p w:rsidR="006E6D44" w:rsidRPr="003623EB" w:rsidRDefault="006E6D44" w:rsidP="006E6D44">
      <w:pPr>
        <w:ind w:right="720"/>
        <w:jc w:val="both"/>
        <w:rPr>
          <w:rFonts w:ascii="Arial" w:hAnsi="Arial" w:cs="Arial"/>
          <w:sz w:val="22"/>
          <w:szCs w:val="22"/>
          <w:lang w:val="es-ES"/>
        </w:rPr>
      </w:pPr>
    </w:p>
    <w:p w:rsidR="006E6D44" w:rsidRPr="003623EB" w:rsidRDefault="006E6D44" w:rsidP="006E6D44">
      <w:pPr>
        <w:tabs>
          <w:tab w:val="left" w:pos="360"/>
          <w:tab w:val="left" w:pos="720"/>
        </w:tabs>
        <w:ind w:right="720"/>
        <w:jc w:val="both"/>
        <w:rPr>
          <w:rFonts w:ascii="Arial" w:hAnsi="Arial" w:cs="Arial"/>
          <w:sz w:val="22"/>
          <w:szCs w:val="22"/>
          <w:lang w:val="es-ES"/>
        </w:rPr>
      </w:pPr>
      <w:r w:rsidRPr="003623EB">
        <w:rPr>
          <w:rFonts w:ascii="Arial" w:hAnsi="Arial" w:cs="Arial"/>
          <w:sz w:val="22"/>
          <w:szCs w:val="22"/>
          <w:lang w:val="es-ES"/>
        </w:rPr>
        <w:t>12.CC</w:t>
      </w:r>
      <w:r w:rsidRPr="003623EB">
        <w:rPr>
          <w:rFonts w:ascii="Arial" w:hAnsi="Arial" w:cs="Arial"/>
          <w:sz w:val="22"/>
          <w:szCs w:val="22"/>
          <w:lang w:val="es-ES"/>
        </w:rPr>
        <w:tab/>
        <w:t>El Comité Permanente deberá,</w:t>
      </w:r>
    </w:p>
    <w:p w:rsidR="006E6D44" w:rsidRPr="003623EB" w:rsidRDefault="006E6D44" w:rsidP="006E6D44">
      <w:pPr>
        <w:ind w:right="720"/>
        <w:jc w:val="both"/>
        <w:rPr>
          <w:rFonts w:ascii="Arial" w:hAnsi="Arial" w:cs="Arial"/>
          <w:sz w:val="22"/>
          <w:szCs w:val="22"/>
          <w:lang w:val="es-ES"/>
        </w:rPr>
      </w:pPr>
    </w:p>
    <w:p w:rsidR="006E6D44" w:rsidRPr="003623EB" w:rsidRDefault="006E6D44" w:rsidP="006E6D44">
      <w:pPr>
        <w:pStyle w:val="ListParagraph"/>
        <w:numPr>
          <w:ilvl w:val="0"/>
          <w:numId w:val="4"/>
        </w:numPr>
        <w:ind w:right="720"/>
        <w:jc w:val="both"/>
        <w:rPr>
          <w:rFonts w:ascii="Arial" w:hAnsi="Arial" w:cs="Arial"/>
          <w:sz w:val="22"/>
          <w:szCs w:val="22"/>
          <w:lang w:val="es-ES"/>
        </w:rPr>
      </w:pPr>
      <w:r w:rsidRPr="003623EB">
        <w:rPr>
          <w:rFonts w:ascii="Arial" w:hAnsi="Arial" w:cs="Arial"/>
          <w:sz w:val="22"/>
          <w:szCs w:val="22"/>
          <w:lang w:val="es-ES"/>
        </w:rPr>
        <w:t>Considerar el informe presentado por la Secretaría al Comité Permanente en su reunión 49ª y recomendar medidas ulteriores a tomar según proceda.</w:t>
      </w:r>
    </w:p>
    <w:p w:rsidR="00F50CF5" w:rsidRDefault="00F50CF5" w:rsidP="00F50CF5">
      <w:pPr>
        <w:jc w:val="both"/>
        <w:rPr>
          <w:rFonts w:ascii="Arial" w:hAnsi="Arial" w:cs="Arial"/>
          <w:sz w:val="22"/>
          <w:szCs w:val="22"/>
          <w:lang w:val="es-ES"/>
        </w:rPr>
      </w:pPr>
    </w:p>
    <w:p w:rsidR="00F50CF5" w:rsidRDefault="00F50CF5" w:rsidP="00F50CF5">
      <w:pPr>
        <w:jc w:val="both"/>
        <w:rPr>
          <w:rFonts w:ascii="Arial" w:hAnsi="Arial" w:cs="Arial"/>
          <w:sz w:val="22"/>
          <w:szCs w:val="22"/>
          <w:lang w:val="es-ES"/>
        </w:rPr>
      </w:pPr>
    </w:p>
    <w:p w:rsidR="00F50CF5" w:rsidRDefault="00F50CF5" w:rsidP="00F50CF5">
      <w:pPr>
        <w:jc w:val="both"/>
        <w:rPr>
          <w:rFonts w:ascii="Arial" w:hAnsi="Arial" w:cs="Arial"/>
          <w:sz w:val="22"/>
          <w:szCs w:val="22"/>
          <w:lang w:val="es-ES"/>
        </w:rPr>
      </w:pPr>
    </w:p>
    <w:p w:rsidR="00F50CF5" w:rsidRDefault="00F50CF5" w:rsidP="00F50CF5">
      <w:pPr>
        <w:jc w:val="both"/>
        <w:rPr>
          <w:rFonts w:ascii="Arial" w:hAnsi="Arial" w:cs="Arial"/>
          <w:sz w:val="22"/>
          <w:szCs w:val="22"/>
          <w:lang w:val="es-ES"/>
        </w:rPr>
      </w:pPr>
    </w:p>
    <w:p w:rsidR="00F50CF5" w:rsidRDefault="00F50CF5" w:rsidP="00F50CF5">
      <w:pPr>
        <w:jc w:val="both"/>
        <w:rPr>
          <w:rFonts w:ascii="Arial" w:hAnsi="Arial" w:cs="Arial"/>
          <w:sz w:val="22"/>
          <w:szCs w:val="22"/>
          <w:lang w:val="es-ES"/>
        </w:rPr>
      </w:pPr>
    </w:p>
    <w:p w:rsidR="00F50CF5" w:rsidRDefault="00F50CF5" w:rsidP="00F50CF5">
      <w:pPr>
        <w:jc w:val="both"/>
        <w:rPr>
          <w:rFonts w:ascii="Arial" w:hAnsi="Arial" w:cs="Arial"/>
          <w:sz w:val="22"/>
          <w:szCs w:val="22"/>
          <w:lang w:val="es-ES"/>
        </w:rPr>
      </w:pPr>
    </w:p>
    <w:p w:rsidR="00F50CF5" w:rsidRPr="00F50CF5" w:rsidRDefault="00F50CF5" w:rsidP="00F50CF5">
      <w:pPr>
        <w:jc w:val="both"/>
        <w:rPr>
          <w:rFonts w:ascii="Arial" w:hAnsi="Arial" w:cs="Arial"/>
          <w:sz w:val="22"/>
          <w:szCs w:val="22"/>
          <w:lang w:val="es-ES"/>
        </w:rPr>
      </w:pPr>
    </w:p>
    <w:sectPr w:rsidR="00F50CF5" w:rsidRPr="00F50CF5" w:rsidSect="00F50CF5">
      <w:footerReference w:type="default" r:id="rId8"/>
      <w:footerReference w:type="first" r:id="rId9"/>
      <w:endnotePr>
        <w:numFmt w:val="decimal"/>
      </w:endnotePr>
      <w:pgSz w:w="11905" w:h="16837" w:code="9"/>
      <w:pgMar w:top="1008" w:right="1411" w:bottom="1152" w:left="1411"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46E9" w:rsidRDefault="00F046E9">
      <w:r>
        <w:separator/>
      </w:r>
    </w:p>
  </w:endnote>
  <w:endnote w:type="continuationSeparator" w:id="0">
    <w:p w:rsidR="00F046E9" w:rsidRDefault="00F04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CF5" w:rsidRDefault="00F50CF5" w:rsidP="00F50CF5"/>
  <w:p w:rsidR="00F50CF5" w:rsidRPr="00D605A4" w:rsidRDefault="00F50CF5" w:rsidP="00F50CF5">
    <w:pPr>
      <w:pStyle w:val="Footer"/>
      <w:jc w:val="right"/>
      <w:rPr>
        <w:rFonts w:ascii="Arial" w:hAnsi="Arial" w:cs="Arial"/>
        <w:sz w:val="18"/>
        <w:szCs w:val="18"/>
      </w:rPr>
    </w:pPr>
    <w:r w:rsidRPr="00D605A4">
      <w:rPr>
        <w:rFonts w:ascii="Arial" w:hAnsi="Arial" w:cs="Arial"/>
        <w:sz w:val="18"/>
        <w:szCs w:val="18"/>
      </w:rPr>
      <w:fldChar w:fldCharType="begin"/>
    </w:r>
    <w:r w:rsidRPr="00D605A4">
      <w:rPr>
        <w:rFonts w:ascii="Arial" w:hAnsi="Arial" w:cs="Arial"/>
        <w:sz w:val="18"/>
        <w:szCs w:val="18"/>
      </w:rPr>
      <w:instrText xml:space="preserve"> PAGE   \* MERGEFORMAT </w:instrText>
    </w:r>
    <w:r w:rsidRPr="00D605A4">
      <w:rPr>
        <w:rFonts w:ascii="Arial" w:hAnsi="Arial" w:cs="Arial"/>
        <w:sz w:val="18"/>
        <w:szCs w:val="18"/>
      </w:rPr>
      <w:fldChar w:fldCharType="separate"/>
    </w:r>
    <w:r w:rsidR="0052320C">
      <w:rPr>
        <w:rFonts w:ascii="Arial" w:hAnsi="Arial" w:cs="Arial"/>
        <w:noProof/>
        <w:sz w:val="18"/>
        <w:szCs w:val="18"/>
      </w:rPr>
      <w:t>1</w:t>
    </w:r>
    <w:r w:rsidRPr="00D605A4">
      <w:rPr>
        <w:rFonts w:ascii="Arial" w:hAnsi="Arial" w:cs="Arial"/>
        <w:noProof/>
        <w:sz w:val="18"/>
        <w:szCs w:val="18"/>
      </w:rPr>
      <w:fldChar w:fldCharType="end"/>
    </w:r>
    <w:r>
      <w:rPr>
        <w:rFonts w:ascii="Arial" w:hAnsi="Arial" w:cs="Arial"/>
        <w:noProof/>
        <w:sz w:val="18"/>
        <w:szCs w:val="18"/>
      </w:rPr>
      <w:t xml:space="preserve">                                               </w:t>
    </w:r>
    <w:r w:rsidR="006E6D44">
      <w:rPr>
        <w:rFonts w:ascii="Arial" w:hAnsi="Arial" w:cs="Arial"/>
        <w:noProof/>
        <w:sz w:val="18"/>
        <w:szCs w:val="18"/>
      </w:rPr>
      <w:t xml:space="preserve">     UNEP/CMS/COP12/CRP3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5A4" w:rsidRPr="00D605A4" w:rsidRDefault="00D605A4" w:rsidP="00F50CF5">
    <w:pPr>
      <w:pStyle w:val="Footer"/>
      <w:jc w:val="right"/>
      <w:rPr>
        <w:rFonts w:ascii="Arial" w:hAnsi="Arial" w:cs="Arial"/>
        <w:sz w:val="18"/>
        <w:szCs w:val="18"/>
      </w:rPr>
    </w:pPr>
    <w:r w:rsidRPr="00D605A4">
      <w:rPr>
        <w:rFonts w:ascii="Arial" w:hAnsi="Arial" w:cs="Arial"/>
        <w:sz w:val="18"/>
        <w:szCs w:val="18"/>
      </w:rPr>
      <w:fldChar w:fldCharType="begin"/>
    </w:r>
    <w:r w:rsidRPr="00D605A4">
      <w:rPr>
        <w:rFonts w:ascii="Arial" w:hAnsi="Arial" w:cs="Arial"/>
        <w:sz w:val="18"/>
        <w:szCs w:val="18"/>
      </w:rPr>
      <w:instrText xml:space="preserve"> PAGE   \* MERGEFORMAT </w:instrText>
    </w:r>
    <w:r w:rsidRPr="00D605A4">
      <w:rPr>
        <w:rFonts w:ascii="Arial" w:hAnsi="Arial" w:cs="Arial"/>
        <w:sz w:val="18"/>
        <w:szCs w:val="18"/>
      </w:rPr>
      <w:fldChar w:fldCharType="separate"/>
    </w:r>
    <w:r w:rsidR="00F50CF5">
      <w:rPr>
        <w:rFonts w:ascii="Arial" w:hAnsi="Arial" w:cs="Arial"/>
        <w:noProof/>
        <w:sz w:val="18"/>
        <w:szCs w:val="18"/>
      </w:rPr>
      <w:t>1</w:t>
    </w:r>
    <w:r w:rsidRPr="00D605A4">
      <w:rPr>
        <w:rFonts w:ascii="Arial" w:hAnsi="Arial" w:cs="Arial"/>
        <w:noProof/>
        <w:sz w:val="18"/>
        <w:szCs w:val="18"/>
      </w:rPr>
      <w:fldChar w:fldCharType="end"/>
    </w:r>
    <w:r w:rsidR="00F50CF5">
      <w:rPr>
        <w:rFonts w:ascii="Arial" w:hAnsi="Arial" w:cs="Arial"/>
        <w:noProof/>
        <w:sz w:val="18"/>
        <w:szCs w:val="18"/>
      </w:rPr>
      <w:t xml:space="preserve">                                               </w:t>
    </w:r>
    <w:r w:rsidR="00F50CF5" w:rsidRPr="00F50CF5">
      <w:rPr>
        <w:rFonts w:ascii="Arial" w:hAnsi="Arial" w:cs="Arial"/>
        <w:noProof/>
        <w:sz w:val="18"/>
        <w:szCs w:val="18"/>
      </w:rPr>
      <w:t xml:space="preserve">     UNEP/CMS/COP12/CRPx</w:t>
    </w:r>
  </w:p>
  <w:p w:rsidR="00D605A4" w:rsidRPr="00D605A4" w:rsidRDefault="00D605A4"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46E9" w:rsidRDefault="00F046E9">
      <w:r>
        <w:separator/>
      </w:r>
    </w:p>
  </w:footnote>
  <w:footnote w:type="continuationSeparator" w:id="0">
    <w:p w:rsidR="00F046E9" w:rsidRDefault="00F046E9">
      <w:r>
        <w:continuationSeparator/>
      </w:r>
    </w:p>
  </w:footnote>
  <w:footnote w:id="1">
    <w:p w:rsidR="005E744D" w:rsidRPr="003623EB" w:rsidRDefault="005E744D" w:rsidP="005E744D">
      <w:pPr>
        <w:pStyle w:val="FootnoteText"/>
        <w:rPr>
          <w:lang w:val="es-ES"/>
        </w:rPr>
      </w:pPr>
      <w:r>
        <w:rPr>
          <w:rStyle w:val="FootnoteReference"/>
          <w:rFonts w:ascii="Arial" w:hAnsi="Arial" w:cs="Arial"/>
          <w:sz w:val="16"/>
          <w:szCs w:val="16"/>
        </w:rPr>
        <w:sym w:font="Symbol" w:char="F02A"/>
      </w:r>
      <w:r w:rsidRPr="003623EB">
        <w:rPr>
          <w:lang w:val="es-ES"/>
        </w:rPr>
        <w:t xml:space="preserve"> </w:t>
      </w:r>
      <w:r w:rsidRPr="003623EB">
        <w:rPr>
          <w:rFonts w:ascii="Arial" w:hAnsi="Arial"/>
          <w:sz w:val="16"/>
          <w:lang w:val="es-ES"/>
        </w:rPr>
        <w:t>Los principios en los que se basan las recomendaciones se exponen en el Anexo 1 del documento, que contiene también las referencias correspondientes.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C8041AF"/>
    <w:multiLevelType w:val="hybridMultilevel"/>
    <w:tmpl w:val="243C7A5A"/>
    <w:lvl w:ilvl="0" w:tplc="8176148A">
      <w:start w:val="13"/>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4F16F65"/>
    <w:multiLevelType w:val="hybridMultilevel"/>
    <w:tmpl w:val="6B44AB92"/>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34BA7DCF"/>
    <w:multiLevelType w:val="hybridMultilevel"/>
    <w:tmpl w:val="61B6F18C"/>
    <w:lvl w:ilvl="0" w:tplc="8176148A">
      <w:start w:val="13"/>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7A0372A"/>
    <w:multiLevelType w:val="multilevel"/>
    <w:tmpl w:val="D9926594"/>
    <w:lvl w:ilvl="0">
      <w:start w:val="1"/>
      <w:numFmt w:val="decimal"/>
      <w:lvlText w:val="%1."/>
      <w:lvlJc w:val="left"/>
      <w:pPr>
        <w:ind w:left="360" w:hanging="360"/>
      </w:pPr>
      <w:rPr>
        <w:rFonts w:cs="Times New Roman"/>
        <w:i w:val="0"/>
      </w:rPr>
    </w:lvl>
    <w:lvl w:ilvl="1">
      <w:start w:val="1"/>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5" w15:restartNumberingAfterBreak="0">
    <w:nsid w:val="38BD5D80"/>
    <w:multiLevelType w:val="hybridMultilevel"/>
    <w:tmpl w:val="F500CC36"/>
    <w:lvl w:ilvl="0" w:tplc="8176148A">
      <w:start w:val="13"/>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8233844"/>
    <w:multiLevelType w:val="hybridMultilevel"/>
    <w:tmpl w:val="BB50A150"/>
    <w:lvl w:ilvl="0" w:tplc="7E98042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8471D84"/>
    <w:multiLevelType w:val="hybridMultilevel"/>
    <w:tmpl w:val="4C248514"/>
    <w:lvl w:ilvl="0" w:tplc="5A06236C">
      <w:start w:val="1"/>
      <w:numFmt w:val="lowerLetter"/>
      <w:lvlText w:val="%1)"/>
      <w:lvlJc w:val="left"/>
      <w:pPr>
        <w:ind w:left="1069" w:hanging="360"/>
      </w:pPr>
      <w:rPr>
        <w:rFonts w:cs="Times New Roman" w:hint="default"/>
      </w:rPr>
    </w:lvl>
    <w:lvl w:ilvl="1" w:tplc="08090019" w:tentative="1">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8" w15:restartNumberingAfterBreak="0">
    <w:nsid w:val="4C3F50BB"/>
    <w:multiLevelType w:val="hybridMultilevel"/>
    <w:tmpl w:val="FCB40B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C04B4F"/>
    <w:multiLevelType w:val="hybridMultilevel"/>
    <w:tmpl w:val="9AAE7D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771BAD"/>
    <w:multiLevelType w:val="hybridMultilevel"/>
    <w:tmpl w:val="5E5E9BF0"/>
    <w:lvl w:ilvl="0" w:tplc="912E2826">
      <w:start w:val="1"/>
      <w:numFmt w:val="decimal"/>
      <w:lvlText w:val="%1."/>
      <w:lvlJc w:val="left"/>
      <w:pPr>
        <w:ind w:left="1080" w:hanging="720"/>
      </w:pPr>
      <w:rPr>
        <w:rFonts w:ascii="Arial" w:hAnsi="Arial" w:cs="Arial"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6"/>
  </w:num>
  <w:num w:numId="3">
    <w:abstractNumId w:val="8"/>
  </w:num>
  <w:num w:numId="4">
    <w:abstractNumId w:val="9"/>
  </w:num>
  <w:num w:numId="5">
    <w:abstractNumId w:val="10"/>
  </w:num>
  <w:num w:numId="6">
    <w:abstractNumId w:val="7"/>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5"/>
  </w:num>
  <w:num w:numId="11">
    <w:abstractNumId w:val="1"/>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037"/>
    <w:rsid w:val="00007296"/>
    <w:rsid w:val="000254DF"/>
    <w:rsid w:val="00036C53"/>
    <w:rsid w:val="00037AB8"/>
    <w:rsid w:val="00040591"/>
    <w:rsid w:val="000518C2"/>
    <w:rsid w:val="00056DC1"/>
    <w:rsid w:val="00060156"/>
    <w:rsid w:val="00070BBC"/>
    <w:rsid w:val="00073C92"/>
    <w:rsid w:val="00080F03"/>
    <w:rsid w:val="000828A6"/>
    <w:rsid w:val="0008301C"/>
    <w:rsid w:val="000900E1"/>
    <w:rsid w:val="0009076A"/>
    <w:rsid w:val="000B6220"/>
    <w:rsid w:val="000C21B1"/>
    <w:rsid w:val="000C3C87"/>
    <w:rsid w:val="000C7460"/>
    <w:rsid w:val="000E01C1"/>
    <w:rsid w:val="000F1156"/>
    <w:rsid w:val="000F52BA"/>
    <w:rsid w:val="001151A3"/>
    <w:rsid w:val="001245DF"/>
    <w:rsid w:val="00125058"/>
    <w:rsid w:val="00130BFD"/>
    <w:rsid w:val="001419C7"/>
    <w:rsid w:val="00150AC4"/>
    <w:rsid w:val="0016096E"/>
    <w:rsid w:val="00162D88"/>
    <w:rsid w:val="00166ABA"/>
    <w:rsid w:val="001743FD"/>
    <w:rsid w:val="001764E6"/>
    <w:rsid w:val="001808F1"/>
    <w:rsid w:val="00187D5E"/>
    <w:rsid w:val="00197AFA"/>
    <w:rsid w:val="001A33B6"/>
    <w:rsid w:val="001C6038"/>
    <w:rsid w:val="001F60A1"/>
    <w:rsid w:val="00200A67"/>
    <w:rsid w:val="00201F88"/>
    <w:rsid w:val="00202332"/>
    <w:rsid w:val="002210F4"/>
    <w:rsid w:val="0022635C"/>
    <w:rsid w:val="00227850"/>
    <w:rsid w:val="00234857"/>
    <w:rsid w:val="00254721"/>
    <w:rsid w:val="00254FA5"/>
    <w:rsid w:val="00263159"/>
    <w:rsid w:val="002779F7"/>
    <w:rsid w:val="00293257"/>
    <w:rsid w:val="002C187A"/>
    <w:rsid w:val="002C20F1"/>
    <w:rsid w:val="002D2863"/>
    <w:rsid w:val="002D5EC0"/>
    <w:rsid w:val="002E3DEA"/>
    <w:rsid w:val="002E7CC2"/>
    <w:rsid w:val="002F6F9B"/>
    <w:rsid w:val="003331C6"/>
    <w:rsid w:val="003367F5"/>
    <w:rsid w:val="00345044"/>
    <w:rsid w:val="00351095"/>
    <w:rsid w:val="00354A9C"/>
    <w:rsid w:val="003623EB"/>
    <w:rsid w:val="00364973"/>
    <w:rsid w:val="00372347"/>
    <w:rsid w:val="003779D4"/>
    <w:rsid w:val="00382398"/>
    <w:rsid w:val="003909E4"/>
    <w:rsid w:val="003A3E30"/>
    <w:rsid w:val="003A70FE"/>
    <w:rsid w:val="003B0C35"/>
    <w:rsid w:val="003B219E"/>
    <w:rsid w:val="003E21B3"/>
    <w:rsid w:val="003F496A"/>
    <w:rsid w:val="00411E65"/>
    <w:rsid w:val="00420040"/>
    <w:rsid w:val="00423388"/>
    <w:rsid w:val="00424253"/>
    <w:rsid w:val="00426D73"/>
    <w:rsid w:val="00442B6C"/>
    <w:rsid w:val="00454913"/>
    <w:rsid w:val="00457441"/>
    <w:rsid w:val="004579F6"/>
    <w:rsid w:val="004656D0"/>
    <w:rsid w:val="00467E93"/>
    <w:rsid w:val="00473ABD"/>
    <w:rsid w:val="00482DCA"/>
    <w:rsid w:val="004B6CFD"/>
    <w:rsid w:val="004C204D"/>
    <w:rsid w:val="004C3C75"/>
    <w:rsid w:val="004D0436"/>
    <w:rsid w:val="004D0936"/>
    <w:rsid w:val="004D5E05"/>
    <w:rsid w:val="004F202E"/>
    <w:rsid w:val="004F243D"/>
    <w:rsid w:val="004F3D8D"/>
    <w:rsid w:val="005076F1"/>
    <w:rsid w:val="00512B91"/>
    <w:rsid w:val="005158EB"/>
    <w:rsid w:val="0052082F"/>
    <w:rsid w:val="0052320C"/>
    <w:rsid w:val="00542FCC"/>
    <w:rsid w:val="00552BE0"/>
    <w:rsid w:val="0055762E"/>
    <w:rsid w:val="00564D08"/>
    <w:rsid w:val="00565445"/>
    <w:rsid w:val="00575334"/>
    <w:rsid w:val="00593736"/>
    <w:rsid w:val="005B0F06"/>
    <w:rsid w:val="005B6141"/>
    <w:rsid w:val="005C3F15"/>
    <w:rsid w:val="005C5F6D"/>
    <w:rsid w:val="005E03ED"/>
    <w:rsid w:val="005E5AB7"/>
    <w:rsid w:val="005E744D"/>
    <w:rsid w:val="005F3989"/>
    <w:rsid w:val="005F4303"/>
    <w:rsid w:val="00601B52"/>
    <w:rsid w:val="0060280B"/>
    <w:rsid w:val="00604422"/>
    <w:rsid w:val="00651341"/>
    <w:rsid w:val="006815B2"/>
    <w:rsid w:val="00682B31"/>
    <w:rsid w:val="006864E1"/>
    <w:rsid w:val="006937DF"/>
    <w:rsid w:val="00695A68"/>
    <w:rsid w:val="006A709B"/>
    <w:rsid w:val="006A7A08"/>
    <w:rsid w:val="006B1037"/>
    <w:rsid w:val="006E56AD"/>
    <w:rsid w:val="006E5763"/>
    <w:rsid w:val="006E6D44"/>
    <w:rsid w:val="007101BB"/>
    <w:rsid w:val="00713004"/>
    <w:rsid w:val="00713308"/>
    <w:rsid w:val="0072556D"/>
    <w:rsid w:val="00727E01"/>
    <w:rsid w:val="00757614"/>
    <w:rsid w:val="007728B4"/>
    <w:rsid w:val="0077622E"/>
    <w:rsid w:val="00777FE4"/>
    <w:rsid w:val="0079075D"/>
    <w:rsid w:val="007C1468"/>
    <w:rsid w:val="007C41D7"/>
    <w:rsid w:val="007F16FB"/>
    <w:rsid w:val="007F1BBA"/>
    <w:rsid w:val="008043F7"/>
    <w:rsid w:val="00804473"/>
    <w:rsid w:val="0081600F"/>
    <w:rsid w:val="00823FE3"/>
    <w:rsid w:val="008269D9"/>
    <w:rsid w:val="0082722D"/>
    <w:rsid w:val="008274F7"/>
    <w:rsid w:val="00841E80"/>
    <w:rsid w:val="008441F9"/>
    <w:rsid w:val="00846A99"/>
    <w:rsid w:val="00853E19"/>
    <w:rsid w:val="008641D1"/>
    <w:rsid w:val="00872F67"/>
    <w:rsid w:val="00893346"/>
    <w:rsid w:val="008A0D8D"/>
    <w:rsid w:val="008B1A69"/>
    <w:rsid w:val="008C1A39"/>
    <w:rsid w:val="008E7DFB"/>
    <w:rsid w:val="008F7327"/>
    <w:rsid w:val="00904FCE"/>
    <w:rsid w:val="009076C8"/>
    <w:rsid w:val="00915BBE"/>
    <w:rsid w:val="00921D62"/>
    <w:rsid w:val="00922791"/>
    <w:rsid w:val="00927CD6"/>
    <w:rsid w:val="00932037"/>
    <w:rsid w:val="00933572"/>
    <w:rsid w:val="009363C7"/>
    <w:rsid w:val="00945FFB"/>
    <w:rsid w:val="00972D36"/>
    <w:rsid w:val="00980406"/>
    <w:rsid w:val="00992727"/>
    <w:rsid w:val="009A2C8F"/>
    <w:rsid w:val="009A7B65"/>
    <w:rsid w:val="009D08B1"/>
    <w:rsid w:val="009D2AD6"/>
    <w:rsid w:val="009D3A07"/>
    <w:rsid w:val="009D4711"/>
    <w:rsid w:val="009D5DA6"/>
    <w:rsid w:val="009E3A84"/>
    <w:rsid w:val="009E7ACC"/>
    <w:rsid w:val="009F450E"/>
    <w:rsid w:val="009F54DA"/>
    <w:rsid w:val="009F7213"/>
    <w:rsid w:val="00A06984"/>
    <w:rsid w:val="00A1324E"/>
    <w:rsid w:val="00A27BE3"/>
    <w:rsid w:val="00A339B9"/>
    <w:rsid w:val="00A40EDF"/>
    <w:rsid w:val="00A568DF"/>
    <w:rsid w:val="00A73A79"/>
    <w:rsid w:val="00A93C52"/>
    <w:rsid w:val="00AA4F58"/>
    <w:rsid w:val="00AA7368"/>
    <w:rsid w:val="00AB3A89"/>
    <w:rsid w:val="00AB4FF9"/>
    <w:rsid w:val="00AE7B21"/>
    <w:rsid w:val="00AF1980"/>
    <w:rsid w:val="00AF2021"/>
    <w:rsid w:val="00B12998"/>
    <w:rsid w:val="00B471BD"/>
    <w:rsid w:val="00B47CBC"/>
    <w:rsid w:val="00B50C2D"/>
    <w:rsid w:val="00B64904"/>
    <w:rsid w:val="00BA3A74"/>
    <w:rsid w:val="00BA60CE"/>
    <w:rsid w:val="00BA7075"/>
    <w:rsid w:val="00BC388E"/>
    <w:rsid w:val="00BC5607"/>
    <w:rsid w:val="00BE0D1D"/>
    <w:rsid w:val="00BE2448"/>
    <w:rsid w:val="00BE24D4"/>
    <w:rsid w:val="00BF2BE7"/>
    <w:rsid w:val="00C05102"/>
    <w:rsid w:val="00C13FA6"/>
    <w:rsid w:val="00C169ED"/>
    <w:rsid w:val="00C5484D"/>
    <w:rsid w:val="00C618F2"/>
    <w:rsid w:val="00C73207"/>
    <w:rsid w:val="00C7602A"/>
    <w:rsid w:val="00C82ED9"/>
    <w:rsid w:val="00C87D68"/>
    <w:rsid w:val="00C91CFF"/>
    <w:rsid w:val="00C9281B"/>
    <w:rsid w:val="00CA367A"/>
    <w:rsid w:val="00CA666B"/>
    <w:rsid w:val="00CB1D26"/>
    <w:rsid w:val="00CC4C21"/>
    <w:rsid w:val="00CC57AD"/>
    <w:rsid w:val="00CE5B83"/>
    <w:rsid w:val="00CF21A2"/>
    <w:rsid w:val="00CF6EDD"/>
    <w:rsid w:val="00D05922"/>
    <w:rsid w:val="00D405ED"/>
    <w:rsid w:val="00D42AE1"/>
    <w:rsid w:val="00D605A4"/>
    <w:rsid w:val="00D61B13"/>
    <w:rsid w:val="00D7746A"/>
    <w:rsid w:val="00D838FE"/>
    <w:rsid w:val="00D8406F"/>
    <w:rsid w:val="00D859C7"/>
    <w:rsid w:val="00D9021F"/>
    <w:rsid w:val="00DA1080"/>
    <w:rsid w:val="00DA12C2"/>
    <w:rsid w:val="00DA6312"/>
    <w:rsid w:val="00DB30A6"/>
    <w:rsid w:val="00DD6A9E"/>
    <w:rsid w:val="00DF0F13"/>
    <w:rsid w:val="00DF2EBB"/>
    <w:rsid w:val="00E23367"/>
    <w:rsid w:val="00E26B4D"/>
    <w:rsid w:val="00E31B92"/>
    <w:rsid w:val="00E43D57"/>
    <w:rsid w:val="00E475D4"/>
    <w:rsid w:val="00E74D1C"/>
    <w:rsid w:val="00E8776E"/>
    <w:rsid w:val="00E9237A"/>
    <w:rsid w:val="00E930AB"/>
    <w:rsid w:val="00E960CF"/>
    <w:rsid w:val="00EA0B88"/>
    <w:rsid w:val="00EB2285"/>
    <w:rsid w:val="00EC4294"/>
    <w:rsid w:val="00EC681E"/>
    <w:rsid w:val="00ED02D3"/>
    <w:rsid w:val="00ED5E31"/>
    <w:rsid w:val="00EE20E2"/>
    <w:rsid w:val="00EE64C1"/>
    <w:rsid w:val="00F046E9"/>
    <w:rsid w:val="00F05AA0"/>
    <w:rsid w:val="00F061CB"/>
    <w:rsid w:val="00F21FE2"/>
    <w:rsid w:val="00F24050"/>
    <w:rsid w:val="00F248AA"/>
    <w:rsid w:val="00F31539"/>
    <w:rsid w:val="00F33B74"/>
    <w:rsid w:val="00F444EC"/>
    <w:rsid w:val="00F45FE3"/>
    <w:rsid w:val="00F50CF5"/>
    <w:rsid w:val="00F54D03"/>
    <w:rsid w:val="00F6347A"/>
    <w:rsid w:val="00F7503A"/>
    <w:rsid w:val="00F81FEF"/>
    <w:rsid w:val="00F978B9"/>
    <w:rsid w:val="00FA61AF"/>
    <w:rsid w:val="00FC6DB5"/>
    <w:rsid w:val="00FD3A06"/>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chartTrackingRefBased/>
  <w15:docId w15:val="{535FB736-1563-4236-9B80-0E0396150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9F7"/>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aliases w:val="fn"/>
    <w:basedOn w:val="Normal"/>
    <w:link w:val="FootnoteTextChar"/>
    <w:uiPriority w:val="99"/>
    <w:rsid w:val="002779F7"/>
    <w:rPr>
      <w:szCs w:val="20"/>
    </w:rPr>
  </w:style>
  <w:style w:type="character" w:customStyle="1" w:styleId="FootnoteTextChar">
    <w:name w:val="Footnote Text Char"/>
    <w:aliases w:val="fn Char"/>
    <w:link w:val="FootnoteText"/>
    <w:uiPriority w:val="99"/>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877320">
      <w:bodyDiv w:val="1"/>
      <w:marLeft w:val="0"/>
      <w:marRight w:val="0"/>
      <w:marTop w:val="0"/>
      <w:marBottom w:val="0"/>
      <w:divBdr>
        <w:top w:val="none" w:sz="0" w:space="0" w:color="auto"/>
        <w:left w:val="none" w:sz="0" w:space="0" w:color="auto"/>
        <w:bottom w:val="none" w:sz="0" w:space="0" w:color="auto"/>
        <w:right w:val="none" w:sz="0" w:space="0" w:color="auto"/>
      </w:divBdr>
    </w:div>
    <w:div w:id="1076627315">
      <w:bodyDiv w:val="1"/>
      <w:marLeft w:val="0"/>
      <w:marRight w:val="0"/>
      <w:marTop w:val="0"/>
      <w:marBottom w:val="0"/>
      <w:divBdr>
        <w:top w:val="none" w:sz="0" w:space="0" w:color="auto"/>
        <w:left w:val="none" w:sz="0" w:space="0" w:color="auto"/>
        <w:bottom w:val="none" w:sz="0" w:space="0" w:color="auto"/>
        <w:right w:val="none" w:sz="0" w:space="0" w:color="auto"/>
      </w:divBdr>
    </w:div>
    <w:div w:id="201938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COP11_Template_English_new</Template>
  <TotalTime>52</TotalTime>
  <Pages>10</Pages>
  <Words>4660</Words>
  <Characters>24088</Characters>
  <Application>Microsoft Office Word</Application>
  <DocSecurity>0</DocSecurity>
  <Lines>200</Lines>
  <Paragraphs>57</Paragraphs>
  <ScaleCrop>false</ScaleCrop>
  <HeadingPairs>
    <vt:vector size="2" baseType="variant">
      <vt:variant>
        <vt:lpstr>Title</vt:lpstr>
      </vt:variant>
      <vt:variant>
        <vt:i4>1</vt:i4>
      </vt:variant>
    </vt:vector>
  </HeadingPairs>
  <TitlesOfParts>
    <vt:vector size="1" baseType="lpstr">
      <vt:lpstr>COP12 CRP_s</vt:lpstr>
    </vt:vector>
  </TitlesOfParts>
  <Company>United Nations Volunteers (UNV) programme</Company>
  <LinksUpToDate>false</LinksUpToDate>
  <CharactersWithSpaces>28691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COP12 CRP_s</dc:title>
  <dc:subject/>
  <dc:creator>barbara.schoenberg@cms.int</dc:creator>
  <cp:keywords/>
  <cp:lastModifiedBy>user</cp:lastModifiedBy>
  <cp:revision>25</cp:revision>
  <cp:lastPrinted>2017-03-22T12:39:00Z</cp:lastPrinted>
  <dcterms:created xsi:type="dcterms:W3CDTF">2017-10-24T17:00:00Z</dcterms:created>
  <dcterms:modified xsi:type="dcterms:W3CDTF">2017-10-25T08:03:00Z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