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8F78CB" w:rsidP="004556F3">
            <w:pPr>
              <w:tabs>
                <w:tab w:val="right" w:pos="9106"/>
              </w:tabs>
              <w:rPr>
                <w:lang w:val="fr-FR"/>
              </w:rPr>
            </w:pPr>
            <w:r>
              <w:rPr>
                <w:noProof/>
                <w:szCs w:val="24"/>
              </w:rPr>
              <w:drawing>
                <wp:inline distT="0" distB="0" distL="0" distR="0">
                  <wp:extent cx="314325" cy="34290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609" t="-2348" r="-3609" b="-2348"/>
                          <a:stretch>
                            <a:fillRect/>
                          </a:stretch>
                        </pic:blipFill>
                        <pic:spPr bwMode="auto">
                          <a:xfrm>
                            <a:off x="0" y="0"/>
                            <a:ext cx="314325" cy="342900"/>
                          </a:xfrm>
                          <a:prstGeom prst="rect">
                            <a:avLst/>
                          </a:prstGeom>
                          <a:noFill/>
                          <a:ln>
                            <a:noFill/>
                          </a:ln>
                        </pic:spPr>
                      </pic:pic>
                    </a:graphicData>
                  </a:graphic>
                </wp:inline>
              </w:drawing>
            </w:r>
            <w:r w:rsidR="00CC2968" w:rsidRPr="00B23D51">
              <w:rPr>
                <w:lang w:val="fr-FR"/>
              </w:rPr>
              <w:t xml:space="preserve"> </w:t>
            </w:r>
            <w:r>
              <w:rPr>
                <w:noProof/>
                <w:szCs w:val="24"/>
              </w:rPr>
              <w:drawing>
                <wp:inline distT="0" distB="0" distL="0" distR="0">
                  <wp:extent cx="352425" cy="371475"/>
                  <wp:effectExtent l="0" t="0" r="9525"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2734" t="-1288" r="60135" b="48734"/>
                          <a:stretch>
                            <a:fillRect/>
                          </a:stretch>
                        </pic:blipFill>
                        <pic:spPr bwMode="auto">
                          <a:xfrm>
                            <a:off x="0" y="0"/>
                            <a:ext cx="352425" cy="371475"/>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20955" w:rsidTr="00D20955">
        <w:trPr>
          <w:trHeight w:val="1860"/>
        </w:trPr>
        <w:tc>
          <w:tcPr>
            <w:tcW w:w="1526" w:type="dxa"/>
            <w:tcBorders>
              <w:top w:val="single" w:sz="12" w:space="0" w:color="auto"/>
              <w:bottom w:val="single" w:sz="12" w:space="0" w:color="auto"/>
              <w:right w:val="nil"/>
            </w:tcBorders>
          </w:tcPr>
          <w:p w:rsidR="00CC2968" w:rsidRPr="00B23D51" w:rsidRDefault="008F78CB" w:rsidP="00EB4FAC">
            <w:pPr>
              <w:rPr>
                <w:lang w:val="fr-FR"/>
              </w:rPr>
            </w:pPr>
            <w:r>
              <w:rPr>
                <w:noProof/>
                <w:szCs w:val="24"/>
              </w:rPr>
              <w:drawing>
                <wp:inline distT="0" distB="0" distL="0" distR="0">
                  <wp:extent cx="752475" cy="7715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l="-2507" t="-700" r="-2507" b="-700"/>
                          <a:stretch>
                            <a:fillRect/>
                          </a:stretch>
                        </pic:blipFill>
                        <pic:spPr bwMode="auto">
                          <a:xfrm>
                            <a:off x="0" y="0"/>
                            <a:ext cx="752475" cy="771525"/>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8F78CB" w:rsidRPr="008F78CB">
              <w:rPr>
                <w:rFonts w:ascii="Arial" w:hAnsi="Arial" w:cs="Arial"/>
                <w:sz w:val="22"/>
                <w:lang w:val="fr-FR"/>
              </w:rPr>
              <w:t>Doc.23.2.1</w:t>
            </w:r>
          </w:p>
          <w:p w:rsidR="00CC2968" w:rsidRDefault="008F78CB" w:rsidP="00D52B1D">
            <w:pPr>
              <w:rPr>
                <w:rFonts w:ascii="Arial" w:hAnsi="Arial" w:cs="Arial"/>
                <w:sz w:val="22"/>
                <w:lang w:val="fr-FR"/>
              </w:rPr>
            </w:pPr>
            <w:r w:rsidRPr="008F78CB">
              <w:rPr>
                <w:rFonts w:ascii="Arial" w:hAnsi="Arial" w:cs="Arial"/>
                <w:sz w:val="22"/>
                <w:lang w:val="fr-FR"/>
              </w:rPr>
              <w:t>15 août 2014</w:t>
            </w:r>
          </w:p>
          <w:p w:rsidR="008F78CB" w:rsidRPr="00B23D51" w:rsidRDefault="008F78CB"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8F78CB" w:rsidRPr="008F78CB">
        <w:rPr>
          <w:noProof/>
          <w:sz w:val="22"/>
          <w:lang w:val="fr-FR"/>
        </w:rPr>
        <w:t>23.2.1</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761732" w:rsidRPr="008F78CB" w:rsidRDefault="008F78CB" w:rsidP="008F78CB">
      <w:pPr>
        <w:pStyle w:val="Heading2"/>
        <w:keepNext w:val="0"/>
        <w:jc w:val="center"/>
        <w:rPr>
          <w:bCs w:val="0"/>
          <w:caps/>
          <w:sz w:val="24"/>
          <w:lang w:val="en-GB"/>
        </w:rPr>
      </w:pPr>
      <w:r w:rsidRPr="008F78CB">
        <w:rPr>
          <w:bCs w:val="0"/>
          <w:caps/>
          <w:sz w:val="24"/>
          <w:lang w:val="en-GB"/>
        </w:rPr>
        <w:t>CONSERVATION DES REQUINS ET DES RAIES MIGRATEURS</w:t>
      </w: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8F78CB"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680085</wp:posOffset>
                </wp:positionH>
                <wp:positionV relativeFrom="paragraph">
                  <wp:posOffset>87630</wp:posOffset>
                </wp:positionV>
                <wp:extent cx="4427220" cy="3020695"/>
                <wp:effectExtent l="0" t="0" r="1143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020695"/>
                        </a:xfrm>
                        <a:prstGeom prst="rect">
                          <a:avLst/>
                        </a:prstGeom>
                        <a:solidFill>
                          <a:srgbClr val="FFFFFF"/>
                        </a:solidFill>
                        <a:ln w="25400">
                          <a:solidFill>
                            <a:srgbClr val="000000"/>
                          </a:solidFill>
                          <a:miter lim="800000"/>
                          <a:headEnd/>
                          <a:tailEnd/>
                        </a:ln>
                      </wps:spPr>
                      <wps:txbx>
                        <w:txbxContent>
                          <w:p w:rsidR="00F471F0" w:rsidRDefault="00F471F0" w:rsidP="004556F3">
                            <w:pPr>
                              <w:jc w:val="both"/>
                              <w:rPr>
                                <w:szCs w:val="24"/>
                                <w:lang w:val="fr-FR"/>
                              </w:rPr>
                            </w:pPr>
                            <w:r>
                              <w:rPr>
                                <w:szCs w:val="24"/>
                                <w:lang w:val="fr-FR"/>
                              </w:rPr>
                              <w:t>Résumé</w:t>
                            </w:r>
                          </w:p>
                          <w:p w:rsidR="00F471F0" w:rsidRDefault="00F471F0" w:rsidP="004556F3">
                            <w:pPr>
                              <w:jc w:val="both"/>
                              <w:rPr>
                                <w:szCs w:val="24"/>
                                <w:lang w:val="fr-FR"/>
                              </w:rPr>
                            </w:pPr>
                          </w:p>
                          <w:p w:rsidR="00F471F0" w:rsidRPr="008F78CB" w:rsidRDefault="00F471F0" w:rsidP="008F78CB">
                            <w:pPr>
                              <w:jc w:val="both"/>
                              <w:rPr>
                                <w:szCs w:val="24"/>
                                <w:lang w:val="fr-FR"/>
                              </w:rPr>
                            </w:pPr>
                            <w:r w:rsidRPr="008F78CB">
                              <w:rPr>
                                <w:szCs w:val="24"/>
                                <w:lang w:val="fr-FR"/>
                              </w:rPr>
                              <w:t>Le projet de résolution ci-joint vise à porter à l’attention des Parties les activités relatives à la conservation des requins et des raies qui bénéficieraient d’une approche mondiale et d’une action immédiate. Le projet de résolution complète les objectifs du Mémorandum d’entente sur les requins et aide les Parties à s’acquitter de leurs obligations concernant les espèces visées à l’Annexe I.</w:t>
                            </w:r>
                          </w:p>
                          <w:p w:rsidR="00F471F0" w:rsidRPr="008F78CB" w:rsidRDefault="00F471F0" w:rsidP="008F78CB">
                            <w:pPr>
                              <w:jc w:val="both"/>
                              <w:rPr>
                                <w:szCs w:val="24"/>
                                <w:lang w:val="fr-FR"/>
                              </w:rPr>
                            </w:pPr>
                          </w:p>
                          <w:p w:rsidR="00F471F0" w:rsidRPr="008F78CB" w:rsidRDefault="00F471F0" w:rsidP="008F78CB">
                            <w:pPr>
                              <w:jc w:val="both"/>
                              <w:rPr>
                                <w:szCs w:val="24"/>
                                <w:lang w:val="fr-FR"/>
                              </w:rPr>
                            </w:pPr>
                            <w:r w:rsidRPr="008F78CB">
                              <w:rPr>
                                <w:szCs w:val="24"/>
                                <w:lang w:val="fr-FR"/>
                              </w:rPr>
                              <w:t>Le projet de résolution contribue à la réalisation des objectifs 1 à 3 du Plan stratégique de la CMS 2006-2014 et des activités 2 et 3 de la Résolution 10.9 sur la structure et les stratégies futures de la CMS et de la Famille CMS.</w:t>
                            </w:r>
                          </w:p>
                          <w:p w:rsidR="00F471F0" w:rsidRPr="008F78CB" w:rsidRDefault="00F471F0" w:rsidP="008F78CB">
                            <w:pPr>
                              <w:jc w:val="both"/>
                              <w:rPr>
                                <w:szCs w:val="24"/>
                                <w:lang w:val="fr-FR"/>
                              </w:rPr>
                            </w:pPr>
                          </w:p>
                          <w:p w:rsidR="00F471F0" w:rsidRDefault="00F471F0" w:rsidP="008F78CB">
                            <w:pPr>
                              <w:jc w:val="both"/>
                              <w:rPr>
                                <w:szCs w:val="24"/>
                                <w:lang w:val="fr-FR"/>
                              </w:rPr>
                            </w:pPr>
                            <w:r w:rsidRPr="008F78CB">
                              <w:rPr>
                                <w:szCs w:val="24"/>
                                <w:lang w:val="fr-FR"/>
                              </w:rPr>
                              <w:t>L’avant-projet de résolution a été approuvé par le Conseil scientifique pour soumission à la COP11.</w:t>
                            </w:r>
                          </w:p>
                          <w:p w:rsidR="00F471F0" w:rsidRPr="0038253F" w:rsidRDefault="00F471F0" w:rsidP="008F78CB">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55pt;margin-top:6.9pt;width:348.6pt;height:2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" strokeweight="2pt">
                <v:textbox>
                  <w:txbxContent>
                    <w:p w:rsidR="00F471F0" w:rsidRDefault="00F471F0" w:rsidP="004556F3">
                      <w:pPr>
                        <w:jc w:val="both"/>
                        <w:rPr>
                          <w:szCs w:val="24"/>
                          <w:lang w:val="fr-FR"/>
                        </w:rPr>
                      </w:pPr>
                      <w:r>
                        <w:rPr>
                          <w:szCs w:val="24"/>
                          <w:lang w:val="fr-FR"/>
                        </w:rPr>
                        <w:t>Résumé</w:t>
                      </w:r>
                    </w:p>
                    <w:p w:rsidR="00F471F0" w:rsidRDefault="00F471F0" w:rsidP="004556F3">
                      <w:pPr>
                        <w:jc w:val="both"/>
                        <w:rPr>
                          <w:szCs w:val="24"/>
                          <w:lang w:val="fr-FR"/>
                        </w:rPr>
                      </w:pPr>
                    </w:p>
                    <w:p w:rsidR="00F471F0" w:rsidRPr="008F78CB" w:rsidRDefault="00F471F0" w:rsidP="008F78CB">
                      <w:pPr>
                        <w:jc w:val="both"/>
                        <w:rPr>
                          <w:szCs w:val="24"/>
                          <w:lang w:val="fr-FR"/>
                        </w:rPr>
                      </w:pPr>
                      <w:r w:rsidRPr="008F78CB">
                        <w:rPr>
                          <w:szCs w:val="24"/>
                          <w:lang w:val="fr-FR"/>
                        </w:rPr>
                        <w:t>Le projet de résolution ci-joint vise à porter à l’attention des Parties les activités relatives à la conservation des requins et des raies qui bénéficieraient d’une approche mondiale et d’une action immédiate. Le projet de résolution complète les objectifs du Mémorandum d’entente sur les requins et aide les Parties à s’acquitter de leurs obligations concernant les espèces visées à l’Annexe I.</w:t>
                      </w:r>
                    </w:p>
                    <w:p w:rsidR="00F471F0" w:rsidRPr="008F78CB" w:rsidRDefault="00F471F0" w:rsidP="008F78CB">
                      <w:pPr>
                        <w:jc w:val="both"/>
                        <w:rPr>
                          <w:szCs w:val="24"/>
                          <w:lang w:val="fr-FR"/>
                        </w:rPr>
                      </w:pPr>
                    </w:p>
                    <w:p w:rsidR="00F471F0" w:rsidRPr="008F78CB" w:rsidRDefault="00F471F0" w:rsidP="008F78CB">
                      <w:pPr>
                        <w:jc w:val="both"/>
                        <w:rPr>
                          <w:szCs w:val="24"/>
                          <w:lang w:val="fr-FR"/>
                        </w:rPr>
                      </w:pPr>
                      <w:r w:rsidRPr="008F78CB">
                        <w:rPr>
                          <w:szCs w:val="24"/>
                          <w:lang w:val="fr-FR"/>
                        </w:rPr>
                        <w:t>Le projet de résolution contribue à la réalisation des objectifs 1 à 3 du Plan stratégique de la CMS 2006-2014 et des activités 2 et 3 de la Résolution 10.9 sur la structure et les stratégies futures de la CMS et de la Famille CMS.</w:t>
                      </w:r>
                    </w:p>
                    <w:p w:rsidR="00F471F0" w:rsidRPr="008F78CB" w:rsidRDefault="00F471F0" w:rsidP="008F78CB">
                      <w:pPr>
                        <w:jc w:val="both"/>
                        <w:rPr>
                          <w:szCs w:val="24"/>
                          <w:lang w:val="fr-FR"/>
                        </w:rPr>
                      </w:pPr>
                    </w:p>
                    <w:p w:rsidR="00F471F0" w:rsidRDefault="00F471F0" w:rsidP="008F78CB">
                      <w:pPr>
                        <w:jc w:val="both"/>
                        <w:rPr>
                          <w:szCs w:val="24"/>
                          <w:lang w:val="fr-FR"/>
                        </w:rPr>
                      </w:pPr>
                      <w:r w:rsidRPr="008F78CB">
                        <w:rPr>
                          <w:szCs w:val="24"/>
                          <w:lang w:val="fr-FR"/>
                        </w:rPr>
                        <w:t>L’avant-projet de résolution a été approuvé par le Conseil scientifique pour soumission à la COP11.</w:t>
                      </w:r>
                    </w:p>
                    <w:p w:rsidR="00F471F0" w:rsidRPr="0038253F" w:rsidRDefault="00F471F0" w:rsidP="008F78CB">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105EA7" w:rsidRDefault="008F78CB" w:rsidP="00105EA7">
      <w:pPr>
        <w:jc w:val="center"/>
        <w:rPr>
          <w:rFonts w:eastAsia="Times New Roman"/>
          <w:b/>
          <w:bCs/>
          <w:caps/>
          <w:szCs w:val="24"/>
          <w:lang w:val="fr-FR"/>
        </w:rPr>
      </w:pPr>
      <w:r w:rsidRPr="008F78CB">
        <w:rPr>
          <w:rFonts w:eastAsia="Times New Roman"/>
          <w:b/>
          <w:bCs/>
          <w:caps/>
          <w:szCs w:val="24"/>
          <w:lang w:val="fr-FR"/>
        </w:rPr>
        <w:lastRenderedPageBreak/>
        <w:t>CONSERVATION DES REQUINS ET DES RAIES MIGRATEURS</w:t>
      </w:r>
    </w:p>
    <w:p w:rsidR="008F78CB" w:rsidRPr="001F42A1" w:rsidRDefault="008F78CB" w:rsidP="00105EA7">
      <w:pPr>
        <w:jc w:val="center"/>
        <w:rPr>
          <w:sz w:val="16"/>
          <w:szCs w:val="16"/>
          <w:lang w:val="fr-FR"/>
        </w:rPr>
      </w:pPr>
    </w:p>
    <w:p w:rsidR="00105EA7" w:rsidRPr="008F78CB" w:rsidRDefault="008F78CB" w:rsidP="008F78CB">
      <w:pPr>
        <w:widowControl w:val="0"/>
        <w:autoSpaceDE w:val="0"/>
        <w:autoSpaceDN w:val="0"/>
        <w:adjustRightInd w:val="0"/>
        <w:jc w:val="center"/>
        <w:rPr>
          <w:rFonts w:eastAsia="Times New Roman"/>
          <w:i/>
          <w:szCs w:val="24"/>
          <w:lang w:val="en-GB"/>
        </w:rPr>
      </w:pPr>
      <w:r w:rsidRPr="008F78CB">
        <w:rPr>
          <w:rFonts w:eastAsia="Times New Roman"/>
          <w:i/>
          <w:szCs w:val="24"/>
          <w:lang w:val="en-GB"/>
        </w:rPr>
        <w:t>(Préparé par le Secrétariat PNUE/CMS)</w:t>
      </w:r>
    </w:p>
    <w:p w:rsidR="00A22EEC" w:rsidRPr="00EA39ED" w:rsidRDefault="00A22EEC" w:rsidP="00105EA7">
      <w:pPr>
        <w:jc w:val="both"/>
        <w:rPr>
          <w:lang w:val="fr-FR"/>
        </w:rPr>
      </w:pPr>
    </w:p>
    <w:p w:rsidR="008F78CB" w:rsidRPr="008F78CB" w:rsidRDefault="008F78CB" w:rsidP="008F78CB">
      <w:pPr>
        <w:pStyle w:val="BodyText2"/>
        <w:jc w:val="both"/>
        <w:rPr>
          <w:sz w:val="24"/>
          <w:lang w:val="fr-FR"/>
        </w:rPr>
      </w:pPr>
      <w:r w:rsidRPr="008F78CB">
        <w:rPr>
          <w:sz w:val="24"/>
          <w:lang w:val="fr-FR"/>
        </w:rPr>
        <w:t>1.</w:t>
      </w:r>
      <w:r w:rsidRPr="008F78CB">
        <w:rPr>
          <w:sz w:val="24"/>
          <w:lang w:val="fr-FR"/>
        </w:rPr>
        <w:tab/>
        <w:t>Le projet de résolution ci-joint sur la « Conservation des requins et des raies migrateurs » a été préparé pour porter à l’attention des Parties les activités relatives à la conservation des requins et des raies qui bénéficieraient d’une approche mondiale et d’une action immédiate. La résolution ne vise pas à faire double emploi avec les travaux du Mémorandum d’entente sur la conservation des requins migrateurs (</w:t>
      </w:r>
      <w:proofErr w:type="spellStart"/>
      <w:r w:rsidRPr="008F78CB">
        <w:rPr>
          <w:sz w:val="24"/>
          <w:lang w:val="fr-FR"/>
        </w:rPr>
        <w:t>MdE</w:t>
      </w:r>
      <w:proofErr w:type="spellEnd"/>
      <w:r w:rsidRPr="008F78CB">
        <w:rPr>
          <w:sz w:val="24"/>
          <w:lang w:val="fr-FR"/>
        </w:rPr>
        <w:t xml:space="preserve"> sur les requins), bien qu’elle inclue certains éléments clés du Mémorandum d’entente et du Plan de conservation pour les requins migrateurs. Elle a été élaborée pour compléter et appuyer les objectifs du Mémorandum d’entente.</w:t>
      </w:r>
    </w:p>
    <w:p w:rsidR="008F78CB" w:rsidRPr="009A6D87" w:rsidRDefault="008F78CB" w:rsidP="008F78CB">
      <w:pPr>
        <w:pStyle w:val="BodyText2"/>
        <w:jc w:val="both"/>
        <w:rPr>
          <w:sz w:val="16"/>
          <w:szCs w:val="16"/>
          <w:lang w:val="fr-FR"/>
        </w:rPr>
      </w:pPr>
    </w:p>
    <w:p w:rsidR="00232963" w:rsidRDefault="008F78CB" w:rsidP="008F78CB">
      <w:pPr>
        <w:pStyle w:val="BodyText2"/>
        <w:jc w:val="both"/>
        <w:rPr>
          <w:sz w:val="24"/>
          <w:lang w:val="fr-FR"/>
        </w:rPr>
      </w:pPr>
      <w:r w:rsidRPr="008F78CB">
        <w:rPr>
          <w:sz w:val="24"/>
          <w:lang w:val="fr-FR"/>
        </w:rPr>
        <w:t>2.</w:t>
      </w:r>
      <w:r w:rsidRPr="008F78CB">
        <w:rPr>
          <w:sz w:val="24"/>
          <w:lang w:val="fr-FR"/>
        </w:rPr>
        <w:tab/>
        <w:t>S’agissant des espèces inscrites à l’Annexe I (voir le tableau 1), les Parties à la Convention doivent s’acquitter de l’obligation juridiquement contraignante de prendre des mesures appropriées et nécessaires pour préserver ces espèces et leurs habitats. La présente résolution aidera les Parties à s’acquitter de cette obligation.</w:t>
      </w:r>
    </w:p>
    <w:p w:rsidR="00232963" w:rsidRPr="009A6D87" w:rsidRDefault="00232963" w:rsidP="00105EA7">
      <w:pPr>
        <w:pStyle w:val="BodyText2"/>
        <w:jc w:val="both"/>
        <w:rPr>
          <w:sz w:val="16"/>
          <w:szCs w:val="16"/>
          <w:lang w:val="fr-FR"/>
        </w:rPr>
      </w:pPr>
    </w:p>
    <w:p w:rsidR="00232963" w:rsidRPr="008F78CB" w:rsidRDefault="008F78CB" w:rsidP="008F78CB">
      <w:pPr>
        <w:widowControl w:val="0"/>
        <w:autoSpaceDE w:val="0"/>
        <w:autoSpaceDN w:val="0"/>
        <w:adjustRightInd w:val="0"/>
        <w:jc w:val="both"/>
        <w:rPr>
          <w:rFonts w:eastAsia="Times New Roman"/>
          <w:b/>
          <w:szCs w:val="24"/>
          <w:lang w:val="en-GB"/>
        </w:rPr>
      </w:pPr>
      <w:proofErr w:type="gramStart"/>
      <w:r w:rsidRPr="008F78CB">
        <w:rPr>
          <w:rFonts w:eastAsia="Times New Roman"/>
          <w:b/>
          <w:szCs w:val="24"/>
          <w:lang w:val="en-GB"/>
        </w:rPr>
        <w:t>Contexte :</w:t>
      </w:r>
      <w:proofErr w:type="gramEnd"/>
    </w:p>
    <w:p w:rsidR="008F78CB" w:rsidRPr="009A6D87" w:rsidRDefault="008F78CB" w:rsidP="00105EA7">
      <w:pPr>
        <w:pStyle w:val="BodyText2"/>
        <w:jc w:val="both"/>
        <w:rPr>
          <w:sz w:val="16"/>
          <w:szCs w:val="16"/>
          <w:lang w:val="fr-FR"/>
        </w:rPr>
      </w:pPr>
    </w:p>
    <w:p w:rsidR="008F78CB" w:rsidRPr="008F78CB" w:rsidRDefault="008F78CB" w:rsidP="008F78CB">
      <w:pPr>
        <w:pStyle w:val="BodyText2"/>
        <w:jc w:val="both"/>
        <w:rPr>
          <w:sz w:val="24"/>
          <w:lang w:val="fr-FR"/>
        </w:rPr>
      </w:pPr>
      <w:r w:rsidRPr="008F78CB">
        <w:rPr>
          <w:sz w:val="24"/>
          <w:lang w:val="fr-FR"/>
        </w:rPr>
        <w:t>3.</w:t>
      </w:r>
      <w:r w:rsidRPr="008F78CB">
        <w:rPr>
          <w:sz w:val="24"/>
          <w:lang w:val="fr-FR"/>
        </w:rPr>
        <w:tab/>
        <w:t xml:space="preserve">La plus récente évaluation de l’UICN sur le risque d’extinction et l’état de conservation des requins et des raies dans le monde (« Extinction </w:t>
      </w:r>
      <w:proofErr w:type="spellStart"/>
      <w:r w:rsidRPr="008F78CB">
        <w:rPr>
          <w:sz w:val="24"/>
          <w:lang w:val="fr-FR"/>
        </w:rPr>
        <w:t>Risk</w:t>
      </w:r>
      <w:proofErr w:type="spellEnd"/>
      <w:r w:rsidRPr="008F78CB">
        <w:rPr>
          <w:sz w:val="24"/>
          <w:lang w:val="fr-FR"/>
        </w:rPr>
        <w:t xml:space="preserve"> and Conservation </w:t>
      </w:r>
      <w:proofErr w:type="spellStart"/>
      <w:r w:rsidRPr="008F78CB">
        <w:rPr>
          <w:sz w:val="24"/>
          <w:lang w:val="fr-FR"/>
        </w:rPr>
        <w:t>Status</w:t>
      </w:r>
      <w:proofErr w:type="spellEnd"/>
      <w:r w:rsidRPr="008F78CB">
        <w:rPr>
          <w:sz w:val="24"/>
          <w:lang w:val="fr-FR"/>
        </w:rPr>
        <w:t xml:space="preserve"> of the </w:t>
      </w:r>
      <w:proofErr w:type="spellStart"/>
      <w:r w:rsidRPr="008F78CB">
        <w:rPr>
          <w:sz w:val="24"/>
          <w:lang w:val="fr-FR"/>
        </w:rPr>
        <w:t>World’s</w:t>
      </w:r>
      <w:proofErr w:type="spellEnd"/>
      <w:r w:rsidRPr="008F78CB">
        <w:rPr>
          <w:sz w:val="24"/>
          <w:lang w:val="fr-FR"/>
        </w:rPr>
        <w:t xml:space="preserve"> </w:t>
      </w:r>
      <w:proofErr w:type="spellStart"/>
      <w:r w:rsidRPr="008F78CB">
        <w:rPr>
          <w:sz w:val="24"/>
          <w:lang w:val="fr-FR"/>
        </w:rPr>
        <w:t>Sharks</w:t>
      </w:r>
      <w:proofErr w:type="spellEnd"/>
      <w:r w:rsidRPr="008F78CB">
        <w:rPr>
          <w:sz w:val="24"/>
          <w:lang w:val="fr-FR"/>
        </w:rPr>
        <w:t xml:space="preserve"> </w:t>
      </w:r>
      <w:r>
        <w:rPr>
          <w:sz w:val="24"/>
          <w:lang w:val="fr-FR"/>
        </w:rPr>
        <w:t xml:space="preserve">and Rays », </w:t>
      </w:r>
      <w:proofErr w:type="spellStart"/>
      <w:r>
        <w:rPr>
          <w:sz w:val="24"/>
          <w:lang w:val="fr-FR"/>
        </w:rPr>
        <w:t>Dulvy</w:t>
      </w:r>
      <w:proofErr w:type="spellEnd"/>
      <w:r>
        <w:rPr>
          <w:sz w:val="24"/>
          <w:lang w:val="fr-FR"/>
        </w:rPr>
        <w:t xml:space="preserve"> et al. (2014)</w:t>
      </w:r>
      <w:r w:rsidRPr="008F78CB">
        <w:rPr>
          <w:rStyle w:val="FootnoteReference"/>
          <w:sz w:val="24"/>
          <w:vertAlign w:val="superscript"/>
          <w:lang w:val="fr-FR"/>
        </w:rPr>
        <w:footnoteReference w:id="1"/>
      </w:r>
      <w:r w:rsidRPr="008F78CB">
        <w:rPr>
          <w:sz w:val="24"/>
          <w:lang w:val="fr-FR"/>
        </w:rPr>
        <w:t xml:space="preserve">) a conclu qu’un quart des 1041 espèces de requins, raies et chimères sont menacées par la surpêche et que le risque d’extinction des </w:t>
      </w:r>
      <w:proofErr w:type="spellStart"/>
      <w:r w:rsidRPr="008F78CB">
        <w:rPr>
          <w:sz w:val="24"/>
          <w:lang w:val="fr-FR"/>
        </w:rPr>
        <w:t>Chondrichthyes</w:t>
      </w:r>
      <w:proofErr w:type="spellEnd"/>
      <w:r w:rsidRPr="008F78CB">
        <w:rPr>
          <w:sz w:val="24"/>
          <w:lang w:val="fr-FR"/>
        </w:rPr>
        <w:t xml:space="preserve"> dans leur ensemble est beaucoup plus élevé que pour la plupart des autres espèces vertébrées. Les raies sont particulièrement affectées, car elles représentent cinq sur sept familles de poissons cartilagineux les plus menacées.</w:t>
      </w:r>
    </w:p>
    <w:p w:rsidR="008F78CB" w:rsidRPr="009A6D87" w:rsidRDefault="008F78CB" w:rsidP="008F78CB">
      <w:pPr>
        <w:pStyle w:val="BodyText2"/>
        <w:jc w:val="both"/>
        <w:rPr>
          <w:sz w:val="16"/>
          <w:szCs w:val="16"/>
          <w:lang w:val="fr-FR"/>
        </w:rPr>
      </w:pPr>
    </w:p>
    <w:p w:rsidR="008F78CB" w:rsidRPr="009A6D87" w:rsidRDefault="008F78CB" w:rsidP="008F78CB">
      <w:pPr>
        <w:pStyle w:val="BodyText2"/>
        <w:jc w:val="both"/>
        <w:rPr>
          <w:sz w:val="16"/>
          <w:szCs w:val="16"/>
          <w:lang w:val="fr-FR"/>
        </w:rPr>
      </w:pPr>
      <w:r w:rsidRPr="008F78CB">
        <w:rPr>
          <w:sz w:val="24"/>
          <w:lang w:val="fr-FR"/>
        </w:rPr>
        <w:t>4.</w:t>
      </w:r>
      <w:r w:rsidRPr="008F78CB">
        <w:rPr>
          <w:sz w:val="24"/>
          <w:lang w:val="fr-FR"/>
        </w:rPr>
        <w:tab/>
        <w:t>Les requins sont capturés dans le cadre d’une pêche ciblée et de captures accidentelles, principalement pour leur chair et leurs ailerons, mais aussi pour leur cartilage, leur foie et leur peau. Une étude récente de Worm et al. (2013)</w:t>
      </w:r>
      <w:r w:rsidRPr="008F78CB">
        <w:rPr>
          <w:rStyle w:val="FootnoteReference"/>
          <w:sz w:val="24"/>
          <w:vertAlign w:val="superscript"/>
          <w:lang w:val="fr-FR"/>
        </w:rPr>
        <w:footnoteReference w:id="2"/>
      </w:r>
      <w:r w:rsidRPr="008F78CB">
        <w:rPr>
          <w:sz w:val="24"/>
          <w:lang w:val="fr-FR"/>
        </w:rPr>
        <w:t xml:space="preserve"> indique qu’entre 63 millions et 273 millions de requins sont tués chaque année dans le monde. Il est estimé qu’entre 26 millions et 73 millions de requins sont tués annuellement, uniquement pour approvisionner le marché mondial d’ailerons de </w:t>
      </w:r>
      <w:r>
        <w:rPr>
          <w:sz w:val="24"/>
          <w:lang w:val="fr-FR"/>
        </w:rPr>
        <w:t>requins (Clarke et al. 2006)</w:t>
      </w:r>
      <w:r w:rsidRPr="008F78CB">
        <w:rPr>
          <w:rStyle w:val="FootnoteReference"/>
          <w:sz w:val="24"/>
          <w:vertAlign w:val="superscript"/>
          <w:lang w:val="fr-FR"/>
        </w:rPr>
        <w:footnoteReference w:id="3"/>
      </w:r>
      <w:r>
        <w:rPr>
          <w:sz w:val="24"/>
          <w:lang w:val="fr-FR"/>
        </w:rPr>
        <w:t>.</w:t>
      </w:r>
      <w:r>
        <w:rPr>
          <w:sz w:val="24"/>
          <w:lang w:val="fr-FR"/>
        </w:rPr>
        <w:cr/>
      </w:r>
    </w:p>
    <w:p w:rsidR="008F78CB" w:rsidRPr="008F78CB" w:rsidRDefault="008F78CB" w:rsidP="008F78CB">
      <w:pPr>
        <w:pStyle w:val="BodyText2"/>
        <w:jc w:val="both"/>
        <w:rPr>
          <w:sz w:val="24"/>
          <w:lang w:val="fr-FR"/>
        </w:rPr>
      </w:pPr>
      <w:r w:rsidRPr="008F78CB">
        <w:rPr>
          <w:sz w:val="24"/>
          <w:lang w:val="fr-FR"/>
        </w:rPr>
        <w:t>5.</w:t>
      </w:r>
      <w:r w:rsidRPr="008F78CB">
        <w:rPr>
          <w:sz w:val="24"/>
          <w:lang w:val="fr-FR"/>
        </w:rPr>
        <w:tab/>
        <w:t xml:space="preserve">La valeur des ailerons de requins a augmenté au cours des récentes années, en raison d’une demande croissante dans les pays asiatiques. Les ailerons de requins coûtent généralement beaucoup plus cher que la viande de requin. Cette différence de prix crée une incitation économique à garder uniquement les ailerons et à rejeter le corps des requins dans la mer. Cette pratique de gaspillage par la découpe des ailerons de requins a été interdite dans de nombreux pays et organisations régionales de gestion des pêches. Ceci a été réalisé en appliquant une règle de 5 pourcent pour le « ratio ailerons-carcasse », qui exige que le poids des ailerons ne dépasse pas 5 pourcent du poids total des requins à bord d’un navire. Cependant, cette méthode a été largement critiquée car elle ne permet pas d’éviter les échappatoires pour contourner l’interdiction de la découpe des ailerons de requins, du fait que les ratios ailerons-carcasse peuvent être très différents entre les espèces, ou entre les requins entiers et dépecés. Dans de nombreux cas, les pêcheurs sont autorisés à débarquer les ailerons </w:t>
      </w:r>
      <w:r w:rsidRPr="008F78CB">
        <w:rPr>
          <w:sz w:val="24"/>
          <w:lang w:val="fr-FR"/>
        </w:rPr>
        <w:lastRenderedPageBreak/>
        <w:t>séparément du corps des requins, ce qui complique la tâche des responsables chargés de l’application des lois, d’identifier les espèces en se basant uniquement sur les ailerons.</w:t>
      </w:r>
    </w:p>
    <w:p w:rsidR="008F78CB" w:rsidRPr="009A6D87" w:rsidRDefault="008F78CB" w:rsidP="008F78CB">
      <w:pPr>
        <w:pStyle w:val="BodyText2"/>
        <w:jc w:val="both"/>
        <w:rPr>
          <w:sz w:val="16"/>
          <w:szCs w:val="16"/>
          <w:lang w:val="fr-FR"/>
        </w:rPr>
      </w:pPr>
    </w:p>
    <w:p w:rsidR="008F78CB" w:rsidRPr="008F78CB" w:rsidRDefault="008F78CB" w:rsidP="008F78CB">
      <w:pPr>
        <w:pStyle w:val="BodyText2"/>
        <w:jc w:val="both"/>
        <w:rPr>
          <w:sz w:val="24"/>
          <w:lang w:val="fr-FR"/>
        </w:rPr>
      </w:pPr>
      <w:r w:rsidRPr="008F78CB">
        <w:rPr>
          <w:sz w:val="24"/>
          <w:lang w:val="fr-FR"/>
        </w:rPr>
        <w:t>6.</w:t>
      </w:r>
      <w:r w:rsidRPr="008F78CB">
        <w:rPr>
          <w:sz w:val="24"/>
          <w:lang w:val="fr-FR"/>
        </w:rPr>
        <w:tab/>
        <w:t>S’il était obligatoire de débarquer les requins avec leurs ailerons naturellement attachés au corps, ceci constituerait la méthode la plus fiable pour s’assurer que la découpe des ailerons de requins n’a pas eu lieu, tout en facilitant la collecte de données par espèce. La découpe des ailerons de requins en mer à bord des navires est déjà interdite par de plus en plus de pays, y compris les États-Unis, de nombreux pays d’Amérique Centrale et d’Amérique du Sud, ainsi que les 28 États membres de l’Union européenne.</w:t>
      </w:r>
    </w:p>
    <w:p w:rsidR="008F78CB" w:rsidRPr="009A6D87" w:rsidRDefault="008F78CB" w:rsidP="008F78CB">
      <w:pPr>
        <w:pStyle w:val="BodyText2"/>
        <w:jc w:val="both"/>
        <w:rPr>
          <w:sz w:val="16"/>
          <w:szCs w:val="16"/>
          <w:lang w:val="fr-FR"/>
        </w:rPr>
      </w:pPr>
    </w:p>
    <w:p w:rsidR="008F78CB" w:rsidRDefault="008F78CB" w:rsidP="008F78CB">
      <w:pPr>
        <w:pStyle w:val="BodyText2"/>
        <w:jc w:val="both"/>
        <w:rPr>
          <w:sz w:val="24"/>
          <w:lang w:val="fr-FR"/>
        </w:rPr>
      </w:pPr>
      <w:r w:rsidRPr="008F78CB">
        <w:rPr>
          <w:sz w:val="24"/>
          <w:lang w:val="fr-FR"/>
        </w:rPr>
        <w:t>7.</w:t>
      </w:r>
      <w:r w:rsidRPr="008F78CB">
        <w:rPr>
          <w:sz w:val="24"/>
          <w:lang w:val="fr-FR"/>
        </w:rPr>
        <w:tab/>
        <w:t>Le manque de données sur les populations et les captures de requins continue de limiter l’élaboration de mesures de conservation efficaces pour ces espèces, qui devraient être basées sur des informations scientifiques rationnelles concernant l’écologie des requins et des raies. Les données relatives aux pêcheries, sur les prises et les débarquements, les rejets et les captures accidentelles, sont cruciales pour pouvoir élaborer des objectifs et des indicateurs de conservation. Afin de construire cette base fondamentale de connaissances, il convient d’entreprendre davantage de recherches, de surveillance et d’échange d’information, de préférence en collaboration avec les organisations des pêches et les organismes scientifiques compétents.</w:t>
      </w:r>
    </w:p>
    <w:p w:rsidR="008F78CB" w:rsidRDefault="008F78CB" w:rsidP="00105EA7">
      <w:pPr>
        <w:pStyle w:val="BodyText2"/>
        <w:jc w:val="both"/>
        <w:rPr>
          <w:sz w:val="24"/>
          <w:lang w:val="fr-FR"/>
        </w:rPr>
      </w:pPr>
    </w:p>
    <w:p w:rsidR="008F78CB" w:rsidRPr="008F78CB" w:rsidRDefault="008F78CB" w:rsidP="008F78CB">
      <w:pPr>
        <w:widowControl w:val="0"/>
        <w:autoSpaceDE w:val="0"/>
        <w:autoSpaceDN w:val="0"/>
        <w:adjustRightInd w:val="0"/>
        <w:jc w:val="both"/>
        <w:rPr>
          <w:rFonts w:eastAsia="Times New Roman"/>
          <w:b/>
          <w:color w:val="000000"/>
          <w:szCs w:val="24"/>
          <w:lang w:val="en-GB"/>
        </w:rPr>
      </w:pPr>
      <w:r w:rsidRPr="008F78CB">
        <w:rPr>
          <w:rFonts w:eastAsia="Times New Roman"/>
          <w:b/>
          <w:color w:val="000000"/>
          <w:szCs w:val="24"/>
          <w:lang w:val="en-GB"/>
        </w:rPr>
        <w:t>Conservation des requins au titre de la CMS :</w:t>
      </w:r>
    </w:p>
    <w:p w:rsidR="008F78CB" w:rsidRDefault="008F78CB" w:rsidP="00105EA7">
      <w:pPr>
        <w:pStyle w:val="BodyText2"/>
        <w:jc w:val="both"/>
        <w:rPr>
          <w:sz w:val="24"/>
          <w:lang w:val="fr-FR"/>
        </w:rPr>
      </w:pPr>
    </w:p>
    <w:p w:rsidR="008F78CB" w:rsidRDefault="008F78CB" w:rsidP="00105EA7">
      <w:pPr>
        <w:pStyle w:val="BodyText2"/>
        <w:jc w:val="both"/>
        <w:rPr>
          <w:sz w:val="24"/>
          <w:lang w:val="fr-FR"/>
        </w:rPr>
      </w:pPr>
      <w:r w:rsidRPr="008F78CB">
        <w:rPr>
          <w:sz w:val="24"/>
          <w:lang w:val="fr-FR"/>
        </w:rPr>
        <w:t>8.</w:t>
      </w:r>
      <w:r w:rsidRPr="008F78CB">
        <w:rPr>
          <w:sz w:val="24"/>
          <w:lang w:val="fr-FR"/>
        </w:rPr>
        <w:tab/>
        <w:t>Les requins ont fait l’objet d’une attention particulière par les Parties à la CMS au cours des récentes années. Entre 1999 et 2011, sept espèces de requins et la Raie Manta géante ont été inscrites à l’Annexe II de la Convention, dont trois de ces espèces ont aussi été inscrites à l’Annexe I (tableau 1).</w:t>
      </w:r>
    </w:p>
    <w:p w:rsidR="00232963" w:rsidRPr="00EA39ED" w:rsidRDefault="00232963" w:rsidP="00105EA7">
      <w:pPr>
        <w:pStyle w:val="BodyText2"/>
        <w:jc w:val="both"/>
        <w:rPr>
          <w:sz w:val="24"/>
          <w:lang w:val="fr-FR"/>
        </w:rPr>
      </w:pPr>
    </w:p>
    <w:p w:rsidR="00105EA7" w:rsidRPr="008F78CB" w:rsidRDefault="008F78CB" w:rsidP="008F78CB">
      <w:pPr>
        <w:widowControl w:val="0"/>
        <w:tabs>
          <w:tab w:val="left" w:pos="1170"/>
          <w:tab w:val="right" w:pos="1440"/>
        </w:tabs>
        <w:autoSpaceDE w:val="0"/>
        <w:autoSpaceDN w:val="0"/>
        <w:adjustRightInd w:val="0"/>
        <w:ind w:left="1170" w:hanging="1170"/>
        <w:jc w:val="both"/>
        <w:rPr>
          <w:rFonts w:eastAsia="Times New Roman"/>
          <w:b/>
          <w:color w:val="000000"/>
          <w:szCs w:val="24"/>
          <w:lang w:val="en-GB"/>
        </w:rPr>
      </w:pPr>
      <w:r w:rsidRPr="008F78CB">
        <w:rPr>
          <w:rFonts w:eastAsia="Times New Roman"/>
          <w:b/>
          <w:color w:val="000000"/>
          <w:szCs w:val="24"/>
          <w:lang w:val="en-GB"/>
        </w:rPr>
        <w:t>Tableau</w:t>
      </w:r>
      <w:r>
        <w:rPr>
          <w:rFonts w:eastAsia="Times New Roman"/>
          <w:b/>
          <w:color w:val="000000"/>
          <w:szCs w:val="24"/>
          <w:lang w:val="en-GB"/>
        </w:rPr>
        <w:t xml:space="preserve"> 1 :</w:t>
      </w:r>
      <w:r>
        <w:rPr>
          <w:rFonts w:eastAsia="Times New Roman"/>
          <w:b/>
          <w:color w:val="000000"/>
          <w:szCs w:val="24"/>
          <w:lang w:val="en-GB"/>
        </w:rPr>
        <w:tab/>
      </w:r>
      <w:proofErr w:type="spellStart"/>
      <w:r w:rsidRPr="008F78CB">
        <w:rPr>
          <w:rFonts w:eastAsia="Times New Roman"/>
          <w:b/>
          <w:color w:val="000000"/>
          <w:szCs w:val="24"/>
          <w:lang w:val="en-GB"/>
        </w:rPr>
        <w:t>Espèces</w:t>
      </w:r>
      <w:proofErr w:type="spellEnd"/>
      <w:r w:rsidRPr="008F78CB">
        <w:rPr>
          <w:rFonts w:eastAsia="Times New Roman"/>
          <w:b/>
          <w:color w:val="000000"/>
          <w:szCs w:val="24"/>
          <w:lang w:val="en-GB"/>
        </w:rPr>
        <w:t xml:space="preserve"> de </w:t>
      </w:r>
      <w:proofErr w:type="spellStart"/>
      <w:r w:rsidRPr="008F78CB">
        <w:rPr>
          <w:rFonts w:eastAsia="Times New Roman"/>
          <w:b/>
          <w:color w:val="000000"/>
          <w:szCs w:val="24"/>
          <w:lang w:val="en-GB"/>
        </w:rPr>
        <w:t>requins</w:t>
      </w:r>
      <w:proofErr w:type="spellEnd"/>
      <w:r w:rsidRPr="008F78CB">
        <w:rPr>
          <w:rFonts w:eastAsia="Times New Roman"/>
          <w:b/>
          <w:color w:val="000000"/>
          <w:szCs w:val="24"/>
          <w:lang w:val="en-GB"/>
        </w:rPr>
        <w:t xml:space="preserve"> et de raies inscrites aux Annexes de la CMS, à l’Annexe 1 du </w:t>
      </w:r>
      <w:proofErr w:type="spellStart"/>
      <w:r w:rsidRPr="008F78CB">
        <w:rPr>
          <w:rFonts w:eastAsia="Times New Roman"/>
          <w:b/>
          <w:color w:val="000000"/>
          <w:szCs w:val="24"/>
          <w:lang w:val="en-GB"/>
        </w:rPr>
        <w:t>MdE</w:t>
      </w:r>
      <w:proofErr w:type="spellEnd"/>
      <w:r w:rsidRPr="008F78CB">
        <w:rPr>
          <w:rFonts w:eastAsia="Times New Roman"/>
          <w:b/>
          <w:color w:val="000000"/>
          <w:szCs w:val="24"/>
          <w:lang w:val="en-GB"/>
        </w:rPr>
        <w:t xml:space="preserve"> sur les requins et aux Annexes de la CITES, y compris l’année d’inscription à compter de mai 2014</w:t>
      </w:r>
    </w:p>
    <w:p w:rsidR="008F78CB" w:rsidRDefault="008F78CB" w:rsidP="00105EA7">
      <w:pPr>
        <w:pStyle w:val="ListParagraph"/>
        <w:ind w:left="0"/>
        <w:rPr>
          <w:lang w:val="fr-FR"/>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none" w:sz="0" w:space="0" w:color="auto"/>
        </w:tblBorders>
        <w:tblLayout w:type="fixed"/>
        <w:tblLook w:val="04A0" w:firstRow="1" w:lastRow="0" w:firstColumn="1" w:lastColumn="0" w:noHBand="0" w:noVBand="1"/>
      </w:tblPr>
      <w:tblGrid>
        <w:gridCol w:w="3802"/>
        <w:gridCol w:w="1699"/>
        <w:gridCol w:w="2088"/>
        <w:gridCol w:w="1714"/>
      </w:tblGrid>
      <w:tr w:rsidR="002D3494" w:rsidRPr="002D3494" w:rsidTr="0043699F">
        <w:trPr>
          <w:cantSplit/>
        </w:trPr>
        <w:tc>
          <w:tcPr>
            <w:tcW w:w="3802" w:type="dxa"/>
            <w:shd w:val="clear" w:color="auto" w:fill="4F81BD" w:themeFill="accent1"/>
          </w:tcPr>
          <w:p w:rsidR="002D3494" w:rsidRPr="002D3494" w:rsidRDefault="002D3494" w:rsidP="002D3494">
            <w:pPr>
              <w:rPr>
                <w:b/>
                <w:bCs/>
                <w:color w:val="FFFFFF"/>
                <w:sz w:val="28"/>
                <w:lang w:val="en-GB"/>
              </w:rPr>
            </w:pPr>
            <w:r w:rsidRPr="002D3494">
              <w:rPr>
                <w:b/>
                <w:bCs/>
                <w:color w:val="FFFFFF"/>
                <w:sz w:val="28"/>
                <w:lang w:val="en-GB"/>
              </w:rPr>
              <w:t>Espèces</w:t>
            </w:r>
          </w:p>
        </w:tc>
        <w:tc>
          <w:tcPr>
            <w:tcW w:w="1699" w:type="dxa"/>
            <w:shd w:val="clear" w:color="auto" w:fill="4F81BD" w:themeFill="accent1"/>
          </w:tcPr>
          <w:p w:rsidR="002D3494" w:rsidRPr="002D3494" w:rsidRDefault="002D3494" w:rsidP="002D3494">
            <w:pPr>
              <w:rPr>
                <w:b/>
                <w:bCs/>
                <w:color w:val="FFFFFF"/>
                <w:sz w:val="28"/>
                <w:lang w:val="en-GB"/>
              </w:rPr>
            </w:pPr>
            <w:r w:rsidRPr="002D3494">
              <w:rPr>
                <w:b/>
                <w:bCs/>
                <w:color w:val="FFFFFF"/>
                <w:sz w:val="28"/>
                <w:lang w:val="en-GB"/>
              </w:rPr>
              <w:t>CMS</w:t>
            </w:r>
          </w:p>
        </w:tc>
        <w:tc>
          <w:tcPr>
            <w:tcW w:w="2088" w:type="dxa"/>
            <w:shd w:val="clear" w:color="auto" w:fill="4F81BD" w:themeFill="accent1"/>
          </w:tcPr>
          <w:p w:rsidR="002D3494" w:rsidRPr="002D3494" w:rsidRDefault="002D3494" w:rsidP="002D3494">
            <w:pPr>
              <w:rPr>
                <w:b/>
                <w:bCs/>
                <w:color w:val="FFFFFF"/>
                <w:sz w:val="28"/>
                <w:lang w:val="en-GB"/>
              </w:rPr>
            </w:pPr>
            <w:proofErr w:type="spellStart"/>
            <w:r w:rsidRPr="002D3494">
              <w:rPr>
                <w:b/>
                <w:bCs/>
                <w:color w:val="FFFFFF"/>
                <w:sz w:val="28"/>
                <w:lang w:val="en-GB"/>
              </w:rPr>
              <w:t>MdE</w:t>
            </w:r>
            <w:proofErr w:type="spellEnd"/>
            <w:r w:rsidRPr="002D3494">
              <w:rPr>
                <w:b/>
                <w:bCs/>
                <w:color w:val="FFFFFF"/>
                <w:sz w:val="28"/>
                <w:lang w:val="en-GB"/>
              </w:rPr>
              <w:t xml:space="preserve"> sur les requins</w:t>
            </w:r>
          </w:p>
        </w:tc>
        <w:tc>
          <w:tcPr>
            <w:tcW w:w="1714" w:type="dxa"/>
            <w:shd w:val="clear" w:color="auto" w:fill="4F81BD" w:themeFill="accent1"/>
          </w:tcPr>
          <w:p w:rsidR="002D3494" w:rsidRPr="002D3494" w:rsidRDefault="002D3494" w:rsidP="002D3494">
            <w:pPr>
              <w:rPr>
                <w:b/>
                <w:bCs/>
                <w:color w:val="FFFFFF"/>
                <w:sz w:val="28"/>
                <w:lang w:val="en-GB"/>
              </w:rPr>
            </w:pPr>
            <w:proofErr w:type="gramStart"/>
            <w:r w:rsidRPr="002D3494">
              <w:rPr>
                <w:b/>
                <w:bCs/>
                <w:color w:val="FFFFFF"/>
                <w:sz w:val="28"/>
                <w:lang w:val="en-GB"/>
              </w:rPr>
              <w:t>CITES</w:t>
            </w:r>
            <w:proofErr w:type="gramEnd"/>
          </w:p>
        </w:tc>
      </w:tr>
      <w:tr w:rsidR="002D3494" w:rsidTr="0043699F">
        <w:trPr>
          <w:cantSplit/>
        </w:trPr>
        <w:tc>
          <w:tcPr>
            <w:tcW w:w="3802" w:type="dxa"/>
          </w:tcPr>
          <w:p w:rsidR="002D3494" w:rsidRPr="002D3494" w:rsidRDefault="002D3494" w:rsidP="002D3494">
            <w:pPr>
              <w:jc w:val="both"/>
              <w:rPr>
                <w:b/>
                <w:bCs/>
                <w:color w:val="000000"/>
                <w:lang w:val="en-GB"/>
              </w:rPr>
            </w:pPr>
            <w:r w:rsidRPr="002D3494">
              <w:rPr>
                <w:b/>
                <w:bCs/>
                <w:color w:val="000000"/>
                <w:lang w:val="en-GB"/>
              </w:rPr>
              <w:t>Requin-baleine</w:t>
            </w:r>
          </w:p>
          <w:p w:rsidR="002D3494" w:rsidRDefault="002D3494" w:rsidP="002D3494">
            <w:pPr>
              <w:jc w:val="both"/>
              <w:rPr>
                <w:lang w:val="fr-FR"/>
              </w:rPr>
            </w:pPr>
            <w:proofErr w:type="spellStart"/>
            <w:r w:rsidRPr="002D3494">
              <w:rPr>
                <w:bCs/>
                <w:i/>
                <w:color w:val="000000"/>
                <w:lang w:val="en-GB"/>
              </w:rPr>
              <w:t>Rhincodon</w:t>
            </w:r>
            <w:proofErr w:type="spellEnd"/>
            <w:r w:rsidRPr="002D3494">
              <w:rPr>
                <w:bCs/>
                <w:i/>
                <w:color w:val="000000"/>
                <w:lang w:val="en-GB"/>
              </w:rPr>
              <w:t xml:space="preserve"> </w:t>
            </w:r>
            <w:proofErr w:type="spellStart"/>
            <w:r w:rsidRPr="002D3494">
              <w:rPr>
                <w:bCs/>
                <w:i/>
                <w:color w:val="000000"/>
                <w:lang w:val="en-GB"/>
              </w:rPr>
              <w:t>typus</w:t>
            </w:r>
            <w:proofErr w:type="spellEnd"/>
          </w:p>
        </w:tc>
        <w:tc>
          <w:tcPr>
            <w:tcW w:w="1699" w:type="dxa"/>
          </w:tcPr>
          <w:p w:rsidR="002D3494" w:rsidRDefault="002D3494" w:rsidP="0043699F">
            <w:pPr>
              <w:widowControl w:val="0"/>
              <w:autoSpaceDE w:val="0"/>
              <w:autoSpaceDN w:val="0"/>
              <w:adjustRightInd w:val="0"/>
              <w:rPr>
                <w:lang w:val="fr-FR"/>
              </w:rPr>
            </w:pPr>
            <w:r w:rsidRPr="0043699F">
              <w:rPr>
                <w:color w:val="000000"/>
                <w:szCs w:val="24"/>
                <w:lang w:val="en-GB"/>
              </w:rPr>
              <w:t>Annexe II 1999</w:t>
            </w:r>
          </w:p>
        </w:tc>
        <w:tc>
          <w:tcPr>
            <w:tcW w:w="2088" w:type="dxa"/>
          </w:tcPr>
          <w:p w:rsidR="002D3494" w:rsidRDefault="002D3494" w:rsidP="0043699F">
            <w:pPr>
              <w:widowControl w:val="0"/>
              <w:autoSpaceDE w:val="0"/>
              <w:autoSpaceDN w:val="0"/>
              <w:adjustRightInd w:val="0"/>
              <w:jc w:val="both"/>
              <w:rPr>
                <w:lang w:val="fr-FR"/>
              </w:rPr>
            </w:pPr>
            <w:r w:rsidRPr="0043699F">
              <w:rPr>
                <w:color w:val="000000"/>
                <w:szCs w:val="24"/>
                <w:lang w:val="en-GB"/>
              </w:rPr>
              <w:t>2010</w:t>
            </w: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2003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Grand requin blanc</w:t>
            </w:r>
          </w:p>
          <w:p w:rsidR="002D3494" w:rsidRDefault="002D3494" w:rsidP="0043699F">
            <w:pPr>
              <w:widowControl w:val="0"/>
              <w:autoSpaceDE w:val="0"/>
              <w:autoSpaceDN w:val="0"/>
              <w:adjustRightInd w:val="0"/>
              <w:jc w:val="both"/>
              <w:rPr>
                <w:lang w:val="fr-FR"/>
              </w:rPr>
            </w:pPr>
            <w:r w:rsidRPr="0043699F">
              <w:rPr>
                <w:bCs/>
                <w:i/>
                <w:color w:val="000000"/>
                <w:szCs w:val="24"/>
                <w:lang w:val="en-GB"/>
              </w:rPr>
              <w:t xml:space="preserve">Carcharodon </w:t>
            </w:r>
            <w:proofErr w:type="spellStart"/>
            <w:r w:rsidRPr="0043699F">
              <w:rPr>
                <w:bCs/>
                <w:i/>
                <w:color w:val="000000"/>
                <w:szCs w:val="24"/>
                <w:lang w:val="en-GB"/>
              </w:rPr>
              <w:t>carcharias</w:t>
            </w:r>
            <w:proofErr w:type="spellEnd"/>
          </w:p>
        </w:tc>
        <w:tc>
          <w:tcPr>
            <w:tcW w:w="1699"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Annexe I  2002</w:t>
            </w:r>
          </w:p>
          <w:p w:rsidR="002D3494" w:rsidRDefault="002D3494" w:rsidP="0043699F">
            <w:pPr>
              <w:widowControl w:val="0"/>
              <w:autoSpaceDE w:val="0"/>
              <w:autoSpaceDN w:val="0"/>
              <w:adjustRightInd w:val="0"/>
              <w:rPr>
                <w:lang w:val="fr-FR"/>
              </w:rPr>
            </w:pPr>
            <w:r w:rsidRPr="0043699F">
              <w:rPr>
                <w:color w:val="000000"/>
                <w:szCs w:val="24"/>
                <w:lang w:val="en-GB"/>
              </w:rPr>
              <w:t>Annexe II 2002</w:t>
            </w:r>
          </w:p>
        </w:tc>
        <w:tc>
          <w:tcPr>
            <w:tcW w:w="2088" w:type="dxa"/>
          </w:tcPr>
          <w:p w:rsidR="002D3494" w:rsidRDefault="002D3494" w:rsidP="00105EA7">
            <w:pPr>
              <w:pStyle w:val="ListParagraph"/>
              <w:ind w:left="0"/>
              <w:rPr>
                <w:lang w:val="fr-FR"/>
              </w:rPr>
            </w:pPr>
            <w:r w:rsidRPr="002D3494">
              <w:rPr>
                <w:lang w:val="fr-FR"/>
              </w:rPr>
              <w:t>2</w:t>
            </w:r>
            <w:r w:rsidRPr="0043699F">
              <w:rPr>
                <w:color w:val="000000"/>
                <w:szCs w:val="24"/>
                <w:lang w:val="en-GB"/>
              </w:rPr>
              <w:t>010</w:t>
            </w:r>
          </w:p>
        </w:tc>
        <w:tc>
          <w:tcPr>
            <w:tcW w:w="1714"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Annexe II 2005</w:t>
            </w:r>
          </w:p>
          <w:p w:rsidR="002D3494" w:rsidRDefault="002D3494" w:rsidP="0043699F">
            <w:pPr>
              <w:widowControl w:val="0"/>
              <w:autoSpaceDE w:val="0"/>
              <w:autoSpaceDN w:val="0"/>
              <w:adjustRightInd w:val="0"/>
              <w:rPr>
                <w:lang w:val="fr-FR"/>
              </w:rPr>
            </w:pPr>
            <w:r w:rsidRPr="0043699F">
              <w:rPr>
                <w:color w:val="3B3B3B"/>
                <w:sz w:val="18"/>
                <w:szCs w:val="18"/>
                <w:shd w:val="clear" w:color="auto" w:fill="FAFAF6"/>
                <w:lang w:val="en-GB"/>
              </w:rPr>
              <w:t>(auparavant III depuis 2000)</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 pèlerin</w:t>
            </w:r>
          </w:p>
          <w:p w:rsidR="002D3494" w:rsidRDefault="002D3494" w:rsidP="0043699F">
            <w:pPr>
              <w:widowControl w:val="0"/>
              <w:autoSpaceDE w:val="0"/>
              <w:autoSpaceDN w:val="0"/>
              <w:adjustRightInd w:val="0"/>
              <w:jc w:val="both"/>
              <w:rPr>
                <w:lang w:val="fr-FR"/>
              </w:rPr>
            </w:pPr>
            <w:proofErr w:type="spellStart"/>
            <w:r w:rsidRPr="0043699F">
              <w:rPr>
                <w:bCs/>
                <w:i/>
                <w:color w:val="000000"/>
                <w:szCs w:val="24"/>
                <w:lang w:val="en-GB"/>
              </w:rPr>
              <w:t>Cetorhinus</w:t>
            </w:r>
            <w:proofErr w:type="spellEnd"/>
            <w:r w:rsidRPr="0043699F">
              <w:rPr>
                <w:bCs/>
                <w:i/>
                <w:color w:val="000000"/>
                <w:szCs w:val="24"/>
                <w:lang w:val="en-GB"/>
              </w:rPr>
              <w:t xml:space="preserve"> </w:t>
            </w:r>
            <w:proofErr w:type="spellStart"/>
            <w:r w:rsidRPr="0043699F">
              <w:rPr>
                <w:bCs/>
                <w:i/>
                <w:color w:val="000000"/>
                <w:szCs w:val="24"/>
                <w:lang w:val="en-GB"/>
              </w:rPr>
              <w:t>maximus</w:t>
            </w:r>
            <w:proofErr w:type="spellEnd"/>
          </w:p>
        </w:tc>
        <w:tc>
          <w:tcPr>
            <w:tcW w:w="1699"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 xml:space="preserve">Annexe I </w:t>
            </w:r>
          </w:p>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2005</w:t>
            </w:r>
          </w:p>
          <w:p w:rsidR="002D3494" w:rsidRDefault="002D3494" w:rsidP="0043699F">
            <w:pPr>
              <w:widowControl w:val="0"/>
              <w:autoSpaceDE w:val="0"/>
              <w:autoSpaceDN w:val="0"/>
              <w:adjustRightInd w:val="0"/>
              <w:rPr>
                <w:lang w:val="fr-FR"/>
              </w:rPr>
            </w:pPr>
            <w:r w:rsidRPr="0043699F">
              <w:rPr>
                <w:color w:val="000000"/>
                <w:szCs w:val="24"/>
                <w:lang w:val="en-GB"/>
              </w:rPr>
              <w:t>Annexe II 2005</w:t>
            </w:r>
          </w:p>
        </w:tc>
        <w:tc>
          <w:tcPr>
            <w:tcW w:w="2088" w:type="dxa"/>
          </w:tcPr>
          <w:p w:rsidR="002D3494" w:rsidRDefault="002D3494" w:rsidP="0043699F">
            <w:pPr>
              <w:widowControl w:val="0"/>
              <w:autoSpaceDE w:val="0"/>
              <w:autoSpaceDN w:val="0"/>
              <w:adjustRightInd w:val="0"/>
              <w:jc w:val="both"/>
              <w:rPr>
                <w:lang w:val="fr-FR"/>
              </w:rPr>
            </w:pPr>
            <w:r w:rsidRPr="0043699F">
              <w:rPr>
                <w:color w:val="000000"/>
                <w:szCs w:val="24"/>
                <w:lang w:val="en-GB"/>
              </w:rPr>
              <w:t>2010</w:t>
            </w:r>
          </w:p>
        </w:tc>
        <w:tc>
          <w:tcPr>
            <w:tcW w:w="1714"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Annexe II 2003</w:t>
            </w:r>
          </w:p>
          <w:p w:rsidR="002D3494" w:rsidRDefault="002D3494" w:rsidP="0043699F">
            <w:pPr>
              <w:widowControl w:val="0"/>
              <w:autoSpaceDE w:val="0"/>
              <w:autoSpaceDN w:val="0"/>
              <w:adjustRightInd w:val="0"/>
              <w:rPr>
                <w:lang w:val="fr-FR"/>
              </w:rPr>
            </w:pPr>
            <w:r w:rsidRPr="0043699F">
              <w:rPr>
                <w:color w:val="3B3B3B"/>
                <w:sz w:val="18"/>
                <w:szCs w:val="18"/>
                <w:shd w:val="clear" w:color="auto" w:fill="FAFAF6"/>
                <w:lang w:val="en-GB"/>
              </w:rPr>
              <w:t>(auparavant III depuis 2000)</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Requin-taupe commun</w:t>
            </w:r>
          </w:p>
          <w:p w:rsidR="002D3494" w:rsidRDefault="002D3494" w:rsidP="0043699F">
            <w:pPr>
              <w:widowControl w:val="0"/>
              <w:autoSpaceDE w:val="0"/>
              <w:autoSpaceDN w:val="0"/>
              <w:adjustRightInd w:val="0"/>
              <w:jc w:val="both"/>
              <w:rPr>
                <w:lang w:val="fr-FR"/>
              </w:rPr>
            </w:pPr>
            <w:proofErr w:type="spellStart"/>
            <w:r w:rsidRPr="0043699F">
              <w:rPr>
                <w:bCs/>
                <w:i/>
                <w:color w:val="000000"/>
                <w:szCs w:val="24"/>
                <w:lang w:val="en-GB"/>
              </w:rPr>
              <w:t>Lamna</w:t>
            </w:r>
            <w:proofErr w:type="spellEnd"/>
            <w:r w:rsidRPr="0043699F">
              <w:rPr>
                <w:bCs/>
                <w:i/>
                <w:color w:val="000000"/>
                <w:szCs w:val="24"/>
                <w:lang w:val="en-GB"/>
              </w:rPr>
              <w:t xml:space="preserve"> </w:t>
            </w:r>
            <w:proofErr w:type="spellStart"/>
            <w:r w:rsidRPr="0043699F">
              <w:rPr>
                <w:bCs/>
                <w:i/>
                <w:color w:val="000000"/>
                <w:szCs w:val="24"/>
                <w:lang w:val="en-GB"/>
              </w:rPr>
              <w:t>nasus</w:t>
            </w:r>
            <w:proofErr w:type="spellEnd"/>
          </w:p>
        </w:tc>
        <w:tc>
          <w:tcPr>
            <w:tcW w:w="1699" w:type="dxa"/>
          </w:tcPr>
          <w:p w:rsidR="002D3494" w:rsidRDefault="002D3494" w:rsidP="0043699F">
            <w:pPr>
              <w:widowControl w:val="0"/>
              <w:autoSpaceDE w:val="0"/>
              <w:autoSpaceDN w:val="0"/>
              <w:adjustRightInd w:val="0"/>
              <w:rPr>
                <w:lang w:val="fr-FR"/>
              </w:rPr>
            </w:pPr>
            <w:r w:rsidRPr="0043699F">
              <w:rPr>
                <w:color w:val="000000"/>
                <w:szCs w:val="24"/>
                <w:lang w:val="en-GB"/>
              </w:rPr>
              <w:t>Annexe II 2008</w:t>
            </w:r>
          </w:p>
        </w:tc>
        <w:tc>
          <w:tcPr>
            <w:tcW w:w="2088" w:type="dxa"/>
          </w:tcPr>
          <w:p w:rsidR="002D3494" w:rsidRDefault="002D3494" w:rsidP="00105EA7">
            <w:pPr>
              <w:pStyle w:val="ListParagraph"/>
              <w:ind w:left="0"/>
              <w:rPr>
                <w:lang w:val="fr-FR"/>
              </w:rPr>
            </w:pPr>
            <w:r w:rsidRPr="002D3494">
              <w:rPr>
                <w:lang w:val="fr-FR"/>
              </w:rPr>
              <w:t>2</w:t>
            </w:r>
            <w:r w:rsidRPr="0043699F">
              <w:rPr>
                <w:color w:val="000000"/>
                <w:szCs w:val="24"/>
                <w:lang w:val="en-GB"/>
              </w:rPr>
              <w:t>010</w:t>
            </w: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2013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Aiguillat commun</w:t>
            </w:r>
          </w:p>
          <w:p w:rsidR="002D3494" w:rsidRDefault="002D3494" w:rsidP="0043699F">
            <w:pPr>
              <w:widowControl w:val="0"/>
              <w:autoSpaceDE w:val="0"/>
              <w:autoSpaceDN w:val="0"/>
              <w:adjustRightInd w:val="0"/>
              <w:jc w:val="both"/>
              <w:rPr>
                <w:lang w:val="fr-FR"/>
              </w:rPr>
            </w:pPr>
            <w:proofErr w:type="spellStart"/>
            <w:r w:rsidRPr="0043699F">
              <w:rPr>
                <w:bCs/>
                <w:i/>
                <w:color w:val="000000"/>
                <w:szCs w:val="24"/>
                <w:lang w:val="en-GB"/>
              </w:rPr>
              <w:t>Squalus</w:t>
            </w:r>
            <w:proofErr w:type="spellEnd"/>
            <w:r w:rsidRPr="0043699F">
              <w:rPr>
                <w:bCs/>
                <w:i/>
                <w:color w:val="000000"/>
                <w:szCs w:val="24"/>
                <w:lang w:val="en-GB"/>
              </w:rPr>
              <w:t xml:space="preserve"> acanthias</w:t>
            </w:r>
          </w:p>
        </w:tc>
        <w:tc>
          <w:tcPr>
            <w:tcW w:w="1699" w:type="dxa"/>
          </w:tcPr>
          <w:p w:rsidR="002D3494" w:rsidRDefault="002D3494" w:rsidP="0043699F">
            <w:pPr>
              <w:widowControl w:val="0"/>
              <w:autoSpaceDE w:val="0"/>
              <w:autoSpaceDN w:val="0"/>
              <w:adjustRightInd w:val="0"/>
              <w:rPr>
                <w:lang w:val="fr-FR"/>
              </w:rPr>
            </w:pPr>
            <w:r w:rsidRPr="0043699F">
              <w:rPr>
                <w:color w:val="000000"/>
                <w:szCs w:val="24"/>
                <w:lang w:val="en-GB"/>
              </w:rPr>
              <w:t>Annexe II 2008</w:t>
            </w:r>
          </w:p>
        </w:tc>
        <w:tc>
          <w:tcPr>
            <w:tcW w:w="2088" w:type="dxa"/>
          </w:tcPr>
          <w:p w:rsidR="002D3494" w:rsidRDefault="002D3494" w:rsidP="0043699F">
            <w:pPr>
              <w:widowControl w:val="0"/>
              <w:autoSpaceDE w:val="0"/>
              <w:autoSpaceDN w:val="0"/>
              <w:adjustRightInd w:val="0"/>
              <w:jc w:val="both"/>
              <w:rPr>
                <w:lang w:val="fr-FR"/>
              </w:rPr>
            </w:pPr>
            <w:r w:rsidRPr="0043699F">
              <w:rPr>
                <w:color w:val="000000"/>
                <w:szCs w:val="24"/>
                <w:lang w:val="en-GB"/>
              </w:rPr>
              <w:t>2010</w:t>
            </w:r>
          </w:p>
        </w:tc>
        <w:tc>
          <w:tcPr>
            <w:tcW w:w="1714" w:type="dxa"/>
          </w:tcPr>
          <w:p w:rsidR="002D3494" w:rsidRDefault="002D3494" w:rsidP="00105EA7">
            <w:pPr>
              <w:pStyle w:val="ListParagraph"/>
              <w:ind w:left="0"/>
              <w:rPr>
                <w:lang w:val="fr-FR"/>
              </w:rPr>
            </w:pPr>
          </w:p>
        </w:tc>
        <w:bookmarkStart w:id="0" w:name="_GoBack"/>
        <w:bookmarkEnd w:id="0"/>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Requin-taupe bleu</w:t>
            </w:r>
          </w:p>
          <w:p w:rsidR="002D3494" w:rsidRDefault="002D3494" w:rsidP="0043699F">
            <w:pPr>
              <w:widowControl w:val="0"/>
              <w:autoSpaceDE w:val="0"/>
              <w:autoSpaceDN w:val="0"/>
              <w:adjustRightInd w:val="0"/>
              <w:jc w:val="both"/>
              <w:rPr>
                <w:lang w:val="fr-FR"/>
              </w:rPr>
            </w:pPr>
            <w:proofErr w:type="spellStart"/>
            <w:r w:rsidRPr="0043699F">
              <w:rPr>
                <w:bCs/>
                <w:i/>
                <w:color w:val="000000"/>
                <w:szCs w:val="24"/>
                <w:lang w:val="en-GB"/>
              </w:rPr>
              <w:t>Isurus</w:t>
            </w:r>
            <w:proofErr w:type="spellEnd"/>
            <w:r w:rsidRPr="0043699F">
              <w:rPr>
                <w:bCs/>
                <w:i/>
                <w:color w:val="000000"/>
                <w:szCs w:val="24"/>
                <w:lang w:val="en-GB"/>
              </w:rPr>
              <w:t xml:space="preserve"> </w:t>
            </w:r>
            <w:proofErr w:type="spellStart"/>
            <w:r w:rsidRPr="0043699F">
              <w:rPr>
                <w:bCs/>
                <w:i/>
                <w:color w:val="000000"/>
                <w:szCs w:val="24"/>
                <w:lang w:val="en-GB"/>
              </w:rPr>
              <w:t>oxyrinchus</w:t>
            </w:r>
            <w:proofErr w:type="spellEnd"/>
          </w:p>
        </w:tc>
        <w:tc>
          <w:tcPr>
            <w:tcW w:w="1699" w:type="dxa"/>
          </w:tcPr>
          <w:p w:rsidR="002D3494" w:rsidRDefault="002D3494" w:rsidP="0043699F">
            <w:pPr>
              <w:widowControl w:val="0"/>
              <w:autoSpaceDE w:val="0"/>
              <w:autoSpaceDN w:val="0"/>
              <w:adjustRightInd w:val="0"/>
              <w:rPr>
                <w:lang w:val="fr-FR"/>
              </w:rPr>
            </w:pPr>
            <w:r w:rsidRPr="0043699F">
              <w:rPr>
                <w:color w:val="000000"/>
                <w:szCs w:val="24"/>
                <w:lang w:val="en-GB"/>
              </w:rPr>
              <w:t>Annexe II 2008</w:t>
            </w:r>
          </w:p>
        </w:tc>
        <w:tc>
          <w:tcPr>
            <w:tcW w:w="2088" w:type="dxa"/>
          </w:tcPr>
          <w:p w:rsidR="002D3494" w:rsidRDefault="002D3494" w:rsidP="0043699F">
            <w:pPr>
              <w:widowControl w:val="0"/>
              <w:autoSpaceDE w:val="0"/>
              <w:autoSpaceDN w:val="0"/>
              <w:adjustRightInd w:val="0"/>
              <w:jc w:val="both"/>
              <w:rPr>
                <w:lang w:val="fr-FR"/>
              </w:rPr>
            </w:pPr>
            <w:r w:rsidRPr="0043699F">
              <w:rPr>
                <w:color w:val="000000"/>
                <w:szCs w:val="24"/>
                <w:lang w:val="en-GB"/>
              </w:rPr>
              <w:t>2010</w:t>
            </w:r>
          </w:p>
        </w:tc>
        <w:tc>
          <w:tcPr>
            <w:tcW w:w="1714" w:type="dxa"/>
          </w:tcPr>
          <w:p w:rsidR="002D3494" w:rsidRDefault="002D3494" w:rsidP="00105EA7">
            <w:pPr>
              <w:pStyle w:val="ListParagraph"/>
              <w:ind w:left="0"/>
              <w:rPr>
                <w:lang w:val="fr-FR"/>
              </w:rPr>
            </w:pP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lastRenderedPageBreak/>
              <w:t>Requin petite-taupe</w:t>
            </w:r>
          </w:p>
          <w:p w:rsidR="002D3494" w:rsidRDefault="002D3494" w:rsidP="002D3494">
            <w:pPr>
              <w:pStyle w:val="ListParagraph"/>
              <w:ind w:left="0"/>
              <w:rPr>
                <w:lang w:val="fr-FR"/>
              </w:rPr>
            </w:pPr>
            <w:proofErr w:type="spellStart"/>
            <w:r w:rsidRPr="002D3494">
              <w:rPr>
                <w:lang w:val="fr-FR"/>
              </w:rPr>
              <w:t>Isurus</w:t>
            </w:r>
            <w:proofErr w:type="spellEnd"/>
            <w:r w:rsidRPr="002D3494">
              <w:rPr>
                <w:lang w:val="fr-FR"/>
              </w:rPr>
              <w:t xml:space="preserve"> </w:t>
            </w:r>
            <w:proofErr w:type="spellStart"/>
            <w:r w:rsidRPr="002D3494">
              <w:rPr>
                <w:lang w:val="fr-FR"/>
              </w:rPr>
              <w:t>paucus</w:t>
            </w:r>
            <w:proofErr w:type="spellEnd"/>
          </w:p>
        </w:tc>
        <w:tc>
          <w:tcPr>
            <w:tcW w:w="1699" w:type="dxa"/>
          </w:tcPr>
          <w:p w:rsidR="002D3494" w:rsidRDefault="002D3494" w:rsidP="0043699F">
            <w:pPr>
              <w:widowControl w:val="0"/>
              <w:autoSpaceDE w:val="0"/>
              <w:autoSpaceDN w:val="0"/>
              <w:adjustRightInd w:val="0"/>
              <w:rPr>
                <w:lang w:val="fr-FR"/>
              </w:rPr>
            </w:pPr>
            <w:r w:rsidRPr="0043699F">
              <w:rPr>
                <w:color w:val="000000"/>
                <w:szCs w:val="24"/>
                <w:lang w:val="en-GB"/>
              </w:rPr>
              <w:t>Annexe II 2008</w:t>
            </w:r>
          </w:p>
        </w:tc>
        <w:tc>
          <w:tcPr>
            <w:tcW w:w="2088" w:type="dxa"/>
          </w:tcPr>
          <w:p w:rsidR="002D3494" w:rsidRDefault="002D3494" w:rsidP="0043699F">
            <w:pPr>
              <w:widowControl w:val="0"/>
              <w:autoSpaceDE w:val="0"/>
              <w:autoSpaceDN w:val="0"/>
              <w:adjustRightInd w:val="0"/>
              <w:jc w:val="both"/>
              <w:rPr>
                <w:lang w:val="fr-FR"/>
              </w:rPr>
            </w:pPr>
            <w:r w:rsidRPr="0043699F">
              <w:rPr>
                <w:color w:val="000000"/>
                <w:szCs w:val="24"/>
                <w:lang w:val="en-GB"/>
              </w:rPr>
              <w:t>2010</w:t>
            </w:r>
          </w:p>
        </w:tc>
        <w:tc>
          <w:tcPr>
            <w:tcW w:w="1714" w:type="dxa"/>
          </w:tcPr>
          <w:p w:rsidR="002D3494" w:rsidRDefault="002D3494" w:rsidP="00105EA7">
            <w:pPr>
              <w:pStyle w:val="ListParagraph"/>
              <w:ind w:left="0"/>
              <w:rPr>
                <w:lang w:val="fr-FR"/>
              </w:rPr>
            </w:pP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Raie Manta géante</w:t>
            </w:r>
          </w:p>
          <w:p w:rsidR="002D3494" w:rsidRPr="002D3494" w:rsidRDefault="002D3494" w:rsidP="0043699F">
            <w:pPr>
              <w:widowControl w:val="0"/>
              <w:autoSpaceDE w:val="0"/>
              <w:autoSpaceDN w:val="0"/>
              <w:adjustRightInd w:val="0"/>
              <w:jc w:val="both"/>
              <w:rPr>
                <w:lang w:val="fr-FR"/>
              </w:rPr>
            </w:pPr>
            <w:r w:rsidRPr="0043699F">
              <w:rPr>
                <w:bCs/>
                <w:i/>
                <w:color w:val="000000"/>
                <w:szCs w:val="24"/>
                <w:lang w:val="en-GB"/>
              </w:rPr>
              <w:t xml:space="preserve">Manta </w:t>
            </w:r>
            <w:proofErr w:type="spellStart"/>
            <w:r w:rsidRPr="0043699F">
              <w:rPr>
                <w:bCs/>
                <w:i/>
                <w:color w:val="000000"/>
                <w:szCs w:val="24"/>
                <w:lang w:val="en-GB"/>
              </w:rPr>
              <w:t>birostris</w:t>
            </w:r>
            <w:proofErr w:type="spellEnd"/>
          </w:p>
        </w:tc>
        <w:tc>
          <w:tcPr>
            <w:tcW w:w="1699"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 xml:space="preserve">Annexe I </w:t>
            </w:r>
          </w:p>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2011</w:t>
            </w:r>
          </w:p>
          <w:p w:rsidR="002D3494" w:rsidRPr="002D3494" w:rsidRDefault="002D3494" w:rsidP="0043699F">
            <w:pPr>
              <w:widowControl w:val="0"/>
              <w:autoSpaceDE w:val="0"/>
              <w:autoSpaceDN w:val="0"/>
              <w:adjustRightInd w:val="0"/>
              <w:rPr>
                <w:lang w:val="fr-FR"/>
              </w:rPr>
            </w:pPr>
            <w:r w:rsidRPr="0043699F">
              <w:rPr>
                <w:color w:val="000000"/>
                <w:szCs w:val="24"/>
                <w:lang w:val="en-GB"/>
              </w:rPr>
              <w:t>Annexe II 2011</w:t>
            </w:r>
          </w:p>
        </w:tc>
        <w:tc>
          <w:tcPr>
            <w:tcW w:w="2088"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Son inscription sera automatiquement proposée à la deuxième Réunion des Signataires</w:t>
            </w:r>
          </w:p>
        </w:tc>
        <w:tc>
          <w:tcPr>
            <w:tcW w:w="1714"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 xml:space="preserve">Annexe II 2013 </w:t>
            </w:r>
          </w:p>
          <w:p w:rsidR="002D3494" w:rsidRDefault="002D3494" w:rsidP="0043699F">
            <w:pPr>
              <w:widowControl w:val="0"/>
              <w:autoSpaceDE w:val="0"/>
              <w:autoSpaceDN w:val="0"/>
              <w:adjustRightInd w:val="0"/>
              <w:rPr>
                <w:lang w:val="fr-FR"/>
              </w:rPr>
            </w:pPr>
            <w:r w:rsidRPr="0043699F">
              <w:rPr>
                <w:color w:val="3B3B3B"/>
                <w:sz w:val="18"/>
                <w:szCs w:val="18"/>
                <w:shd w:val="clear" w:color="auto" w:fill="FAFAF6"/>
                <w:lang w:val="en-GB"/>
              </w:rPr>
              <w:t xml:space="preserve">(Manta </w:t>
            </w:r>
            <w:proofErr w:type="spellStart"/>
            <w:r w:rsidRPr="0043699F">
              <w:rPr>
                <w:color w:val="3B3B3B"/>
                <w:sz w:val="18"/>
                <w:szCs w:val="18"/>
                <w:shd w:val="clear" w:color="auto" w:fill="FAFAF6"/>
                <w:lang w:val="en-GB"/>
              </w:rPr>
              <w:t>spp</w:t>
            </w:r>
            <w:proofErr w:type="spellEnd"/>
            <w:r w:rsidRPr="0043699F">
              <w:rPr>
                <w:color w:val="3B3B3B"/>
                <w:sz w:val="18"/>
                <w:szCs w:val="18"/>
                <w:shd w:val="clear" w:color="auto" w:fill="FAFAF6"/>
                <w:lang w:val="en-GB"/>
              </w:rPr>
              <w:t>)</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Grand requin-marteau</w:t>
            </w:r>
          </w:p>
          <w:p w:rsidR="002D3494" w:rsidRPr="002D3494" w:rsidRDefault="002D3494" w:rsidP="0043699F">
            <w:pPr>
              <w:widowControl w:val="0"/>
              <w:autoSpaceDE w:val="0"/>
              <w:autoSpaceDN w:val="0"/>
              <w:adjustRightInd w:val="0"/>
              <w:jc w:val="both"/>
              <w:rPr>
                <w:lang w:val="fr-FR"/>
              </w:rPr>
            </w:pPr>
            <w:proofErr w:type="spellStart"/>
            <w:r w:rsidRPr="0043699F">
              <w:rPr>
                <w:b/>
                <w:bCs/>
                <w:i/>
                <w:color w:val="000000"/>
                <w:szCs w:val="24"/>
                <w:lang w:val="en-GB"/>
              </w:rPr>
              <w:t>Sphyrna</w:t>
            </w:r>
            <w:proofErr w:type="spellEnd"/>
            <w:r w:rsidRPr="0043699F">
              <w:rPr>
                <w:b/>
                <w:bCs/>
                <w:i/>
                <w:color w:val="000000"/>
                <w:szCs w:val="24"/>
                <w:lang w:val="en-GB"/>
              </w:rPr>
              <w:t xml:space="preserve"> </w:t>
            </w:r>
            <w:proofErr w:type="spellStart"/>
            <w:r w:rsidRPr="0043699F">
              <w:rPr>
                <w:b/>
                <w:bCs/>
                <w:i/>
                <w:color w:val="000000"/>
                <w:szCs w:val="24"/>
                <w:lang w:val="en-GB"/>
              </w:rPr>
              <w:t>mokarran</w:t>
            </w:r>
            <w:proofErr w:type="spellEnd"/>
          </w:p>
        </w:tc>
        <w:tc>
          <w:tcPr>
            <w:tcW w:w="1699" w:type="dxa"/>
          </w:tcPr>
          <w:p w:rsidR="002D3494" w:rsidRPr="002D3494" w:rsidRDefault="002D3494" w:rsidP="00105EA7">
            <w:pPr>
              <w:pStyle w:val="ListParagraph"/>
              <w:ind w:left="0"/>
              <w:rPr>
                <w:lang w:val="fr-FR"/>
              </w:rPr>
            </w:pPr>
          </w:p>
        </w:tc>
        <w:tc>
          <w:tcPr>
            <w:tcW w:w="2088" w:type="dxa"/>
          </w:tcPr>
          <w:p w:rsidR="002D3494" w:rsidRPr="002D3494" w:rsidRDefault="002D3494" w:rsidP="00105EA7">
            <w:pPr>
              <w:pStyle w:val="ListParagraph"/>
              <w:ind w:left="0"/>
              <w:rPr>
                <w:lang w:val="fr-FR"/>
              </w:rPr>
            </w:pP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2013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Requin-marteau festonné</w:t>
            </w:r>
          </w:p>
          <w:p w:rsidR="002D3494" w:rsidRPr="002D3494" w:rsidRDefault="002D3494" w:rsidP="0043699F">
            <w:pPr>
              <w:widowControl w:val="0"/>
              <w:autoSpaceDE w:val="0"/>
              <w:autoSpaceDN w:val="0"/>
              <w:adjustRightInd w:val="0"/>
              <w:jc w:val="both"/>
              <w:rPr>
                <w:lang w:val="fr-FR"/>
              </w:rPr>
            </w:pPr>
            <w:proofErr w:type="spellStart"/>
            <w:r w:rsidRPr="0043699F">
              <w:rPr>
                <w:b/>
                <w:bCs/>
                <w:i/>
                <w:color w:val="000000"/>
                <w:szCs w:val="24"/>
                <w:lang w:val="en-GB"/>
              </w:rPr>
              <w:t>Sphyrna</w:t>
            </w:r>
            <w:proofErr w:type="spellEnd"/>
            <w:r w:rsidRPr="0043699F">
              <w:rPr>
                <w:b/>
                <w:bCs/>
                <w:i/>
                <w:color w:val="000000"/>
                <w:szCs w:val="24"/>
                <w:lang w:val="en-GB"/>
              </w:rPr>
              <w:t xml:space="preserve"> </w:t>
            </w:r>
            <w:proofErr w:type="spellStart"/>
            <w:r w:rsidRPr="0043699F">
              <w:rPr>
                <w:b/>
                <w:bCs/>
                <w:i/>
                <w:color w:val="000000"/>
                <w:szCs w:val="24"/>
                <w:lang w:val="en-GB"/>
              </w:rPr>
              <w:t>lewini</w:t>
            </w:r>
            <w:proofErr w:type="spellEnd"/>
          </w:p>
        </w:tc>
        <w:tc>
          <w:tcPr>
            <w:tcW w:w="1699" w:type="dxa"/>
          </w:tcPr>
          <w:p w:rsidR="002D3494" w:rsidRPr="002D3494" w:rsidRDefault="002D3494" w:rsidP="00105EA7">
            <w:pPr>
              <w:pStyle w:val="ListParagraph"/>
              <w:ind w:left="0"/>
              <w:rPr>
                <w:lang w:val="fr-FR"/>
              </w:rPr>
            </w:pPr>
          </w:p>
        </w:tc>
        <w:tc>
          <w:tcPr>
            <w:tcW w:w="2088" w:type="dxa"/>
          </w:tcPr>
          <w:p w:rsidR="002D3494" w:rsidRPr="002D3494" w:rsidRDefault="002D3494" w:rsidP="00105EA7">
            <w:pPr>
              <w:pStyle w:val="ListParagraph"/>
              <w:ind w:left="0"/>
              <w:rPr>
                <w:lang w:val="fr-FR"/>
              </w:rPr>
            </w:pP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2013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Requin-marteau commun</w:t>
            </w:r>
          </w:p>
          <w:p w:rsidR="002D3494" w:rsidRPr="002D3494" w:rsidRDefault="002D3494" w:rsidP="0043699F">
            <w:pPr>
              <w:widowControl w:val="0"/>
              <w:autoSpaceDE w:val="0"/>
              <w:autoSpaceDN w:val="0"/>
              <w:adjustRightInd w:val="0"/>
              <w:jc w:val="both"/>
              <w:rPr>
                <w:lang w:val="fr-FR"/>
              </w:rPr>
            </w:pPr>
            <w:proofErr w:type="spellStart"/>
            <w:r w:rsidRPr="0043699F">
              <w:rPr>
                <w:b/>
                <w:bCs/>
                <w:i/>
                <w:color w:val="000000"/>
                <w:szCs w:val="24"/>
                <w:lang w:val="en-GB"/>
              </w:rPr>
              <w:t>Sphyrna</w:t>
            </w:r>
            <w:proofErr w:type="spellEnd"/>
            <w:r w:rsidRPr="0043699F">
              <w:rPr>
                <w:b/>
                <w:bCs/>
                <w:i/>
                <w:color w:val="000000"/>
                <w:szCs w:val="24"/>
                <w:lang w:val="en-GB"/>
              </w:rPr>
              <w:t xml:space="preserve"> </w:t>
            </w:r>
            <w:proofErr w:type="spellStart"/>
            <w:r w:rsidRPr="0043699F">
              <w:rPr>
                <w:b/>
                <w:bCs/>
                <w:i/>
                <w:color w:val="000000"/>
                <w:szCs w:val="24"/>
                <w:lang w:val="en-GB"/>
              </w:rPr>
              <w:t>zygaena</w:t>
            </w:r>
            <w:proofErr w:type="spellEnd"/>
          </w:p>
        </w:tc>
        <w:tc>
          <w:tcPr>
            <w:tcW w:w="1699" w:type="dxa"/>
          </w:tcPr>
          <w:p w:rsidR="002D3494" w:rsidRPr="002D3494" w:rsidRDefault="002D3494" w:rsidP="00105EA7">
            <w:pPr>
              <w:pStyle w:val="ListParagraph"/>
              <w:ind w:left="0"/>
              <w:rPr>
                <w:lang w:val="fr-FR"/>
              </w:rPr>
            </w:pPr>
          </w:p>
        </w:tc>
        <w:tc>
          <w:tcPr>
            <w:tcW w:w="2088" w:type="dxa"/>
          </w:tcPr>
          <w:p w:rsidR="002D3494" w:rsidRPr="002D3494" w:rsidRDefault="002D3494" w:rsidP="00105EA7">
            <w:pPr>
              <w:pStyle w:val="ListParagraph"/>
              <w:ind w:left="0"/>
              <w:rPr>
                <w:lang w:val="fr-FR"/>
              </w:rPr>
            </w:pP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2013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Requin océanique</w:t>
            </w:r>
          </w:p>
          <w:p w:rsidR="002D3494" w:rsidRPr="002D3494" w:rsidRDefault="002D3494" w:rsidP="0043699F">
            <w:pPr>
              <w:widowControl w:val="0"/>
              <w:autoSpaceDE w:val="0"/>
              <w:autoSpaceDN w:val="0"/>
              <w:adjustRightInd w:val="0"/>
              <w:jc w:val="both"/>
              <w:rPr>
                <w:lang w:val="fr-FR"/>
              </w:rPr>
            </w:pPr>
            <w:proofErr w:type="spellStart"/>
            <w:r w:rsidRPr="0043699F">
              <w:rPr>
                <w:b/>
                <w:bCs/>
                <w:i/>
                <w:color w:val="000000"/>
                <w:szCs w:val="24"/>
                <w:lang w:val="en-GB"/>
              </w:rPr>
              <w:t>Carcharinus</w:t>
            </w:r>
            <w:proofErr w:type="spellEnd"/>
            <w:r w:rsidRPr="0043699F">
              <w:rPr>
                <w:b/>
                <w:bCs/>
                <w:i/>
                <w:color w:val="000000"/>
                <w:szCs w:val="24"/>
                <w:lang w:val="en-GB"/>
              </w:rPr>
              <w:t xml:space="preserve"> </w:t>
            </w:r>
            <w:proofErr w:type="spellStart"/>
            <w:r w:rsidRPr="0043699F">
              <w:rPr>
                <w:b/>
                <w:bCs/>
                <w:i/>
                <w:color w:val="000000"/>
                <w:szCs w:val="24"/>
                <w:lang w:val="en-GB"/>
              </w:rPr>
              <w:t>longimanus</w:t>
            </w:r>
            <w:proofErr w:type="spellEnd"/>
          </w:p>
        </w:tc>
        <w:tc>
          <w:tcPr>
            <w:tcW w:w="1699" w:type="dxa"/>
          </w:tcPr>
          <w:p w:rsidR="002D3494" w:rsidRPr="002D3494" w:rsidRDefault="002D3494" w:rsidP="00105EA7">
            <w:pPr>
              <w:pStyle w:val="ListParagraph"/>
              <w:ind w:left="0"/>
              <w:rPr>
                <w:lang w:val="fr-FR"/>
              </w:rPr>
            </w:pPr>
          </w:p>
        </w:tc>
        <w:tc>
          <w:tcPr>
            <w:tcW w:w="2088" w:type="dxa"/>
          </w:tcPr>
          <w:p w:rsidR="002D3494" w:rsidRPr="002D3494" w:rsidRDefault="002D3494" w:rsidP="00105EA7">
            <w:pPr>
              <w:pStyle w:val="ListParagraph"/>
              <w:ind w:left="0"/>
              <w:rPr>
                <w:lang w:val="fr-FR"/>
              </w:rPr>
            </w:pPr>
          </w:p>
        </w:tc>
        <w:tc>
          <w:tcPr>
            <w:tcW w:w="1714" w:type="dxa"/>
          </w:tcPr>
          <w:p w:rsidR="002D3494" w:rsidRDefault="002D3494" w:rsidP="00105EA7">
            <w:pPr>
              <w:pStyle w:val="ListParagraph"/>
              <w:ind w:left="0"/>
              <w:rPr>
                <w:lang w:val="fr-FR"/>
              </w:rPr>
            </w:pPr>
            <w:r w:rsidRPr="0043699F">
              <w:rPr>
                <w:color w:val="000000"/>
                <w:szCs w:val="24"/>
                <w:lang w:val="en-GB"/>
              </w:rPr>
              <w:t>Annexe II</w:t>
            </w:r>
            <w:r w:rsidRPr="002D3494">
              <w:rPr>
                <w:lang w:val="fr-FR"/>
              </w:rPr>
              <w:t xml:space="preserve"> 2013</w:t>
            </w:r>
          </w:p>
        </w:tc>
      </w:tr>
      <w:tr w:rsidR="002D3494" w:rsidTr="0043699F">
        <w:trPr>
          <w:cantSplit/>
        </w:trPr>
        <w:tc>
          <w:tcPr>
            <w:tcW w:w="3802" w:type="dxa"/>
          </w:tcPr>
          <w:p w:rsidR="002D3494" w:rsidRPr="0043699F" w:rsidRDefault="002D3494" w:rsidP="0043699F">
            <w:pPr>
              <w:widowControl w:val="0"/>
              <w:autoSpaceDE w:val="0"/>
              <w:autoSpaceDN w:val="0"/>
              <w:adjustRightInd w:val="0"/>
              <w:jc w:val="both"/>
              <w:rPr>
                <w:b/>
                <w:bCs/>
                <w:color w:val="000000"/>
                <w:szCs w:val="24"/>
                <w:lang w:val="en-GB"/>
              </w:rPr>
            </w:pPr>
            <w:r w:rsidRPr="0043699F">
              <w:rPr>
                <w:b/>
                <w:bCs/>
                <w:color w:val="000000"/>
                <w:szCs w:val="24"/>
                <w:lang w:val="en-GB"/>
              </w:rPr>
              <w:t>Toutes les espèces de poisson-scie</w:t>
            </w:r>
          </w:p>
          <w:p w:rsidR="002D3494" w:rsidRPr="002D3494" w:rsidRDefault="002D3494" w:rsidP="0043699F">
            <w:pPr>
              <w:widowControl w:val="0"/>
              <w:autoSpaceDE w:val="0"/>
              <w:autoSpaceDN w:val="0"/>
              <w:adjustRightInd w:val="0"/>
              <w:jc w:val="both"/>
              <w:rPr>
                <w:lang w:val="fr-FR"/>
              </w:rPr>
            </w:pPr>
            <w:proofErr w:type="spellStart"/>
            <w:r w:rsidRPr="0043699F">
              <w:rPr>
                <w:b/>
                <w:bCs/>
                <w:i/>
                <w:color w:val="000000"/>
                <w:szCs w:val="24"/>
                <w:lang w:val="en-GB"/>
              </w:rPr>
              <w:t>Pristidae</w:t>
            </w:r>
            <w:proofErr w:type="spellEnd"/>
            <w:r w:rsidRPr="0043699F">
              <w:rPr>
                <w:b/>
                <w:bCs/>
                <w:i/>
                <w:color w:val="000000"/>
                <w:szCs w:val="24"/>
                <w:lang w:val="en-GB"/>
              </w:rPr>
              <w:t xml:space="preserve"> </w:t>
            </w:r>
            <w:proofErr w:type="spellStart"/>
            <w:r w:rsidRPr="0043699F">
              <w:rPr>
                <w:b/>
                <w:bCs/>
                <w:i/>
                <w:color w:val="000000"/>
                <w:szCs w:val="24"/>
                <w:lang w:val="en-GB"/>
              </w:rPr>
              <w:t>spp</w:t>
            </w:r>
            <w:proofErr w:type="spellEnd"/>
          </w:p>
        </w:tc>
        <w:tc>
          <w:tcPr>
            <w:tcW w:w="1699" w:type="dxa"/>
          </w:tcPr>
          <w:p w:rsidR="002D3494" w:rsidRPr="002D3494" w:rsidRDefault="002D3494" w:rsidP="00105EA7">
            <w:pPr>
              <w:pStyle w:val="ListParagraph"/>
              <w:ind w:left="0"/>
              <w:rPr>
                <w:lang w:val="fr-FR"/>
              </w:rPr>
            </w:pPr>
          </w:p>
        </w:tc>
        <w:tc>
          <w:tcPr>
            <w:tcW w:w="2088" w:type="dxa"/>
          </w:tcPr>
          <w:p w:rsidR="002D3494" w:rsidRPr="002D3494" w:rsidRDefault="002D3494" w:rsidP="00105EA7">
            <w:pPr>
              <w:pStyle w:val="ListParagraph"/>
              <w:ind w:left="0"/>
              <w:rPr>
                <w:lang w:val="fr-FR"/>
              </w:rPr>
            </w:pPr>
          </w:p>
        </w:tc>
        <w:tc>
          <w:tcPr>
            <w:tcW w:w="1714" w:type="dxa"/>
          </w:tcPr>
          <w:p w:rsidR="002D3494" w:rsidRPr="0043699F" w:rsidRDefault="002D3494" w:rsidP="0043699F">
            <w:pPr>
              <w:widowControl w:val="0"/>
              <w:autoSpaceDE w:val="0"/>
              <w:autoSpaceDN w:val="0"/>
              <w:adjustRightInd w:val="0"/>
              <w:rPr>
                <w:color w:val="000000"/>
                <w:szCs w:val="24"/>
                <w:lang w:val="en-GB"/>
              </w:rPr>
            </w:pPr>
            <w:r w:rsidRPr="0043699F">
              <w:rPr>
                <w:color w:val="000000"/>
                <w:szCs w:val="24"/>
                <w:lang w:val="en-GB"/>
              </w:rPr>
              <w:t xml:space="preserve">Annexe I </w:t>
            </w:r>
          </w:p>
          <w:p w:rsidR="002D3494" w:rsidRDefault="002D3494" w:rsidP="002D3494">
            <w:pPr>
              <w:pStyle w:val="ListParagraph"/>
              <w:ind w:left="0"/>
              <w:rPr>
                <w:lang w:val="fr-FR"/>
              </w:rPr>
            </w:pPr>
            <w:r w:rsidRPr="002D3494">
              <w:rPr>
                <w:lang w:val="fr-FR"/>
              </w:rPr>
              <w:t>2007</w:t>
            </w:r>
          </w:p>
        </w:tc>
      </w:tr>
    </w:tbl>
    <w:p w:rsidR="008F78CB" w:rsidRDefault="008F78CB" w:rsidP="00105EA7">
      <w:pPr>
        <w:pStyle w:val="ListParagraph"/>
        <w:ind w:left="0"/>
        <w:rPr>
          <w:lang w:val="fr-FR"/>
        </w:rPr>
      </w:pPr>
    </w:p>
    <w:p w:rsidR="0043699F" w:rsidRPr="0043699F" w:rsidRDefault="0043699F" w:rsidP="0043699F">
      <w:pPr>
        <w:pStyle w:val="ListParagraph"/>
        <w:ind w:left="0"/>
        <w:jc w:val="both"/>
        <w:rPr>
          <w:lang w:val="fr-FR"/>
        </w:rPr>
      </w:pPr>
      <w:r w:rsidRPr="0043699F">
        <w:rPr>
          <w:lang w:val="fr-FR"/>
        </w:rPr>
        <w:t>9.</w:t>
      </w:r>
      <w:r w:rsidRPr="0043699F">
        <w:rPr>
          <w:lang w:val="fr-FR"/>
        </w:rPr>
        <w:tab/>
        <w:t>Donnant suite à la Recommandation 8.16 de la CMS, adoptée en 2005, un Mémorandum d’entente sur la conservation des requins migrateurs (</w:t>
      </w:r>
      <w:proofErr w:type="spellStart"/>
      <w:r w:rsidRPr="0043699F">
        <w:rPr>
          <w:lang w:val="fr-FR"/>
        </w:rPr>
        <w:t>MdE</w:t>
      </w:r>
      <w:proofErr w:type="spellEnd"/>
      <w:r w:rsidRPr="0043699F">
        <w:rPr>
          <w:lang w:val="fr-FR"/>
        </w:rPr>
        <w:t xml:space="preserve"> sur les requins) a été conclu à Manille en 2010. </w:t>
      </w:r>
    </w:p>
    <w:p w:rsidR="0043699F" w:rsidRPr="0043699F" w:rsidRDefault="0043699F" w:rsidP="0043699F">
      <w:pPr>
        <w:pStyle w:val="ListParagraph"/>
        <w:ind w:left="0"/>
        <w:jc w:val="both"/>
        <w:rPr>
          <w:lang w:val="fr-FR"/>
        </w:rPr>
      </w:pPr>
    </w:p>
    <w:p w:rsidR="0043699F" w:rsidRPr="0043699F" w:rsidRDefault="0043699F" w:rsidP="0043699F">
      <w:pPr>
        <w:pStyle w:val="ListParagraph"/>
        <w:ind w:left="0"/>
        <w:jc w:val="both"/>
        <w:rPr>
          <w:lang w:val="fr-FR"/>
        </w:rPr>
      </w:pPr>
      <w:r w:rsidRPr="0043699F">
        <w:rPr>
          <w:lang w:val="fr-FR"/>
        </w:rPr>
        <w:t>10.</w:t>
      </w:r>
      <w:r w:rsidRPr="0043699F">
        <w:rPr>
          <w:lang w:val="fr-FR"/>
        </w:rPr>
        <w:tab/>
        <w:t xml:space="preserve">Le </w:t>
      </w:r>
      <w:proofErr w:type="spellStart"/>
      <w:r w:rsidRPr="0043699F">
        <w:rPr>
          <w:lang w:val="fr-FR"/>
        </w:rPr>
        <w:t>MdE</w:t>
      </w:r>
      <w:proofErr w:type="spellEnd"/>
      <w:r w:rsidRPr="0043699F">
        <w:rPr>
          <w:lang w:val="fr-FR"/>
        </w:rPr>
        <w:t xml:space="preserve"> sur les requins est le premier instrument mondial spécifiquement consacré à la conservation des requins migrateurs. Il vise à atteindre et à maintenir un état de conservation favorable pour ces espèces, sur la base des meilleures informations scientifiques disponibles et en tenant compte de la valeur socioéconomique de ces espèces pour les gens dans différents pays.</w:t>
      </w:r>
    </w:p>
    <w:p w:rsidR="0043699F" w:rsidRPr="0043699F" w:rsidRDefault="0043699F" w:rsidP="0043699F">
      <w:pPr>
        <w:pStyle w:val="ListParagraph"/>
        <w:ind w:left="0"/>
        <w:jc w:val="both"/>
        <w:rPr>
          <w:lang w:val="fr-FR"/>
        </w:rPr>
      </w:pPr>
    </w:p>
    <w:p w:rsidR="0043699F" w:rsidRPr="0043699F" w:rsidRDefault="0043699F" w:rsidP="0043699F">
      <w:pPr>
        <w:pStyle w:val="ListParagraph"/>
        <w:ind w:left="0"/>
        <w:jc w:val="both"/>
        <w:rPr>
          <w:lang w:val="fr-FR"/>
        </w:rPr>
      </w:pPr>
      <w:r w:rsidRPr="0043699F">
        <w:rPr>
          <w:lang w:val="fr-FR"/>
        </w:rPr>
        <w:t>11.</w:t>
      </w:r>
      <w:r w:rsidRPr="0043699F">
        <w:rPr>
          <w:lang w:val="fr-FR"/>
        </w:rPr>
        <w:tab/>
        <w:t xml:space="preserve">Sept espèces de requins visées par la CMS sont aussi inscrites à l’Annexe I du </w:t>
      </w:r>
      <w:proofErr w:type="spellStart"/>
      <w:r w:rsidRPr="0043699F">
        <w:rPr>
          <w:lang w:val="fr-FR"/>
        </w:rPr>
        <w:t>MdE</w:t>
      </w:r>
      <w:proofErr w:type="spellEnd"/>
      <w:r w:rsidRPr="0043699F">
        <w:rPr>
          <w:lang w:val="fr-FR"/>
        </w:rPr>
        <w:t xml:space="preserve"> sur les requins. La Raie Manta géante, qui a été inscrite aux annexes de la CMS après l’entrée en vigueur du </w:t>
      </w:r>
      <w:proofErr w:type="spellStart"/>
      <w:r w:rsidRPr="0043699F">
        <w:rPr>
          <w:lang w:val="fr-FR"/>
        </w:rPr>
        <w:t>MdE</w:t>
      </w:r>
      <w:proofErr w:type="spellEnd"/>
      <w:r w:rsidRPr="0043699F">
        <w:rPr>
          <w:lang w:val="fr-FR"/>
        </w:rPr>
        <w:t xml:space="preserve">, sera automatiquement proposée pour une inscription à l’Annexe I du </w:t>
      </w:r>
      <w:proofErr w:type="spellStart"/>
      <w:r w:rsidRPr="0043699F">
        <w:rPr>
          <w:lang w:val="fr-FR"/>
        </w:rPr>
        <w:t>MdE</w:t>
      </w:r>
      <w:proofErr w:type="spellEnd"/>
      <w:r w:rsidRPr="0043699F">
        <w:rPr>
          <w:lang w:val="fr-FR"/>
        </w:rPr>
        <w:t>, conformément à la procédure adoptée par les Signataires à leur première réunion en 2012.</w:t>
      </w:r>
    </w:p>
    <w:p w:rsidR="0043699F" w:rsidRPr="0043699F" w:rsidRDefault="0043699F" w:rsidP="0043699F">
      <w:pPr>
        <w:jc w:val="both"/>
        <w:rPr>
          <w:lang w:val="fr-FR"/>
        </w:rPr>
      </w:pPr>
    </w:p>
    <w:p w:rsidR="008F78CB" w:rsidRDefault="0043699F" w:rsidP="0043699F">
      <w:pPr>
        <w:pStyle w:val="ListParagraph"/>
        <w:ind w:left="0"/>
        <w:jc w:val="both"/>
        <w:rPr>
          <w:lang w:val="fr-FR"/>
        </w:rPr>
      </w:pPr>
      <w:r w:rsidRPr="0043699F">
        <w:rPr>
          <w:lang w:val="fr-FR"/>
        </w:rPr>
        <w:t>12.</w:t>
      </w:r>
      <w:r w:rsidRPr="0043699F">
        <w:rPr>
          <w:lang w:val="fr-FR"/>
        </w:rPr>
        <w:tab/>
        <w:t xml:space="preserve">Le Plan de conservation pour les requins migrateurs, qui a été adopté à cette même réunion, complète le </w:t>
      </w:r>
      <w:proofErr w:type="spellStart"/>
      <w:r w:rsidRPr="0043699F">
        <w:rPr>
          <w:lang w:val="fr-FR"/>
        </w:rPr>
        <w:t>MdE</w:t>
      </w:r>
      <w:proofErr w:type="spellEnd"/>
      <w:r w:rsidRPr="0043699F">
        <w:rPr>
          <w:lang w:val="fr-FR"/>
        </w:rPr>
        <w:t xml:space="preserve"> et donne des orientations aux Signataires sur les mesures de conservation prioritaires dans cinq principaux domaines, à savoir, la recherche, la pêche durable, la coopération internationale, la sensibilisation et la conservation des habitats.</w:t>
      </w:r>
    </w:p>
    <w:p w:rsidR="008F78CB" w:rsidRDefault="008F78CB" w:rsidP="00105EA7">
      <w:pPr>
        <w:pStyle w:val="ListParagraph"/>
        <w:ind w:left="0"/>
        <w:rPr>
          <w:lang w:val="fr-FR"/>
        </w:rPr>
      </w:pPr>
    </w:p>
    <w:p w:rsidR="0043699F" w:rsidRPr="00CE32A5" w:rsidRDefault="0043699F" w:rsidP="00CE32A5">
      <w:pPr>
        <w:widowControl w:val="0"/>
        <w:autoSpaceDE w:val="0"/>
        <w:autoSpaceDN w:val="0"/>
        <w:adjustRightInd w:val="0"/>
        <w:jc w:val="both"/>
        <w:rPr>
          <w:rFonts w:eastAsia="Times New Roman"/>
          <w:b/>
          <w:color w:val="000000"/>
          <w:szCs w:val="24"/>
          <w:lang w:val="en-GB"/>
        </w:rPr>
      </w:pPr>
      <w:r w:rsidRPr="00CE32A5">
        <w:rPr>
          <w:rFonts w:eastAsia="Times New Roman"/>
          <w:b/>
          <w:color w:val="000000"/>
          <w:szCs w:val="24"/>
          <w:lang w:val="en-GB"/>
        </w:rPr>
        <w:t xml:space="preserve">Augmenter le nombre de Signataires du </w:t>
      </w:r>
      <w:proofErr w:type="spellStart"/>
      <w:r w:rsidRPr="00CE32A5">
        <w:rPr>
          <w:rFonts w:eastAsia="Times New Roman"/>
          <w:b/>
          <w:color w:val="000000"/>
          <w:szCs w:val="24"/>
          <w:lang w:val="en-GB"/>
        </w:rPr>
        <w:t>MdE</w:t>
      </w:r>
      <w:proofErr w:type="spellEnd"/>
      <w:r w:rsidRPr="00CE32A5">
        <w:rPr>
          <w:rFonts w:eastAsia="Times New Roman"/>
          <w:b/>
          <w:color w:val="000000"/>
          <w:szCs w:val="24"/>
          <w:lang w:val="en-GB"/>
        </w:rPr>
        <w:t xml:space="preserve"> sur les requins de la CMS :</w:t>
      </w:r>
    </w:p>
    <w:p w:rsidR="0043699F" w:rsidRDefault="0043699F" w:rsidP="00105EA7">
      <w:pPr>
        <w:pStyle w:val="ListParagraph"/>
        <w:ind w:left="0"/>
        <w:rPr>
          <w:lang w:val="fr-FR"/>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13.</w:t>
      </w:r>
      <w:r w:rsidRPr="00CE32A5">
        <w:rPr>
          <w:rFonts w:eastAsia="Times New Roman"/>
          <w:color w:val="000000"/>
          <w:szCs w:val="24"/>
          <w:lang w:val="en-GB"/>
        </w:rPr>
        <w:tab/>
        <w:t xml:space="preserve">Le </w:t>
      </w:r>
      <w:proofErr w:type="spellStart"/>
      <w:r w:rsidRPr="00CE32A5">
        <w:rPr>
          <w:rFonts w:eastAsia="Times New Roman"/>
          <w:color w:val="000000"/>
          <w:szCs w:val="24"/>
          <w:lang w:val="en-GB"/>
        </w:rPr>
        <w:t>MdE</w:t>
      </w:r>
      <w:proofErr w:type="spellEnd"/>
      <w:r w:rsidRPr="00CE32A5">
        <w:rPr>
          <w:rFonts w:eastAsia="Times New Roman"/>
          <w:color w:val="000000"/>
          <w:szCs w:val="24"/>
          <w:lang w:val="en-GB"/>
        </w:rPr>
        <w:t xml:space="preserve"> est un instrument mondial, ouvert à la signature de tous les États de l’aire de répartition des requins migrateurs et des États du pavillon dont les navires pratiquent une pêche au-delà des zones relevant de la juridiction nationale qui inclut la capture, ou la capture potentielle, des espèces de requins migrateurs.</w:t>
      </w: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14.</w:t>
      </w:r>
      <w:r w:rsidRPr="00CE32A5">
        <w:rPr>
          <w:rFonts w:eastAsia="Times New Roman"/>
          <w:color w:val="000000"/>
          <w:szCs w:val="24"/>
          <w:lang w:val="en-GB"/>
        </w:rPr>
        <w:tab/>
        <w:t xml:space="preserve">En mai 2014, le nombre de Signataires du </w:t>
      </w:r>
      <w:proofErr w:type="spellStart"/>
      <w:r w:rsidRPr="00CE32A5">
        <w:rPr>
          <w:rFonts w:eastAsia="Times New Roman"/>
          <w:color w:val="000000"/>
          <w:szCs w:val="24"/>
          <w:lang w:val="en-GB"/>
        </w:rPr>
        <w:t>MdE</w:t>
      </w:r>
      <w:proofErr w:type="spellEnd"/>
      <w:r w:rsidRPr="00CE32A5">
        <w:rPr>
          <w:rFonts w:eastAsia="Times New Roman"/>
          <w:color w:val="000000"/>
          <w:szCs w:val="24"/>
          <w:lang w:val="en-GB"/>
        </w:rPr>
        <w:t xml:space="preserve"> s’élevait à 36, y compris l’Union européenne. Afin de préserver les espèces grandes migratrices, il convient d’avoir une base de membres plus large pour renforcer la coopération internationale en matière de conservation et </w:t>
      </w:r>
      <w:r w:rsidRPr="00CE32A5">
        <w:rPr>
          <w:rFonts w:eastAsia="Times New Roman"/>
          <w:color w:val="000000"/>
          <w:szCs w:val="24"/>
          <w:lang w:val="en-GB"/>
        </w:rPr>
        <w:lastRenderedPageBreak/>
        <w:t>de gestion des requins (et des raies) à l’intérieur et au-delà des zones relevant de la juridiction nationale.</w:t>
      </w:r>
    </w:p>
    <w:p w:rsidR="0043699F" w:rsidRPr="00CE32A5" w:rsidRDefault="0043699F" w:rsidP="00CE32A5">
      <w:pPr>
        <w:widowControl w:val="0"/>
        <w:autoSpaceDE w:val="0"/>
        <w:autoSpaceDN w:val="0"/>
        <w:adjustRightInd w:val="0"/>
        <w:jc w:val="both"/>
        <w:rPr>
          <w:rFonts w:eastAsia="Times New Roman"/>
          <w:b/>
          <w:color w:val="000000"/>
          <w:szCs w:val="24"/>
          <w:lang w:val="en-GB"/>
        </w:rPr>
      </w:pPr>
    </w:p>
    <w:p w:rsidR="0043699F" w:rsidRPr="00CE32A5" w:rsidRDefault="0043699F" w:rsidP="00CE32A5">
      <w:pPr>
        <w:widowControl w:val="0"/>
        <w:autoSpaceDE w:val="0"/>
        <w:autoSpaceDN w:val="0"/>
        <w:adjustRightInd w:val="0"/>
        <w:jc w:val="both"/>
        <w:rPr>
          <w:rFonts w:eastAsia="Times New Roman"/>
          <w:b/>
          <w:color w:val="000000"/>
          <w:szCs w:val="24"/>
          <w:lang w:val="en-GB"/>
        </w:rPr>
      </w:pPr>
      <w:r w:rsidRPr="00CE32A5">
        <w:rPr>
          <w:rFonts w:eastAsia="Times New Roman"/>
          <w:b/>
          <w:color w:val="000000"/>
          <w:szCs w:val="24"/>
          <w:lang w:val="en-GB"/>
        </w:rPr>
        <w:t>Renforcer la coopération avec des organisations compétentes en matière de conservation des requins :</w:t>
      </w:r>
    </w:p>
    <w:p w:rsidR="0043699F" w:rsidRPr="009A6D87" w:rsidRDefault="0043699F" w:rsidP="009A6D87">
      <w:pPr>
        <w:rPr>
          <w:lang w:val="fr-FR"/>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15.</w:t>
      </w:r>
      <w:r w:rsidRPr="00CE32A5">
        <w:rPr>
          <w:rFonts w:eastAsia="Times New Roman"/>
          <w:color w:val="000000"/>
          <w:szCs w:val="24"/>
          <w:lang w:val="en-GB"/>
        </w:rPr>
        <w:tab/>
        <w:t>Il est bien reconnu que le succès de la gestion et de la conservation des requins est tributaire d’une coopération la plus complète possible entre les gouvernements, les organisations intergouvernementales (OIG), les organisations non gouvernementales (ONG), les parties prenantes de l’industrie de la pêche et les communautés locales.</w:t>
      </w:r>
    </w:p>
    <w:p w:rsidR="0043699F" w:rsidRPr="00CE32A5" w:rsidRDefault="0043699F" w:rsidP="00CE32A5">
      <w:pPr>
        <w:rPr>
          <w:lang w:val="fr-FR"/>
        </w:rPr>
      </w:pPr>
    </w:p>
    <w:p w:rsidR="0043699F" w:rsidRPr="00CE32A5" w:rsidRDefault="0043699F" w:rsidP="00CE32A5">
      <w:pPr>
        <w:widowControl w:val="0"/>
        <w:autoSpaceDE w:val="0"/>
        <w:autoSpaceDN w:val="0"/>
        <w:adjustRightInd w:val="0"/>
        <w:jc w:val="both"/>
        <w:rPr>
          <w:rFonts w:eastAsia="Times New Roman"/>
          <w:b/>
          <w:color w:val="000000"/>
          <w:szCs w:val="24"/>
          <w:lang w:val="en-GB"/>
        </w:rPr>
      </w:pPr>
      <w:r w:rsidRPr="00CE32A5">
        <w:rPr>
          <w:rFonts w:eastAsia="Times New Roman"/>
          <w:b/>
          <w:color w:val="000000"/>
          <w:szCs w:val="24"/>
          <w:lang w:val="en-GB"/>
        </w:rPr>
        <w:t xml:space="preserve">Activités menées par d’autres organisations pour préserver les requins et les </w:t>
      </w:r>
      <w:proofErr w:type="gramStart"/>
      <w:r w:rsidRPr="00CE32A5">
        <w:rPr>
          <w:rFonts w:eastAsia="Times New Roman"/>
          <w:b/>
          <w:color w:val="000000"/>
          <w:szCs w:val="24"/>
          <w:lang w:val="en-GB"/>
        </w:rPr>
        <w:t>raies :</w:t>
      </w:r>
      <w:proofErr w:type="gramEnd"/>
    </w:p>
    <w:p w:rsidR="0043699F" w:rsidRPr="00CE32A5" w:rsidRDefault="0043699F" w:rsidP="00CE32A5">
      <w:pPr>
        <w:rPr>
          <w:lang w:val="fr-FR"/>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16.</w:t>
      </w:r>
      <w:r w:rsidRPr="00CE32A5">
        <w:rPr>
          <w:rFonts w:eastAsia="Times New Roman"/>
          <w:color w:val="000000"/>
          <w:szCs w:val="24"/>
          <w:lang w:val="en-GB"/>
        </w:rPr>
        <w:tab/>
        <w:t xml:space="preserve">Cinq espèces de requins </w:t>
      </w:r>
      <w:proofErr w:type="gramStart"/>
      <w:r w:rsidRPr="00CE32A5">
        <w:rPr>
          <w:rFonts w:eastAsia="Times New Roman"/>
          <w:color w:val="000000"/>
          <w:szCs w:val="24"/>
          <w:lang w:val="en-GB"/>
        </w:rPr>
        <w:t>et</w:t>
      </w:r>
      <w:proofErr w:type="gramEnd"/>
      <w:r w:rsidRPr="00CE32A5">
        <w:rPr>
          <w:rFonts w:eastAsia="Times New Roman"/>
          <w:color w:val="000000"/>
          <w:szCs w:val="24"/>
          <w:lang w:val="en-GB"/>
        </w:rPr>
        <w:t xml:space="preserve"> toutes les raies </w:t>
      </w:r>
      <w:proofErr w:type="spellStart"/>
      <w:r w:rsidRPr="00CE32A5">
        <w:rPr>
          <w:rFonts w:eastAsia="Times New Roman"/>
          <w:color w:val="000000"/>
          <w:szCs w:val="24"/>
          <w:lang w:val="en-GB"/>
        </w:rPr>
        <w:t>manta</w:t>
      </w:r>
      <w:proofErr w:type="spellEnd"/>
      <w:r w:rsidRPr="00CE32A5">
        <w:rPr>
          <w:rFonts w:eastAsia="Times New Roman"/>
          <w:color w:val="000000"/>
          <w:szCs w:val="24"/>
          <w:lang w:val="en-GB"/>
        </w:rPr>
        <w:t xml:space="preserve"> ont été inscrites à l’Annexe II de la CITES, à la COP16 en 2013. Elles ont rejoint d’autres espèces de requins et poisson-scie (élasmobranches) inscrites aux Annexes de la CITES au cours de la dernière décennie. Voir le tableau 1 pour une comparaison avec les espèces visées par la CMS.</w:t>
      </w: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17.</w:t>
      </w:r>
      <w:r w:rsidRPr="00CE32A5">
        <w:rPr>
          <w:rFonts w:eastAsia="Times New Roman"/>
          <w:color w:val="000000"/>
          <w:szCs w:val="24"/>
          <w:lang w:val="en-GB"/>
        </w:rPr>
        <w:tab/>
        <w:t>La Convention des Nations Unies sur le droit de la mer (UNCLOS) et l’Accord des Nations Unies sur les stocks de poissons imposent des obligations juridiquement contraignantes qui incombent aux États côtiers et aux États du pavillon de coopérer dans le domaine de la conservation et de la gestion des stocks de poissons chevauchants et des stocks de poissons grands migrateurs. La coopération concernant les ressources halieutiques de la haute mer (zones situées au-delà des limites de la juridiction nationale) est menée par le biais des organisations régionales de gestion des pêches (ORGP).</w:t>
      </w:r>
    </w:p>
    <w:p w:rsidR="0043699F" w:rsidRPr="00CE32A5" w:rsidRDefault="0043699F" w:rsidP="00CE32A5">
      <w:pPr>
        <w:rPr>
          <w:lang w:val="fr-FR"/>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18.</w:t>
      </w:r>
      <w:r w:rsidRPr="00CE32A5">
        <w:rPr>
          <w:rFonts w:eastAsia="Times New Roman"/>
          <w:color w:val="000000"/>
          <w:szCs w:val="24"/>
          <w:lang w:val="en-GB"/>
        </w:rPr>
        <w:tab/>
        <w:t xml:space="preserve">Plusieurs organisations régionales de gestion des pêches ont adopté des mesures génériques concernant la gestion et la conservation des requins, telles qu’une interdiction de cibler les requins et d’enlever les nageoires de requins, et des encouragements à relâcher des requins vivants capturés accidentellement, ainsi qu’un certain nombre de mesures par espèce. Dans le cadre de l’élaboration du </w:t>
      </w:r>
      <w:proofErr w:type="spellStart"/>
      <w:r w:rsidRPr="00CE32A5">
        <w:rPr>
          <w:rFonts w:eastAsia="Times New Roman"/>
          <w:color w:val="000000"/>
          <w:szCs w:val="24"/>
          <w:lang w:val="en-GB"/>
        </w:rPr>
        <w:t>MdE</w:t>
      </w:r>
      <w:proofErr w:type="spellEnd"/>
      <w:r w:rsidRPr="00CE32A5">
        <w:rPr>
          <w:rFonts w:eastAsia="Times New Roman"/>
          <w:color w:val="000000"/>
          <w:szCs w:val="24"/>
          <w:lang w:val="en-GB"/>
        </w:rPr>
        <w:t xml:space="preserve"> sur les requins, les États de l’aire de répartition ont réitéré que les organisations régionales de gestion des pêches devraient jouer un rôle essentiel dans la gestion des populations de requins et qu’ils se souciaient du fait que certaines ORGP n’avaient pas encore adopté des mesures de conservation et de gestion pour la pêche visant directement les requins et la réglementation des captures accidentelles de requins par d’autres pêches.</w:t>
      </w:r>
    </w:p>
    <w:p w:rsidR="0043699F" w:rsidRPr="00CE32A5" w:rsidRDefault="0043699F" w:rsidP="00CE32A5">
      <w:pPr>
        <w:rPr>
          <w:lang w:val="fr-FR"/>
        </w:rPr>
      </w:pP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19.</w:t>
      </w:r>
      <w:r w:rsidRPr="00CE32A5">
        <w:rPr>
          <w:rFonts w:eastAsia="Times New Roman"/>
          <w:color w:val="000000"/>
          <w:szCs w:val="24"/>
          <w:lang w:val="en-GB"/>
        </w:rPr>
        <w:tab/>
        <w:t xml:space="preserve">Le Plan d’action international volontaire pour la conservation </w:t>
      </w:r>
      <w:proofErr w:type="gramStart"/>
      <w:r w:rsidRPr="00CE32A5">
        <w:rPr>
          <w:rFonts w:eastAsia="Times New Roman"/>
          <w:color w:val="000000"/>
          <w:szCs w:val="24"/>
          <w:lang w:val="en-GB"/>
        </w:rPr>
        <w:t>et</w:t>
      </w:r>
      <w:proofErr w:type="gramEnd"/>
      <w:r w:rsidRPr="00CE32A5">
        <w:rPr>
          <w:rFonts w:eastAsia="Times New Roman"/>
          <w:color w:val="000000"/>
          <w:szCs w:val="24"/>
          <w:lang w:val="en-GB"/>
        </w:rPr>
        <w:t xml:space="preserve"> la gestion des requins (PAI-REQUINS) a été élaboré dans le cadre du Code de conduite de la FAO pour une pêche responsable. L’objectif de ce plan d’action est d’assurer la conservation et la gestion des requins et leur exploitation durable à long terme, et est donc compatible avec les objectifs de la CMS. Le PAI-REQUINS prévoit l’élaboration de plans d’action nationaux par les États, dans le domaine de la conservation et de la gestion des requins, lorsque leurs navires capturent régulièrement des requins dans le cadre d’une pêche visant directement les requins, ou en capturent accidentellement dans le cadre d’une pêche ne visant pas directement les requins.</w:t>
      </w:r>
    </w:p>
    <w:p w:rsidR="0043699F" w:rsidRPr="009A6D87" w:rsidRDefault="0043699F" w:rsidP="00CE32A5">
      <w:pPr>
        <w:rPr>
          <w:sz w:val="22"/>
          <w:lang w:val="fr-FR"/>
        </w:rPr>
      </w:pPr>
    </w:p>
    <w:p w:rsidR="0043699F" w:rsidRPr="009A6D87" w:rsidRDefault="0043699F" w:rsidP="009A6D87">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t>20.</w:t>
      </w:r>
      <w:r w:rsidRPr="00CE32A5">
        <w:rPr>
          <w:rFonts w:eastAsia="Times New Roman"/>
          <w:color w:val="000000"/>
          <w:szCs w:val="24"/>
          <w:lang w:val="en-GB"/>
        </w:rPr>
        <w:tab/>
        <w:t xml:space="preserve">L’examen de la mise en œuvre du PAI-REQUINS en 2012 par la FAO a montré que 18 sur les 26 principaux pays, zones et territoires qui pratiquent la pêche au requin ont adopté un plan d’action national pour les requins, et que cinq autres pays parmi ces 26 pays ont engagé un processus d’adoption ou d’élaboration d’un </w:t>
      </w:r>
      <w:proofErr w:type="spellStart"/>
      <w:r w:rsidRPr="00CE32A5">
        <w:rPr>
          <w:rFonts w:eastAsia="Times New Roman"/>
          <w:color w:val="000000"/>
          <w:szCs w:val="24"/>
          <w:lang w:val="en-GB"/>
        </w:rPr>
        <w:t>tel</w:t>
      </w:r>
      <w:proofErr w:type="spellEnd"/>
      <w:r w:rsidRPr="00CE32A5">
        <w:rPr>
          <w:rFonts w:eastAsia="Times New Roman"/>
          <w:color w:val="000000"/>
          <w:szCs w:val="24"/>
          <w:lang w:val="en-GB"/>
        </w:rPr>
        <w:t xml:space="preserve"> plan </w:t>
      </w:r>
      <w:proofErr w:type="spellStart"/>
      <w:r w:rsidRPr="00CE32A5">
        <w:rPr>
          <w:rFonts w:eastAsia="Times New Roman"/>
          <w:color w:val="000000"/>
          <w:szCs w:val="24"/>
          <w:lang w:val="en-GB"/>
        </w:rPr>
        <w:t>d’action</w:t>
      </w:r>
      <w:proofErr w:type="spellEnd"/>
      <w:r w:rsidRPr="00CE32A5">
        <w:rPr>
          <w:rFonts w:eastAsia="Times New Roman"/>
          <w:color w:val="000000"/>
          <w:szCs w:val="24"/>
          <w:lang w:val="en-GB"/>
        </w:rPr>
        <w:t>.</w:t>
      </w:r>
    </w:p>
    <w:p w:rsidR="0043699F" w:rsidRPr="00CE32A5" w:rsidRDefault="0043699F" w:rsidP="00CE32A5">
      <w:pPr>
        <w:pStyle w:val="ListParagraph"/>
        <w:widowControl w:val="0"/>
        <w:autoSpaceDE w:val="0"/>
        <w:autoSpaceDN w:val="0"/>
        <w:adjustRightInd w:val="0"/>
        <w:ind w:left="0"/>
        <w:contextualSpacing/>
        <w:jc w:val="both"/>
        <w:rPr>
          <w:rFonts w:eastAsia="Times New Roman"/>
          <w:color w:val="000000"/>
          <w:szCs w:val="24"/>
          <w:lang w:val="en-GB"/>
        </w:rPr>
      </w:pPr>
      <w:r w:rsidRPr="00CE32A5">
        <w:rPr>
          <w:rFonts w:eastAsia="Times New Roman"/>
          <w:color w:val="000000"/>
          <w:szCs w:val="24"/>
          <w:lang w:val="en-GB"/>
        </w:rPr>
        <w:lastRenderedPageBreak/>
        <w:t>21.</w:t>
      </w:r>
      <w:r w:rsidRPr="00CE32A5">
        <w:rPr>
          <w:rFonts w:eastAsia="Times New Roman"/>
          <w:color w:val="000000"/>
          <w:szCs w:val="24"/>
          <w:lang w:val="en-GB"/>
        </w:rPr>
        <w:tab/>
        <w:t xml:space="preserve">Afin de compléter et d’éviter des doubles emplois avec les initiatives menées par les organisations susmentionnées, il est suggéré dans le projet de résolution ci-joint que le Secrétariat s’engage dans une collaboration étroite avec la CITES, la FAO, les ORGP, la société civile et d’autres parties prenantes concernées, afin de promouvoir des actions coordonnées en matière de conservation et d’exploitation durable des requins et des raies. </w:t>
      </w:r>
    </w:p>
    <w:p w:rsidR="0043699F" w:rsidRPr="00CE32A5" w:rsidRDefault="0043699F" w:rsidP="00CE32A5">
      <w:pPr>
        <w:rPr>
          <w:lang w:val="fr-FR"/>
        </w:rPr>
      </w:pPr>
    </w:p>
    <w:p w:rsidR="0043699F" w:rsidRDefault="0043699F" w:rsidP="0043699F">
      <w:pPr>
        <w:pStyle w:val="ListParagraph"/>
        <w:ind w:left="0"/>
        <w:rPr>
          <w:lang w:val="fr-FR"/>
        </w:rPr>
      </w:pPr>
      <w:r w:rsidRPr="0043699F">
        <w:rPr>
          <w:lang w:val="fr-FR"/>
        </w:rPr>
        <w:t>22.</w:t>
      </w:r>
      <w:r w:rsidRPr="0043699F">
        <w:rPr>
          <w:lang w:val="fr-FR"/>
        </w:rPr>
        <w:tab/>
        <w:t>Le projet de résolution a été approuvé par le Conseil scientifique pour soumission à la COP11.</w:t>
      </w:r>
    </w:p>
    <w:p w:rsidR="0043699F" w:rsidRDefault="0043699F" w:rsidP="00105EA7">
      <w:pPr>
        <w:pStyle w:val="ListParagraph"/>
        <w:ind w:left="0"/>
        <w:rPr>
          <w:lang w:val="fr-FR"/>
        </w:rPr>
      </w:pPr>
    </w:p>
    <w:p w:rsidR="0043699F" w:rsidRPr="00EA39ED" w:rsidRDefault="0043699F" w:rsidP="00105EA7">
      <w:pPr>
        <w:pStyle w:val="ListParagraph"/>
        <w:ind w:left="0"/>
        <w:rPr>
          <w:lang w:val="fr-FR"/>
        </w:rPr>
      </w:pPr>
    </w:p>
    <w:p w:rsidR="00105EA7" w:rsidRPr="00EA39ED" w:rsidRDefault="00105EA7" w:rsidP="00105EA7">
      <w:pPr>
        <w:jc w:val="both"/>
        <w:rPr>
          <w:b/>
          <w:i/>
          <w:u w:val="single"/>
          <w:lang w:val="fr-FR"/>
        </w:rPr>
      </w:pPr>
      <w:r w:rsidRPr="00EA39ED">
        <w:rPr>
          <w:b/>
          <w:i/>
          <w:u w:val="single"/>
          <w:lang w:val="fr-FR"/>
        </w:rPr>
        <w:t>Action requise:</w:t>
      </w:r>
    </w:p>
    <w:p w:rsidR="00105EA7" w:rsidRPr="00EA39ED" w:rsidRDefault="00105EA7" w:rsidP="00105EA7">
      <w:pPr>
        <w:pStyle w:val="ListParagraph"/>
        <w:ind w:left="0"/>
        <w:rPr>
          <w:lang w:val="fr-FR"/>
        </w:rPr>
      </w:pPr>
    </w:p>
    <w:p w:rsidR="009922F7" w:rsidRPr="009922F7" w:rsidRDefault="009922F7" w:rsidP="009922F7">
      <w:pPr>
        <w:widowControl w:val="0"/>
        <w:autoSpaceDE w:val="0"/>
        <w:autoSpaceDN w:val="0"/>
        <w:adjustRightInd w:val="0"/>
        <w:jc w:val="both"/>
        <w:rPr>
          <w:rFonts w:eastAsia="Times New Roman"/>
          <w:szCs w:val="24"/>
          <w:lang w:val="en-GB"/>
        </w:rPr>
      </w:pPr>
      <w:r w:rsidRPr="009922F7">
        <w:rPr>
          <w:rFonts w:eastAsia="Times New Roman"/>
          <w:szCs w:val="24"/>
          <w:lang w:val="en-GB"/>
        </w:rPr>
        <w:t>La Conférence des Parties est invitée à :</w:t>
      </w:r>
    </w:p>
    <w:p w:rsidR="009922F7" w:rsidRPr="009A6D87" w:rsidRDefault="009922F7" w:rsidP="009A6D87">
      <w:pPr>
        <w:rPr>
          <w:sz w:val="23"/>
          <w:lang w:val="fr-FR"/>
        </w:rPr>
      </w:pPr>
    </w:p>
    <w:p w:rsidR="00105EA7" w:rsidRPr="009922F7" w:rsidRDefault="009922F7" w:rsidP="009922F7">
      <w:pPr>
        <w:pStyle w:val="ListParagraph"/>
        <w:numPr>
          <w:ilvl w:val="0"/>
          <w:numId w:val="13"/>
        </w:numPr>
        <w:ind w:left="709" w:hanging="709"/>
        <w:contextualSpacing/>
        <w:jc w:val="both"/>
        <w:rPr>
          <w:rFonts w:eastAsia="Times New Roman"/>
          <w:szCs w:val="24"/>
          <w:lang w:val="en-GB"/>
        </w:rPr>
      </w:pPr>
      <w:r w:rsidRPr="009922F7">
        <w:rPr>
          <w:rFonts w:eastAsia="Times New Roman"/>
          <w:szCs w:val="24"/>
          <w:lang w:val="en-GB"/>
        </w:rPr>
        <w:t>Adopter le projet de résolution qui se trouve en annexe au présent document.</w:t>
      </w:r>
    </w:p>
    <w:p w:rsidR="006E6631" w:rsidRDefault="006E6631" w:rsidP="00105EA7">
      <w:pPr>
        <w:pStyle w:val="ListParagraph"/>
        <w:ind w:left="0"/>
        <w:rPr>
          <w:lang w:val="fr-FR"/>
        </w:rPr>
      </w:pPr>
    </w:p>
    <w:p w:rsidR="006E6631" w:rsidRDefault="006E6631" w:rsidP="00105EA7">
      <w:pPr>
        <w:pStyle w:val="ListParagraph"/>
        <w:ind w:left="0"/>
        <w:rPr>
          <w:lang w:val="fr-FR"/>
        </w:rPr>
      </w:pPr>
    </w:p>
    <w:p w:rsidR="009922F7" w:rsidRDefault="009922F7" w:rsidP="00105EA7">
      <w:pPr>
        <w:pStyle w:val="ListParagraph"/>
        <w:ind w:left="0"/>
        <w:rPr>
          <w:lang w:val="fr-FR"/>
        </w:rPr>
        <w:sectPr w:rsidR="009922F7" w:rsidSect="009A6D87">
          <w:headerReference w:type="even" r:id="rId17"/>
          <w:headerReference w:type="default" r:id="rId18"/>
          <w:pgSz w:w="11907" w:h="16840" w:code="9"/>
          <w:pgMar w:top="1354" w:right="1418" w:bottom="1418" w:left="1418" w:header="510" w:footer="510" w:gutter="0"/>
          <w:cols w:space="720"/>
          <w:docGrid w:linePitch="360"/>
        </w:sectPr>
      </w:pPr>
    </w:p>
    <w:p w:rsidR="006E6631" w:rsidRDefault="009922F7" w:rsidP="009922F7">
      <w:pPr>
        <w:widowControl w:val="0"/>
        <w:autoSpaceDE w:val="0"/>
        <w:autoSpaceDN w:val="0"/>
        <w:adjustRightInd w:val="0"/>
        <w:jc w:val="right"/>
        <w:rPr>
          <w:rFonts w:eastAsia="Times New Roman"/>
          <w:b/>
          <w:caps/>
          <w:szCs w:val="24"/>
          <w:lang w:val="en-GB"/>
        </w:rPr>
      </w:pPr>
      <w:r w:rsidRPr="009922F7">
        <w:rPr>
          <w:rFonts w:eastAsia="Times New Roman"/>
          <w:b/>
          <w:caps/>
          <w:szCs w:val="24"/>
          <w:lang w:val="en-GB"/>
        </w:rPr>
        <w:lastRenderedPageBreak/>
        <w:t>ANNEXE</w:t>
      </w:r>
    </w:p>
    <w:p w:rsidR="009922F7" w:rsidRDefault="009922F7" w:rsidP="009922F7">
      <w:pPr>
        <w:widowControl w:val="0"/>
        <w:autoSpaceDE w:val="0"/>
        <w:autoSpaceDN w:val="0"/>
        <w:adjustRightInd w:val="0"/>
        <w:jc w:val="right"/>
        <w:rPr>
          <w:rFonts w:eastAsia="Times New Roman"/>
          <w:b/>
          <w:caps/>
          <w:szCs w:val="24"/>
          <w:lang w:val="en-GB"/>
        </w:rPr>
      </w:pPr>
    </w:p>
    <w:p w:rsidR="009922F7" w:rsidRPr="009922F7" w:rsidRDefault="009922F7" w:rsidP="009922F7">
      <w:pPr>
        <w:widowControl w:val="0"/>
        <w:autoSpaceDE w:val="0"/>
        <w:autoSpaceDN w:val="0"/>
        <w:adjustRightInd w:val="0"/>
        <w:jc w:val="center"/>
        <w:rPr>
          <w:rFonts w:eastAsia="Times New Roman"/>
          <w:b/>
          <w:caps/>
          <w:szCs w:val="24"/>
          <w:lang w:val="en-GB"/>
        </w:rPr>
      </w:pPr>
      <w:r w:rsidRPr="009922F7">
        <w:rPr>
          <w:rFonts w:eastAsia="Times New Roman"/>
          <w:b/>
          <w:caps/>
          <w:szCs w:val="24"/>
          <w:lang w:val="en-GB"/>
        </w:rPr>
        <w:t>PROJET DE RÉSOLUTION</w:t>
      </w:r>
    </w:p>
    <w:p w:rsidR="009922F7" w:rsidRPr="009922F7" w:rsidRDefault="009922F7" w:rsidP="009922F7">
      <w:pPr>
        <w:widowControl w:val="0"/>
        <w:autoSpaceDE w:val="0"/>
        <w:autoSpaceDN w:val="0"/>
        <w:adjustRightInd w:val="0"/>
        <w:jc w:val="center"/>
        <w:rPr>
          <w:rFonts w:eastAsia="Times New Roman"/>
          <w:b/>
          <w:caps/>
          <w:szCs w:val="24"/>
          <w:lang w:val="en-GB"/>
        </w:rPr>
      </w:pPr>
    </w:p>
    <w:p w:rsidR="009922F7" w:rsidRDefault="009922F7" w:rsidP="009922F7">
      <w:pPr>
        <w:widowControl w:val="0"/>
        <w:autoSpaceDE w:val="0"/>
        <w:autoSpaceDN w:val="0"/>
        <w:adjustRightInd w:val="0"/>
        <w:jc w:val="center"/>
        <w:rPr>
          <w:rFonts w:eastAsia="Times New Roman"/>
          <w:b/>
          <w:caps/>
          <w:szCs w:val="24"/>
          <w:lang w:val="en-GB"/>
        </w:rPr>
      </w:pPr>
      <w:r w:rsidRPr="009922F7">
        <w:rPr>
          <w:rFonts w:eastAsia="Times New Roman"/>
          <w:b/>
          <w:caps/>
          <w:szCs w:val="24"/>
          <w:lang w:val="en-GB"/>
        </w:rPr>
        <w:t>CONSERVATION DES REQUINS ET DES RAIES MIGRATEURS</w:t>
      </w:r>
    </w:p>
    <w:p w:rsidR="009922F7" w:rsidRDefault="009922F7" w:rsidP="009922F7">
      <w:pPr>
        <w:widowControl w:val="0"/>
        <w:autoSpaceDE w:val="0"/>
        <w:autoSpaceDN w:val="0"/>
        <w:adjustRightInd w:val="0"/>
        <w:jc w:val="center"/>
        <w:rPr>
          <w:rFonts w:eastAsia="Times New Roman"/>
          <w:b/>
          <w:caps/>
          <w:szCs w:val="24"/>
          <w:lang w:val="en-GB"/>
        </w:rPr>
      </w:pPr>
    </w:p>
    <w:p w:rsidR="009922F7" w:rsidRDefault="009922F7" w:rsidP="009922F7">
      <w:pPr>
        <w:widowControl w:val="0"/>
        <w:autoSpaceDE w:val="0"/>
        <w:autoSpaceDN w:val="0"/>
        <w:adjustRightInd w:val="0"/>
        <w:rPr>
          <w:rFonts w:eastAsia="Times New Roman"/>
          <w:szCs w:val="24"/>
          <w:u w:val="single"/>
          <w:lang w:val="en-GB"/>
        </w:rPr>
      </w:pPr>
      <w:proofErr w:type="spellStart"/>
      <w:r w:rsidRPr="009922F7">
        <w:rPr>
          <w:rFonts w:eastAsia="Times New Roman"/>
          <w:szCs w:val="24"/>
          <w:u w:val="single"/>
          <w:lang w:val="en-GB"/>
        </w:rPr>
        <w:t>Préambule</w:t>
      </w:r>
      <w:proofErr w:type="spellEnd"/>
    </w:p>
    <w:p w:rsidR="009922F7" w:rsidRDefault="009922F7" w:rsidP="009922F7">
      <w:pPr>
        <w:widowControl w:val="0"/>
        <w:autoSpaceDE w:val="0"/>
        <w:autoSpaceDN w:val="0"/>
        <w:adjustRightInd w:val="0"/>
        <w:rPr>
          <w:rFonts w:eastAsia="Times New Roman"/>
          <w:szCs w:val="24"/>
          <w:u w:val="single"/>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Consciente</w:t>
      </w:r>
      <w:proofErr w:type="spellEnd"/>
      <w:r w:rsidRPr="009922F7">
        <w:rPr>
          <w:rFonts w:eastAsia="Times New Roman"/>
          <w:spacing w:val="-2"/>
          <w:szCs w:val="24"/>
          <w:lang w:val="en-GB"/>
        </w:rPr>
        <w:t xml:space="preserve"> du </w:t>
      </w:r>
      <w:proofErr w:type="spellStart"/>
      <w:r w:rsidRPr="009922F7">
        <w:rPr>
          <w:rFonts w:eastAsia="Times New Roman"/>
          <w:spacing w:val="-2"/>
          <w:szCs w:val="24"/>
          <w:lang w:val="en-GB"/>
        </w:rPr>
        <w:t>rôle</w:t>
      </w:r>
      <w:proofErr w:type="spellEnd"/>
      <w:r w:rsidRPr="009922F7">
        <w:rPr>
          <w:rFonts w:eastAsia="Times New Roman"/>
          <w:spacing w:val="-2"/>
          <w:szCs w:val="24"/>
          <w:lang w:val="en-GB"/>
        </w:rPr>
        <w:t xml:space="preserve"> crucial </w:t>
      </w:r>
      <w:proofErr w:type="spellStart"/>
      <w:r w:rsidRPr="009922F7">
        <w:rPr>
          <w:rFonts w:eastAsia="Times New Roman"/>
          <w:spacing w:val="-2"/>
          <w:szCs w:val="24"/>
          <w:lang w:val="en-GB"/>
        </w:rPr>
        <w:t>joué</w:t>
      </w:r>
      <w:proofErr w:type="spellEnd"/>
      <w:r w:rsidRPr="009922F7">
        <w:rPr>
          <w:rFonts w:eastAsia="Times New Roman"/>
          <w:spacing w:val="-2"/>
          <w:szCs w:val="24"/>
          <w:lang w:val="en-GB"/>
        </w:rPr>
        <w:t xml:space="preserve"> par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écosystèmes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marins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économies</w:t>
      </w:r>
      <w:proofErr w:type="spellEnd"/>
      <w:r w:rsidRPr="009922F7">
        <w:rPr>
          <w:rFonts w:eastAsia="Times New Roman"/>
          <w:spacing w:val="-2"/>
          <w:szCs w:val="24"/>
          <w:lang w:val="en-GB"/>
        </w:rPr>
        <w:t xml:space="preserve"> locales, et </w:t>
      </w:r>
      <w:proofErr w:type="spellStart"/>
      <w:r w:rsidRPr="009922F7">
        <w:rPr>
          <w:rFonts w:eastAsia="Times New Roman"/>
          <w:i/>
          <w:spacing w:val="-2"/>
          <w:szCs w:val="24"/>
          <w:lang w:val="en-GB"/>
        </w:rPr>
        <w:t>préoccupée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par</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mortalité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élevée</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particulier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celles</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inscrites</w:t>
      </w:r>
      <w:proofErr w:type="spellEnd"/>
      <w:r w:rsidRPr="009922F7">
        <w:rPr>
          <w:rFonts w:eastAsia="Times New Roman"/>
          <w:spacing w:val="-2"/>
          <w:szCs w:val="24"/>
          <w:lang w:val="en-GB"/>
        </w:rPr>
        <w:t xml:space="preserve"> aux Annexes I </w:t>
      </w:r>
      <w:proofErr w:type="spellStart"/>
      <w:r w:rsidRPr="009922F7">
        <w:rPr>
          <w:rFonts w:eastAsia="Times New Roman"/>
          <w:spacing w:val="-2"/>
          <w:szCs w:val="24"/>
          <w:lang w:val="en-GB"/>
        </w:rPr>
        <w:t>et</w:t>
      </w:r>
      <w:proofErr w:type="spellEnd"/>
      <w:r w:rsidRPr="009922F7">
        <w:rPr>
          <w:rFonts w:eastAsia="Times New Roman"/>
          <w:spacing w:val="-2"/>
          <w:szCs w:val="24"/>
          <w:lang w:val="en-GB"/>
        </w:rPr>
        <w:t xml:space="preserve"> II de la Convention, </w:t>
      </w:r>
      <w:proofErr w:type="spellStart"/>
      <w:r w:rsidRPr="009922F7">
        <w:rPr>
          <w:rFonts w:eastAsia="Times New Roman"/>
          <w:spacing w:val="-2"/>
          <w:szCs w:val="24"/>
          <w:lang w:val="en-GB"/>
        </w:rPr>
        <w:t>résultant</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toute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une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gamme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d’incidences</w:t>
      </w:r>
      <w:proofErr w:type="spellEnd"/>
      <w:r w:rsidRPr="009922F7">
        <w:rPr>
          <w:rFonts w:eastAsia="Times New Roman"/>
          <w:spacing w:val="-2"/>
          <w:szCs w:val="24"/>
          <w:lang w:val="en-GB"/>
        </w:rPr>
        <w:t xml:space="preserve"> et de menaces; </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Prenant</w:t>
      </w:r>
      <w:proofErr w:type="spellEnd"/>
      <w:r w:rsidRPr="009922F7">
        <w:rPr>
          <w:rFonts w:eastAsia="Times New Roman"/>
          <w:i/>
          <w:spacing w:val="-2"/>
          <w:szCs w:val="24"/>
          <w:lang w:val="en-GB"/>
        </w:rPr>
        <w:t xml:space="preserve"> note</w:t>
      </w:r>
      <w:r w:rsidRPr="009922F7">
        <w:rPr>
          <w:rFonts w:eastAsia="Times New Roman"/>
          <w:spacing w:val="-2"/>
          <w:szCs w:val="24"/>
          <w:lang w:val="en-GB"/>
        </w:rPr>
        <w:t xml:space="preserve"> de </w:t>
      </w:r>
      <w:proofErr w:type="spellStart"/>
      <w:r w:rsidRPr="009922F7">
        <w:rPr>
          <w:rFonts w:eastAsia="Times New Roman"/>
          <w:spacing w:val="-2"/>
          <w:szCs w:val="24"/>
          <w:lang w:val="en-GB"/>
        </w:rPr>
        <w:t>l’évaluation</w:t>
      </w:r>
      <w:proofErr w:type="spellEnd"/>
      <w:r w:rsidRPr="009922F7">
        <w:rPr>
          <w:rFonts w:eastAsia="Times New Roman"/>
          <w:spacing w:val="-2"/>
          <w:szCs w:val="24"/>
          <w:lang w:val="en-GB"/>
        </w:rPr>
        <w:t xml:space="preserve"> du </w:t>
      </w:r>
      <w:proofErr w:type="spellStart"/>
      <w:r w:rsidRPr="009922F7">
        <w:rPr>
          <w:rFonts w:eastAsia="Times New Roman"/>
          <w:spacing w:val="-2"/>
          <w:szCs w:val="24"/>
          <w:lang w:val="en-GB"/>
        </w:rPr>
        <w:t>Groupe</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spécialistes</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l’UICN</w:t>
      </w:r>
      <w:proofErr w:type="spellEnd"/>
      <w:r w:rsidRPr="009922F7">
        <w:rPr>
          <w:rFonts w:eastAsia="Times New Roman"/>
          <w:spacing w:val="-2"/>
          <w:szCs w:val="24"/>
          <w:lang w:val="en-GB"/>
        </w:rPr>
        <w:t xml:space="preserve"> en 2014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l’état</w:t>
      </w:r>
      <w:proofErr w:type="spellEnd"/>
      <w:r w:rsidRPr="009922F7">
        <w:rPr>
          <w:rFonts w:eastAsia="Times New Roman"/>
          <w:spacing w:val="-2"/>
          <w:szCs w:val="24"/>
          <w:lang w:val="en-GB"/>
        </w:rPr>
        <w:t xml:space="preserve"> de conservation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(y </w:t>
      </w:r>
      <w:proofErr w:type="spellStart"/>
      <w:r w:rsidRPr="009922F7">
        <w:rPr>
          <w:rFonts w:eastAsia="Times New Roman"/>
          <w:spacing w:val="-2"/>
          <w:szCs w:val="24"/>
          <w:lang w:val="en-GB"/>
        </w:rPr>
        <w:t>compris</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pocheteau</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poisson-guitare</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poisson-scie</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poisson-paille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raie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torpille</w:t>
      </w:r>
      <w:proofErr w:type="spellEnd"/>
      <w:r w:rsidRPr="009922F7">
        <w:rPr>
          <w:rFonts w:eastAsia="Times New Roman"/>
          <w:spacing w:val="-2"/>
          <w:szCs w:val="24"/>
          <w:lang w:val="en-GB"/>
        </w:rPr>
        <w:t xml:space="preserve">, etc.) et des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chimères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poisson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chondrichthyen</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estime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qu’un</w:t>
      </w:r>
      <w:proofErr w:type="spellEnd"/>
      <w:r w:rsidRPr="009922F7">
        <w:rPr>
          <w:rFonts w:eastAsia="Times New Roman"/>
          <w:spacing w:val="-2"/>
          <w:szCs w:val="24"/>
          <w:lang w:val="en-GB"/>
        </w:rPr>
        <w:t xml:space="preserve"> quart de </w:t>
      </w:r>
      <w:proofErr w:type="spellStart"/>
      <w:r w:rsidRPr="009922F7">
        <w:rPr>
          <w:rFonts w:eastAsia="Times New Roman"/>
          <w:spacing w:val="-2"/>
          <w:szCs w:val="24"/>
          <w:lang w:val="en-GB"/>
        </w:rPr>
        <w:t>toutes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examinées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menacées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d’extinction</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seulement</w:t>
      </w:r>
      <w:proofErr w:type="spellEnd"/>
      <w:r w:rsidRPr="009922F7">
        <w:rPr>
          <w:rFonts w:eastAsia="Times New Roman"/>
          <w:spacing w:val="-2"/>
          <w:szCs w:val="24"/>
          <w:lang w:val="en-GB"/>
        </w:rPr>
        <w:t xml:space="preserve"> un tiers de </w:t>
      </w:r>
      <w:proofErr w:type="spellStart"/>
      <w:r w:rsidRPr="009922F7">
        <w:rPr>
          <w:rFonts w:eastAsia="Times New Roman"/>
          <w:spacing w:val="-2"/>
          <w:szCs w:val="24"/>
          <w:lang w:val="en-GB"/>
        </w:rPr>
        <w:t>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classées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comme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étant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une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préoccupation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mineure</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termes</w:t>
      </w:r>
      <w:proofErr w:type="spellEnd"/>
      <w:r w:rsidRPr="009922F7">
        <w:rPr>
          <w:rFonts w:eastAsia="Times New Roman"/>
          <w:spacing w:val="-2"/>
          <w:szCs w:val="24"/>
          <w:lang w:val="en-GB"/>
        </w:rPr>
        <w:t xml:space="preserve"> de conservation;</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Constatant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l’UICN</w:t>
      </w:r>
      <w:proofErr w:type="spellEnd"/>
      <w:r w:rsidRPr="009922F7">
        <w:rPr>
          <w:rFonts w:eastAsia="Times New Roman"/>
          <w:spacing w:val="-2"/>
          <w:szCs w:val="24"/>
          <w:lang w:val="en-GB"/>
        </w:rPr>
        <w:t xml:space="preserve"> a </w:t>
      </w:r>
      <w:proofErr w:type="spellStart"/>
      <w:r w:rsidRPr="009922F7">
        <w:rPr>
          <w:rFonts w:eastAsia="Times New Roman"/>
          <w:spacing w:val="-2"/>
          <w:szCs w:val="24"/>
          <w:lang w:val="en-GB"/>
        </w:rPr>
        <w:t>averti</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généralement</w:t>
      </w:r>
      <w:proofErr w:type="spellEnd"/>
      <w:r w:rsidRPr="009922F7">
        <w:rPr>
          <w:rFonts w:eastAsia="Times New Roman"/>
          <w:spacing w:val="-2"/>
          <w:szCs w:val="24"/>
          <w:lang w:val="en-GB"/>
        </w:rPr>
        <w:t xml:space="preserve"> plus </w:t>
      </w:r>
      <w:proofErr w:type="spellStart"/>
      <w:r w:rsidRPr="009922F7">
        <w:rPr>
          <w:rFonts w:eastAsia="Times New Roman"/>
          <w:spacing w:val="-2"/>
          <w:szCs w:val="24"/>
          <w:lang w:val="en-GB"/>
        </w:rPr>
        <w:t>menacées</w:t>
      </w:r>
      <w:proofErr w:type="spellEnd"/>
      <w:r w:rsidRPr="009922F7">
        <w:rPr>
          <w:rFonts w:eastAsia="Times New Roman"/>
          <w:spacing w:val="-2"/>
          <w:szCs w:val="24"/>
          <w:lang w:val="en-GB"/>
        </w:rPr>
        <w:t xml:space="preserve"> </w:t>
      </w:r>
      <w:proofErr w:type="gramStart"/>
      <w:r w:rsidRPr="009922F7">
        <w:rPr>
          <w:rFonts w:eastAsia="Times New Roman"/>
          <w:spacing w:val="-2"/>
          <w:szCs w:val="24"/>
          <w:lang w:val="en-GB"/>
        </w:rPr>
        <w:t>et</w:t>
      </w:r>
      <w:proofErr w:type="gramEnd"/>
      <w:r w:rsidRPr="009922F7">
        <w:rPr>
          <w:rFonts w:eastAsia="Times New Roman"/>
          <w:spacing w:val="-2"/>
          <w:szCs w:val="24"/>
          <w:lang w:val="en-GB"/>
        </w:rPr>
        <w:t xml:space="preserve"> </w:t>
      </w:r>
      <w:proofErr w:type="spellStart"/>
      <w:r w:rsidRPr="009922F7">
        <w:rPr>
          <w:rFonts w:eastAsia="Times New Roman"/>
          <w:spacing w:val="-2"/>
          <w:szCs w:val="24"/>
          <w:lang w:val="en-GB"/>
        </w:rPr>
        <w:t>moins</w:t>
      </w:r>
      <w:proofErr w:type="spellEnd"/>
      <w:r w:rsidRPr="009922F7">
        <w:rPr>
          <w:rFonts w:eastAsia="Times New Roman"/>
          <w:spacing w:val="-2"/>
          <w:szCs w:val="24"/>
          <w:lang w:val="en-GB"/>
        </w:rPr>
        <w:t xml:space="preserve"> protégées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Raie</w:t>
      </w:r>
      <w:proofErr w:type="spellEnd"/>
      <w:r w:rsidRPr="009922F7">
        <w:rPr>
          <w:rFonts w:eastAsia="Times New Roman"/>
          <w:spacing w:val="-2"/>
          <w:szCs w:val="24"/>
          <w:lang w:val="en-GB"/>
        </w:rPr>
        <w:t xml:space="preserve"> Manta </w:t>
      </w:r>
      <w:proofErr w:type="spellStart"/>
      <w:r w:rsidRPr="009922F7">
        <w:rPr>
          <w:rFonts w:eastAsia="Times New Roman"/>
          <w:spacing w:val="-2"/>
          <w:szCs w:val="24"/>
          <w:lang w:val="en-GB"/>
        </w:rPr>
        <w:t>géante</w:t>
      </w:r>
      <w:proofErr w:type="spellEnd"/>
      <w:r w:rsidRPr="009922F7">
        <w:rPr>
          <w:rFonts w:eastAsia="Times New Roman"/>
          <w:spacing w:val="-2"/>
          <w:szCs w:val="24"/>
          <w:lang w:val="en-GB"/>
        </w:rPr>
        <w:t xml:space="preserve"> a </w:t>
      </w:r>
      <w:proofErr w:type="spellStart"/>
      <w:r w:rsidRPr="009922F7">
        <w:rPr>
          <w:rFonts w:eastAsia="Times New Roman"/>
          <w:spacing w:val="-2"/>
          <w:szCs w:val="24"/>
          <w:lang w:val="en-GB"/>
        </w:rPr>
        <w:t>été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ajoutée</w:t>
      </w:r>
      <w:proofErr w:type="spellEnd"/>
      <w:r w:rsidRPr="009922F7">
        <w:rPr>
          <w:rFonts w:eastAsia="Times New Roman"/>
          <w:spacing w:val="-2"/>
          <w:szCs w:val="24"/>
          <w:lang w:val="en-GB"/>
        </w:rPr>
        <w:t xml:space="preserve"> aux Annexes I </w:t>
      </w:r>
      <w:proofErr w:type="spellStart"/>
      <w:r w:rsidRPr="009922F7">
        <w:rPr>
          <w:rFonts w:eastAsia="Times New Roman"/>
          <w:spacing w:val="-2"/>
          <w:szCs w:val="24"/>
          <w:lang w:val="en-GB"/>
        </w:rPr>
        <w:t>et</w:t>
      </w:r>
      <w:proofErr w:type="spellEnd"/>
      <w:r w:rsidRPr="009922F7">
        <w:rPr>
          <w:rFonts w:eastAsia="Times New Roman"/>
          <w:spacing w:val="-2"/>
          <w:szCs w:val="24"/>
          <w:lang w:val="en-GB"/>
        </w:rPr>
        <w:t xml:space="preserve"> II de la CMS, à la 10ème </w:t>
      </w:r>
      <w:proofErr w:type="spellStart"/>
      <w:r w:rsidRPr="009922F7">
        <w:rPr>
          <w:rFonts w:eastAsia="Times New Roman"/>
          <w:spacing w:val="-2"/>
          <w:szCs w:val="24"/>
          <w:lang w:val="en-GB"/>
        </w:rPr>
        <w:t>réunion</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Conférence</w:t>
      </w:r>
      <w:proofErr w:type="spellEnd"/>
      <w:r w:rsidRPr="009922F7">
        <w:rPr>
          <w:rFonts w:eastAsia="Times New Roman"/>
          <w:spacing w:val="-2"/>
          <w:szCs w:val="24"/>
          <w:lang w:val="en-GB"/>
        </w:rPr>
        <w:t xml:space="preserve"> des Parties;</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Constatant</w:t>
      </w:r>
      <w:proofErr w:type="spellEnd"/>
      <w:r w:rsidRPr="009922F7">
        <w:rPr>
          <w:rFonts w:eastAsia="Times New Roman"/>
          <w:i/>
          <w:spacing w:val="-2"/>
          <w:szCs w:val="24"/>
          <w:lang w:val="en-GB"/>
        </w:rPr>
        <w:t xml:space="preserve"> avec </w:t>
      </w:r>
      <w:proofErr w:type="spellStart"/>
      <w:r w:rsidRPr="009922F7">
        <w:rPr>
          <w:rFonts w:eastAsia="Times New Roman"/>
          <w:i/>
          <w:spacing w:val="-2"/>
          <w:szCs w:val="24"/>
          <w:lang w:val="en-GB"/>
        </w:rPr>
        <w:t>préoccupation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surpêche</w:t>
      </w:r>
      <w:proofErr w:type="spellEnd"/>
      <w:r w:rsidRPr="009922F7">
        <w:rPr>
          <w:rFonts w:eastAsia="Times New Roman"/>
          <w:spacing w:val="-2"/>
          <w:szCs w:val="24"/>
          <w:lang w:val="en-GB"/>
        </w:rPr>
        <w:t xml:space="preserve"> </w:t>
      </w:r>
      <w:proofErr w:type="spellStart"/>
      <w:proofErr w:type="gramStart"/>
      <w:r w:rsidRPr="009922F7">
        <w:rPr>
          <w:rFonts w:eastAsia="Times New Roman"/>
          <w:spacing w:val="-2"/>
          <w:szCs w:val="24"/>
          <w:lang w:val="en-GB"/>
        </w:rPr>
        <w:t>est</w:t>
      </w:r>
      <w:proofErr w:type="spellEnd"/>
      <w:proofErr w:type="gramEnd"/>
      <w:r w:rsidRPr="009922F7">
        <w:rPr>
          <w:rFonts w:eastAsia="Times New Roman"/>
          <w:spacing w:val="-2"/>
          <w:szCs w:val="24"/>
          <w:lang w:val="en-GB"/>
        </w:rPr>
        <w:t xml:space="preserve"> le principal </w:t>
      </w:r>
      <w:proofErr w:type="spellStart"/>
      <w:r w:rsidRPr="009922F7">
        <w:rPr>
          <w:rFonts w:eastAsia="Times New Roman"/>
          <w:spacing w:val="-2"/>
          <w:szCs w:val="24"/>
          <w:lang w:val="en-GB"/>
        </w:rPr>
        <w:t>facteur</w:t>
      </w:r>
      <w:proofErr w:type="spellEnd"/>
      <w:r w:rsidRPr="009922F7">
        <w:rPr>
          <w:rFonts w:eastAsia="Times New Roman"/>
          <w:spacing w:val="-2"/>
          <w:szCs w:val="24"/>
          <w:lang w:val="en-GB"/>
        </w:rPr>
        <w:t xml:space="preserve"> du </w:t>
      </w:r>
      <w:proofErr w:type="spellStart"/>
      <w:r w:rsidRPr="009922F7">
        <w:rPr>
          <w:rFonts w:eastAsia="Times New Roman"/>
          <w:spacing w:val="-2"/>
          <w:szCs w:val="24"/>
          <w:lang w:val="en-GB"/>
        </w:rPr>
        <w:t>déclin</w:t>
      </w:r>
      <w:proofErr w:type="spellEnd"/>
      <w:r w:rsidRPr="009922F7">
        <w:rPr>
          <w:rFonts w:eastAsia="Times New Roman"/>
          <w:spacing w:val="-2"/>
          <w:szCs w:val="24"/>
          <w:lang w:val="en-GB"/>
        </w:rPr>
        <w:t xml:space="preserve"> important des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partout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 monde, </w:t>
      </w:r>
      <w:proofErr w:type="spellStart"/>
      <w:r w:rsidRPr="009922F7">
        <w:rPr>
          <w:rFonts w:eastAsia="Times New Roman"/>
          <w:spacing w:val="-2"/>
          <w:szCs w:val="24"/>
          <w:lang w:val="en-GB"/>
        </w:rPr>
        <w:t>menaçant</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nombreuses</w:t>
      </w:r>
      <w:proofErr w:type="spellEnd"/>
      <w:r w:rsidRPr="009922F7">
        <w:rPr>
          <w:rFonts w:eastAsia="Times New Roman"/>
          <w:spacing w:val="-2"/>
          <w:szCs w:val="24"/>
          <w:lang w:val="en-GB"/>
        </w:rPr>
        <w:t xml:space="preserve"> populations </w:t>
      </w:r>
      <w:proofErr w:type="spellStart"/>
      <w:r w:rsidRPr="009922F7">
        <w:rPr>
          <w:rFonts w:eastAsia="Times New Roman"/>
          <w:spacing w:val="-2"/>
          <w:szCs w:val="24"/>
          <w:lang w:val="en-GB"/>
        </w:rPr>
        <w:t>ainsi</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stabilité</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écosystèmes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marins</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durable, </w:t>
      </w:r>
      <w:proofErr w:type="spellStart"/>
      <w:r w:rsidRPr="009922F7">
        <w:rPr>
          <w:rFonts w:eastAsia="Times New Roman"/>
          <w:spacing w:val="-2"/>
          <w:szCs w:val="24"/>
          <w:lang w:val="en-GB"/>
        </w:rPr>
        <w:t>l’écotourisme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axé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et la </w:t>
      </w:r>
      <w:proofErr w:type="spellStart"/>
      <w:r w:rsidRPr="009922F7">
        <w:rPr>
          <w:rFonts w:eastAsia="Times New Roman"/>
          <w:spacing w:val="-2"/>
          <w:szCs w:val="24"/>
          <w:lang w:val="en-GB"/>
        </w:rPr>
        <w:t>sécurité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alimentaire</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Consciente</w:t>
      </w:r>
      <w:proofErr w:type="spellEnd"/>
      <w:r w:rsidRPr="009922F7">
        <w:rPr>
          <w:rFonts w:eastAsia="Times New Roman"/>
          <w:spacing w:val="-2"/>
          <w:szCs w:val="24"/>
          <w:lang w:val="en-GB"/>
        </w:rPr>
        <w:t xml:space="preserve"> du fait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découpe</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prélèvement</w:t>
      </w:r>
      <w:proofErr w:type="spellEnd"/>
      <w:r w:rsidRPr="009922F7">
        <w:rPr>
          <w:rFonts w:eastAsia="Times New Roman"/>
          <w:spacing w:val="-2"/>
          <w:szCs w:val="24"/>
          <w:lang w:val="en-GB"/>
        </w:rPr>
        <w:t xml:space="preserve"> et la </w:t>
      </w:r>
      <w:proofErr w:type="spellStart"/>
      <w:r w:rsidRPr="009922F7">
        <w:rPr>
          <w:rFonts w:eastAsia="Times New Roman"/>
          <w:spacing w:val="-2"/>
          <w:szCs w:val="24"/>
          <w:lang w:val="en-GB"/>
        </w:rPr>
        <w:t>rétention</w:t>
      </w:r>
      <w:proofErr w:type="spellEnd"/>
      <w:r w:rsidRPr="009922F7">
        <w:rPr>
          <w:rFonts w:eastAsia="Times New Roman"/>
          <w:spacing w:val="-2"/>
          <w:szCs w:val="24"/>
          <w:lang w:val="en-GB"/>
        </w:rPr>
        <w:t xml:space="preserve"> des ailerons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certaines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et le </w:t>
      </w:r>
      <w:proofErr w:type="spellStart"/>
      <w:r w:rsidRPr="009922F7">
        <w:rPr>
          <w:rFonts w:eastAsia="Times New Roman"/>
          <w:spacing w:val="-2"/>
          <w:szCs w:val="24"/>
          <w:lang w:val="en-GB"/>
        </w:rPr>
        <w:t>rejet</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mer</w:t>
      </w:r>
      <w:proofErr w:type="spellEnd"/>
      <w:r w:rsidRPr="009922F7">
        <w:rPr>
          <w:rFonts w:eastAsia="Times New Roman"/>
          <w:spacing w:val="-2"/>
          <w:szCs w:val="24"/>
          <w:lang w:val="en-GB"/>
        </w:rPr>
        <w:t xml:space="preserve"> du </w:t>
      </w:r>
      <w:proofErr w:type="spellStart"/>
      <w:r w:rsidRPr="009922F7">
        <w:rPr>
          <w:rFonts w:eastAsia="Times New Roman"/>
          <w:spacing w:val="-2"/>
          <w:szCs w:val="24"/>
          <w:lang w:val="en-GB"/>
        </w:rPr>
        <w:t>reste</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carcasse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associés</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une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mortalité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non viable</w:t>
      </w:r>
      <w:proofErr w:type="spellEnd"/>
      <w:r w:rsidRPr="009922F7">
        <w:rPr>
          <w:rFonts w:eastAsia="Times New Roman"/>
          <w:spacing w:val="-2"/>
          <w:szCs w:val="24"/>
          <w:lang w:val="en-GB"/>
        </w:rPr>
        <w:t xml:space="preserve"> et à un </w:t>
      </w:r>
      <w:proofErr w:type="spellStart"/>
      <w:r w:rsidRPr="009922F7">
        <w:rPr>
          <w:rFonts w:eastAsia="Times New Roman"/>
          <w:spacing w:val="-2"/>
          <w:szCs w:val="24"/>
          <w:lang w:val="en-GB"/>
        </w:rPr>
        <w:t>gaspillage</w:t>
      </w:r>
      <w:proofErr w:type="spellEnd"/>
      <w:r w:rsidRPr="009922F7">
        <w:rPr>
          <w:rFonts w:eastAsia="Times New Roman"/>
          <w:spacing w:val="-2"/>
          <w:szCs w:val="24"/>
          <w:lang w:val="en-GB"/>
        </w:rPr>
        <w:t xml:space="preserve"> inacceptable;</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Rappelant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l’Accord</w:t>
      </w:r>
      <w:proofErr w:type="spellEnd"/>
      <w:r w:rsidRPr="009922F7">
        <w:rPr>
          <w:rFonts w:eastAsia="Times New Roman"/>
          <w:spacing w:val="-2"/>
          <w:szCs w:val="24"/>
          <w:lang w:val="en-GB"/>
        </w:rPr>
        <w:t xml:space="preserve"> des Nations </w:t>
      </w:r>
      <w:proofErr w:type="spellStart"/>
      <w:r w:rsidRPr="009922F7">
        <w:rPr>
          <w:rFonts w:eastAsia="Times New Roman"/>
          <w:spacing w:val="-2"/>
          <w:szCs w:val="24"/>
          <w:lang w:val="en-GB"/>
        </w:rPr>
        <w:t>Unies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stocks de </w:t>
      </w:r>
      <w:proofErr w:type="spellStart"/>
      <w:r w:rsidRPr="009922F7">
        <w:rPr>
          <w:rFonts w:eastAsia="Times New Roman"/>
          <w:spacing w:val="-2"/>
          <w:szCs w:val="24"/>
          <w:lang w:val="en-GB"/>
        </w:rPr>
        <w:t>poissons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visant</w:t>
      </w:r>
      <w:proofErr w:type="spellEnd"/>
      <w:r w:rsidRPr="009922F7">
        <w:rPr>
          <w:rFonts w:eastAsia="Times New Roman"/>
          <w:spacing w:val="-2"/>
          <w:szCs w:val="24"/>
          <w:lang w:val="en-GB"/>
        </w:rPr>
        <w:t xml:space="preserve"> à assurer la conservation et </w:t>
      </w:r>
      <w:proofErr w:type="spellStart"/>
      <w:r w:rsidRPr="009922F7">
        <w:rPr>
          <w:rFonts w:eastAsia="Times New Roman"/>
          <w:spacing w:val="-2"/>
          <w:szCs w:val="24"/>
          <w:lang w:val="en-GB"/>
        </w:rPr>
        <w:t>l’exploitation</w:t>
      </w:r>
      <w:proofErr w:type="spellEnd"/>
      <w:r w:rsidRPr="009922F7">
        <w:rPr>
          <w:rFonts w:eastAsia="Times New Roman"/>
          <w:spacing w:val="-2"/>
          <w:szCs w:val="24"/>
          <w:lang w:val="en-GB"/>
        </w:rPr>
        <w:t xml:space="preserve"> durable des stocks de </w:t>
      </w:r>
      <w:proofErr w:type="spellStart"/>
      <w:r w:rsidRPr="009922F7">
        <w:rPr>
          <w:rFonts w:eastAsia="Times New Roman"/>
          <w:spacing w:val="-2"/>
          <w:szCs w:val="24"/>
          <w:lang w:val="en-GB"/>
        </w:rPr>
        <w:t>poissons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chevauchants</w:t>
      </w:r>
      <w:proofErr w:type="spellEnd"/>
      <w:r w:rsidRPr="009922F7">
        <w:rPr>
          <w:rFonts w:eastAsia="Times New Roman"/>
          <w:spacing w:val="-2"/>
          <w:szCs w:val="24"/>
          <w:lang w:val="en-GB"/>
        </w:rPr>
        <w:t xml:space="preserve"> et des stocks de </w:t>
      </w:r>
      <w:proofErr w:type="spellStart"/>
      <w:r w:rsidRPr="009922F7">
        <w:rPr>
          <w:rFonts w:eastAsia="Times New Roman"/>
          <w:spacing w:val="-2"/>
          <w:szCs w:val="24"/>
          <w:lang w:val="en-GB"/>
        </w:rPr>
        <w:t>poissons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grands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et la </w:t>
      </w:r>
      <w:proofErr w:type="spellStart"/>
      <w:r w:rsidRPr="009922F7">
        <w:rPr>
          <w:rFonts w:eastAsia="Times New Roman"/>
          <w:spacing w:val="-2"/>
          <w:szCs w:val="24"/>
          <w:lang w:val="en-GB"/>
        </w:rPr>
        <w:t>Résolution</w:t>
      </w:r>
      <w:proofErr w:type="spellEnd"/>
      <w:r w:rsidRPr="009922F7">
        <w:rPr>
          <w:rFonts w:eastAsia="Times New Roman"/>
          <w:spacing w:val="-2"/>
          <w:szCs w:val="24"/>
          <w:lang w:val="en-GB"/>
        </w:rPr>
        <w:t xml:space="preserve"> 68/71 de </w:t>
      </w:r>
      <w:proofErr w:type="spellStart"/>
      <w:r w:rsidRPr="009922F7">
        <w:rPr>
          <w:rFonts w:eastAsia="Times New Roman"/>
          <w:spacing w:val="-2"/>
          <w:szCs w:val="24"/>
          <w:lang w:val="en-GB"/>
        </w:rPr>
        <w:t>l’Assemblée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générale</w:t>
      </w:r>
      <w:proofErr w:type="spellEnd"/>
      <w:r w:rsidRPr="009922F7">
        <w:rPr>
          <w:rFonts w:eastAsia="Times New Roman"/>
          <w:spacing w:val="-2"/>
          <w:szCs w:val="24"/>
          <w:lang w:val="en-GB"/>
        </w:rPr>
        <w:t xml:space="preserve"> des Nations </w:t>
      </w:r>
      <w:proofErr w:type="spellStart"/>
      <w:r w:rsidRPr="009922F7">
        <w:rPr>
          <w:rFonts w:eastAsia="Times New Roman"/>
          <w:spacing w:val="-2"/>
          <w:szCs w:val="24"/>
          <w:lang w:val="en-GB"/>
        </w:rPr>
        <w:t>Unies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durable, qui </w:t>
      </w:r>
      <w:proofErr w:type="spellStart"/>
      <w:r w:rsidRPr="009922F7">
        <w:rPr>
          <w:rFonts w:eastAsia="Times New Roman"/>
          <w:spacing w:val="-2"/>
          <w:szCs w:val="24"/>
          <w:lang w:val="en-GB"/>
        </w:rPr>
        <w:t>demande</w:t>
      </w:r>
      <w:proofErr w:type="spellEnd"/>
      <w:r w:rsidRPr="009922F7">
        <w:rPr>
          <w:rFonts w:eastAsia="Times New Roman"/>
          <w:spacing w:val="-2"/>
          <w:szCs w:val="24"/>
          <w:lang w:val="en-GB"/>
        </w:rPr>
        <w:t xml:space="preserve"> aux </w:t>
      </w:r>
      <w:proofErr w:type="spellStart"/>
      <w:r w:rsidRPr="009922F7">
        <w:rPr>
          <w:rFonts w:eastAsia="Times New Roman"/>
          <w:spacing w:val="-2"/>
          <w:szCs w:val="24"/>
          <w:lang w:val="en-GB"/>
        </w:rPr>
        <w:t>États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prendre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nationales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propres</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réglementer</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au </w:t>
      </w:r>
      <w:proofErr w:type="spellStart"/>
      <w:r w:rsidRPr="009922F7">
        <w:rPr>
          <w:rFonts w:eastAsia="Times New Roman"/>
          <w:spacing w:val="-2"/>
          <w:szCs w:val="24"/>
          <w:lang w:val="en-GB"/>
        </w:rPr>
        <w:t>requin</w:t>
      </w:r>
      <w:proofErr w:type="spellEnd"/>
      <w:r w:rsidRPr="009922F7">
        <w:rPr>
          <w:rFonts w:eastAsia="Times New Roman"/>
          <w:spacing w:val="-2"/>
          <w:szCs w:val="24"/>
          <w:lang w:val="en-GB"/>
        </w:rPr>
        <w:t xml:space="preserve"> et les captures </w:t>
      </w:r>
      <w:proofErr w:type="spellStart"/>
      <w:r w:rsidRPr="009922F7">
        <w:rPr>
          <w:rFonts w:eastAsia="Times New Roman"/>
          <w:spacing w:val="-2"/>
          <w:szCs w:val="24"/>
          <w:lang w:val="en-GB"/>
        </w:rPr>
        <w:t>accidentelles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le </w:t>
      </w:r>
      <w:proofErr w:type="spellStart"/>
      <w:r w:rsidRPr="009922F7">
        <w:rPr>
          <w:rFonts w:eastAsia="Times New Roman"/>
          <w:spacing w:val="-2"/>
          <w:szCs w:val="24"/>
          <w:lang w:val="en-GB"/>
        </w:rPr>
        <w:t>cas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échéant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d’envisager</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prendre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selon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qu’il</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convient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telles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exigeant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tous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soient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débarqués</w:t>
      </w:r>
      <w:proofErr w:type="spellEnd"/>
      <w:r w:rsidRPr="009922F7">
        <w:rPr>
          <w:rFonts w:eastAsia="Times New Roman"/>
          <w:spacing w:val="-2"/>
          <w:szCs w:val="24"/>
          <w:lang w:val="en-GB"/>
        </w:rPr>
        <w:t xml:space="preserve"> avec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ailerons </w:t>
      </w:r>
      <w:proofErr w:type="spellStart"/>
      <w:r w:rsidRPr="009922F7">
        <w:rPr>
          <w:rFonts w:eastAsia="Times New Roman"/>
          <w:spacing w:val="-2"/>
          <w:szCs w:val="24"/>
          <w:lang w:val="en-GB"/>
        </w:rPr>
        <w:t>naturellement</w:t>
      </w:r>
      <w:proofErr w:type="spellEnd"/>
      <w:r w:rsidRPr="009922F7">
        <w:rPr>
          <w:rFonts w:eastAsia="Times New Roman"/>
          <w:spacing w:val="-2"/>
          <w:szCs w:val="24"/>
          <w:lang w:val="en-GB"/>
        </w:rPr>
        <w:t xml:space="preserve"> attachés au corps;</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Consciente</w:t>
      </w:r>
      <w:proofErr w:type="spellEnd"/>
      <w:r w:rsidRPr="009922F7">
        <w:rPr>
          <w:rFonts w:eastAsia="Times New Roman"/>
          <w:spacing w:val="-2"/>
          <w:szCs w:val="24"/>
          <w:lang w:val="en-GB"/>
        </w:rPr>
        <w:t xml:space="preserve"> du fait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malgré</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recherches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scientifiques</w:t>
      </w:r>
      <w:proofErr w:type="spellEnd"/>
      <w:r w:rsidRPr="009922F7">
        <w:rPr>
          <w:rFonts w:eastAsia="Times New Roman"/>
          <w:spacing w:val="-2"/>
          <w:szCs w:val="24"/>
          <w:lang w:val="en-GB"/>
        </w:rPr>
        <w:t xml:space="preserve"> et la surveillance </w:t>
      </w:r>
      <w:proofErr w:type="spellStart"/>
      <w:r w:rsidRPr="009922F7">
        <w:rPr>
          <w:rFonts w:eastAsia="Times New Roman"/>
          <w:spacing w:val="-2"/>
          <w:szCs w:val="24"/>
          <w:lang w:val="en-GB"/>
        </w:rPr>
        <w:t>passées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présentes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connaissances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biologie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l’écologie</w:t>
      </w:r>
      <w:proofErr w:type="spellEnd"/>
      <w:r w:rsidRPr="009922F7">
        <w:rPr>
          <w:rFonts w:eastAsia="Times New Roman"/>
          <w:spacing w:val="-2"/>
          <w:szCs w:val="24"/>
          <w:lang w:val="en-GB"/>
        </w:rPr>
        <w:t xml:space="preserve"> et la </w:t>
      </w:r>
      <w:proofErr w:type="spellStart"/>
      <w:r w:rsidRPr="009922F7">
        <w:rPr>
          <w:rFonts w:eastAsia="Times New Roman"/>
          <w:spacing w:val="-2"/>
          <w:szCs w:val="24"/>
          <w:lang w:val="en-GB"/>
        </w:rPr>
        <w:t>dynamique</w:t>
      </w:r>
      <w:proofErr w:type="spellEnd"/>
      <w:r w:rsidRPr="009922F7">
        <w:rPr>
          <w:rFonts w:eastAsia="Times New Roman"/>
          <w:spacing w:val="-2"/>
          <w:szCs w:val="24"/>
          <w:lang w:val="en-GB"/>
        </w:rPr>
        <w:t xml:space="preserve"> des populations de </w:t>
      </w:r>
      <w:proofErr w:type="spellStart"/>
      <w:r w:rsidRPr="009922F7">
        <w:rPr>
          <w:rFonts w:eastAsia="Times New Roman"/>
          <w:spacing w:val="-2"/>
          <w:szCs w:val="24"/>
          <w:lang w:val="en-GB"/>
        </w:rPr>
        <w:t>nombreux</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insuffisantes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qu’il</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est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nécessaire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d’encourager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une</w:t>
      </w:r>
      <w:proofErr w:type="spellEnd"/>
      <w:r w:rsidRPr="009922F7">
        <w:rPr>
          <w:rFonts w:eastAsia="Times New Roman"/>
          <w:spacing w:val="-2"/>
          <w:szCs w:val="24"/>
          <w:lang w:val="en-GB"/>
        </w:rPr>
        <w:t xml:space="preserve"> plus </w:t>
      </w:r>
      <w:proofErr w:type="spellStart"/>
      <w:r w:rsidRPr="009922F7">
        <w:rPr>
          <w:rFonts w:eastAsia="Times New Roman"/>
          <w:spacing w:val="-2"/>
          <w:szCs w:val="24"/>
          <w:lang w:val="en-GB"/>
        </w:rPr>
        <w:t>grande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coopération</w:t>
      </w:r>
      <w:proofErr w:type="spellEnd"/>
      <w:r w:rsidRPr="009922F7">
        <w:rPr>
          <w:rFonts w:eastAsia="Times New Roman"/>
          <w:spacing w:val="-2"/>
          <w:szCs w:val="24"/>
          <w:lang w:val="en-GB"/>
        </w:rPr>
        <w:t xml:space="preserve"> entre les pays qui </w:t>
      </w:r>
      <w:proofErr w:type="spellStart"/>
      <w:r w:rsidRPr="009922F7">
        <w:rPr>
          <w:rFonts w:eastAsia="Times New Roman"/>
          <w:spacing w:val="-2"/>
          <w:szCs w:val="24"/>
          <w:lang w:val="en-GB"/>
        </w:rPr>
        <w:t>pratiquent</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domaines</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recherche</w:t>
      </w:r>
      <w:proofErr w:type="spellEnd"/>
      <w:r w:rsidRPr="009922F7">
        <w:rPr>
          <w:rFonts w:eastAsia="Times New Roman"/>
          <w:spacing w:val="-2"/>
          <w:szCs w:val="24"/>
          <w:lang w:val="en-GB"/>
        </w:rPr>
        <w:t xml:space="preserve">, de la surveillance, de </w:t>
      </w:r>
      <w:proofErr w:type="spellStart"/>
      <w:r w:rsidRPr="009922F7">
        <w:rPr>
          <w:rFonts w:eastAsia="Times New Roman"/>
          <w:spacing w:val="-2"/>
          <w:szCs w:val="24"/>
          <w:lang w:val="en-GB"/>
        </w:rPr>
        <w:t>l’application</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lois</w:t>
      </w:r>
      <w:proofErr w:type="spellEnd"/>
      <w:r w:rsidRPr="009922F7">
        <w:rPr>
          <w:rFonts w:eastAsia="Times New Roman"/>
          <w:spacing w:val="-2"/>
          <w:szCs w:val="24"/>
          <w:lang w:val="en-GB"/>
        </w:rPr>
        <w:t xml:space="preserve"> et du respect des </w:t>
      </w:r>
      <w:proofErr w:type="spellStart"/>
      <w:r w:rsidRPr="009922F7">
        <w:rPr>
          <w:rFonts w:eastAsia="Times New Roman"/>
          <w:spacing w:val="-2"/>
          <w:szCs w:val="24"/>
          <w:lang w:val="en-GB"/>
        </w:rPr>
        <w:t>lois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afin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d’appliquer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efficacement</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conservation;</w:t>
      </w: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Constatant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depuis</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mois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juin</w:t>
      </w:r>
      <w:proofErr w:type="spellEnd"/>
      <w:r w:rsidRPr="009922F7">
        <w:rPr>
          <w:rFonts w:eastAsia="Times New Roman"/>
          <w:spacing w:val="-2"/>
          <w:szCs w:val="24"/>
          <w:lang w:val="en-GB"/>
        </w:rPr>
        <w:t xml:space="preserve"> 2013, </w:t>
      </w:r>
      <w:proofErr w:type="spellStart"/>
      <w:r w:rsidRPr="009922F7">
        <w:rPr>
          <w:rFonts w:eastAsia="Times New Roman"/>
          <w:spacing w:val="-2"/>
          <w:szCs w:val="24"/>
          <w:lang w:val="en-GB"/>
        </w:rPr>
        <w:t>huit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toutes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manta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inscrites</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l’Annexe</w:t>
      </w:r>
      <w:proofErr w:type="spellEnd"/>
      <w:r w:rsidRPr="009922F7">
        <w:rPr>
          <w:rFonts w:eastAsia="Times New Roman"/>
          <w:spacing w:val="-2"/>
          <w:szCs w:val="24"/>
          <w:lang w:val="en-GB"/>
        </w:rPr>
        <w:t xml:space="preserve"> II de la Convention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 commerce international des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lastRenderedPageBreak/>
        <w:t>menacées</w:t>
      </w:r>
      <w:proofErr w:type="spellEnd"/>
      <w:r w:rsidRPr="009922F7">
        <w:rPr>
          <w:rFonts w:eastAsia="Times New Roman"/>
          <w:spacing w:val="-2"/>
          <w:szCs w:val="24"/>
          <w:lang w:val="en-GB"/>
        </w:rPr>
        <w:t xml:space="preserve"> (CITES), et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toutes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poisson-scie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inscrites</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l’Annexe</w:t>
      </w:r>
      <w:proofErr w:type="spellEnd"/>
      <w:r w:rsidRPr="009922F7">
        <w:rPr>
          <w:rFonts w:eastAsia="Times New Roman"/>
          <w:spacing w:val="-2"/>
          <w:szCs w:val="24"/>
          <w:lang w:val="en-GB"/>
        </w:rPr>
        <w:t xml:space="preserve"> I de la CITES;</w:t>
      </w:r>
    </w:p>
    <w:p w:rsidR="009922F7" w:rsidRPr="009922F7" w:rsidRDefault="009922F7" w:rsidP="009A6D8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Soulignant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l’importance</w:t>
      </w:r>
      <w:proofErr w:type="spellEnd"/>
      <w:r w:rsidRPr="009922F7">
        <w:rPr>
          <w:rFonts w:eastAsia="Times New Roman"/>
          <w:spacing w:val="-2"/>
          <w:szCs w:val="24"/>
          <w:lang w:val="en-GB"/>
        </w:rPr>
        <w:t xml:space="preserve"> du Plan </w:t>
      </w:r>
      <w:proofErr w:type="spellStart"/>
      <w:r w:rsidRPr="009922F7">
        <w:rPr>
          <w:rFonts w:eastAsia="Times New Roman"/>
          <w:spacing w:val="-2"/>
          <w:szCs w:val="24"/>
          <w:lang w:val="en-GB"/>
        </w:rPr>
        <w:t>d’action</w:t>
      </w:r>
      <w:proofErr w:type="spellEnd"/>
      <w:r w:rsidRPr="009922F7">
        <w:rPr>
          <w:rFonts w:eastAsia="Times New Roman"/>
          <w:spacing w:val="-2"/>
          <w:szCs w:val="24"/>
          <w:lang w:val="en-GB"/>
        </w:rPr>
        <w:t xml:space="preserve"> international pour la conservation et la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qui a </w:t>
      </w:r>
      <w:proofErr w:type="spellStart"/>
      <w:r w:rsidRPr="009922F7">
        <w:rPr>
          <w:rFonts w:eastAsia="Times New Roman"/>
          <w:spacing w:val="-2"/>
          <w:szCs w:val="24"/>
          <w:lang w:val="en-GB"/>
        </w:rPr>
        <w:t>été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adopté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par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l’Organisation</w:t>
      </w:r>
      <w:proofErr w:type="spellEnd"/>
      <w:r w:rsidRPr="009922F7">
        <w:rPr>
          <w:rFonts w:eastAsia="Times New Roman"/>
          <w:spacing w:val="-2"/>
          <w:szCs w:val="24"/>
          <w:lang w:val="en-GB"/>
        </w:rPr>
        <w:t xml:space="preserve"> des Nations </w:t>
      </w:r>
      <w:proofErr w:type="spellStart"/>
      <w:r w:rsidRPr="009922F7">
        <w:rPr>
          <w:rFonts w:eastAsia="Times New Roman"/>
          <w:spacing w:val="-2"/>
          <w:szCs w:val="24"/>
          <w:lang w:val="en-GB"/>
        </w:rPr>
        <w:t>Unies</w:t>
      </w:r>
      <w:proofErr w:type="spellEnd"/>
      <w:r w:rsidRPr="009922F7">
        <w:rPr>
          <w:rFonts w:eastAsia="Times New Roman"/>
          <w:spacing w:val="-2"/>
          <w:szCs w:val="24"/>
          <w:lang w:val="en-GB"/>
        </w:rPr>
        <w:t xml:space="preserve"> pour </w:t>
      </w:r>
      <w:proofErr w:type="spellStart"/>
      <w:r w:rsidRPr="009922F7">
        <w:rPr>
          <w:rFonts w:eastAsia="Times New Roman"/>
          <w:spacing w:val="-2"/>
          <w:szCs w:val="24"/>
          <w:lang w:val="en-GB"/>
        </w:rPr>
        <w:t>l’alimentation</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l’agriculture</w:t>
      </w:r>
      <w:proofErr w:type="spellEnd"/>
      <w:r w:rsidRPr="009922F7">
        <w:rPr>
          <w:rFonts w:eastAsia="Times New Roman"/>
          <w:spacing w:val="-2"/>
          <w:szCs w:val="24"/>
          <w:lang w:val="en-GB"/>
        </w:rPr>
        <w:t xml:space="preserve"> (FAO) en 1999, pour </w:t>
      </w:r>
      <w:proofErr w:type="spellStart"/>
      <w:r w:rsidRPr="009922F7">
        <w:rPr>
          <w:rFonts w:eastAsia="Times New Roman"/>
          <w:spacing w:val="-2"/>
          <w:szCs w:val="24"/>
          <w:lang w:val="en-GB"/>
        </w:rPr>
        <w:t>donner</w:t>
      </w:r>
      <w:proofErr w:type="spellEnd"/>
      <w:r w:rsidRPr="009922F7">
        <w:rPr>
          <w:rFonts w:eastAsia="Times New Roman"/>
          <w:spacing w:val="-2"/>
          <w:szCs w:val="24"/>
          <w:lang w:val="en-GB"/>
        </w:rPr>
        <w:t xml:space="preserve"> des orientations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l’élaboration</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telles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et </w:t>
      </w:r>
      <w:r w:rsidRPr="00AC290D">
        <w:rPr>
          <w:rFonts w:eastAsia="Times New Roman"/>
          <w:i/>
          <w:spacing w:val="-2"/>
          <w:szCs w:val="24"/>
          <w:lang w:val="en-GB"/>
        </w:rPr>
        <w:t xml:space="preserve">se </w:t>
      </w:r>
      <w:proofErr w:type="spellStart"/>
      <w:r w:rsidRPr="00AC290D">
        <w:rPr>
          <w:rFonts w:eastAsia="Times New Roman"/>
          <w:i/>
          <w:spacing w:val="-2"/>
          <w:szCs w:val="24"/>
          <w:lang w:val="en-GB"/>
        </w:rPr>
        <w:t>félicitant</w:t>
      </w:r>
      <w:proofErr w:type="spellEnd"/>
      <w:r w:rsidRPr="009922F7">
        <w:rPr>
          <w:rFonts w:eastAsia="Times New Roman"/>
          <w:spacing w:val="-2"/>
          <w:szCs w:val="24"/>
          <w:lang w:val="en-GB"/>
        </w:rPr>
        <w:t xml:space="preserve"> du fait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18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26 </w:t>
      </w:r>
      <w:proofErr w:type="spellStart"/>
      <w:r w:rsidRPr="009922F7">
        <w:rPr>
          <w:rFonts w:eastAsia="Times New Roman"/>
          <w:spacing w:val="-2"/>
          <w:szCs w:val="24"/>
          <w:lang w:val="en-GB"/>
        </w:rPr>
        <w:t>principaux</w:t>
      </w:r>
      <w:proofErr w:type="spellEnd"/>
      <w:r w:rsidRPr="009922F7">
        <w:rPr>
          <w:rFonts w:eastAsia="Times New Roman"/>
          <w:spacing w:val="-2"/>
          <w:szCs w:val="24"/>
          <w:lang w:val="en-GB"/>
        </w:rPr>
        <w:t xml:space="preserve"> pays qui </w:t>
      </w:r>
      <w:proofErr w:type="spellStart"/>
      <w:r w:rsidRPr="009922F7">
        <w:rPr>
          <w:rFonts w:eastAsia="Times New Roman"/>
          <w:spacing w:val="-2"/>
          <w:szCs w:val="24"/>
          <w:lang w:val="en-GB"/>
        </w:rPr>
        <w:t>pratiquent</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adopté</w:t>
      </w:r>
      <w:proofErr w:type="spellEnd"/>
      <w:r w:rsidRPr="009922F7">
        <w:rPr>
          <w:rFonts w:eastAsia="Times New Roman"/>
          <w:spacing w:val="-2"/>
          <w:szCs w:val="24"/>
          <w:lang w:val="en-GB"/>
        </w:rPr>
        <w:t xml:space="preserve"> des plans </w:t>
      </w:r>
      <w:proofErr w:type="spellStart"/>
      <w:r w:rsidRPr="009922F7">
        <w:rPr>
          <w:rFonts w:eastAsia="Times New Roman"/>
          <w:spacing w:val="-2"/>
          <w:szCs w:val="24"/>
          <w:lang w:val="en-GB"/>
        </w:rPr>
        <w:t>d’action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nationaux</w:t>
      </w:r>
      <w:proofErr w:type="spellEnd"/>
      <w:r w:rsidRPr="009922F7">
        <w:rPr>
          <w:rFonts w:eastAsia="Times New Roman"/>
          <w:spacing w:val="-2"/>
          <w:szCs w:val="24"/>
          <w:lang w:val="en-GB"/>
        </w:rPr>
        <w:t xml:space="preserve">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(Plan-</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w:t>
      </w:r>
    </w:p>
    <w:p w:rsidR="009922F7" w:rsidRPr="009922F7" w:rsidRDefault="009922F7" w:rsidP="009A6D8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Rappelant</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Recommandation</w:t>
      </w:r>
      <w:proofErr w:type="spellEnd"/>
      <w:r w:rsidRPr="009922F7">
        <w:rPr>
          <w:rFonts w:eastAsia="Times New Roman"/>
          <w:spacing w:val="-2"/>
          <w:szCs w:val="24"/>
          <w:lang w:val="en-GB"/>
        </w:rPr>
        <w:t xml:space="preserve"> 8.16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conservation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demande</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toutes</w:t>
      </w:r>
      <w:proofErr w:type="spellEnd"/>
      <w:r w:rsidRPr="009922F7">
        <w:rPr>
          <w:rFonts w:eastAsia="Times New Roman"/>
          <w:spacing w:val="-2"/>
          <w:szCs w:val="24"/>
          <w:lang w:val="en-GB"/>
        </w:rPr>
        <w:t xml:space="preserve"> les Parties de </w:t>
      </w:r>
      <w:proofErr w:type="spellStart"/>
      <w:r w:rsidRPr="009922F7">
        <w:rPr>
          <w:rFonts w:eastAsia="Times New Roman"/>
          <w:spacing w:val="-2"/>
          <w:szCs w:val="24"/>
          <w:lang w:val="en-GB"/>
        </w:rPr>
        <w:t>renforcer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protection des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contre</w:t>
      </w:r>
      <w:proofErr w:type="spellEnd"/>
      <w:r w:rsidRPr="009922F7">
        <w:rPr>
          <w:rFonts w:eastAsia="Times New Roman"/>
          <w:spacing w:val="-2"/>
          <w:szCs w:val="24"/>
          <w:lang w:val="en-GB"/>
        </w:rPr>
        <w:t xml:space="preserve"> des menaces </w:t>
      </w:r>
      <w:proofErr w:type="spellStart"/>
      <w:r w:rsidRPr="009922F7">
        <w:rPr>
          <w:rFonts w:eastAsia="Times New Roman"/>
          <w:spacing w:val="-2"/>
          <w:szCs w:val="24"/>
          <w:lang w:val="en-GB"/>
        </w:rPr>
        <w:t>comme</w:t>
      </w:r>
      <w:proofErr w:type="spellEnd"/>
      <w:r w:rsidRPr="009922F7">
        <w:rPr>
          <w:rFonts w:eastAsia="Times New Roman"/>
          <w:spacing w:val="-2"/>
          <w:szCs w:val="24"/>
          <w:lang w:val="en-GB"/>
        </w:rPr>
        <w:t xml:space="preserve"> la destruction des habitats,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illicite</w:t>
      </w:r>
      <w:proofErr w:type="spellEnd"/>
      <w:r w:rsidRPr="009922F7">
        <w:rPr>
          <w:rFonts w:eastAsia="Times New Roman"/>
          <w:spacing w:val="-2"/>
          <w:szCs w:val="24"/>
          <w:lang w:val="en-GB"/>
        </w:rPr>
        <w:t xml:space="preserve">, non </w:t>
      </w:r>
      <w:proofErr w:type="spellStart"/>
      <w:r w:rsidRPr="009922F7">
        <w:rPr>
          <w:rFonts w:eastAsia="Times New Roman"/>
          <w:spacing w:val="-2"/>
          <w:szCs w:val="24"/>
          <w:lang w:val="en-GB"/>
        </w:rPr>
        <w:t>déclarée</w:t>
      </w:r>
      <w:proofErr w:type="spellEnd"/>
      <w:r w:rsidRPr="009922F7">
        <w:rPr>
          <w:rFonts w:eastAsia="Times New Roman"/>
          <w:spacing w:val="-2"/>
          <w:szCs w:val="24"/>
          <w:lang w:val="en-GB"/>
        </w:rPr>
        <w:t xml:space="preserve"> et non </w:t>
      </w:r>
      <w:proofErr w:type="spellStart"/>
      <w:r w:rsidRPr="009922F7">
        <w:rPr>
          <w:rFonts w:eastAsia="Times New Roman"/>
          <w:spacing w:val="-2"/>
          <w:szCs w:val="24"/>
          <w:lang w:val="en-GB"/>
        </w:rPr>
        <w:t>réglementée</w:t>
      </w:r>
      <w:proofErr w:type="spellEnd"/>
      <w:r w:rsidRPr="009922F7">
        <w:rPr>
          <w:rFonts w:eastAsia="Times New Roman"/>
          <w:spacing w:val="-2"/>
          <w:szCs w:val="24"/>
          <w:lang w:val="en-GB"/>
        </w:rPr>
        <w:t xml:space="preserve">, et les captures </w:t>
      </w:r>
      <w:proofErr w:type="spellStart"/>
      <w:r w:rsidRPr="009922F7">
        <w:rPr>
          <w:rFonts w:eastAsia="Times New Roman"/>
          <w:spacing w:val="-2"/>
          <w:szCs w:val="24"/>
          <w:lang w:val="en-GB"/>
        </w:rPr>
        <w:t>accidentelles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pêcheries</w:t>
      </w:r>
      <w:proofErr w:type="spellEnd"/>
      <w:r w:rsidRPr="009922F7">
        <w:rPr>
          <w:rFonts w:eastAsia="Times New Roman"/>
          <w:spacing w:val="-2"/>
          <w:szCs w:val="24"/>
          <w:lang w:val="en-GB"/>
        </w:rPr>
        <w:t xml:space="preserve">; </w:t>
      </w:r>
    </w:p>
    <w:p w:rsidR="009922F7" w:rsidRPr="009922F7" w:rsidRDefault="009922F7" w:rsidP="009A6D87">
      <w:pPr>
        <w:widowControl w:val="0"/>
        <w:autoSpaceDE w:val="0"/>
        <w:autoSpaceDN w:val="0"/>
        <w:adjustRightInd w:val="0"/>
        <w:jc w:val="both"/>
        <w:rPr>
          <w:rFonts w:eastAsia="Times New Roman"/>
          <w:spacing w:val="-2"/>
          <w:szCs w:val="24"/>
          <w:lang w:val="en-GB"/>
        </w:rPr>
      </w:pPr>
    </w:p>
    <w:p w:rsidR="009922F7" w:rsidRDefault="009922F7" w:rsidP="009922F7">
      <w:pPr>
        <w:widowControl w:val="0"/>
        <w:autoSpaceDE w:val="0"/>
        <w:autoSpaceDN w:val="0"/>
        <w:adjustRightInd w:val="0"/>
        <w:ind w:firstLine="720"/>
        <w:jc w:val="both"/>
        <w:rPr>
          <w:rFonts w:eastAsia="Times New Roman"/>
          <w:spacing w:val="-2"/>
          <w:szCs w:val="24"/>
          <w:lang w:val="en-GB"/>
        </w:rPr>
      </w:pPr>
      <w:proofErr w:type="spellStart"/>
      <w:r w:rsidRPr="009922F7">
        <w:rPr>
          <w:rFonts w:eastAsia="Times New Roman"/>
          <w:i/>
          <w:spacing w:val="-2"/>
          <w:szCs w:val="24"/>
          <w:lang w:val="en-GB"/>
        </w:rPr>
        <w:t>Rappelant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l’adoption</w:t>
      </w:r>
      <w:proofErr w:type="spellEnd"/>
      <w:r w:rsidRPr="009922F7">
        <w:rPr>
          <w:rFonts w:eastAsia="Times New Roman"/>
          <w:spacing w:val="-2"/>
          <w:szCs w:val="24"/>
          <w:lang w:val="en-GB"/>
        </w:rPr>
        <w:t xml:space="preserve"> du </w:t>
      </w:r>
      <w:proofErr w:type="spellStart"/>
      <w:r w:rsidRPr="009922F7">
        <w:rPr>
          <w:rFonts w:eastAsia="Times New Roman"/>
          <w:spacing w:val="-2"/>
          <w:szCs w:val="24"/>
          <w:lang w:val="en-GB"/>
        </w:rPr>
        <w:t>Mémorandum</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d’entente</w:t>
      </w:r>
      <w:proofErr w:type="spellEnd"/>
      <w:r w:rsidRPr="009922F7">
        <w:rPr>
          <w:rFonts w:eastAsia="Times New Roman"/>
          <w:spacing w:val="-2"/>
          <w:szCs w:val="24"/>
          <w:lang w:val="en-GB"/>
        </w:rPr>
        <w:t xml:space="preserve"> de la CMS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conservation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MdE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en 2010, </w:t>
      </w:r>
      <w:proofErr w:type="spellStart"/>
      <w:r w:rsidRPr="009922F7">
        <w:rPr>
          <w:rFonts w:eastAsia="Times New Roman"/>
          <w:spacing w:val="-2"/>
          <w:szCs w:val="24"/>
          <w:lang w:val="en-GB"/>
        </w:rPr>
        <w:t>visant</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atteindre</w:t>
      </w:r>
      <w:proofErr w:type="spellEnd"/>
      <w:r w:rsidRPr="009922F7">
        <w:rPr>
          <w:rFonts w:eastAsia="Times New Roman"/>
          <w:spacing w:val="-2"/>
          <w:szCs w:val="24"/>
          <w:lang w:val="en-GB"/>
        </w:rPr>
        <w:t xml:space="preserve"> et à </w:t>
      </w:r>
      <w:proofErr w:type="spellStart"/>
      <w:r w:rsidRPr="009922F7">
        <w:rPr>
          <w:rFonts w:eastAsia="Times New Roman"/>
          <w:spacing w:val="-2"/>
          <w:szCs w:val="24"/>
          <w:lang w:val="en-GB"/>
        </w:rPr>
        <w:t>maintenir</w:t>
      </w:r>
      <w:proofErr w:type="spellEnd"/>
      <w:r w:rsidRPr="009922F7">
        <w:rPr>
          <w:rFonts w:eastAsia="Times New Roman"/>
          <w:spacing w:val="-2"/>
          <w:szCs w:val="24"/>
          <w:lang w:val="en-GB"/>
        </w:rPr>
        <w:t xml:space="preserve"> un </w:t>
      </w:r>
      <w:proofErr w:type="spellStart"/>
      <w:r w:rsidRPr="009922F7">
        <w:rPr>
          <w:rFonts w:eastAsia="Times New Roman"/>
          <w:spacing w:val="-2"/>
          <w:szCs w:val="24"/>
          <w:lang w:val="en-GB"/>
        </w:rPr>
        <w:t>état</w:t>
      </w:r>
      <w:proofErr w:type="spellEnd"/>
      <w:r w:rsidRPr="009922F7">
        <w:rPr>
          <w:rFonts w:eastAsia="Times New Roman"/>
          <w:spacing w:val="-2"/>
          <w:szCs w:val="24"/>
          <w:lang w:val="en-GB"/>
        </w:rPr>
        <w:t xml:space="preserve"> de conservation </w:t>
      </w:r>
      <w:proofErr w:type="spellStart"/>
      <w:r w:rsidRPr="009922F7">
        <w:rPr>
          <w:rFonts w:eastAsia="Times New Roman"/>
          <w:spacing w:val="-2"/>
          <w:szCs w:val="24"/>
          <w:lang w:val="en-GB"/>
        </w:rPr>
        <w:t>favorable</w:t>
      </w:r>
      <w:proofErr w:type="spellEnd"/>
      <w:r w:rsidRPr="009922F7">
        <w:rPr>
          <w:rFonts w:eastAsia="Times New Roman"/>
          <w:spacing w:val="-2"/>
          <w:szCs w:val="24"/>
          <w:lang w:val="en-GB"/>
        </w:rPr>
        <w:t xml:space="preserve">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base des </w:t>
      </w:r>
      <w:proofErr w:type="spellStart"/>
      <w:r w:rsidRPr="009922F7">
        <w:rPr>
          <w:rFonts w:eastAsia="Times New Roman"/>
          <w:spacing w:val="-2"/>
          <w:szCs w:val="24"/>
          <w:lang w:val="en-GB"/>
        </w:rPr>
        <w:t>meilleures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informations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scientifiques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disponibles</w:t>
      </w:r>
      <w:proofErr w:type="spellEnd"/>
      <w:r w:rsidRPr="009922F7">
        <w:rPr>
          <w:rFonts w:eastAsia="Times New Roman"/>
          <w:spacing w:val="-2"/>
          <w:szCs w:val="24"/>
          <w:lang w:val="en-GB"/>
        </w:rPr>
        <w:t xml:space="preserve"> et en tenant </w:t>
      </w:r>
      <w:proofErr w:type="spellStart"/>
      <w:r w:rsidRPr="009922F7">
        <w:rPr>
          <w:rFonts w:eastAsia="Times New Roman"/>
          <w:spacing w:val="-2"/>
          <w:szCs w:val="24"/>
          <w:lang w:val="en-GB"/>
        </w:rPr>
        <w:t>compte</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valeur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socioéconomique</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valeurs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représentées</w:t>
      </w:r>
      <w:proofErr w:type="spellEnd"/>
      <w:r w:rsidRPr="009922F7">
        <w:rPr>
          <w:rFonts w:eastAsia="Times New Roman"/>
          <w:spacing w:val="-2"/>
          <w:szCs w:val="24"/>
          <w:lang w:val="en-GB"/>
        </w:rPr>
        <w:t xml:space="preserve"> par </w:t>
      </w:r>
      <w:proofErr w:type="spellStart"/>
      <w:r w:rsidRPr="009922F7">
        <w:rPr>
          <w:rFonts w:eastAsia="Times New Roman"/>
          <w:spacing w:val="-2"/>
          <w:szCs w:val="24"/>
          <w:lang w:val="en-GB"/>
        </w:rPr>
        <w:t>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et la première </w:t>
      </w:r>
      <w:proofErr w:type="spellStart"/>
      <w:r w:rsidRPr="009922F7">
        <w:rPr>
          <w:rFonts w:eastAsia="Times New Roman"/>
          <w:spacing w:val="-2"/>
          <w:szCs w:val="24"/>
          <w:lang w:val="en-GB"/>
        </w:rPr>
        <w:t>Réunion</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Signataires</w:t>
      </w:r>
      <w:proofErr w:type="spellEnd"/>
      <w:r w:rsidRPr="009922F7">
        <w:rPr>
          <w:rFonts w:eastAsia="Times New Roman"/>
          <w:spacing w:val="-2"/>
          <w:szCs w:val="24"/>
          <w:lang w:val="en-GB"/>
        </w:rPr>
        <w:t xml:space="preserve"> en 2012, </w:t>
      </w:r>
      <w:proofErr w:type="spellStart"/>
      <w:r w:rsidRPr="009922F7">
        <w:rPr>
          <w:rFonts w:eastAsia="Times New Roman"/>
          <w:spacing w:val="-2"/>
          <w:szCs w:val="24"/>
          <w:lang w:val="en-GB"/>
        </w:rPr>
        <w:t>où</w:t>
      </w:r>
      <w:proofErr w:type="spellEnd"/>
      <w:r w:rsidRPr="009922F7">
        <w:rPr>
          <w:rFonts w:eastAsia="Times New Roman"/>
          <w:spacing w:val="-2"/>
          <w:szCs w:val="24"/>
          <w:lang w:val="en-GB"/>
        </w:rPr>
        <w:t xml:space="preserve"> le Plan de conservation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a </w:t>
      </w:r>
      <w:proofErr w:type="spellStart"/>
      <w:r w:rsidRPr="009922F7">
        <w:rPr>
          <w:rFonts w:eastAsia="Times New Roman"/>
          <w:spacing w:val="-2"/>
          <w:szCs w:val="24"/>
          <w:lang w:val="en-GB"/>
        </w:rPr>
        <w:t>été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adopté</w:t>
      </w:r>
      <w:proofErr w:type="spellEnd"/>
      <w:r w:rsidRPr="009922F7">
        <w:rPr>
          <w:rFonts w:eastAsia="Times New Roman"/>
          <w:spacing w:val="-2"/>
          <w:szCs w:val="24"/>
          <w:lang w:val="en-GB"/>
        </w:rPr>
        <w:t>;</w:t>
      </w:r>
    </w:p>
    <w:p w:rsidR="009922F7" w:rsidRDefault="009922F7" w:rsidP="009922F7">
      <w:pPr>
        <w:widowControl w:val="0"/>
        <w:autoSpaceDE w:val="0"/>
        <w:autoSpaceDN w:val="0"/>
        <w:adjustRightInd w:val="0"/>
        <w:jc w:val="both"/>
        <w:rPr>
          <w:rFonts w:eastAsia="Times New Roman"/>
          <w:spacing w:val="-2"/>
          <w:szCs w:val="24"/>
          <w:lang w:val="en-GB"/>
        </w:rPr>
      </w:pPr>
    </w:p>
    <w:p w:rsid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center"/>
        <w:rPr>
          <w:rFonts w:eastAsia="Times New Roman"/>
          <w:i/>
          <w:szCs w:val="24"/>
          <w:lang w:val="en-GB"/>
        </w:rPr>
      </w:pPr>
      <w:r w:rsidRPr="009922F7">
        <w:rPr>
          <w:rFonts w:eastAsia="Times New Roman"/>
          <w:i/>
          <w:szCs w:val="24"/>
          <w:lang w:val="en-GB"/>
        </w:rPr>
        <w:t xml:space="preserve">La </w:t>
      </w:r>
      <w:proofErr w:type="spellStart"/>
      <w:r w:rsidRPr="009922F7">
        <w:rPr>
          <w:rFonts w:eastAsia="Times New Roman"/>
          <w:i/>
          <w:szCs w:val="24"/>
          <w:lang w:val="en-GB"/>
        </w:rPr>
        <w:t>Conférence</w:t>
      </w:r>
      <w:proofErr w:type="spellEnd"/>
      <w:r w:rsidRPr="009922F7">
        <w:rPr>
          <w:rFonts w:eastAsia="Times New Roman"/>
          <w:i/>
          <w:szCs w:val="24"/>
          <w:lang w:val="en-GB"/>
        </w:rPr>
        <w:t xml:space="preserve"> des Parties à la</w:t>
      </w:r>
    </w:p>
    <w:p w:rsidR="009922F7" w:rsidRPr="009922F7" w:rsidRDefault="009922F7" w:rsidP="009922F7">
      <w:pPr>
        <w:widowControl w:val="0"/>
        <w:autoSpaceDE w:val="0"/>
        <w:autoSpaceDN w:val="0"/>
        <w:adjustRightInd w:val="0"/>
        <w:jc w:val="center"/>
        <w:rPr>
          <w:rFonts w:eastAsia="Times New Roman"/>
          <w:i/>
          <w:szCs w:val="24"/>
          <w:lang w:val="en-GB"/>
        </w:rPr>
      </w:pPr>
      <w:r w:rsidRPr="009922F7">
        <w:rPr>
          <w:rFonts w:eastAsia="Times New Roman"/>
          <w:i/>
          <w:szCs w:val="24"/>
          <w:lang w:val="en-GB"/>
        </w:rPr>
        <w:t xml:space="preserve">Convention </w:t>
      </w:r>
      <w:proofErr w:type="spellStart"/>
      <w:r w:rsidRPr="009922F7">
        <w:rPr>
          <w:rFonts w:eastAsia="Times New Roman"/>
          <w:i/>
          <w:szCs w:val="24"/>
          <w:lang w:val="en-GB"/>
        </w:rPr>
        <w:t>sur</w:t>
      </w:r>
      <w:proofErr w:type="spellEnd"/>
      <w:r w:rsidRPr="009922F7">
        <w:rPr>
          <w:rFonts w:eastAsia="Times New Roman"/>
          <w:i/>
          <w:szCs w:val="24"/>
          <w:lang w:val="en-GB"/>
        </w:rPr>
        <w:t xml:space="preserve"> la conservation des </w:t>
      </w:r>
      <w:proofErr w:type="spellStart"/>
      <w:r w:rsidRPr="009922F7">
        <w:rPr>
          <w:rFonts w:eastAsia="Times New Roman"/>
          <w:i/>
          <w:szCs w:val="24"/>
          <w:lang w:val="en-GB"/>
        </w:rPr>
        <w:t>espèces</w:t>
      </w:r>
      <w:proofErr w:type="spellEnd"/>
      <w:r w:rsidRPr="009922F7">
        <w:rPr>
          <w:rFonts w:eastAsia="Times New Roman"/>
          <w:i/>
          <w:szCs w:val="24"/>
          <w:lang w:val="en-GB"/>
        </w:rPr>
        <w:t xml:space="preserve"> </w:t>
      </w:r>
      <w:proofErr w:type="spellStart"/>
      <w:r w:rsidRPr="009922F7">
        <w:rPr>
          <w:rFonts w:eastAsia="Times New Roman"/>
          <w:i/>
          <w:szCs w:val="24"/>
          <w:lang w:val="en-GB"/>
        </w:rPr>
        <w:t>migratrices</w:t>
      </w:r>
      <w:proofErr w:type="spellEnd"/>
      <w:r w:rsidRPr="009922F7">
        <w:rPr>
          <w:rFonts w:eastAsia="Times New Roman"/>
          <w:i/>
          <w:szCs w:val="24"/>
          <w:lang w:val="en-GB"/>
        </w:rPr>
        <w:t xml:space="preserve"> </w:t>
      </w:r>
      <w:proofErr w:type="spellStart"/>
      <w:r w:rsidRPr="009922F7">
        <w:rPr>
          <w:rFonts w:eastAsia="Times New Roman"/>
          <w:i/>
          <w:szCs w:val="24"/>
          <w:lang w:val="en-GB"/>
        </w:rPr>
        <w:t>appartenant</w:t>
      </w:r>
      <w:proofErr w:type="spellEnd"/>
      <w:r w:rsidRPr="009922F7">
        <w:rPr>
          <w:rFonts w:eastAsia="Times New Roman"/>
          <w:i/>
          <w:szCs w:val="24"/>
          <w:lang w:val="en-GB"/>
        </w:rPr>
        <w:t xml:space="preserve"> à la </w:t>
      </w:r>
      <w:proofErr w:type="spellStart"/>
      <w:r w:rsidRPr="009922F7">
        <w:rPr>
          <w:rFonts w:eastAsia="Times New Roman"/>
          <w:i/>
          <w:szCs w:val="24"/>
          <w:lang w:val="en-GB"/>
        </w:rPr>
        <w:t>faune</w:t>
      </w:r>
      <w:proofErr w:type="spellEnd"/>
      <w:r w:rsidRPr="009922F7">
        <w:rPr>
          <w:rFonts w:eastAsia="Times New Roman"/>
          <w:i/>
          <w:szCs w:val="24"/>
          <w:lang w:val="en-GB"/>
        </w:rPr>
        <w:t xml:space="preserve"> </w:t>
      </w:r>
      <w:proofErr w:type="spellStart"/>
      <w:r w:rsidRPr="009922F7">
        <w:rPr>
          <w:rFonts w:eastAsia="Times New Roman"/>
          <w:i/>
          <w:szCs w:val="24"/>
          <w:lang w:val="en-GB"/>
        </w:rPr>
        <w:t>sauvage</w:t>
      </w:r>
      <w:proofErr w:type="spellEnd"/>
    </w:p>
    <w:p w:rsidR="009922F7" w:rsidRPr="009A6D87" w:rsidRDefault="009922F7" w:rsidP="009922F7">
      <w:pPr>
        <w:widowControl w:val="0"/>
        <w:autoSpaceDE w:val="0"/>
        <w:autoSpaceDN w:val="0"/>
        <w:adjustRightInd w:val="0"/>
        <w:jc w:val="both"/>
        <w:rPr>
          <w:rFonts w:eastAsia="Times New Roman"/>
          <w:spacing w:val="-2"/>
          <w:sz w:val="22"/>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1.</w:t>
      </w:r>
      <w:r w:rsidRPr="009922F7">
        <w:rPr>
          <w:rFonts w:eastAsia="Times New Roman"/>
          <w:spacing w:val="-2"/>
          <w:szCs w:val="24"/>
          <w:lang w:val="en-GB"/>
        </w:rPr>
        <w:tab/>
      </w:r>
      <w:proofErr w:type="spellStart"/>
      <w:r w:rsidRPr="009922F7">
        <w:rPr>
          <w:rFonts w:eastAsia="Times New Roman"/>
          <w:i/>
          <w:spacing w:val="-2"/>
          <w:szCs w:val="24"/>
          <w:lang w:val="en-GB"/>
        </w:rPr>
        <w:t>Prie</w:t>
      </w:r>
      <w:proofErr w:type="spellEnd"/>
      <w:r w:rsidRPr="009922F7">
        <w:rPr>
          <w:rFonts w:eastAsia="Times New Roman"/>
          <w:i/>
          <w:spacing w:val="-2"/>
          <w:szCs w:val="24"/>
          <w:lang w:val="en-GB"/>
        </w:rPr>
        <w:t xml:space="preserve"> </w:t>
      </w:r>
      <w:proofErr w:type="spellStart"/>
      <w:r w:rsidRPr="009922F7">
        <w:rPr>
          <w:rFonts w:eastAsia="Times New Roman"/>
          <w:i/>
          <w:spacing w:val="-2"/>
          <w:szCs w:val="24"/>
          <w:lang w:val="en-GB"/>
        </w:rPr>
        <w:t>instamment</w:t>
      </w:r>
      <w:proofErr w:type="spellEnd"/>
      <w:r w:rsidRPr="009922F7">
        <w:rPr>
          <w:rFonts w:eastAsia="Times New Roman"/>
          <w:spacing w:val="-2"/>
          <w:szCs w:val="24"/>
          <w:lang w:val="en-GB"/>
        </w:rPr>
        <w:t xml:space="preserve"> les Parties de faire en </w:t>
      </w:r>
      <w:proofErr w:type="spellStart"/>
      <w:r w:rsidRPr="009922F7">
        <w:rPr>
          <w:rFonts w:eastAsia="Times New Roman"/>
          <w:spacing w:val="-2"/>
          <w:szCs w:val="24"/>
          <w:lang w:val="en-GB"/>
        </w:rPr>
        <w:t>sorte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toute</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gramStart"/>
      <w:r w:rsidRPr="009922F7">
        <w:rPr>
          <w:rFonts w:eastAsia="Times New Roman"/>
          <w:spacing w:val="-2"/>
          <w:szCs w:val="24"/>
          <w:lang w:val="en-GB"/>
        </w:rPr>
        <w:t>et</w:t>
      </w:r>
      <w:proofErr w:type="gramEnd"/>
      <w:r w:rsidRPr="009922F7">
        <w:rPr>
          <w:rFonts w:eastAsia="Times New Roman"/>
          <w:spacing w:val="-2"/>
          <w:szCs w:val="24"/>
          <w:lang w:val="en-GB"/>
        </w:rPr>
        <w:t xml:space="preserve"> le commerce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soient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écologiquement</w:t>
      </w:r>
      <w:proofErr w:type="spellEnd"/>
      <w:r w:rsidRPr="009922F7">
        <w:rPr>
          <w:rFonts w:eastAsia="Times New Roman"/>
          <w:spacing w:val="-2"/>
          <w:szCs w:val="24"/>
          <w:lang w:val="en-GB"/>
        </w:rPr>
        <w:t xml:space="preserve"> durables, et </w:t>
      </w:r>
      <w:proofErr w:type="spellStart"/>
      <w:r w:rsidRPr="009922F7">
        <w:rPr>
          <w:rFonts w:eastAsia="Times New Roman"/>
          <w:spacing w:val="-2"/>
          <w:szCs w:val="24"/>
          <w:lang w:val="en-GB"/>
        </w:rPr>
        <w:t>qu’un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manque</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données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scientifiques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n’empêche</w:t>
      </w:r>
      <w:proofErr w:type="spellEnd"/>
      <w:r w:rsidRPr="009922F7">
        <w:rPr>
          <w:rFonts w:eastAsia="Times New Roman"/>
          <w:spacing w:val="-2"/>
          <w:szCs w:val="24"/>
          <w:lang w:val="en-GB"/>
        </w:rPr>
        <w:t xml:space="preserve"> pas de </w:t>
      </w:r>
      <w:proofErr w:type="spellStart"/>
      <w:r w:rsidRPr="009922F7">
        <w:rPr>
          <w:rFonts w:eastAsia="Times New Roman"/>
          <w:spacing w:val="-2"/>
          <w:szCs w:val="24"/>
          <w:lang w:val="en-GB"/>
        </w:rPr>
        <w:t>prendre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conservation </w:t>
      </w:r>
      <w:proofErr w:type="spellStart"/>
      <w:r w:rsidRPr="009922F7">
        <w:rPr>
          <w:rFonts w:eastAsia="Times New Roman"/>
          <w:spacing w:val="-2"/>
          <w:szCs w:val="24"/>
          <w:lang w:val="en-GB"/>
        </w:rPr>
        <w:t>ou</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pour </w:t>
      </w:r>
      <w:proofErr w:type="spellStart"/>
      <w:r w:rsidRPr="009922F7">
        <w:rPr>
          <w:rFonts w:eastAsia="Times New Roman"/>
          <w:spacing w:val="-2"/>
          <w:szCs w:val="24"/>
          <w:lang w:val="en-GB"/>
        </w:rPr>
        <w:t>atteindre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cet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objectif</w:t>
      </w:r>
      <w:proofErr w:type="spellEnd"/>
      <w:r w:rsidRPr="009922F7">
        <w:rPr>
          <w:rFonts w:eastAsia="Times New Roman"/>
          <w:spacing w:val="-2"/>
          <w:szCs w:val="24"/>
          <w:lang w:val="en-GB"/>
        </w:rPr>
        <w:t>;</w:t>
      </w:r>
    </w:p>
    <w:p w:rsidR="009922F7" w:rsidRPr="009A6D87" w:rsidRDefault="009922F7" w:rsidP="009922F7">
      <w:pPr>
        <w:widowControl w:val="0"/>
        <w:autoSpaceDE w:val="0"/>
        <w:autoSpaceDN w:val="0"/>
        <w:adjustRightInd w:val="0"/>
        <w:jc w:val="both"/>
        <w:rPr>
          <w:rFonts w:eastAsia="Times New Roman"/>
          <w:spacing w:val="-2"/>
          <w:sz w:val="22"/>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2.</w:t>
      </w:r>
      <w:r w:rsidRPr="009922F7">
        <w:rPr>
          <w:rFonts w:eastAsia="Times New Roman"/>
          <w:spacing w:val="-2"/>
          <w:szCs w:val="24"/>
          <w:lang w:val="en-GB"/>
        </w:rPr>
        <w:tab/>
      </w:r>
      <w:proofErr w:type="spellStart"/>
      <w:r w:rsidRPr="009922F7">
        <w:rPr>
          <w:rFonts w:eastAsia="Times New Roman"/>
          <w:i/>
          <w:spacing w:val="-2"/>
          <w:szCs w:val="24"/>
          <w:lang w:val="en-GB"/>
        </w:rPr>
        <w:t>Prie</w:t>
      </w:r>
      <w:proofErr w:type="spellEnd"/>
      <w:r w:rsidRPr="009922F7">
        <w:rPr>
          <w:rFonts w:eastAsia="Times New Roman"/>
          <w:i/>
          <w:spacing w:val="-2"/>
          <w:szCs w:val="24"/>
          <w:lang w:val="en-GB"/>
        </w:rPr>
        <w:t xml:space="preserve"> </w:t>
      </w:r>
      <w:proofErr w:type="spellStart"/>
      <w:r w:rsidRPr="009922F7">
        <w:rPr>
          <w:rFonts w:eastAsia="Times New Roman"/>
          <w:i/>
          <w:spacing w:val="-2"/>
          <w:szCs w:val="24"/>
          <w:lang w:val="en-GB"/>
        </w:rPr>
        <w:t>instamment</w:t>
      </w:r>
      <w:proofErr w:type="spellEnd"/>
      <w:r w:rsidRPr="009922F7">
        <w:rPr>
          <w:rFonts w:eastAsia="Times New Roman"/>
          <w:spacing w:val="-2"/>
          <w:szCs w:val="24"/>
          <w:lang w:val="en-GB"/>
        </w:rPr>
        <w:t xml:space="preserve"> les Parties </w:t>
      </w:r>
      <w:proofErr w:type="spellStart"/>
      <w:r w:rsidRPr="009922F7">
        <w:rPr>
          <w:rFonts w:eastAsia="Times New Roman"/>
          <w:spacing w:val="-2"/>
          <w:szCs w:val="24"/>
          <w:lang w:val="en-GB"/>
        </w:rPr>
        <w:t>d’adopter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lorsqu’elles</w:t>
      </w:r>
      <w:proofErr w:type="spellEnd"/>
      <w:r w:rsidRPr="009922F7">
        <w:rPr>
          <w:rFonts w:eastAsia="Times New Roman"/>
          <w:spacing w:val="-2"/>
          <w:szCs w:val="24"/>
          <w:lang w:val="en-GB"/>
        </w:rPr>
        <w:t xml:space="preserve"> ne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pas déjà en place, des </w:t>
      </w:r>
      <w:proofErr w:type="spellStart"/>
      <w:proofErr w:type="gramStart"/>
      <w:r w:rsidRPr="009922F7">
        <w:rPr>
          <w:rFonts w:eastAsia="Times New Roman"/>
          <w:spacing w:val="-2"/>
          <w:szCs w:val="24"/>
          <w:lang w:val="en-GB"/>
        </w:rPr>
        <w:t>lois</w:t>
      </w:r>
      <w:proofErr w:type="spellEnd"/>
      <w:proofErr w:type="gramEnd"/>
      <w:r w:rsidRPr="009922F7">
        <w:rPr>
          <w:rFonts w:eastAsia="Times New Roman"/>
          <w:spacing w:val="-2"/>
          <w:szCs w:val="24"/>
          <w:lang w:val="en-GB"/>
        </w:rPr>
        <w:t xml:space="preserve"> </w:t>
      </w:r>
      <w:proofErr w:type="spellStart"/>
      <w:r w:rsidRPr="009922F7">
        <w:rPr>
          <w:rFonts w:eastAsia="Times New Roman"/>
          <w:spacing w:val="-2"/>
          <w:szCs w:val="24"/>
          <w:lang w:val="en-GB"/>
        </w:rPr>
        <w:t>ou</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règlements</w:t>
      </w:r>
      <w:proofErr w:type="spellEnd"/>
      <w:r w:rsidRPr="009922F7">
        <w:rPr>
          <w:rFonts w:eastAsia="Times New Roman"/>
          <w:spacing w:val="-2"/>
          <w:szCs w:val="24"/>
          <w:lang w:val="en-GB"/>
        </w:rPr>
        <w:t xml:space="preserve"> qui exigent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soient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débarqués</w:t>
      </w:r>
      <w:proofErr w:type="spellEnd"/>
      <w:r w:rsidRPr="009922F7">
        <w:rPr>
          <w:rFonts w:eastAsia="Times New Roman"/>
          <w:spacing w:val="-2"/>
          <w:szCs w:val="24"/>
          <w:lang w:val="en-GB"/>
        </w:rPr>
        <w:t xml:space="preserve"> avec </w:t>
      </w:r>
      <w:proofErr w:type="spellStart"/>
      <w:r w:rsidRPr="009922F7">
        <w:rPr>
          <w:rFonts w:eastAsia="Times New Roman"/>
          <w:spacing w:val="-2"/>
          <w:szCs w:val="24"/>
          <w:lang w:val="en-GB"/>
        </w:rPr>
        <w:t>tous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ailerons </w:t>
      </w:r>
      <w:proofErr w:type="spellStart"/>
      <w:r w:rsidRPr="009922F7">
        <w:rPr>
          <w:rFonts w:eastAsia="Times New Roman"/>
          <w:spacing w:val="-2"/>
          <w:szCs w:val="24"/>
          <w:lang w:val="en-GB"/>
        </w:rPr>
        <w:t>naturellement</w:t>
      </w:r>
      <w:proofErr w:type="spellEnd"/>
      <w:r w:rsidRPr="009922F7">
        <w:rPr>
          <w:rFonts w:eastAsia="Times New Roman"/>
          <w:spacing w:val="-2"/>
          <w:szCs w:val="24"/>
          <w:lang w:val="en-GB"/>
        </w:rPr>
        <w:t xml:space="preserve"> attachés au corps, </w:t>
      </w:r>
      <w:proofErr w:type="spellStart"/>
      <w:r w:rsidRPr="009922F7">
        <w:rPr>
          <w:rFonts w:eastAsia="Times New Roman"/>
          <w:spacing w:val="-2"/>
          <w:szCs w:val="24"/>
          <w:lang w:val="en-GB"/>
        </w:rPr>
        <w:t>ou</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conformément</w:t>
      </w:r>
      <w:proofErr w:type="spellEnd"/>
      <w:r w:rsidRPr="009922F7">
        <w:rPr>
          <w:rFonts w:eastAsia="Times New Roman"/>
          <w:spacing w:val="-2"/>
          <w:szCs w:val="24"/>
          <w:lang w:val="en-GB"/>
        </w:rPr>
        <w:t xml:space="preserve"> aux </w:t>
      </w:r>
      <w:proofErr w:type="spellStart"/>
      <w:r w:rsidRPr="009922F7">
        <w:rPr>
          <w:rFonts w:eastAsia="Times New Roman"/>
          <w:spacing w:val="-2"/>
          <w:szCs w:val="24"/>
          <w:lang w:val="en-GB"/>
        </w:rPr>
        <w:t>résolutions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applicables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l’Assemblée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générale</w:t>
      </w:r>
      <w:proofErr w:type="spellEnd"/>
      <w:r w:rsidRPr="009922F7">
        <w:rPr>
          <w:rFonts w:eastAsia="Times New Roman"/>
          <w:spacing w:val="-2"/>
          <w:szCs w:val="24"/>
          <w:lang w:val="en-GB"/>
        </w:rPr>
        <w:t xml:space="preserve"> des Nations </w:t>
      </w:r>
      <w:proofErr w:type="spellStart"/>
      <w:r w:rsidRPr="009922F7">
        <w:rPr>
          <w:rFonts w:eastAsia="Times New Roman"/>
          <w:spacing w:val="-2"/>
          <w:szCs w:val="24"/>
          <w:lang w:val="en-GB"/>
        </w:rPr>
        <w:t>Unies</w:t>
      </w:r>
      <w:proofErr w:type="spellEnd"/>
      <w:r w:rsidRPr="009922F7">
        <w:rPr>
          <w:rFonts w:eastAsia="Times New Roman"/>
          <w:spacing w:val="-2"/>
          <w:szCs w:val="24"/>
          <w:lang w:val="en-GB"/>
        </w:rPr>
        <w:t xml:space="preserve"> et aux </w:t>
      </w:r>
      <w:proofErr w:type="spellStart"/>
      <w:r w:rsidRPr="009922F7">
        <w:rPr>
          <w:rFonts w:eastAsia="Times New Roman"/>
          <w:spacing w:val="-2"/>
          <w:szCs w:val="24"/>
          <w:lang w:val="en-GB"/>
        </w:rPr>
        <w:t>avis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l’UICN</w:t>
      </w:r>
      <w:proofErr w:type="spellEnd"/>
      <w:r w:rsidRPr="009922F7">
        <w:rPr>
          <w:rFonts w:eastAsia="Times New Roman"/>
          <w:spacing w:val="-2"/>
          <w:szCs w:val="24"/>
          <w:lang w:val="en-GB"/>
        </w:rPr>
        <w:t>;</w:t>
      </w:r>
    </w:p>
    <w:p w:rsidR="009922F7" w:rsidRPr="009A6D87" w:rsidRDefault="009922F7" w:rsidP="009922F7">
      <w:pPr>
        <w:widowControl w:val="0"/>
        <w:autoSpaceDE w:val="0"/>
        <w:autoSpaceDN w:val="0"/>
        <w:adjustRightInd w:val="0"/>
        <w:jc w:val="both"/>
        <w:rPr>
          <w:rFonts w:eastAsia="Times New Roman"/>
          <w:spacing w:val="-2"/>
          <w:sz w:val="22"/>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3.</w:t>
      </w:r>
      <w:r w:rsidRPr="009922F7">
        <w:rPr>
          <w:rFonts w:eastAsia="Times New Roman"/>
          <w:spacing w:val="-2"/>
          <w:szCs w:val="24"/>
          <w:lang w:val="en-GB"/>
        </w:rPr>
        <w:tab/>
      </w:r>
      <w:proofErr w:type="spellStart"/>
      <w:r w:rsidRPr="009922F7">
        <w:rPr>
          <w:rFonts w:eastAsia="Times New Roman"/>
          <w:i/>
          <w:spacing w:val="-2"/>
          <w:szCs w:val="24"/>
          <w:lang w:val="en-GB"/>
        </w:rPr>
        <w:t>Prie</w:t>
      </w:r>
      <w:proofErr w:type="spellEnd"/>
      <w:r w:rsidRPr="009922F7">
        <w:rPr>
          <w:rFonts w:eastAsia="Times New Roman"/>
          <w:i/>
          <w:spacing w:val="-2"/>
          <w:szCs w:val="24"/>
          <w:lang w:val="en-GB"/>
        </w:rPr>
        <w:t xml:space="preserve"> </w:t>
      </w:r>
      <w:proofErr w:type="spellStart"/>
      <w:r w:rsidRPr="009922F7">
        <w:rPr>
          <w:rFonts w:eastAsia="Times New Roman"/>
          <w:i/>
          <w:spacing w:val="-2"/>
          <w:szCs w:val="24"/>
          <w:lang w:val="en-GB"/>
        </w:rPr>
        <w:t>instamment</w:t>
      </w:r>
      <w:proofErr w:type="spellEnd"/>
      <w:r w:rsidRPr="009922F7">
        <w:rPr>
          <w:rFonts w:eastAsia="Times New Roman"/>
          <w:spacing w:val="-2"/>
          <w:szCs w:val="24"/>
          <w:lang w:val="en-GB"/>
        </w:rPr>
        <w:t xml:space="preserve"> les Parties </w:t>
      </w:r>
      <w:proofErr w:type="spellStart"/>
      <w:r w:rsidRPr="009922F7">
        <w:rPr>
          <w:rFonts w:eastAsia="Times New Roman"/>
          <w:spacing w:val="-2"/>
          <w:szCs w:val="24"/>
          <w:lang w:val="en-GB"/>
        </w:rPr>
        <w:t>d’élaborer</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mettre</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œuvre</w:t>
      </w:r>
      <w:proofErr w:type="spellEnd"/>
      <w:r w:rsidRPr="009922F7">
        <w:rPr>
          <w:rFonts w:eastAsia="Times New Roman"/>
          <w:spacing w:val="-2"/>
          <w:szCs w:val="24"/>
          <w:lang w:val="en-GB"/>
        </w:rPr>
        <w:t xml:space="preserve"> des plans </w:t>
      </w:r>
      <w:proofErr w:type="spellStart"/>
      <w:r w:rsidRPr="009922F7">
        <w:rPr>
          <w:rFonts w:eastAsia="Times New Roman"/>
          <w:spacing w:val="-2"/>
          <w:szCs w:val="24"/>
          <w:lang w:val="en-GB"/>
        </w:rPr>
        <w:t>d’action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nationaux</w:t>
      </w:r>
      <w:proofErr w:type="spellEnd"/>
      <w:r w:rsidRPr="009922F7">
        <w:rPr>
          <w:rFonts w:eastAsia="Times New Roman"/>
          <w:spacing w:val="-2"/>
          <w:szCs w:val="24"/>
          <w:lang w:val="en-GB"/>
        </w:rPr>
        <w:t xml:space="preserve">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(Plan-</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définis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façon</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s’appliquer</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toutes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espèces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poissons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chondrichthyens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eaux</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relèvent</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juridiction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nationale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afin</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réglementer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activités</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flottes</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États</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pratiquent</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en haute </w:t>
      </w:r>
      <w:proofErr w:type="spellStart"/>
      <w:r w:rsidRPr="009922F7">
        <w:rPr>
          <w:rFonts w:eastAsia="Times New Roman"/>
          <w:spacing w:val="-2"/>
          <w:szCs w:val="24"/>
          <w:lang w:val="en-GB"/>
        </w:rPr>
        <w:t>mer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conformément</w:t>
      </w:r>
      <w:proofErr w:type="spellEnd"/>
      <w:r w:rsidRPr="009922F7">
        <w:rPr>
          <w:rFonts w:eastAsia="Times New Roman"/>
          <w:spacing w:val="-2"/>
          <w:szCs w:val="24"/>
          <w:lang w:val="en-GB"/>
        </w:rPr>
        <w:t xml:space="preserve"> au Plan </w:t>
      </w:r>
      <w:proofErr w:type="spellStart"/>
      <w:r w:rsidRPr="009922F7">
        <w:rPr>
          <w:rFonts w:eastAsia="Times New Roman"/>
          <w:spacing w:val="-2"/>
          <w:szCs w:val="24"/>
          <w:lang w:val="en-GB"/>
        </w:rPr>
        <w:t>d’action</w:t>
      </w:r>
      <w:proofErr w:type="spellEnd"/>
      <w:r w:rsidRPr="009922F7">
        <w:rPr>
          <w:rFonts w:eastAsia="Times New Roman"/>
          <w:spacing w:val="-2"/>
          <w:szCs w:val="24"/>
          <w:lang w:val="en-GB"/>
        </w:rPr>
        <w:t xml:space="preserve"> international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de la FAO - PAI-REQUINS;</w:t>
      </w:r>
    </w:p>
    <w:p w:rsidR="009922F7" w:rsidRPr="009A6D87" w:rsidRDefault="009922F7" w:rsidP="009922F7">
      <w:pPr>
        <w:widowControl w:val="0"/>
        <w:autoSpaceDE w:val="0"/>
        <w:autoSpaceDN w:val="0"/>
        <w:adjustRightInd w:val="0"/>
        <w:jc w:val="both"/>
        <w:rPr>
          <w:rFonts w:eastAsia="Times New Roman"/>
          <w:spacing w:val="-2"/>
          <w:sz w:val="22"/>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4.</w:t>
      </w:r>
      <w:r w:rsidRPr="009922F7">
        <w:rPr>
          <w:rFonts w:eastAsia="Times New Roman"/>
          <w:spacing w:val="-2"/>
          <w:szCs w:val="24"/>
          <w:lang w:val="en-GB"/>
        </w:rPr>
        <w:tab/>
      </w:r>
      <w:proofErr w:type="spellStart"/>
      <w:r w:rsidRPr="009922F7">
        <w:rPr>
          <w:rFonts w:eastAsia="Times New Roman"/>
          <w:i/>
          <w:spacing w:val="-2"/>
          <w:szCs w:val="24"/>
          <w:lang w:val="en-GB"/>
        </w:rPr>
        <w:t>Prie</w:t>
      </w:r>
      <w:proofErr w:type="spellEnd"/>
      <w:r w:rsidRPr="009922F7">
        <w:rPr>
          <w:rFonts w:eastAsia="Times New Roman"/>
          <w:i/>
          <w:spacing w:val="-2"/>
          <w:szCs w:val="24"/>
          <w:lang w:val="en-GB"/>
        </w:rPr>
        <w:t xml:space="preserve"> </w:t>
      </w:r>
      <w:proofErr w:type="spellStart"/>
      <w:r w:rsidRPr="009922F7">
        <w:rPr>
          <w:rFonts w:eastAsia="Times New Roman"/>
          <w:i/>
          <w:spacing w:val="-2"/>
          <w:szCs w:val="24"/>
          <w:lang w:val="en-GB"/>
        </w:rPr>
        <w:t>instamment</w:t>
      </w:r>
      <w:proofErr w:type="spellEnd"/>
      <w:r w:rsidRPr="009922F7">
        <w:rPr>
          <w:rFonts w:eastAsia="Times New Roman"/>
          <w:spacing w:val="-2"/>
          <w:szCs w:val="24"/>
          <w:lang w:val="en-GB"/>
        </w:rPr>
        <w:t xml:space="preserve"> les Parties </w:t>
      </w:r>
      <w:proofErr w:type="spellStart"/>
      <w:r w:rsidRPr="009922F7">
        <w:rPr>
          <w:rFonts w:eastAsia="Times New Roman"/>
          <w:spacing w:val="-2"/>
          <w:szCs w:val="24"/>
          <w:lang w:val="en-GB"/>
        </w:rPr>
        <w:t>d’élaborer</w:t>
      </w:r>
      <w:proofErr w:type="spellEnd"/>
      <w:r w:rsidRPr="009922F7">
        <w:rPr>
          <w:rFonts w:eastAsia="Times New Roman"/>
          <w:spacing w:val="-2"/>
          <w:szCs w:val="24"/>
          <w:lang w:val="en-GB"/>
        </w:rPr>
        <w:t xml:space="preserve"> </w:t>
      </w:r>
      <w:proofErr w:type="gramStart"/>
      <w:r w:rsidRPr="009922F7">
        <w:rPr>
          <w:rFonts w:eastAsia="Times New Roman"/>
          <w:spacing w:val="-2"/>
          <w:szCs w:val="24"/>
          <w:lang w:val="en-GB"/>
        </w:rPr>
        <w:t>et</w:t>
      </w:r>
      <w:proofErr w:type="gramEnd"/>
      <w:r w:rsidRPr="009922F7">
        <w:rPr>
          <w:rFonts w:eastAsia="Times New Roman"/>
          <w:spacing w:val="-2"/>
          <w:szCs w:val="24"/>
          <w:lang w:val="en-GB"/>
        </w:rPr>
        <w:t xml:space="preserve"> de </w:t>
      </w:r>
      <w:proofErr w:type="spellStart"/>
      <w:r w:rsidRPr="009922F7">
        <w:rPr>
          <w:rFonts w:eastAsia="Times New Roman"/>
          <w:spacing w:val="-2"/>
          <w:szCs w:val="24"/>
          <w:lang w:val="en-GB"/>
        </w:rPr>
        <w:t>mettre</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œuvre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stratégies</w:t>
      </w:r>
      <w:proofErr w:type="spellEnd"/>
      <w:r w:rsidRPr="009922F7">
        <w:rPr>
          <w:rFonts w:eastAsia="Times New Roman"/>
          <w:spacing w:val="-2"/>
          <w:szCs w:val="24"/>
          <w:lang w:val="en-GB"/>
        </w:rPr>
        <w:t xml:space="preserve"> pour </w:t>
      </w:r>
      <w:proofErr w:type="spellStart"/>
      <w:r w:rsidRPr="009922F7">
        <w:rPr>
          <w:rFonts w:eastAsia="Times New Roman"/>
          <w:spacing w:val="-2"/>
          <w:szCs w:val="24"/>
          <w:lang w:val="en-GB"/>
        </w:rPr>
        <w:t>garantir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sont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pêchés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commercialisés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conformément</w:t>
      </w:r>
      <w:proofErr w:type="spellEnd"/>
      <w:r w:rsidRPr="009922F7">
        <w:rPr>
          <w:rFonts w:eastAsia="Times New Roman"/>
          <w:spacing w:val="-2"/>
          <w:szCs w:val="24"/>
          <w:lang w:val="en-GB"/>
        </w:rPr>
        <w:t xml:space="preserve"> aux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conservation et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existantes</w:t>
      </w:r>
      <w:proofErr w:type="spellEnd"/>
      <w:r w:rsidRPr="009922F7">
        <w:rPr>
          <w:rFonts w:eastAsia="Times New Roman"/>
          <w:spacing w:val="-2"/>
          <w:szCs w:val="24"/>
          <w:lang w:val="en-GB"/>
        </w:rPr>
        <w:t xml:space="preserve"> et aux </w:t>
      </w:r>
      <w:proofErr w:type="spellStart"/>
      <w:r w:rsidRPr="009922F7">
        <w:rPr>
          <w:rFonts w:eastAsia="Times New Roman"/>
          <w:spacing w:val="-2"/>
          <w:szCs w:val="24"/>
          <w:lang w:val="en-GB"/>
        </w:rPr>
        <w:t>règlements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applicables</w:t>
      </w:r>
      <w:proofErr w:type="spellEnd"/>
      <w:r w:rsidRPr="009922F7">
        <w:rPr>
          <w:rFonts w:eastAsia="Times New Roman"/>
          <w:spacing w:val="-2"/>
          <w:szCs w:val="24"/>
          <w:lang w:val="en-GB"/>
        </w:rPr>
        <w:t xml:space="preserve">, y </w:t>
      </w:r>
      <w:proofErr w:type="spellStart"/>
      <w:r w:rsidRPr="009922F7">
        <w:rPr>
          <w:rFonts w:eastAsia="Times New Roman"/>
          <w:spacing w:val="-2"/>
          <w:szCs w:val="24"/>
          <w:lang w:val="en-GB"/>
        </w:rPr>
        <w:t>compris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ceux</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demandés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ou</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réalisés</w:t>
      </w:r>
      <w:proofErr w:type="spellEnd"/>
      <w:r w:rsidRPr="009922F7">
        <w:rPr>
          <w:rFonts w:eastAsia="Times New Roman"/>
          <w:spacing w:val="-2"/>
          <w:szCs w:val="24"/>
          <w:lang w:val="en-GB"/>
        </w:rPr>
        <w:t xml:space="preserve"> par la CITES et par les organisations </w:t>
      </w:r>
      <w:proofErr w:type="spellStart"/>
      <w:r w:rsidRPr="009922F7">
        <w:rPr>
          <w:rFonts w:eastAsia="Times New Roman"/>
          <w:spacing w:val="-2"/>
          <w:szCs w:val="24"/>
          <w:lang w:val="en-GB"/>
        </w:rPr>
        <w:t>régionales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pêches</w:t>
      </w:r>
      <w:proofErr w:type="spellEnd"/>
      <w:r w:rsidRPr="009922F7">
        <w:rPr>
          <w:rFonts w:eastAsia="Times New Roman"/>
          <w:spacing w:val="-2"/>
          <w:szCs w:val="24"/>
          <w:lang w:val="en-GB"/>
        </w:rPr>
        <w:t xml:space="preserve"> (ORGP);</w:t>
      </w:r>
    </w:p>
    <w:p w:rsidR="009922F7" w:rsidRPr="009A6D87" w:rsidRDefault="009922F7" w:rsidP="009922F7">
      <w:pPr>
        <w:widowControl w:val="0"/>
        <w:autoSpaceDE w:val="0"/>
        <w:autoSpaceDN w:val="0"/>
        <w:adjustRightInd w:val="0"/>
        <w:jc w:val="both"/>
        <w:rPr>
          <w:rFonts w:eastAsia="Times New Roman"/>
          <w:spacing w:val="-2"/>
          <w:sz w:val="22"/>
          <w:lang w:val="en-GB"/>
        </w:rPr>
      </w:pPr>
    </w:p>
    <w:p w:rsid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5.</w:t>
      </w:r>
      <w:r w:rsidRPr="009922F7">
        <w:rPr>
          <w:rFonts w:eastAsia="Times New Roman"/>
          <w:spacing w:val="-2"/>
          <w:szCs w:val="24"/>
          <w:lang w:val="en-GB"/>
        </w:rPr>
        <w:tab/>
      </w:r>
      <w:proofErr w:type="spellStart"/>
      <w:r w:rsidRPr="009922F7">
        <w:rPr>
          <w:rFonts w:eastAsia="Times New Roman"/>
          <w:i/>
          <w:spacing w:val="-2"/>
          <w:szCs w:val="24"/>
          <w:lang w:val="en-GB"/>
        </w:rPr>
        <w:t>Demande</w:t>
      </w:r>
      <w:proofErr w:type="spellEnd"/>
      <w:r w:rsidRPr="009922F7">
        <w:rPr>
          <w:rFonts w:eastAsia="Times New Roman"/>
          <w:spacing w:val="-2"/>
          <w:szCs w:val="24"/>
          <w:lang w:val="en-GB"/>
        </w:rPr>
        <w:t xml:space="preserve"> aux Parties </w:t>
      </w:r>
      <w:proofErr w:type="spellStart"/>
      <w:r w:rsidRPr="009922F7">
        <w:rPr>
          <w:rFonts w:eastAsia="Times New Roman"/>
          <w:spacing w:val="-2"/>
          <w:szCs w:val="24"/>
          <w:lang w:val="en-GB"/>
        </w:rPr>
        <w:t>d’identifier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besoins</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matière</w:t>
      </w:r>
      <w:proofErr w:type="spellEnd"/>
      <w:r w:rsidRPr="009922F7">
        <w:rPr>
          <w:rFonts w:eastAsia="Times New Roman"/>
          <w:spacing w:val="-2"/>
          <w:szCs w:val="24"/>
          <w:lang w:val="en-GB"/>
        </w:rPr>
        <w:t xml:space="preserve"> de formation et de </w:t>
      </w:r>
      <w:proofErr w:type="spellStart"/>
      <w:r w:rsidRPr="009922F7">
        <w:rPr>
          <w:rFonts w:eastAsia="Times New Roman"/>
          <w:spacing w:val="-2"/>
          <w:szCs w:val="24"/>
          <w:lang w:val="en-GB"/>
        </w:rPr>
        <w:t>renforcement</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capacités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domaines</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recherche</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collecte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données</w:t>
      </w:r>
      <w:proofErr w:type="spellEnd"/>
      <w:r w:rsidRPr="009922F7">
        <w:rPr>
          <w:rFonts w:eastAsia="Times New Roman"/>
          <w:spacing w:val="-2"/>
          <w:szCs w:val="24"/>
          <w:lang w:val="en-GB"/>
        </w:rPr>
        <w:t xml:space="preserve"> et de la surveillance, et de </w:t>
      </w:r>
      <w:proofErr w:type="spellStart"/>
      <w:r w:rsidRPr="009922F7">
        <w:rPr>
          <w:rFonts w:eastAsia="Times New Roman"/>
          <w:spacing w:val="-2"/>
          <w:szCs w:val="24"/>
          <w:lang w:val="en-GB"/>
        </w:rPr>
        <w:t>faciliter</w:t>
      </w:r>
      <w:proofErr w:type="spellEnd"/>
      <w:r w:rsidRPr="009922F7">
        <w:rPr>
          <w:rFonts w:eastAsia="Times New Roman"/>
          <w:spacing w:val="-2"/>
          <w:szCs w:val="24"/>
          <w:lang w:val="en-GB"/>
        </w:rPr>
        <w:t xml:space="preserve"> les initiatives </w:t>
      </w:r>
      <w:proofErr w:type="spellStart"/>
      <w:r w:rsidRPr="009922F7">
        <w:rPr>
          <w:rFonts w:eastAsia="Times New Roman"/>
          <w:spacing w:val="-2"/>
          <w:szCs w:val="24"/>
          <w:lang w:val="en-GB"/>
        </w:rPr>
        <w:t>visant</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améliorer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capacités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compétences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institutionnelles</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matière</w:t>
      </w:r>
      <w:proofErr w:type="spellEnd"/>
      <w:r w:rsidRPr="009922F7">
        <w:rPr>
          <w:rFonts w:eastAsia="Times New Roman"/>
          <w:spacing w:val="-2"/>
          <w:szCs w:val="24"/>
          <w:lang w:val="en-GB"/>
        </w:rPr>
        <w:t xml:space="preserve"> de techniques </w:t>
      </w:r>
      <w:proofErr w:type="spellStart"/>
      <w:r w:rsidRPr="009922F7">
        <w:rPr>
          <w:rFonts w:eastAsia="Times New Roman"/>
          <w:spacing w:val="-2"/>
          <w:szCs w:val="24"/>
          <w:lang w:val="en-GB"/>
        </w:rPr>
        <w:t>d’identification</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et de conservation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lastRenderedPageBreak/>
        <w:t>6.</w:t>
      </w:r>
      <w:r w:rsidRPr="009922F7">
        <w:rPr>
          <w:rFonts w:eastAsia="Times New Roman"/>
          <w:spacing w:val="-2"/>
          <w:szCs w:val="24"/>
          <w:lang w:val="en-GB"/>
        </w:rPr>
        <w:tab/>
      </w:r>
      <w:proofErr w:type="spellStart"/>
      <w:r w:rsidRPr="009922F7">
        <w:rPr>
          <w:rFonts w:eastAsia="Times New Roman"/>
          <w:i/>
          <w:spacing w:val="-2"/>
          <w:szCs w:val="24"/>
          <w:lang w:val="en-GB"/>
        </w:rPr>
        <w:t>Demande</w:t>
      </w:r>
      <w:proofErr w:type="spellEnd"/>
      <w:r w:rsidRPr="009922F7">
        <w:rPr>
          <w:rFonts w:eastAsia="Times New Roman"/>
          <w:i/>
          <w:spacing w:val="-2"/>
          <w:szCs w:val="24"/>
          <w:lang w:val="en-GB"/>
        </w:rPr>
        <w:t xml:space="preserve"> </w:t>
      </w:r>
      <w:r w:rsidRPr="009922F7">
        <w:rPr>
          <w:rFonts w:eastAsia="Times New Roman"/>
          <w:spacing w:val="-2"/>
          <w:szCs w:val="24"/>
          <w:lang w:val="en-GB"/>
        </w:rPr>
        <w:t xml:space="preserve">aux Parties </w:t>
      </w:r>
      <w:proofErr w:type="spellStart"/>
      <w:r w:rsidRPr="009922F7">
        <w:rPr>
          <w:rFonts w:eastAsia="Times New Roman"/>
          <w:spacing w:val="-2"/>
          <w:szCs w:val="24"/>
          <w:lang w:val="en-GB"/>
        </w:rPr>
        <w:t>d’améliorer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connaissances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biologie</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l’écologie</w:t>
      </w:r>
      <w:proofErr w:type="spellEnd"/>
      <w:r w:rsidRPr="009922F7">
        <w:rPr>
          <w:rFonts w:eastAsia="Times New Roman"/>
          <w:spacing w:val="-2"/>
          <w:szCs w:val="24"/>
          <w:lang w:val="en-GB"/>
        </w:rPr>
        <w:t xml:space="preserve"> des populations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présentent</w:t>
      </w:r>
      <w:proofErr w:type="spellEnd"/>
      <w:r w:rsidRPr="009922F7">
        <w:rPr>
          <w:rFonts w:eastAsia="Times New Roman"/>
          <w:spacing w:val="-2"/>
          <w:szCs w:val="24"/>
          <w:lang w:val="en-GB"/>
        </w:rPr>
        <w:t xml:space="preserve"> un </w:t>
      </w:r>
      <w:proofErr w:type="spellStart"/>
      <w:r w:rsidRPr="009922F7">
        <w:rPr>
          <w:rFonts w:eastAsia="Times New Roman"/>
          <w:spacing w:val="-2"/>
          <w:szCs w:val="24"/>
          <w:lang w:val="en-GB"/>
        </w:rPr>
        <w:t>intérêt</w:t>
      </w:r>
      <w:proofErr w:type="spellEnd"/>
      <w:r w:rsidRPr="009922F7">
        <w:rPr>
          <w:rFonts w:eastAsia="Times New Roman"/>
          <w:spacing w:val="-2"/>
          <w:szCs w:val="24"/>
          <w:lang w:val="en-GB"/>
        </w:rPr>
        <w:t xml:space="preserve"> pour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conservation </w:t>
      </w:r>
      <w:proofErr w:type="spellStart"/>
      <w:r w:rsidRPr="009922F7">
        <w:rPr>
          <w:rFonts w:eastAsia="Times New Roman"/>
          <w:spacing w:val="-2"/>
          <w:szCs w:val="24"/>
          <w:lang w:val="en-GB"/>
        </w:rPr>
        <w:t>efficaces</w:t>
      </w:r>
      <w:proofErr w:type="spellEnd"/>
      <w:r w:rsidRPr="009922F7">
        <w:rPr>
          <w:rFonts w:eastAsia="Times New Roman"/>
          <w:spacing w:val="-2"/>
          <w:szCs w:val="24"/>
          <w:lang w:val="en-GB"/>
        </w:rPr>
        <w:t xml:space="preserve">, par le </w:t>
      </w:r>
      <w:proofErr w:type="spellStart"/>
      <w:r w:rsidRPr="009922F7">
        <w:rPr>
          <w:rFonts w:eastAsia="Times New Roman"/>
          <w:spacing w:val="-2"/>
          <w:szCs w:val="24"/>
          <w:lang w:val="en-GB"/>
        </w:rPr>
        <w:t>biais</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recherche</w:t>
      </w:r>
      <w:proofErr w:type="spellEnd"/>
      <w:r w:rsidRPr="009922F7">
        <w:rPr>
          <w:rFonts w:eastAsia="Times New Roman"/>
          <w:spacing w:val="-2"/>
          <w:szCs w:val="24"/>
          <w:lang w:val="en-GB"/>
        </w:rPr>
        <w:t xml:space="preserve">, de la surveillance et de </w:t>
      </w:r>
      <w:proofErr w:type="spellStart"/>
      <w:r w:rsidRPr="009922F7">
        <w:rPr>
          <w:rFonts w:eastAsia="Times New Roman"/>
          <w:spacing w:val="-2"/>
          <w:szCs w:val="24"/>
          <w:lang w:val="en-GB"/>
        </w:rPr>
        <w:t>l’échange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d’information</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d’encourager</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évaluations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recherches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populations, en collaboration avec les organisations des </w:t>
      </w:r>
      <w:proofErr w:type="spellStart"/>
      <w:r w:rsidRPr="009922F7">
        <w:rPr>
          <w:rFonts w:eastAsia="Times New Roman"/>
          <w:spacing w:val="-2"/>
          <w:szCs w:val="24"/>
          <w:lang w:val="en-GB"/>
        </w:rPr>
        <w:t>pêches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organismes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scientifiques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compétents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7.</w:t>
      </w:r>
      <w:r w:rsidRPr="009922F7">
        <w:rPr>
          <w:rFonts w:eastAsia="Times New Roman"/>
          <w:spacing w:val="-2"/>
          <w:szCs w:val="24"/>
          <w:lang w:val="en-GB"/>
        </w:rPr>
        <w:tab/>
      </w:r>
      <w:r w:rsidRPr="009922F7">
        <w:rPr>
          <w:rFonts w:eastAsia="Times New Roman"/>
          <w:i/>
          <w:spacing w:val="-2"/>
          <w:szCs w:val="24"/>
          <w:lang w:val="en-GB"/>
        </w:rPr>
        <w:t>Encourage</w:t>
      </w:r>
      <w:r w:rsidRPr="009922F7">
        <w:rPr>
          <w:rFonts w:eastAsia="Times New Roman"/>
          <w:spacing w:val="-2"/>
          <w:szCs w:val="24"/>
          <w:lang w:val="en-GB"/>
        </w:rPr>
        <w:t xml:space="preserve"> les Parties à </w:t>
      </w:r>
      <w:proofErr w:type="spellStart"/>
      <w:r w:rsidRPr="009922F7">
        <w:rPr>
          <w:rFonts w:eastAsia="Times New Roman"/>
          <w:spacing w:val="-2"/>
          <w:szCs w:val="24"/>
          <w:lang w:val="en-GB"/>
        </w:rPr>
        <w:t>établir</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priorités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programmes de surveillance et de documentation de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visant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directement</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et de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comprend</w:t>
      </w:r>
      <w:proofErr w:type="spellEnd"/>
      <w:r w:rsidRPr="009922F7">
        <w:rPr>
          <w:rFonts w:eastAsia="Times New Roman"/>
          <w:spacing w:val="-2"/>
          <w:szCs w:val="24"/>
          <w:lang w:val="en-GB"/>
        </w:rPr>
        <w:t xml:space="preserve"> des captures </w:t>
      </w:r>
      <w:proofErr w:type="spellStart"/>
      <w:r w:rsidRPr="009922F7">
        <w:rPr>
          <w:rFonts w:eastAsia="Times New Roman"/>
          <w:spacing w:val="-2"/>
          <w:szCs w:val="24"/>
          <w:lang w:val="en-GB"/>
        </w:rPr>
        <w:t>accidentelles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importantes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pouvant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inclure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systèmes</w:t>
      </w:r>
      <w:proofErr w:type="spellEnd"/>
      <w:r w:rsidRPr="009922F7">
        <w:rPr>
          <w:rFonts w:eastAsia="Times New Roman"/>
          <w:spacing w:val="-2"/>
          <w:szCs w:val="24"/>
          <w:lang w:val="en-GB"/>
        </w:rPr>
        <w:t xml:space="preserve"> de surveillance des </w:t>
      </w:r>
      <w:proofErr w:type="spellStart"/>
      <w:r w:rsidRPr="009922F7">
        <w:rPr>
          <w:rFonts w:eastAsia="Times New Roman"/>
          <w:spacing w:val="-2"/>
          <w:szCs w:val="24"/>
          <w:lang w:val="en-GB"/>
        </w:rPr>
        <w:t>navires</w:t>
      </w:r>
      <w:proofErr w:type="spellEnd"/>
      <w:r w:rsidRPr="009922F7">
        <w:rPr>
          <w:rFonts w:eastAsia="Times New Roman"/>
          <w:spacing w:val="-2"/>
          <w:szCs w:val="24"/>
          <w:lang w:val="en-GB"/>
        </w:rPr>
        <w:t xml:space="preserve">, des inspections, et des programmes </w:t>
      </w:r>
      <w:proofErr w:type="spellStart"/>
      <w:r w:rsidRPr="009922F7">
        <w:rPr>
          <w:rFonts w:eastAsia="Times New Roman"/>
          <w:spacing w:val="-2"/>
          <w:szCs w:val="24"/>
          <w:lang w:val="en-GB"/>
        </w:rPr>
        <w:t>d’observateurs</w:t>
      </w:r>
      <w:proofErr w:type="spellEnd"/>
      <w:r w:rsidRPr="009922F7">
        <w:rPr>
          <w:rFonts w:eastAsia="Times New Roman"/>
          <w:spacing w:val="-2"/>
          <w:szCs w:val="24"/>
          <w:lang w:val="en-GB"/>
        </w:rPr>
        <w:t xml:space="preserve"> à </w:t>
      </w:r>
      <w:proofErr w:type="spellStart"/>
      <w:r w:rsidRPr="009922F7">
        <w:rPr>
          <w:rFonts w:eastAsia="Times New Roman"/>
          <w:spacing w:val="-2"/>
          <w:szCs w:val="24"/>
          <w:lang w:val="en-GB"/>
        </w:rPr>
        <w:t>bord</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ou</w:t>
      </w:r>
      <w:proofErr w:type="spellEnd"/>
      <w:r w:rsidRPr="009922F7">
        <w:rPr>
          <w:rFonts w:eastAsia="Times New Roman"/>
          <w:spacing w:val="-2"/>
          <w:szCs w:val="24"/>
          <w:lang w:val="en-GB"/>
        </w:rPr>
        <w:t xml:space="preserve"> de surveillance;</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8.</w:t>
      </w:r>
      <w:r w:rsidRPr="009922F7">
        <w:rPr>
          <w:rFonts w:eastAsia="Times New Roman"/>
          <w:spacing w:val="-2"/>
          <w:szCs w:val="24"/>
          <w:lang w:val="en-GB"/>
        </w:rPr>
        <w:tab/>
      </w:r>
      <w:r w:rsidRPr="009922F7">
        <w:rPr>
          <w:rFonts w:eastAsia="Times New Roman"/>
          <w:i/>
          <w:spacing w:val="-2"/>
          <w:szCs w:val="24"/>
          <w:lang w:val="en-GB"/>
        </w:rPr>
        <w:t>Encourage</w:t>
      </w:r>
      <w:r w:rsidRPr="009922F7">
        <w:rPr>
          <w:rFonts w:eastAsia="Times New Roman"/>
          <w:spacing w:val="-2"/>
          <w:szCs w:val="24"/>
          <w:lang w:val="en-GB"/>
        </w:rPr>
        <w:t xml:space="preserve"> les Parties à </w:t>
      </w:r>
      <w:proofErr w:type="spellStart"/>
      <w:r w:rsidRPr="009922F7">
        <w:rPr>
          <w:rFonts w:eastAsia="Times New Roman"/>
          <w:spacing w:val="-2"/>
          <w:szCs w:val="24"/>
          <w:lang w:val="en-GB"/>
        </w:rPr>
        <w:t>établir</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objectifs</w:t>
      </w:r>
      <w:proofErr w:type="spellEnd"/>
      <w:r w:rsidRPr="009922F7">
        <w:rPr>
          <w:rFonts w:eastAsia="Times New Roman"/>
          <w:spacing w:val="-2"/>
          <w:szCs w:val="24"/>
          <w:lang w:val="en-GB"/>
        </w:rPr>
        <w:t xml:space="preserve"> de conservation pour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w:t>
      </w:r>
      <w:proofErr w:type="gramStart"/>
      <w:r w:rsidRPr="009922F7">
        <w:rPr>
          <w:rFonts w:eastAsia="Times New Roman"/>
          <w:spacing w:val="-2"/>
          <w:szCs w:val="24"/>
          <w:lang w:val="en-GB"/>
        </w:rPr>
        <w:t>et</w:t>
      </w:r>
      <w:proofErr w:type="gramEnd"/>
      <w:r w:rsidRPr="009922F7">
        <w:rPr>
          <w:rFonts w:eastAsia="Times New Roman"/>
          <w:spacing w:val="-2"/>
          <w:szCs w:val="24"/>
          <w:lang w:val="en-GB"/>
        </w:rPr>
        <w:t xml:space="preserve"> les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migrateurs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ainsi</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que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indicateurs</w:t>
      </w:r>
      <w:proofErr w:type="spellEnd"/>
      <w:r w:rsidRPr="009922F7">
        <w:rPr>
          <w:rFonts w:eastAsia="Times New Roman"/>
          <w:spacing w:val="-2"/>
          <w:szCs w:val="24"/>
          <w:lang w:val="en-GB"/>
        </w:rPr>
        <w:t xml:space="preserve"> pour </w:t>
      </w:r>
      <w:proofErr w:type="spellStart"/>
      <w:r w:rsidRPr="009922F7">
        <w:rPr>
          <w:rFonts w:eastAsia="Times New Roman"/>
          <w:spacing w:val="-2"/>
          <w:szCs w:val="24"/>
          <w:lang w:val="en-GB"/>
        </w:rPr>
        <w:t>évaluer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progrès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accomplis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la </w:t>
      </w:r>
      <w:proofErr w:type="spellStart"/>
      <w:r w:rsidRPr="009922F7">
        <w:rPr>
          <w:rFonts w:eastAsia="Times New Roman"/>
          <w:spacing w:val="-2"/>
          <w:szCs w:val="24"/>
          <w:lang w:val="en-GB"/>
        </w:rPr>
        <w:t>réalisation</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objectifs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9.</w:t>
      </w:r>
      <w:r w:rsidRPr="009922F7">
        <w:rPr>
          <w:rFonts w:eastAsia="Times New Roman"/>
          <w:spacing w:val="-2"/>
          <w:szCs w:val="24"/>
          <w:lang w:val="en-GB"/>
        </w:rPr>
        <w:tab/>
      </w:r>
      <w:proofErr w:type="spellStart"/>
      <w:r w:rsidRPr="009922F7">
        <w:rPr>
          <w:rFonts w:eastAsia="Times New Roman"/>
          <w:i/>
          <w:spacing w:val="-2"/>
          <w:szCs w:val="24"/>
          <w:lang w:val="en-GB"/>
        </w:rPr>
        <w:t>Demande</w:t>
      </w:r>
      <w:proofErr w:type="spellEnd"/>
      <w:r w:rsidRPr="009922F7">
        <w:rPr>
          <w:rFonts w:eastAsia="Times New Roman"/>
          <w:spacing w:val="-2"/>
          <w:szCs w:val="24"/>
          <w:lang w:val="en-GB"/>
        </w:rPr>
        <w:t xml:space="preserve"> aux Parties </w:t>
      </w:r>
      <w:proofErr w:type="spellStart"/>
      <w:r w:rsidRPr="009922F7">
        <w:rPr>
          <w:rFonts w:eastAsia="Times New Roman"/>
          <w:spacing w:val="-2"/>
          <w:szCs w:val="24"/>
          <w:lang w:val="en-GB"/>
        </w:rPr>
        <w:t>d’identifier</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préserver</w:t>
      </w:r>
      <w:proofErr w:type="spellEnd"/>
      <w:r w:rsidRPr="009922F7">
        <w:rPr>
          <w:rFonts w:eastAsia="Times New Roman"/>
          <w:spacing w:val="-2"/>
          <w:szCs w:val="24"/>
          <w:lang w:val="en-GB"/>
        </w:rPr>
        <w:t xml:space="preserve"> les habitats critiques, y </w:t>
      </w:r>
      <w:proofErr w:type="spellStart"/>
      <w:r w:rsidRPr="009922F7">
        <w:rPr>
          <w:rFonts w:eastAsia="Times New Roman"/>
          <w:spacing w:val="-2"/>
          <w:szCs w:val="24"/>
          <w:lang w:val="en-GB"/>
        </w:rPr>
        <w:t>compris</w:t>
      </w:r>
      <w:proofErr w:type="spellEnd"/>
      <w:r w:rsidRPr="009922F7">
        <w:rPr>
          <w:rFonts w:eastAsia="Times New Roman"/>
          <w:spacing w:val="-2"/>
          <w:szCs w:val="24"/>
          <w:lang w:val="en-GB"/>
        </w:rPr>
        <w:t xml:space="preserve"> les zones </w:t>
      </w:r>
      <w:proofErr w:type="spellStart"/>
      <w:r w:rsidRPr="009922F7">
        <w:rPr>
          <w:rFonts w:eastAsia="Times New Roman"/>
          <w:spacing w:val="-2"/>
          <w:szCs w:val="24"/>
          <w:lang w:val="en-GB"/>
        </w:rPr>
        <w:t>d’alevinage</w:t>
      </w:r>
      <w:proofErr w:type="spellEnd"/>
      <w:r w:rsidRPr="009922F7">
        <w:rPr>
          <w:rFonts w:eastAsia="Times New Roman"/>
          <w:spacing w:val="-2"/>
          <w:szCs w:val="24"/>
          <w:lang w:val="en-GB"/>
        </w:rPr>
        <w:t xml:space="preserve"> et les </w:t>
      </w:r>
      <w:proofErr w:type="spellStart"/>
      <w:r w:rsidRPr="009922F7">
        <w:rPr>
          <w:rFonts w:eastAsia="Times New Roman"/>
          <w:spacing w:val="-2"/>
          <w:szCs w:val="24"/>
          <w:lang w:val="en-GB"/>
        </w:rPr>
        <w:t>frayères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voies</w:t>
      </w:r>
      <w:proofErr w:type="spellEnd"/>
      <w:r w:rsidRPr="009922F7">
        <w:rPr>
          <w:rFonts w:eastAsia="Times New Roman"/>
          <w:spacing w:val="-2"/>
          <w:szCs w:val="24"/>
          <w:lang w:val="en-GB"/>
        </w:rPr>
        <w:t xml:space="preserve"> de migration et les zones </w:t>
      </w:r>
      <w:proofErr w:type="spellStart"/>
      <w:r w:rsidRPr="009922F7">
        <w:rPr>
          <w:rFonts w:eastAsia="Times New Roman"/>
          <w:spacing w:val="-2"/>
          <w:szCs w:val="24"/>
          <w:lang w:val="en-GB"/>
        </w:rPr>
        <w:t>associées</w:t>
      </w:r>
      <w:proofErr w:type="spellEnd"/>
      <w:r w:rsidRPr="009922F7">
        <w:rPr>
          <w:rFonts w:eastAsia="Times New Roman"/>
          <w:spacing w:val="-2"/>
          <w:szCs w:val="24"/>
          <w:lang w:val="en-GB"/>
        </w:rPr>
        <w:t xml:space="preserve"> à des </w:t>
      </w:r>
      <w:proofErr w:type="spellStart"/>
      <w:r w:rsidRPr="009922F7">
        <w:rPr>
          <w:rFonts w:eastAsia="Times New Roman"/>
          <w:spacing w:val="-2"/>
          <w:szCs w:val="24"/>
          <w:lang w:val="en-GB"/>
        </w:rPr>
        <w:t>stades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vulnérables</w:t>
      </w:r>
      <w:proofErr w:type="spellEnd"/>
      <w:r w:rsidRPr="009922F7">
        <w:rPr>
          <w:rFonts w:eastAsia="Times New Roman"/>
          <w:spacing w:val="-2"/>
          <w:szCs w:val="24"/>
          <w:lang w:val="en-GB"/>
        </w:rPr>
        <w:t xml:space="preserve"> du cycle de vie, en </w:t>
      </w:r>
      <w:proofErr w:type="spellStart"/>
      <w:r w:rsidRPr="009922F7">
        <w:rPr>
          <w:rFonts w:eastAsia="Times New Roman"/>
          <w:spacing w:val="-2"/>
          <w:szCs w:val="24"/>
          <w:lang w:val="en-GB"/>
        </w:rPr>
        <w:t>vue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d’élaborer</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de conservation et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durable </w:t>
      </w:r>
      <w:proofErr w:type="spellStart"/>
      <w:r w:rsidRPr="009922F7">
        <w:rPr>
          <w:rFonts w:eastAsia="Times New Roman"/>
          <w:spacing w:val="-2"/>
          <w:szCs w:val="24"/>
          <w:lang w:val="en-GB"/>
        </w:rPr>
        <w:t>efficaces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fondées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meilleures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connaissances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scientifiques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disponibles</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 </w:t>
      </w:r>
      <w:proofErr w:type="spellStart"/>
      <w:r w:rsidRPr="009922F7">
        <w:rPr>
          <w:rFonts w:eastAsia="Times New Roman"/>
          <w:spacing w:val="-2"/>
          <w:szCs w:val="24"/>
          <w:lang w:val="en-GB"/>
        </w:rPr>
        <w:t>principe</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précaution</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10.</w:t>
      </w:r>
      <w:r w:rsidRPr="009922F7">
        <w:rPr>
          <w:rFonts w:eastAsia="Times New Roman"/>
          <w:spacing w:val="-2"/>
          <w:szCs w:val="24"/>
          <w:lang w:val="en-GB"/>
        </w:rPr>
        <w:tab/>
      </w:r>
      <w:r w:rsidRPr="009922F7">
        <w:rPr>
          <w:rFonts w:eastAsia="Times New Roman"/>
          <w:i/>
          <w:spacing w:val="-2"/>
          <w:szCs w:val="24"/>
          <w:lang w:val="en-GB"/>
        </w:rPr>
        <w:t>Encourage</w:t>
      </w:r>
      <w:r w:rsidRPr="009922F7">
        <w:rPr>
          <w:rFonts w:eastAsia="Times New Roman"/>
          <w:spacing w:val="-2"/>
          <w:szCs w:val="24"/>
          <w:lang w:val="en-GB"/>
        </w:rPr>
        <w:t xml:space="preserve"> les Parties, les ORGP et </w:t>
      </w:r>
      <w:proofErr w:type="spellStart"/>
      <w:r w:rsidRPr="009922F7">
        <w:rPr>
          <w:rFonts w:eastAsia="Times New Roman"/>
          <w:spacing w:val="-2"/>
          <w:szCs w:val="24"/>
          <w:lang w:val="en-GB"/>
        </w:rPr>
        <w:t>autres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acteurs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concernés</w:t>
      </w:r>
      <w:proofErr w:type="spellEnd"/>
      <w:r w:rsidRPr="009922F7">
        <w:rPr>
          <w:rFonts w:eastAsia="Times New Roman"/>
          <w:spacing w:val="-2"/>
          <w:szCs w:val="24"/>
          <w:lang w:val="en-GB"/>
        </w:rPr>
        <w:t xml:space="preserve"> à minimiser </w:t>
      </w:r>
      <w:proofErr w:type="spellStart"/>
      <w:r w:rsidRPr="009922F7">
        <w:rPr>
          <w:rFonts w:eastAsia="Times New Roman"/>
          <w:spacing w:val="-2"/>
          <w:szCs w:val="24"/>
          <w:lang w:val="en-GB"/>
        </w:rPr>
        <w:t>l’impact</w:t>
      </w:r>
      <w:proofErr w:type="spellEnd"/>
      <w:r w:rsidRPr="009922F7">
        <w:rPr>
          <w:rFonts w:eastAsia="Times New Roman"/>
          <w:spacing w:val="-2"/>
          <w:szCs w:val="24"/>
          <w:lang w:val="en-GB"/>
        </w:rPr>
        <w:t xml:space="preserve"> de la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les couloirs de migration et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habitats </w:t>
      </w:r>
      <w:proofErr w:type="spellStart"/>
      <w:r w:rsidRPr="009922F7">
        <w:rPr>
          <w:rFonts w:eastAsia="Times New Roman"/>
          <w:spacing w:val="-2"/>
          <w:szCs w:val="24"/>
          <w:lang w:val="en-GB"/>
        </w:rPr>
        <w:t>jugés</w:t>
      </w:r>
      <w:proofErr w:type="spellEnd"/>
      <w:r w:rsidRPr="009922F7">
        <w:rPr>
          <w:rFonts w:eastAsia="Times New Roman"/>
          <w:spacing w:val="-2"/>
          <w:szCs w:val="24"/>
          <w:lang w:val="en-GB"/>
        </w:rPr>
        <w:t xml:space="preserve"> critiques pour la </w:t>
      </w:r>
      <w:proofErr w:type="spellStart"/>
      <w:r w:rsidRPr="009922F7">
        <w:rPr>
          <w:rFonts w:eastAsia="Times New Roman"/>
          <w:spacing w:val="-2"/>
          <w:szCs w:val="24"/>
          <w:lang w:val="en-GB"/>
        </w:rPr>
        <w:t>récupération</w:t>
      </w:r>
      <w:proofErr w:type="spellEnd"/>
      <w:r w:rsidRPr="009922F7">
        <w:rPr>
          <w:rFonts w:eastAsia="Times New Roman"/>
          <w:spacing w:val="-2"/>
          <w:szCs w:val="24"/>
          <w:lang w:val="en-GB"/>
        </w:rPr>
        <w:t xml:space="preserve"> et la </w:t>
      </w:r>
      <w:proofErr w:type="spellStart"/>
      <w:r w:rsidRPr="009922F7">
        <w:rPr>
          <w:rFonts w:eastAsia="Times New Roman"/>
          <w:spacing w:val="-2"/>
          <w:szCs w:val="24"/>
          <w:lang w:val="en-GB"/>
        </w:rPr>
        <w:t>viabilité</w:t>
      </w:r>
      <w:proofErr w:type="spellEnd"/>
      <w:r w:rsidRPr="009922F7">
        <w:rPr>
          <w:rFonts w:eastAsia="Times New Roman"/>
          <w:spacing w:val="-2"/>
          <w:szCs w:val="24"/>
          <w:lang w:val="en-GB"/>
        </w:rPr>
        <w:t xml:space="preserve"> des populations de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y </w:t>
      </w:r>
      <w:proofErr w:type="spellStart"/>
      <w:r w:rsidRPr="009922F7">
        <w:rPr>
          <w:rFonts w:eastAsia="Times New Roman"/>
          <w:spacing w:val="-2"/>
          <w:szCs w:val="24"/>
          <w:lang w:val="en-GB"/>
        </w:rPr>
        <w:t>compris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celles</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chevauchent</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plusieurs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juridictions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nationales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11.</w:t>
      </w:r>
      <w:r w:rsidRPr="009922F7">
        <w:rPr>
          <w:rFonts w:eastAsia="Times New Roman"/>
          <w:spacing w:val="-2"/>
          <w:szCs w:val="24"/>
          <w:lang w:val="en-GB"/>
        </w:rPr>
        <w:tab/>
      </w:r>
      <w:r w:rsidRPr="009922F7">
        <w:rPr>
          <w:rFonts w:eastAsia="Times New Roman"/>
          <w:i/>
          <w:spacing w:val="-2"/>
          <w:szCs w:val="24"/>
          <w:lang w:val="en-GB"/>
        </w:rPr>
        <w:t>Invite</w:t>
      </w:r>
      <w:r w:rsidRPr="009922F7">
        <w:rPr>
          <w:rFonts w:eastAsia="Times New Roman"/>
          <w:spacing w:val="-2"/>
          <w:szCs w:val="24"/>
          <w:lang w:val="en-GB"/>
        </w:rPr>
        <w:t xml:space="preserve"> les Parties </w:t>
      </w:r>
      <w:proofErr w:type="gramStart"/>
      <w:r w:rsidRPr="009922F7">
        <w:rPr>
          <w:rFonts w:eastAsia="Times New Roman"/>
          <w:spacing w:val="-2"/>
          <w:szCs w:val="24"/>
          <w:lang w:val="en-GB"/>
        </w:rPr>
        <w:t>et</w:t>
      </w:r>
      <w:proofErr w:type="gramEnd"/>
      <w:r w:rsidRPr="009922F7">
        <w:rPr>
          <w:rFonts w:eastAsia="Times New Roman"/>
          <w:spacing w:val="-2"/>
          <w:szCs w:val="24"/>
          <w:lang w:val="en-GB"/>
        </w:rPr>
        <w:t xml:space="preserve"> les </w:t>
      </w:r>
      <w:proofErr w:type="spellStart"/>
      <w:r w:rsidRPr="009922F7">
        <w:rPr>
          <w:rFonts w:eastAsia="Times New Roman"/>
          <w:spacing w:val="-2"/>
          <w:szCs w:val="24"/>
          <w:lang w:val="en-GB"/>
        </w:rPr>
        <w:t>États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l’aire</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répartition</w:t>
      </w:r>
      <w:proofErr w:type="spellEnd"/>
      <w:r w:rsidRPr="009922F7">
        <w:rPr>
          <w:rFonts w:eastAsia="Times New Roman"/>
          <w:spacing w:val="-2"/>
          <w:szCs w:val="24"/>
          <w:lang w:val="en-GB"/>
        </w:rPr>
        <w:t xml:space="preserve"> à signer le </w:t>
      </w:r>
      <w:proofErr w:type="spellStart"/>
      <w:r w:rsidRPr="009922F7">
        <w:rPr>
          <w:rFonts w:eastAsia="Times New Roman"/>
          <w:spacing w:val="-2"/>
          <w:szCs w:val="24"/>
          <w:lang w:val="en-GB"/>
        </w:rPr>
        <w:t>MdE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sur</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à </w:t>
      </w:r>
      <w:proofErr w:type="spellStart"/>
      <w:r w:rsidRPr="009922F7">
        <w:rPr>
          <w:rFonts w:eastAsia="Times New Roman"/>
          <w:spacing w:val="-2"/>
          <w:szCs w:val="24"/>
          <w:lang w:val="en-GB"/>
        </w:rPr>
        <w:t>prendre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mesures</w:t>
      </w:r>
      <w:proofErr w:type="spellEnd"/>
      <w:r w:rsidRPr="009922F7">
        <w:rPr>
          <w:rFonts w:eastAsia="Times New Roman"/>
          <w:spacing w:val="-2"/>
          <w:szCs w:val="24"/>
          <w:lang w:val="en-GB"/>
        </w:rPr>
        <w:t xml:space="preserve"> en </w:t>
      </w:r>
      <w:proofErr w:type="spellStart"/>
      <w:r w:rsidRPr="009922F7">
        <w:rPr>
          <w:rFonts w:eastAsia="Times New Roman"/>
          <w:spacing w:val="-2"/>
          <w:szCs w:val="24"/>
          <w:lang w:val="en-GB"/>
        </w:rPr>
        <w:t>matière</w:t>
      </w:r>
      <w:proofErr w:type="spellEnd"/>
      <w:r w:rsidRPr="009922F7">
        <w:rPr>
          <w:rFonts w:eastAsia="Times New Roman"/>
          <w:spacing w:val="-2"/>
          <w:szCs w:val="24"/>
          <w:lang w:val="en-GB"/>
        </w:rPr>
        <w:t xml:space="preserve"> de conservation et de </w:t>
      </w:r>
      <w:proofErr w:type="spellStart"/>
      <w:r w:rsidRPr="009922F7">
        <w:rPr>
          <w:rFonts w:eastAsia="Times New Roman"/>
          <w:spacing w:val="-2"/>
          <w:szCs w:val="24"/>
          <w:lang w:val="en-GB"/>
        </w:rPr>
        <w:t>recherche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afin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d’empêcher</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l’exploitation</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non durable</w:t>
      </w:r>
      <w:proofErr w:type="spellEnd"/>
      <w:r w:rsidRPr="009922F7">
        <w:rPr>
          <w:rFonts w:eastAsia="Times New Roman"/>
          <w:spacing w:val="-2"/>
          <w:szCs w:val="24"/>
          <w:lang w:val="en-GB"/>
        </w:rPr>
        <w:t xml:space="preserve">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12.</w:t>
      </w:r>
      <w:r w:rsidRPr="009922F7">
        <w:rPr>
          <w:rFonts w:eastAsia="Times New Roman"/>
          <w:spacing w:val="-2"/>
          <w:szCs w:val="24"/>
          <w:lang w:val="en-GB"/>
        </w:rPr>
        <w:tab/>
      </w:r>
      <w:proofErr w:type="spellStart"/>
      <w:r w:rsidRPr="009922F7">
        <w:rPr>
          <w:rFonts w:eastAsia="Times New Roman"/>
          <w:i/>
          <w:spacing w:val="-2"/>
          <w:szCs w:val="24"/>
          <w:lang w:val="en-GB"/>
        </w:rPr>
        <w:t>Demande</w:t>
      </w:r>
      <w:proofErr w:type="spellEnd"/>
      <w:r w:rsidRPr="009922F7">
        <w:rPr>
          <w:rFonts w:eastAsia="Times New Roman"/>
          <w:spacing w:val="-2"/>
          <w:szCs w:val="24"/>
          <w:lang w:val="en-GB"/>
        </w:rPr>
        <w:t xml:space="preserve"> au </w:t>
      </w:r>
      <w:proofErr w:type="spellStart"/>
      <w:r w:rsidRPr="009922F7">
        <w:rPr>
          <w:rFonts w:eastAsia="Times New Roman"/>
          <w:spacing w:val="-2"/>
          <w:szCs w:val="24"/>
          <w:lang w:val="en-GB"/>
        </w:rPr>
        <w:t>Secrétariat</w:t>
      </w:r>
      <w:proofErr w:type="spellEnd"/>
      <w:r w:rsidRPr="009922F7">
        <w:rPr>
          <w:rFonts w:eastAsia="Times New Roman"/>
          <w:spacing w:val="-2"/>
          <w:szCs w:val="24"/>
          <w:lang w:val="en-GB"/>
        </w:rPr>
        <w:t xml:space="preserve"> de continuer à assurer la liaison avec la CITES, la FAO, les ORGP, la </w:t>
      </w:r>
      <w:proofErr w:type="spellStart"/>
      <w:r w:rsidRPr="009922F7">
        <w:rPr>
          <w:rFonts w:eastAsia="Times New Roman"/>
          <w:spacing w:val="-2"/>
          <w:szCs w:val="24"/>
          <w:lang w:val="en-GB"/>
        </w:rPr>
        <w:t>société</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civile</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parties </w:t>
      </w:r>
      <w:proofErr w:type="spellStart"/>
      <w:r w:rsidRPr="009922F7">
        <w:rPr>
          <w:rFonts w:eastAsia="Times New Roman"/>
          <w:spacing w:val="-2"/>
          <w:szCs w:val="24"/>
          <w:lang w:val="en-GB"/>
        </w:rPr>
        <w:t>prenantes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concernées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afin</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promouvoir</w:t>
      </w:r>
      <w:proofErr w:type="spellEnd"/>
      <w:r w:rsidRPr="009922F7">
        <w:rPr>
          <w:rFonts w:eastAsia="Times New Roman"/>
          <w:spacing w:val="-2"/>
          <w:szCs w:val="24"/>
          <w:lang w:val="en-GB"/>
        </w:rPr>
        <w:t xml:space="preserve"> des actions </w:t>
      </w:r>
      <w:proofErr w:type="spellStart"/>
      <w:r w:rsidRPr="009922F7">
        <w:rPr>
          <w:rFonts w:eastAsia="Times New Roman"/>
          <w:spacing w:val="-2"/>
          <w:szCs w:val="24"/>
          <w:lang w:val="en-GB"/>
        </w:rPr>
        <w:t>coordonnées</w:t>
      </w:r>
      <w:proofErr w:type="spellEnd"/>
      <w:r w:rsidRPr="009922F7">
        <w:rPr>
          <w:rFonts w:eastAsia="Times New Roman"/>
          <w:spacing w:val="-2"/>
          <w:szCs w:val="24"/>
          <w:lang w:val="en-GB"/>
        </w:rPr>
        <w:t xml:space="preserve"> pour assurer la conservation et </w:t>
      </w:r>
      <w:proofErr w:type="spellStart"/>
      <w:r w:rsidRPr="009922F7">
        <w:rPr>
          <w:rFonts w:eastAsia="Times New Roman"/>
          <w:spacing w:val="-2"/>
          <w:szCs w:val="24"/>
          <w:lang w:val="en-GB"/>
        </w:rPr>
        <w:t>l’exploitation</w:t>
      </w:r>
      <w:proofErr w:type="spellEnd"/>
      <w:r w:rsidRPr="009922F7">
        <w:rPr>
          <w:rFonts w:eastAsia="Times New Roman"/>
          <w:spacing w:val="-2"/>
          <w:szCs w:val="24"/>
          <w:lang w:val="en-GB"/>
        </w:rPr>
        <w:t xml:space="preserve"> durable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p w:rsidR="009922F7" w:rsidRPr="009922F7" w:rsidRDefault="009922F7" w:rsidP="009922F7">
      <w:pPr>
        <w:widowControl w:val="0"/>
        <w:autoSpaceDE w:val="0"/>
        <w:autoSpaceDN w:val="0"/>
        <w:adjustRightInd w:val="0"/>
        <w:jc w:val="both"/>
        <w:rPr>
          <w:rFonts w:eastAsia="Times New Roman"/>
          <w:spacing w:val="-2"/>
          <w:szCs w:val="24"/>
          <w:lang w:val="en-GB"/>
        </w:rPr>
      </w:pPr>
      <w:r w:rsidRPr="009922F7">
        <w:rPr>
          <w:rFonts w:eastAsia="Times New Roman"/>
          <w:spacing w:val="-2"/>
          <w:szCs w:val="24"/>
          <w:lang w:val="en-GB"/>
        </w:rPr>
        <w:t>13.</w:t>
      </w:r>
      <w:r w:rsidRPr="009922F7">
        <w:rPr>
          <w:rFonts w:eastAsia="Times New Roman"/>
          <w:spacing w:val="-2"/>
          <w:szCs w:val="24"/>
          <w:lang w:val="en-GB"/>
        </w:rPr>
        <w:tab/>
      </w:r>
      <w:r w:rsidRPr="009922F7">
        <w:rPr>
          <w:rFonts w:eastAsia="Times New Roman"/>
          <w:i/>
          <w:spacing w:val="-2"/>
          <w:szCs w:val="24"/>
          <w:lang w:val="en-GB"/>
        </w:rPr>
        <w:t>Encourage</w:t>
      </w:r>
      <w:r w:rsidRPr="009922F7">
        <w:rPr>
          <w:rFonts w:eastAsia="Times New Roman"/>
          <w:spacing w:val="-2"/>
          <w:szCs w:val="24"/>
          <w:lang w:val="en-GB"/>
        </w:rPr>
        <w:t xml:space="preserve"> les Parties à porter à </w:t>
      </w:r>
      <w:proofErr w:type="spellStart"/>
      <w:r w:rsidRPr="009922F7">
        <w:rPr>
          <w:rFonts w:eastAsia="Times New Roman"/>
          <w:spacing w:val="-2"/>
          <w:szCs w:val="24"/>
          <w:lang w:val="en-GB"/>
        </w:rPr>
        <w:t>l'attention</w:t>
      </w:r>
      <w:proofErr w:type="spellEnd"/>
      <w:r w:rsidRPr="009922F7">
        <w:rPr>
          <w:rFonts w:eastAsia="Times New Roman"/>
          <w:spacing w:val="-2"/>
          <w:szCs w:val="24"/>
          <w:lang w:val="en-GB"/>
        </w:rPr>
        <w:t xml:space="preserve"> de la FAO, des ORGP et </w:t>
      </w:r>
      <w:proofErr w:type="spellStart"/>
      <w:r w:rsidRPr="009922F7">
        <w:rPr>
          <w:rFonts w:eastAsia="Times New Roman"/>
          <w:spacing w:val="-2"/>
          <w:szCs w:val="24"/>
          <w:lang w:val="en-GB"/>
        </w:rPr>
        <w:t>d'autres</w:t>
      </w:r>
      <w:proofErr w:type="spellEnd"/>
      <w:r w:rsidRPr="009922F7">
        <w:rPr>
          <w:rFonts w:eastAsia="Times New Roman"/>
          <w:spacing w:val="-2"/>
          <w:szCs w:val="24"/>
          <w:lang w:val="en-GB"/>
        </w:rPr>
        <w:t xml:space="preserve"> organisations de </w:t>
      </w:r>
      <w:proofErr w:type="spellStart"/>
      <w:r w:rsidRPr="009922F7">
        <w:rPr>
          <w:rFonts w:eastAsia="Times New Roman"/>
          <w:spacing w:val="-2"/>
          <w:szCs w:val="24"/>
          <w:lang w:val="en-GB"/>
        </w:rPr>
        <w:t>pêche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concernées</w:t>
      </w:r>
      <w:proofErr w:type="spellEnd"/>
      <w:r w:rsidRPr="009922F7">
        <w:rPr>
          <w:rFonts w:eastAsia="Times New Roman"/>
          <w:spacing w:val="-2"/>
          <w:szCs w:val="24"/>
          <w:lang w:val="en-GB"/>
        </w:rPr>
        <w:t xml:space="preserve"> les </w:t>
      </w:r>
      <w:proofErr w:type="spellStart"/>
      <w:r w:rsidRPr="009922F7">
        <w:rPr>
          <w:rFonts w:eastAsia="Times New Roman"/>
          <w:spacing w:val="-2"/>
          <w:szCs w:val="24"/>
          <w:lang w:val="en-GB"/>
        </w:rPr>
        <w:t>objectifs</w:t>
      </w:r>
      <w:proofErr w:type="spellEnd"/>
      <w:r w:rsidRPr="009922F7">
        <w:rPr>
          <w:rFonts w:eastAsia="Times New Roman"/>
          <w:spacing w:val="-2"/>
          <w:szCs w:val="24"/>
          <w:lang w:val="en-GB"/>
        </w:rPr>
        <w:t xml:space="preserve"> de la CMS et du </w:t>
      </w:r>
      <w:proofErr w:type="spellStart"/>
      <w:r w:rsidRPr="009922F7">
        <w:rPr>
          <w:rFonts w:eastAsia="Times New Roman"/>
          <w:spacing w:val="-2"/>
          <w:szCs w:val="24"/>
          <w:lang w:val="en-GB"/>
        </w:rPr>
        <w:t>MdE</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de la CMS en </w:t>
      </w:r>
      <w:proofErr w:type="spellStart"/>
      <w:r w:rsidRPr="009922F7">
        <w:rPr>
          <w:rFonts w:eastAsia="Times New Roman"/>
          <w:spacing w:val="-2"/>
          <w:szCs w:val="24"/>
          <w:lang w:val="en-GB"/>
        </w:rPr>
        <w:t>ce</w:t>
      </w:r>
      <w:proofErr w:type="spellEnd"/>
      <w:r w:rsidRPr="009922F7">
        <w:rPr>
          <w:rFonts w:eastAsia="Times New Roman"/>
          <w:spacing w:val="-2"/>
          <w:szCs w:val="24"/>
          <w:lang w:val="en-GB"/>
        </w:rPr>
        <w:t xml:space="preserve"> qui </w:t>
      </w:r>
      <w:proofErr w:type="spellStart"/>
      <w:r w:rsidRPr="009922F7">
        <w:rPr>
          <w:rFonts w:eastAsia="Times New Roman"/>
          <w:spacing w:val="-2"/>
          <w:szCs w:val="24"/>
          <w:lang w:val="en-GB"/>
        </w:rPr>
        <w:t>concerne</w:t>
      </w:r>
      <w:proofErr w:type="spellEnd"/>
      <w:r w:rsidRPr="009922F7">
        <w:rPr>
          <w:rFonts w:eastAsia="Times New Roman"/>
          <w:spacing w:val="-2"/>
          <w:szCs w:val="24"/>
          <w:lang w:val="en-GB"/>
        </w:rPr>
        <w:t xml:space="preserve"> la conservation des </w:t>
      </w:r>
      <w:proofErr w:type="spellStart"/>
      <w:r w:rsidRPr="009922F7">
        <w:rPr>
          <w:rFonts w:eastAsia="Times New Roman"/>
          <w:spacing w:val="-2"/>
          <w:szCs w:val="24"/>
          <w:lang w:val="en-GB"/>
        </w:rPr>
        <w:t>requins</w:t>
      </w:r>
      <w:proofErr w:type="spellEnd"/>
      <w:r w:rsidRPr="009922F7">
        <w:rPr>
          <w:rFonts w:eastAsia="Times New Roman"/>
          <w:spacing w:val="-2"/>
          <w:szCs w:val="24"/>
          <w:lang w:val="en-GB"/>
        </w:rPr>
        <w:t xml:space="preserve"> et des </w:t>
      </w:r>
      <w:proofErr w:type="spellStart"/>
      <w:r w:rsidRPr="009922F7">
        <w:rPr>
          <w:rFonts w:eastAsia="Times New Roman"/>
          <w:spacing w:val="-2"/>
          <w:szCs w:val="24"/>
          <w:lang w:val="en-GB"/>
        </w:rPr>
        <w:t>raies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dans</w:t>
      </w:r>
      <w:proofErr w:type="spellEnd"/>
      <w:r w:rsidRPr="009922F7">
        <w:rPr>
          <w:rFonts w:eastAsia="Times New Roman"/>
          <w:spacing w:val="-2"/>
          <w:szCs w:val="24"/>
          <w:lang w:val="en-GB"/>
        </w:rPr>
        <w:t xml:space="preserve"> un </w:t>
      </w:r>
      <w:proofErr w:type="spellStart"/>
      <w:r w:rsidRPr="009922F7">
        <w:rPr>
          <w:rFonts w:eastAsia="Times New Roman"/>
          <w:spacing w:val="-2"/>
          <w:szCs w:val="24"/>
          <w:lang w:val="en-GB"/>
        </w:rPr>
        <w:t>objectif</w:t>
      </w:r>
      <w:proofErr w:type="spellEnd"/>
      <w:r w:rsidRPr="009922F7">
        <w:rPr>
          <w:rFonts w:eastAsia="Times New Roman"/>
          <w:spacing w:val="-2"/>
          <w:szCs w:val="24"/>
          <w:lang w:val="en-GB"/>
        </w:rPr>
        <w:t xml:space="preserve"> de rationalisation avec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approches</w:t>
      </w:r>
      <w:proofErr w:type="spellEnd"/>
      <w:r w:rsidRPr="009922F7">
        <w:rPr>
          <w:rFonts w:eastAsia="Times New Roman"/>
          <w:spacing w:val="-2"/>
          <w:szCs w:val="24"/>
          <w:lang w:val="en-GB"/>
        </w:rPr>
        <w:t xml:space="preserve"> de </w:t>
      </w:r>
      <w:proofErr w:type="spellStart"/>
      <w:r w:rsidRPr="009922F7">
        <w:rPr>
          <w:rFonts w:eastAsia="Times New Roman"/>
          <w:spacing w:val="-2"/>
          <w:szCs w:val="24"/>
          <w:lang w:val="en-GB"/>
        </w:rPr>
        <w:t>gestion</w:t>
      </w:r>
      <w:proofErr w:type="spellEnd"/>
      <w:r w:rsidRPr="009922F7">
        <w:rPr>
          <w:rFonts w:eastAsia="Times New Roman"/>
          <w:spacing w:val="-2"/>
          <w:szCs w:val="24"/>
          <w:lang w:val="en-GB"/>
        </w:rPr>
        <w:t xml:space="preserve"> et </w:t>
      </w:r>
      <w:proofErr w:type="spellStart"/>
      <w:r w:rsidRPr="009922F7">
        <w:rPr>
          <w:rFonts w:eastAsia="Times New Roman"/>
          <w:spacing w:val="-2"/>
          <w:szCs w:val="24"/>
          <w:lang w:val="en-GB"/>
        </w:rPr>
        <w:t>leurs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règles</w:t>
      </w:r>
      <w:proofErr w:type="spellEnd"/>
      <w:r w:rsidRPr="009922F7">
        <w:rPr>
          <w:rFonts w:eastAsia="Times New Roman"/>
          <w:spacing w:val="-2"/>
          <w:szCs w:val="24"/>
          <w:lang w:val="en-GB"/>
        </w:rPr>
        <w:t xml:space="preserve"> </w:t>
      </w:r>
      <w:proofErr w:type="spellStart"/>
      <w:r w:rsidRPr="009922F7">
        <w:rPr>
          <w:rFonts w:eastAsia="Times New Roman"/>
          <w:spacing w:val="-2"/>
          <w:szCs w:val="24"/>
          <w:lang w:val="en-GB"/>
        </w:rPr>
        <w:t>respectives</w:t>
      </w:r>
      <w:proofErr w:type="spellEnd"/>
      <w:r w:rsidRPr="009922F7">
        <w:rPr>
          <w:rFonts w:eastAsia="Times New Roman"/>
          <w:spacing w:val="-2"/>
          <w:szCs w:val="24"/>
          <w:lang w:val="en-GB"/>
        </w:rPr>
        <w:t>.</w:t>
      </w:r>
    </w:p>
    <w:p w:rsidR="009922F7" w:rsidRPr="009922F7" w:rsidRDefault="009922F7" w:rsidP="009922F7">
      <w:pPr>
        <w:widowControl w:val="0"/>
        <w:autoSpaceDE w:val="0"/>
        <w:autoSpaceDN w:val="0"/>
        <w:adjustRightInd w:val="0"/>
        <w:jc w:val="both"/>
        <w:rPr>
          <w:rFonts w:eastAsia="Times New Roman"/>
          <w:spacing w:val="-2"/>
          <w:szCs w:val="24"/>
          <w:lang w:val="en-GB"/>
        </w:rPr>
      </w:pPr>
    </w:p>
    <w:sectPr w:rsidR="009922F7" w:rsidRPr="009922F7" w:rsidSect="009A6D87">
      <w:headerReference w:type="even" r:id="rId19"/>
      <w:headerReference w:type="default" r:id="rId20"/>
      <w:pgSz w:w="11907" w:h="16840" w:code="9"/>
      <w:pgMar w:top="1440"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F0" w:rsidRDefault="00F471F0" w:rsidP="00C96A00">
      <w:r>
        <w:separator/>
      </w:r>
    </w:p>
  </w:endnote>
  <w:endnote w:type="continuationSeparator" w:id="0">
    <w:p w:rsidR="00F471F0" w:rsidRDefault="00F471F0"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Pr="00A83B6F" w:rsidRDefault="00F471F0"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AF3303">
      <w:rPr>
        <w:noProof/>
        <w:sz w:val="22"/>
        <w:lang w:val="fr-FR"/>
      </w:rPr>
      <w:t>8</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Pr="00A83B6F" w:rsidRDefault="00F471F0"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AF3303">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Pr="006E6631" w:rsidRDefault="00F471F0"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14:anchorId="1AB6E750" wp14:editId="75D4A3ED">
          <wp:simplePos x="0" y="0"/>
          <wp:positionH relativeFrom="column">
            <wp:posOffset>-440690</wp:posOffset>
          </wp:positionH>
          <wp:positionV relativeFrom="paragraph">
            <wp:posOffset>-400050</wp:posOffset>
          </wp:positionV>
          <wp:extent cx="861060" cy="845820"/>
          <wp:effectExtent l="0" t="0" r="0" b="0"/>
          <wp:wrapNone/>
          <wp:docPr id="7"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631">
      <w:rPr>
        <w:rFonts w:ascii="Times New Roman Italic" w:hAnsi="Times New Roman Italic"/>
        <w:i/>
        <w:spacing w:val="-6"/>
        <w:sz w:val="20"/>
        <w:szCs w:val="20"/>
        <w:lang w:val="fr-FR"/>
      </w:rPr>
      <w:t xml:space="preserve">Pour des raisons d’économie, ce document est imprimé en nombre limité et ne sera pas distribué </w:t>
    </w:r>
    <w:r>
      <w:rPr>
        <w:rFonts w:ascii="Times New Roman Italic" w:hAnsi="Times New Roman Italic"/>
        <w:i/>
        <w:spacing w:val="-6"/>
        <w:sz w:val="20"/>
        <w:szCs w:val="20"/>
        <w:lang w:val="fr-FR"/>
      </w:rPr>
      <w:t>pendant la</w:t>
    </w:r>
    <w:r w:rsidRPr="006E6631">
      <w:rPr>
        <w:rFonts w:ascii="Times New Roman Italic" w:hAnsi="Times New Roman Italic"/>
        <w:i/>
        <w:spacing w:val="-6"/>
        <w:sz w:val="20"/>
        <w:szCs w:val="20"/>
        <w:lang w:val="fr-FR"/>
      </w:rPr>
      <w:t xml:space="preserve"> réunion. Les délégués sont priés de se munir de leur copie et de ne pas dem</w:t>
    </w:r>
    <w:r>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14:anchorId="79A1C051" wp14:editId="4D5BE1FB">
          <wp:simplePos x="0" y="0"/>
          <wp:positionH relativeFrom="column">
            <wp:posOffset>424815</wp:posOffset>
          </wp:positionH>
          <wp:positionV relativeFrom="paragraph">
            <wp:posOffset>9783445</wp:posOffset>
          </wp:positionV>
          <wp:extent cx="883920" cy="708025"/>
          <wp:effectExtent l="0" t="0" r="0" b="0"/>
          <wp:wrapNone/>
          <wp:docPr id="8"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F0" w:rsidRDefault="00F471F0" w:rsidP="00C96A00">
      <w:r>
        <w:separator/>
      </w:r>
    </w:p>
  </w:footnote>
  <w:footnote w:type="continuationSeparator" w:id="0">
    <w:p w:rsidR="00F471F0" w:rsidRDefault="00F471F0" w:rsidP="00C96A00">
      <w:r>
        <w:continuationSeparator/>
      </w:r>
    </w:p>
  </w:footnote>
  <w:footnote w:id="1">
    <w:p w:rsidR="00F471F0" w:rsidRPr="009A6D87" w:rsidRDefault="00F471F0" w:rsidP="009A6D87">
      <w:pPr>
        <w:pStyle w:val="FootnoteText"/>
        <w:ind w:left="270" w:hanging="270"/>
        <w:jc w:val="both"/>
        <w:rPr>
          <w:sz w:val="18"/>
          <w:szCs w:val="18"/>
        </w:rPr>
      </w:pPr>
      <w:r w:rsidRPr="009A6D87">
        <w:rPr>
          <w:rStyle w:val="FootnoteReference"/>
          <w:sz w:val="18"/>
          <w:szCs w:val="18"/>
          <w:vertAlign w:val="superscript"/>
        </w:rPr>
        <w:footnoteRef/>
      </w:r>
      <w:r w:rsidRPr="009A6D87">
        <w:rPr>
          <w:sz w:val="18"/>
          <w:szCs w:val="18"/>
        </w:rPr>
        <w:t xml:space="preserve"> </w:t>
      </w:r>
      <w:r w:rsidRPr="009A6D87">
        <w:rPr>
          <w:sz w:val="18"/>
          <w:szCs w:val="18"/>
        </w:rPr>
        <w:tab/>
      </w:r>
      <w:proofErr w:type="spellStart"/>
      <w:proofErr w:type="gramStart"/>
      <w:r w:rsidRPr="009A6D87">
        <w:rPr>
          <w:sz w:val="18"/>
          <w:szCs w:val="18"/>
        </w:rPr>
        <w:t>Dulvy</w:t>
      </w:r>
      <w:proofErr w:type="spellEnd"/>
      <w:r w:rsidRPr="009A6D87">
        <w:rPr>
          <w:sz w:val="18"/>
          <w:szCs w:val="18"/>
        </w:rPr>
        <w:t xml:space="preserve"> et al. (2014).</w:t>
      </w:r>
      <w:proofErr w:type="gramEnd"/>
      <w:r w:rsidRPr="009A6D87">
        <w:rPr>
          <w:sz w:val="18"/>
          <w:szCs w:val="18"/>
        </w:rPr>
        <w:t xml:space="preserve"> </w:t>
      </w:r>
      <w:proofErr w:type="gramStart"/>
      <w:r w:rsidRPr="009A6D87">
        <w:rPr>
          <w:sz w:val="18"/>
          <w:szCs w:val="18"/>
        </w:rPr>
        <w:t xml:space="preserve">"Extinction Risk and Conservation of the World's Sharks and Rays." </w:t>
      </w:r>
      <w:proofErr w:type="spellStart"/>
      <w:r w:rsidRPr="009A6D87">
        <w:rPr>
          <w:sz w:val="18"/>
          <w:szCs w:val="18"/>
        </w:rPr>
        <w:t>eLife</w:t>
      </w:r>
      <w:proofErr w:type="spellEnd"/>
      <w:r w:rsidRPr="009A6D87">
        <w:rPr>
          <w:sz w:val="18"/>
          <w:szCs w:val="18"/>
        </w:rPr>
        <w:t>.</w:t>
      </w:r>
      <w:proofErr w:type="gramEnd"/>
    </w:p>
  </w:footnote>
  <w:footnote w:id="2">
    <w:p w:rsidR="00F471F0" w:rsidRPr="009A6D87" w:rsidRDefault="00F471F0" w:rsidP="009A6D87">
      <w:pPr>
        <w:pStyle w:val="FootnoteText"/>
        <w:ind w:left="270" w:hanging="270"/>
        <w:jc w:val="both"/>
        <w:rPr>
          <w:sz w:val="18"/>
          <w:szCs w:val="18"/>
        </w:rPr>
      </w:pPr>
      <w:r w:rsidRPr="009A6D87">
        <w:rPr>
          <w:rStyle w:val="FootnoteReference"/>
          <w:sz w:val="18"/>
          <w:szCs w:val="18"/>
          <w:vertAlign w:val="superscript"/>
        </w:rPr>
        <w:footnoteRef/>
      </w:r>
      <w:r w:rsidRPr="009A6D87">
        <w:rPr>
          <w:sz w:val="18"/>
          <w:szCs w:val="18"/>
          <w:vertAlign w:val="superscript"/>
        </w:rPr>
        <w:t xml:space="preserve"> </w:t>
      </w:r>
      <w:r w:rsidRPr="009A6D87">
        <w:rPr>
          <w:sz w:val="18"/>
          <w:szCs w:val="18"/>
          <w:vertAlign w:val="superscript"/>
        </w:rPr>
        <w:tab/>
      </w:r>
      <w:r w:rsidRPr="009A6D87">
        <w:rPr>
          <w:sz w:val="18"/>
          <w:szCs w:val="18"/>
        </w:rPr>
        <w:t xml:space="preserve">Worm B, Davis B, </w:t>
      </w:r>
      <w:proofErr w:type="spellStart"/>
      <w:r w:rsidRPr="009A6D87">
        <w:rPr>
          <w:sz w:val="18"/>
          <w:szCs w:val="18"/>
        </w:rPr>
        <w:t>Kettermer</w:t>
      </w:r>
      <w:proofErr w:type="spellEnd"/>
      <w:r w:rsidRPr="009A6D87">
        <w:rPr>
          <w:sz w:val="18"/>
          <w:szCs w:val="18"/>
        </w:rPr>
        <w:t xml:space="preserve"> L, Ward-Paige CA, Chapman D, </w:t>
      </w:r>
      <w:proofErr w:type="spellStart"/>
      <w:r w:rsidRPr="009A6D87">
        <w:rPr>
          <w:sz w:val="18"/>
          <w:szCs w:val="18"/>
        </w:rPr>
        <w:t>Heithaus</w:t>
      </w:r>
      <w:proofErr w:type="spellEnd"/>
      <w:r w:rsidRPr="009A6D87">
        <w:rPr>
          <w:sz w:val="18"/>
          <w:szCs w:val="18"/>
        </w:rPr>
        <w:t xml:space="preserve"> MR, </w:t>
      </w:r>
      <w:proofErr w:type="spellStart"/>
      <w:r w:rsidRPr="009A6D87">
        <w:rPr>
          <w:sz w:val="18"/>
          <w:szCs w:val="18"/>
        </w:rPr>
        <w:t>Kessel</w:t>
      </w:r>
      <w:proofErr w:type="spellEnd"/>
      <w:r w:rsidRPr="009A6D87">
        <w:rPr>
          <w:sz w:val="18"/>
          <w:szCs w:val="18"/>
        </w:rPr>
        <w:t xml:space="preserve"> ST, Gruber SH. 2013. Global catches, exploitation rates, and rebuilding options for sharks, Marine Policy 40, 194–204.</w:t>
      </w:r>
    </w:p>
  </w:footnote>
  <w:footnote w:id="3">
    <w:p w:rsidR="00F471F0" w:rsidRDefault="00F471F0" w:rsidP="009A6D87">
      <w:pPr>
        <w:pStyle w:val="FootnoteText"/>
        <w:ind w:left="270" w:hanging="270"/>
        <w:jc w:val="both"/>
      </w:pPr>
      <w:r w:rsidRPr="009A6D87">
        <w:rPr>
          <w:rStyle w:val="FootnoteReference"/>
          <w:sz w:val="18"/>
          <w:szCs w:val="18"/>
          <w:vertAlign w:val="superscript"/>
        </w:rPr>
        <w:footnoteRef/>
      </w:r>
      <w:r w:rsidRPr="009A6D87">
        <w:rPr>
          <w:sz w:val="18"/>
          <w:szCs w:val="18"/>
          <w:vertAlign w:val="superscript"/>
        </w:rPr>
        <w:t xml:space="preserve"> </w:t>
      </w:r>
      <w:r w:rsidRPr="009A6D87">
        <w:rPr>
          <w:sz w:val="18"/>
          <w:szCs w:val="18"/>
          <w:vertAlign w:val="superscript"/>
        </w:rPr>
        <w:tab/>
      </w:r>
      <w:r w:rsidRPr="009A6D87">
        <w:rPr>
          <w:sz w:val="18"/>
          <w:szCs w:val="18"/>
        </w:rPr>
        <w:t>Clarke, S. C., McAllister, M. K., Milner-</w:t>
      </w:r>
      <w:proofErr w:type="spellStart"/>
      <w:r w:rsidRPr="009A6D87">
        <w:rPr>
          <w:sz w:val="18"/>
          <w:szCs w:val="18"/>
        </w:rPr>
        <w:t>Gulland</w:t>
      </w:r>
      <w:proofErr w:type="spellEnd"/>
      <w:r w:rsidRPr="009A6D87">
        <w:rPr>
          <w:sz w:val="18"/>
          <w:szCs w:val="18"/>
        </w:rPr>
        <w:t xml:space="preserve">, E. J., Kirkwood, G. P., </w:t>
      </w:r>
      <w:proofErr w:type="spellStart"/>
      <w:r w:rsidRPr="009A6D87">
        <w:rPr>
          <w:sz w:val="18"/>
          <w:szCs w:val="18"/>
        </w:rPr>
        <w:t>Michielsens</w:t>
      </w:r>
      <w:proofErr w:type="spellEnd"/>
      <w:r w:rsidRPr="009A6D87">
        <w:rPr>
          <w:sz w:val="18"/>
          <w:szCs w:val="18"/>
        </w:rPr>
        <w:t xml:space="preserve">, C. G. J., Agnew, D. J., </w:t>
      </w:r>
      <w:proofErr w:type="spellStart"/>
      <w:r w:rsidRPr="009A6D87">
        <w:rPr>
          <w:sz w:val="18"/>
          <w:szCs w:val="18"/>
        </w:rPr>
        <w:t>Pikitch</w:t>
      </w:r>
      <w:proofErr w:type="spellEnd"/>
      <w:r w:rsidRPr="009A6D87">
        <w:rPr>
          <w:sz w:val="18"/>
          <w:szCs w:val="18"/>
        </w:rPr>
        <w:t xml:space="preserve">, E. K., Nakano, H. and </w:t>
      </w:r>
      <w:proofErr w:type="spellStart"/>
      <w:r w:rsidRPr="009A6D87">
        <w:rPr>
          <w:sz w:val="18"/>
          <w:szCs w:val="18"/>
        </w:rPr>
        <w:t>Shivji</w:t>
      </w:r>
      <w:proofErr w:type="spellEnd"/>
      <w:r w:rsidRPr="009A6D87">
        <w:rPr>
          <w:sz w:val="18"/>
          <w:szCs w:val="18"/>
        </w:rPr>
        <w:t xml:space="preserve">, M. S. (2006), Global estimates of sharks catches using trade records from commercial markets. Ecology Letters, 9: 1115–1126. </w:t>
      </w:r>
      <w:proofErr w:type="spellStart"/>
      <w:r w:rsidRPr="009A6D87">
        <w:rPr>
          <w:sz w:val="18"/>
          <w:szCs w:val="18"/>
        </w:rPr>
        <w:t>doi</w:t>
      </w:r>
      <w:proofErr w:type="spellEnd"/>
      <w:r w:rsidRPr="009A6D87">
        <w:rPr>
          <w:sz w:val="18"/>
          <w:szCs w:val="18"/>
        </w:rPr>
        <w:t>: 10.1111/j.1461-0248.2006.00968.x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Pr="00F03E5C" w:rsidRDefault="00F471F0"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F471F0" w:rsidRPr="00F03E5C" w:rsidRDefault="00F471F0"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Pr="00F03E5C" w:rsidRDefault="00F471F0"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F471F0" w:rsidRPr="00F03E5C" w:rsidRDefault="00F471F0"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Default="00F471F0" w:rsidP="008F78CB">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sidRPr="008F78CB">
      <w:rPr>
        <w:rFonts w:ascii="Times New Roman" w:hAnsi="Times New Roman"/>
        <w:b w:val="0"/>
        <w:i/>
        <w:kern w:val="0"/>
        <w:sz w:val="20"/>
        <w:szCs w:val="20"/>
        <w:lang w:val="fr-FR"/>
      </w:rPr>
      <w:t>PNUE/CMS/COP11/Doc.23.2.1</w:t>
    </w:r>
  </w:p>
  <w:p w:rsidR="00F471F0" w:rsidRPr="009A6D87" w:rsidRDefault="00F471F0" w:rsidP="009A6D87">
    <w:pPr>
      <w:rPr>
        <w:sz w:val="20"/>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Default="00F471F0" w:rsidP="009922F7">
    <w:pPr>
      <w:pStyle w:val="Heading1"/>
      <w:keepNext w:val="0"/>
      <w:pBdr>
        <w:bottom w:val="single" w:sz="4" w:space="1" w:color="auto"/>
      </w:pBdr>
      <w:ind w:left="261" w:right="-2" w:hanging="261"/>
      <w:jc w:val="right"/>
      <w:rPr>
        <w:b w:val="0"/>
        <w:i/>
        <w:sz w:val="20"/>
        <w:szCs w:val="20"/>
        <w:lang w:val="fr-FR"/>
      </w:rPr>
    </w:pPr>
    <w:r w:rsidRPr="009922F7">
      <w:rPr>
        <w:b w:val="0"/>
        <w:i/>
        <w:sz w:val="20"/>
        <w:szCs w:val="20"/>
        <w:lang w:val="fr-FR"/>
      </w:rPr>
      <w:t>PNUE/CMS/COP11/Doc.23.2.1</w:t>
    </w:r>
  </w:p>
  <w:p w:rsidR="00F471F0" w:rsidRPr="009922F7" w:rsidRDefault="00F471F0" w:rsidP="009922F7">
    <w:pP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Default="00F471F0" w:rsidP="008F78CB">
    <w:pPr>
      <w:pStyle w:val="Heading1"/>
      <w:keepNext w:val="0"/>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after="0"/>
      <w:ind w:left="261" w:right="-2" w:hanging="261"/>
      <w:rPr>
        <w:rFonts w:ascii="Times New Roman" w:hAnsi="Times New Roman"/>
        <w:b w:val="0"/>
        <w:i/>
        <w:kern w:val="0"/>
        <w:sz w:val="20"/>
        <w:szCs w:val="20"/>
        <w:lang w:val="fr-FR"/>
      </w:rPr>
    </w:pPr>
    <w:r w:rsidRPr="008F78CB">
      <w:rPr>
        <w:rFonts w:ascii="Times New Roman" w:hAnsi="Times New Roman"/>
        <w:b w:val="0"/>
        <w:i/>
        <w:kern w:val="0"/>
        <w:sz w:val="20"/>
        <w:szCs w:val="20"/>
        <w:lang w:val="fr-FR"/>
      </w:rPr>
      <w:t>PNUE/CMS/COP11/Doc.23.2.1</w:t>
    </w:r>
    <w:r w:rsidRPr="00357AC7">
      <w:rPr>
        <w:rFonts w:ascii="Times New Roman" w:hAnsi="Times New Roman"/>
        <w:b w:val="0"/>
        <w:i/>
        <w:kern w:val="0"/>
        <w:sz w:val="20"/>
        <w:szCs w:val="20"/>
        <w:lang w:val="fr-FR"/>
      </w:rPr>
      <w:t>/Annexe : Projet de Résolution</w:t>
    </w:r>
  </w:p>
  <w:p w:rsidR="00F471F0" w:rsidRPr="009A6D87" w:rsidRDefault="00F471F0" w:rsidP="009A6D87">
    <w:pPr>
      <w:rPr>
        <w:sz w:val="20"/>
        <w:szCs w:val="20"/>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F0" w:rsidRDefault="00F471F0" w:rsidP="009922F7">
    <w:pPr>
      <w:pStyle w:val="Heading1"/>
      <w:keepNext w:val="0"/>
      <w:pBdr>
        <w:bottom w:val="single" w:sz="4" w:space="1" w:color="auto"/>
      </w:pBdr>
      <w:ind w:left="261" w:right="-2" w:hanging="261"/>
      <w:jc w:val="right"/>
      <w:rPr>
        <w:b w:val="0"/>
        <w:i/>
        <w:sz w:val="20"/>
        <w:szCs w:val="20"/>
        <w:lang w:val="fr-FR"/>
      </w:rPr>
    </w:pPr>
    <w:r w:rsidRPr="009922F7">
      <w:rPr>
        <w:b w:val="0"/>
        <w:i/>
        <w:sz w:val="20"/>
        <w:szCs w:val="20"/>
        <w:lang w:val="fr-FR"/>
      </w:rPr>
      <w:t>PNUE/CMS/COP11/Doc.23.2.1</w:t>
    </w:r>
    <w:r>
      <w:rPr>
        <w:b w:val="0"/>
        <w:i/>
        <w:sz w:val="20"/>
        <w:szCs w:val="20"/>
        <w:lang w:val="fr-FR"/>
      </w:rPr>
      <w:t>/Annexe : Projet d</w:t>
    </w:r>
    <w:r w:rsidRPr="009A6D87">
      <w:rPr>
        <w:b w:val="0"/>
        <w:i/>
        <w:sz w:val="20"/>
        <w:szCs w:val="20"/>
        <w:lang w:val="fr-FR"/>
      </w:rPr>
      <w:t>e Résolution</w:t>
    </w:r>
  </w:p>
  <w:p w:rsidR="00F471F0" w:rsidRPr="009922F7" w:rsidRDefault="00F471F0" w:rsidP="009922F7">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A72C71"/>
    <w:multiLevelType w:val="hybridMultilevel"/>
    <w:tmpl w:val="45D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9"/>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1"/>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CB"/>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D3494"/>
    <w:rsid w:val="002E45CD"/>
    <w:rsid w:val="00300DAD"/>
    <w:rsid w:val="003172D0"/>
    <w:rsid w:val="00322215"/>
    <w:rsid w:val="00325D81"/>
    <w:rsid w:val="00357AC7"/>
    <w:rsid w:val="0038468E"/>
    <w:rsid w:val="003860F5"/>
    <w:rsid w:val="003B756F"/>
    <w:rsid w:val="003D36E9"/>
    <w:rsid w:val="003D63C2"/>
    <w:rsid w:val="003F74EF"/>
    <w:rsid w:val="0043699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77705"/>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E79BC"/>
    <w:rsid w:val="007F7154"/>
    <w:rsid w:val="008168F5"/>
    <w:rsid w:val="00835F1F"/>
    <w:rsid w:val="0085400D"/>
    <w:rsid w:val="00854FF9"/>
    <w:rsid w:val="00867C98"/>
    <w:rsid w:val="00871D3F"/>
    <w:rsid w:val="00886C44"/>
    <w:rsid w:val="008A4888"/>
    <w:rsid w:val="008C424F"/>
    <w:rsid w:val="008D4A4E"/>
    <w:rsid w:val="008E47CF"/>
    <w:rsid w:val="008F0739"/>
    <w:rsid w:val="008F78CB"/>
    <w:rsid w:val="009113F4"/>
    <w:rsid w:val="0091211B"/>
    <w:rsid w:val="00915885"/>
    <w:rsid w:val="00921275"/>
    <w:rsid w:val="0092465D"/>
    <w:rsid w:val="00925D84"/>
    <w:rsid w:val="00943637"/>
    <w:rsid w:val="009659BE"/>
    <w:rsid w:val="009704CA"/>
    <w:rsid w:val="00974507"/>
    <w:rsid w:val="00991055"/>
    <w:rsid w:val="009922F7"/>
    <w:rsid w:val="009A4C94"/>
    <w:rsid w:val="009A6D87"/>
    <w:rsid w:val="009B298A"/>
    <w:rsid w:val="009B7296"/>
    <w:rsid w:val="009C380B"/>
    <w:rsid w:val="009D5101"/>
    <w:rsid w:val="009E75A4"/>
    <w:rsid w:val="00A079D5"/>
    <w:rsid w:val="00A17533"/>
    <w:rsid w:val="00A22EEC"/>
    <w:rsid w:val="00A72E6C"/>
    <w:rsid w:val="00A83B6F"/>
    <w:rsid w:val="00A9767A"/>
    <w:rsid w:val="00AA6754"/>
    <w:rsid w:val="00AB0C7A"/>
    <w:rsid w:val="00AC290D"/>
    <w:rsid w:val="00AC6844"/>
    <w:rsid w:val="00AD2F11"/>
    <w:rsid w:val="00AD3A97"/>
    <w:rsid w:val="00AF3303"/>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CE32A5"/>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F53A9"/>
    <w:rsid w:val="00E04F05"/>
    <w:rsid w:val="00E34730"/>
    <w:rsid w:val="00E80A33"/>
    <w:rsid w:val="00E94D56"/>
    <w:rsid w:val="00E9660D"/>
    <w:rsid w:val="00EB4FAC"/>
    <w:rsid w:val="00EE451B"/>
    <w:rsid w:val="00EF1332"/>
    <w:rsid w:val="00EF35F9"/>
    <w:rsid w:val="00F03E5C"/>
    <w:rsid w:val="00F07452"/>
    <w:rsid w:val="00F26339"/>
    <w:rsid w:val="00F4301E"/>
    <w:rsid w:val="00F471F0"/>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554E-4209-4FE4-BDB3-DEB78D62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45</TotalTime>
  <Pages>9</Pages>
  <Words>3256</Words>
  <Characters>18562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Melanie Jakuttek (UNEP/AEWA Secretariat)</cp:lastModifiedBy>
  <cp:revision>7</cp:revision>
  <cp:lastPrinted>2014-08-19T13:57:00Z</cp:lastPrinted>
  <dcterms:created xsi:type="dcterms:W3CDTF">2014-08-19T12:48:00Z</dcterms:created>
  <dcterms:modified xsi:type="dcterms:W3CDTF">2014-08-19T13:58:00Z</dcterms:modified>
</cp:coreProperties>
</file>