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6D5698D4" w:rsidR="00D82C56" w:rsidRPr="00627758" w:rsidRDefault="00627758" w:rsidP="00180987">
      <w:pPr>
        <w:spacing w:after="120"/>
        <w:jc w:val="center"/>
        <w:rPr>
          <w:rFonts w:ascii="Arial" w:hAnsi="Arial" w:cs="Arial"/>
          <w:b/>
          <w:sz w:val="22"/>
          <w:szCs w:val="22"/>
        </w:rPr>
      </w:pPr>
      <w:r w:rsidRPr="00627758">
        <w:rPr>
          <w:rFonts w:ascii="Arial" w:hAnsi="Arial" w:cs="Arial"/>
          <w:b/>
          <w:sz w:val="22"/>
          <w:szCs w:val="22"/>
          <w:lang w:val="en-GB"/>
        </w:rPr>
        <w:t>RENEWABLE ENERGY AND MIGRATORY SPECIES</w:t>
      </w:r>
    </w:p>
    <w:p w14:paraId="48F82B79" w14:textId="3F9FAEB8" w:rsidR="00D82C56" w:rsidRDefault="005D43E4" w:rsidP="00180987">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627758">
        <w:rPr>
          <w:rFonts w:ascii="Arial" w:hAnsi="Arial" w:cs="Arial"/>
          <w:sz w:val="22"/>
          <w:szCs w:val="22"/>
        </w:rPr>
        <w:t>.</w:t>
      </w:r>
      <w:r w:rsidR="00627758" w:rsidRPr="00627758">
        <w:rPr>
          <w:rFonts w:ascii="Arial" w:hAnsi="Arial" w:cs="Arial"/>
          <w:sz w:val="22"/>
          <w:szCs w:val="22"/>
          <w:lang w:val="en-GB"/>
        </w:rPr>
        <w:t>30.3.2</w:t>
      </w:r>
    </w:p>
    <w:p w14:paraId="73A89732" w14:textId="72FB9443" w:rsidR="00D82C56" w:rsidRDefault="005D43E4" w:rsidP="00627758">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Pr="004E426F">
        <w:rPr>
          <w:rFonts w:ascii="Arial" w:hAnsi="Arial" w:cs="Arial"/>
          <w:i/>
          <w:sz w:val="22"/>
          <w:szCs w:val="22"/>
        </w:rPr>
        <w:t>COW</w:t>
      </w:r>
      <w:r>
        <w:rPr>
          <w:rFonts w:ascii="Arial" w:hAnsi="Arial" w:cs="Arial"/>
          <w:i/>
          <w:sz w:val="22"/>
          <w:szCs w:val="22"/>
        </w:rPr>
        <w:t>)</w:t>
      </w:r>
    </w:p>
    <w:p w14:paraId="61273576" w14:textId="77777777" w:rsidR="00D82C56" w:rsidRDefault="00D82C56" w:rsidP="00627758">
      <w:pPr>
        <w:rPr>
          <w:rFonts w:ascii="Arial" w:hAnsi="Arial" w:cs="Arial"/>
          <w:sz w:val="22"/>
          <w:szCs w:val="22"/>
        </w:rPr>
      </w:pPr>
    </w:p>
    <w:p w14:paraId="383AE881" w14:textId="77777777" w:rsidR="00D82C56" w:rsidRDefault="00D82C56" w:rsidP="00627758">
      <w:pPr>
        <w:rPr>
          <w:rFonts w:ascii="Arial" w:hAnsi="Arial" w:cs="Arial"/>
          <w:sz w:val="22"/>
          <w:szCs w:val="22"/>
        </w:rPr>
      </w:pPr>
    </w:p>
    <w:p w14:paraId="5CD49333" w14:textId="77777777" w:rsidR="00D82C56" w:rsidRDefault="005D43E4" w:rsidP="00627758">
      <w:pPr>
        <w:jc w:val="center"/>
        <w:rPr>
          <w:rFonts w:ascii="Arial" w:hAnsi="Arial" w:cs="Arial"/>
          <w:sz w:val="22"/>
          <w:szCs w:val="22"/>
        </w:rPr>
      </w:pPr>
      <w:r>
        <w:rPr>
          <w:rFonts w:ascii="Arial" w:hAnsi="Arial" w:cs="Arial"/>
          <w:sz w:val="22"/>
          <w:szCs w:val="22"/>
        </w:rPr>
        <w:t>DRAFT DECISION</w:t>
      </w:r>
    </w:p>
    <w:p w14:paraId="621FE7FD" w14:textId="77777777" w:rsidR="00D82C56" w:rsidRDefault="00D82C56" w:rsidP="00627758">
      <w:pPr>
        <w:rPr>
          <w:rFonts w:ascii="Arial" w:hAnsi="Arial" w:cs="Arial"/>
          <w:sz w:val="22"/>
          <w:szCs w:val="22"/>
        </w:rPr>
      </w:pPr>
    </w:p>
    <w:p w14:paraId="1C637C78" w14:textId="77777777" w:rsidR="00627758" w:rsidRPr="00627758" w:rsidRDefault="00627758" w:rsidP="00627758">
      <w:pPr>
        <w:widowControl/>
        <w:autoSpaceDE/>
        <w:autoSpaceDN/>
        <w:jc w:val="center"/>
        <w:textAlignment w:val="auto"/>
        <w:rPr>
          <w:rFonts w:ascii="Arial" w:eastAsiaTheme="minorHAnsi" w:hAnsi="Arial" w:cstheme="minorBidi"/>
          <w:b/>
          <w:bCs/>
          <w:sz w:val="22"/>
          <w:szCs w:val="22"/>
          <w:lang w:val="en-GB"/>
        </w:rPr>
      </w:pPr>
      <w:r w:rsidRPr="00627758">
        <w:rPr>
          <w:rFonts w:ascii="Arial" w:eastAsiaTheme="minorHAnsi" w:hAnsi="Arial" w:cstheme="minorBidi"/>
          <w:b/>
          <w:bCs/>
          <w:sz w:val="22"/>
          <w:szCs w:val="22"/>
          <w:lang w:val="en-GB"/>
        </w:rPr>
        <w:t>RENEWABLE ENERGY AND MIGRATORY SPECIES</w:t>
      </w:r>
    </w:p>
    <w:p w14:paraId="2FAAC9C2" w14:textId="77777777" w:rsidR="00627758" w:rsidRPr="00627758" w:rsidRDefault="00627758" w:rsidP="00180987">
      <w:pPr>
        <w:widowControl/>
        <w:autoSpaceDE/>
        <w:autoSpaceDN/>
        <w:textAlignment w:val="auto"/>
        <w:rPr>
          <w:rFonts w:ascii="Arial" w:eastAsiaTheme="minorHAnsi" w:hAnsi="Arial" w:cs="Arial"/>
          <w:sz w:val="22"/>
          <w:szCs w:val="22"/>
          <w:lang w:val="en-GB"/>
        </w:rPr>
      </w:pPr>
    </w:p>
    <w:p w14:paraId="460AD9DD" w14:textId="77777777" w:rsidR="00627758" w:rsidRPr="00627758" w:rsidRDefault="00627758" w:rsidP="00627758">
      <w:pPr>
        <w:widowControl/>
        <w:autoSpaceDE/>
        <w:autoSpaceDN/>
        <w:ind w:left="851" w:hanging="851"/>
        <w:jc w:val="both"/>
        <w:textAlignment w:val="auto"/>
        <w:rPr>
          <w:rFonts w:ascii="Arial" w:eastAsiaTheme="minorHAnsi" w:hAnsi="Arial" w:cs="Arial"/>
          <w:sz w:val="22"/>
          <w:szCs w:val="22"/>
          <w:lang w:val="en-GB"/>
        </w:rPr>
      </w:pPr>
    </w:p>
    <w:p w14:paraId="2954CA94" w14:textId="77777777" w:rsidR="00627758" w:rsidRPr="00627758" w:rsidRDefault="00627758" w:rsidP="00627758">
      <w:pPr>
        <w:widowControl/>
        <w:autoSpaceDE/>
        <w:autoSpaceDN/>
        <w:textAlignment w:val="auto"/>
        <w:rPr>
          <w:rFonts w:ascii="Arial" w:eastAsiaTheme="minorHAnsi" w:hAnsi="Arial" w:cstheme="minorBidi"/>
          <w:b/>
          <w:bCs/>
          <w:i/>
          <w:iCs/>
          <w:sz w:val="22"/>
          <w:szCs w:val="22"/>
          <w:lang w:val="hr-HR"/>
        </w:rPr>
      </w:pPr>
      <w:r w:rsidRPr="00627758">
        <w:rPr>
          <w:rFonts w:ascii="Arial" w:eastAsiaTheme="minorHAnsi" w:hAnsi="Arial" w:cstheme="minorBidi"/>
          <w:b/>
          <w:bCs/>
          <w:i/>
          <w:iCs/>
          <w:sz w:val="22"/>
          <w:szCs w:val="22"/>
          <w:lang w:val="hr-HR"/>
        </w:rPr>
        <w:t>Directed to Parties</w:t>
      </w:r>
    </w:p>
    <w:p w14:paraId="34EC5AB2" w14:textId="77777777" w:rsidR="00627758" w:rsidRPr="00627758" w:rsidRDefault="00627758" w:rsidP="00627758">
      <w:pPr>
        <w:widowControl/>
        <w:autoSpaceDE/>
        <w:autoSpaceDN/>
        <w:ind w:left="851" w:hanging="851"/>
        <w:jc w:val="both"/>
        <w:textAlignment w:val="auto"/>
        <w:rPr>
          <w:rFonts w:ascii="Arial" w:eastAsiaTheme="minorHAnsi" w:hAnsi="Arial" w:cs="Arial"/>
          <w:sz w:val="22"/>
          <w:szCs w:val="22"/>
          <w:lang w:val="en-GB"/>
        </w:rPr>
      </w:pPr>
    </w:p>
    <w:p w14:paraId="6A602AB7" w14:textId="6349FB2D" w:rsidR="00627758" w:rsidRPr="00627758" w:rsidRDefault="00627758" w:rsidP="00180987">
      <w:pPr>
        <w:widowControl/>
        <w:autoSpaceDE/>
        <w:autoSpaceDN/>
        <w:ind w:left="851" w:hanging="851"/>
        <w:jc w:val="both"/>
        <w:textAlignment w:val="auto"/>
        <w:rPr>
          <w:rFonts w:ascii="Arial" w:eastAsiaTheme="minorHAnsi" w:hAnsi="Arial" w:cs="Arial"/>
          <w:sz w:val="22"/>
          <w:szCs w:val="22"/>
          <w:lang w:val="en-GB"/>
        </w:rPr>
      </w:pPr>
      <w:r w:rsidRPr="00627758">
        <w:rPr>
          <w:rFonts w:ascii="Arial" w:eastAsiaTheme="minorHAnsi" w:hAnsi="Arial" w:cs="Arial"/>
          <w:sz w:val="22"/>
          <w:szCs w:val="22"/>
          <w:lang w:val="en-GB"/>
        </w:rPr>
        <w:t>14.AA</w:t>
      </w:r>
      <w:r w:rsidRPr="00627758">
        <w:rPr>
          <w:rFonts w:ascii="Arial" w:eastAsiaTheme="minorHAnsi" w:hAnsi="Arial" w:cs="Arial"/>
          <w:sz w:val="22"/>
          <w:szCs w:val="22"/>
          <w:lang w:val="en-GB"/>
        </w:rPr>
        <w:tab/>
        <w:t xml:space="preserve">Parties are: </w:t>
      </w:r>
    </w:p>
    <w:p w14:paraId="06539656" w14:textId="77777777" w:rsidR="00627758" w:rsidRPr="00627758" w:rsidRDefault="00627758" w:rsidP="00627758">
      <w:pPr>
        <w:widowControl/>
        <w:autoSpaceDE/>
        <w:autoSpaceDN/>
        <w:ind w:left="851" w:hanging="57"/>
        <w:jc w:val="both"/>
        <w:textAlignment w:val="auto"/>
        <w:rPr>
          <w:rFonts w:ascii="Arial" w:eastAsiaTheme="minorHAnsi" w:hAnsi="Arial" w:cs="Arial"/>
          <w:sz w:val="22"/>
          <w:szCs w:val="22"/>
          <w:lang w:val="en-GB"/>
        </w:rPr>
      </w:pPr>
    </w:p>
    <w:p w14:paraId="4FBB0B47" w14:textId="1348296F" w:rsidR="00627758" w:rsidRPr="009A3F0E" w:rsidRDefault="00627758" w:rsidP="00180987">
      <w:pPr>
        <w:widowControl/>
        <w:numPr>
          <w:ilvl w:val="0"/>
          <w:numId w:val="1"/>
        </w:numPr>
        <w:autoSpaceDE/>
        <w:autoSpaceDN/>
        <w:ind w:left="1418" w:hanging="567"/>
        <w:contextualSpacing/>
        <w:jc w:val="both"/>
        <w:textAlignment w:val="auto"/>
        <w:rPr>
          <w:rFonts w:ascii="Arial" w:eastAsiaTheme="minorHAnsi" w:hAnsi="Arial" w:cstheme="minorBidi"/>
          <w:sz w:val="22"/>
          <w:szCs w:val="22"/>
          <w:lang w:val="hr-HR"/>
        </w:rPr>
      </w:pPr>
      <w:r w:rsidRPr="009A3F0E">
        <w:rPr>
          <w:rFonts w:ascii="Arial" w:eastAsiaTheme="minorHAnsi" w:hAnsi="Arial" w:cstheme="minorBidi"/>
          <w:sz w:val="22"/>
          <w:szCs w:val="22"/>
          <w:lang w:val="hr-HR"/>
        </w:rPr>
        <w:t xml:space="preserve">requested to integrate biodiversity and migratory species </w:t>
      </w:r>
      <w:r w:rsidR="00372DB6" w:rsidRPr="009A3F0E">
        <w:rPr>
          <w:rFonts w:ascii="Arial" w:eastAsiaTheme="minorHAnsi" w:hAnsi="Arial" w:cstheme="minorBidi"/>
          <w:sz w:val="22"/>
          <w:szCs w:val="22"/>
          <w:lang w:val="hr-HR"/>
        </w:rPr>
        <w:t>conservation needs</w:t>
      </w:r>
      <w:r w:rsidRPr="009A3F0E">
        <w:rPr>
          <w:rFonts w:ascii="Arial" w:eastAsiaTheme="minorHAnsi" w:hAnsi="Arial" w:cstheme="minorBidi"/>
          <w:sz w:val="22"/>
          <w:szCs w:val="22"/>
          <w:lang w:val="hr-HR"/>
        </w:rPr>
        <w:t xml:space="preserve"> in</w:t>
      </w:r>
      <w:r w:rsidR="00FD7FFB" w:rsidRPr="009A3F0E">
        <w:rPr>
          <w:rFonts w:ascii="Arial" w:eastAsiaTheme="minorHAnsi" w:hAnsi="Arial" w:cstheme="minorBidi"/>
          <w:sz w:val="22"/>
          <w:szCs w:val="22"/>
          <w:lang w:val="hr-HR"/>
        </w:rPr>
        <w:t>to</w:t>
      </w:r>
      <w:r w:rsidRPr="009A3F0E">
        <w:rPr>
          <w:rFonts w:ascii="Arial" w:eastAsiaTheme="minorHAnsi" w:hAnsi="Arial" w:cstheme="minorBidi"/>
          <w:sz w:val="22"/>
          <w:szCs w:val="22"/>
          <w:lang w:val="hr-HR"/>
        </w:rPr>
        <w:t xml:space="preserve"> national energy and climate policy and action plans,</w:t>
      </w:r>
      <w:r w:rsidR="00786A19" w:rsidRPr="00786A19">
        <w:t xml:space="preserve"> </w:t>
      </w:r>
      <w:r w:rsidR="00786A19" w:rsidRPr="009A3F0E">
        <w:rPr>
          <w:rFonts w:ascii="Arial" w:eastAsiaTheme="minorHAnsi" w:hAnsi="Arial" w:cstheme="minorBidi"/>
          <w:sz w:val="22"/>
          <w:szCs w:val="22"/>
          <w:lang w:val="hr-HR"/>
        </w:rPr>
        <w:t>land and maritime spatial planning</w:t>
      </w:r>
      <w:r w:rsidRPr="009A3F0E">
        <w:rPr>
          <w:rFonts w:ascii="Arial" w:eastAsiaTheme="minorHAnsi" w:hAnsi="Arial" w:cstheme="minorBidi"/>
          <w:sz w:val="22"/>
          <w:szCs w:val="22"/>
          <w:lang w:val="hr-HR"/>
        </w:rPr>
        <w:t xml:space="preserve"> and legislation and regulations on siting of new energy infrastructure</w:t>
      </w:r>
      <w:r w:rsidR="008F0563" w:rsidRPr="008F0563">
        <w:t xml:space="preserve"> </w:t>
      </w:r>
      <w:r w:rsidR="008F0563" w:rsidRPr="009A3F0E">
        <w:rPr>
          <w:rFonts w:ascii="Arial" w:eastAsiaTheme="minorHAnsi" w:hAnsi="Arial" w:cstheme="minorBidi"/>
          <w:sz w:val="22"/>
          <w:szCs w:val="22"/>
          <w:lang w:val="hr-HR"/>
        </w:rPr>
        <w:t>with the aim of avoiding negative impacts</w:t>
      </w:r>
      <w:r w:rsidR="00C4309C" w:rsidRPr="009A3F0E">
        <w:rPr>
          <w:rFonts w:ascii="Arial" w:eastAsiaTheme="minorHAnsi" w:hAnsi="Arial" w:cstheme="minorBidi"/>
          <w:sz w:val="22"/>
          <w:szCs w:val="22"/>
          <w:lang w:val="hr-HR"/>
        </w:rPr>
        <w:t xml:space="preserve"> </w:t>
      </w:r>
      <w:r w:rsidR="00002FD0" w:rsidRPr="009A3F0E">
        <w:rPr>
          <w:rFonts w:ascii="Arial" w:eastAsiaTheme="minorHAnsi" w:hAnsi="Arial" w:cstheme="minorBidi"/>
          <w:sz w:val="22"/>
          <w:szCs w:val="22"/>
          <w:lang w:val="hr-HR"/>
        </w:rPr>
        <w:t>on migratory species</w:t>
      </w:r>
      <w:r w:rsidR="00FA4EA0" w:rsidRPr="009A3F0E">
        <w:rPr>
          <w:rFonts w:ascii="Arial" w:eastAsiaTheme="minorHAnsi" w:hAnsi="Arial" w:cstheme="minorBidi"/>
          <w:sz w:val="22"/>
          <w:szCs w:val="22"/>
          <w:lang w:val="hr-HR"/>
        </w:rPr>
        <w:t>,</w:t>
      </w:r>
      <w:r w:rsidR="00EC6989" w:rsidRPr="009A3F0E">
        <w:rPr>
          <w:rFonts w:ascii="Arial" w:eastAsiaTheme="minorHAnsi" w:hAnsi="Arial" w:cstheme="minorBidi"/>
          <w:sz w:val="22"/>
          <w:szCs w:val="22"/>
          <w:lang w:val="hr-HR"/>
        </w:rPr>
        <w:t xml:space="preserve"> and aligned with the Kunming Montreal Global Biodiversity Framework</w:t>
      </w:r>
      <w:r w:rsidR="008F0563" w:rsidRPr="009A3F0E">
        <w:rPr>
          <w:rFonts w:ascii="Arial" w:eastAsiaTheme="minorHAnsi" w:hAnsi="Arial" w:cstheme="minorBidi"/>
          <w:sz w:val="22"/>
          <w:szCs w:val="22"/>
          <w:lang w:val="hr-HR"/>
        </w:rPr>
        <w:t>;</w:t>
      </w:r>
    </w:p>
    <w:p w14:paraId="55AC78CF"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54A38B1E" w14:textId="0B730566" w:rsidR="00627758" w:rsidRPr="00627758" w:rsidRDefault="00627758" w:rsidP="00180987">
      <w:pPr>
        <w:widowControl/>
        <w:numPr>
          <w:ilvl w:val="0"/>
          <w:numId w:val="1"/>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encouraged to support an evidence-based renewable energy mix in the design and implementation of renewable energy policies such as Nationally Determined Contributions (NDCs) and National Energy and Climate Plans, and integrate Strategic Environmental Assessments and sensitivity mapping</w:t>
      </w:r>
      <w:r w:rsidR="00E50FA0">
        <w:rPr>
          <w:rFonts w:ascii="Arial" w:eastAsiaTheme="minorHAnsi" w:hAnsi="Arial" w:cstheme="minorBidi"/>
          <w:sz w:val="22"/>
          <w:szCs w:val="22"/>
          <w:lang w:val="hr-HR"/>
        </w:rPr>
        <w:t xml:space="preserve"> </w:t>
      </w:r>
      <w:r w:rsidR="00E50FA0" w:rsidRPr="00E50FA0">
        <w:rPr>
          <w:rFonts w:ascii="Arial" w:eastAsiaTheme="minorHAnsi" w:hAnsi="Arial" w:cstheme="minorBidi"/>
          <w:sz w:val="22"/>
          <w:szCs w:val="22"/>
          <w:lang w:val="hr-HR"/>
        </w:rPr>
        <w:t>for migratory species, especially for those protected at national or international level</w:t>
      </w:r>
      <w:r w:rsidRPr="00627758">
        <w:rPr>
          <w:rFonts w:ascii="Arial" w:eastAsiaTheme="minorHAnsi" w:hAnsi="Arial" w:cstheme="minorBidi"/>
          <w:sz w:val="22"/>
          <w:szCs w:val="22"/>
          <w:lang w:val="hr-HR"/>
        </w:rPr>
        <w:t xml:space="preserve"> into decision-making processes for climate targets</w:t>
      </w:r>
      <w:r w:rsidR="0066663D">
        <w:rPr>
          <w:rFonts w:ascii="Arial" w:eastAsiaTheme="minorHAnsi" w:hAnsi="Arial" w:cstheme="minorBidi"/>
          <w:sz w:val="22"/>
          <w:szCs w:val="22"/>
          <w:lang w:val="hr-HR"/>
        </w:rPr>
        <w:t xml:space="preserve"> </w:t>
      </w:r>
      <w:r w:rsidR="006723B6">
        <w:rPr>
          <w:rFonts w:ascii="Arial" w:eastAsiaTheme="minorHAnsi" w:hAnsi="Arial" w:cstheme="minorBidi"/>
          <w:sz w:val="22"/>
          <w:szCs w:val="22"/>
          <w:lang w:val="hr-HR"/>
        </w:rPr>
        <w:t xml:space="preserve">and into land and </w:t>
      </w:r>
      <w:r w:rsidR="00CB5B06">
        <w:rPr>
          <w:rFonts w:ascii="Arial" w:eastAsiaTheme="minorHAnsi" w:hAnsi="Arial" w:cstheme="minorBidi"/>
          <w:sz w:val="22"/>
          <w:szCs w:val="22"/>
          <w:lang w:val="hr-HR"/>
        </w:rPr>
        <w:t>maritime spatial planning</w:t>
      </w:r>
      <w:r w:rsidRPr="00627758">
        <w:rPr>
          <w:rFonts w:ascii="Arial" w:eastAsiaTheme="minorHAnsi" w:hAnsi="Arial" w:cstheme="minorBidi"/>
          <w:sz w:val="22"/>
          <w:szCs w:val="22"/>
          <w:lang w:val="hr-HR"/>
        </w:rPr>
        <w:t xml:space="preserve">; </w:t>
      </w:r>
    </w:p>
    <w:p w14:paraId="211CE9A6" w14:textId="77777777" w:rsidR="00627758" w:rsidRPr="00627758" w:rsidRDefault="00627758" w:rsidP="00180987">
      <w:pPr>
        <w:widowControl/>
        <w:autoSpaceDE/>
        <w:autoSpaceDN/>
        <w:ind w:left="1418" w:hanging="567"/>
        <w:jc w:val="both"/>
        <w:textAlignment w:val="auto"/>
        <w:rPr>
          <w:rFonts w:ascii="Arial" w:eastAsiaTheme="minorHAnsi" w:hAnsi="Arial" w:cstheme="minorBidi"/>
          <w:sz w:val="22"/>
          <w:szCs w:val="22"/>
          <w:lang w:val="hr-HR"/>
        </w:rPr>
      </w:pPr>
    </w:p>
    <w:p w14:paraId="6D3C406C" w14:textId="77777777" w:rsidR="00627758" w:rsidRPr="00627758" w:rsidRDefault="00627758" w:rsidP="00180987">
      <w:pPr>
        <w:widowControl/>
        <w:numPr>
          <w:ilvl w:val="0"/>
          <w:numId w:val="1"/>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 xml:space="preserve">invited to provide to the Energy Task Force and the Secretariat information and indicators that have been integrated into national climate action plans and NDCs; </w:t>
      </w:r>
    </w:p>
    <w:p w14:paraId="3B805523" w14:textId="77777777" w:rsidR="00627758" w:rsidRPr="00627758" w:rsidRDefault="00627758" w:rsidP="00180987">
      <w:pPr>
        <w:widowControl/>
        <w:autoSpaceDE/>
        <w:autoSpaceDN/>
        <w:ind w:left="1418" w:hanging="567"/>
        <w:jc w:val="both"/>
        <w:textAlignment w:val="auto"/>
        <w:rPr>
          <w:rFonts w:ascii="Arial" w:eastAsiaTheme="minorHAnsi" w:hAnsi="Arial" w:cstheme="minorBidi"/>
          <w:sz w:val="22"/>
          <w:szCs w:val="22"/>
          <w:lang w:val="hr-HR"/>
        </w:rPr>
      </w:pPr>
    </w:p>
    <w:p w14:paraId="3660A1E9" w14:textId="45736A71" w:rsidR="00252637" w:rsidRDefault="00C6176C" w:rsidP="00180987">
      <w:pPr>
        <w:widowControl/>
        <w:numPr>
          <w:ilvl w:val="0"/>
          <w:numId w:val="1"/>
        </w:numPr>
        <w:autoSpaceDE/>
        <w:autoSpaceDN/>
        <w:ind w:left="1418" w:hanging="567"/>
        <w:contextualSpacing/>
        <w:jc w:val="both"/>
        <w:textAlignment w:val="auto"/>
        <w:rPr>
          <w:rFonts w:ascii="Arial" w:eastAsiaTheme="minorHAnsi" w:hAnsi="Arial" w:cstheme="minorBidi"/>
          <w:sz w:val="22"/>
          <w:szCs w:val="22"/>
          <w:lang w:val="hr-HR"/>
        </w:rPr>
      </w:pPr>
      <w:r w:rsidRPr="00C6176C">
        <w:rPr>
          <w:rFonts w:ascii="Arial" w:eastAsiaTheme="minorHAnsi" w:hAnsi="Arial" w:cstheme="minorBidi"/>
          <w:sz w:val="22"/>
          <w:szCs w:val="22"/>
          <w:lang w:val="hr-HR"/>
        </w:rPr>
        <w:t>requested to report to COP15 on the above activities in their National Reports</w:t>
      </w:r>
      <w:r w:rsidR="00131D99">
        <w:rPr>
          <w:rFonts w:ascii="Arial" w:eastAsiaTheme="minorHAnsi" w:hAnsi="Arial" w:cstheme="minorBidi"/>
          <w:sz w:val="22"/>
          <w:szCs w:val="22"/>
          <w:lang w:val="hr-HR"/>
        </w:rPr>
        <w:t>;</w:t>
      </w:r>
    </w:p>
    <w:p w14:paraId="34302982" w14:textId="77777777" w:rsidR="00252637" w:rsidRDefault="00252637" w:rsidP="00180987">
      <w:pPr>
        <w:pStyle w:val="ListParagraph"/>
        <w:ind w:left="1418" w:hanging="567"/>
        <w:rPr>
          <w:rFonts w:ascii="Arial" w:eastAsiaTheme="minorHAnsi" w:hAnsi="Arial" w:cstheme="minorBidi"/>
          <w:sz w:val="22"/>
          <w:szCs w:val="22"/>
          <w:lang w:val="hr-HR"/>
        </w:rPr>
      </w:pPr>
    </w:p>
    <w:p w14:paraId="6F260D34" w14:textId="02AA40C3" w:rsidR="00D573BF" w:rsidRPr="00252637" w:rsidRDefault="00726927" w:rsidP="00180987">
      <w:pPr>
        <w:widowControl/>
        <w:numPr>
          <w:ilvl w:val="0"/>
          <w:numId w:val="1"/>
        </w:numPr>
        <w:autoSpaceDE/>
        <w:autoSpaceDN/>
        <w:ind w:left="1418" w:hanging="567"/>
        <w:contextualSpacing/>
        <w:jc w:val="both"/>
        <w:textAlignment w:val="auto"/>
        <w:rPr>
          <w:rFonts w:ascii="Arial" w:eastAsiaTheme="minorHAnsi" w:hAnsi="Arial" w:cstheme="minorBidi"/>
          <w:sz w:val="22"/>
          <w:szCs w:val="22"/>
          <w:lang w:val="hr-HR"/>
        </w:rPr>
      </w:pPr>
      <w:r>
        <w:rPr>
          <w:rFonts w:ascii="Arial" w:eastAsiaTheme="minorHAnsi" w:hAnsi="Arial" w:cstheme="minorBidi"/>
          <w:sz w:val="22"/>
          <w:szCs w:val="22"/>
          <w:lang w:val="hr-HR"/>
        </w:rPr>
        <w:t>recommended</w:t>
      </w:r>
      <w:r w:rsidRPr="00252637">
        <w:rPr>
          <w:rFonts w:ascii="Arial" w:eastAsiaTheme="minorHAnsi" w:hAnsi="Arial" w:cstheme="minorBidi"/>
          <w:sz w:val="22"/>
          <w:szCs w:val="22"/>
          <w:lang w:val="hr-HR"/>
        </w:rPr>
        <w:t xml:space="preserve"> </w:t>
      </w:r>
      <w:r w:rsidR="00D573BF" w:rsidRPr="00252637">
        <w:rPr>
          <w:rFonts w:ascii="Arial" w:eastAsiaTheme="minorHAnsi" w:hAnsi="Arial" w:cstheme="minorBidi"/>
          <w:sz w:val="22"/>
          <w:szCs w:val="22"/>
          <w:lang w:val="hr-HR"/>
        </w:rPr>
        <w:t>to take legal, administrative or policy measures to encourage and enable the energy sector to regularly monitor, assess, and transparently disclose their risks, dependencies and impacts on biodiversity along their operations, supply and value chains, in order to progressively reduce negative impacts on biodiversity, increase positive impacts, and promote actions to ensure sustainable patterns of production.</w:t>
      </w:r>
    </w:p>
    <w:p w14:paraId="01F68C31" w14:textId="77777777" w:rsidR="00627758" w:rsidRPr="00627758" w:rsidRDefault="00627758" w:rsidP="00627758">
      <w:pPr>
        <w:widowControl/>
        <w:autoSpaceDE/>
        <w:autoSpaceDN/>
        <w:textAlignment w:val="auto"/>
        <w:rPr>
          <w:rFonts w:ascii="Arial" w:eastAsiaTheme="minorHAnsi" w:hAnsi="Arial" w:cstheme="minorBidi"/>
          <w:b/>
          <w:bCs/>
          <w:i/>
          <w:iCs/>
          <w:sz w:val="22"/>
          <w:szCs w:val="22"/>
          <w:lang w:val="hr-HR"/>
        </w:rPr>
      </w:pPr>
    </w:p>
    <w:p w14:paraId="6A6CF19D" w14:textId="77777777" w:rsidR="00627758" w:rsidRPr="00627758" w:rsidRDefault="00627758" w:rsidP="00627758">
      <w:pPr>
        <w:widowControl/>
        <w:autoSpaceDE/>
        <w:autoSpaceDN/>
        <w:textAlignment w:val="auto"/>
        <w:rPr>
          <w:rFonts w:ascii="Arial" w:eastAsiaTheme="minorHAnsi" w:hAnsi="Arial" w:cstheme="minorBidi"/>
          <w:b/>
          <w:bCs/>
          <w:i/>
          <w:iCs/>
          <w:sz w:val="22"/>
          <w:szCs w:val="22"/>
          <w:lang w:val="hr-HR"/>
        </w:rPr>
      </w:pPr>
    </w:p>
    <w:p w14:paraId="707E0E9E" w14:textId="77777777" w:rsidR="00627758" w:rsidRPr="00627758" w:rsidRDefault="00627758" w:rsidP="00627758">
      <w:pPr>
        <w:widowControl/>
        <w:autoSpaceDE/>
        <w:autoSpaceDN/>
        <w:textAlignment w:val="auto"/>
        <w:rPr>
          <w:rFonts w:ascii="Arial" w:eastAsiaTheme="minorHAnsi" w:hAnsi="Arial" w:cstheme="minorBidi"/>
          <w:b/>
          <w:bCs/>
          <w:i/>
          <w:iCs/>
          <w:sz w:val="22"/>
          <w:szCs w:val="22"/>
          <w:lang w:val="hr-HR"/>
        </w:rPr>
      </w:pPr>
      <w:r w:rsidRPr="00627758">
        <w:rPr>
          <w:rFonts w:ascii="Arial" w:eastAsiaTheme="minorHAnsi" w:hAnsi="Arial" w:cstheme="minorBidi"/>
          <w:b/>
          <w:bCs/>
          <w:i/>
          <w:iCs/>
          <w:sz w:val="22"/>
          <w:szCs w:val="22"/>
          <w:lang w:val="hr-HR"/>
        </w:rPr>
        <w:t>Directed to Parties, intergovernmental and non-government organizations, and others</w:t>
      </w:r>
    </w:p>
    <w:p w14:paraId="2F03BA89" w14:textId="77777777" w:rsidR="00627758" w:rsidRPr="00627758" w:rsidRDefault="00627758" w:rsidP="00627758">
      <w:pPr>
        <w:widowControl/>
        <w:autoSpaceDE/>
        <w:autoSpaceDN/>
        <w:textAlignment w:val="auto"/>
        <w:rPr>
          <w:rFonts w:ascii="Arial" w:eastAsiaTheme="minorHAnsi" w:hAnsi="Arial" w:cstheme="minorBidi"/>
          <w:b/>
          <w:bCs/>
          <w:i/>
          <w:iCs/>
          <w:sz w:val="22"/>
          <w:szCs w:val="22"/>
          <w:lang w:val="hr-HR"/>
        </w:rPr>
      </w:pPr>
    </w:p>
    <w:p w14:paraId="3D17EC6A" w14:textId="77777777" w:rsidR="00627758" w:rsidRPr="00627758" w:rsidRDefault="00627758" w:rsidP="00180987">
      <w:pPr>
        <w:widowControl/>
        <w:autoSpaceDE/>
        <w:autoSpaceDN/>
        <w:ind w:left="851" w:hanging="851"/>
        <w:jc w:val="both"/>
        <w:textAlignment w:val="auto"/>
        <w:rPr>
          <w:rFonts w:ascii="Arial" w:eastAsiaTheme="minorHAnsi" w:hAnsi="Arial" w:cs="Arial"/>
          <w:sz w:val="22"/>
          <w:szCs w:val="22"/>
          <w:lang w:val="en-GB"/>
        </w:rPr>
      </w:pPr>
      <w:r w:rsidRPr="00627758">
        <w:rPr>
          <w:rFonts w:ascii="Arial" w:eastAsiaTheme="minorHAnsi" w:hAnsi="Arial" w:cs="Arial"/>
          <w:sz w:val="22"/>
          <w:szCs w:val="22"/>
          <w:lang w:val="en-GB"/>
        </w:rPr>
        <w:t>14.BB</w:t>
      </w:r>
      <w:r w:rsidRPr="00627758">
        <w:rPr>
          <w:rFonts w:ascii="Arial" w:eastAsiaTheme="minorHAnsi" w:hAnsi="Arial" w:cs="Arial"/>
          <w:sz w:val="22"/>
          <w:szCs w:val="22"/>
          <w:lang w:val="en-GB"/>
        </w:rPr>
        <w:tab/>
        <w:t>Parties, including their representatives from both environment and energy ministries and authorities, intergovernmental and non-governmental organizations, and other stakeholders from the energy sector are encouraged to support the implementation of the Energy Task Force Workplan and the ongoing operations of the Energy Task Force.</w:t>
      </w:r>
    </w:p>
    <w:p w14:paraId="59D585C2" w14:textId="77777777" w:rsidR="00627758" w:rsidRPr="00627758" w:rsidRDefault="00627758" w:rsidP="00627758">
      <w:pPr>
        <w:widowControl/>
        <w:autoSpaceDE/>
        <w:autoSpaceDN/>
        <w:jc w:val="both"/>
        <w:textAlignment w:val="auto"/>
        <w:rPr>
          <w:rFonts w:ascii="Arial" w:eastAsiaTheme="minorHAnsi" w:hAnsi="Arial" w:cstheme="minorBidi"/>
          <w:b/>
          <w:bCs/>
          <w:i/>
          <w:iCs/>
          <w:sz w:val="22"/>
          <w:szCs w:val="22"/>
          <w:lang w:val="hr-HR"/>
        </w:rPr>
      </w:pPr>
    </w:p>
    <w:p w14:paraId="6F7948DA" w14:textId="0B7089D8" w:rsidR="00180987" w:rsidRDefault="00180987" w:rsidP="00627758">
      <w:pPr>
        <w:widowControl/>
        <w:autoSpaceDE/>
        <w:autoSpaceDN/>
        <w:jc w:val="both"/>
        <w:textAlignment w:val="auto"/>
        <w:rPr>
          <w:rFonts w:ascii="Arial" w:eastAsiaTheme="minorHAnsi" w:hAnsi="Arial" w:cstheme="minorBidi"/>
          <w:b/>
          <w:bCs/>
          <w:i/>
          <w:iCs/>
          <w:sz w:val="22"/>
          <w:szCs w:val="22"/>
          <w:lang w:val="hr-HR"/>
        </w:rPr>
      </w:pPr>
      <w:r>
        <w:rPr>
          <w:rFonts w:ascii="Arial" w:eastAsiaTheme="minorHAnsi" w:hAnsi="Arial" w:cstheme="minorBidi"/>
          <w:b/>
          <w:bCs/>
          <w:i/>
          <w:iCs/>
          <w:sz w:val="22"/>
          <w:szCs w:val="22"/>
          <w:lang w:val="hr-HR"/>
        </w:rPr>
        <w:br w:type="page"/>
      </w:r>
    </w:p>
    <w:p w14:paraId="1AECCA2F" w14:textId="77777777" w:rsidR="00627758" w:rsidRPr="00627758" w:rsidRDefault="00627758" w:rsidP="00627758">
      <w:pPr>
        <w:widowControl/>
        <w:autoSpaceDE/>
        <w:autoSpaceDN/>
        <w:jc w:val="both"/>
        <w:textAlignment w:val="auto"/>
        <w:rPr>
          <w:rFonts w:ascii="Arial" w:eastAsiaTheme="minorHAnsi" w:hAnsi="Arial" w:cstheme="minorBidi"/>
          <w:b/>
          <w:bCs/>
          <w:i/>
          <w:iCs/>
          <w:sz w:val="22"/>
          <w:szCs w:val="22"/>
          <w:lang w:val="hr-HR"/>
        </w:rPr>
      </w:pPr>
      <w:r w:rsidRPr="00627758">
        <w:rPr>
          <w:rFonts w:ascii="Arial" w:eastAsiaTheme="minorHAnsi" w:hAnsi="Arial" w:cstheme="minorBidi"/>
          <w:b/>
          <w:bCs/>
          <w:i/>
          <w:iCs/>
          <w:sz w:val="22"/>
          <w:szCs w:val="22"/>
          <w:lang w:val="hr-HR"/>
        </w:rPr>
        <w:lastRenderedPageBreak/>
        <w:t>Directed to the Energy Task Force</w:t>
      </w:r>
    </w:p>
    <w:p w14:paraId="091531A3" w14:textId="77777777" w:rsidR="00627758" w:rsidRPr="00627758" w:rsidRDefault="00627758" w:rsidP="00627758">
      <w:pPr>
        <w:widowControl/>
        <w:autoSpaceDE/>
        <w:autoSpaceDN/>
        <w:jc w:val="both"/>
        <w:textAlignment w:val="auto"/>
        <w:rPr>
          <w:rFonts w:ascii="Arial" w:eastAsiaTheme="minorHAnsi" w:hAnsi="Arial" w:cstheme="minorBidi"/>
          <w:b/>
          <w:bCs/>
          <w:i/>
          <w:iCs/>
          <w:sz w:val="22"/>
          <w:szCs w:val="22"/>
          <w:lang w:val="hr-HR"/>
        </w:rPr>
      </w:pPr>
    </w:p>
    <w:p w14:paraId="0D1DF569" w14:textId="1A5E1B58" w:rsidR="00627758" w:rsidRPr="00627758" w:rsidRDefault="00627758" w:rsidP="00180987">
      <w:pPr>
        <w:widowControl/>
        <w:autoSpaceDE/>
        <w:autoSpaceDN/>
        <w:ind w:left="851" w:hanging="851"/>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en-GB"/>
        </w:rPr>
        <w:t>14.CC</w:t>
      </w:r>
      <w:r w:rsidRPr="00627758">
        <w:rPr>
          <w:rFonts w:ascii="Arial" w:eastAsiaTheme="minorHAnsi" w:hAnsi="Arial" w:cstheme="minorBidi"/>
          <w:sz w:val="22"/>
          <w:szCs w:val="22"/>
          <w:lang w:val="en-GB"/>
        </w:rPr>
        <w:tab/>
        <w:t>T</w:t>
      </w:r>
      <w:r w:rsidRPr="00627758">
        <w:rPr>
          <w:rFonts w:ascii="Arial" w:eastAsiaTheme="minorHAnsi" w:hAnsi="Arial" w:cstheme="minorBidi"/>
          <w:sz w:val="22"/>
          <w:szCs w:val="22"/>
          <w:lang w:val="hr-HR"/>
        </w:rPr>
        <w:t xml:space="preserve">he Energy Task Force is requested, subject to the availability of resources, to: </w:t>
      </w:r>
    </w:p>
    <w:p w14:paraId="515C83A7" w14:textId="77777777" w:rsidR="00627758" w:rsidRPr="00627758" w:rsidRDefault="00627758" w:rsidP="00627758">
      <w:pPr>
        <w:widowControl/>
        <w:autoSpaceDE/>
        <w:autoSpaceDN/>
        <w:ind w:left="720" w:hanging="720"/>
        <w:jc w:val="both"/>
        <w:textAlignment w:val="auto"/>
        <w:rPr>
          <w:rFonts w:ascii="Arial" w:eastAsiaTheme="minorHAnsi" w:hAnsi="Arial" w:cstheme="minorBidi"/>
          <w:sz w:val="22"/>
          <w:szCs w:val="22"/>
          <w:lang w:val="hr-HR"/>
        </w:rPr>
      </w:pPr>
    </w:p>
    <w:p w14:paraId="65337495" w14:textId="77777777" w:rsidR="00627758" w:rsidRPr="00627758" w:rsidRDefault="00627758" w:rsidP="00180987">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review tools and provide guidance for assessing and mitigating the impacts of renewable energy and power line developments on migratory species across flyways and throughout species’ ranges, including in areas beyond national jurisdiction; this includes standardized approaches for post-construction monitoring of renewable energy projects, and a review of existing tools, such as AVISTEP;</w:t>
      </w:r>
    </w:p>
    <w:p w14:paraId="020C6CF2"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31BC3A36" w14:textId="77777777" w:rsidR="00627758" w:rsidRPr="00627758" w:rsidRDefault="00627758" w:rsidP="00180987">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 xml:space="preserve">produce guidance on the format and scope of a database on CMS Appendix I species mortality caused by renewable energy developments; </w:t>
      </w:r>
    </w:p>
    <w:p w14:paraId="1D11E93C"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532D7571" w14:textId="77777777" w:rsidR="00627758" w:rsidRPr="001E26A1" w:rsidRDefault="00627758" w:rsidP="00180987">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 xml:space="preserve">coordinate the collation of mortality data for birds and bats with other CMS task forces working on similar initiatives, such as the CMS Saker Falcon Task Force, the CMS </w:t>
      </w:r>
      <w:r w:rsidRPr="00627758">
        <w:rPr>
          <w:rFonts w:ascii="Arial" w:eastAsiaTheme="minorHAnsi" w:hAnsi="Arial" w:cstheme="minorBidi"/>
          <w:sz w:val="22"/>
          <w:szCs w:val="22"/>
          <w:lang w:val="en-GB"/>
        </w:rPr>
        <w:t>Intergovernmental Task Force on Illegal Killing, Taking and Trade of Migratory Birds in the Mediterranean (MIKT) </w:t>
      </w:r>
      <w:r w:rsidRPr="00627758">
        <w:rPr>
          <w:rFonts w:ascii="Arial" w:eastAsiaTheme="minorHAnsi" w:hAnsi="Arial" w:cstheme="minorBidi"/>
          <w:sz w:val="22"/>
          <w:szCs w:val="22"/>
          <w:lang w:val="hr-HR"/>
        </w:rPr>
        <w:t xml:space="preserve"> and the CMS </w:t>
      </w:r>
      <w:r w:rsidRPr="00627758">
        <w:rPr>
          <w:rFonts w:ascii="Arial" w:eastAsiaTheme="minorHAnsi" w:hAnsi="Arial" w:cstheme="minorBidi"/>
          <w:bCs/>
          <w:iCs/>
          <w:sz w:val="22"/>
          <w:szCs w:val="22"/>
          <w:lang w:val="en-GB"/>
        </w:rPr>
        <w:t>Asia Pacific Illegal Taking of Migratory Birds Intergovernmental Task Force;</w:t>
      </w:r>
    </w:p>
    <w:p w14:paraId="6C491218" w14:textId="77777777" w:rsidR="00881514" w:rsidRDefault="00881514" w:rsidP="00180987">
      <w:pPr>
        <w:pStyle w:val="ListParagraph"/>
        <w:ind w:left="1418" w:hanging="567"/>
        <w:rPr>
          <w:rFonts w:ascii="Arial" w:eastAsiaTheme="minorHAnsi" w:hAnsi="Arial" w:cstheme="minorBidi"/>
          <w:sz w:val="22"/>
          <w:szCs w:val="22"/>
          <w:lang w:val="hr-HR"/>
        </w:rPr>
      </w:pPr>
    </w:p>
    <w:p w14:paraId="11FF574E" w14:textId="28AE2FDD" w:rsidR="00627758" w:rsidRPr="00627758" w:rsidRDefault="00900816" w:rsidP="00180987">
      <w:pPr>
        <w:widowControl/>
        <w:autoSpaceDE/>
        <w:autoSpaceDN/>
        <w:ind w:left="1418" w:hanging="567"/>
        <w:jc w:val="both"/>
        <w:textAlignment w:val="auto"/>
        <w:rPr>
          <w:rFonts w:ascii="Arial" w:eastAsiaTheme="minorHAnsi" w:hAnsi="Arial" w:cstheme="minorBidi"/>
          <w:sz w:val="22"/>
          <w:szCs w:val="22"/>
          <w:lang w:val="hr-HR"/>
        </w:rPr>
      </w:pPr>
      <w:r>
        <w:rPr>
          <w:rFonts w:ascii="Arial" w:eastAsiaTheme="minorHAnsi" w:hAnsi="Arial" w:cstheme="minorBidi"/>
          <w:sz w:val="22"/>
          <w:szCs w:val="22"/>
          <w:lang w:val="hr-HR"/>
        </w:rPr>
        <w:t xml:space="preserve">c </w:t>
      </w:r>
      <w:r w:rsidRPr="00900816">
        <w:rPr>
          <w:rFonts w:ascii="Arial" w:eastAsiaTheme="minorHAnsi" w:hAnsi="Arial" w:cstheme="minorBidi"/>
          <w:sz w:val="22"/>
          <w:szCs w:val="22"/>
          <w:lang w:val="hr-HR"/>
        </w:rPr>
        <w:t>bis) gather information on the risks, and negative impacts on migratory species of the energy sector along their operations, supply and value chains, in order to progressively reduce negative impacts on biodiversity, increase positive impacts and promote actions to ensure sustainable patterns of production</w:t>
      </w:r>
      <w:r w:rsidR="00211B02">
        <w:rPr>
          <w:rFonts w:ascii="Arial" w:eastAsiaTheme="minorHAnsi" w:hAnsi="Arial" w:cstheme="minorBidi"/>
          <w:sz w:val="22"/>
          <w:szCs w:val="22"/>
          <w:lang w:val="hr-HR"/>
        </w:rPr>
        <w:t>;</w:t>
      </w:r>
    </w:p>
    <w:p w14:paraId="18E0C145" w14:textId="77777777" w:rsidR="002A7546" w:rsidRDefault="002A7546"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0BC50A5B" w14:textId="63D4ACCB" w:rsidR="00627758" w:rsidRPr="00627758" w:rsidRDefault="00627758" w:rsidP="00180987">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 xml:space="preserve">expand the scope of the ETF to include </w:t>
      </w:r>
      <w:r w:rsidR="00F625E5" w:rsidRPr="00F625E5">
        <w:rPr>
          <w:rFonts w:ascii="Arial" w:eastAsiaTheme="minorHAnsi" w:hAnsi="Arial" w:cstheme="minorBidi"/>
          <w:sz w:val="22"/>
          <w:szCs w:val="22"/>
          <w:lang w:val="hr-HR"/>
        </w:rPr>
        <w:t>consideration to the Important Marine Mammal Areas (IMMA</w:t>
      </w:r>
      <w:r w:rsidR="00CB08FE">
        <w:rPr>
          <w:rFonts w:ascii="Arial" w:eastAsiaTheme="minorHAnsi" w:hAnsi="Arial" w:cstheme="minorBidi"/>
          <w:sz w:val="22"/>
          <w:szCs w:val="22"/>
          <w:lang w:val="hr-HR"/>
        </w:rPr>
        <w:t>s</w:t>
      </w:r>
      <w:r w:rsidR="00F625E5" w:rsidRPr="00F625E5">
        <w:rPr>
          <w:rFonts w:ascii="Arial" w:eastAsiaTheme="minorHAnsi" w:hAnsi="Arial" w:cstheme="minorBidi"/>
          <w:sz w:val="22"/>
          <w:szCs w:val="22"/>
          <w:lang w:val="hr-HR"/>
        </w:rPr>
        <w:t>) and Important Shark and Ray Areas (ISRA</w:t>
      </w:r>
      <w:r w:rsidR="00CB08FE">
        <w:rPr>
          <w:rFonts w:ascii="Arial" w:eastAsiaTheme="minorHAnsi" w:hAnsi="Arial" w:cstheme="minorBidi"/>
          <w:sz w:val="22"/>
          <w:szCs w:val="22"/>
          <w:lang w:val="hr-HR"/>
        </w:rPr>
        <w:t>s</w:t>
      </w:r>
      <w:r w:rsidR="00F625E5" w:rsidRPr="00F625E5">
        <w:rPr>
          <w:rFonts w:ascii="Arial" w:eastAsiaTheme="minorHAnsi" w:hAnsi="Arial" w:cstheme="minorBidi"/>
          <w:sz w:val="22"/>
          <w:szCs w:val="22"/>
          <w:lang w:val="hr-HR"/>
        </w:rPr>
        <w:t xml:space="preserve">) as well as </w:t>
      </w:r>
      <w:r w:rsidRPr="00627758">
        <w:rPr>
          <w:rFonts w:ascii="Arial" w:eastAsiaTheme="minorHAnsi" w:hAnsi="Arial" w:cstheme="minorBidi"/>
          <w:sz w:val="22"/>
          <w:szCs w:val="22"/>
          <w:lang w:val="hr-HR"/>
        </w:rPr>
        <w:t>the impacts on cetaceans of offshore renewable energy;</w:t>
      </w:r>
    </w:p>
    <w:p w14:paraId="212AEF52"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072BE15A" w14:textId="77777777" w:rsidR="00627758" w:rsidRPr="00627758" w:rsidRDefault="00627758" w:rsidP="00180987">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engage with the corporate and international financial sector to support the integration of best practices and mainstreaming of migratory species into industry policies and safeguards;</w:t>
      </w:r>
    </w:p>
    <w:p w14:paraId="3970F4E4"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3D6F9556" w14:textId="77777777" w:rsidR="00627758" w:rsidRPr="00627758" w:rsidRDefault="00627758" w:rsidP="00180987">
      <w:pPr>
        <w:widowControl/>
        <w:numPr>
          <w:ilvl w:val="0"/>
          <w:numId w:val="2"/>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encourage the international donor community to mainstream biodiversity into funding strategies related to the transition to renewable energy.</w:t>
      </w:r>
    </w:p>
    <w:p w14:paraId="7CC0DB28" w14:textId="77777777" w:rsidR="00627758" w:rsidRPr="00627758" w:rsidRDefault="00627758" w:rsidP="00627758">
      <w:pPr>
        <w:widowControl/>
        <w:autoSpaceDE/>
        <w:autoSpaceDN/>
        <w:ind w:left="1260" w:hanging="360"/>
        <w:jc w:val="both"/>
        <w:textAlignment w:val="auto"/>
        <w:rPr>
          <w:rFonts w:ascii="Arial" w:eastAsiaTheme="minorHAnsi" w:hAnsi="Arial" w:cstheme="minorBidi"/>
          <w:sz w:val="22"/>
          <w:szCs w:val="22"/>
          <w:lang w:val="hr-HR"/>
        </w:rPr>
      </w:pPr>
    </w:p>
    <w:p w14:paraId="0DA48259" w14:textId="6A8B5A3B" w:rsidR="00180987" w:rsidRDefault="00180987" w:rsidP="00627758">
      <w:pPr>
        <w:widowControl/>
        <w:autoSpaceDE/>
        <w:autoSpaceDN/>
        <w:ind w:left="1260" w:hanging="360"/>
        <w:jc w:val="both"/>
        <w:textAlignment w:val="auto"/>
        <w:rPr>
          <w:rFonts w:ascii="Arial" w:eastAsiaTheme="minorHAnsi" w:hAnsi="Arial" w:cstheme="minorBidi"/>
          <w:sz w:val="22"/>
          <w:szCs w:val="22"/>
          <w:lang w:val="hr-HR"/>
        </w:rPr>
      </w:pPr>
      <w:r>
        <w:rPr>
          <w:rFonts w:ascii="Arial" w:eastAsiaTheme="minorHAnsi" w:hAnsi="Arial" w:cstheme="minorBidi"/>
          <w:sz w:val="22"/>
          <w:szCs w:val="22"/>
          <w:lang w:val="hr-HR"/>
        </w:rPr>
        <w:br w:type="page"/>
      </w:r>
    </w:p>
    <w:p w14:paraId="7B294AB3" w14:textId="77777777" w:rsidR="00627758" w:rsidRPr="00627758" w:rsidRDefault="00627758" w:rsidP="00627758">
      <w:pPr>
        <w:widowControl/>
        <w:autoSpaceDE/>
        <w:autoSpaceDN/>
        <w:jc w:val="both"/>
        <w:textAlignment w:val="auto"/>
        <w:rPr>
          <w:rFonts w:ascii="Arial" w:eastAsiaTheme="minorHAnsi" w:hAnsi="Arial" w:cs="Arial"/>
          <w:b/>
          <w:i/>
          <w:sz w:val="22"/>
          <w:szCs w:val="22"/>
        </w:rPr>
      </w:pPr>
      <w:r w:rsidRPr="00627758">
        <w:rPr>
          <w:rFonts w:ascii="Arial" w:eastAsiaTheme="minorHAnsi" w:hAnsi="Arial" w:cs="Arial"/>
          <w:b/>
          <w:i/>
          <w:sz w:val="22"/>
          <w:szCs w:val="22"/>
        </w:rPr>
        <w:lastRenderedPageBreak/>
        <w:t>Directed to the Secretariat</w:t>
      </w:r>
    </w:p>
    <w:p w14:paraId="7A23A1F8" w14:textId="77777777" w:rsidR="00627758" w:rsidRPr="00627758" w:rsidRDefault="00627758" w:rsidP="00627758">
      <w:pPr>
        <w:widowControl/>
        <w:autoSpaceDE/>
        <w:autoSpaceDN/>
        <w:textAlignment w:val="auto"/>
        <w:rPr>
          <w:rFonts w:ascii="Arial" w:eastAsiaTheme="minorHAnsi" w:hAnsi="Arial" w:cstheme="minorBidi"/>
          <w:sz w:val="22"/>
          <w:szCs w:val="22"/>
          <w:lang w:val="en-GB"/>
        </w:rPr>
      </w:pPr>
    </w:p>
    <w:p w14:paraId="4409AB7E" w14:textId="420372A6" w:rsidR="00627758" w:rsidRPr="00627758" w:rsidRDefault="00627758" w:rsidP="00180987">
      <w:pPr>
        <w:widowControl/>
        <w:autoSpaceDE/>
        <w:autoSpaceDN/>
        <w:ind w:left="851" w:hanging="851"/>
        <w:textAlignment w:val="auto"/>
        <w:rPr>
          <w:rFonts w:ascii="Arial" w:eastAsiaTheme="minorHAnsi" w:hAnsi="Arial" w:cstheme="minorBidi"/>
          <w:sz w:val="22"/>
          <w:szCs w:val="22"/>
          <w:lang w:val="en-GB"/>
        </w:rPr>
      </w:pPr>
      <w:r w:rsidRPr="00627758">
        <w:rPr>
          <w:rFonts w:ascii="Arial" w:eastAsiaTheme="minorHAnsi" w:hAnsi="Arial" w:cstheme="minorBidi"/>
          <w:sz w:val="22"/>
          <w:szCs w:val="22"/>
          <w:lang w:val="en-GB"/>
        </w:rPr>
        <w:t>14.DD</w:t>
      </w:r>
      <w:r w:rsidRPr="00627758">
        <w:rPr>
          <w:rFonts w:ascii="Arial" w:eastAsiaTheme="minorHAnsi" w:hAnsi="Arial" w:cstheme="minorBidi"/>
          <w:sz w:val="22"/>
          <w:szCs w:val="22"/>
          <w:lang w:val="en-GB"/>
        </w:rPr>
        <w:tab/>
        <w:t xml:space="preserve">The Secretariat shall, </w:t>
      </w:r>
      <w:r w:rsidRPr="00627758">
        <w:rPr>
          <w:rFonts w:ascii="Arial" w:eastAsiaTheme="minorHAnsi" w:hAnsi="Arial" w:cstheme="minorBidi"/>
          <w:sz w:val="22"/>
          <w:szCs w:val="22"/>
          <w:lang w:val="hr-HR"/>
        </w:rPr>
        <w:t>subject to the availability of resources</w:t>
      </w:r>
      <w:r w:rsidRPr="00627758">
        <w:rPr>
          <w:rFonts w:ascii="Arial" w:eastAsiaTheme="minorHAnsi" w:hAnsi="Arial" w:cstheme="minorBidi"/>
          <w:sz w:val="22"/>
          <w:szCs w:val="22"/>
          <w:lang w:val="en-GB"/>
        </w:rPr>
        <w:t>:</w:t>
      </w:r>
    </w:p>
    <w:p w14:paraId="4204D91D" w14:textId="77777777" w:rsidR="00627758" w:rsidRPr="00627758" w:rsidRDefault="00627758" w:rsidP="00627758">
      <w:pPr>
        <w:widowControl/>
        <w:autoSpaceDE/>
        <w:autoSpaceDN/>
        <w:ind w:left="993" w:hanging="993"/>
        <w:textAlignment w:val="auto"/>
        <w:rPr>
          <w:rFonts w:ascii="Arial" w:eastAsiaTheme="minorHAnsi" w:hAnsi="Arial" w:cstheme="minorBidi"/>
          <w:sz w:val="22"/>
          <w:szCs w:val="22"/>
          <w:lang w:val="en-GB"/>
        </w:rPr>
      </w:pPr>
    </w:p>
    <w:p w14:paraId="4F0A0D4B" w14:textId="77777777" w:rsidR="00627758" w:rsidRPr="00627758" w:rsidRDefault="00627758" w:rsidP="00180987">
      <w:pPr>
        <w:widowControl/>
        <w:numPr>
          <w:ilvl w:val="0"/>
          <w:numId w:val="3"/>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include in its communication strategy the guidance and tools produced by the ETF, as well as the engagement with IFIs and the full range of renewable energy agents;</w:t>
      </w:r>
    </w:p>
    <w:p w14:paraId="4FACD554"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3480E49D" w14:textId="77777777" w:rsidR="00627758" w:rsidRPr="00627758" w:rsidRDefault="00627758" w:rsidP="00180987">
      <w:pPr>
        <w:widowControl/>
        <w:numPr>
          <w:ilvl w:val="0"/>
          <w:numId w:val="3"/>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support the ETF and ensure its membership is increased and its scope regularly reviewed to address all potential threats from renewable energy infrastructure to migratory species;</w:t>
      </w:r>
    </w:p>
    <w:p w14:paraId="4FCF207E" w14:textId="77777777" w:rsidR="00627758" w:rsidRPr="00627758" w:rsidRDefault="00627758" w:rsidP="00180987">
      <w:pPr>
        <w:widowControl/>
        <w:autoSpaceDE/>
        <w:autoSpaceDN/>
        <w:ind w:left="1418" w:hanging="567"/>
        <w:contextualSpacing/>
        <w:jc w:val="both"/>
        <w:textAlignment w:val="auto"/>
        <w:rPr>
          <w:rFonts w:ascii="Arial" w:eastAsiaTheme="minorHAnsi" w:hAnsi="Arial" w:cstheme="minorBidi"/>
          <w:sz w:val="22"/>
          <w:szCs w:val="22"/>
          <w:lang w:val="hr-HR"/>
        </w:rPr>
      </w:pPr>
    </w:p>
    <w:p w14:paraId="2A1A3552" w14:textId="77777777" w:rsidR="00627758" w:rsidRDefault="00627758" w:rsidP="00180987">
      <w:pPr>
        <w:widowControl/>
        <w:numPr>
          <w:ilvl w:val="0"/>
          <w:numId w:val="3"/>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seek partnerships with the United Nations Framework Convention againts Climate Change (UNFCCC) and other relevant entites, to expand the role and awareness of the ETF and the implementation of safeguards, spatial planning tools and guidance to avoid the negative impacts on migratory species of renewable energy infrastructure;</w:t>
      </w:r>
    </w:p>
    <w:p w14:paraId="4A7C54E5" w14:textId="77777777" w:rsidR="00627758" w:rsidRDefault="00627758" w:rsidP="00180987">
      <w:pPr>
        <w:pStyle w:val="ListParagraph"/>
        <w:ind w:left="1418" w:hanging="567"/>
        <w:rPr>
          <w:rFonts w:ascii="Arial" w:eastAsiaTheme="minorHAnsi" w:hAnsi="Arial" w:cstheme="minorBidi"/>
          <w:sz w:val="22"/>
          <w:szCs w:val="22"/>
          <w:lang w:val="hr-HR"/>
        </w:rPr>
      </w:pPr>
    </w:p>
    <w:p w14:paraId="77F883D9" w14:textId="5850AD6E" w:rsidR="00D82C56" w:rsidRPr="00627758" w:rsidRDefault="00627758" w:rsidP="00180987">
      <w:pPr>
        <w:widowControl/>
        <w:numPr>
          <w:ilvl w:val="0"/>
          <w:numId w:val="3"/>
        </w:numPr>
        <w:autoSpaceDE/>
        <w:autoSpaceDN/>
        <w:ind w:left="1418" w:hanging="567"/>
        <w:contextualSpacing/>
        <w:jc w:val="both"/>
        <w:textAlignment w:val="auto"/>
        <w:rPr>
          <w:rFonts w:ascii="Arial" w:eastAsiaTheme="minorHAnsi" w:hAnsi="Arial" w:cstheme="minorBidi"/>
          <w:sz w:val="22"/>
          <w:szCs w:val="22"/>
          <w:lang w:val="hr-HR"/>
        </w:rPr>
      </w:pPr>
      <w:r w:rsidRPr="00627758">
        <w:rPr>
          <w:rFonts w:ascii="Arial" w:eastAsiaTheme="minorHAnsi" w:hAnsi="Arial" w:cstheme="minorBidi"/>
          <w:sz w:val="22"/>
          <w:szCs w:val="22"/>
          <w:lang w:val="hr-HR"/>
        </w:rPr>
        <w:t>support the organization of ETF workshops to raise the awareness and increase the capacity of government representatives who are working in the areas of renewable energy and migratory species.</w:t>
      </w:r>
    </w:p>
    <w:p w14:paraId="13E3EB3B" w14:textId="77777777" w:rsidR="00AA06A9" w:rsidRDefault="00AA06A9" w:rsidP="00180987">
      <w:pPr>
        <w:ind w:left="1418" w:hanging="567"/>
        <w:rPr>
          <w:rFonts w:ascii="Arial" w:hAnsi="Arial" w:cs="Arial"/>
        </w:rPr>
      </w:pPr>
    </w:p>
    <w:sectPr w:rsidR="00AA06A9" w:rsidSect="00E863B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C12C8" w14:textId="77777777" w:rsidR="00E863BB" w:rsidRDefault="00E863BB">
      <w:r>
        <w:separator/>
      </w:r>
    </w:p>
  </w:endnote>
  <w:endnote w:type="continuationSeparator" w:id="0">
    <w:p w14:paraId="7CE50A9C" w14:textId="77777777" w:rsidR="00E863BB" w:rsidRDefault="00E863BB">
      <w:r>
        <w:continuationSeparator/>
      </w:r>
    </w:p>
  </w:endnote>
  <w:endnote w:type="continuationNotice" w:id="1">
    <w:p w14:paraId="7A580E81" w14:textId="77777777" w:rsidR="00E863BB" w:rsidRDefault="00E86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C1981" w14:textId="77777777" w:rsidR="00E863BB" w:rsidRDefault="00E863BB">
      <w:r>
        <w:rPr>
          <w:color w:val="000000"/>
        </w:rPr>
        <w:separator/>
      </w:r>
    </w:p>
  </w:footnote>
  <w:footnote w:type="continuationSeparator" w:id="0">
    <w:p w14:paraId="2B4B2202" w14:textId="77777777" w:rsidR="00E863BB" w:rsidRDefault="00E863BB">
      <w:r>
        <w:continuationSeparator/>
      </w:r>
    </w:p>
  </w:footnote>
  <w:footnote w:type="continuationNotice" w:id="1">
    <w:p w14:paraId="33E4D789" w14:textId="77777777" w:rsidR="00E863BB" w:rsidRDefault="00E86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B008ADF" w:rsidR="00B956A6" w:rsidRPr="002A3F28" w:rsidRDefault="005D43E4" w:rsidP="00D144C3">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2A3F28">
      <w:rPr>
        <w:rFonts w:ascii="Arial" w:hAnsi="Arial" w:cs="Arial"/>
        <w:i/>
        <w:sz w:val="18"/>
        <w:szCs w:val="18"/>
      </w:rPr>
      <w:t>UNEP/CMS/COP1</w:t>
    </w:r>
    <w:r w:rsidR="00BC0FC5" w:rsidRPr="002A3F28">
      <w:rPr>
        <w:rFonts w:ascii="Arial" w:hAnsi="Arial" w:cs="Arial"/>
        <w:i/>
        <w:sz w:val="18"/>
        <w:szCs w:val="18"/>
      </w:rPr>
      <w:t>4</w:t>
    </w:r>
    <w:r w:rsidRPr="002A3F28">
      <w:rPr>
        <w:rFonts w:ascii="Arial" w:hAnsi="Arial" w:cs="Arial"/>
        <w:i/>
        <w:sz w:val="18"/>
        <w:szCs w:val="18"/>
      </w:rPr>
      <w:t>/CRP</w:t>
    </w:r>
    <w:r w:rsidR="00627758" w:rsidRPr="00180987">
      <w:rPr>
        <w:rFonts w:ascii="Arial" w:hAnsi="Arial" w:cs="Arial"/>
        <w:i/>
        <w:sz w:val="18"/>
        <w:szCs w:val="18"/>
        <w:lang w:val="en-GB"/>
      </w:rPr>
      <w:t>30.3.2</w:t>
    </w:r>
    <w:r w:rsidR="003355AB">
      <w:rPr>
        <w:rFonts w:ascii="Arial" w:hAnsi="Arial" w:cs="Arial"/>
        <w:i/>
        <w:sz w:val="18"/>
        <w:szCs w:val="18"/>
        <w:lang w:val="en-GB"/>
      </w:rPr>
      <w:t>/Rev.1</w:t>
    </w:r>
  </w:p>
  <w:p w14:paraId="50B9F4CC" w14:textId="77777777" w:rsidR="00B956A6" w:rsidRPr="002A3F28"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25A37" w14:textId="1A1ADEEF" w:rsidR="00B956A6" w:rsidRPr="00180987" w:rsidRDefault="00E935CF" w:rsidP="00180987">
    <w:pPr>
      <w:pStyle w:val="Header"/>
      <w:pBdr>
        <w:bottom w:val="single" w:sz="4" w:space="1" w:color="auto"/>
      </w:pBdr>
      <w:jc w:val="right"/>
      <w:rPr>
        <w:sz w:val="18"/>
        <w:szCs w:val="18"/>
      </w:rPr>
    </w:pPr>
    <w:r w:rsidRPr="00180987">
      <w:rPr>
        <w:rFonts w:ascii="Arial" w:hAnsi="Arial" w:cs="Arial"/>
        <w:i/>
        <w:sz w:val="18"/>
        <w:szCs w:val="18"/>
        <w:lang w:val="en-GB"/>
      </w:rPr>
      <w:t>UNEP/CMS/COP14/CRP30.3.2</w:t>
    </w:r>
    <w:r w:rsidR="003355AB">
      <w:rPr>
        <w:rFonts w:ascii="Arial" w:hAnsi="Arial" w:cs="Arial"/>
        <w:i/>
        <w:sz w:val="18"/>
        <w:szCs w:val="18"/>
        <w:lang w:val="en-GB"/>
      </w:rPr>
      <w:t>/Rev.1</w:t>
    </w:r>
  </w:p>
  <w:p w14:paraId="47E14401" w14:textId="77777777" w:rsidR="00AA06A9" w:rsidRDefault="00AA06A9">
    <w:pPr>
      <w:pStyle w:val="Header"/>
    </w:pP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EAACAEE" w:rsidR="007A1066" w:rsidRPr="0018098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180987">
      <w:rPr>
        <w:rFonts w:ascii="Arial" w:hAnsi="Arial" w:cs="Arial"/>
        <w:bCs/>
        <w:i/>
        <w:iCs/>
        <w:sz w:val="18"/>
        <w:szCs w:val="18"/>
        <w:lang w:val="en-GB"/>
      </w:rPr>
      <w:t>UNEP/CMS/COP1</w:t>
    </w:r>
    <w:r w:rsidR="00B956A6" w:rsidRPr="00180987">
      <w:rPr>
        <w:rFonts w:ascii="Arial" w:hAnsi="Arial" w:cs="Arial"/>
        <w:bCs/>
        <w:i/>
        <w:iCs/>
        <w:sz w:val="18"/>
        <w:szCs w:val="18"/>
        <w:lang w:val="en-GB"/>
      </w:rPr>
      <w:t>4</w:t>
    </w:r>
    <w:r w:rsidRPr="00180987">
      <w:rPr>
        <w:rFonts w:ascii="Arial" w:hAnsi="Arial" w:cs="Arial"/>
        <w:bCs/>
        <w:i/>
        <w:iCs/>
        <w:sz w:val="18"/>
        <w:szCs w:val="18"/>
        <w:lang w:val="en-GB"/>
      </w:rPr>
      <w:t>/CRP</w:t>
    </w:r>
    <w:r w:rsidR="00627758" w:rsidRPr="00180987">
      <w:rPr>
        <w:rFonts w:ascii="Arial" w:hAnsi="Arial" w:cs="Arial"/>
        <w:bCs/>
        <w:i/>
        <w:iCs/>
        <w:sz w:val="18"/>
        <w:szCs w:val="18"/>
        <w:lang w:val="en-GB"/>
      </w:rPr>
      <w:t>30.3.2</w:t>
    </w:r>
    <w:r w:rsidR="00D66501">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5238C"/>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1C7F7242"/>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5F190484"/>
    <w:multiLevelType w:val="hybridMultilevel"/>
    <w:tmpl w:val="ED30037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617758150">
    <w:abstractNumId w:val="2"/>
  </w:num>
  <w:num w:numId="2" w16cid:durableId="664359621">
    <w:abstractNumId w:val="1"/>
  </w:num>
  <w:num w:numId="3" w16cid:durableId="203996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2FD0"/>
    <w:rsid w:val="0005279D"/>
    <w:rsid w:val="00096874"/>
    <w:rsid w:val="000B0D60"/>
    <w:rsid w:val="000B19B6"/>
    <w:rsid w:val="000D0987"/>
    <w:rsid w:val="00130001"/>
    <w:rsid w:val="00131D99"/>
    <w:rsid w:val="0016173A"/>
    <w:rsid w:val="001648A3"/>
    <w:rsid w:val="00180987"/>
    <w:rsid w:val="001A1DD5"/>
    <w:rsid w:val="001E26A1"/>
    <w:rsid w:val="00211B02"/>
    <w:rsid w:val="002223BB"/>
    <w:rsid w:val="00252637"/>
    <w:rsid w:val="002A3F28"/>
    <w:rsid w:val="002A7546"/>
    <w:rsid w:val="003326AF"/>
    <w:rsid w:val="003355AB"/>
    <w:rsid w:val="00336AF5"/>
    <w:rsid w:val="0036213F"/>
    <w:rsid w:val="003639FF"/>
    <w:rsid w:val="00372DB6"/>
    <w:rsid w:val="0039617F"/>
    <w:rsid w:val="003F1AD8"/>
    <w:rsid w:val="00417ED3"/>
    <w:rsid w:val="00430007"/>
    <w:rsid w:val="0043102F"/>
    <w:rsid w:val="004473CC"/>
    <w:rsid w:val="004642DD"/>
    <w:rsid w:val="00480F02"/>
    <w:rsid w:val="00485A04"/>
    <w:rsid w:val="00487D0A"/>
    <w:rsid w:val="004A6167"/>
    <w:rsid w:val="004D4230"/>
    <w:rsid w:val="004E426F"/>
    <w:rsid w:val="005025F1"/>
    <w:rsid w:val="00522068"/>
    <w:rsid w:val="0054194A"/>
    <w:rsid w:val="005645C4"/>
    <w:rsid w:val="005C6888"/>
    <w:rsid w:val="005D230B"/>
    <w:rsid w:val="005D43E4"/>
    <w:rsid w:val="005F0639"/>
    <w:rsid w:val="00627758"/>
    <w:rsid w:val="0066663D"/>
    <w:rsid w:val="006723B6"/>
    <w:rsid w:val="00690C40"/>
    <w:rsid w:val="006B3F63"/>
    <w:rsid w:val="006B429F"/>
    <w:rsid w:val="00700269"/>
    <w:rsid w:val="007262E8"/>
    <w:rsid w:val="00726927"/>
    <w:rsid w:val="007310F6"/>
    <w:rsid w:val="007365C6"/>
    <w:rsid w:val="007430C3"/>
    <w:rsid w:val="00786A19"/>
    <w:rsid w:val="007A1066"/>
    <w:rsid w:val="007B13DD"/>
    <w:rsid w:val="0086565D"/>
    <w:rsid w:val="008772B8"/>
    <w:rsid w:val="00881514"/>
    <w:rsid w:val="008B4391"/>
    <w:rsid w:val="008D544C"/>
    <w:rsid w:val="008E55E5"/>
    <w:rsid w:val="008F0563"/>
    <w:rsid w:val="00900816"/>
    <w:rsid w:val="009349A4"/>
    <w:rsid w:val="009825C3"/>
    <w:rsid w:val="009A3F0E"/>
    <w:rsid w:val="00A02CDA"/>
    <w:rsid w:val="00A22612"/>
    <w:rsid w:val="00A27BA0"/>
    <w:rsid w:val="00A35187"/>
    <w:rsid w:val="00A40512"/>
    <w:rsid w:val="00AA06A9"/>
    <w:rsid w:val="00AA07BC"/>
    <w:rsid w:val="00AF22FB"/>
    <w:rsid w:val="00B15A3D"/>
    <w:rsid w:val="00B36216"/>
    <w:rsid w:val="00B378A6"/>
    <w:rsid w:val="00B738A4"/>
    <w:rsid w:val="00B74820"/>
    <w:rsid w:val="00B81776"/>
    <w:rsid w:val="00B956A6"/>
    <w:rsid w:val="00BB255A"/>
    <w:rsid w:val="00BB515D"/>
    <w:rsid w:val="00BC0FC5"/>
    <w:rsid w:val="00BE1A45"/>
    <w:rsid w:val="00C01650"/>
    <w:rsid w:val="00C02689"/>
    <w:rsid w:val="00C32FF1"/>
    <w:rsid w:val="00C35C00"/>
    <w:rsid w:val="00C4309C"/>
    <w:rsid w:val="00C50C94"/>
    <w:rsid w:val="00C6176C"/>
    <w:rsid w:val="00C76A8F"/>
    <w:rsid w:val="00C8003A"/>
    <w:rsid w:val="00C83ACF"/>
    <w:rsid w:val="00CB08FE"/>
    <w:rsid w:val="00CB5B06"/>
    <w:rsid w:val="00CC668D"/>
    <w:rsid w:val="00D144C3"/>
    <w:rsid w:val="00D20948"/>
    <w:rsid w:val="00D312D1"/>
    <w:rsid w:val="00D573BF"/>
    <w:rsid w:val="00D66501"/>
    <w:rsid w:val="00D82C56"/>
    <w:rsid w:val="00DE564B"/>
    <w:rsid w:val="00E50FA0"/>
    <w:rsid w:val="00E829C9"/>
    <w:rsid w:val="00E863BB"/>
    <w:rsid w:val="00E935CF"/>
    <w:rsid w:val="00EB0378"/>
    <w:rsid w:val="00EC6989"/>
    <w:rsid w:val="00F35230"/>
    <w:rsid w:val="00F36B2E"/>
    <w:rsid w:val="00F53D6D"/>
    <w:rsid w:val="00F625E5"/>
    <w:rsid w:val="00FA4EA0"/>
    <w:rsid w:val="00FC2F1F"/>
    <w:rsid w:val="00FD7FFB"/>
    <w:rsid w:val="00FE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FE2F1F4C-F6F6-49EC-A06B-6ACEE3E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627758"/>
    <w:pPr>
      <w:ind w:left="720"/>
      <w:contextualSpacing/>
    </w:pPr>
  </w:style>
  <w:style w:type="paragraph" w:styleId="Revision">
    <w:name w:val="Revision"/>
    <w:hidden/>
    <w:uiPriority w:val="99"/>
    <w:semiHidden/>
    <w:rsid w:val="0054194A"/>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A35187"/>
    <w:rPr>
      <w:sz w:val="16"/>
      <w:szCs w:val="16"/>
    </w:rPr>
  </w:style>
  <w:style w:type="paragraph" w:styleId="CommentText">
    <w:name w:val="annotation text"/>
    <w:basedOn w:val="Normal"/>
    <w:link w:val="CommentTextChar"/>
    <w:uiPriority w:val="99"/>
    <w:unhideWhenUsed/>
    <w:rsid w:val="00A35187"/>
    <w:rPr>
      <w:szCs w:val="20"/>
    </w:rPr>
  </w:style>
  <w:style w:type="character" w:customStyle="1" w:styleId="CommentTextChar">
    <w:name w:val="Comment Text Char"/>
    <w:basedOn w:val="DefaultParagraphFont"/>
    <w:link w:val="CommentText"/>
    <w:uiPriority w:val="99"/>
    <w:rsid w:val="00A351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5187"/>
    <w:rPr>
      <w:b/>
      <w:bCs/>
    </w:rPr>
  </w:style>
  <w:style w:type="character" w:customStyle="1" w:styleId="CommentSubjectChar">
    <w:name w:val="Comment Subject Char"/>
    <w:basedOn w:val="CommentTextChar"/>
    <w:link w:val="CommentSubject"/>
    <w:uiPriority w:val="99"/>
    <w:semiHidden/>
    <w:rsid w:val="00A3518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5E1A94F-251F-4624-A6AA-F6B73EF1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2020-02-04T13:02:00Z</cp:lastPrinted>
  <dcterms:created xsi:type="dcterms:W3CDTF">2024-02-16T17:21:00Z</dcterms:created>
  <dcterms:modified xsi:type="dcterms:W3CDTF">2024-02-16T17:21:00Z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