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69EE" w14:textId="77777777" w:rsidR="000B0BE4" w:rsidRDefault="00295095"/>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063328" w:rsidRPr="00807562" w14:paraId="7105C7EE" w14:textId="77777777" w:rsidTr="00354D72">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75B9E97" w14:textId="77777777" w:rsidR="00063328" w:rsidRPr="00807562" w:rsidRDefault="00063328" w:rsidP="00354D72">
            <w:pPr>
              <w:widowControl w:val="0"/>
              <w:suppressAutoHyphens/>
              <w:autoSpaceDE w:val="0"/>
              <w:autoSpaceDN w:val="0"/>
              <w:textAlignment w:val="baseline"/>
              <w:rPr>
                <w:rFonts w:ascii="Calibri" w:eastAsia="Calibri" w:hAnsi="Calibri" w:cs="Times New Roman"/>
              </w:rPr>
            </w:pPr>
            <w:r w:rsidRPr="00807562">
              <w:rPr>
                <w:rFonts w:eastAsia="Times New Roman" w:cs="Arial"/>
                <w:noProof/>
              </w:rPr>
              <w:drawing>
                <wp:inline distT="0" distB="0" distL="0" distR="0" wp14:anchorId="7F301DEE" wp14:editId="73F925F3">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2533" t="-726" r="-2533" b="-726"/>
                          <a:stretch>
                            <a:fillRect/>
                          </a:stretch>
                        </pic:blipFill>
                        <pic:spPr>
                          <a:xfrm>
                            <a:off x="0" y="0"/>
                            <a:ext cx="752478" cy="771525"/>
                          </a:xfrm>
                          <a:prstGeom prst="rect">
                            <a:avLst/>
                          </a:prstGeom>
                          <a:noFill/>
                          <a:ln>
                            <a:noFill/>
                            <a:prstDash/>
                          </a:ln>
                        </pic:spPr>
                      </pic:pic>
                    </a:graphicData>
                  </a:graphic>
                </wp:inline>
              </w:drawing>
            </w: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60DFB323" w14:textId="77777777" w:rsidR="00063328" w:rsidRPr="00807562" w:rsidRDefault="00063328" w:rsidP="00354D72">
            <w:pPr>
              <w:keepNext/>
              <w:widowControl w:val="0"/>
              <w:suppressAutoHyphens/>
              <w:autoSpaceDE w:val="0"/>
              <w:autoSpaceDN w:val="0"/>
              <w:spacing w:before="120"/>
              <w:ind w:left="-74"/>
              <w:textAlignment w:val="baseline"/>
              <w:outlineLvl w:val="1"/>
              <w:rPr>
                <w:rFonts w:ascii="Calibri" w:eastAsia="Calibri" w:hAnsi="Calibri" w:cs="Times New Roman"/>
              </w:rPr>
            </w:pPr>
            <w:r w:rsidRPr="00807562">
              <w:rPr>
                <w:rFonts w:eastAsia="Arial" w:cs="Arial"/>
                <w:b/>
                <w:sz w:val="32"/>
              </w:rPr>
              <w:t>CONVENTION SUR</w:t>
            </w:r>
          </w:p>
          <w:p w14:paraId="00E82CF8" w14:textId="77777777" w:rsidR="00063328" w:rsidRPr="00807562" w:rsidRDefault="00063328" w:rsidP="00354D72">
            <w:pPr>
              <w:keepNext/>
              <w:widowControl w:val="0"/>
              <w:suppressAutoHyphens/>
              <w:autoSpaceDE w:val="0"/>
              <w:autoSpaceDN w:val="0"/>
              <w:ind w:left="-74"/>
              <w:textAlignment w:val="baseline"/>
              <w:outlineLvl w:val="1"/>
              <w:rPr>
                <w:rFonts w:ascii="Calibri" w:eastAsia="Calibri" w:hAnsi="Calibri" w:cs="Times New Roman"/>
              </w:rPr>
            </w:pPr>
            <w:r w:rsidRPr="00807562">
              <w:rPr>
                <w:rFonts w:eastAsia="Arial" w:cs="Arial"/>
                <w:b/>
                <w:sz w:val="32"/>
              </w:rPr>
              <w:t>LES ESPÈCES</w:t>
            </w:r>
          </w:p>
          <w:p w14:paraId="6611E51B" w14:textId="77777777" w:rsidR="00063328" w:rsidRPr="00807562" w:rsidRDefault="00063328" w:rsidP="00354D72">
            <w:pPr>
              <w:keepNext/>
              <w:widowControl w:val="0"/>
              <w:suppressAutoHyphens/>
              <w:autoSpaceDE w:val="0"/>
              <w:autoSpaceDN w:val="0"/>
              <w:spacing w:after="120"/>
              <w:ind w:left="-74"/>
              <w:textAlignment w:val="baseline"/>
              <w:outlineLvl w:val="1"/>
              <w:rPr>
                <w:rFonts w:ascii="Calibri" w:eastAsia="Calibri" w:hAnsi="Calibri" w:cs="Times New Roman"/>
              </w:rPr>
            </w:pPr>
            <w:r w:rsidRPr="00807562">
              <w:rPr>
                <w:rFonts w:eastAsia="Arial" w:cs="Arial"/>
                <w:b/>
                <w:sz w:val="32"/>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578F33CB" w14:textId="446E1139" w:rsidR="00063328" w:rsidRDefault="00063328" w:rsidP="00354D7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807562">
              <w:rPr>
                <w:rFonts w:eastAsia="Arial" w:cs="Arial"/>
              </w:rPr>
              <w:t>UNEP/CMS/COP13/RAPPORT</w:t>
            </w:r>
          </w:p>
          <w:p w14:paraId="4D978808" w14:textId="711FC661" w:rsidR="00295095" w:rsidRPr="00365C8A" w:rsidRDefault="00295095" w:rsidP="00354D7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ascii="Calibri" w:eastAsia="Calibri" w:hAnsi="Calibri" w:cs="Times New Roman"/>
              </w:rPr>
            </w:pPr>
            <w:r>
              <w:rPr>
                <w:rFonts w:eastAsia="Arial" w:cs="Arial"/>
              </w:rPr>
              <w:t>ANNEXE 3</w:t>
            </w:r>
          </w:p>
          <w:p w14:paraId="2BC2E922" w14:textId="77777777" w:rsidR="00063328" w:rsidRPr="00807562" w:rsidRDefault="00063328" w:rsidP="00295095">
            <w:pPr>
              <w:widowControl w:val="0"/>
              <w:suppressAutoHyphens/>
              <w:autoSpaceDE w:val="0"/>
              <w:autoSpaceDN w:val="0"/>
              <w:spacing w:before="120"/>
              <w:textAlignment w:val="baseline"/>
              <w:rPr>
                <w:rFonts w:ascii="Calibri" w:eastAsia="Calibri" w:hAnsi="Calibri" w:cs="Times New Roman"/>
              </w:rPr>
            </w:pPr>
            <w:r w:rsidRPr="00807562">
              <w:rPr>
                <w:rFonts w:eastAsia="Arial" w:cs="Arial"/>
              </w:rPr>
              <w:t>Français</w:t>
            </w:r>
          </w:p>
          <w:p w14:paraId="6F7696E3" w14:textId="77777777" w:rsidR="00063328" w:rsidRPr="00807562" w:rsidRDefault="00063328" w:rsidP="00295095">
            <w:pPr>
              <w:widowControl w:val="0"/>
              <w:suppressAutoHyphens/>
              <w:autoSpaceDE w:val="0"/>
              <w:autoSpaceDN w:val="0"/>
              <w:spacing w:after="120"/>
              <w:textAlignment w:val="baseline"/>
              <w:rPr>
                <w:rFonts w:ascii="Calibri" w:eastAsia="Calibri" w:hAnsi="Calibri" w:cs="Times New Roman"/>
              </w:rPr>
            </w:pPr>
            <w:r w:rsidRPr="00807562">
              <w:rPr>
                <w:rFonts w:eastAsia="Arial" w:cs="Arial"/>
              </w:rPr>
              <w:t>Original : Anglais</w:t>
            </w:r>
          </w:p>
          <w:p w14:paraId="338784FE" w14:textId="77777777" w:rsidR="00063328" w:rsidRPr="00807562" w:rsidRDefault="00063328" w:rsidP="00354D72">
            <w:pPr>
              <w:widowControl w:val="0"/>
              <w:suppressAutoHyphens/>
              <w:autoSpaceDE w:val="0"/>
              <w:autoSpaceDN w:val="0"/>
              <w:textAlignment w:val="baseline"/>
              <w:rPr>
                <w:rFonts w:eastAsia="Times New Roman" w:cs="Arial"/>
                <w:sz w:val="12"/>
              </w:rPr>
            </w:pPr>
          </w:p>
        </w:tc>
      </w:tr>
    </w:tbl>
    <w:p w14:paraId="05D3F67E" w14:textId="77777777" w:rsidR="00063328" w:rsidRPr="00807562" w:rsidRDefault="00063328" w:rsidP="00063328">
      <w:pPr>
        <w:widowControl w:val="0"/>
        <w:tabs>
          <w:tab w:val="left" w:pos="-1057"/>
          <w:tab w:val="left" w:pos="-720"/>
        </w:tabs>
        <w:suppressAutoHyphens/>
        <w:autoSpaceDE w:val="0"/>
        <w:autoSpaceDN w:val="0"/>
        <w:spacing w:before="120"/>
        <w:textAlignment w:val="baseline"/>
        <w:rPr>
          <w:rFonts w:ascii="Calibri" w:eastAsia="Calibri" w:hAnsi="Calibri" w:cs="Times New Roman"/>
        </w:rPr>
      </w:pPr>
      <w:r w:rsidRPr="00807562">
        <w:rPr>
          <w:rFonts w:eastAsia="Arial" w:cs="Arial"/>
        </w:rPr>
        <w:t>13</w:t>
      </w:r>
      <w:r w:rsidRPr="00807562">
        <w:rPr>
          <w:rFonts w:eastAsia="Arial" w:cs="Arial"/>
          <w:vertAlign w:val="superscript"/>
        </w:rPr>
        <w:t>ème</w:t>
      </w:r>
      <w:r w:rsidRPr="00807562">
        <w:rPr>
          <w:rFonts w:eastAsia="Arial" w:cs="Arial"/>
        </w:rPr>
        <w:t xml:space="preserve"> SESSION DE LA CONFÉRENCE DES PARTIES</w:t>
      </w:r>
    </w:p>
    <w:p w14:paraId="2FA3EB29" w14:textId="77777777" w:rsidR="00063328" w:rsidRPr="00807562" w:rsidRDefault="00063328" w:rsidP="0006332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rPr>
      </w:pPr>
      <w:proofErr w:type="spellStart"/>
      <w:r w:rsidRPr="00807562">
        <w:rPr>
          <w:rFonts w:eastAsia="Arial" w:cs="Arial"/>
        </w:rPr>
        <w:t>Gandhinagar</w:t>
      </w:r>
      <w:proofErr w:type="spellEnd"/>
      <w:r w:rsidRPr="00807562">
        <w:rPr>
          <w:rFonts w:eastAsia="Arial" w:cs="Arial"/>
        </w:rPr>
        <w:t>, Inde, 17 – 22 février 2020</w:t>
      </w:r>
    </w:p>
    <w:p w14:paraId="3E813DE4" w14:textId="3F4B7C28" w:rsidR="00063328" w:rsidRDefault="00063328" w:rsidP="00063328">
      <w:pPr>
        <w:tabs>
          <w:tab w:val="left" w:pos="2310"/>
        </w:tabs>
        <w:rPr>
          <w:rFonts w:cs="Arial"/>
        </w:rPr>
      </w:pPr>
    </w:p>
    <w:p w14:paraId="4DE6F24E" w14:textId="2FEA8A21" w:rsidR="006C5298" w:rsidRDefault="006C5298" w:rsidP="006C5298">
      <w:pPr>
        <w:rPr>
          <w:rFonts w:cs="Arial"/>
        </w:rPr>
      </w:pPr>
    </w:p>
    <w:p w14:paraId="0557A91C" w14:textId="77777777" w:rsidR="00295095" w:rsidRPr="00807562" w:rsidRDefault="00295095" w:rsidP="00295095">
      <w:pPr>
        <w:jc w:val="center"/>
        <w:rPr>
          <w:rFonts w:cs="Arial"/>
          <w:b/>
        </w:rPr>
      </w:pPr>
      <w:r w:rsidRPr="00807562">
        <w:rPr>
          <w:rFonts w:cs="Arial"/>
          <w:b/>
        </w:rPr>
        <w:t>ÉVÈNEMENTS EN MARGE DE LA COP</w:t>
      </w:r>
    </w:p>
    <w:p w14:paraId="0EFF5511" w14:textId="32847218" w:rsidR="00295095" w:rsidRDefault="00295095" w:rsidP="00295095">
      <w:pPr>
        <w:jc w:val="center"/>
        <w:rPr>
          <w:rFonts w:cs="Arial"/>
          <w:b/>
        </w:rPr>
      </w:pPr>
    </w:p>
    <w:p w14:paraId="1E19D3B8" w14:textId="77777777" w:rsidR="00295095" w:rsidRPr="00807562" w:rsidRDefault="00295095" w:rsidP="00295095">
      <w:pPr>
        <w:jc w:val="center"/>
        <w:rPr>
          <w:rFonts w:cs="Arial"/>
          <w:b/>
        </w:rPr>
      </w:pPr>
    </w:p>
    <w:p w14:paraId="746F21FF" w14:textId="77777777" w:rsidR="00295095" w:rsidRPr="00807562" w:rsidRDefault="00295095" w:rsidP="00295095">
      <w:pPr>
        <w:tabs>
          <w:tab w:val="left" w:pos="9356"/>
        </w:tabs>
        <w:ind w:right="225"/>
        <w:rPr>
          <w:b/>
        </w:rPr>
      </w:pPr>
      <w:bookmarkStart w:id="0" w:name="_Hlk37836072"/>
      <w:r w:rsidRPr="00807562">
        <w:rPr>
          <w:b/>
        </w:rPr>
        <w:t>Réception de bienvenue</w:t>
      </w:r>
    </w:p>
    <w:p w14:paraId="66783603" w14:textId="77777777" w:rsidR="00295095" w:rsidRPr="00807562" w:rsidRDefault="00295095" w:rsidP="00295095">
      <w:pPr>
        <w:tabs>
          <w:tab w:val="left" w:pos="9356"/>
        </w:tabs>
        <w:ind w:right="225"/>
        <w:rPr>
          <w:b/>
        </w:rPr>
      </w:pPr>
    </w:p>
    <w:p w14:paraId="2CBCED07" w14:textId="77777777" w:rsidR="00295095" w:rsidRPr="00807562" w:rsidRDefault="00295095" w:rsidP="00295095">
      <w:pPr>
        <w:tabs>
          <w:tab w:val="left" w:pos="9356"/>
        </w:tabs>
        <w:ind w:right="225"/>
      </w:pPr>
      <w:r w:rsidRPr="00807562">
        <w:t>Dans la soirée du 17</w:t>
      </w:r>
      <w:r w:rsidRPr="00807562">
        <w:rPr>
          <w:vertAlign w:val="superscript"/>
        </w:rPr>
        <w:t xml:space="preserve"> </w:t>
      </w:r>
      <w:r w:rsidRPr="00807562">
        <w:t>février lors de la réception</w:t>
      </w:r>
      <w:r w:rsidRPr="00807562">
        <w:rPr>
          <w:b/>
        </w:rPr>
        <w:t xml:space="preserve"> </w:t>
      </w:r>
      <w:r w:rsidRPr="00807562">
        <w:t xml:space="preserve">offerte par le gouvernement de l'Inde, S.E. Dr </w:t>
      </w:r>
      <w:proofErr w:type="spellStart"/>
      <w:r w:rsidRPr="00807562">
        <w:t>Shaikha</w:t>
      </w:r>
      <w:proofErr w:type="spellEnd"/>
      <w:r w:rsidRPr="00807562">
        <w:t xml:space="preserve"> Al </w:t>
      </w:r>
      <w:proofErr w:type="spellStart"/>
      <w:r w:rsidRPr="00807562">
        <w:t>Dhaheri</w:t>
      </w:r>
      <w:proofErr w:type="spellEnd"/>
      <w:r w:rsidRPr="00807562">
        <w:t xml:space="preserve">, Secrétaire Général, Agence pour l'Environnement - Abu Dhabi (EAD), et Mme Amy Fraenkel, Secrétaire exécutive, signent la prolongation de l'accord de  partenariat et de nouveaux aménagements de locaux pour la période 2020-2023 applicables au le bureau CMS-Abu Dhabi et ses travaux sur les rapaces et les dugongs. </w:t>
      </w:r>
    </w:p>
    <w:p w14:paraId="66DDFA82" w14:textId="77777777" w:rsidR="00295095" w:rsidRPr="00807562" w:rsidRDefault="00295095" w:rsidP="00295095">
      <w:pPr>
        <w:ind w:left="142" w:right="225"/>
      </w:pPr>
    </w:p>
    <w:p w14:paraId="6CE04CAD" w14:textId="77777777" w:rsidR="00295095" w:rsidRPr="00807562" w:rsidRDefault="00295095" w:rsidP="00295095">
      <w:pPr>
        <w:tabs>
          <w:tab w:val="left" w:pos="9356"/>
        </w:tabs>
        <w:ind w:right="225"/>
      </w:pPr>
      <w:r w:rsidRPr="00807562">
        <w:t xml:space="preserve">Cette cérémonie de signature est suivie par le lancement du nouveau programme d'ambassadeurs des espèces migratrices au cours duquel trois ambassadeurs (pour les espèces terrestres, aviaires et aquatiques) sont nommés : le défenseur de l'environnement de renommée internationale, Ian Redmond OBE (pour les espèces terrestres), l'exploratrice et environnementaliste primée, Sacha </w:t>
      </w:r>
      <w:proofErr w:type="spellStart"/>
      <w:r w:rsidRPr="00807562">
        <w:t>Dench</w:t>
      </w:r>
      <w:proofErr w:type="spellEnd"/>
      <w:r w:rsidRPr="00807562">
        <w:t xml:space="preserve"> (pour l'aviaire), et l'acteur et activiste environnemental indien </w:t>
      </w:r>
      <w:proofErr w:type="spellStart"/>
      <w:r w:rsidRPr="00807562">
        <w:t>Randeep</w:t>
      </w:r>
      <w:proofErr w:type="spellEnd"/>
      <w:r w:rsidRPr="00807562">
        <w:t xml:space="preserve"> </w:t>
      </w:r>
      <w:proofErr w:type="spellStart"/>
      <w:r w:rsidRPr="00807562">
        <w:t>Hooda</w:t>
      </w:r>
      <w:proofErr w:type="spellEnd"/>
      <w:r w:rsidRPr="00807562">
        <w:t xml:space="preserve"> (pour le milieu aquatique).  Ils contribueront à faire prendre conscience de l'important travail de la CMS et du sort des espèces migratrices.</w:t>
      </w:r>
    </w:p>
    <w:p w14:paraId="73EA87EC" w14:textId="77777777" w:rsidR="00295095" w:rsidRPr="00807562" w:rsidRDefault="00295095" w:rsidP="00295095">
      <w:pPr>
        <w:tabs>
          <w:tab w:val="left" w:pos="9356"/>
        </w:tabs>
        <w:ind w:left="142" w:right="225"/>
      </w:pPr>
    </w:p>
    <w:p w14:paraId="076D6B57" w14:textId="77777777" w:rsidR="00295095" w:rsidRPr="00807562" w:rsidRDefault="00295095" w:rsidP="00295095">
      <w:pPr>
        <w:tabs>
          <w:tab w:val="left" w:pos="9356"/>
        </w:tabs>
        <w:ind w:right="225"/>
      </w:pPr>
      <w:r w:rsidRPr="00807562">
        <w:t xml:space="preserve">Enfin, Mme Ivonne </w:t>
      </w:r>
      <w:proofErr w:type="spellStart"/>
      <w:r w:rsidRPr="00807562">
        <w:t>Higuero</w:t>
      </w:r>
      <w:proofErr w:type="spellEnd"/>
      <w:r w:rsidRPr="00807562">
        <w:t>, Secrétaire générale de la CITES, et Mme Fraenkel, dévoilent une série spéciale de timbres, émis par l'Administration postale des Nations Unies, mettant en vedette les espèces migratrices menacées d'extinction inscrites aux annexes de la CMS et de la CITES.</w:t>
      </w:r>
    </w:p>
    <w:bookmarkEnd w:id="0"/>
    <w:p w14:paraId="0BBB8CCD" w14:textId="77777777" w:rsidR="00295095" w:rsidRPr="00807562" w:rsidRDefault="00295095" w:rsidP="00295095">
      <w:pPr>
        <w:tabs>
          <w:tab w:val="left" w:pos="9356"/>
        </w:tabs>
        <w:ind w:right="225"/>
      </w:pPr>
    </w:p>
    <w:p w14:paraId="35153DAF" w14:textId="77777777" w:rsidR="00295095" w:rsidRPr="00807562" w:rsidRDefault="00295095" w:rsidP="00295095">
      <w:pPr>
        <w:tabs>
          <w:tab w:val="left" w:pos="9356"/>
        </w:tabs>
        <w:ind w:right="227"/>
        <w:rPr>
          <w:b/>
        </w:rPr>
      </w:pPr>
    </w:p>
    <w:p w14:paraId="0AEC38AC" w14:textId="15347D0E" w:rsidR="00295095" w:rsidRPr="00807562" w:rsidRDefault="00295095" w:rsidP="00295095">
      <w:pPr>
        <w:tabs>
          <w:tab w:val="left" w:pos="9356"/>
        </w:tabs>
        <w:ind w:right="227"/>
        <w:rPr>
          <w:b/>
        </w:rPr>
      </w:pPr>
      <w:r w:rsidRPr="00807562">
        <w:rPr>
          <w:b/>
        </w:rPr>
        <w:t>Signature de M</w:t>
      </w:r>
      <w:r>
        <w:rPr>
          <w:b/>
        </w:rPr>
        <w:t>é</w:t>
      </w:r>
      <w:r w:rsidRPr="00807562">
        <w:rPr>
          <w:b/>
        </w:rPr>
        <w:t xml:space="preserve">morandum d’entente </w:t>
      </w:r>
    </w:p>
    <w:p w14:paraId="2346C6A6" w14:textId="77777777" w:rsidR="00295095" w:rsidRPr="00807562" w:rsidRDefault="00295095" w:rsidP="00295095">
      <w:pPr>
        <w:tabs>
          <w:tab w:val="left" w:pos="9356"/>
        </w:tabs>
        <w:ind w:right="227"/>
      </w:pPr>
    </w:p>
    <w:p w14:paraId="6D3F8F91" w14:textId="6265B135" w:rsidR="00295095" w:rsidRPr="00807562" w:rsidRDefault="00295095" w:rsidP="00295095">
      <w:pPr>
        <w:tabs>
          <w:tab w:val="left" w:pos="9356"/>
        </w:tabs>
        <w:ind w:right="225"/>
      </w:pPr>
      <w:r w:rsidRPr="00807562">
        <w:rPr>
          <w:rFonts w:cs="Arial"/>
        </w:rPr>
        <w:t xml:space="preserve">Le représentant de l’Éthiopie, M. </w:t>
      </w:r>
      <w:proofErr w:type="spellStart"/>
      <w:r w:rsidRPr="00807562">
        <w:rPr>
          <w:rFonts w:cs="Arial"/>
        </w:rPr>
        <w:t>Kumara</w:t>
      </w:r>
      <w:proofErr w:type="spellEnd"/>
      <w:r w:rsidRPr="00807562">
        <w:rPr>
          <w:rFonts w:cs="Arial"/>
        </w:rPr>
        <w:t xml:space="preserve"> </w:t>
      </w:r>
      <w:proofErr w:type="spellStart"/>
      <w:r w:rsidRPr="00807562">
        <w:rPr>
          <w:rFonts w:cs="Arial"/>
        </w:rPr>
        <w:t>Wakjira</w:t>
      </w:r>
      <w:proofErr w:type="spellEnd"/>
      <w:r w:rsidRPr="00807562">
        <w:rPr>
          <w:rFonts w:cs="Arial"/>
        </w:rPr>
        <w:t xml:space="preserve">, Directeur général de Ethiopian </w:t>
      </w:r>
      <w:proofErr w:type="spellStart"/>
      <w:r w:rsidRPr="00807562">
        <w:rPr>
          <w:rFonts w:cs="Arial"/>
        </w:rPr>
        <w:t>Wildlife</w:t>
      </w:r>
      <w:proofErr w:type="spellEnd"/>
      <w:r w:rsidRPr="00807562">
        <w:rPr>
          <w:rFonts w:cs="Arial"/>
        </w:rPr>
        <w:t xml:space="preserve"> Conservation </w:t>
      </w:r>
      <w:proofErr w:type="spellStart"/>
      <w:r w:rsidRPr="00807562">
        <w:rPr>
          <w:rFonts w:cs="Arial"/>
        </w:rPr>
        <w:t>Authority</w:t>
      </w:r>
      <w:proofErr w:type="spellEnd"/>
      <w:r w:rsidRPr="00807562">
        <w:rPr>
          <w:rFonts w:cs="Arial"/>
        </w:rPr>
        <w:t>, signe le Mémorandum d’entente sur la Conservation des Oiseaux de proie Migrateurs d’Afrique et d</w:t>
      </w:r>
      <w:r>
        <w:rPr>
          <w:rFonts w:cs="Arial"/>
        </w:rPr>
        <w:t>’</w:t>
      </w:r>
      <w:bookmarkStart w:id="1" w:name="_GoBack"/>
      <w:bookmarkEnd w:id="1"/>
      <w:r w:rsidRPr="00807562">
        <w:rPr>
          <w:rFonts w:cs="Arial"/>
        </w:rPr>
        <w:t>Eurasie (</w:t>
      </w:r>
      <w:proofErr w:type="spellStart"/>
      <w:r w:rsidRPr="00807562">
        <w:rPr>
          <w:rFonts w:cs="Arial"/>
        </w:rPr>
        <w:t>MdE</w:t>
      </w:r>
      <w:proofErr w:type="spellEnd"/>
      <w:r w:rsidRPr="00807562">
        <w:rPr>
          <w:rFonts w:cs="Arial"/>
        </w:rPr>
        <w:t xml:space="preserve"> Rapaces de la CMS), ce qui porte le nombre de signataires à 61</w:t>
      </w:r>
      <w:r w:rsidRPr="00807562">
        <w:t>.</w:t>
      </w:r>
    </w:p>
    <w:p w14:paraId="3A738F88" w14:textId="77777777" w:rsidR="00295095" w:rsidRPr="00807562" w:rsidRDefault="00295095" w:rsidP="00295095">
      <w:pPr>
        <w:tabs>
          <w:tab w:val="left" w:pos="9356"/>
        </w:tabs>
        <w:ind w:right="227"/>
      </w:pPr>
    </w:p>
    <w:p w14:paraId="7E5636EF" w14:textId="77777777" w:rsidR="00295095" w:rsidRDefault="00295095" w:rsidP="00295095">
      <w:pPr>
        <w:widowControl w:val="0"/>
        <w:tabs>
          <w:tab w:val="left" w:pos="692"/>
          <w:tab w:val="left" w:pos="9356"/>
        </w:tabs>
        <w:ind w:right="227"/>
        <w:rPr>
          <w:rFonts w:cs="Arial"/>
        </w:rPr>
      </w:pPr>
      <w:r w:rsidRPr="00807562">
        <w:rPr>
          <w:rFonts w:cs="Arial"/>
          <w:color w:val="000000"/>
        </w:rPr>
        <w:t xml:space="preserve">Le représentant de Divers for </w:t>
      </w:r>
      <w:proofErr w:type="spellStart"/>
      <w:r w:rsidRPr="00807562">
        <w:rPr>
          <w:rFonts w:cs="Arial"/>
          <w:color w:val="000000"/>
        </w:rPr>
        <w:t>Sharks</w:t>
      </w:r>
      <w:proofErr w:type="spellEnd"/>
      <w:r w:rsidRPr="00807562">
        <w:rPr>
          <w:rFonts w:cs="Arial"/>
          <w:color w:val="000000"/>
        </w:rPr>
        <w:t xml:space="preserve">, Paulo Guilherme, et la représentante de Save Our </w:t>
      </w:r>
      <w:proofErr w:type="spellStart"/>
      <w:r w:rsidRPr="00807562">
        <w:rPr>
          <w:rFonts w:cs="Arial"/>
          <w:color w:val="000000"/>
        </w:rPr>
        <w:t>Seas</w:t>
      </w:r>
      <w:proofErr w:type="spellEnd"/>
      <w:r w:rsidRPr="00807562">
        <w:rPr>
          <w:rFonts w:cs="Arial"/>
          <w:color w:val="000000"/>
        </w:rPr>
        <w:t xml:space="preserve"> </w:t>
      </w:r>
      <w:proofErr w:type="spellStart"/>
      <w:r w:rsidRPr="00807562">
        <w:rPr>
          <w:rFonts w:cs="Arial"/>
          <w:color w:val="000000"/>
        </w:rPr>
        <w:t>Foundation</w:t>
      </w:r>
      <w:proofErr w:type="spellEnd"/>
      <w:r w:rsidRPr="00807562">
        <w:rPr>
          <w:rFonts w:cs="Arial"/>
          <w:color w:val="000000"/>
        </w:rPr>
        <w:t>, Sarah Fowler, signent le Mémorandum d’entente sur la conservation des requins migrateurs (</w:t>
      </w:r>
      <w:proofErr w:type="spellStart"/>
      <w:r w:rsidRPr="00807562">
        <w:rPr>
          <w:rFonts w:cs="Arial"/>
          <w:color w:val="000000"/>
        </w:rPr>
        <w:t>MdE</w:t>
      </w:r>
      <w:proofErr w:type="spellEnd"/>
      <w:r w:rsidRPr="00807562">
        <w:rPr>
          <w:rFonts w:cs="Arial"/>
          <w:color w:val="000000"/>
        </w:rPr>
        <w:t xml:space="preserve"> Requins de la CMS) portant le nombre de partenaires coopérants à 15</w:t>
      </w:r>
      <w:r w:rsidRPr="00807562">
        <w:rPr>
          <w:rFonts w:cs="Arial"/>
        </w:rPr>
        <w:t>.</w:t>
      </w:r>
    </w:p>
    <w:p w14:paraId="450D717A" w14:textId="0108A9FD" w:rsidR="006C5298" w:rsidRPr="006C5298" w:rsidRDefault="006C5298" w:rsidP="006C5298">
      <w:pPr>
        <w:tabs>
          <w:tab w:val="left" w:pos="975"/>
        </w:tabs>
        <w:rPr>
          <w:rFonts w:cs="Arial"/>
        </w:rPr>
      </w:pPr>
    </w:p>
    <w:sectPr w:rsidR="006C5298" w:rsidRPr="006C5298" w:rsidSect="006C5298">
      <w:headerReference w:type="even" r:id="rId7"/>
      <w:headerReference w:type="default" r:id="rId8"/>
      <w:footerReference w:type="even" r:id="rId9"/>
      <w:headerReference w:type="first" r:id="rId10"/>
      <w:pgSz w:w="11906" w:h="16838"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1DC9" w14:textId="77777777" w:rsidR="00063328" w:rsidRDefault="00063328" w:rsidP="00063328">
      <w:r>
        <w:separator/>
      </w:r>
    </w:p>
  </w:endnote>
  <w:endnote w:type="continuationSeparator" w:id="0">
    <w:p w14:paraId="61CDD017" w14:textId="77777777" w:rsidR="00063328" w:rsidRDefault="00063328" w:rsidP="0006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87780800"/>
      <w:docPartObj>
        <w:docPartGallery w:val="Page Numbers (Bottom of Page)"/>
        <w:docPartUnique/>
      </w:docPartObj>
    </w:sdtPr>
    <w:sdtEndPr>
      <w:rPr>
        <w:noProof/>
      </w:rPr>
    </w:sdtEndPr>
    <w:sdtContent>
      <w:p w14:paraId="11B9F612" w14:textId="772FBB55" w:rsidR="006C5298" w:rsidRPr="006C5298" w:rsidRDefault="006C5298" w:rsidP="006C5298">
        <w:pPr>
          <w:pStyle w:val="Footer"/>
          <w:jc w:val="center"/>
          <w:rPr>
            <w:rFonts w:ascii="Arial" w:hAnsi="Arial" w:cs="Arial"/>
            <w:sz w:val="18"/>
            <w:szCs w:val="18"/>
          </w:rPr>
        </w:pPr>
        <w:r w:rsidRPr="006C5298">
          <w:rPr>
            <w:rFonts w:ascii="Arial" w:hAnsi="Arial" w:cs="Arial"/>
            <w:sz w:val="18"/>
            <w:szCs w:val="18"/>
          </w:rPr>
          <w:fldChar w:fldCharType="begin"/>
        </w:r>
        <w:r w:rsidRPr="006C5298">
          <w:rPr>
            <w:rFonts w:ascii="Arial" w:hAnsi="Arial" w:cs="Arial"/>
            <w:sz w:val="18"/>
            <w:szCs w:val="18"/>
          </w:rPr>
          <w:instrText xml:space="preserve"> PAGE   \* MERGEFORMAT </w:instrText>
        </w:r>
        <w:r w:rsidRPr="006C5298">
          <w:rPr>
            <w:rFonts w:ascii="Arial" w:hAnsi="Arial" w:cs="Arial"/>
            <w:sz w:val="18"/>
            <w:szCs w:val="18"/>
          </w:rPr>
          <w:fldChar w:fldCharType="separate"/>
        </w:r>
        <w:r w:rsidRPr="006C5298">
          <w:rPr>
            <w:rFonts w:ascii="Arial" w:hAnsi="Arial" w:cs="Arial"/>
            <w:noProof/>
            <w:sz w:val="18"/>
            <w:szCs w:val="18"/>
          </w:rPr>
          <w:t>2</w:t>
        </w:r>
        <w:r w:rsidRPr="006C529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CA19" w14:textId="77777777" w:rsidR="00063328" w:rsidRDefault="00063328" w:rsidP="00063328">
      <w:r>
        <w:separator/>
      </w:r>
    </w:p>
  </w:footnote>
  <w:footnote w:type="continuationSeparator" w:id="0">
    <w:p w14:paraId="7BFB98AE" w14:textId="77777777" w:rsidR="00063328" w:rsidRDefault="00063328" w:rsidP="0006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6113" w14:textId="6C5A497D" w:rsidR="006C5298" w:rsidRPr="006C5298" w:rsidRDefault="006C5298" w:rsidP="006C5298">
    <w:pPr>
      <w:pStyle w:val="Header"/>
      <w:pBdr>
        <w:bottom w:val="single" w:sz="4" w:space="1" w:color="auto"/>
      </w:pBdr>
      <w:rPr>
        <w:rFonts w:ascii="Arial" w:hAnsi="Arial" w:cs="Arial"/>
        <w:i/>
        <w:iCs/>
        <w:sz w:val="18"/>
        <w:szCs w:val="18"/>
      </w:rPr>
    </w:pPr>
    <w:r w:rsidRPr="006C5298">
      <w:rPr>
        <w:rFonts w:ascii="Arial" w:hAnsi="Arial" w:cs="Arial"/>
        <w:i/>
        <w:iCs/>
        <w:sz w:val="18"/>
        <w:szCs w:val="18"/>
      </w:rPr>
      <w:t>UNEP/CMS/COP13/Rapport/Annexe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282E" w14:textId="77777777" w:rsidR="00063328" w:rsidRPr="00807562" w:rsidRDefault="00063328" w:rsidP="00063328">
    <w:pPr>
      <w:widowControl w:val="0"/>
      <w:tabs>
        <w:tab w:val="center" w:pos="4153"/>
        <w:tab w:val="right" w:pos="8306"/>
      </w:tabs>
      <w:suppressAutoHyphens/>
      <w:autoSpaceDE w:val="0"/>
      <w:autoSpaceDN w:val="0"/>
      <w:ind w:right="-547"/>
      <w:jc w:val="right"/>
      <w:textAlignment w:val="baseline"/>
      <w:rPr>
        <w:rFonts w:eastAsia="Times New Roman" w:cs="Times New Roman"/>
        <w:sz w:val="18"/>
      </w:rPr>
    </w:pPr>
    <w:r w:rsidRPr="00807562">
      <w:rPr>
        <w:rFonts w:eastAsia="Times New Roman" w:cs="Times New Roman"/>
        <w:noProof/>
        <w:sz w:val="18"/>
      </w:rPr>
      <w:drawing>
        <wp:anchor distT="0" distB="0" distL="114300" distR="114300" simplePos="0" relativeHeight="251659264" behindDoc="0" locked="0" layoutInCell="1" allowOverlap="1" wp14:anchorId="32344113" wp14:editId="19B1409C">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807562">
      <w:rPr>
        <w:rFonts w:eastAsia="Times New Roman" w:cs="Times New Roman"/>
        <w:noProof/>
        <w:sz w:val="4"/>
      </w:rPr>
      <w:drawing>
        <wp:anchor distT="0" distB="0" distL="114300" distR="114300" simplePos="0" relativeHeight="251661312" behindDoc="0" locked="0" layoutInCell="1" allowOverlap="1" wp14:anchorId="400857D2" wp14:editId="1B1DE12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807562">
      <w:rPr>
        <w:rFonts w:eastAsia="Times New Roman" w:cs="Times New Roman"/>
        <w:noProof/>
        <w:sz w:val="18"/>
      </w:rPr>
      <w:drawing>
        <wp:anchor distT="0" distB="0" distL="114300" distR="114300" simplePos="0" relativeHeight="251660288" behindDoc="0" locked="0" layoutInCell="1" allowOverlap="1" wp14:anchorId="6452F15A" wp14:editId="5D01EA47">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16"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0E833984" w14:textId="77777777" w:rsidR="00063328" w:rsidRDefault="00063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6EC7" w14:textId="77777777" w:rsidR="006C5298" w:rsidRPr="00807562" w:rsidRDefault="006C5298" w:rsidP="006C5298">
    <w:pPr>
      <w:widowControl w:val="0"/>
      <w:tabs>
        <w:tab w:val="center" w:pos="4153"/>
        <w:tab w:val="right" w:pos="8306"/>
      </w:tabs>
      <w:suppressAutoHyphens/>
      <w:autoSpaceDE w:val="0"/>
      <w:autoSpaceDN w:val="0"/>
      <w:ind w:right="-547"/>
      <w:jc w:val="right"/>
      <w:textAlignment w:val="baseline"/>
      <w:rPr>
        <w:rFonts w:eastAsia="Times New Roman" w:cs="Times New Roman"/>
        <w:sz w:val="18"/>
      </w:rPr>
    </w:pPr>
    <w:r w:rsidRPr="00807562">
      <w:rPr>
        <w:rFonts w:eastAsia="Times New Roman" w:cs="Times New Roman"/>
        <w:noProof/>
        <w:sz w:val="18"/>
      </w:rPr>
      <w:drawing>
        <wp:anchor distT="0" distB="0" distL="114300" distR="114300" simplePos="0" relativeHeight="251663360" behindDoc="0" locked="0" layoutInCell="1" allowOverlap="1" wp14:anchorId="54A8CE0A" wp14:editId="6AF53850">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807562">
      <w:rPr>
        <w:rFonts w:eastAsia="Times New Roman" w:cs="Times New Roman"/>
        <w:noProof/>
        <w:sz w:val="4"/>
      </w:rPr>
      <w:drawing>
        <wp:anchor distT="0" distB="0" distL="114300" distR="114300" simplePos="0" relativeHeight="251665408" behindDoc="0" locked="0" layoutInCell="1" allowOverlap="1" wp14:anchorId="5C7E375E" wp14:editId="711EF6F9">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807562">
      <w:rPr>
        <w:rFonts w:eastAsia="Times New Roman" w:cs="Times New Roman"/>
        <w:noProof/>
        <w:sz w:val="18"/>
      </w:rPr>
      <w:drawing>
        <wp:anchor distT="0" distB="0" distL="114300" distR="114300" simplePos="0" relativeHeight="251664384" behindDoc="0" locked="0" layoutInCell="1" allowOverlap="1" wp14:anchorId="4BF5A8E4" wp14:editId="2A5D052D">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3C886C9C" w14:textId="77777777" w:rsidR="006C5298" w:rsidRDefault="006C5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28"/>
    <w:rsid w:val="00017598"/>
    <w:rsid w:val="00036CBA"/>
    <w:rsid w:val="00063328"/>
    <w:rsid w:val="00295095"/>
    <w:rsid w:val="006C5298"/>
    <w:rsid w:val="00DC366B"/>
    <w:rsid w:val="00EC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9299"/>
  <w15:chartTrackingRefBased/>
  <w15:docId w15:val="{EE4C895D-099A-4B5A-8488-443E7B37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328"/>
    <w:pPr>
      <w:ind w:right="96"/>
      <w:jc w:val="both"/>
    </w:pPr>
    <w:rPr>
      <w:rFonts w:ascii="Arial" w:hAnsi="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28"/>
    <w:pPr>
      <w:tabs>
        <w:tab w:val="center" w:pos="4513"/>
        <w:tab w:val="right" w:pos="9026"/>
      </w:tabs>
      <w:ind w:right="0"/>
      <w:jc w:val="left"/>
    </w:pPr>
    <w:rPr>
      <w:rFonts w:asciiTheme="minorHAnsi" w:hAnsiTheme="minorHAnsi"/>
      <w:lang w:val="en-GB"/>
    </w:rPr>
  </w:style>
  <w:style w:type="character" w:customStyle="1" w:styleId="HeaderChar">
    <w:name w:val="Header Char"/>
    <w:basedOn w:val="DefaultParagraphFont"/>
    <w:link w:val="Header"/>
    <w:uiPriority w:val="99"/>
    <w:rsid w:val="00063328"/>
  </w:style>
  <w:style w:type="paragraph" w:styleId="Footer">
    <w:name w:val="footer"/>
    <w:basedOn w:val="Normal"/>
    <w:link w:val="FooterChar"/>
    <w:uiPriority w:val="99"/>
    <w:unhideWhenUsed/>
    <w:rsid w:val="00063328"/>
    <w:pPr>
      <w:tabs>
        <w:tab w:val="center" w:pos="4513"/>
        <w:tab w:val="right" w:pos="9026"/>
      </w:tabs>
      <w:ind w:right="0"/>
      <w:jc w:val="left"/>
    </w:pPr>
    <w:rPr>
      <w:rFonts w:asciiTheme="minorHAnsi" w:hAnsiTheme="minorHAnsi"/>
      <w:lang w:val="en-GB"/>
    </w:rPr>
  </w:style>
  <w:style w:type="character" w:customStyle="1" w:styleId="FooterChar">
    <w:name w:val="Footer Char"/>
    <w:basedOn w:val="DefaultParagraphFont"/>
    <w:link w:val="Footer"/>
    <w:uiPriority w:val="99"/>
    <w:rsid w:val="0006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2020-05-26T10:01:00Z</dcterms:created>
  <dcterms:modified xsi:type="dcterms:W3CDTF">2020-05-26T10:01:00Z</dcterms:modified>
</cp:coreProperties>
</file>