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434999"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B4DC0"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Calibri" w:cs="Arial"/>
                <w:lang w:val="fr-FR"/>
              </w:rPr>
            </w:pPr>
            <w:r w:rsidRPr="00EC2A58">
              <w:rPr>
                <w:rFonts w:eastAsia="Arial" w:cs="Arial"/>
                <w:lang w:val="fr-FR"/>
              </w:rPr>
              <w:t>UNEP/CMS/COP13/Doc.</w:t>
            </w:r>
            <w:r w:rsidR="00434999">
              <w:rPr>
                <w:rFonts w:eastAsia="Arial" w:cs="Arial"/>
                <w:lang w:val="fr-FR"/>
              </w:rPr>
              <w:t>26.4.3</w:t>
            </w:r>
          </w:p>
          <w:p w:rsidR="00EC2A58" w:rsidRPr="00AB4DC0" w:rsidRDefault="00AB4DC0"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Calibri" w:cs="Arial"/>
                <w:lang w:val="fr-FR"/>
              </w:rPr>
            </w:pPr>
            <w:r w:rsidRPr="00AB4DC0">
              <w:rPr>
                <w:rFonts w:eastAsia="Calibri" w:cs="Arial"/>
                <w:lang w:val="fr-FR"/>
              </w:rPr>
              <w:t>2</w:t>
            </w:r>
            <w:r>
              <w:rPr>
                <w:rFonts w:eastAsia="Calibri" w:cs="Arial"/>
                <w:lang w:val="fr-FR"/>
              </w:rPr>
              <w:t xml:space="preserve">7 </w:t>
            </w:r>
            <w:r w:rsidR="00444038">
              <w:rPr>
                <w:rFonts w:eastAsia="Calibri" w:cs="Arial"/>
                <w:lang w:val="fr-FR"/>
              </w:rPr>
              <w:t>s</w:t>
            </w:r>
            <w:bookmarkStart w:id="0" w:name="_GoBack"/>
            <w:bookmarkEnd w:id="0"/>
            <w:r>
              <w:rPr>
                <w:rFonts w:eastAsia="Calibri" w:cs="Arial"/>
                <w:lang w:val="fr-FR"/>
              </w:rPr>
              <w:t>eptembre 2019</w:t>
            </w:r>
          </w:p>
          <w:p w:rsidR="00EC2A58" w:rsidRPr="00434999"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rsidR="00EC2A58" w:rsidRPr="00434999"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AB4DC0">
        <w:rPr>
          <w:rFonts w:eastAsia="Arial" w:cs="Arial"/>
          <w:iCs/>
          <w:lang w:val="fr-FR"/>
        </w:rPr>
        <w:t>26.4</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AB4DC0" w:rsidRDefault="00AB4DC0" w:rsidP="00AB4DC0">
      <w:pPr>
        <w:widowControl w:val="0"/>
        <w:suppressAutoHyphens/>
        <w:autoSpaceDE w:val="0"/>
        <w:autoSpaceDN w:val="0"/>
        <w:spacing w:after="120" w:line="240" w:lineRule="auto"/>
        <w:jc w:val="center"/>
        <w:textAlignment w:val="baseline"/>
        <w:rPr>
          <w:rFonts w:eastAsia="Arial" w:cs="Arial"/>
          <w:i/>
          <w:iCs/>
          <w:lang w:val="fr-FR"/>
        </w:rPr>
      </w:pPr>
      <w:r w:rsidRPr="00AB4DC0">
        <w:rPr>
          <w:rFonts w:eastAsia="Times New Roman" w:cs="Arial"/>
          <w:b/>
          <w:caps/>
          <w:lang w:val="fr-FR"/>
        </w:rPr>
        <w:t>G</w:t>
      </w:r>
      <w:r>
        <w:rPr>
          <w:rFonts w:eastAsia="Times New Roman" w:cs="Arial"/>
          <w:b/>
          <w:caps/>
          <w:lang w:val="fr-FR"/>
        </w:rPr>
        <w:t>É</w:t>
      </w:r>
      <w:r w:rsidRPr="00AB4DC0">
        <w:rPr>
          <w:rFonts w:eastAsia="Times New Roman" w:cs="Arial"/>
          <w:b/>
          <w:caps/>
          <w:lang w:val="fr-FR"/>
        </w:rPr>
        <w:t>rer l'utilisation non durable de la viande d’animaux sauvages terrestres et aviaires des esp</w:t>
      </w:r>
      <w:r>
        <w:rPr>
          <w:rFonts w:eastAsia="Times New Roman" w:cs="Arial"/>
          <w:b/>
          <w:caps/>
          <w:lang w:val="fr-FR"/>
        </w:rPr>
        <w:t>È</w:t>
      </w:r>
      <w:r w:rsidRPr="00AB4DC0">
        <w:rPr>
          <w:rFonts w:eastAsia="Times New Roman" w:cs="Arial"/>
          <w:b/>
          <w:caps/>
          <w:lang w:val="fr-FR"/>
        </w:rPr>
        <w:t>ces migratrices d'animaux sauvages</w:t>
      </w:r>
    </w:p>
    <w:p w:rsidR="00EC2A58" w:rsidRPr="00EC2A58" w:rsidRDefault="00EC2A58" w:rsidP="00AB4DC0">
      <w:pPr>
        <w:widowControl w:val="0"/>
        <w:suppressAutoHyphens/>
        <w:autoSpaceDE w:val="0"/>
        <w:autoSpaceDN w:val="0"/>
        <w:spacing w:after="120" w:line="240" w:lineRule="auto"/>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145415</wp:posOffset>
                </wp:positionV>
                <wp:extent cx="4304666" cy="170497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1704975"/>
                        </a:xfrm>
                        <a:prstGeom prst="rect">
                          <a:avLst/>
                        </a:prstGeom>
                        <a:solidFill>
                          <a:srgbClr val="FFFFFF"/>
                        </a:solidFill>
                        <a:ln w="3172">
                          <a:solidFill>
                            <a:srgbClr val="000000"/>
                          </a:solidFill>
                          <a:prstDash val="solid"/>
                        </a:ln>
                      </wps:spPr>
                      <wps:txbx>
                        <w:txbxContent>
                          <w:p w:rsidR="00EC2A58" w:rsidRPr="00B24B1C" w:rsidRDefault="00EC2A58" w:rsidP="00AB4DC0">
                            <w:pPr>
                              <w:spacing w:after="0" w:line="240" w:lineRule="auto"/>
                              <w:rPr>
                                <w:lang w:val="fr-FR"/>
                              </w:rPr>
                            </w:pPr>
                            <w:proofErr w:type="gramStart"/>
                            <w:r>
                              <w:rPr>
                                <w:rFonts w:eastAsia="Arial" w:cs="Arial"/>
                                <w:lang w:val="fr-FR"/>
                              </w:rPr>
                              <w:t>Résumé:</w:t>
                            </w:r>
                            <w:proofErr w:type="gramEnd"/>
                          </w:p>
                          <w:p w:rsidR="00EC2A58" w:rsidRDefault="00EC2A58" w:rsidP="00AB4DC0">
                            <w:pPr>
                              <w:spacing w:after="0" w:line="240" w:lineRule="auto"/>
                              <w:rPr>
                                <w:rFonts w:cs="Arial"/>
                                <w:lang w:val="fr-FR"/>
                              </w:rPr>
                            </w:pPr>
                          </w:p>
                          <w:p w:rsidR="00AB4DC0" w:rsidRPr="00AB4DC0" w:rsidRDefault="00AB4DC0" w:rsidP="00AB4DC0">
                            <w:pPr>
                              <w:spacing w:after="0" w:line="240" w:lineRule="auto"/>
                              <w:jc w:val="both"/>
                              <w:rPr>
                                <w:rFonts w:cs="Arial"/>
                                <w:lang w:val="fr-FR"/>
                              </w:rPr>
                            </w:pPr>
                            <w:r w:rsidRPr="00AB4DC0">
                              <w:rPr>
                                <w:rFonts w:cs="Arial"/>
                                <w:lang w:val="fr-FR"/>
                              </w:rPr>
                              <w:t xml:space="preserve">Le présent document rend compte de l'état d'avancement de la mise en œuvre des décisions12.83-12.88 </w:t>
                            </w:r>
                            <w:r w:rsidRPr="00AB4DC0">
                              <w:rPr>
                                <w:rFonts w:cs="Arial"/>
                                <w:i/>
                                <w:lang w:val="fr-FR"/>
                              </w:rPr>
                              <w:t>concernant l'utilisation non durable de la viande sauvage terrestre et aviaire d'espèces migratrices appartenant à la faune sauvage</w:t>
                            </w:r>
                            <w:r w:rsidRPr="00AB4DC0">
                              <w:rPr>
                                <w:rFonts w:cs="Arial"/>
                                <w:lang w:val="fr-FR"/>
                              </w:rPr>
                              <w:t xml:space="preserve"> et propose le renouvellement de ces décisions avec certaines modifications.</w:t>
                            </w:r>
                            <w:r w:rsidRPr="00AB4DC0">
                              <w:rPr>
                                <w:lang w:val="fr-FR"/>
                              </w:rPr>
                              <w:t xml:space="preserve"> </w:t>
                            </w:r>
                          </w:p>
                          <w:p w:rsidR="00AB4DC0" w:rsidRDefault="00AB4DC0" w:rsidP="00AB4DC0">
                            <w:pPr>
                              <w:spacing w:after="0" w:line="240" w:lineRule="auto"/>
                              <w:jc w:val="both"/>
                              <w:rPr>
                                <w:rFonts w:cs="Arial"/>
                                <w:lang w:val="fr-FR"/>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45pt;width:338.95pt;height:13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" strokeweight=".08811mm">
                <v:textbox>
                  <w:txbxContent>
                    <w:p w:rsidR="00EC2A58" w:rsidRPr="00B24B1C" w:rsidRDefault="00EC2A58" w:rsidP="00AB4DC0">
                      <w:pPr>
                        <w:spacing w:after="0" w:line="240" w:lineRule="auto"/>
                        <w:rPr>
                          <w:lang w:val="fr-FR"/>
                        </w:rPr>
                      </w:pPr>
                      <w:proofErr w:type="gramStart"/>
                      <w:r>
                        <w:rPr>
                          <w:rFonts w:eastAsia="Arial" w:cs="Arial"/>
                          <w:lang w:val="fr-FR"/>
                        </w:rPr>
                        <w:t>Résumé:</w:t>
                      </w:r>
                      <w:proofErr w:type="gramEnd"/>
                    </w:p>
                    <w:p w:rsidR="00EC2A58" w:rsidRDefault="00EC2A58" w:rsidP="00AB4DC0">
                      <w:pPr>
                        <w:spacing w:after="0" w:line="240" w:lineRule="auto"/>
                        <w:rPr>
                          <w:rFonts w:cs="Arial"/>
                          <w:lang w:val="fr-FR"/>
                        </w:rPr>
                      </w:pPr>
                    </w:p>
                    <w:p w:rsidR="00AB4DC0" w:rsidRPr="00AB4DC0" w:rsidRDefault="00AB4DC0" w:rsidP="00AB4DC0">
                      <w:pPr>
                        <w:spacing w:after="0" w:line="240" w:lineRule="auto"/>
                        <w:jc w:val="both"/>
                        <w:rPr>
                          <w:rFonts w:cs="Arial"/>
                          <w:lang w:val="fr-FR"/>
                        </w:rPr>
                      </w:pPr>
                      <w:r w:rsidRPr="00AB4DC0">
                        <w:rPr>
                          <w:rFonts w:cs="Arial"/>
                          <w:lang w:val="fr-FR"/>
                        </w:rPr>
                        <w:t xml:space="preserve">Le présent document rend compte de l'état d'avancement de la mise en œuvre des décisions12.83-12.88 </w:t>
                      </w:r>
                      <w:r w:rsidRPr="00AB4DC0">
                        <w:rPr>
                          <w:rFonts w:cs="Arial"/>
                          <w:i/>
                          <w:lang w:val="fr-FR"/>
                        </w:rPr>
                        <w:t>concernant l'utilisation non durable de la viande sauvage terrestre et aviaire d'espèces migratrices appartenant à la faune sauvage</w:t>
                      </w:r>
                      <w:r w:rsidRPr="00AB4DC0">
                        <w:rPr>
                          <w:rFonts w:cs="Arial"/>
                          <w:lang w:val="fr-FR"/>
                        </w:rPr>
                        <w:t xml:space="preserve"> et propose le renouvellement de ces décisions avec certaines modifications.</w:t>
                      </w:r>
                      <w:r w:rsidRPr="00AB4DC0">
                        <w:rPr>
                          <w:lang w:val="fr-FR"/>
                        </w:rPr>
                        <w:t xml:space="preserve"> </w:t>
                      </w:r>
                    </w:p>
                    <w:p w:rsidR="00AB4DC0" w:rsidRDefault="00AB4DC0" w:rsidP="00AB4DC0">
                      <w:pPr>
                        <w:spacing w:after="0" w:line="240" w:lineRule="auto"/>
                        <w:jc w:val="both"/>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4D2819" w:rsidRDefault="004D2819" w:rsidP="00D71837">
      <w:pPr>
        <w:pStyle w:val="Title1"/>
      </w:pPr>
    </w:p>
    <w:p w:rsidR="00896FBB" w:rsidRDefault="00AB4DC0" w:rsidP="00AB4DC0">
      <w:pPr>
        <w:widowControl w:val="0"/>
        <w:suppressAutoHyphens/>
        <w:autoSpaceDE w:val="0"/>
        <w:autoSpaceDN w:val="0"/>
        <w:spacing w:after="0" w:line="240" w:lineRule="auto"/>
        <w:jc w:val="center"/>
        <w:textAlignment w:val="baseline"/>
        <w:rPr>
          <w:rFonts w:eastAsia="Times New Roman" w:cs="Arial"/>
          <w:b/>
          <w:caps/>
          <w:lang w:val="fr-FR"/>
        </w:rPr>
      </w:pPr>
      <w:r w:rsidRPr="00AB4DC0">
        <w:rPr>
          <w:rFonts w:eastAsia="Times New Roman" w:cs="Arial"/>
          <w:b/>
          <w:caps/>
          <w:lang w:val="fr-FR"/>
        </w:rPr>
        <w:t>G</w:t>
      </w:r>
      <w:r>
        <w:rPr>
          <w:rFonts w:eastAsia="Times New Roman" w:cs="Arial"/>
          <w:b/>
          <w:caps/>
          <w:lang w:val="fr-FR"/>
        </w:rPr>
        <w:t>É</w:t>
      </w:r>
      <w:r w:rsidRPr="00AB4DC0">
        <w:rPr>
          <w:rFonts w:eastAsia="Times New Roman" w:cs="Arial"/>
          <w:b/>
          <w:caps/>
          <w:lang w:val="fr-FR"/>
        </w:rPr>
        <w:t>rer l'utilisation non durable de la viande d’animaux sauvages terrestres et aviaires des esp</w:t>
      </w:r>
      <w:r>
        <w:rPr>
          <w:rFonts w:eastAsia="Times New Roman" w:cs="Arial"/>
          <w:b/>
          <w:caps/>
          <w:lang w:val="fr-FR"/>
        </w:rPr>
        <w:t>È</w:t>
      </w:r>
      <w:r w:rsidRPr="00AB4DC0">
        <w:rPr>
          <w:rFonts w:eastAsia="Times New Roman" w:cs="Arial"/>
          <w:b/>
          <w:caps/>
          <w:lang w:val="fr-FR"/>
        </w:rPr>
        <w:t>ces migratrices d'animaux sauvages</w:t>
      </w:r>
    </w:p>
    <w:p w:rsidR="00AB4DC0" w:rsidRDefault="00AB4DC0" w:rsidP="00D71837">
      <w:pPr>
        <w:widowControl w:val="0"/>
        <w:suppressAutoHyphens/>
        <w:autoSpaceDE w:val="0"/>
        <w:autoSpaceDN w:val="0"/>
        <w:spacing w:after="0" w:line="240" w:lineRule="auto"/>
        <w:jc w:val="both"/>
        <w:textAlignment w:val="baseline"/>
        <w:rPr>
          <w:rFonts w:eastAsia="Times New Roman" w:cs="Times New Roman"/>
          <w:b/>
          <w:shd w:val="clear" w:color="auto" w:fill="FFFF00"/>
          <w:lang w:val="fr-FR"/>
        </w:rPr>
      </w:pPr>
    </w:p>
    <w:p w:rsidR="00AB4DC0" w:rsidRPr="00896FBB" w:rsidRDefault="00AB4DC0" w:rsidP="00D71837">
      <w:pPr>
        <w:widowControl w:val="0"/>
        <w:suppressAutoHyphens/>
        <w:autoSpaceDE w:val="0"/>
        <w:autoSpaceDN w:val="0"/>
        <w:spacing w:after="0" w:line="240" w:lineRule="auto"/>
        <w:jc w:val="both"/>
        <w:textAlignment w:val="baseline"/>
        <w:rPr>
          <w:rFonts w:eastAsia="Times New Roman" w:cs="Times New Roman"/>
          <w:b/>
          <w:shd w:val="clear" w:color="auto" w:fill="FFFF00"/>
          <w:lang w:val="fr-FR"/>
        </w:rPr>
      </w:pPr>
    </w:p>
    <w:p w:rsidR="00896FBB" w:rsidRPr="00896FBB" w:rsidRDefault="00896FBB" w:rsidP="00D71837">
      <w:pPr>
        <w:widowControl w:val="0"/>
        <w:suppressAutoHyphens/>
        <w:autoSpaceDE w:val="0"/>
        <w:autoSpaceDN w:val="0"/>
        <w:spacing w:after="0" w:line="240" w:lineRule="auto"/>
        <w:jc w:val="both"/>
        <w:textAlignment w:val="baseline"/>
        <w:rPr>
          <w:rFonts w:ascii="Calibri" w:eastAsia="Calibri" w:hAnsi="Calibri" w:cs="Times New Roman"/>
        </w:rPr>
      </w:pPr>
      <w:r w:rsidRPr="00896FBB">
        <w:rPr>
          <w:rFonts w:eastAsia="Arial" w:cs="Arial"/>
          <w:u w:val="single"/>
          <w:lang w:val="fr-FR"/>
        </w:rPr>
        <w:t>Contexte</w:t>
      </w:r>
    </w:p>
    <w:p w:rsidR="00AB4DC0" w:rsidRDefault="00AB4DC0" w:rsidP="00AB4DC0">
      <w:pPr>
        <w:spacing w:after="0" w:line="240" w:lineRule="auto"/>
        <w:jc w:val="both"/>
      </w:pPr>
    </w:p>
    <w:p w:rsidR="00AB4DC0" w:rsidRPr="00AB4DC0" w:rsidRDefault="00AB4DC0" w:rsidP="00AB4DC0">
      <w:pPr>
        <w:pStyle w:val="Firstnumbering"/>
        <w:rPr>
          <w:b/>
        </w:rPr>
      </w:pPr>
      <w:r w:rsidRPr="00AB4DC0">
        <w:t xml:space="preserve"> La 12e réunion de la Conférence des Parties à la CMS (COP12, Manille, 2017) a adopté les décisions 12.83 à 12.88 sur l'utilisation non durable de la viande sauvage terrestre et aviaire d'espèces migratrices d'animaux sauvages sur la base du document </w:t>
      </w:r>
      <w:hyperlink r:id="rId8" w:history="1">
        <w:r w:rsidR="003A268E" w:rsidRPr="008A6924">
          <w:rPr>
            <w:rStyle w:val="Hyperlink"/>
            <w:bCs/>
          </w:rPr>
          <w:t>UNEP/CMS/COP12/Doc.24.4.7/Rev.1</w:t>
        </w:r>
      </w:hyperlink>
      <w:r w:rsidRPr="00AB4DC0">
        <w:t xml:space="preserve"> :</w:t>
      </w:r>
    </w:p>
    <w:p w:rsidR="00AB4DC0" w:rsidRPr="00AB4DC0" w:rsidRDefault="00AB4DC0" w:rsidP="00AB4DC0">
      <w:pPr>
        <w:spacing w:after="0" w:line="240" w:lineRule="auto"/>
        <w:ind w:left="540"/>
        <w:jc w:val="both"/>
        <w:rPr>
          <w:rFonts w:cs="Arial"/>
          <w:i/>
          <w:lang w:val="fr-FR"/>
        </w:rPr>
      </w:pPr>
    </w:p>
    <w:p w:rsidR="00AB4DC0" w:rsidRPr="00B24B1C" w:rsidRDefault="00AB4DC0" w:rsidP="00AB4DC0">
      <w:pPr>
        <w:spacing w:after="0" w:line="240" w:lineRule="auto"/>
        <w:ind w:left="540"/>
        <w:jc w:val="both"/>
        <w:rPr>
          <w:rFonts w:cs="Arial"/>
          <w:b/>
          <w:i/>
          <w:sz w:val="20"/>
          <w:lang w:val="fr-FR"/>
        </w:rPr>
      </w:pPr>
      <w:bookmarkStart w:id="1" w:name="_Hlk19791917"/>
      <w:r w:rsidRPr="00B24B1C">
        <w:rPr>
          <w:rFonts w:cs="Arial"/>
          <w:b/>
          <w:i/>
          <w:sz w:val="20"/>
          <w:lang w:val="fr-FR"/>
        </w:rPr>
        <w:t>12.83 à l'adresse du Secrétariat</w:t>
      </w:r>
    </w:p>
    <w:p w:rsidR="00AB4DC0" w:rsidRPr="00B24B1C" w:rsidRDefault="00AB4DC0" w:rsidP="003A268E">
      <w:pPr>
        <w:spacing w:after="0" w:line="240" w:lineRule="auto"/>
        <w:ind w:left="1134"/>
        <w:jc w:val="both"/>
        <w:rPr>
          <w:rFonts w:cs="Arial"/>
          <w:i/>
          <w:sz w:val="20"/>
          <w:lang w:val="fr-FR"/>
        </w:rPr>
      </w:pPr>
      <w:r w:rsidRPr="00B24B1C">
        <w:rPr>
          <w:rFonts w:cs="Arial"/>
          <w:i/>
          <w:sz w:val="20"/>
          <w:lang w:val="fr-FR"/>
        </w:rPr>
        <w:t xml:space="preserve"> </w:t>
      </w:r>
    </w:p>
    <w:p w:rsidR="00AB4DC0" w:rsidRPr="00AB4DC0" w:rsidRDefault="00AB4DC0" w:rsidP="003A268E">
      <w:pPr>
        <w:spacing w:after="0" w:line="240" w:lineRule="auto"/>
        <w:ind w:left="1134"/>
        <w:jc w:val="both"/>
        <w:rPr>
          <w:rFonts w:cs="Arial"/>
          <w:i/>
          <w:sz w:val="20"/>
          <w:lang w:val="fr-FR"/>
        </w:rPr>
      </w:pPr>
      <w:r w:rsidRPr="00AB4DC0">
        <w:rPr>
          <w:rFonts w:cs="Arial"/>
          <w:i/>
          <w:sz w:val="20"/>
          <w:lang w:val="fr-FR"/>
        </w:rPr>
        <w:t>Le Secrétariat, sous réserve de la disponibilité de ressources externes et travaillant dans le cadre de la Convention :</w:t>
      </w:r>
    </w:p>
    <w:p w:rsidR="00AB4DC0" w:rsidRPr="00AB4DC0" w:rsidRDefault="00AB4DC0" w:rsidP="00AB4DC0">
      <w:pPr>
        <w:spacing w:after="0" w:line="240" w:lineRule="auto"/>
        <w:ind w:left="540"/>
        <w:jc w:val="both"/>
        <w:rPr>
          <w:rFonts w:cs="Arial"/>
          <w:i/>
          <w:sz w:val="20"/>
          <w:lang w:val="fr-FR"/>
        </w:rPr>
      </w:pPr>
    </w:p>
    <w:p w:rsidR="00AB4DC0" w:rsidRPr="00AB4DC0" w:rsidRDefault="00AB4DC0" w:rsidP="003A268E">
      <w:pPr>
        <w:pStyle w:val="ListParagraph"/>
        <w:numPr>
          <w:ilvl w:val="0"/>
          <w:numId w:val="9"/>
        </w:numPr>
        <w:spacing w:after="0" w:line="240" w:lineRule="auto"/>
        <w:ind w:left="1560" w:hanging="426"/>
        <w:contextualSpacing w:val="0"/>
        <w:jc w:val="both"/>
        <w:rPr>
          <w:rFonts w:cs="Arial"/>
          <w:i/>
          <w:sz w:val="20"/>
          <w:lang w:val="fr-FR"/>
        </w:rPr>
      </w:pPr>
      <w:bookmarkStart w:id="2" w:name="_Hlk19789501"/>
      <w:r w:rsidRPr="00AB4DC0">
        <w:rPr>
          <w:rFonts w:cs="Arial"/>
          <w:i/>
          <w:sz w:val="20"/>
          <w:lang w:val="fr-FR"/>
        </w:rPr>
        <w:t>Prépare une analyse des effets directs et indirects de la prise, le commerce et la consommation de viande d’animaux sauvages sur les espèces terrestres et aviaires inscrites aux Annexes I et II de la CMS</w:t>
      </w:r>
      <w:bookmarkEnd w:id="2"/>
      <w:r w:rsidRPr="00AB4DC0">
        <w:rPr>
          <w:rFonts w:cs="Arial"/>
          <w:i/>
          <w:sz w:val="20"/>
          <w:lang w:val="fr-FR"/>
        </w:rPr>
        <w:t xml:space="preserve"> ;</w:t>
      </w:r>
    </w:p>
    <w:p w:rsidR="00AB4DC0" w:rsidRPr="00AB4DC0" w:rsidRDefault="00AB4DC0" w:rsidP="003A268E">
      <w:pPr>
        <w:pStyle w:val="ListParagraph"/>
        <w:spacing w:after="0" w:line="240" w:lineRule="auto"/>
        <w:ind w:left="1560" w:hanging="426"/>
        <w:contextualSpacing w:val="0"/>
        <w:jc w:val="both"/>
        <w:rPr>
          <w:rFonts w:cs="Arial"/>
          <w:i/>
          <w:sz w:val="20"/>
          <w:lang w:val="fr-FR"/>
        </w:rPr>
      </w:pPr>
    </w:p>
    <w:p w:rsidR="00AB4DC0" w:rsidRPr="00AB4DC0" w:rsidRDefault="00AB4DC0" w:rsidP="003A268E">
      <w:pPr>
        <w:pStyle w:val="ListParagraph"/>
        <w:numPr>
          <w:ilvl w:val="0"/>
          <w:numId w:val="9"/>
        </w:numPr>
        <w:spacing w:after="0" w:line="240" w:lineRule="auto"/>
        <w:ind w:left="1560" w:hanging="426"/>
        <w:contextualSpacing w:val="0"/>
        <w:jc w:val="both"/>
        <w:rPr>
          <w:rFonts w:cs="Arial"/>
          <w:i/>
          <w:sz w:val="20"/>
          <w:lang w:val="fr-FR"/>
        </w:rPr>
      </w:pPr>
      <w:r w:rsidRPr="00AB4DC0">
        <w:rPr>
          <w:rFonts w:cs="Arial"/>
          <w:i/>
          <w:sz w:val="20"/>
          <w:lang w:val="fr-FR"/>
        </w:rPr>
        <w:t>Sur la base des conclusions formulées au titre du paragraphe a), coopérer avec les membres du Partenariat de collaboration sur la gestion durable de la faune sauvage (CPW) et, en particulier, avec :</w:t>
      </w:r>
    </w:p>
    <w:p w:rsidR="00AB4DC0" w:rsidRPr="00AB4DC0" w:rsidRDefault="00AB4DC0" w:rsidP="00AB4DC0">
      <w:pPr>
        <w:pStyle w:val="ListParagraph"/>
        <w:spacing w:after="0" w:line="240" w:lineRule="auto"/>
        <w:jc w:val="both"/>
        <w:rPr>
          <w:rFonts w:cs="Arial"/>
          <w:i/>
          <w:sz w:val="20"/>
          <w:lang w:val="fr-FR"/>
        </w:rPr>
      </w:pPr>
    </w:p>
    <w:p w:rsidR="00AB4DC0" w:rsidRPr="00AB4DC0" w:rsidRDefault="00AB4DC0" w:rsidP="003A268E">
      <w:pPr>
        <w:pStyle w:val="ListParagraph"/>
        <w:numPr>
          <w:ilvl w:val="1"/>
          <w:numId w:val="9"/>
        </w:numPr>
        <w:spacing w:after="0" w:line="240" w:lineRule="auto"/>
        <w:ind w:left="1985" w:hanging="425"/>
        <w:contextualSpacing w:val="0"/>
        <w:jc w:val="both"/>
        <w:rPr>
          <w:rFonts w:cs="Arial"/>
          <w:i/>
          <w:sz w:val="20"/>
          <w:lang w:val="fr-FR"/>
        </w:rPr>
      </w:pPr>
      <w:r w:rsidRPr="00AB4DC0">
        <w:rPr>
          <w:rFonts w:cs="Arial"/>
          <w:i/>
          <w:sz w:val="20"/>
          <w:lang w:val="fr-FR"/>
        </w:rPr>
        <w:t>Les Secrétariats de la convention sur le commerce international des espèces de faune et de flore sauvages menacées d’extinction (CITES) et de la Convention sur la diversité biologique (CDB), ainsi que les présidences de leurs Conférences des Parties respectives par le biais des Secrétariats de la CDB et de la CITES, en donnant une importance accrue sur l’agenda politique à la question de la prise, du commerce et de la consommation non durables de viande d’animaux sauvages ;</w:t>
      </w:r>
    </w:p>
    <w:p w:rsidR="00AB4DC0" w:rsidRPr="00AB4DC0" w:rsidRDefault="00AB4DC0" w:rsidP="003A268E">
      <w:pPr>
        <w:pStyle w:val="ListParagraph"/>
        <w:spacing w:after="0" w:line="240" w:lineRule="auto"/>
        <w:ind w:left="1985" w:hanging="425"/>
        <w:contextualSpacing w:val="0"/>
        <w:jc w:val="both"/>
        <w:rPr>
          <w:rFonts w:cs="Arial"/>
          <w:i/>
          <w:sz w:val="20"/>
          <w:lang w:val="fr-FR"/>
        </w:rPr>
      </w:pPr>
    </w:p>
    <w:p w:rsidR="00AB4DC0" w:rsidRPr="00AB4DC0" w:rsidRDefault="00AB4DC0" w:rsidP="003A268E">
      <w:pPr>
        <w:pStyle w:val="ListParagraph"/>
        <w:numPr>
          <w:ilvl w:val="1"/>
          <w:numId w:val="9"/>
        </w:numPr>
        <w:spacing w:after="0" w:line="240" w:lineRule="auto"/>
        <w:ind w:left="1985" w:hanging="425"/>
        <w:contextualSpacing w:val="0"/>
        <w:jc w:val="both"/>
        <w:rPr>
          <w:rFonts w:cs="Arial"/>
          <w:i/>
          <w:sz w:val="20"/>
          <w:lang w:val="fr-FR"/>
        </w:rPr>
      </w:pPr>
      <w:r w:rsidRPr="00AB4DC0">
        <w:rPr>
          <w:rFonts w:cs="Arial"/>
          <w:i/>
          <w:sz w:val="20"/>
          <w:lang w:val="fr-FR"/>
        </w:rPr>
        <w:t xml:space="preserve">L’Organisation des Nations Unies pour l’alimentation et l’agriculture (FAO), le Centre pour la recherche forestière internationale (CIFOR), le Centre de Coopération Internationale en Recherche Agronomique pour le Développement (CIRAD) et la </w:t>
      </w:r>
      <w:proofErr w:type="spellStart"/>
      <w:r w:rsidRPr="00AB4DC0">
        <w:rPr>
          <w:rFonts w:cs="Arial"/>
          <w:i/>
          <w:sz w:val="20"/>
          <w:lang w:val="fr-FR"/>
        </w:rPr>
        <w:t>Wildlife</w:t>
      </w:r>
      <w:proofErr w:type="spellEnd"/>
      <w:r w:rsidRPr="00AB4DC0">
        <w:rPr>
          <w:rFonts w:cs="Arial"/>
          <w:i/>
          <w:sz w:val="20"/>
          <w:lang w:val="fr-FR"/>
        </w:rPr>
        <w:t xml:space="preserve"> Conservation Society (WCS) (Société pour la conservation de la vie sauvage) sur des questions de gestion durable de la vie sauvage, dans la mesure où elles se rapportent aux espèces inscrites aux Annexes de la CMS et présenter les leçons retenues à la 13</w:t>
      </w:r>
      <w:r w:rsidRPr="00AB4DC0">
        <w:rPr>
          <w:rFonts w:cs="Arial"/>
          <w:i/>
          <w:sz w:val="20"/>
          <w:vertAlign w:val="superscript"/>
          <w:lang w:val="fr-FR"/>
        </w:rPr>
        <w:t>e</w:t>
      </w:r>
      <w:r w:rsidRPr="00AB4DC0">
        <w:rPr>
          <w:rFonts w:cs="Arial"/>
          <w:i/>
          <w:sz w:val="20"/>
          <w:lang w:val="fr-FR"/>
        </w:rPr>
        <w:t xml:space="preserve"> Session de la Conférence des Parties ;</w:t>
      </w:r>
    </w:p>
    <w:p w:rsidR="00AB4DC0" w:rsidRPr="00AB4DC0" w:rsidRDefault="00AB4DC0" w:rsidP="003A268E">
      <w:pPr>
        <w:pStyle w:val="ListParagraph"/>
        <w:spacing w:after="0" w:line="240" w:lineRule="auto"/>
        <w:ind w:left="1985" w:hanging="425"/>
        <w:jc w:val="both"/>
        <w:rPr>
          <w:rFonts w:cs="Arial"/>
          <w:i/>
          <w:sz w:val="20"/>
          <w:lang w:val="fr-FR"/>
        </w:rPr>
      </w:pPr>
    </w:p>
    <w:p w:rsidR="00AB4DC0" w:rsidRPr="00AB4DC0" w:rsidRDefault="00AB4DC0" w:rsidP="003A268E">
      <w:pPr>
        <w:pStyle w:val="ListParagraph"/>
        <w:numPr>
          <w:ilvl w:val="1"/>
          <w:numId w:val="9"/>
        </w:numPr>
        <w:spacing w:after="0" w:line="240" w:lineRule="auto"/>
        <w:ind w:left="1985" w:hanging="425"/>
        <w:contextualSpacing w:val="0"/>
        <w:jc w:val="both"/>
        <w:rPr>
          <w:rFonts w:cs="Arial"/>
          <w:i/>
          <w:sz w:val="20"/>
          <w:lang w:val="fr-FR"/>
        </w:rPr>
      </w:pPr>
      <w:r w:rsidRPr="00AB4DC0">
        <w:rPr>
          <w:rFonts w:cs="Arial"/>
          <w:i/>
          <w:sz w:val="20"/>
          <w:lang w:val="fr-FR"/>
        </w:rPr>
        <w:t>Le Secrétaire exécutif de la CDB et d’autres membres du CPW pour contribuer au développement des orientations techniques pour une meilleure gouvernance en vue d’un secteur de la viande d’animaux sauvages (y compris la viande de brousse) plus durable, comme énoncé dans la Décision CBD/COP/DEC/XIII/8 de la CDB ;</w:t>
      </w:r>
    </w:p>
    <w:p w:rsidR="00AB4DC0" w:rsidRPr="00AB4DC0" w:rsidRDefault="00AB4DC0" w:rsidP="00AB4DC0">
      <w:pPr>
        <w:pStyle w:val="ListParagraph"/>
        <w:spacing w:after="0" w:line="240" w:lineRule="auto"/>
        <w:jc w:val="both"/>
        <w:rPr>
          <w:rFonts w:cs="Arial"/>
          <w:i/>
          <w:sz w:val="20"/>
          <w:lang w:val="fr-FR"/>
        </w:rPr>
      </w:pPr>
    </w:p>
    <w:p w:rsidR="00AB4DC0" w:rsidRPr="00AB4DC0" w:rsidRDefault="00AB4DC0" w:rsidP="003A268E">
      <w:pPr>
        <w:pStyle w:val="ListParagraph"/>
        <w:numPr>
          <w:ilvl w:val="0"/>
          <w:numId w:val="9"/>
        </w:numPr>
        <w:spacing w:after="0" w:line="240" w:lineRule="auto"/>
        <w:ind w:left="1560" w:hanging="426"/>
        <w:contextualSpacing w:val="0"/>
        <w:jc w:val="both"/>
        <w:rPr>
          <w:b/>
          <w:i/>
          <w:sz w:val="20"/>
          <w:lang w:val="fr-FR"/>
        </w:rPr>
      </w:pPr>
      <w:r w:rsidRPr="00AB4DC0">
        <w:rPr>
          <w:rFonts w:cs="Arial"/>
          <w:i/>
          <w:sz w:val="20"/>
          <w:lang w:val="fr-FR"/>
        </w:rPr>
        <w:t>Faire rapport au Comité permanent à ses 48</w:t>
      </w:r>
      <w:r w:rsidRPr="00AB4DC0">
        <w:rPr>
          <w:rFonts w:cs="Arial"/>
          <w:i/>
          <w:sz w:val="20"/>
          <w:vertAlign w:val="superscript"/>
          <w:lang w:val="fr-FR"/>
        </w:rPr>
        <w:t>e</w:t>
      </w:r>
      <w:r w:rsidRPr="00AB4DC0">
        <w:rPr>
          <w:rFonts w:cs="Arial"/>
          <w:i/>
          <w:sz w:val="20"/>
          <w:lang w:val="fr-FR"/>
        </w:rPr>
        <w:t xml:space="preserve"> et 49</w:t>
      </w:r>
      <w:r w:rsidRPr="00AB4DC0">
        <w:rPr>
          <w:rFonts w:cs="Arial"/>
          <w:i/>
          <w:sz w:val="20"/>
          <w:vertAlign w:val="superscript"/>
          <w:lang w:val="fr-FR"/>
        </w:rPr>
        <w:t>e</w:t>
      </w:r>
      <w:r w:rsidRPr="00AB4DC0">
        <w:rPr>
          <w:rFonts w:cs="Arial"/>
          <w:i/>
          <w:sz w:val="20"/>
          <w:lang w:val="fr-FR"/>
        </w:rPr>
        <w:t xml:space="preserve"> réunions et à la Conférence des Parties à sa 13</w:t>
      </w:r>
      <w:r w:rsidRPr="00AB4DC0">
        <w:rPr>
          <w:rFonts w:cs="Arial"/>
          <w:i/>
          <w:sz w:val="20"/>
          <w:vertAlign w:val="superscript"/>
          <w:lang w:val="fr-FR"/>
        </w:rPr>
        <w:t>e</w:t>
      </w:r>
      <w:r w:rsidRPr="00AB4DC0">
        <w:rPr>
          <w:rFonts w:cs="Arial"/>
          <w:i/>
          <w:sz w:val="20"/>
          <w:lang w:val="fr-FR"/>
        </w:rPr>
        <w:t xml:space="preserve"> session sur l’état d’avancement de la mise en </w:t>
      </w:r>
      <w:proofErr w:type="spellStart"/>
      <w:r w:rsidRPr="00AB4DC0">
        <w:rPr>
          <w:rFonts w:cs="Arial"/>
          <w:i/>
          <w:sz w:val="20"/>
          <w:lang w:val="fr-FR"/>
        </w:rPr>
        <w:t>oeuvre</w:t>
      </w:r>
      <w:proofErr w:type="spellEnd"/>
      <w:r w:rsidRPr="00AB4DC0">
        <w:rPr>
          <w:rFonts w:cs="Arial"/>
          <w:i/>
          <w:sz w:val="20"/>
          <w:lang w:val="fr-FR"/>
        </w:rPr>
        <w:t xml:space="preserve"> de cette Décision.</w:t>
      </w:r>
    </w:p>
    <w:p w:rsidR="00AB4DC0" w:rsidRPr="00AB4DC0" w:rsidRDefault="00AB4DC0" w:rsidP="00AB4DC0">
      <w:pPr>
        <w:spacing w:after="0" w:line="240" w:lineRule="auto"/>
        <w:ind w:left="540"/>
        <w:jc w:val="both"/>
        <w:rPr>
          <w:b/>
          <w:i/>
          <w:sz w:val="20"/>
          <w:lang w:val="fr-FR"/>
        </w:rPr>
      </w:pPr>
    </w:p>
    <w:p w:rsidR="00AB4DC0" w:rsidRPr="00AB4DC0" w:rsidRDefault="00AB4DC0" w:rsidP="00AB4DC0">
      <w:pPr>
        <w:spacing w:after="0" w:line="240" w:lineRule="auto"/>
        <w:ind w:left="540"/>
        <w:jc w:val="both"/>
        <w:rPr>
          <w:b/>
          <w:i/>
          <w:sz w:val="20"/>
          <w:lang w:val="fr-FR"/>
        </w:rPr>
      </w:pPr>
      <w:r w:rsidRPr="00AB4DC0">
        <w:rPr>
          <w:b/>
          <w:i/>
          <w:sz w:val="20"/>
          <w:lang w:val="fr-FR"/>
        </w:rPr>
        <w:t xml:space="preserve">12.84 à l'adresse des Parties </w:t>
      </w:r>
    </w:p>
    <w:p w:rsidR="00AB4DC0" w:rsidRPr="00AB4DC0" w:rsidRDefault="00AB4DC0" w:rsidP="003A268E">
      <w:pPr>
        <w:widowControl w:val="0"/>
        <w:autoSpaceDE w:val="0"/>
        <w:autoSpaceDN w:val="0"/>
        <w:adjustRightInd w:val="0"/>
        <w:spacing w:after="0" w:line="240" w:lineRule="auto"/>
        <w:ind w:left="1134"/>
        <w:jc w:val="both"/>
        <w:rPr>
          <w:rFonts w:eastAsia="Times New Roman" w:cs="Arial"/>
          <w:i/>
          <w:sz w:val="20"/>
          <w:lang w:val="fr-FR"/>
        </w:rPr>
      </w:pPr>
    </w:p>
    <w:p w:rsidR="00AB4DC0" w:rsidRPr="00AB4DC0" w:rsidRDefault="00AB4DC0" w:rsidP="003A268E">
      <w:pPr>
        <w:widowControl w:val="0"/>
        <w:autoSpaceDE w:val="0"/>
        <w:autoSpaceDN w:val="0"/>
        <w:adjustRightInd w:val="0"/>
        <w:spacing w:after="0" w:line="240" w:lineRule="auto"/>
        <w:ind w:left="1134"/>
        <w:jc w:val="both"/>
        <w:rPr>
          <w:rFonts w:eastAsia="Times New Roman" w:cs="Arial"/>
          <w:i/>
          <w:sz w:val="20"/>
          <w:lang w:val="fr-FR"/>
        </w:rPr>
      </w:pPr>
      <w:r w:rsidRPr="00AB4DC0">
        <w:rPr>
          <w:rFonts w:eastAsia="Times New Roman" w:cs="Arial"/>
          <w:i/>
          <w:sz w:val="20"/>
          <w:lang w:val="fr-FR"/>
        </w:rPr>
        <w:t xml:space="preserve">Les Parties sont invitées à coopérer avec le Secrétariat pour la mise en </w:t>
      </w:r>
      <w:proofErr w:type="spellStart"/>
      <w:r w:rsidRPr="00AB4DC0">
        <w:rPr>
          <w:rFonts w:eastAsia="Times New Roman" w:cs="Arial"/>
          <w:i/>
          <w:sz w:val="20"/>
          <w:lang w:val="fr-FR"/>
        </w:rPr>
        <w:t>oeuvre</w:t>
      </w:r>
      <w:proofErr w:type="spellEnd"/>
      <w:r w:rsidRPr="00AB4DC0">
        <w:rPr>
          <w:rFonts w:eastAsia="Times New Roman" w:cs="Arial"/>
          <w:i/>
          <w:sz w:val="20"/>
          <w:lang w:val="fr-FR"/>
        </w:rPr>
        <w:t xml:space="preserve"> des Décisions 12.83, en :</w:t>
      </w:r>
    </w:p>
    <w:p w:rsidR="00AB4DC0" w:rsidRPr="00AB4DC0" w:rsidRDefault="00AB4DC0" w:rsidP="00AB4DC0">
      <w:pPr>
        <w:widowControl w:val="0"/>
        <w:autoSpaceDE w:val="0"/>
        <w:autoSpaceDN w:val="0"/>
        <w:adjustRightInd w:val="0"/>
        <w:spacing w:after="0" w:line="240" w:lineRule="auto"/>
        <w:ind w:left="900"/>
        <w:jc w:val="both"/>
        <w:rPr>
          <w:rFonts w:eastAsia="Times New Roman" w:cs="Arial"/>
          <w:i/>
          <w:sz w:val="20"/>
          <w:lang w:val="fr-FR"/>
        </w:rPr>
      </w:pPr>
    </w:p>
    <w:p w:rsidR="00AB4DC0" w:rsidRPr="00AB4DC0" w:rsidRDefault="00AB4DC0" w:rsidP="003A268E">
      <w:pPr>
        <w:widowControl w:val="0"/>
        <w:numPr>
          <w:ilvl w:val="0"/>
          <w:numId w:val="10"/>
        </w:numPr>
        <w:autoSpaceDE w:val="0"/>
        <w:autoSpaceDN w:val="0"/>
        <w:adjustRightInd w:val="0"/>
        <w:spacing w:after="0" w:line="240" w:lineRule="auto"/>
        <w:ind w:left="1560" w:hanging="426"/>
        <w:jc w:val="both"/>
        <w:rPr>
          <w:rFonts w:eastAsia="Times New Roman" w:cs="Arial"/>
          <w:i/>
          <w:sz w:val="20"/>
          <w:lang w:val="fr-FR"/>
        </w:rPr>
      </w:pPr>
      <w:r w:rsidRPr="00AB4DC0">
        <w:rPr>
          <w:rFonts w:eastAsia="Times New Roman" w:cs="Arial"/>
          <w:i/>
          <w:sz w:val="20"/>
          <w:lang w:val="fr-FR"/>
        </w:rPr>
        <w:t>Fournissant des informations et des données pour l’analyse mentionnée ci-dessus au paragraphe a) ;</w:t>
      </w:r>
    </w:p>
    <w:p w:rsidR="00AB4DC0" w:rsidRPr="00AB4DC0" w:rsidRDefault="00AB4DC0" w:rsidP="003A268E">
      <w:pPr>
        <w:widowControl w:val="0"/>
        <w:autoSpaceDE w:val="0"/>
        <w:autoSpaceDN w:val="0"/>
        <w:adjustRightInd w:val="0"/>
        <w:spacing w:after="0" w:line="240" w:lineRule="auto"/>
        <w:ind w:left="1560" w:hanging="426"/>
        <w:jc w:val="both"/>
        <w:rPr>
          <w:rFonts w:eastAsia="Times New Roman" w:cs="Arial"/>
          <w:i/>
          <w:sz w:val="20"/>
          <w:lang w:val="fr-FR"/>
        </w:rPr>
      </w:pPr>
    </w:p>
    <w:p w:rsidR="00AB4DC0" w:rsidRPr="00AB4DC0" w:rsidRDefault="00AB4DC0" w:rsidP="003A268E">
      <w:pPr>
        <w:widowControl w:val="0"/>
        <w:numPr>
          <w:ilvl w:val="0"/>
          <w:numId w:val="10"/>
        </w:numPr>
        <w:autoSpaceDE w:val="0"/>
        <w:autoSpaceDN w:val="0"/>
        <w:adjustRightInd w:val="0"/>
        <w:spacing w:after="0" w:line="240" w:lineRule="auto"/>
        <w:ind w:left="1560" w:hanging="426"/>
        <w:jc w:val="both"/>
        <w:rPr>
          <w:rFonts w:eastAsia="Times New Roman" w:cs="Arial"/>
          <w:i/>
          <w:sz w:val="20"/>
          <w:lang w:val="fr-FR"/>
        </w:rPr>
      </w:pPr>
      <w:r w:rsidRPr="00AB4DC0">
        <w:rPr>
          <w:rFonts w:eastAsia="Times New Roman" w:cs="Arial"/>
          <w:i/>
          <w:sz w:val="20"/>
          <w:lang w:val="fr-FR"/>
        </w:rPr>
        <w:t>Contribuant aux débats sur la viande d’animaux sauvages dans les instances mondiales mentionnées au paragraphe b) i. ; et</w:t>
      </w:r>
    </w:p>
    <w:p w:rsidR="00AB4DC0" w:rsidRPr="00AB4DC0" w:rsidRDefault="00AB4DC0" w:rsidP="003A268E">
      <w:pPr>
        <w:spacing w:after="0" w:line="240" w:lineRule="auto"/>
        <w:ind w:left="1560" w:hanging="426"/>
        <w:jc w:val="both"/>
        <w:rPr>
          <w:rFonts w:eastAsia="Times New Roman" w:cs="Arial"/>
          <w:i/>
          <w:sz w:val="20"/>
          <w:lang w:val="fr-FR"/>
        </w:rPr>
      </w:pPr>
    </w:p>
    <w:p w:rsidR="00AB4DC0" w:rsidRPr="00AB4DC0" w:rsidRDefault="00AB4DC0" w:rsidP="003A268E">
      <w:pPr>
        <w:pStyle w:val="ListParagraph"/>
        <w:numPr>
          <w:ilvl w:val="0"/>
          <w:numId w:val="10"/>
        </w:numPr>
        <w:spacing w:after="0" w:line="240" w:lineRule="auto"/>
        <w:ind w:left="1560" w:hanging="426"/>
        <w:jc w:val="both"/>
        <w:rPr>
          <w:rFonts w:eastAsia="Times New Roman" w:cs="Arial"/>
          <w:i/>
          <w:sz w:val="20"/>
          <w:lang w:val="fr-FR"/>
        </w:rPr>
      </w:pPr>
      <w:r w:rsidRPr="00AB4DC0">
        <w:rPr>
          <w:rFonts w:eastAsia="Times New Roman" w:cs="Arial"/>
          <w:i/>
          <w:sz w:val="20"/>
          <w:lang w:val="fr-FR"/>
        </w:rPr>
        <w:lastRenderedPageBreak/>
        <w:t>Appuyant le développement et la mise en œuvre d’une gouvernance favorisant la durabilité du secteur de la viande d’animaux sauvages mentionnée au paragraphe b) iii.</w:t>
      </w:r>
    </w:p>
    <w:p w:rsidR="00AB4DC0" w:rsidRPr="00AB4DC0" w:rsidRDefault="00AB4DC0" w:rsidP="00AB4DC0">
      <w:pPr>
        <w:spacing w:after="0" w:line="240" w:lineRule="auto"/>
        <w:ind w:left="900"/>
        <w:jc w:val="both"/>
        <w:rPr>
          <w:rFonts w:eastAsia="Times New Roman" w:cs="Arial"/>
          <w:i/>
          <w:sz w:val="20"/>
          <w:lang w:val="fr-FR"/>
        </w:rPr>
      </w:pPr>
    </w:p>
    <w:p w:rsidR="00AB4DC0" w:rsidRPr="00AB4DC0" w:rsidRDefault="00AB4DC0" w:rsidP="00AB4DC0">
      <w:pPr>
        <w:spacing w:after="0" w:line="240" w:lineRule="auto"/>
        <w:ind w:left="540"/>
        <w:jc w:val="both"/>
        <w:rPr>
          <w:rFonts w:eastAsia="Times New Roman" w:cs="Arial"/>
          <w:b/>
          <w:i/>
          <w:sz w:val="20"/>
          <w:lang w:val="fr-FR"/>
        </w:rPr>
      </w:pPr>
      <w:r w:rsidRPr="00AB4DC0">
        <w:rPr>
          <w:rFonts w:eastAsia="Times New Roman" w:cs="Arial"/>
          <w:b/>
          <w:i/>
          <w:sz w:val="20"/>
          <w:lang w:val="fr-FR"/>
        </w:rPr>
        <w:t xml:space="preserve">12.85 à l'adresse des Parties </w:t>
      </w:r>
    </w:p>
    <w:p w:rsidR="00AB4DC0" w:rsidRPr="00AB4DC0" w:rsidRDefault="00AB4DC0" w:rsidP="00AB4DC0">
      <w:pPr>
        <w:spacing w:after="0" w:line="240" w:lineRule="auto"/>
        <w:ind w:left="540"/>
        <w:jc w:val="both"/>
        <w:rPr>
          <w:rFonts w:eastAsia="Times New Roman" w:cs="Arial"/>
          <w:i/>
          <w:sz w:val="20"/>
          <w:lang w:val="fr-FR"/>
        </w:rPr>
      </w:pPr>
    </w:p>
    <w:p w:rsidR="00AB4DC0" w:rsidRPr="00AB4DC0" w:rsidRDefault="00AB4DC0" w:rsidP="003A268E">
      <w:pPr>
        <w:spacing w:after="0" w:line="240" w:lineRule="auto"/>
        <w:ind w:left="1134"/>
        <w:jc w:val="both"/>
        <w:rPr>
          <w:rFonts w:eastAsia="Times New Roman" w:cs="Arial"/>
          <w:i/>
          <w:sz w:val="20"/>
          <w:lang w:val="fr-FR"/>
        </w:rPr>
      </w:pPr>
      <w:r w:rsidRPr="00AB4DC0">
        <w:rPr>
          <w:rFonts w:eastAsia="Times New Roman" w:cs="Arial"/>
          <w:i/>
          <w:sz w:val="20"/>
          <w:lang w:val="fr-FR"/>
        </w:rPr>
        <w:t>Les Parties sont invitées à envisager, le cas échéant, via la coopération entre les points focaux nationaux de la CMS et de la CITES, de réglementer le commerce de viandes sauvages des espèces terrestres et aviaires énumérées aux Annexes I et II de la CMS afin d'éviter les effets négatifs sur l'état de conservation des populations sources.</w:t>
      </w:r>
    </w:p>
    <w:p w:rsidR="00AB4DC0" w:rsidRPr="00AB4DC0" w:rsidRDefault="00AB4DC0" w:rsidP="00AB4DC0">
      <w:pPr>
        <w:spacing w:after="0" w:line="240" w:lineRule="auto"/>
        <w:ind w:left="540"/>
        <w:jc w:val="both"/>
        <w:rPr>
          <w:rFonts w:eastAsia="Times New Roman" w:cs="Arial"/>
          <w:i/>
          <w:sz w:val="20"/>
          <w:lang w:val="fr-FR"/>
        </w:rPr>
      </w:pPr>
    </w:p>
    <w:p w:rsidR="00AB4DC0" w:rsidRPr="00AB4DC0" w:rsidRDefault="00AB4DC0" w:rsidP="00AB4DC0">
      <w:pPr>
        <w:spacing w:after="0" w:line="240" w:lineRule="auto"/>
        <w:ind w:left="540"/>
        <w:jc w:val="both"/>
        <w:rPr>
          <w:rFonts w:eastAsia="Times New Roman" w:cs="Arial"/>
          <w:b/>
          <w:i/>
          <w:sz w:val="20"/>
          <w:lang w:val="fr-FR"/>
        </w:rPr>
      </w:pPr>
      <w:r w:rsidRPr="00AB4DC0">
        <w:rPr>
          <w:rFonts w:eastAsia="Times New Roman" w:cs="Arial"/>
          <w:b/>
          <w:i/>
          <w:sz w:val="20"/>
          <w:lang w:val="fr-FR"/>
        </w:rPr>
        <w:t xml:space="preserve">12.86 à l'adresse du Conseil scientifique </w:t>
      </w:r>
    </w:p>
    <w:p w:rsidR="00AB4DC0" w:rsidRPr="00AB4DC0" w:rsidRDefault="00AB4DC0" w:rsidP="00AB4DC0">
      <w:pPr>
        <w:spacing w:after="0" w:line="240" w:lineRule="auto"/>
        <w:ind w:left="540"/>
        <w:jc w:val="both"/>
        <w:rPr>
          <w:rFonts w:eastAsia="Times New Roman" w:cs="Arial"/>
          <w:i/>
          <w:sz w:val="20"/>
          <w:lang w:val="fr-FR"/>
        </w:rPr>
      </w:pPr>
    </w:p>
    <w:p w:rsidR="00AB4DC0" w:rsidRPr="00AB4DC0" w:rsidRDefault="00AB4DC0" w:rsidP="003A268E">
      <w:pPr>
        <w:spacing w:after="0" w:line="240" w:lineRule="auto"/>
        <w:ind w:left="1134"/>
        <w:jc w:val="both"/>
        <w:rPr>
          <w:rFonts w:eastAsia="Times New Roman" w:cs="Arial"/>
          <w:i/>
          <w:sz w:val="20"/>
          <w:lang w:val="fr-FR"/>
        </w:rPr>
      </w:pPr>
      <w:r w:rsidRPr="00AB4DC0">
        <w:rPr>
          <w:rFonts w:eastAsia="Times New Roman" w:cs="Arial"/>
          <w:i/>
          <w:sz w:val="20"/>
          <w:lang w:val="fr-FR"/>
        </w:rPr>
        <w:t>Le Conseil scientifique devrait examiner l’analyse, soumise par le Secrétariat, des effets directs et indirects de la consommation de viande d’animaux sauvages sur les espèces énumérées par la CMS et formuler les recommandations appropriées aux 48</w:t>
      </w:r>
      <w:r w:rsidRPr="00AB4DC0">
        <w:rPr>
          <w:rFonts w:eastAsia="Times New Roman" w:cs="Arial"/>
          <w:i/>
          <w:sz w:val="20"/>
          <w:vertAlign w:val="superscript"/>
          <w:lang w:val="fr-FR"/>
        </w:rPr>
        <w:t>e</w:t>
      </w:r>
      <w:r w:rsidRPr="00AB4DC0">
        <w:rPr>
          <w:rFonts w:eastAsia="Times New Roman" w:cs="Arial"/>
          <w:i/>
          <w:sz w:val="20"/>
          <w:lang w:val="fr-FR"/>
        </w:rPr>
        <w:t xml:space="preserve"> et 49</w:t>
      </w:r>
      <w:r w:rsidRPr="00AB4DC0">
        <w:rPr>
          <w:rFonts w:eastAsia="Times New Roman" w:cs="Arial"/>
          <w:i/>
          <w:sz w:val="20"/>
          <w:vertAlign w:val="superscript"/>
          <w:lang w:val="fr-FR"/>
        </w:rPr>
        <w:t>e</w:t>
      </w:r>
      <w:r w:rsidRPr="00AB4DC0">
        <w:rPr>
          <w:rFonts w:eastAsia="Times New Roman" w:cs="Arial"/>
          <w:i/>
          <w:sz w:val="20"/>
          <w:lang w:val="fr-FR"/>
        </w:rPr>
        <w:t xml:space="preserve"> réunions du Comité permanent.</w:t>
      </w:r>
    </w:p>
    <w:p w:rsidR="00AB4DC0" w:rsidRPr="00AB4DC0" w:rsidRDefault="00AB4DC0" w:rsidP="00AB4DC0">
      <w:pPr>
        <w:spacing w:after="0" w:line="240" w:lineRule="auto"/>
        <w:ind w:left="540"/>
        <w:jc w:val="both"/>
        <w:rPr>
          <w:rFonts w:eastAsia="Times New Roman" w:cs="Arial"/>
          <w:b/>
          <w:i/>
          <w:sz w:val="20"/>
          <w:lang w:val="fr-FR"/>
        </w:rPr>
      </w:pPr>
    </w:p>
    <w:p w:rsidR="00AB4DC0" w:rsidRPr="00AB4DC0" w:rsidRDefault="00AB4DC0" w:rsidP="00AB4DC0">
      <w:pPr>
        <w:spacing w:after="0" w:line="240" w:lineRule="auto"/>
        <w:ind w:left="540"/>
        <w:jc w:val="both"/>
        <w:rPr>
          <w:rFonts w:eastAsia="Times New Roman" w:cs="Arial"/>
          <w:b/>
          <w:i/>
          <w:sz w:val="20"/>
          <w:lang w:val="fr-FR"/>
        </w:rPr>
      </w:pPr>
      <w:r w:rsidRPr="00AB4DC0">
        <w:rPr>
          <w:rFonts w:eastAsia="Times New Roman" w:cs="Arial"/>
          <w:b/>
          <w:i/>
          <w:sz w:val="20"/>
          <w:lang w:val="fr-FR"/>
        </w:rPr>
        <w:t>12.87 à l'adresse du Comité permanent</w:t>
      </w:r>
    </w:p>
    <w:p w:rsidR="00AB4DC0" w:rsidRPr="00AB4DC0" w:rsidRDefault="00AB4DC0" w:rsidP="00AB4DC0">
      <w:pPr>
        <w:spacing w:after="0" w:line="240" w:lineRule="auto"/>
        <w:ind w:left="540"/>
        <w:jc w:val="both"/>
        <w:rPr>
          <w:rFonts w:eastAsia="Times New Roman" w:cs="Arial"/>
          <w:i/>
          <w:sz w:val="20"/>
          <w:lang w:val="fr-FR"/>
        </w:rPr>
      </w:pPr>
    </w:p>
    <w:p w:rsidR="00AB4DC0" w:rsidRPr="00AB4DC0" w:rsidRDefault="00AB4DC0" w:rsidP="003A268E">
      <w:pPr>
        <w:spacing w:after="0" w:line="240" w:lineRule="auto"/>
        <w:ind w:left="1134"/>
        <w:jc w:val="both"/>
        <w:rPr>
          <w:rFonts w:eastAsia="Times New Roman" w:cs="Arial"/>
          <w:i/>
          <w:sz w:val="20"/>
          <w:lang w:val="fr-FR"/>
        </w:rPr>
      </w:pPr>
      <w:r w:rsidRPr="00AB4DC0">
        <w:rPr>
          <w:rFonts w:eastAsia="Times New Roman" w:cs="Arial"/>
          <w:i/>
          <w:sz w:val="20"/>
          <w:lang w:val="fr-FR"/>
        </w:rPr>
        <w:t>Le Comité permanent examine à ses 48</w:t>
      </w:r>
      <w:r w:rsidRPr="00AB4DC0">
        <w:rPr>
          <w:rFonts w:eastAsia="Times New Roman" w:cs="Arial"/>
          <w:i/>
          <w:sz w:val="20"/>
          <w:vertAlign w:val="superscript"/>
          <w:lang w:val="fr-FR"/>
        </w:rPr>
        <w:t>e</w:t>
      </w:r>
      <w:r w:rsidRPr="00AB4DC0">
        <w:rPr>
          <w:rFonts w:eastAsia="Times New Roman" w:cs="Arial"/>
          <w:i/>
          <w:sz w:val="20"/>
          <w:lang w:val="fr-FR"/>
        </w:rPr>
        <w:t xml:space="preserve"> et 49</w:t>
      </w:r>
      <w:r w:rsidRPr="00AB4DC0">
        <w:rPr>
          <w:rFonts w:eastAsia="Times New Roman" w:cs="Arial"/>
          <w:i/>
          <w:sz w:val="20"/>
          <w:vertAlign w:val="superscript"/>
          <w:lang w:val="fr-FR"/>
        </w:rPr>
        <w:t>e</w:t>
      </w:r>
      <w:r w:rsidRPr="00AB4DC0">
        <w:rPr>
          <w:rFonts w:eastAsia="Times New Roman" w:cs="Arial"/>
          <w:i/>
          <w:sz w:val="20"/>
          <w:lang w:val="fr-FR"/>
        </w:rPr>
        <w:t xml:space="preserve"> réunions le rapport soumis par le Secrétariat et toute recommandation du Conseil scientifique, et fait des recommandations appropriées à la 13e session de la Conférence des Parties.</w:t>
      </w:r>
    </w:p>
    <w:p w:rsidR="00AB4DC0" w:rsidRPr="00AB4DC0" w:rsidRDefault="00AB4DC0" w:rsidP="00AB4DC0">
      <w:pPr>
        <w:spacing w:after="0" w:line="240" w:lineRule="auto"/>
        <w:ind w:left="540"/>
        <w:jc w:val="both"/>
        <w:rPr>
          <w:rFonts w:eastAsia="Times New Roman" w:cs="Arial"/>
          <w:b/>
          <w:i/>
          <w:sz w:val="20"/>
          <w:lang w:val="fr-FR"/>
        </w:rPr>
      </w:pPr>
    </w:p>
    <w:p w:rsidR="00AB4DC0" w:rsidRPr="00AB4DC0" w:rsidRDefault="00AB4DC0" w:rsidP="00AB4DC0">
      <w:pPr>
        <w:spacing w:after="0" w:line="240" w:lineRule="auto"/>
        <w:ind w:left="540"/>
        <w:jc w:val="both"/>
        <w:rPr>
          <w:rFonts w:eastAsia="Times New Roman" w:cs="Arial"/>
          <w:b/>
          <w:i/>
          <w:sz w:val="20"/>
          <w:lang w:val="fr-FR"/>
        </w:rPr>
      </w:pPr>
      <w:r w:rsidRPr="00AB4DC0">
        <w:rPr>
          <w:rFonts w:eastAsia="Times New Roman" w:cs="Arial"/>
          <w:b/>
          <w:i/>
          <w:sz w:val="20"/>
          <w:lang w:val="fr-FR"/>
        </w:rPr>
        <w:t>12.88 à l'adresse des Parties, des organisations intergouvernementales et non gouvernementales</w:t>
      </w:r>
    </w:p>
    <w:p w:rsidR="00AB4DC0" w:rsidRPr="00AB4DC0" w:rsidRDefault="00AB4DC0" w:rsidP="00AB4DC0">
      <w:pPr>
        <w:spacing w:after="0" w:line="240" w:lineRule="auto"/>
        <w:ind w:left="540"/>
        <w:jc w:val="both"/>
        <w:rPr>
          <w:rFonts w:eastAsia="Times New Roman" w:cs="Arial"/>
          <w:i/>
          <w:sz w:val="20"/>
          <w:lang w:val="fr-FR"/>
        </w:rPr>
      </w:pPr>
    </w:p>
    <w:p w:rsidR="00AB4DC0" w:rsidRPr="00AB4DC0" w:rsidRDefault="00AB4DC0" w:rsidP="003A268E">
      <w:pPr>
        <w:spacing w:after="0" w:line="240" w:lineRule="auto"/>
        <w:ind w:left="1134"/>
        <w:jc w:val="both"/>
        <w:rPr>
          <w:rFonts w:eastAsia="Times New Roman" w:cs="Arial"/>
          <w:i/>
          <w:sz w:val="20"/>
          <w:lang w:val="fr-FR"/>
        </w:rPr>
      </w:pPr>
      <w:r w:rsidRPr="00AB4DC0">
        <w:rPr>
          <w:rFonts w:eastAsia="Times New Roman" w:cs="Arial"/>
          <w:i/>
          <w:sz w:val="20"/>
          <w:lang w:val="fr-FR"/>
        </w:rPr>
        <w:t xml:space="preserve">Les Parties, les organisations intergouvernementales et non gouvernementales sont instamment invitées à apporter un soutien volontaire financier et technique pour la mise en </w:t>
      </w:r>
      <w:proofErr w:type="spellStart"/>
      <w:r w:rsidRPr="00AB4DC0">
        <w:rPr>
          <w:rFonts w:eastAsia="Times New Roman" w:cs="Arial"/>
          <w:i/>
          <w:sz w:val="20"/>
          <w:lang w:val="fr-FR"/>
        </w:rPr>
        <w:t>oeuvre</w:t>
      </w:r>
      <w:proofErr w:type="spellEnd"/>
      <w:r w:rsidRPr="00AB4DC0">
        <w:rPr>
          <w:rFonts w:eastAsia="Times New Roman" w:cs="Arial"/>
          <w:i/>
          <w:sz w:val="20"/>
          <w:lang w:val="fr-FR"/>
        </w:rPr>
        <w:t xml:space="preserve"> des Décisions ci-dessus.</w:t>
      </w:r>
      <w:bookmarkEnd w:id="1"/>
    </w:p>
    <w:p w:rsidR="00AB4DC0" w:rsidRPr="00AB4DC0" w:rsidRDefault="00AB4DC0" w:rsidP="003A268E">
      <w:pPr>
        <w:spacing w:after="0" w:line="240" w:lineRule="auto"/>
        <w:jc w:val="both"/>
        <w:rPr>
          <w:lang w:val="fr-FR"/>
        </w:rPr>
      </w:pPr>
    </w:p>
    <w:p w:rsidR="00AB4DC0" w:rsidRPr="003A268E" w:rsidRDefault="00AB4DC0" w:rsidP="003A268E">
      <w:pPr>
        <w:spacing w:after="0" w:line="240" w:lineRule="auto"/>
        <w:jc w:val="both"/>
        <w:rPr>
          <w:u w:val="single"/>
          <w:lang w:val="fr-FR"/>
        </w:rPr>
      </w:pPr>
      <w:r w:rsidRPr="003A268E">
        <w:rPr>
          <w:u w:val="single"/>
          <w:lang w:val="fr-FR"/>
        </w:rPr>
        <w:t>Activités de mise en œuvre des Décisions 12.83 à 12.88</w:t>
      </w:r>
      <w:r w:rsidRPr="003A268E">
        <w:rPr>
          <w:lang w:val="fr-FR"/>
        </w:rPr>
        <w:t xml:space="preserve"> </w:t>
      </w:r>
      <w:r w:rsidRPr="003A268E">
        <w:rPr>
          <w:u w:val="single"/>
          <w:lang w:val="fr-FR"/>
        </w:rPr>
        <w:t xml:space="preserve"> </w:t>
      </w:r>
    </w:p>
    <w:p w:rsidR="00AB4DC0" w:rsidRPr="003A268E" w:rsidRDefault="00AB4DC0" w:rsidP="003A268E">
      <w:pPr>
        <w:spacing w:after="0" w:line="240" w:lineRule="auto"/>
        <w:jc w:val="both"/>
        <w:rPr>
          <w:lang w:val="fr-FR"/>
        </w:rPr>
      </w:pPr>
    </w:p>
    <w:p w:rsidR="00AB4DC0" w:rsidRPr="003A268E" w:rsidRDefault="00AB4DC0" w:rsidP="003A268E">
      <w:pPr>
        <w:pStyle w:val="Firstnumbering"/>
        <w:rPr>
          <w:b/>
        </w:rPr>
      </w:pPr>
      <w:r w:rsidRPr="003A268E">
        <w:t xml:space="preserve">Le Secrétariat a adressé des demandes de financement à toutes ses Parties afin de financer la mise en œuvre de 12.83 (a) dans la notification </w:t>
      </w:r>
      <w:hyperlink r:id="rId9" w:history="1">
        <w:r w:rsidRPr="003A268E">
          <w:rPr>
            <w:rStyle w:val="Hyperlink"/>
          </w:rPr>
          <w:t>2017/022: Programme de travail de la CMS pour 2018-2020.</w:t>
        </w:r>
      </w:hyperlink>
      <w:r w:rsidRPr="003A268E">
        <w:t xml:space="preserve">  Des demandes de financement de l'analyse des impacts directs et indirects de la prise, du commerce et de la consommation de viande sauvage des espèces terrestres et aviaires inscrites aux Annexes I et II de la CMS ont également été soumises aux pays donateurs de manière bilatérale.</w:t>
      </w:r>
      <w:r w:rsidRPr="003A268E">
        <w:rPr>
          <w:i/>
        </w:rPr>
        <w:t xml:space="preserve"> </w:t>
      </w:r>
      <w:r w:rsidRPr="003A268E">
        <w:t xml:space="preserve"> À ce jour, le Secrétariat n'a pas été en mesure de réunir les fonds nécessaires à la préparation de l'analyse. Par conséquent, le Secrétariat n’a pas été en mesure de mettre en </w:t>
      </w:r>
      <w:proofErr w:type="spellStart"/>
      <w:r w:rsidRPr="003A268E">
        <w:t>oeuvre</w:t>
      </w:r>
      <w:proofErr w:type="spellEnd"/>
      <w:r w:rsidRPr="003A268E">
        <w:t xml:space="preserve"> la Décision 12.83 (b). </w:t>
      </w:r>
    </w:p>
    <w:p w:rsidR="00AB4DC0" w:rsidRPr="003A268E" w:rsidRDefault="00AB4DC0" w:rsidP="003A268E">
      <w:pPr>
        <w:pStyle w:val="ListParagraph"/>
        <w:spacing w:after="0" w:line="240" w:lineRule="auto"/>
        <w:ind w:left="540"/>
        <w:jc w:val="both"/>
        <w:rPr>
          <w:b/>
          <w:lang w:val="fr-FR"/>
        </w:rPr>
      </w:pPr>
    </w:p>
    <w:p w:rsidR="00AB4DC0" w:rsidRPr="003A268E" w:rsidRDefault="00AB4DC0" w:rsidP="003A268E">
      <w:pPr>
        <w:pStyle w:val="Firstnumbering"/>
        <w:rPr>
          <w:b/>
        </w:rPr>
      </w:pPr>
      <w:r w:rsidRPr="003A268E">
        <w:t xml:space="preserve">Cependant, certains partenaires de la CMS ont apporté quelques développements à ce sujet.  Premièrement, le projet mentionné au paragraphe (b) (i) de la décision 12.83 est en bonne voie et les possibilités d’engagement de la CMS sont limitées. En outre, par la Décision </w:t>
      </w:r>
      <w:hyperlink r:id="rId10" w:history="1">
        <w:r w:rsidRPr="003A268E">
          <w:rPr>
            <w:rStyle w:val="Hyperlink"/>
          </w:rPr>
          <w:t>CB</w:t>
        </w:r>
        <w:r w:rsidRPr="003A268E">
          <w:rPr>
            <w:rStyle w:val="Hyperlink"/>
          </w:rPr>
          <w:t>D</w:t>
        </w:r>
        <w:r w:rsidRPr="003A268E">
          <w:rPr>
            <w:rStyle w:val="Hyperlink"/>
          </w:rPr>
          <w:t xml:space="preserve"> / COP / DEC / 14/7</w:t>
        </w:r>
      </w:hyperlink>
      <w:r w:rsidRPr="003A268E">
        <w:t xml:space="preserve">, la Conférence des Parties à la Convention sur la diversité biologique (CDB) a adopté les Orientations pour un Secteur de la Viande sauvage Durable, mentionnées au paragraphe (b) (ii) de la Décision 12.83. La CMS a contribué à l'élaboration du document d'Orientations par le biais du Partenariat de collaboration sur la gestion durable de la faune sauvage. Le paragraphe (b) (ii) de la décision peut donc être considéré comme finalisé. </w:t>
      </w:r>
    </w:p>
    <w:p w:rsidR="003A268E" w:rsidRPr="00B24B1C" w:rsidRDefault="003A268E" w:rsidP="003A268E">
      <w:pPr>
        <w:pStyle w:val="ListParagraph"/>
        <w:spacing w:after="0" w:line="240" w:lineRule="auto"/>
        <w:rPr>
          <w:b/>
          <w:lang w:val="fr-FR"/>
        </w:rPr>
      </w:pPr>
    </w:p>
    <w:p w:rsidR="00AB4DC0" w:rsidRPr="003A268E" w:rsidRDefault="00AB4DC0" w:rsidP="003A268E">
      <w:pPr>
        <w:spacing w:after="0" w:line="240" w:lineRule="auto"/>
        <w:jc w:val="both"/>
        <w:rPr>
          <w:u w:val="single"/>
        </w:rPr>
      </w:pPr>
      <w:r w:rsidRPr="003A268E">
        <w:rPr>
          <w:u w:val="single"/>
        </w:rPr>
        <w:t xml:space="preserve">Discussion et </w:t>
      </w:r>
      <w:proofErr w:type="spellStart"/>
      <w:r w:rsidRPr="003A268E">
        <w:rPr>
          <w:u w:val="single"/>
        </w:rPr>
        <w:t>analyse</w:t>
      </w:r>
      <w:proofErr w:type="spellEnd"/>
    </w:p>
    <w:p w:rsidR="00AB4DC0" w:rsidRPr="003A268E" w:rsidRDefault="00AB4DC0" w:rsidP="003A268E">
      <w:pPr>
        <w:spacing w:after="0" w:line="240" w:lineRule="auto"/>
        <w:jc w:val="both"/>
      </w:pPr>
    </w:p>
    <w:p w:rsidR="00AB4DC0" w:rsidRPr="003A268E" w:rsidRDefault="00AB4DC0" w:rsidP="003A268E">
      <w:pPr>
        <w:pStyle w:val="Firstnumbering"/>
      </w:pPr>
      <w:r w:rsidRPr="003A268E">
        <w:t xml:space="preserve">Compte tenu du manque de financement pour certains aspects des Décisions et des développements intervenus depuis la COP12, il est recommandé de renouveler les décisions avec quelques amendements.  </w:t>
      </w:r>
    </w:p>
    <w:p w:rsidR="00AB4DC0" w:rsidRPr="003A268E" w:rsidRDefault="00AB4DC0" w:rsidP="003A268E">
      <w:pPr>
        <w:pStyle w:val="ListParagraph"/>
        <w:spacing w:after="0" w:line="240" w:lineRule="auto"/>
        <w:ind w:left="540"/>
        <w:jc w:val="both"/>
        <w:rPr>
          <w:lang w:val="fr-FR"/>
        </w:rPr>
      </w:pPr>
    </w:p>
    <w:p w:rsidR="00AB4DC0" w:rsidRPr="003A268E" w:rsidRDefault="00AB4DC0" w:rsidP="003A268E">
      <w:pPr>
        <w:pStyle w:val="Firstnumbering"/>
      </w:pPr>
      <w:r w:rsidRPr="003A268E">
        <w:t>Il est proposé de renouveler les Décisions 12.83-12.85 et 12.88 telles qu'elles figurent à l'Annexe 1 et de supprimer les Décisions 12.86-12.87 conformément à la recommandation du Comité permanent de ne pas porter l'affaire à son attention à moins qu'une action spécifique ne soit attendue de lui.</w:t>
      </w:r>
    </w:p>
    <w:p w:rsidR="00AB4DC0" w:rsidRDefault="00AB4DC0" w:rsidP="003A268E">
      <w:pPr>
        <w:spacing w:after="0" w:line="240" w:lineRule="auto"/>
        <w:jc w:val="both"/>
        <w:rPr>
          <w:u w:val="single"/>
          <w:lang w:val="fr-FR"/>
        </w:rPr>
      </w:pPr>
    </w:p>
    <w:p w:rsidR="003A268E" w:rsidRPr="003A268E" w:rsidRDefault="003A268E" w:rsidP="003A268E">
      <w:pPr>
        <w:spacing w:after="0" w:line="240" w:lineRule="auto"/>
        <w:jc w:val="both"/>
        <w:rPr>
          <w:u w:val="single"/>
          <w:lang w:val="fr-FR"/>
        </w:rPr>
      </w:pPr>
    </w:p>
    <w:p w:rsidR="00AB4DC0" w:rsidRPr="003A268E" w:rsidRDefault="00AB4DC0" w:rsidP="003A268E">
      <w:pPr>
        <w:spacing w:after="0" w:line="240" w:lineRule="auto"/>
        <w:jc w:val="both"/>
        <w:rPr>
          <w:u w:val="single"/>
          <w:lang w:val="fr-FR"/>
        </w:rPr>
      </w:pPr>
      <w:r w:rsidRPr="003A268E">
        <w:rPr>
          <w:u w:val="single"/>
          <w:lang w:val="fr-FR"/>
        </w:rPr>
        <w:t>Actions recommandées</w:t>
      </w:r>
    </w:p>
    <w:p w:rsidR="00AB4DC0" w:rsidRPr="003A268E" w:rsidRDefault="00AB4DC0" w:rsidP="003A268E">
      <w:pPr>
        <w:spacing w:after="0" w:line="240" w:lineRule="auto"/>
        <w:jc w:val="both"/>
        <w:rPr>
          <w:u w:val="single"/>
          <w:lang w:val="fr-FR"/>
        </w:rPr>
      </w:pPr>
    </w:p>
    <w:p w:rsidR="00293B2E" w:rsidRDefault="00AB4DC0" w:rsidP="003A268E">
      <w:pPr>
        <w:pStyle w:val="Firstnumbering"/>
      </w:pPr>
      <w:r w:rsidRPr="003A268E">
        <w:t>Il est recommandé que la Conférence des Parties examine et adopte les Décisions renouvelées figurant à l'Annexe 1 du présent document</w:t>
      </w:r>
      <w:r w:rsidR="003A268E">
        <w:t>.</w:t>
      </w:r>
    </w:p>
    <w:p w:rsidR="003A268E" w:rsidRDefault="003A268E" w:rsidP="003A268E">
      <w:pPr>
        <w:pStyle w:val="Firstnumbering"/>
        <w:numPr>
          <w:ilvl w:val="0"/>
          <w:numId w:val="0"/>
        </w:numPr>
        <w:ind w:left="567" w:hanging="567"/>
      </w:pPr>
    </w:p>
    <w:p w:rsidR="003A268E" w:rsidRDefault="003A268E" w:rsidP="003A268E">
      <w:pPr>
        <w:pStyle w:val="Firstnumbering"/>
        <w:numPr>
          <w:ilvl w:val="0"/>
          <w:numId w:val="0"/>
        </w:numPr>
        <w:ind w:left="567" w:hanging="567"/>
        <w:sectPr w:rsidR="003A268E" w:rsidSect="00D71837">
          <w:headerReference w:type="even" r:id="rId11"/>
          <w:headerReference w:type="default" r:id="rId12"/>
          <w:footerReference w:type="even" r:id="rId13"/>
          <w:footerReference w:type="default" r:id="rId14"/>
          <w:headerReference w:type="first" r:id="rId15"/>
          <w:pgSz w:w="11906" w:h="16838" w:code="9"/>
          <w:pgMar w:top="1134" w:right="1134" w:bottom="1134" w:left="1134" w:header="720" w:footer="720" w:gutter="0"/>
          <w:cols w:space="720"/>
          <w:titlePg/>
          <w:docGrid w:linePitch="360"/>
        </w:sectPr>
      </w:pPr>
    </w:p>
    <w:p w:rsidR="003A268E" w:rsidRPr="003A268E" w:rsidRDefault="003A268E" w:rsidP="003A268E">
      <w:pPr>
        <w:spacing w:after="0" w:line="240" w:lineRule="auto"/>
        <w:jc w:val="right"/>
        <w:rPr>
          <w:b/>
          <w:lang w:val="fr-FR"/>
        </w:rPr>
      </w:pPr>
      <w:r w:rsidRPr="003A268E">
        <w:rPr>
          <w:b/>
          <w:lang w:val="fr-FR"/>
        </w:rPr>
        <w:lastRenderedPageBreak/>
        <w:t xml:space="preserve">ANNEXE </w:t>
      </w:r>
    </w:p>
    <w:p w:rsidR="003A268E" w:rsidRPr="003A268E" w:rsidRDefault="003A268E" w:rsidP="003A268E">
      <w:pPr>
        <w:spacing w:after="0" w:line="240" w:lineRule="auto"/>
        <w:jc w:val="right"/>
        <w:rPr>
          <w:lang w:val="fr-FR"/>
        </w:rPr>
      </w:pPr>
    </w:p>
    <w:p w:rsidR="003A268E" w:rsidRDefault="003A268E" w:rsidP="003A268E">
      <w:pPr>
        <w:spacing w:after="0" w:line="240" w:lineRule="auto"/>
        <w:jc w:val="center"/>
        <w:rPr>
          <w:lang w:val="fr-FR"/>
        </w:rPr>
      </w:pPr>
    </w:p>
    <w:p w:rsidR="003A268E" w:rsidRPr="003A268E" w:rsidRDefault="003A268E" w:rsidP="003A268E">
      <w:pPr>
        <w:spacing w:after="0" w:line="240" w:lineRule="auto"/>
        <w:jc w:val="center"/>
        <w:rPr>
          <w:lang w:val="fr-FR"/>
        </w:rPr>
      </w:pPr>
      <w:r w:rsidRPr="003A268E">
        <w:rPr>
          <w:lang w:val="fr-FR"/>
        </w:rPr>
        <w:t>AMENDEMENTS AUX DÉCISIONS 12.83-12.88</w:t>
      </w:r>
    </w:p>
    <w:p w:rsidR="003A268E" w:rsidRPr="003A268E" w:rsidRDefault="003A268E" w:rsidP="003A268E">
      <w:pPr>
        <w:spacing w:after="0" w:line="240" w:lineRule="auto"/>
        <w:rPr>
          <w:lang w:val="fr-FR"/>
        </w:rPr>
      </w:pPr>
    </w:p>
    <w:p w:rsidR="003A268E" w:rsidRPr="003A268E" w:rsidRDefault="003A268E" w:rsidP="003A268E">
      <w:pPr>
        <w:suppressAutoHyphens/>
        <w:autoSpaceDN w:val="0"/>
        <w:spacing w:after="0" w:line="240" w:lineRule="auto"/>
        <w:jc w:val="center"/>
        <w:textAlignment w:val="baseline"/>
        <w:rPr>
          <w:rFonts w:eastAsia="Calibri" w:cs="Arial"/>
          <w:lang w:val="fr-FR"/>
        </w:rPr>
      </w:pPr>
      <w:r w:rsidRPr="003A268E">
        <w:rPr>
          <w:rFonts w:eastAsia="Times New Roman" w:cs="Arial"/>
          <w:b/>
          <w:caps/>
          <w:lang w:val="fr-FR"/>
        </w:rPr>
        <w:t>Gérer l'utilisation non durable de la viande d’animaux sauvages terrestres et aviaires des espèces migratrices d'animaux sauvages</w:t>
      </w:r>
    </w:p>
    <w:p w:rsidR="003A268E" w:rsidRPr="003A268E" w:rsidRDefault="003A268E" w:rsidP="003A268E">
      <w:pPr>
        <w:spacing w:after="0" w:line="240" w:lineRule="auto"/>
        <w:rPr>
          <w:lang w:val="fr-FR"/>
        </w:rPr>
      </w:pPr>
    </w:p>
    <w:p w:rsidR="003A268E" w:rsidRPr="003A268E" w:rsidRDefault="003A268E" w:rsidP="003A268E">
      <w:pPr>
        <w:spacing w:after="0" w:line="240" w:lineRule="auto"/>
        <w:rPr>
          <w:lang w:val="fr-FR"/>
        </w:rPr>
      </w:pPr>
    </w:p>
    <w:p w:rsidR="003A268E" w:rsidRPr="003A268E" w:rsidRDefault="003A268E" w:rsidP="003A268E">
      <w:pPr>
        <w:spacing w:after="0" w:line="240" w:lineRule="auto"/>
        <w:rPr>
          <w:b/>
          <w:i/>
          <w:lang w:val="fr-FR"/>
        </w:rPr>
      </w:pPr>
      <w:r w:rsidRPr="003A268E">
        <w:rPr>
          <w:b/>
          <w:i/>
          <w:lang w:val="fr-FR"/>
        </w:rPr>
        <w:t>À l’adresse du Secrétariat</w:t>
      </w:r>
    </w:p>
    <w:p w:rsidR="003A268E" w:rsidRPr="003A268E" w:rsidRDefault="003A268E" w:rsidP="003A268E">
      <w:pPr>
        <w:spacing w:after="0" w:line="240" w:lineRule="auto"/>
        <w:rPr>
          <w:lang w:val="fr-FR"/>
        </w:rPr>
      </w:pPr>
    </w:p>
    <w:p w:rsidR="003A268E" w:rsidRPr="003A268E" w:rsidRDefault="003A268E" w:rsidP="00E83F3A">
      <w:pPr>
        <w:spacing w:after="0" w:line="240" w:lineRule="auto"/>
        <w:ind w:left="1560" w:hanging="1560"/>
        <w:jc w:val="both"/>
        <w:rPr>
          <w:lang w:val="fr-FR"/>
        </w:rPr>
      </w:pPr>
      <w:proofErr w:type="gramStart"/>
      <w:r w:rsidRPr="003A268E">
        <w:rPr>
          <w:lang w:val="fr-FR"/>
        </w:rPr>
        <w:t>13:AA</w:t>
      </w:r>
      <w:proofErr w:type="gramEnd"/>
      <w:r w:rsidRPr="003A268E">
        <w:rPr>
          <w:lang w:val="fr-FR"/>
        </w:rPr>
        <w:t xml:space="preserve"> (12.83)</w:t>
      </w:r>
      <w:r w:rsidRPr="003A268E">
        <w:rPr>
          <w:lang w:val="fr-FR"/>
        </w:rPr>
        <w:tab/>
        <w:t>Le Secrétariat, sous réserve de la disponibilité de ressources externes et travaillant dans le cadre de la Convention :</w:t>
      </w:r>
    </w:p>
    <w:p w:rsidR="003A268E" w:rsidRPr="003A268E" w:rsidRDefault="003A268E" w:rsidP="00E83F3A">
      <w:pPr>
        <w:spacing w:after="0" w:line="240" w:lineRule="auto"/>
        <w:jc w:val="both"/>
        <w:rPr>
          <w:lang w:val="fr-FR"/>
        </w:rPr>
      </w:pPr>
    </w:p>
    <w:p w:rsidR="003A268E" w:rsidRPr="003A268E" w:rsidRDefault="003A268E" w:rsidP="00E83F3A">
      <w:pPr>
        <w:numPr>
          <w:ilvl w:val="0"/>
          <w:numId w:val="11"/>
        </w:numPr>
        <w:spacing w:after="0" w:line="240" w:lineRule="auto"/>
        <w:ind w:left="1985" w:hanging="425"/>
        <w:jc w:val="both"/>
        <w:rPr>
          <w:lang w:val="fr-FR"/>
        </w:rPr>
      </w:pPr>
      <w:proofErr w:type="gramStart"/>
      <w:r w:rsidRPr="003A268E">
        <w:rPr>
          <w:lang w:val="fr-FR"/>
        </w:rPr>
        <w:t>prépare</w:t>
      </w:r>
      <w:proofErr w:type="gramEnd"/>
      <w:r w:rsidRPr="003A268E">
        <w:rPr>
          <w:lang w:val="fr-FR"/>
        </w:rPr>
        <w:t xml:space="preserve"> une analyse des effets directs et indirects de la prise, le commerce et la consommation de viande d’animaux sauvages sur les espèces terrestres et aviaires inscrites aux Annexes I et II de la CMS ;</w:t>
      </w:r>
    </w:p>
    <w:p w:rsidR="003A268E" w:rsidRPr="003A268E" w:rsidRDefault="003A268E" w:rsidP="00E83F3A">
      <w:pPr>
        <w:spacing w:after="0" w:line="240" w:lineRule="auto"/>
        <w:ind w:left="1985" w:hanging="425"/>
        <w:jc w:val="both"/>
        <w:rPr>
          <w:lang w:val="fr-FR"/>
        </w:rPr>
      </w:pPr>
    </w:p>
    <w:p w:rsidR="003A268E" w:rsidRPr="003A268E" w:rsidRDefault="003A268E" w:rsidP="00E83F3A">
      <w:pPr>
        <w:numPr>
          <w:ilvl w:val="0"/>
          <w:numId w:val="11"/>
        </w:numPr>
        <w:spacing w:after="0" w:line="240" w:lineRule="auto"/>
        <w:ind w:left="1985" w:hanging="425"/>
        <w:jc w:val="both"/>
        <w:rPr>
          <w:lang w:val="fr-FR"/>
        </w:rPr>
      </w:pPr>
      <w:proofErr w:type="gramStart"/>
      <w:r w:rsidRPr="003A268E">
        <w:rPr>
          <w:lang w:val="fr-FR"/>
        </w:rPr>
        <w:t>sur</w:t>
      </w:r>
      <w:proofErr w:type="gramEnd"/>
      <w:r w:rsidRPr="003A268E">
        <w:rPr>
          <w:lang w:val="fr-FR"/>
        </w:rPr>
        <w:t xml:space="preserve"> la base des conclusions formulées au titre du paragraphe a), coopérer avec les membres du Partenariat de collaboration sur la gestion durable de la faune sauvage (CPW) et, en particulier, avec :</w:t>
      </w:r>
    </w:p>
    <w:p w:rsidR="003A268E" w:rsidRPr="003A268E" w:rsidRDefault="003A268E" w:rsidP="003A268E">
      <w:pPr>
        <w:spacing w:after="0" w:line="240" w:lineRule="auto"/>
        <w:ind w:left="1985" w:hanging="425"/>
        <w:rPr>
          <w:lang w:val="fr-FR"/>
        </w:rPr>
      </w:pPr>
    </w:p>
    <w:p w:rsidR="003A268E" w:rsidRPr="003A268E" w:rsidRDefault="003A268E" w:rsidP="003A268E">
      <w:pPr>
        <w:numPr>
          <w:ilvl w:val="1"/>
          <w:numId w:val="11"/>
        </w:numPr>
        <w:spacing w:after="0" w:line="240" w:lineRule="auto"/>
        <w:ind w:left="2410" w:hanging="425"/>
        <w:jc w:val="both"/>
        <w:rPr>
          <w:lang w:val="fr-FR"/>
        </w:rPr>
      </w:pPr>
      <w:proofErr w:type="gramStart"/>
      <w:r w:rsidRPr="003A268E">
        <w:rPr>
          <w:lang w:val="fr-FR"/>
        </w:rPr>
        <w:t>les</w:t>
      </w:r>
      <w:proofErr w:type="gramEnd"/>
      <w:r w:rsidRPr="003A268E">
        <w:rPr>
          <w:lang w:val="fr-FR"/>
        </w:rPr>
        <w:t xml:space="preserve"> Secrétariats de la Convention sur le commerce international des espèces de faune et de flore sauvages menacées d’extinction (CITES) et de la Convention sur la diversité biologique (CDB), ainsi que les présidences de leurs Conférences des Parties respectives par le biais des Secrétariats de la CDB et de la CITES, en donnant une importance accrue à la question de la prise, du commerce et de la consommation non durables de viande d’animaux sauvages dans l'agenda de politique mondiale ;</w:t>
      </w:r>
    </w:p>
    <w:p w:rsidR="003A268E" w:rsidRPr="003A268E" w:rsidRDefault="003A268E" w:rsidP="003A268E">
      <w:pPr>
        <w:spacing w:after="0" w:line="240" w:lineRule="auto"/>
        <w:ind w:left="2410" w:hanging="425"/>
        <w:jc w:val="both"/>
        <w:rPr>
          <w:lang w:val="fr-FR"/>
        </w:rPr>
      </w:pPr>
    </w:p>
    <w:p w:rsidR="003A268E" w:rsidRPr="003A268E" w:rsidRDefault="003A268E" w:rsidP="003A268E">
      <w:pPr>
        <w:numPr>
          <w:ilvl w:val="1"/>
          <w:numId w:val="11"/>
        </w:numPr>
        <w:spacing w:after="0" w:line="240" w:lineRule="auto"/>
        <w:ind w:left="2410" w:hanging="425"/>
        <w:jc w:val="both"/>
        <w:rPr>
          <w:strike/>
          <w:lang w:val="fr-FR"/>
        </w:rPr>
      </w:pPr>
      <w:r w:rsidRPr="003A268E">
        <w:rPr>
          <w:strike/>
          <w:lang w:val="fr-FR"/>
        </w:rPr>
        <w:t xml:space="preserve">L’Organisation des Nations Unies pour l’alimentation et l’agriculture (FAO), le Centre pour la recherche forestière internationale (CIFOR), le Centre de Coopération Internationale en Recherche Agronomique pour le Développement (CIRAD) et la </w:t>
      </w:r>
      <w:proofErr w:type="spellStart"/>
      <w:r w:rsidRPr="003A268E">
        <w:rPr>
          <w:strike/>
          <w:lang w:val="fr-FR"/>
        </w:rPr>
        <w:t>Wildlife</w:t>
      </w:r>
      <w:proofErr w:type="spellEnd"/>
      <w:r w:rsidRPr="003A268E">
        <w:rPr>
          <w:strike/>
          <w:lang w:val="fr-FR"/>
        </w:rPr>
        <w:t xml:space="preserve"> Conservation Society (WCS) (Société pour la conservation de la vie sauvage) sur des questions de gestion durable de la vie sauvage, dans la mesure où elles se rapportent aux espèces énumérées aux Annexes de la CMS et présenter les leçons retenues à la 13e Session de la Conférence des Parties ;</w:t>
      </w:r>
    </w:p>
    <w:p w:rsidR="003A268E" w:rsidRPr="003A268E" w:rsidRDefault="003A268E" w:rsidP="003A268E">
      <w:pPr>
        <w:spacing w:after="0" w:line="240" w:lineRule="auto"/>
        <w:ind w:left="2410" w:hanging="425"/>
        <w:jc w:val="both"/>
        <w:rPr>
          <w:lang w:val="fr-FR"/>
        </w:rPr>
      </w:pPr>
    </w:p>
    <w:p w:rsidR="003A268E" w:rsidRPr="003A268E" w:rsidRDefault="003A268E" w:rsidP="003A268E">
      <w:pPr>
        <w:numPr>
          <w:ilvl w:val="1"/>
          <w:numId w:val="11"/>
        </w:numPr>
        <w:spacing w:after="0" w:line="240" w:lineRule="auto"/>
        <w:ind w:left="2410" w:hanging="425"/>
        <w:jc w:val="both"/>
        <w:rPr>
          <w:strike/>
          <w:lang w:val="fr-FR"/>
        </w:rPr>
      </w:pPr>
      <w:r w:rsidRPr="003A268E">
        <w:rPr>
          <w:strike/>
          <w:lang w:val="fr-FR"/>
        </w:rPr>
        <w:t>Le Secrétaire exécutif de la CDB et d’autres membres du CPW pour contribuer au développement des orientations techniques pour une meilleure gouvernance en vue d’un secteur de la viande d’animaux sauvages (y compris la viande de brousse) plus durable, comme énoncé dans la Décision CBD/COP/DEC/XIII/8 de la CDB ;</w:t>
      </w:r>
    </w:p>
    <w:p w:rsidR="003A268E" w:rsidRPr="003A268E" w:rsidRDefault="003A268E" w:rsidP="003A268E">
      <w:pPr>
        <w:spacing w:after="0" w:line="240" w:lineRule="auto"/>
        <w:ind w:left="1440"/>
        <w:rPr>
          <w:lang w:val="fr-FR"/>
        </w:rPr>
      </w:pPr>
    </w:p>
    <w:p w:rsidR="003A268E" w:rsidRPr="003A268E" w:rsidRDefault="003A268E" w:rsidP="00E83F3A">
      <w:pPr>
        <w:numPr>
          <w:ilvl w:val="0"/>
          <w:numId w:val="11"/>
        </w:numPr>
        <w:spacing w:after="0" w:line="240" w:lineRule="auto"/>
        <w:ind w:left="1985" w:hanging="425"/>
        <w:rPr>
          <w:b/>
          <w:lang w:val="fr-FR"/>
        </w:rPr>
      </w:pPr>
      <w:proofErr w:type="gramStart"/>
      <w:r w:rsidRPr="003A268E">
        <w:rPr>
          <w:lang w:val="fr-FR"/>
        </w:rPr>
        <w:t>faire</w:t>
      </w:r>
      <w:proofErr w:type="gramEnd"/>
      <w:r w:rsidRPr="003A268E">
        <w:rPr>
          <w:lang w:val="fr-FR"/>
        </w:rPr>
        <w:t xml:space="preserve"> rapport </w:t>
      </w:r>
      <w:r w:rsidRPr="003A268E">
        <w:rPr>
          <w:strike/>
          <w:lang w:val="fr-FR"/>
        </w:rPr>
        <w:t>au Comité permanent à ses 48e et 49e réunions et</w:t>
      </w:r>
      <w:r w:rsidRPr="003A268E">
        <w:rPr>
          <w:lang w:val="fr-FR"/>
        </w:rPr>
        <w:t xml:space="preserve"> à la Conférence des Parties à ses 1e</w:t>
      </w:r>
      <w:r w:rsidRPr="003A268E">
        <w:rPr>
          <w:strike/>
          <w:lang w:val="fr-FR"/>
        </w:rPr>
        <w:t>3e</w:t>
      </w:r>
      <w:r w:rsidRPr="003A268E">
        <w:rPr>
          <w:u w:val="single"/>
          <w:lang w:val="fr-FR"/>
        </w:rPr>
        <w:t>et 4</w:t>
      </w:r>
      <w:r w:rsidRPr="003A268E">
        <w:rPr>
          <w:vertAlign w:val="superscript"/>
          <w:lang w:val="fr-FR"/>
        </w:rPr>
        <w:t>e</w:t>
      </w:r>
      <w:r w:rsidRPr="003A268E">
        <w:rPr>
          <w:lang w:val="fr-FR"/>
        </w:rPr>
        <w:t xml:space="preserve"> sessions sur l’état d’avancement de la mise en application de cette décision.</w:t>
      </w:r>
    </w:p>
    <w:p w:rsidR="003A268E" w:rsidRPr="003A268E" w:rsidRDefault="003A268E" w:rsidP="003A268E">
      <w:pPr>
        <w:spacing w:after="0" w:line="240" w:lineRule="auto"/>
        <w:rPr>
          <w:b/>
          <w:i/>
          <w:lang w:val="fr-FR"/>
        </w:rPr>
      </w:pPr>
    </w:p>
    <w:p w:rsidR="00E83F3A" w:rsidRDefault="00E83F3A">
      <w:pPr>
        <w:rPr>
          <w:b/>
          <w:i/>
          <w:lang w:val="fr-FR"/>
        </w:rPr>
      </w:pPr>
      <w:r>
        <w:rPr>
          <w:b/>
          <w:i/>
          <w:lang w:val="fr-FR"/>
        </w:rPr>
        <w:br w:type="page"/>
      </w:r>
    </w:p>
    <w:p w:rsidR="003A268E" w:rsidRPr="003A268E" w:rsidRDefault="003A268E" w:rsidP="003A268E">
      <w:pPr>
        <w:spacing w:after="0" w:line="240" w:lineRule="auto"/>
        <w:rPr>
          <w:b/>
          <w:i/>
          <w:lang w:val="fr-FR"/>
        </w:rPr>
      </w:pPr>
      <w:r w:rsidRPr="003A268E">
        <w:rPr>
          <w:b/>
          <w:i/>
          <w:lang w:val="fr-FR"/>
        </w:rPr>
        <w:lastRenderedPageBreak/>
        <w:t xml:space="preserve">À l’adresse des Parties </w:t>
      </w:r>
    </w:p>
    <w:p w:rsidR="003A268E" w:rsidRPr="003A268E" w:rsidRDefault="003A268E" w:rsidP="003A268E">
      <w:pPr>
        <w:spacing w:after="0" w:line="240" w:lineRule="auto"/>
        <w:rPr>
          <w:lang w:val="fr-FR"/>
        </w:rPr>
      </w:pPr>
    </w:p>
    <w:p w:rsidR="003A268E" w:rsidRPr="003A268E" w:rsidRDefault="003A268E" w:rsidP="00E83F3A">
      <w:pPr>
        <w:spacing w:after="0" w:line="240" w:lineRule="auto"/>
        <w:ind w:left="1560" w:hanging="1560"/>
        <w:jc w:val="both"/>
        <w:rPr>
          <w:lang w:val="fr-FR"/>
        </w:rPr>
      </w:pPr>
      <w:r w:rsidRPr="003A268E">
        <w:rPr>
          <w:lang w:val="fr-FR"/>
        </w:rPr>
        <w:t>13.BB (12.84)</w:t>
      </w:r>
      <w:r w:rsidRPr="003A268E">
        <w:rPr>
          <w:lang w:val="fr-FR"/>
        </w:rPr>
        <w:tab/>
        <w:t xml:space="preserve">Les Parties sont invitées à coopérer avec le Secrétariat pour la mise en </w:t>
      </w:r>
      <w:proofErr w:type="spellStart"/>
      <w:r w:rsidRPr="003A268E">
        <w:rPr>
          <w:lang w:val="fr-FR"/>
        </w:rPr>
        <w:t>oeuvre</w:t>
      </w:r>
      <w:proofErr w:type="spellEnd"/>
      <w:r w:rsidRPr="003A268E">
        <w:rPr>
          <w:lang w:val="fr-FR"/>
        </w:rPr>
        <w:t xml:space="preserve"> de la Décision </w:t>
      </w:r>
      <w:proofErr w:type="gramStart"/>
      <w:r w:rsidRPr="003A268E">
        <w:rPr>
          <w:lang w:val="fr-FR"/>
        </w:rPr>
        <w:t>13.AA</w:t>
      </w:r>
      <w:proofErr w:type="gramEnd"/>
      <w:r w:rsidRPr="003A268E">
        <w:rPr>
          <w:lang w:val="fr-FR"/>
        </w:rPr>
        <w:t>, en :</w:t>
      </w:r>
    </w:p>
    <w:p w:rsidR="003A268E" w:rsidRPr="003A268E" w:rsidRDefault="003A268E" w:rsidP="003A268E">
      <w:pPr>
        <w:spacing w:after="0" w:line="240" w:lineRule="auto"/>
        <w:rPr>
          <w:lang w:val="fr-FR"/>
        </w:rPr>
      </w:pPr>
    </w:p>
    <w:p w:rsidR="003A268E" w:rsidRPr="003A268E" w:rsidRDefault="003A268E" w:rsidP="00E83F3A">
      <w:pPr>
        <w:numPr>
          <w:ilvl w:val="0"/>
          <w:numId w:val="12"/>
        </w:numPr>
        <w:spacing w:after="0" w:line="240" w:lineRule="auto"/>
        <w:ind w:left="1985" w:hanging="425"/>
        <w:jc w:val="both"/>
        <w:rPr>
          <w:lang w:val="fr-FR"/>
        </w:rPr>
      </w:pPr>
      <w:proofErr w:type="gramStart"/>
      <w:r w:rsidRPr="003A268E">
        <w:rPr>
          <w:lang w:val="fr-FR"/>
        </w:rPr>
        <w:t>fournissant</w:t>
      </w:r>
      <w:proofErr w:type="gramEnd"/>
      <w:r w:rsidRPr="003A268E">
        <w:rPr>
          <w:lang w:val="fr-FR"/>
        </w:rPr>
        <w:t xml:space="preserve"> des informations et des données pour l’analyse mentionnée ci-dessus au paragraphe a) ; et</w:t>
      </w:r>
    </w:p>
    <w:p w:rsidR="003A268E" w:rsidRPr="003A268E" w:rsidRDefault="003A268E" w:rsidP="00E83F3A">
      <w:pPr>
        <w:spacing w:after="0" w:line="240" w:lineRule="auto"/>
        <w:ind w:left="1985" w:hanging="425"/>
        <w:jc w:val="both"/>
        <w:rPr>
          <w:lang w:val="fr-FR"/>
        </w:rPr>
      </w:pPr>
    </w:p>
    <w:p w:rsidR="003A268E" w:rsidRPr="003A268E" w:rsidRDefault="003A268E" w:rsidP="00E83F3A">
      <w:pPr>
        <w:numPr>
          <w:ilvl w:val="0"/>
          <w:numId w:val="12"/>
        </w:numPr>
        <w:spacing w:after="0" w:line="240" w:lineRule="auto"/>
        <w:ind w:left="1985" w:hanging="425"/>
        <w:jc w:val="both"/>
        <w:rPr>
          <w:lang w:val="fr-FR"/>
        </w:rPr>
      </w:pPr>
      <w:proofErr w:type="gramStart"/>
      <w:r w:rsidRPr="003A268E">
        <w:rPr>
          <w:lang w:val="fr-FR"/>
        </w:rPr>
        <w:t>contribuant</w:t>
      </w:r>
      <w:proofErr w:type="gramEnd"/>
      <w:r w:rsidRPr="003A268E">
        <w:rPr>
          <w:lang w:val="fr-FR"/>
        </w:rPr>
        <w:t xml:space="preserve"> aux débats sur la viande d’animaux sauvages dans les instances mondiales mentionnées au paragraphe (b) (i).</w:t>
      </w:r>
    </w:p>
    <w:p w:rsidR="003A268E" w:rsidRPr="003A268E" w:rsidRDefault="003A268E" w:rsidP="00E83F3A">
      <w:pPr>
        <w:spacing w:after="0" w:line="240" w:lineRule="auto"/>
        <w:ind w:left="1440"/>
        <w:jc w:val="both"/>
        <w:rPr>
          <w:lang w:val="fr-FR"/>
        </w:rPr>
      </w:pPr>
    </w:p>
    <w:p w:rsidR="003A268E" w:rsidRPr="003A268E" w:rsidRDefault="003A268E" w:rsidP="003A268E">
      <w:pPr>
        <w:spacing w:after="0" w:line="240" w:lineRule="auto"/>
        <w:rPr>
          <w:b/>
          <w:i/>
          <w:lang w:val="fr-FR"/>
        </w:rPr>
      </w:pPr>
      <w:r w:rsidRPr="003A268E">
        <w:rPr>
          <w:b/>
          <w:i/>
          <w:lang w:val="fr-FR"/>
        </w:rPr>
        <w:t xml:space="preserve">À l’adresse des Parties </w:t>
      </w:r>
    </w:p>
    <w:p w:rsidR="003A268E" w:rsidRPr="003A268E" w:rsidRDefault="003A268E" w:rsidP="003A268E">
      <w:pPr>
        <w:spacing w:after="0" w:line="240" w:lineRule="auto"/>
        <w:ind w:left="1440" w:hanging="1440"/>
        <w:rPr>
          <w:b/>
          <w:i/>
          <w:lang w:val="fr-FR"/>
        </w:rPr>
      </w:pPr>
    </w:p>
    <w:p w:rsidR="003A268E" w:rsidRPr="003A268E" w:rsidRDefault="003A268E" w:rsidP="00E83F3A">
      <w:pPr>
        <w:spacing w:after="0" w:line="240" w:lineRule="auto"/>
        <w:ind w:left="1560" w:hanging="1560"/>
        <w:jc w:val="both"/>
        <w:rPr>
          <w:lang w:val="fr-FR"/>
        </w:rPr>
      </w:pPr>
      <w:r w:rsidRPr="003A268E">
        <w:rPr>
          <w:lang w:val="fr-FR"/>
        </w:rPr>
        <w:t>13.CC (12.85)</w:t>
      </w:r>
      <w:r w:rsidR="00E83F3A">
        <w:rPr>
          <w:lang w:val="fr-FR"/>
        </w:rPr>
        <w:tab/>
      </w:r>
      <w:r w:rsidRPr="003A268E">
        <w:rPr>
          <w:lang w:val="fr-FR"/>
        </w:rPr>
        <w:t>Les Parties sont invitées à envisager, le cas échéant, via la coopération entre les points focaux nationaux de la CMS et de la CITES, de réglementer le commerce de viandes sauvages des espèces terrestres et aviaires énumérées aux Annexes I et II de la CMS afin d'éviter les effets négatifs sur l'état de conservation des populations sources.</w:t>
      </w:r>
    </w:p>
    <w:p w:rsidR="003A268E" w:rsidRPr="003A268E" w:rsidRDefault="003A268E" w:rsidP="00E83F3A">
      <w:pPr>
        <w:spacing w:after="0" w:line="240" w:lineRule="auto"/>
        <w:jc w:val="both"/>
        <w:rPr>
          <w:i/>
          <w:lang w:val="fr-FR"/>
        </w:rPr>
      </w:pPr>
    </w:p>
    <w:p w:rsidR="003A268E" w:rsidRPr="003A268E" w:rsidRDefault="003A268E" w:rsidP="003A268E">
      <w:pPr>
        <w:spacing w:after="0" w:line="240" w:lineRule="auto"/>
        <w:rPr>
          <w:b/>
          <w:i/>
          <w:strike/>
          <w:lang w:val="fr-FR"/>
        </w:rPr>
      </w:pPr>
      <w:r w:rsidRPr="003A268E">
        <w:rPr>
          <w:b/>
          <w:i/>
          <w:strike/>
          <w:lang w:val="fr-FR"/>
        </w:rPr>
        <w:t xml:space="preserve">À l’adresse du Conseil scientifique </w:t>
      </w:r>
    </w:p>
    <w:p w:rsidR="003A268E" w:rsidRPr="003A268E" w:rsidRDefault="003A268E" w:rsidP="003A268E">
      <w:pPr>
        <w:spacing w:after="0" w:line="240" w:lineRule="auto"/>
        <w:rPr>
          <w:b/>
          <w:i/>
          <w:strike/>
          <w:lang w:val="fr-FR"/>
        </w:rPr>
      </w:pPr>
    </w:p>
    <w:p w:rsidR="003A268E" w:rsidRPr="003A268E" w:rsidRDefault="003A268E" w:rsidP="00E83F3A">
      <w:pPr>
        <w:spacing w:after="0" w:line="240" w:lineRule="auto"/>
        <w:ind w:left="1560" w:hanging="1560"/>
        <w:jc w:val="both"/>
        <w:rPr>
          <w:strike/>
          <w:lang w:val="fr-FR"/>
        </w:rPr>
      </w:pPr>
      <w:r w:rsidRPr="003A268E">
        <w:rPr>
          <w:b/>
          <w:i/>
          <w:strike/>
          <w:lang w:val="fr-FR"/>
        </w:rPr>
        <w:t>12.86</w:t>
      </w:r>
      <w:r w:rsidRPr="003A268E">
        <w:rPr>
          <w:b/>
          <w:i/>
          <w:strike/>
          <w:lang w:val="fr-FR"/>
        </w:rPr>
        <w:tab/>
      </w:r>
      <w:r w:rsidRPr="003A268E">
        <w:rPr>
          <w:strike/>
          <w:lang w:val="fr-FR"/>
        </w:rPr>
        <w:t>Le Conseil scientifique devrait examiner l’analyse, soumise par le Secrétariat, des effets directs et indirects de la consommation de viande d’animaux sauvages sur les espèces énumérées par la CMS et formuler les recommandations appropriées aux 48e et 49e Réunions du Comité permanent.</w:t>
      </w:r>
      <w:r w:rsidRPr="003A268E">
        <w:rPr>
          <w:lang w:val="fr-FR"/>
        </w:rPr>
        <w:t xml:space="preserve"> </w:t>
      </w:r>
    </w:p>
    <w:p w:rsidR="003A268E" w:rsidRPr="003A268E" w:rsidRDefault="003A268E" w:rsidP="003A268E">
      <w:pPr>
        <w:spacing w:after="0" w:line="240" w:lineRule="auto"/>
        <w:rPr>
          <w:b/>
          <w:i/>
          <w:lang w:val="fr-FR"/>
        </w:rPr>
      </w:pPr>
    </w:p>
    <w:p w:rsidR="003A268E" w:rsidRPr="003A268E" w:rsidRDefault="003A268E" w:rsidP="003A268E">
      <w:pPr>
        <w:spacing w:after="0" w:line="240" w:lineRule="auto"/>
        <w:rPr>
          <w:b/>
          <w:i/>
          <w:strike/>
          <w:lang w:val="fr-FR"/>
        </w:rPr>
      </w:pPr>
      <w:r w:rsidRPr="003A268E">
        <w:rPr>
          <w:b/>
          <w:i/>
          <w:strike/>
          <w:lang w:val="fr-FR"/>
        </w:rPr>
        <w:t>À l’adresse du Comité permanent</w:t>
      </w:r>
    </w:p>
    <w:p w:rsidR="003A268E" w:rsidRPr="003A268E" w:rsidRDefault="003A268E" w:rsidP="003A268E">
      <w:pPr>
        <w:spacing w:after="0" w:line="240" w:lineRule="auto"/>
        <w:rPr>
          <w:b/>
          <w:i/>
          <w:strike/>
          <w:lang w:val="fr-FR"/>
        </w:rPr>
      </w:pPr>
    </w:p>
    <w:p w:rsidR="003A268E" w:rsidRPr="003A268E" w:rsidRDefault="003A268E" w:rsidP="00E83F3A">
      <w:pPr>
        <w:spacing w:after="0" w:line="240" w:lineRule="auto"/>
        <w:ind w:left="1560" w:hanging="1560"/>
        <w:jc w:val="both"/>
        <w:rPr>
          <w:strike/>
          <w:lang w:val="fr-FR"/>
        </w:rPr>
      </w:pPr>
      <w:r w:rsidRPr="003A268E">
        <w:rPr>
          <w:b/>
          <w:i/>
          <w:strike/>
          <w:lang w:val="fr-FR"/>
        </w:rPr>
        <w:t>12.87</w:t>
      </w:r>
      <w:r w:rsidR="00E83F3A">
        <w:rPr>
          <w:b/>
          <w:i/>
          <w:strike/>
          <w:lang w:val="fr-FR"/>
        </w:rPr>
        <w:tab/>
      </w:r>
      <w:r w:rsidRPr="003A268E">
        <w:rPr>
          <w:strike/>
          <w:lang w:val="fr-FR"/>
        </w:rPr>
        <w:t>Le Comité permanent examine lors de ses 48e et 49e réunions le rapport soumis par le Secrétariat et toute recommandation du Conseil scientifique, et fait des recommandations appropriées à la 13e session de la Conférence des Parties.</w:t>
      </w:r>
      <w:r w:rsidRPr="003A268E">
        <w:rPr>
          <w:lang w:val="fr-FR"/>
        </w:rPr>
        <w:t xml:space="preserve"> </w:t>
      </w:r>
    </w:p>
    <w:p w:rsidR="003A268E" w:rsidRPr="003A268E" w:rsidRDefault="003A268E" w:rsidP="003A268E">
      <w:pPr>
        <w:spacing w:after="0" w:line="240" w:lineRule="auto"/>
        <w:rPr>
          <w:b/>
          <w:i/>
          <w:lang w:val="fr-FR"/>
        </w:rPr>
      </w:pPr>
    </w:p>
    <w:p w:rsidR="003A268E" w:rsidRPr="003A268E" w:rsidRDefault="003A268E" w:rsidP="003A268E">
      <w:pPr>
        <w:spacing w:after="0" w:line="240" w:lineRule="auto"/>
        <w:rPr>
          <w:b/>
          <w:i/>
          <w:lang w:val="fr-FR"/>
        </w:rPr>
      </w:pPr>
      <w:r w:rsidRPr="003A268E">
        <w:rPr>
          <w:b/>
          <w:i/>
          <w:lang w:val="fr-FR"/>
        </w:rPr>
        <w:t>À l’adresse des Parties, des organisations intergouvernementales et non gouvernementales</w:t>
      </w:r>
    </w:p>
    <w:p w:rsidR="003A268E" w:rsidRPr="003A268E" w:rsidRDefault="003A268E" w:rsidP="003A268E">
      <w:pPr>
        <w:spacing w:after="0" w:line="240" w:lineRule="auto"/>
        <w:ind w:left="1440" w:hanging="1440"/>
        <w:rPr>
          <w:lang w:val="fr-FR"/>
        </w:rPr>
      </w:pPr>
    </w:p>
    <w:p w:rsidR="003A268E" w:rsidRPr="003A268E" w:rsidRDefault="003A268E" w:rsidP="00E83F3A">
      <w:pPr>
        <w:spacing w:after="0" w:line="240" w:lineRule="auto"/>
        <w:ind w:left="1560" w:hanging="1560"/>
        <w:jc w:val="both"/>
        <w:rPr>
          <w:lang w:val="fr-FR"/>
        </w:rPr>
      </w:pPr>
      <w:r w:rsidRPr="003A268E">
        <w:rPr>
          <w:lang w:val="fr-FR"/>
        </w:rPr>
        <w:t>13.DD (12.88)</w:t>
      </w:r>
      <w:r w:rsidRPr="003A268E">
        <w:rPr>
          <w:lang w:val="fr-FR"/>
        </w:rPr>
        <w:tab/>
        <w:t>Les Parties, les organisations intergouvernementales et non gouvernementales sont instamment invitées à apporter un soutien volontaire financier et technique pour l’application des Décisions ci-dessus.</w:t>
      </w:r>
    </w:p>
    <w:p w:rsidR="003A268E" w:rsidRDefault="003A268E" w:rsidP="003A268E">
      <w:pPr>
        <w:pStyle w:val="Firstnumbering"/>
        <w:numPr>
          <w:ilvl w:val="0"/>
          <w:numId w:val="0"/>
        </w:numPr>
        <w:ind w:left="567" w:hanging="567"/>
      </w:pPr>
    </w:p>
    <w:sectPr w:rsidR="003A268E">
      <w:headerReference w:type="even" r:id="rId16"/>
      <w:headerReference w:type="default" r:id="rId17"/>
      <w:footerReference w:type="even" r:id="rId18"/>
      <w:headerReference w:type="first" r:id="rId19"/>
      <w:footerReference w:type="first" r:id="rId2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rPr>
    </w:sdtEndPr>
    <w:sdtContent>
      <w:p w:rsidR="00BC5FD5" w:rsidRDefault="00E83F3A">
        <w:pPr>
          <w:pStyle w:val="Footer"/>
          <w:jc w:val="center"/>
          <w:rPr>
            <w:sz w:val="18"/>
          </w:rPr>
        </w:pPr>
        <w:r w:rsidRPr="002E0DE9">
          <w:rPr>
            <w:sz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322151"/>
      <w:docPartObj>
        <w:docPartGallery w:val="Page Numbers (Bottom of Page)"/>
        <w:docPartUnique/>
      </w:docPartObj>
    </w:sdtPr>
    <w:sdtEndPr>
      <w:rPr>
        <w:noProof/>
        <w:sz w:val="18"/>
        <w:szCs w:val="18"/>
      </w:rPr>
    </w:sdtEndPr>
    <w:sdtContent>
      <w:p w:rsidR="00E83F3A" w:rsidRPr="00E83F3A" w:rsidRDefault="00E83F3A">
        <w:pPr>
          <w:pStyle w:val="Footer"/>
          <w:jc w:val="center"/>
          <w:rPr>
            <w:sz w:val="18"/>
            <w:szCs w:val="18"/>
          </w:rPr>
        </w:pPr>
        <w:r w:rsidRPr="00E83F3A">
          <w:rPr>
            <w:sz w:val="18"/>
            <w:szCs w:val="18"/>
          </w:rPr>
          <w:fldChar w:fldCharType="begin"/>
        </w:r>
        <w:r w:rsidRPr="00E83F3A">
          <w:rPr>
            <w:sz w:val="18"/>
            <w:szCs w:val="18"/>
          </w:rPr>
          <w:instrText xml:space="preserve"> PAGE   \* MERGEFORMAT </w:instrText>
        </w:r>
        <w:r w:rsidRPr="00E83F3A">
          <w:rPr>
            <w:sz w:val="18"/>
            <w:szCs w:val="18"/>
          </w:rPr>
          <w:fldChar w:fldCharType="separate"/>
        </w:r>
        <w:r w:rsidRPr="00E83F3A">
          <w:rPr>
            <w:noProof/>
            <w:sz w:val="18"/>
            <w:szCs w:val="18"/>
          </w:rPr>
          <w:t>2</w:t>
        </w:r>
        <w:r w:rsidRPr="00E83F3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bookmarkStart w:id="3" w:name="_Hlk20913261"/>
    <w:bookmarkStart w:id="4" w:name="_Hlk20913262"/>
    <w:r w:rsidRPr="00EC2A58">
      <w:rPr>
        <w:rFonts w:eastAsia="Arial" w:cs="Arial"/>
        <w:i/>
        <w:sz w:val="18"/>
        <w:szCs w:val="18"/>
        <w:lang w:val="fr-FR"/>
      </w:rPr>
      <w:t>UNEP/CMS/COP13/Doc.</w:t>
    </w:r>
    <w:r w:rsidR="003A268E">
      <w:rPr>
        <w:rFonts w:eastAsia="Arial" w:cs="Arial"/>
        <w:i/>
        <w:sz w:val="18"/>
        <w:szCs w:val="18"/>
        <w:lang w:val="fr-FR"/>
      </w:rPr>
      <w:t>26.4.3</w:t>
    </w:r>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bookmarkStart w:id="5" w:name="_Hlk20913195"/>
    <w:bookmarkStart w:id="6" w:name="_Hlk20913196"/>
    <w:r w:rsidRPr="00EC2A58">
      <w:rPr>
        <w:rFonts w:eastAsia="Arial" w:cs="Arial"/>
        <w:i/>
        <w:sz w:val="18"/>
        <w:szCs w:val="18"/>
        <w:lang w:val="fr-FR"/>
      </w:rPr>
      <w:t>UNEP/CMS/COP13/Doc.</w:t>
    </w:r>
    <w:r w:rsidR="003A268E">
      <w:rPr>
        <w:rFonts w:eastAsia="Arial" w:cs="Arial"/>
        <w:i/>
        <w:sz w:val="18"/>
        <w:szCs w:val="18"/>
        <w:lang w:val="fr-FR"/>
      </w:rPr>
      <w:t>26.3.4</w:t>
    </w:r>
    <w:bookmarkEnd w:id="5"/>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68E" w:rsidRPr="003A268E" w:rsidRDefault="003A268E" w:rsidP="003A268E">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rPr>
    </w:pPr>
    <w:r w:rsidRPr="003A268E">
      <w:rPr>
        <w:rFonts w:eastAsia="Arial" w:cs="Arial"/>
        <w:i/>
        <w:sz w:val="18"/>
        <w:szCs w:val="18"/>
      </w:rPr>
      <w:t>UNEP/CMS/COP13/Doc.26.4.3/</w:t>
    </w:r>
    <w:proofErr w:type="spellStart"/>
    <w:r w:rsidRPr="003A268E">
      <w:rPr>
        <w:rFonts w:eastAsia="Arial" w:cs="Arial"/>
        <w:i/>
        <w:sz w:val="18"/>
        <w:szCs w:val="18"/>
      </w:rPr>
      <w:t>An</w:t>
    </w:r>
    <w:r>
      <w:rPr>
        <w:rFonts w:eastAsia="Arial" w:cs="Arial"/>
        <w:i/>
        <w:sz w:val="18"/>
        <w:szCs w:val="18"/>
      </w:rPr>
      <w:t>nexe</w:t>
    </w:r>
    <w:proofErr w:type="spellEnd"/>
  </w:p>
  <w:p w:rsidR="00BC5FD5" w:rsidRPr="003A268E" w:rsidRDefault="00444038" w:rsidP="003A26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FD5" w:rsidRDefault="00E83F3A">
    <w:pPr>
      <w:pStyle w:val="Header"/>
      <w:pBdr>
        <w:bottom w:val="single" w:sz="4" w:space="1" w:color="auto"/>
      </w:pBdr>
      <w:rPr>
        <w:i/>
        <w:sz w:val="18"/>
      </w:rPr>
    </w:pPr>
    <w:r>
      <w:rPr>
        <w:rFonts w:eastAsia="Times New Roman" w:cs="Arial"/>
        <w:i/>
        <w:sz w:val="18"/>
      </w:rPr>
      <w:t>UNEP/CMS/COP13/</w:t>
    </w:r>
    <w:proofErr w:type="spellStart"/>
    <w:r>
      <w:rPr>
        <w:rFonts w:eastAsia="Times New Roman" w:cs="Arial"/>
        <w:i/>
        <w:sz w:val="18"/>
        <w:shd w:val="clear" w:color="auto" w:fill="FFFF00"/>
      </w:rPr>
      <w:t>Doc.XX</w:t>
    </w:r>
    <w:proofErr w:type="spellEnd"/>
    <w:r>
      <w:rPr>
        <w:rFonts w:eastAsia="Times New Roman" w:cs="Arial"/>
        <w:i/>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68E" w:rsidRPr="003A268E" w:rsidRDefault="003A268E" w:rsidP="003A268E">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rPr>
    </w:pPr>
    <w:r w:rsidRPr="003A268E">
      <w:rPr>
        <w:rFonts w:eastAsia="Arial" w:cs="Arial"/>
        <w:i/>
        <w:sz w:val="18"/>
        <w:szCs w:val="18"/>
      </w:rPr>
      <w:t>UNEP/CMS/COP13/Doc.26.4.3/</w:t>
    </w:r>
    <w:proofErr w:type="spellStart"/>
    <w:r w:rsidRPr="003A268E">
      <w:rPr>
        <w:rFonts w:eastAsia="Arial" w:cs="Arial"/>
        <w:i/>
        <w:sz w:val="18"/>
        <w:szCs w:val="18"/>
      </w:rPr>
      <w:t>An</w:t>
    </w:r>
    <w:r>
      <w:rPr>
        <w:rFonts w:eastAsia="Arial" w:cs="Arial"/>
        <w:i/>
        <w:sz w:val="18"/>
        <w:szCs w:val="18"/>
      </w:rPr>
      <w:t>nexe</w:t>
    </w:r>
    <w:proofErr w:type="spellEnd"/>
    <w:r>
      <w:rPr>
        <w:rFonts w:eastAsia="Arial" w:cs="Arial"/>
        <w:i/>
        <w:sz w:val="18"/>
        <w:szCs w:val="18"/>
      </w:rPr>
      <w:t xml:space="preserve"> </w:t>
    </w:r>
  </w:p>
  <w:p w:rsidR="00BC5FD5" w:rsidRPr="003A268E" w:rsidRDefault="00444038" w:rsidP="003A2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15:restartNumberingAfterBreak="0">
    <w:nsid w:val="2DED2A6A"/>
    <w:multiLevelType w:val="hybridMultilevel"/>
    <w:tmpl w:val="AD88AB0E"/>
    <w:lvl w:ilvl="0" w:tplc="C0ECC844">
      <w:start w:val="1"/>
      <w:numFmt w:val="decimal"/>
      <w:pStyle w:val="Firstnumbering"/>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5" w15:restartNumberingAfterBreak="0">
    <w:nsid w:val="529D1E50"/>
    <w:multiLevelType w:val="hybridMultilevel"/>
    <w:tmpl w:val="A7563C5E"/>
    <w:lvl w:ilvl="0" w:tplc="73585152">
      <w:start w:val="1"/>
      <w:numFmt w:val="lowerLetter"/>
      <w:lvlText w:val="%1)"/>
      <w:lvlJc w:val="left"/>
      <w:pPr>
        <w:ind w:left="360" w:hanging="360"/>
      </w:pPr>
      <w:rPr>
        <w:b w:val="0"/>
      </w:r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57A10F88"/>
    <w:multiLevelType w:val="hybridMultilevel"/>
    <w:tmpl w:val="A7563C5E"/>
    <w:lvl w:ilvl="0" w:tplc="73585152">
      <w:start w:val="1"/>
      <w:numFmt w:val="lowerLetter"/>
      <w:lvlText w:val="%1)"/>
      <w:lvlJc w:val="left"/>
      <w:pPr>
        <w:ind w:left="360" w:hanging="360"/>
      </w:pPr>
      <w:rPr>
        <w:b w:val="0"/>
      </w:r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2B29E8"/>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9"/>
  </w:num>
  <w:num w:numId="4">
    <w:abstractNumId w:val="4"/>
  </w:num>
  <w:num w:numId="5">
    <w:abstractNumId w:val="0"/>
  </w:num>
  <w:num w:numId="6">
    <w:abstractNumId w:val="10"/>
  </w:num>
  <w:num w:numId="7">
    <w:abstractNumId w:val="1"/>
  </w:num>
  <w:num w:numId="8">
    <w:abstractNumId w:val="3"/>
  </w:num>
  <w:num w:numId="9">
    <w:abstractNumId w:val="5"/>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93B2E"/>
    <w:rsid w:val="003A268E"/>
    <w:rsid w:val="00434999"/>
    <w:rsid w:val="00444038"/>
    <w:rsid w:val="004D2819"/>
    <w:rsid w:val="005330F7"/>
    <w:rsid w:val="00563598"/>
    <w:rsid w:val="00705C1D"/>
    <w:rsid w:val="00853DCA"/>
    <w:rsid w:val="00870459"/>
    <w:rsid w:val="00882CD0"/>
    <w:rsid w:val="00896FBB"/>
    <w:rsid w:val="00897884"/>
    <w:rsid w:val="008C067D"/>
    <w:rsid w:val="009923B2"/>
    <w:rsid w:val="00AB4DC0"/>
    <w:rsid w:val="00AB773C"/>
    <w:rsid w:val="00B24B1C"/>
    <w:rsid w:val="00C771C2"/>
    <w:rsid w:val="00C87CA3"/>
    <w:rsid w:val="00D67AF1"/>
    <w:rsid w:val="00D71837"/>
    <w:rsid w:val="00E83F3A"/>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1A99"/>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AB4DC0"/>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AB4DC0"/>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705C1D"/>
    <w:pPr>
      <w:numPr>
        <w:numId w:val="5"/>
      </w:numPr>
      <w:ind w:left="1134" w:hanging="283"/>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705C1D"/>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basedOn w:val="DefaultParagraphFont"/>
    <w:uiPriority w:val="99"/>
    <w:unhideWhenUsed/>
    <w:rsid w:val="00AB4DC0"/>
    <w:rPr>
      <w:color w:val="0563C1" w:themeColor="hyperlink"/>
      <w:u w:val="single"/>
    </w:rPr>
  </w:style>
  <w:style w:type="paragraph" w:styleId="CommentText">
    <w:name w:val="annotation text"/>
    <w:basedOn w:val="Normal"/>
    <w:link w:val="CommentTextChar"/>
    <w:uiPriority w:val="99"/>
    <w:semiHidden/>
    <w:unhideWhenUsed/>
    <w:rsid w:val="00AB4DC0"/>
    <w:pPr>
      <w:spacing w:line="240" w:lineRule="auto"/>
    </w:pPr>
    <w:rPr>
      <w:sz w:val="20"/>
      <w:szCs w:val="20"/>
    </w:rPr>
  </w:style>
  <w:style w:type="character" w:customStyle="1" w:styleId="CommentTextChar">
    <w:name w:val="Comment Text Char"/>
    <w:basedOn w:val="DefaultParagraphFont"/>
    <w:link w:val="CommentText"/>
    <w:uiPriority w:val="99"/>
    <w:semiHidden/>
    <w:rsid w:val="00AB4DC0"/>
    <w:rPr>
      <w:sz w:val="20"/>
      <w:szCs w:val="20"/>
    </w:rPr>
  </w:style>
  <w:style w:type="paragraph" w:styleId="CommentSubject">
    <w:name w:val="annotation subject"/>
    <w:basedOn w:val="CommentText"/>
    <w:next w:val="CommentText"/>
    <w:link w:val="CommentSubjectChar"/>
    <w:uiPriority w:val="99"/>
    <w:semiHidden/>
    <w:unhideWhenUsed/>
    <w:rsid w:val="00AB4DC0"/>
    <w:rPr>
      <w:b/>
      <w:bCs/>
      <w:lang w:val="fr-FR"/>
    </w:rPr>
  </w:style>
  <w:style w:type="character" w:customStyle="1" w:styleId="CommentSubjectChar">
    <w:name w:val="Comment Subject Char"/>
    <w:basedOn w:val="CommentTextChar"/>
    <w:link w:val="CommentSubject"/>
    <w:uiPriority w:val="99"/>
    <w:semiHidden/>
    <w:rsid w:val="00AB4DC0"/>
    <w:rPr>
      <w:b/>
      <w:bCs/>
      <w:sz w:val="20"/>
      <w:szCs w:val="20"/>
      <w:lang w:val="fr-FR"/>
    </w:rPr>
  </w:style>
  <w:style w:type="character" w:styleId="FollowedHyperlink">
    <w:name w:val="FollowedHyperlink"/>
    <w:basedOn w:val="DefaultParagraphFont"/>
    <w:uiPriority w:val="99"/>
    <w:semiHidden/>
    <w:unhideWhenUsed/>
    <w:rsid w:val="00B24B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addressing-unsustainable-use-terrestrial-and-avian-wild-meat"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bd.int/doc/decisions/cop-14/cop-14-dec-07-fr.pdf"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cms.int/sites/default/files/022_POW%202018-2020_f_0.pdf" TargetMode="Externa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9330</Characters>
  <Application>Microsoft Office Word</Application>
  <DocSecurity>0</DocSecurity>
  <Lines>282</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2019-10-02T12:42:00Z</dcterms:created>
  <dcterms:modified xsi:type="dcterms:W3CDTF">2019-10-02T12:42:00Z</dcterms:modified>
</cp:coreProperties>
</file>