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CF7359">
              <w:rPr>
                <w:rFonts w:eastAsia="Arial" w:cs="Arial"/>
                <w:lang w:val="fr-FR"/>
              </w:rPr>
              <w:t>15.1</w:t>
            </w:r>
          </w:p>
          <w:p w:rsidR="00EC2A58" w:rsidRPr="00A02506" w:rsidRDefault="00CF7359"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6 décembre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CF7359">
        <w:rPr>
          <w:rFonts w:eastAsia="Arial" w:cs="Arial"/>
          <w:iCs/>
          <w:lang w:val="fr-FR"/>
        </w:rPr>
        <w:t>15.1</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CF7359" w:rsidRDefault="00CF7359" w:rsidP="00CF7359">
      <w:pPr>
        <w:pStyle w:val="FirstTitle"/>
      </w:pPr>
      <w:r>
        <w:t xml:space="preserve">DOMAINES D’ACTIVITÉ DES CONSEILLERS NOMMÉS PAR LA COP – ANALYSE, EXAMEN ET RECOMMANDATIONS </w:t>
      </w:r>
    </w:p>
    <w:p w:rsidR="00EC2A58" w:rsidRPr="00EC2A58" w:rsidRDefault="00EC2A58" w:rsidP="00CF7359">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w:t>
      </w:r>
      <w:r w:rsidR="00CF7359">
        <w:rPr>
          <w:rFonts w:eastAsia="Arial" w:cs="Arial"/>
          <w:i/>
          <w:iCs/>
          <w:lang w:val="fr-FR"/>
        </w:rPr>
        <w:t>Conseil scientifique</w:t>
      </w:r>
      <w:r w:rsidRPr="00EC2A58">
        <w:rPr>
          <w:rFonts w:eastAsia="Arial" w:cs="Arial"/>
          <w:i/>
          <w:iCs/>
          <w:lang w:val="fr-FR"/>
        </w:rPr>
        <w:t xml:space="preserve">)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145415</wp:posOffset>
                </wp:positionV>
                <wp:extent cx="4733925" cy="306705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733925" cy="3067050"/>
                        </a:xfrm>
                        <a:prstGeom prst="rect">
                          <a:avLst/>
                        </a:prstGeom>
                        <a:solidFill>
                          <a:srgbClr val="FFFFFF"/>
                        </a:solidFill>
                        <a:ln w="3172">
                          <a:solidFill>
                            <a:srgbClr val="000000"/>
                          </a:solidFill>
                          <a:prstDash val="solid"/>
                        </a:ln>
                      </wps:spPr>
                      <wps:txbx>
                        <w:txbxContent>
                          <w:p w:rsidR="00EC2A58" w:rsidRPr="006677CA" w:rsidRDefault="00EC2A58" w:rsidP="00CF7359">
                            <w:pPr>
                              <w:spacing w:after="0" w:line="240" w:lineRule="auto"/>
                              <w:rPr>
                                <w:lang w:val="fr-FR"/>
                              </w:rPr>
                            </w:pPr>
                            <w:r>
                              <w:rPr>
                                <w:rFonts w:eastAsia="Arial" w:cs="Arial"/>
                                <w:lang w:val="fr-FR"/>
                              </w:rPr>
                              <w:t>Résumé:</w:t>
                            </w:r>
                          </w:p>
                          <w:p w:rsidR="00CF7359" w:rsidRDefault="00CF7359" w:rsidP="00CF7359">
                            <w:pPr>
                              <w:spacing w:after="0" w:line="240" w:lineRule="auto"/>
                              <w:rPr>
                                <w:rFonts w:cs="Arial"/>
                                <w:sz w:val="21"/>
                                <w:szCs w:val="21"/>
                                <w:lang w:val="fr-FR"/>
                              </w:rPr>
                            </w:pPr>
                          </w:p>
                          <w:p w:rsidR="00CF7359" w:rsidRDefault="00CF7359" w:rsidP="00CF7359">
                            <w:pPr>
                              <w:spacing w:after="0" w:line="240" w:lineRule="auto"/>
                              <w:jc w:val="both"/>
                              <w:rPr>
                                <w:rFonts w:cs="Arial"/>
                                <w:lang w:val="fr-FR" w:bidi="fr-FR"/>
                              </w:rPr>
                            </w:pPr>
                            <w:r>
                              <w:rPr>
                                <w:rFonts w:cs="Arial"/>
                                <w:lang w:val="fr-FR" w:bidi="fr-FR"/>
                              </w:rPr>
                              <w:t xml:space="preserve">La Troisième Réunion du Comité de session du Conseil scientifique (Bonn, </w:t>
                            </w:r>
                          </w:p>
                          <w:p w:rsidR="00EC2A58" w:rsidRDefault="00CF7359" w:rsidP="00CF7359">
                            <w:pPr>
                              <w:spacing w:after="0" w:line="240" w:lineRule="auto"/>
                              <w:jc w:val="both"/>
                              <w:rPr>
                                <w:rFonts w:cs="Arial"/>
                                <w:lang w:val="fr-FR" w:bidi="fr-FR"/>
                              </w:rPr>
                            </w:pPr>
                            <w:r>
                              <w:rPr>
                                <w:rFonts w:cs="Arial"/>
                                <w:lang w:val="fr-FR" w:bidi="fr-FR"/>
                              </w:rPr>
                              <w:t>29 mai-1</w:t>
                            </w:r>
                            <w:r>
                              <w:rPr>
                                <w:rFonts w:cs="Arial"/>
                                <w:vertAlign w:val="superscript"/>
                                <w:lang w:val="fr-FR" w:bidi="fr-FR"/>
                              </w:rPr>
                              <w:t>er</w:t>
                            </w:r>
                            <w:r>
                              <w:rPr>
                                <w:rFonts w:cs="Arial"/>
                                <w:lang w:val="fr-FR" w:bidi="fr-FR"/>
                              </w:rPr>
                              <w:t> juin 2018) a décidé d’entreprendre un examen des domaines d’expertise des Conseillers nommés par la COP afin : i) de déterminer s’ils sont adaptés pour appuyer l’offre de conseils d’experts à la Convention ; ii) d’identifier des domaines d’activités des Conseillers nommés par la COP appropriés pour servir la Convention à la suite de la 13</w:t>
                            </w:r>
                            <w:r>
                              <w:rPr>
                                <w:rFonts w:cs="Arial"/>
                                <w:vertAlign w:val="superscript"/>
                                <w:lang w:val="fr-FR" w:bidi="fr-FR"/>
                              </w:rPr>
                              <w:t>e</w:t>
                            </w:r>
                            <w:r>
                              <w:rPr>
                                <w:rFonts w:cs="Arial"/>
                                <w:lang w:val="fr-FR" w:bidi="fr-FR"/>
                              </w:rPr>
                              <w:t> Réunion de la Conférence des Parties (COP13) ; iii) de définir un processus d’examen régulier de ces domaines d’activité ; iv) de présenter des recommandations à la COP13 sur ces questions, notamment des propositions de nouveaux domaines d’activité identifiés par les experts selon que de besoin.</w:t>
                            </w:r>
                          </w:p>
                          <w:p w:rsidR="00CF7359" w:rsidRDefault="00CF7359" w:rsidP="00CF7359">
                            <w:pPr>
                              <w:spacing w:after="0" w:line="240" w:lineRule="auto"/>
                              <w:jc w:val="both"/>
                              <w:rPr>
                                <w:rFonts w:cs="Arial"/>
                                <w:lang w:val="fr-FR" w:bidi="fr-FR"/>
                              </w:rPr>
                            </w:pPr>
                          </w:p>
                          <w:p w:rsidR="00CF7359" w:rsidRDefault="00CF7359" w:rsidP="00CF7359">
                            <w:pPr>
                              <w:spacing w:after="0" w:line="240" w:lineRule="auto"/>
                              <w:jc w:val="both"/>
                              <w:rPr>
                                <w:rFonts w:cs="Arial"/>
                                <w:lang w:val="fr-FR"/>
                              </w:rPr>
                            </w:pPr>
                            <w:r w:rsidRPr="00CF7359">
                              <w:rPr>
                                <w:rFonts w:cs="Arial"/>
                                <w:lang w:val="fr-FR"/>
                              </w:rPr>
                              <w:t>Le présent document rend compte des activités entreprises par le Comité de session pour atteindre les objectifs susmentionnés et soumet à la COP13 les recommandations du Comité de session à ce sujet.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45pt;width:372.7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" strokeweight=".08811mm">
                <v:textbox>
                  <w:txbxContent>
                    <w:p w:rsidR="00EC2A58" w:rsidRPr="006677CA" w:rsidRDefault="00EC2A58" w:rsidP="00CF7359">
                      <w:pPr>
                        <w:spacing w:after="0" w:line="240" w:lineRule="auto"/>
                        <w:rPr>
                          <w:lang w:val="fr-FR"/>
                        </w:rPr>
                      </w:pPr>
                      <w:r>
                        <w:rPr>
                          <w:rFonts w:eastAsia="Arial" w:cs="Arial"/>
                          <w:lang w:val="fr-FR"/>
                        </w:rPr>
                        <w:t>Résumé:</w:t>
                      </w:r>
                    </w:p>
                    <w:p w:rsidR="00CF7359" w:rsidRDefault="00CF7359" w:rsidP="00CF7359">
                      <w:pPr>
                        <w:spacing w:after="0" w:line="240" w:lineRule="auto"/>
                        <w:rPr>
                          <w:rFonts w:cs="Arial"/>
                          <w:sz w:val="21"/>
                          <w:szCs w:val="21"/>
                          <w:lang w:val="fr-FR"/>
                        </w:rPr>
                      </w:pPr>
                    </w:p>
                    <w:p w:rsidR="00CF7359" w:rsidRDefault="00CF7359" w:rsidP="00CF7359">
                      <w:pPr>
                        <w:spacing w:after="0" w:line="240" w:lineRule="auto"/>
                        <w:jc w:val="both"/>
                        <w:rPr>
                          <w:rFonts w:cs="Arial"/>
                          <w:lang w:val="fr-FR" w:bidi="fr-FR"/>
                        </w:rPr>
                      </w:pPr>
                      <w:r>
                        <w:rPr>
                          <w:rFonts w:cs="Arial"/>
                          <w:lang w:val="fr-FR" w:bidi="fr-FR"/>
                        </w:rPr>
                        <w:t xml:space="preserve">La Troisième Réunion du Comité de session du Conseil scientifique (Bonn, </w:t>
                      </w:r>
                    </w:p>
                    <w:p w:rsidR="00EC2A58" w:rsidRDefault="00CF7359" w:rsidP="00CF7359">
                      <w:pPr>
                        <w:spacing w:after="0" w:line="240" w:lineRule="auto"/>
                        <w:jc w:val="both"/>
                        <w:rPr>
                          <w:rFonts w:cs="Arial"/>
                          <w:lang w:val="fr-FR" w:bidi="fr-FR"/>
                        </w:rPr>
                      </w:pPr>
                      <w:r>
                        <w:rPr>
                          <w:rFonts w:cs="Arial"/>
                          <w:lang w:val="fr-FR" w:bidi="fr-FR"/>
                        </w:rPr>
                        <w:t>29 mai-1</w:t>
                      </w:r>
                      <w:r>
                        <w:rPr>
                          <w:rFonts w:cs="Arial"/>
                          <w:vertAlign w:val="superscript"/>
                          <w:lang w:val="fr-FR" w:bidi="fr-FR"/>
                        </w:rPr>
                        <w:t>er</w:t>
                      </w:r>
                      <w:r>
                        <w:rPr>
                          <w:rFonts w:cs="Arial"/>
                          <w:lang w:val="fr-FR" w:bidi="fr-FR"/>
                        </w:rPr>
                        <w:t> juin 2018) a décidé d’entreprendre un examen des domaines d’expertise des Conseillers nommés par la COP afin : i) de déterminer s’ils sont adaptés pour appuyer l’offre de conseils d’experts à la Convention ; ii) d’identifier des domaines d’activités des Conseillers nommés par la COP appropriés pour servir la Convention à la suite de la 13</w:t>
                      </w:r>
                      <w:r>
                        <w:rPr>
                          <w:rFonts w:cs="Arial"/>
                          <w:vertAlign w:val="superscript"/>
                          <w:lang w:val="fr-FR" w:bidi="fr-FR"/>
                        </w:rPr>
                        <w:t>e</w:t>
                      </w:r>
                      <w:r>
                        <w:rPr>
                          <w:rFonts w:cs="Arial"/>
                          <w:lang w:val="fr-FR" w:bidi="fr-FR"/>
                        </w:rPr>
                        <w:t> Réunion de la Conférence des Parties (COP13) ; iii) de définir un processus d’examen régulier de ces domaines d’activité ; iv) de présenter des recommandations à la COP13 sur ces questions, notamment des propositions de nouveaux domaines d’activité identifiés par les experts selon que de besoin.</w:t>
                      </w:r>
                    </w:p>
                    <w:p w:rsidR="00CF7359" w:rsidRDefault="00CF7359" w:rsidP="00CF7359">
                      <w:pPr>
                        <w:spacing w:after="0" w:line="240" w:lineRule="auto"/>
                        <w:jc w:val="both"/>
                        <w:rPr>
                          <w:rFonts w:cs="Arial"/>
                          <w:lang w:val="fr-FR" w:bidi="fr-FR"/>
                        </w:rPr>
                      </w:pPr>
                    </w:p>
                    <w:p w:rsidR="00CF7359" w:rsidRDefault="00CF7359" w:rsidP="00CF7359">
                      <w:pPr>
                        <w:spacing w:after="0" w:line="240" w:lineRule="auto"/>
                        <w:jc w:val="both"/>
                        <w:rPr>
                          <w:rFonts w:cs="Arial"/>
                          <w:lang w:val="fr-FR"/>
                        </w:rPr>
                      </w:pPr>
                      <w:r w:rsidRPr="00CF7359">
                        <w:rPr>
                          <w:rFonts w:cs="Arial"/>
                          <w:lang w:val="fr-FR"/>
                        </w:rPr>
                        <w:t>Le présent document rend compte des activités entreprises par le Comité de session pour atteindre les objectifs susmentionnés et soumet à la COP13 les recommandations du Comité de session à ce sujet.</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896FBB" w:rsidRPr="00896FBB" w:rsidRDefault="00CF7359" w:rsidP="00CF7359">
      <w:pPr>
        <w:pStyle w:val="FirstTitle"/>
        <w:spacing w:after="0"/>
      </w:pPr>
      <w:r>
        <w:t xml:space="preserve">DOMAINES D’ACTIVITÉ DES CONSEILLERS NOMMÉS PAR LA COP – ANALYSE, EXAMEN ET RECOMMANDATIONS </w:t>
      </w:r>
    </w:p>
    <w:p w:rsidR="00CF7359" w:rsidRDefault="00CF7359" w:rsidP="00CF7359">
      <w:pPr>
        <w:pStyle w:val="FourthnumberingA"/>
        <w:numPr>
          <w:ilvl w:val="0"/>
          <w:numId w:val="0"/>
        </w:numPr>
      </w:pPr>
    </w:p>
    <w:p w:rsidR="00896FBB" w:rsidRPr="00896FBB" w:rsidRDefault="00896FBB" w:rsidP="00D71837">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p>
    <w:p w:rsidR="00896FBB" w:rsidRPr="00CF7359" w:rsidRDefault="00896FBB" w:rsidP="00D71837">
      <w:pPr>
        <w:widowControl w:val="0"/>
        <w:suppressAutoHyphens/>
        <w:autoSpaceDE w:val="0"/>
        <w:autoSpaceDN w:val="0"/>
        <w:spacing w:after="0" w:line="240" w:lineRule="auto"/>
        <w:jc w:val="both"/>
        <w:textAlignment w:val="baseline"/>
        <w:rPr>
          <w:rFonts w:ascii="Calibri" w:eastAsia="Calibri" w:hAnsi="Calibri" w:cs="Times New Roman"/>
          <w:lang w:val="fr-FR"/>
        </w:rPr>
      </w:pPr>
      <w:r w:rsidRPr="00896FBB">
        <w:rPr>
          <w:rFonts w:eastAsia="Arial" w:cs="Arial"/>
          <w:u w:val="single"/>
          <w:lang w:val="fr-FR"/>
        </w:rPr>
        <w:t>Contexte</w:t>
      </w:r>
    </w:p>
    <w:p w:rsidR="00896FBB" w:rsidRPr="00896FBB" w:rsidRDefault="00896FBB" w:rsidP="00D71837">
      <w:pPr>
        <w:widowControl w:val="0"/>
        <w:suppressAutoHyphens/>
        <w:autoSpaceDE w:val="0"/>
        <w:autoSpaceDN w:val="0"/>
        <w:spacing w:after="0" w:line="240" w:lineRule="auto"/>
        <w:jc w:val="both"/>
        <w:textAlignment w:val="baseline"/>
        <w:rPr>
          <w:rFonts w:eastAsia="Times New Roman" w:cs="Arial"/>
          <w:lang w:val="fr-FR"/>
        </w:rPr>
      </w:pPr>
    </w:p>
    <w:p w:rsidR="00CF7359" w:rsidRDefault="00CF7359" w:rsidP="00AA0100">
      <w:pPr>
        <w:pStyle w:val="Firstnumbering"/>
        <w:numPr>
          <w:ilvl w:val="0"/>
          <w:numId w:val="8"/>
        </w:numPr>
        <w:spacing w:after="40"/>
        <w:ind w:left="567" w:hanging="567"/>
        <w:contextualSpacing w:val="0"/>
        <w:rPr>
          <w:rFonts w:cs="Arial"/>
          <w:lang w:bidi="fr-FR"/>
        </w:rPr>
      </w:pPr>
      <w:r>
        <w:rPr>
          <w:lang w:bidi="fr-FR"/>
        </w:rPr>
        <w:t xml:space="preserve">La Troisième Réunion du Comité de session du Conseil scientifique (Bonn, </w:t>
      </w:r>
      <w:r w:rsidRPr="00CF7359">
        <w:rPr>
          <w:rFonts w:cs="Arial"/>
          <w:lang w:bidi="fr-FR"/>
        </w:rPr>
        <w:t>29 mai-1</w:t>
      </w:r>
      <w:r w:rsidRPr="00CF7359">
        <w:rPr>
          <w:rFonts w:cs="Arial"/>
          <w:vertAlign w:val="superscript"/>
          <w:lang w:bidi="fr-FR"/>
        </w:rPr>
        <w:t>er</w:t>
      </w:r>
      <w:r w:rsidRPr="00CF7359">
        <w:rPr>
          <w:rFonts w:cs="Arial"/>
          <w:lang w:bidi="fr-FR"/>
        </w:rPr>
        <w:t> juin 2018) a décidé d’entreprendre un examen des domaines d’expertise des Conseillers nommés par la COP afin :</w:t>
      </w:r>
    </w:p>
    <w:p w:rsidR="00CF7359" w:rsidRDefault="00CF7359" w:rsidP="00CF7359">
      <w:pPr>
        <w:pStyle w:val="Firstnumbering"/>
        <w:numPr>
          <w:ilvl w:val="0"/>
          <w:numId w:val="0"/>
        </w:numPr>
        <w:spacing w:after="40"/>
        <w:ind w:left="1134" w:hanging="567"/>
        <w:contextualSpacing w:val="0"/>
        <w:rPr>
          <w:rFonts w:cs="Arial"/>
          <w:lang w:bidi="fr-FR"/>
        </w:rPr>
      </w:pPr>
      <w:r w:rsidRPr="00CF7359">
        <w:rPr>
          <w:rFonts w:cs="Arial"/>
          <w:lang w:bidi="fr-FR"/>
        </w:rPr>
        <w:t>i) </w:t>
      </w:r>
      <w:r>
        <w:rPr>
          <w:rFonts w:cs="Arial"/>
          <w:lang w:bidi="fr-FR"/>
        </w:rPr>
        <w:tab/>
      </w:r>
      <w:r w:rsidRPr="00CF7359">
        <w:rPr>
          <w:rFonts w:cs="Arial"/>
          <w:lang w:bidi="fr-FR"/>
        </w:rPr>
        <w:t>de déterminer s’ils sont adaptés pour appuyer l’offre de conseils d’experts à la Convention ;</w:t>
      </w:r>
    </w:p>
    <w:p w:rsidR="00CF7359" w:rsidRDefault="00CF7359" w:rsidP="00CF7359">
      <w:pPr>
        <w:pStyle w:val="Firstnumbering"/>
        <w:numPr>
          <w:ilvl w:val="0"/>
          <w:numId w:val="0"/>
        </w:numPr>
        <w:spacing w:after="40"/>
        <w:ind w:left="1134" w:hanging="567"/>
        <w:contextualSpacing w:val="0"/>
        <w:rPr>
          <w:rFonts w:cs="Arial"/>
          <w:lang w:bidi="fr-FR"/>
        </w:rPr>
      </w:pPr>
      <w:r w:rsidRPr="00CF7359">
        <w:rPr>
          <w:rFonts w:cs="Arial"/>
          <w:lang w:bidi="fr-FR"/>
        </w:rPr>
        <w:t>ii) </w:t>
      </w:r>
      <w:r>
        <w:rPr>
          <w:rFonts w:cs="Arial"/>
          <w:lang w:bidi="fr-FR"/>
        </w:rPr>
        <w:tab/>
      </w:r>
      <w:r w:rsidRPr="00CF7359">
        <w:rPr>
          <w:rFonts w:cs="Arial"/>
          <w:lang w:bidi="fr-FR"/>
        </w:rPr>
        <w:t>d’identifier des domaines d’activités des Conseillers nommés par la COP appropriés pour</w:t>
      </w:r>
    </w:p>
    <w:p w:rsidR="00CF7359" w:rsidRDefault="00CF7359" w:rsidP="00CF7359">
      <w:pPr>
        <w:pStyle w:val="Firstnumbering"/>
        <w:numPr>
          <w:ilvl w:val="0"/>
          <w:numId w:val="0"/>
        </w:numPr>
        <w:spacing w:after="40"/>
        <w:ind w:left="1134" w:hanging="567"/>
        <w:contextualSpacing w:val="0"/>
        <w:rPr>
          <w:rFonts w:cs="Arial"/>
          <w:lang w:bidi="fr-FR"/>
        </w:rPr>
      </w:pPr>
      <w:r>
        <w:rPr>
          <w:rFonts w:cs="Arial"/>
          <w:lang w:bidi="fr-FR"/>
        </w:rPr>
        <w:tab/>
      </w:r>
      <w:r w:rsidRPr="00CF7359">
        <w:rPr>
          <w:rFonts w:cs="Arial"/>
          <w:lang w:bidi="fr-FR"/>
        </w:rPr>
        <w:t>servir la Convention à la suite de la 13</w:t>
      </w:r>
      <w:r w:rsidRPr="00CF7359">
        <w:rPr>
          <w:rFonts w:cs="Arial"/>
          <w:vertAlign w:val="superscript"/>
          <w:lang w:bidi="fr-FR"/>
        </w:rPr>
        <w:t>e</w:t>
      </w:r>
      <w:r w:rsidRPr="00CF7359">
        <w:rPr>
          <w:rFonts w:cs="Arial"/>
          <w:lang w:bidi="fr-FR"/>
        </w:rPr>
        <w:t xml:space="preserve"> Réunion de la Conférence des Parties (COP13) ; </w:t>
      </w:r>
    </w:p>
    <w:p w:rsidR="00CF7359" w:rsidRDefault="00CF7359" w:rsidP="00CF7359">
      <w:pPr>
        <w:pStyle w:val="Firstnumbering"/>
        <w:numPr>
          <w:ilvl w:val="0"/>
          <w:numId w:val="0"/>
        </w:numPr>
        <w:spacing w:after="40"/>
        <w:ind w:left="1134" w:hanging="567"/>
        <w:contextualSpacing w:val="0"/>
        <w:rPr>
          <w:rFonts w:cs="Arial"/>
          <w:lang w:bidi="fr-FR"/>
        </w:rPr>
      </w:pPr>
      <w:r w:rsidRPr="00CF7359">
        <w:rPr>
          <w:rFonts w:cs="Arial"/>
          <w:lang w:bidi="fr-FR"/>
        </w:rPr>
        <w:t>iii) </w:t>
      </w:r>
      <w:r>
        <w:rPr>
          <w:rFonts w:cs="Arial"/>
          <w:lang w:bidi="fr-FR"/>
        </w:rPr>
        <w:tab/>
      </w:r>
      <w:r w:rsidRPr="00CF7359">
        <w:rPr>
          <w:rFonts w:cs="Arial"/>
          <w:lang w:bidi="fr-FR"/>
        </w:rPr>
        <w:t xml:space="preserve">de définir un processus d’examen régulier de ces domaines d’activité ; </w:t>
      </w:r>
    </w:p>
    <w:p w:rsidR="00EC2A58" w:rsidRPr="00CF7359" w:rsidRDefault="00CF7359" w:rsidP="00CF7359">
      <w:pPr>
        <w:pStyle w:val="Firstnumbering"/>
        <w:numPr>
          <w:ilvl w:val="0"/>
          <w:numId w:val="0"/>
        </w:numPr>
        <w:ind w:left="1134" w:hanging="567"/>
        <w:rPr>
          <w:rFonts w:cs="Arial"/>
          <w:lang w:bidi="fr-FR"/>
        </w:rPr>
      </w:pPr>
      <w:r w:rsidRPr="00CF7359">
        <w:rPr>
          <w:rFonts w:cs="Arial"/>
          <w:lang w:bidi="fr-FR"/>
        </w:rPr>
        <w:t>iv) </w:t>
      </w:r>
      <w:r>
        <w:rPr>
          <w:rFonts w:cs="Arial"/>
          <w:lang w:bidi="fr-FR"/>
        </w:rPr>
        <w:tab/>
      </w:r>
      <w:r w:rsidRPr="00CF7359">
        <w:rPr>
          <w:rFonts w:cs="Arial"/>
          <w:lang w:bidi="fr-FR"/>
        </w:rPr>
        <w:t>de présenter des recommandations à la COP13 sur ces questions, notamment des propositions de nouveaux domaines d’activité identifiés par les experts selon que de besoin</w:t>
      </w:r>
    </w:p>
    <w:p w:rsidR="00293B2E" w:rsidRDefault="00293B2E" w:rsidP="00EF7FC8">
      <w:pPr>
        <w:pStyle w:val="FourthnumberingA"/>
        <w:numPr>
          <w:ilvl w:val="0"/>
          <w:numId w:val="0"/>
        </w:numPr>
      </w:pPr>
    </w:p>
    <w:p w:rsidR="00AA0100" w:rsidRDefault="00AA0100" w:rsidP="00EF7FC8">
      <w:pPr>
        <w:pStyle w:val="FourthnumberingA"/>
        <w:numPr>
          <w:ilvl w:val="0"/>
          <w:numId w:val="0"/>
        </w:numPr>
        <w:rPr>
          <w:u w:val="single"/>
        </w:rPr>
      </w:pPr>
      <w:r w:rsidRPr="00AA0100">
        <w:rPr>
          <w:u w:val="single"/>
        </w:rPr>
        <w:t>Activités</w:t>
      </w:r>
    </w:p>
    <w:p w:rsidR="00AA0100" w:rsidRPr="00AA0100" w:rsidRDefault="00AA0100" w:rsidP="00EF7FC8">
      <w:pPr>
        <w:pStyle w:val="FourthnumberingA"/>
        <w:numPr>
          <w:ilvl w:val="0"/>
          <w:numId w:val="0"/>
        </w:numPr>
        <w:rPr>
          <w:u w:val="single"/>
        </w:rPr>
      </w:pPr>
    </w:p>
    <w:p w:rsidR="00AA0100" w:rsidRPr="00AA0100" w:rsidRDefault="00AA0100" w:rsidP="00AA0100">
      <w:pPr>
        <w:pStyle w:val="FourthnumberingA"/>
        <w:numPr>
          <w:ilvl w:val="0"/>
          <w:numId w:val="8"/>
        </w:numPr>
        <w:ind w:left="567" w:hanging="567"/>
      </w:pPr>
      <w:r>
        <w:rPr>
          <w:rFonts w:cs="Arial"/>
          <w:lang w:bidi="fr-FR"/>
        </w:rPr>
        <w:t>Un groupe de travail a été établi</w:t>
      </w:r>
      <w:r w:rsidRPr="00AA0100">
        <w:rPr>
          <w:rFonts w:cs="Arial"/>
          <w:lang w:bidi="fr-FR"/>
        </w:rPr>
        <w:t xml:space="preserve"> </w:t>
      </w:r>
      <w:r>
        <w:rPr>
          <w:rFonts w:cs="Arial"/>
          <w:lang w:bidi="fr-FR"/>
        </w:rPr>
        <w:t xml:space="preserve">pour faire progresser cette tâche au cours de la période intersession. </w:t>
      </w:r>
      <w:r w:rsidRPr="00AA0100">
        <w:rPr>
          <w:rFonts w:cs="Arial"/>
          <w:lang w:bidi="fr-FR"/>
        </w:rPr>
        <w:t>Le groupe de travail comprenait des représentants de toutes les régions de la CMS.</w:t>
      </w:r>
    </w:p>
    <w:p w:rsidR="00AA0100" w:rsidRPr="00AA0100" w:rsidRDefault="00AA0100" w:rsidP="00AA0100">
      <w:pPr>
        <w:pStyle w:val="FourthnumberingA"/>
        <w:numPr>
          <w:ilvl w:val="0"/>
          <w:numId w:val="0"/>
        </w:numPr>
        <w:ind w:left="567"/>
      </w:pPr>
    </w:p>
    <w:p w:rsidR="00AA0100" w:rsidRPr="00AA0100" w:rsidRDefault="00AA0100" w:rsidP="00AA0100">
      <w:pPr>
        <w:pStyle w:val="FourthnumberingA"/>
        <w:numPr>
          <w:ilvl w:val="0"/>
          <w:numId w:val="8"/>
        </w:numPr>
        <w:spacing w:after="40"/>
        <w:ind w:left="567" w:hanging="567"/>
        <w:contextualSpacing w:val="0"/>
      </w:pPr>
      <w:r w:rsidRPr="00AA0100">
        <w:t xml:space="preserve">Le groupe de travail a mené de vastes consultations tout au long du processus d'examen. Les </w:t>
      </w:r>
      <w:r>
        <w:t>premières ébauches</w:t>
      </w:r>
      <w:r w:rsidRPr="00AA0100">
        <w:t xml:space="preserve"> du document soumis pour examen à la 4</w:t>
      </w:r>
      <w:r w:rsidRPr="00AA0100">
        <w:rPr>
          <w:vertAlign w:val="superscript"/>
        </w:rPr>
        <w:t>e</w:t>
      </w:r>
      <w:r w:rsidRPr="00AA0100">
        <w:t xml:space="preserve"> réunion du Comité de session (Bonn, 12-15 novembre 2019) ont fait l'objet d'une série de consultations, résumées ci-dessous</w:t>
      </w:r>
    </w:p>
    <w:p w:rsidR="00AA0100" w:rsidRDefault="00AA0100" w:rsidP="003C38A9">
      <w:pPr>
        <w:numPr>
          <w:ilvl w:val="0"/>
          <w:numId w:val="9"/>
        </w:numPr>
        <w:spacing w:after="40" w:line="240" w:lineRule="auto"/>
        <w:ind w:left="1134" w:hanging="567"/>
        <w:jc w:val="both"/>
        <w:rPr>
          <w:rFonts w:cs="Arial"/>
          <w:lang w:val="fr-FR" w:bidi="fr-FR"/>
        </w:rPr>
      </w:pPr>
      <w:r>
        <w:rPr>
          <w:rFonts w:cs="Arial"/>
          <w:lang w:val="fr-FR" w:bidi="fr-FR"/>
        </w:rPr>
        <w:t>Juillet 2018 – les membres du groupe de travail ont élaboré et convenu d’une première ébauche du document pour consultation.</w:t>
      </w:r>
    </w:p>
    <w:p w:rsidR="00AA0100" w:rsidRDefault="00AA0100" w:rsidP="003C38A9">
      <w:pPr>
        <w:numPr>
          <w:ilvl w:val="0"/>
          <w:numId w:val="9"/>
        </w:numPr>
        <w:spacing w:after="40" w:line="240" w:lineRule="auto"/>
        <w:ind w:left="1134" w:hanging="567"/>
        <w:jc w:val="both"/>
        <w:rPr>
          <w:rFonts w:cs="Arial"/>
          <w:lang w:val="fr-FR" w:bidi="fr-FR"/>
        </w:rPr>
      </w:pPr>
      <w:r>
        <w:rPr>
          <w:rFonts w:cs="Arial"/>
          <w:lang w:val="fr-FR" w:bidi="fr-FR"/>
        </w:rPr>
        <w:t>Septembre 2018 – le projet de document a été distribué aux Conseillers nommés par la COP pour contributions.</w:t>
      </w:r>
    </w:p>
    <w:p w:rsidR="00AA0100" w:rsidRDefault="00AA0100" w:rsidP="003C38A9">
      <w:pPr>
        <w:numPr>
          <w:ilvl w:val="0"/>
          <w:numId w:val="9"/>
        </w:numPr>
        <w:spacing w:after="40" w:line="240" w:lineRule="auto"/>
        <w:ind w:left="1134" w:hanging="567"/>
        <w:jc w:val="both"/>
        <w:rPr>
          <w:rFonts w:cs="Arial"/>
          <w:lang w:val="fr-FR" w:bidi="fr-FR"/>
        </w:rPr>
      </w:pPr>
      <w:r>
        <w:rPr>
          <w:rFonts w:cs="Arial"/>
          <w:lang w:val="fr-FR" w:bidi="fr-FR"/>
        </w:rPr>
        <w:t>Février 2019 – le document révisé a été distribué aux membres et observateurs (y compris les Conseillers nommés par la COP) du Comité de session pour remarques.</w:t>
      </w:r>
    </w:p>
    <w:p w:rsidR="00AA0100" w:rsidRDefault="00AA0100" w:rsidP="003C38A9">
      <w:pPr>
        <w:numPr>
          <w:ilvl w:val="0"/>
          <w:numId w:val="9"/>
        </w:numPr>
        <w:spacing w:after="40" w:line="240" w:lineRule="auto"/>
        <w:ind w:left="1134" w:hanging="567"/>
        <w:jc w:val="both"/>
        <w:rPr>
          <w:rFonts w:cs="Arial"/>
          <w:lang w:val="fr-FR" w:bidi="fr-FR"/>
        </w:rPr>
      </w:pPr>
      <w:r>
        <w:rPr>
          <w:rFonts w:cs="Arial"/>
          <w:lang w:val="fr-FR" w:bidi="fr-FR"/>
        </w:rPr>
        <w:t>Avril 2019 – un document révisé de nouveau a été distribué aux membres du groupe de travail pour finalisation.</w:t>
      </w:r>
    </w:p>
    <w:p w:rsidR="00AA0100" w:rsidRDefault="00AA0100" w:rsidP="003C38A9">
      <w:pPr>
        <w:numPr>
          <w:ilvl w:val="0"/>
          <w:numId w:val="9"/>
        </w:numPr>
        <w:spacing w:after="40" w:line="240" w:lineRule="auto"/>
        <w:ind w:left="1134" w:hanging="567"/>
        <w:jc w:val="both"/>
        <w:rPr>
          <w:rFonts w:cs="Arial"/>
          <w:lang w:val="fr-FR" w:bidi="fr-FR"/>
        </w:rPr>
      </w:pPr>
      <w:r>
        <w:rPr>
          <w:rFonts w:cs="Arial"/>
          <w:lang w:val="fr-FR" w:bidi="fr-FR"/>
        </w:rPr>
        <w:t>Mai 2019 – le document a été finalisé et soumis au Secrétariat.</w:t>
      </w:r>
    </w:p>
    <w:p w:rsidR="00AA0100" w:rsidRDefault="00AA0100" w:rsidP="003C38A9">
      <w:pPr>
        <w:numPr>
          <w:ilvl w:val="0"/>
          <w:numId w:val="9"/>
        </w:numPr>
        <w:spacing w:after="0" w:line="240" w:lineRule="auto"/>
        <w:ind w:left="1134" w:hanging="567"/>
        <w:jc w:val="both"/>
        <w:rPr>
          <w:rFonts w:cs="Arial"/>
          <w:lang w:val="fr-FR" w:bidi="fr-FR"/>
        </w:rPr>
      </w:pPr>
      <w:r>
        <w:rPr>
          <w:rFonts w:cs="Arial"/>
          <w:lang w:val="fr-FR" w:bidi="fr-FR"/>
        </w:rPr>
        <w:t xml:space="preserve">27 septembre 2019 - </w:t>
      </w:r>
      <w:r w:rsidRPr="00AA0100">
        <w:rPr>
          <w:rFonts w:cs="Arial"/>
          <w:lang w:val="fr-FR" w:bidi="fr-FR"/>
        </w:rPr>
        <w:t xml:space="preserve">document disponible publiquement sur le site Web du Comité de session sous </w:t>
      </w:r>
      <w:hyperlink r:id="rId8" w:history="1">
        <w:r w:rsidRPr="00AA0100">
          <w:rPr>
            <w:rStyle w:val="Hyperlink"/>
            <w:rFonts w:cs="Arial"/>
            <w:lang w:val="fr-FR" w:bidi="fr-FR"/>
          </w:rPr>
          <w:t>UNEP/CMS/</w:t>
        </w:r>
        <w:r w:rsidR="00A80FFD">
          <w:rPr>
            <w:rStyle w:val="Hyperlink"/>
            <w:rFonts w:cs="Arial"/>
            <w:lang w:val="fr-FR" w:bidi="fr-FR"/>
          </w:rPr>
          <w:t>ScC-SC4</w:t>
        </w:r>
        <w:r w:rsidRPr="00AA0100">
          <w:rPr>
            <w:rStyle w:val="Hyperlink"/>
            <w:rFonts w:cs="Arial"/>
            <w:lang w:val="fr-FR" w:bidi="fr-FR"/>
          </w:rPr>
          <w:t>/Doc.3.1</w:t>
        </w:r>
      </w:hyperlink>
      <w:r w:rsidR="00A80FFD">
        <w:rPr>
          <w:rFonts w:cs="Arial"/>
          <w:lang w:val="fr-FR" w:bidi="fr-FR"/>
        </w:rPr>
        <w:t>.</w:t>
      </w:r>
    </w:p>
    <w:p w:rsidR="00A80FFD" w:rsidRDefault="00A80FFD" w:rsidP="00A80FFD">
      <w:pPr>
        <w:spacing w:after="0" w:line="240" w:lineRule="auto"/>
        <w:ind w:left="720"/>
        <w:jc w:val="both"/>
        <w:rPr>
          <w:rFonts w:cs="Arial"/>
          <w:lang w:val="fr-FR" w:bidi="fr-FR"/>
        </w:rPr>
      </w:pPr>
    </w:p>
    <w:p w:rsidR="00C5486A" w:rsidRDefault="00A80FFD" w:rsidP="00A80FFD">
      <w:pPr>
        <w:pStyle w:val="FourthnumberingA"/>
        <w:numPr>
          <w:ilvl w:val="0"/>
          <w:numId w:val="8"/>
        </w:numPr>
        <w:ind w:left="567" w:hanging="567"/>
      </w:pPr>
      <w:r w:rsidRPr="00A80FFD">
        <w:t>La dernière version du document, qui tient compte des décisions prises par le Comité de session à sa quatrième réunion, figure à l'</w:t>
      </w:r>
      <w:r>
        <w:t>A</w:t>
      </w:r>
      <w:r w:rsidRPr="00A80FFD">
        <w:t>nnexe 2 du présent document. Il décrit le contexte de l'identification des domaines thématiques des conseillers nommés par la C</w:t>
      </w:r>
      <w:r>
        <w:t>O</w:t>
      </w:r>
      <w:r w:rsidRPr="00A80FFD">
        <w:t>P, examine les thèmes/questions couverts pendant la période de la C</w:t>
      </w:r>
      <w:r>
        <w:t>O</w:t>
      </w:r>
      <w:r w:rsidRPr="00A80FFD">
        <w:t>P10 à la C</w:t>
      </w:r>
      <w:r>
        <w:t>O</w:t>
      </w:r>
      <w:r w:rsidRPr="00A80FFD">
        <w:t>P12, et identifie les domaines qui reçoivent une attention constante au niveau de la Convention et ceux qui pourraient nécessiter un soutien dans l'avenir. Le groupe de travail a également identifié un processus d'examen qui devrait avoir lieu tous les deux cycles de la C</w:t>
      </w:r>
      <w:r>
        <w:t>O</w:t>
      </w:r>
      <w:r w:rsidRPr="00A80FFD">
        <w:t>P pour assurer l'applicabilité continue des domaines d'activité.</w:t>
      </w:r>
      <w:r w:rsidR="00C5486A">
        <w:br w:type="page"/>
      </w:r>
    </w:p>
    <w:p w:rsidR="00AA0100" w:rsidRDefault="00C5486A" w:rsidP="00A80FFD">
      <w:pPr>
        <w:pStyle w:val="FourthnumberingA"/>
        <w:numPr>
          <w:ilvl w:val="0"/>
          <w:numId w:val="8"/>
        </w:numPr>
        <w:ind w:left="567" w:hanging="567"/>
      </w:pPr>
      <w:r w:rsidRPr="00C5486A">
        <w:lastRenderedPageBreak/>
        <w:t xml:space="preserve">Sur la base des recommandations du groupe de travail et des délibérations de la </w:t>
      </w:r>
      <w:r>
        <w:t>4</w:t>
      </w:r>
      <w:r w:rsidRPr="00C5486A">
        <w:rPr>
          <w:vertAlign w:val="superscript"/>
        </w:rPr>
        <w:t xml:space="preserve">e </w:t>
      </w:r>
      <w:r w:rsidRPr="00C5486A">
        <w:t xml:space="preserve">réunion du Comité de session, le Comité de session </w:t>
      </w:r>
      <w:r>
        <w:t>a</w:t>
      </w:r>
      <w:r w:rsidRPr="00C5486A">
        <w:t xml:space="preserve"> convenu de recommander à la COP13 que les domaines d'activité des conseillers nommés par la COP qui seraient requis de la COP13 à la COP15 soient les suivants</w:t>
      </w:r>
      <w:r>
        <w:t xml:space="preserve"> : </w:t>
      </w:r>
    </w:p>
    <w:p w:rsidR="00C5486A" w:rsidRDefault="00C5486A" w:rsidP="00C5486A">
      <w:pPr>
        <w:pStyle w:val="FourthnumberingA"/>
        <w:numPr>
          <w:ilvl w:val="0"/>
          <w:numId w:val="0"/>
        </w:numPr>
        <w:ind w:left="567"/>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392"/>
      </w:tblGrid>
      <w:tr w:rsidR="00C5486A" w:rsidRPr="00B4203D" w:rsidTr="00C5486A">
        <w:tc>
          <w:tcPr>
            <w:tcW w:w="4680" w:type="dxa"/>
            <w:shd w:val="clear" w:color="auto" w:fill="auto"/>
          </w:tcPr>
          <w:p w:rsidR="00C5486A" w:rsidRPr="00B4203D" w:rsidRDefault="00C5486A" w:rsidP="00423325">
            <w:pPr>
              <w:pStyle w:val="Header"/>
              <w:rPr>
                <w:rFonts w:cs="Arial"/>
                <w:lang w:val="it-IT"/>
              </w:rPr>
            </w:pPr>
            <w:proofErr w:type="spellStart"/>
            <w:r>
              <w:rPr>
                <w:rFonts w:cs="Arial"/>
                <w:b/>
                <w:bCs/>
                <w:lang w:val="en-AU"/>
              </w:rPr>
              <w:t>Espèces</w:t>
            </w:r>
            <w:proofErr w:type="spellEnd"/>
          </w:p>
        </w:tc>
        <w:tc>
          <w:tcPr>
            <w:tcW w:w="4392" w:type="dxa"/>
            <w:shd w:val="clear" w:color="auto" w:fill="auto"/>
          </w:tcPr>
          <w:p w:rsidR="00C5486A" w:rsidRPr="00B4203D" w:rsidRDefault="00C5486A" w:rsidP="00423325">
            <w:pPr>
              <w:pStyle w:val="Header"/>
              <w:rPr>
                <w:rFonts w:cs="Arial"/>
                <w:lang w:val="it-IT"/>
              </w:rPr>
            </w:pPr>
            <w:proofErr w:type="spellStart"/>
            <w:r w:rsidRPr="00B4203D">
              <w:rPr>
                <w:rFonts w:cs="Arial"/>
                <w:b/>
                <w:bCs/>
                <w:lang w:val="en-AU"/>
              </w:rPr>
              <w:t>Th</w:t>
            </w:r>
            <w:r>
              <w:rPr>
                <w:rFonts w:cs="Arial"/>
                <w:b/>
                <w:bCs/>
                <w:lang w:val="en-AU"/>
              </w:rPr>
              <w:t>è</w:t>
            </w:r>
            <w:r w:rsidRPr="00B4203D">
              <w:rPr>
                <w:rFonts w:cs="Arial"/>
                <w:b/>
                <w:bCs/>
                <w:lang w:val="en-AU"/>
              </w:rPr>
              <w:t>m</w:t>
            </w:r>
            <w:r>
              <w:rPr>
                <w:rFonts w:cs="Arial"/>
                <w:b/>
                <w:bCs/>
                <w:lang w:val="en-AU"/>
              </w:rPr>
              <w:t>e</w:t>
            </w:r>
            <w:proofErr w:type="spellEnd"/>
          </w:p>
        </w:tc>
      </w:tr>
      <w:tr w:rsidR="00C5486A" w:rsidRPr="00B4203D" w:rsidTr="00C5486A">
        <w:tc>
          <w:tcPr>
            <w:tcW w:w="4680" w:type="dxa"/>
            <w:shd w:val="clear" w:color="auto" w:fill="auto"/>
          </w:tcPr>
          <w:p w:rsidR="00C5486A" w:rsidRPr="00B4203D" w:rsidRDefault="00C5486A" w:rsidP="003C38A9">
            <w:pPr>
              <w:pStyle w:val="Header"/>
              <w:jc w:val="center"/>
              <w:rPr>
                <w:rFonts w:cs="Arial"/>
                <w:lang w:val="it-IT"/>
              </w:rPr>
            </w:pPr>
            <w:r w:rsidRPr="002F6416">
              <w:rPr>
                <w:rFonts w:cs="Arial"/>
                <w:lang w:val="fr-FR"/>
              </w:rPr>
              <w:t>Oiseaux</w:t>
            </w:r>
          </w:p>
        </w:tc>
        <w:tc>
          <w:tcPr>
            <w:tcW w:w="4392" w:type="dxa"/>
            <w:shd w:val="clear" w:color="auto" w:fill="auto"/>
          </w:tcPr>
          <w:p w:rsidR="00C5486A" w:rsidRPr="00B4203D" w:rsidRDefault="00C5486A" w:rsidP="003C38A9">
            <w:pPr>
              <w:pStyle w:val="Header"/>
              <w:jc w:val="center"/>
              <w:rPr>
                <w:rFonts w:cs="Arial"/>
                <w:lang w:val="it-IT"/>
              </w:rPr>
            </w:pPr>
            <w:proofErr w:type="spellStart"/>
            <w:r w:rsidRPr="00B4203D">
              <w:rPr>
                <w:rFonts w:cs="Arial"/>
                <w:lang w:val="en-AU"/>
              </w:rPr>
              <w:t>Change</w:t>
            </w:r>
            <w:r>
              <w:rPr>
                <w:rFonts w:cs="Arial"/>
                <w:lang w:val="en-AU"/>
              </w:rPr>
              <w:t>ment</w:t>
            </w:r>
            <w:proofErr w:type="spellEnd"/>
            <w:r>
              <w:rPr>
                <w:rFonts w:cs="Arial"/>
                <w:lang w:val="en-AU"/>
              </w:rPr>
              <w:t xml:space="preserve"> </w:t>
            </w:r>
            <w:proofErr w:type="spellStart"/>
            <w:r>
              <w:rPr>
                <w:rFonts w:cs="Arial"/>
                <w:lang w:val="en-AU"/>
              </w:rPr>
              <w:t>climatique</w:t>
            </w:r>
            <w:proofErr w:type="spellEnd"/>
          </w:p>
        </w:tc>
      </w:tr>
      <w:tr w:rsidR="00C5486A" w:rsidRPr="00B306AD" w:rsidTr="00C5486A">
        <w:tc>
          <w:tcPr>
            <w:tcW w:w="4680" w:type="dxa"/>
            <w:shd w:val="clear" w:color="auto" w:fill="auto"/>
          </w:tcPr>
          <w:p w:rsidR="00C5486A" w:rsidRPr="00B4203D" w:rsidRDefault="00C5486A" w:rsidP="003C38A9">
            <w:pPr>
              <w:pStyle w:val="Header"/>
              <w:jc w:val="center"/>
              <w:rPr>
                <w:rFonts w:cs="Arial"/>
                <w:lang w:val="it-IT"/>
              </w:rPr>
            </w:pPr>
            <w:proofErr w:type="spellStart"/>
            <w:r w:rsidRPr="00B4203D">
              <w:rPr>
                <w:rFonts w:cs="Arial"/>
                <w:lang w:val="en-AU"/>
              </w:rPr>
              <w:t>Mamm</w:t>
            </w:r>
            <w:r>
              <w:rPr>
                <w:rFonts w:cs="Arial"/>
                <w:lang w:val="en-AU"/>
              </w:rPr>
              <w:t>ifères</w:t>
            </w:r>
            <w:proofErr w:type="spellEnd"/>
            <w:r>
              <w:rPr>
                <w:rFonts w:cs="Arial"/>
                <w:lang w:val="en-AU"/>
              </w:rPr>
              <w:t xml:space="preserve"> </w:t>
            </w:r>
            <w:proofErr w:type="spellStart"/>
            <w:r>
              <w:rPr>
                <w:rFonts w:cs="Arial"/>
                <w:lang w:val="en-AU"/>
              </w:rPr>
              <w:t>terrestres</w:t>
            </w:r>
            <w:proofErr w:type="spellEnd"/>
          </w:p>
        </w:tc>
        <w:tc>
          <w:tcPr>
            <w:tcW w:w="4392" w:type="dxa"/>
            <w:shd w:val="clear" w:color="auto" w:fill="auto"/>
          </w:tcPr>
          <w:p w:rsidR="00C5486A" w:rsidRPr="00B4203D" w:rsidRDefault="00C5486A" w:rsidP="003C38A9">
            <w:pPr>
              <w:pStyle w:val="Header"/>
              <w:jc w:val="center"/>
              <w:rPr>
                <w:rFonts w:cs="Arial"/>
                <w:lang w:val="fr-FR"/>
              </w:rPr>
            </w:pPr>
            <w:r w:rsidRPr="00B4203D">
              <w:rPr>
                <w:rFonts w:cs="Arial"/>
                <w:lang w:val="fr-FR"/>
              </w:rPr>
              <w:t>Connectivité/Réseaux</w:t>
            </w:r>
          </w:p>
          <w:p w:rsidR="00C5486A" w:rsidRPr="00B4203D" w:rsidRDefault="00C5486A" w:rsidP="003C38A9">
            <w:pPr>
              <w:pStyle w:val="Header"/>
              <w:jc w:val="center"/>
              <w:rPr>
                <w:rFonts w:cs="Arial"/>
                <w:lang w:val="fr-FR"/>
              </w:rPr>
            </w:pPr>
            <w:r w:rsidRPr="00B4203D">
              <w:rPr>
                <w:rFonts w:cs="Arial"/>
                <w:lang w:val="fr-FR"/>
              </w:rPr>
              <w:t>(</w:t>
            </w:r>
            <w:r w:rsidRPr="002F6416">
              <w:rPr>
                <w:rFonts w:cs="Arial"/>
                <w:lang w:val="fr-FR"/>
              </w:rPr>
              <w:t xml:space="preserve">(y compris </w:t>
            </w:r>
            <w:r>
              <w:rPr>
                <w:rFonts w:cs="Arial"/>
                <w:lang w:val="fr-FR"/>
              </w:rPr>
              <w:t>aires</w:t>
            </w:r>
            <w:r w:rsidRPr="002F6416">
              <w:rPr>
                <w:rFonts w:cs="Arial"/>
                <w:lang w:val="fr-FR"/>
              </w:rPr>
              <w:t xml:space="preserve"> protégées, couloirs de migration, obstacles à la migration tels que les infrastructures</w:t>
            </w:r>
            <w:r w:rsidRPr="00B4203D">
              <w:rPr>
                <w:rFonts w:cs="Arial"/>
                <w:lang w:val="fr-FR"/>
              </w:rPr>
              <w:t>)</w:t>
            </w:r>
          </w:p>
        </w:tc>
      </w:tr>
      <w:tr w:rsidR="00C5486A" w:rsidRPr="00B306AD" w:rsidTr="00C5486A">
        <w:tc>
          <w:tcPr>
            <w:tcW w:w="4680" w:type="dxa"/>
            <w:shd w:val="clear" w:color="auto" w:fill="auto"/>
          </w:tcPr>
          <w:p w:rsidR="00C5486A" w:rsidRPr="00B4203D" w:rsidRDefault="00C5486A" w:rsidP="003C38A9">
            <w:pPr>
              <w:pStyle w:val="Header"/>
              <w:jc w:val="center"/>
              <w:rPr>
                <w:rFonts w:cs="Arial"/>
                <w:lang w:val="it-IT"/>
              </w:rPr>
            </w:pPr>
            <w:proofErr w:type="spellStart"/>
            <w:r w:rsidRPr="00B4203D">
              <w:rPr>
                <w:rFonts w:cs="Arial"/>
                <w:lang w:val="en-AU"/>
              </w:rPr>
              <w:t>Mamm</w:t>
            </w:r>
            <w:r>
              <w:rPr>
                <w:rFonts w:cs="Arial"/>
                <w:lang w:val="en-AU"/>
              </w:rPr>
              <w:t>ifères</w:t>
            </w:r>
            <w:proofErr w:type="spellEnd"/>
            <w:r>
              <w:rPr>
                <w:rFonts w:cs="Arial"/>
                <w:lang w:val="en-AU"/>
              </w:rPr>
              <w:t xml:space="preserve"> </w:t>
            </w:r>
            <w:proofErr w:type="spellStart"/>
            <w:r>
              <w:rPr>
                <w:rFonts w:cs="Arial"/>
                <w:lang w:val="en-AU"/>
              </w:rPr>
              <w:t>aquatiques</w:t>
            </w:r>
            <w:proofErr w:type="spellEnd"/>
          </w:p>
        </w:tc>
        <w:tc>
          <w:tcPr>
            <w:tcW w:w="4392" w:type="dxa"/>
            <w:shd w:val="clear" w:color="auto" w:fill="auto"/>
          </w:tcPr>
          <w:p w:rsidR="00C5486A" w:rsidRPr="00B4203D" w:rsidRDefault="00C5486A" w:rsidP="003C38A9">
            <w:pPr>
              <w:pStyle w:val="Header"/>
              <w:jc w:val="center"/>
              <w:rPr>
                <w:rFonts w:cs="Arial"/>
                <w:lang w:val="fr-FR"/>
              </w:rPr>
            </w:pPr>
            <w:r w:rsidRPr="00B4203D">
              <w:rPr>
                <w:rFonts w:cs="Arial"/>
                <w:lang w:val="fr-FR"/>
              </w:rPr>
              <w:t>Pollution marine</w:t>
            </w:r>
          </w:p>
          <w:p w:rsidR="00C5486A" w:rsidRPr="00B4203D" w:rsidRDefault="00C5486A" w:rsidP="003C38A9">
            <w:pPr>
              <w:pStyle w:val="Header"/>
              <w:jc w:val="center"/>
              <w:rPr>
                <w:rFonts w:cs="Arial"/>
                <w:lang w:val="it-IT"/>
              </w:rPr>
            </w:pPr>
            <w:r w:rsidRPr="00B4203D">
              <w:rPr>
                <w:rFonts w:cs="Arial"/>
                <w:lang w:val="fr-FR"/>
              </w:rPr>
              <w:t>(</w:t>
            </w:r>
            <w:r w:rsidRPr="002F6416">
              <w:rPr>
                <w:rFonts w:cs="Arial"/>
                <w:lang w:val="fr-FR"/>
              </w:rPr>
              <w:t>(y compris débris, microplastiques, bruit, effets de la lumière sur les espèces marines, polluants organiques persistants</w:t>
            </w:r>
            <w:r w:rsidRPr="00B4203D">
              <w:rPr>
                <w:rFonts w:cs="Arial"/>
                <w:lang w:val="fr-FR"/>
              </w:rPr>
              <w:t>)</w:t>
            </w:r>
          </w:p>
        </w:tc>
      </w:tr>
      <w:tr w:rsidR="00C5486A" w:rsidRPr="00B4203D" w:rsidTr="00C5486A">
        <w:tc>
          <w:tcPr>
            <w:tcW w:w="4680" w:type="dxa"/>
            <w:shd w:val="clear" w:color="auto" w:fill="auto"/>
          </w:tcPr>
          <w:p w:rsidR="00C5486A" w:rsidRPr="00B4203D" w:rsidRDefault="00C5486A" w:rsidP="003C38A9">
            <w:pPr>
              <w:pStyle w:val="Header"/>
              <w:jc w:val="center"/>
              <w:rPr>
                <w:rFonts w:cs="Arial"/>
                <w:lang w:val="fr-FR"/>
              </w:rPr>
            </w:pPr>
            <w:r w:rsidRPr="001B3E05">
              <w:rPr>
                <w:rFonts w:cs="Arial"/>
                <w:lang w:val="fr-FR"/>
              </w:rPr>
              <w:t>Poissons de mer</w:t>
            </w:r>
          </w:p>
          <w:p w:rsidR="00C5486A" w:rsidRPr="00B4203D" w:rsidRDefault="00C5486A" w:rsidP="003C38A9">
            <w:pPr>
              <w:pStyle w:val="Header"/>
              <w:jc w:val="center"/>
              <w:rPr>
                <w:rFonts w:cs="Arial"/>
                <w:lang w:val="fr-FR"/>
              </w:rPr>
            </w:pPr>
            <w:r w:rsidRPr="00B4203D">
              <w:rPr>
                <w:rFonts w:cs="Arial"/>
                <w:lang w:val="fr-FR"/>
              </w:rPr>
              <w:t>(</w:t>
            </w:r>
            <w:r w:rsidRPr="001B3E05">
              <w:rPr>
                <w:rFonts w:cs="Arial"/>
                <w:lang w:val="fr-FR"/>
              </w:rPr>
              <w:t>y compris e</w:t>
            </w:r>
            <w:r w:rsidRPr="00B4203D">
              <w:rPr>
                <w:rFonts w:cs="Arial"/>
                <w:lang w:val="fr-FR"/>
              </w:rPr>
              <w:t xml:space="preserve">xpertise </w:t>
            </w:r>
            <w:r w:rsidRPr="001B3E05">
              <w:rPr>
                <w:rFonts w:cs="Arial"/>
                <w:lang w:val="fr-FR"/>
              </w:rPr>
              <w:t xml:space="preserve">en matière de </w:t>
            </w:r>
            <w:r>
              <w:rPr>
                <w:rFonts w:cs="Arial"/>
                <w:lang w:val="fr-FR"/>
              </w:rPr>
              <w:t>prélèvement</w:t>
            </w:r>
            <w:r w:rsidRPr="00B4203D">
              <w:rPr>
                <w:rFonts w:cs="Arial"/>
                <w:lang w:val="fr-FR"/>
              </w:rPr>
              <w:t>)</w:t>
            </w:r>
          </w:p>
        </w:tc>
        <w:tc>
          <w:tcPr>
            <w:tcW w:w="4392" w:type="dxa"/>
            <w:shd w:val="clear" w:color="auto" w:fill="auto"/>
          </w:tcPr>
          <w:p w:rsidR="00C5486A" w:rsidRPr="00B4203D" w:rsidRDefault="00C5486A" w:rsidP="003C38A9">
            <w:pPr>
              <w:pStyle w:val="Header"/>
              <w:jc w:val="center"/>
              <w:rPr>
                <w:rFonts w:cs="Arial"/>
                <w:lang w:val="it-IT"/>
              </w:rPr>
            </w:pPr>
            <w:r>
              <w:rPr>
                <w:rFonts w:cs="Arial"/>
                <w:lang w:val="en-AU"/>
              </w:rPr>
              <w:t xml:space="preserve">Prises </w:t>
            </w:r>
            <w:proofErr w:type="spellStart"/>
            <w:r>
              <w:rPr>
                <w:rFonts w:cs="Arial"/>
                <w:lang w:val="en-AU"/>
              </w:rPr>
              <w:t>accessoires</w:t>
            </w:r>
            <w:proofErr w:type="spellEnd"/>
          </w:p>
        </w:tc>
      </w:tr>
      <w:tr w:rsidR="00C5486A" w:rsidRPr="00B306AD" w:rsidTr="00C5486A">
        <w:tc>
          <w:tcPr>
            <w:tcW w:w="4680" w:type="dxa"/>
            <w:shd w:val="clear" w:color="auto" w:fill="auto"/>
          </w:tcPr>
          <w:p w:rsidR="00C5486A" w:rsidRPr="00B4203D" w:rsidRDefault="00C5486A" w:rsidP="003C38A9">
            <w:pPr>
              <w:pStyle w:val="Header"/>
              <w:jc w:val="center"/>
              <w:rPr>
                <w:rFonts w:cs="Arial"/>
                <w:lang w:val="it-IT"/>
              </w:rPr>
            </w:pPr>
          </w:p>
        </w:tc>
        <w:tc>
          <w:tcPr>
            <w:tcW w:w="4392" w:type="dxa"/>
            <w:shd w:val="clear" w:color="auto" w:fill="auto"/>
          </w:tcPr>
          <w:p w:rsidR="00C5486A" w:rsidRPr="00B4203D" w:rsidRDefault="00C5486A" w:rsidP="003C38A9">
            <w:pPr>
              <w:pStyle w:val="Header"/>
              <w:jc w:val="center"/>
              <w:rPr>
                <w:rFonts w:cs="Arial"/>
                <w:lang w:val="fr-FR"/>
              </w:rPr>
            </w:pPr>
            <w:r w:rsidRPr="001B3E05">
              <w:rPr>
                <w:rFonts w:cs="Arial"/>
                <w:lang w:val="fr-FR"/>
              </w:rPr>
              <w:t>Espèces envahissantes</w:t>
            </w:r>
          </w:p>
          <w:p w:rsidR="00C5486A" w:rsidRPr="00B4203D" w:rsidRDefault="00C5486A" w:rsidP="003C38A9">
            <w:pPr>
              <w:pStyle w:val="Header"/>
              <w:jc w:val="center"/>
              <w:rPr>
                <w:rFonts w:cs="Arial"/>
                <w:lang w:val="fr-FR"/>
              </w:rPr>
            </w:pPr>
            <w:r w:rsidRPr="00B4203D">
              <w:rPr>
                <w:rFonts w:cs="Arial"/>
                <w:lang w:val="fr-FR"/>
              </w:rPr>
              <w:t>(</w:t>
            </w:r>
            <w:r w:rsidRPr="002F6416">
              <w:rPr>
                <w:rFonts w:cs="Arial"/>
                <w:lang w:val="fr-FR"/>
              </w:rPr>
              <w:t xml:space="preserve">y compris maladies, animaux sauvages, insectes, </w:t>
            </w:r>
            <w:r>
              <w:rPr>
                <w:rFonts w:cs="Arial"/>
                <w:lang w:val="fr-FR"/>
              </w:rPr>
              <w:t>p</w:t>
            </w:r>
            <w:r w:rsidRPr="002F6416">
              <w:rPr>
                <w:rFonts w:cs="Arial"/>
                <w:lang w:val="fr-FR"/>
              </w:rPr>
              <w:t>arasites marins et mauvaises herbes</w:t>
            </w:r>
            <w:r w:rsidRPr="00B4203D">
              <w:rPr>
                <w:rFonts w:cs="Arial"/>
                <w:lang w:val="fr-FR"/>
              </w:rPr>
              <w:t>)</w:t>
            </w:r>
          </w:p>
        </w:tc>
      </w:tr>
    </w:tbl>
    <w:p w:rsidR="00C5486A" w:rsidRDefault="00C5486A" w:rsidP="00C5486A">
      <w:pPr>
        <w:pStyle w:val="FourthnumberingA"/>
        <w:numPr>
          <w:ilvl w:val="0"/>
          <w:numId w:val="0"/>
        </w:numPr>
        <w:ind w:left="567"/>
      </w:pPr>
    </w:p>
    <w:p w:rsidR="002B5345" w:rsidRDefault="00C5486A" w:rsidP="002B5345">
      <w:pPr>
        <w:pStyle w:val="FourthnumberingA"/>
        <w:numPr>
          <w:ilvl w:val="0"/>
          <w:numId w:val="8"/>
        </w:numPr>
        <w:ind w:left="567" w:hanging="567"/>
      </w:pPr>
      <w:r>
        <w:t>Le Comité de session note que les conseillers actuels nommés par la C</w:t>
      </w:r>
      <w:r w:rsidR="002B5345">
        <w:t>O</w:t>
      </w:r>
      <w:r>
        <w:t>P pour les oiseaux, le changement climatique, les mammifères aquatiques et les prises accessoires sont disponibles pour rester à leur poste désigné après la C</w:t>
      </w:r>
      <w:r w:rsidR="002B5345">
        <w:t>O</w:t>
      </w:r>
      <w:r>
        <w:t>P13.</w:t>
      </w:r>
    </w:p>
    <w:p w:rsidR="002B5345" w:rsidRDefault="002B5345" w:rsidP="002B5345">
      <w:pPr>
        <w:pStyle w:val="FourthnumberingA"/>
        <w:numPr>
          <w:ilvl w:val="0"/>
          <w:numId w:val="0"/>
        </w:numPr>
        <w:ind w:left="567" w:hanging="567"/>
      </w:pPr>
    </w:p>
    <w:p w:rsidR="002B5345" w:rsidRDefault="00C5486A" w:rsidP="002B5345">
      <w:pPr>
        <w:pStyle w:val="FourthnumberingA"/>
        <w:numPr>
          <w:ilvl w:val="0"/>
          <w:numId w:val="8"/>
        </w:numPr>
        <w:ind w:left="567" w:hanging="567"/>
      </w:pPr>
      <w:r>
        <w:t xml:space="preserve">En ce qui concerne les nouveaux domaines proposés </w:t>
      </w:r>
      <w:r w:rsidR="002B5345">
        <w:t>des</w:t>
      </w:r>
      <w:r>
        <w:t xml:space="preserve"> Conseillers nommés par la COP, à savoir les mammifères terrestres, la connectivité/réseaux, la pollution marine, les poissons marins et les espèces envahissantes, le Secrétariat a été chargé par le Comité de session de demander aux Parties de proposer des candidats qualifiés.  A cet effet, la </w:t>
      </w:r>
      <w:hyperlink r:id="rId9" w:history="1">
        <w:r w:rsidR="003C38A9">
          <w:rPr>
            <w:rStyle w:val="Hyperlink"/>
          </w:rPr>
          <w:t>N</w:t>
        </w:r>
        <w:r w:rsidRPr="003C38A9">
          <w:rPr>
            <w:rStyle w:val="Hyperlink"/>
          </w:rPr>
          <w:t>otification 2019/022</w:t>
        </w:r>
      </w:hyperlink>
      <w:r>
        <w:t xml:space="preserve"> a été publiée par le Secrétariat le 6 décembre 2019. Le Secrétariat compilera toutes les candidatures reçues et les mettra à la disposition de la COP13 sous forme d'addendum au présent document. Avant la COP13, le Comité de session se consultera par voie électronique sur les candidatures reçues en vue de formuler ses recommandations </w:t>
      </w:r>
      <w:r w:rsidR="002B5345">
        <w:t xml:space="preserve">à la COP </w:t>
      </w:r>
      <w:r>
        <w:t xml:space="preserve">sur la sélection des candidats. </w:t>
      </w:r>
    </w:p>
    <w:p w:rsidR="002B5345" w:rsidRDefault="002B5345" w:rsidP="002B5345">
      <w:pPr>
        <w:pStyle w:val="FourthnumberingA"/>
        <w:numPr>
          <w:ilvl w:val="0"/>
          <w:numId w:val="0"/>
        </w:numPr>
        <w:ind w:left="567" w:hanging="567"/>
      </w:pPr>
    </w:p>
    <w:p w:rsidR="002B5345" w:rsidRDefault="00C5486A" w:rsidP="002B5345">
      <w:pPr>
        <w:pStyle w:val="FourthnumberingA"/>
        <w:numPr>
          <w:ilvl w:val="0"/>
          <w:numId w:val="8"/>
        </w:numPr>
        <w:ind w:left="567" w:hanging="567"/>
      </w:pPr>
      <w:r>
        <w:t>La COP13 est également invitée à examiner et à approuver le processus d'examen en cours décrit au paragraphe 27 et à la figure 1 de l'</w:t>
      </w:r>
      <w:r w:rsidR="002B5345">
        <w:t>A</w:t>
      </w:r>
      <w:r>
        <w:t>nnexe 2, qui devrait être mis en œuvre après la COP13.</w:t>
      </w:r>
    </w:p>
    <w:p w:rsidR="002B5345" w:rsidRDefault="002B5345" w:rsidP="002B5345">
      <w:pPr>
        <w:pStyle w:val="FourthnumberingA"/>
        <w:numPr>
          <w:ilvl w:val="0"/>
          <w:numId w:val="0"/>
        </w:numPr>
        <w:ind w:left="567" w:hanging="567"/>
      </w:pPr>
    </w:p>
    <w:p w:rsidR="00C5486A" w:rsidRDefault="00C5486A" w:rsidP="002B5345">
      <w:pPr>
        <w:pStyle w:val="FourthnumberingA"/>
        <w:numPr>
          <w:ilvl w:val="0"/>
          <w:numId w:val="8"/>
        </w:numPr>
        <w:ind w:left="567" w:hanging="567"/>
      </w:pPr>
      <w:proofErr w:type="gramStart"/>
      <w:r>
        <w:t>Suite aux</w:t>
      </w:r>
      <w:proofErr w:type="gramEnd"/>
      <w:r>
        <w:t xml:space="preserve"> discussions de la 4</w:t>
      </w:r>
      <w:r w:rsidRPr="002B5345">
        <w:rPr>
          <w:vertAlign w:val="superscript"/>
        </w:rPr>
        <w:t>e</w:t>
      </w:r>
      <w:r>
        <w:t xml:space="preserve"> réunion du Comité de session, il a été convenu que le Secrétariat devrait être prié d'établir et de tenir à jour un registre d'expertise d'office qui est conçu pour saisir l'expertise associée aux anciens conseillers nommés par la COP afin de s'assurer que l'expertise associée aux anciens conseillers nommés par la COP ne sera pas perdue pour la Convention. </w:t>
      </w:r>
      <w:r w:rsidR="002B5345">
        <w:t>Il a été</w:t>
      </w:r>
      <w:r>
        <w:t xml:space="preserve"> également estimé que si une question ponctuelle se posait, une telle liste d'office pourrait aider à identifier les personnes appropriées à contacter pour obtenir des conseils.</w:t>
      </w:r>
    </w:p>
    <w:p w:rsidR="005C4B90" w:rsidRDefault="005C4B90" w:rsidP="00C5486A">
      <w:pPr>
        <w:pStyle w:val="FourthnumberingA"/>
        <w:numPr>
          <w:ilvl w:val="0"/>
          <w:numId w:val="0"/>
        </w:numPr>
        <w:ind w:left="567"/>
      </w:pPr>
      <w:r>
        <w:br w:type="page"/>
      </w:r>
    </w:p>
    <w:p w:rsidR="00C5486A" w:rsidRDefault="00C5486A" w:rsidP="00C5486A">
      <w:pPr>
        <w:pStyle w:val="FourthnumberingA"/>
        <w:numPr>
          <w:ilvl w:val="0"/>
          <w:numId w:val="0"/>
        </w:numPr>
        <w:ind w:left="567"/>
      </w:pPr>
    </w:p>
    <w:p w:rsidR="005C4B90" w:rsidRDefault="005C4B90" w:rsidP="005C4B90">
      <w:pPr>
        <w:pStyle w:val="FourthnumberingA"/>
        <w:numPr>
          <w:ilvl w:val="0"/>
          <w:numId w:val="0"/>
        </w:numPr>
        <w:rPr>
          <w:u w:val="single"/>
        </w:rPr>
      </w:pPr>
      <w:r w:rsidRPr="005C4B90">
        <w:rPr>
          <w:u w:val="single"/>
        </w:rPr>
        <w:t>Actions recommandées</w:t>
      </w:r>
    </w:p>
    <w:p w:rsidR="005C4B90" w:rsidRDefault="005C4B90" w:rsidP="005C4B90">
      <w:pPr>
        <w:pStyle w:val="FourthnumberingA"/>
        <w:numPr>
          <w:ilvl w:val="0"/>
          <w:numId w:val="0"/>
        </w:numPr>
        <w:rPr>
          <w:u w:val="single"/>
        </w:rPr>
      </w:pPr>
    </w:p>
    <w:p w:rsidR="005C4B90" w:rsidRDefault="005C4B90" w:rsidP="005C4B90">
      <w:pPr>
        <w:pStyle w:val="FourthnumberingA"/>
        <w:numPr>
          <w:ilvl w:val="0"/>
          <w:numId w:val="8"/>
        </w:numPr>
        <w:ind w:left="567" w:hanging="567"/>
      </w:pPr>
      <w:r w:rsidRPr="005C4B90">
        <w:t>Il est recommandé à la Conférence des Parties :</w:t>
      </w:r>
    </w:p>
    <w:p w:rsidR="005C4B90" w:rsidRDefault="005C4B90" w:rsidP="005C4B90">
      <w:pPr>
        <w:pStyle w:val="FourthnumberingA"/>
        <w:numPr>
          <w:ilvl w:val="0"/>
          <w:numId w:val="0"/>
        </w:numPr>
        <w:ind w:left="567"/>
      </w:pPr>
    </w:p>
    <w:p w:rsidR="005C4B90" w:rsidRDefault="005C4B90" w:rsidP="005C4B90">
      <w:pPr>
        <w:pStyle w:val="FourthnumberingA"/>
        <w:numPr>
          <w:ilvl w:val="0"/>
          <w:numId w:val="0"/>
        </w:numPr>
        <w:ind w:left="1134" w:hanging="567"/>
      </w:pPr>
      <w:r>
        <w:t>a)</w:t>
      </w:r>
      <w:r>
        <w:tab/>
        <w:t>de prendre note des recommandations adoptées par le Comité de session à l'Annexe 2 ;</w:t>
      </w:r>
    </w:p>
    <w:p w:rsidR="005C4B90" w:rsidRDefault="005C4B90" w:rsidP="005C4B90">
      <w:pPr>
        <w:pStyle w:val="FourthnumberingA"/>
        <w:numPr>
          <w:ilvl w:val="0"/>
          <w:numId w:val="0"/>
        </w:numPr>
        <w:ind w:left="1134" w:hanging="567"/>
      </w:pPr>
    </w:p>
    <w:p w:rsidR="005C4B90" w:rsidRDefault="005C4B90" w:rsidP="005C4B90">
      <w:pPr>
        <w:pStyle w:val="FourthnumberingA"/>
        <w:numPr>
          <w:ilvl w:val="0"/>
          <w:numId w:val="0"/>
        </w:numPr>
        <w:ind w:left="1134" w:hanging="567"/>
      </w:pPr>
      <w:r>
        <w:t>b)</w:t>
      </w:r>
      <w:r>
        <w:tab/>
        <w:t>de convenir que les domaines d'activité des conseillers nommés par la COP pour la période de la COP13 à la COP15 sont : Oiseaux ; mammifères terrestres ; mammifères aquatiques ; poissons de mer ; espèces envahissantes ; pollution marine ; changements climatiques ; prises accessoires ; et connectivité/réseaux ; et</w:t>
      </w:r>
    </w:p>
    <w:p w:rsidR="005C4B90" w:rsidRDefault="005C4B90" w:rsidP="005C4B90">
      <w:pPr>
        <w:pStyle w:val="FourthnumberingA"/>
        <w:numPr>
          <w:ilvl w:val="0"/>
          <w:numId w:val="0"/>
        </w:numPr>
        <w:ind w:left="1134" w:hanging="567"/>
      </w:pPr>
    </w:p>
    <w:p w:rsidR="005C4B90" w:rsidRDefault="005C4B90" w:rsidP="005C4B90">
      <w:pPr>
        <w:pStyle w:val="FourthnumberingA"/>
        <w:numPr>
          <w:ilvl w:val="0"/>
          <w:numId w:val="0"/>
        </w:numPr>
        <w:ind w:left="1134" w:hanging="567"/>
      </w:pPr>
      <w:r>
        <w:t>c)</w:t>
      </w:r>
      <w:r>
        <w:tab/>
        <w:t>d’adopter le projet de Décision figurant à l'Annexe 1 du présent document.</w:t>
      </w:r>
    </w:p>
    <w:p w:rsidR="005C4B90" w:rsidRDefault="005C4B90" w:rsidP="005C4B90">
      <w:pPr>
        <w:pStyle w:val="FourthnumberingA"/>
        <w:numPr>
          <w:ilvl w:val="0"/>
          <w:numId w:val="0"/>
        </w:numPr>
        <w:ind w:left="1134" w:hanging="567"/>
        <w:sectPr w:rsidR="005C4B90" w:rsidSect="00D71837">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pPr>
    </w:p>
    <w:p w:rsidR="005C4B90" w:rsidRPr="005C4B90" w:rsidRDefault="005C4B90" w:rsidP="005C4B90">
      <w:pPr>
        <w:pStyle w:val="FourthnumberingA"/>
        <w:numPr>
          <w:ilvl w:val="0"/>
          <w:numId w:val="0"/>
        </w:numPr>
        <w:jc w:val="right"/>
        <w:rPr>
          <w:b/>
        </w:rPr>
      </w:pPr>
      <w:r w:rsidRPr="005C4B90">
        <w:rPr>
          <w:b/>
        </w:rPr>
        <w:lastRenderedPageBreak/>
        <w:t>ANNEXE 1</w:t>
      </w:r>
    </w:p>
    <w:p w:rsidR="005C4B90" w:rsidRDefault="005C4B90" w:rsidP="005C4B90">
      <w:pPr>
        <w:pStyle w:val="FourthnumberingA"/>
        <w:numPr>
          <w:ilvl w:val="0"/>
          <w:numId w:val="0"/>
        </w:numPr>
      </w:pPr>
    </w:p>
    <w:p w:rsidR="005C4B90" w:rsidRDefault="005C4B90" w:rsidP="005C4B90">
      <w:pPr>
        <w:pStyle w:val="FourthnumberingA"/>
        <w:numPr>
          <w:ilvl w:val="0"/>
          <w:numId w:val="0"/>
        </w:numPr>
      </w:pPr>
    </w:p>
    <w:p w:rsidR="005C4B90" w:rsidRDefault="005C4B90" w:rsidP="005C4B90">
      <w:pPr>
        <w:pStyle w:val="FourthnumberingA"/>
        <w:numPr>
          <w:ilvl w:val="0"/>
          <w:numId w:val="0"/>
        </w:numPr>
        <w:jc w:val="center"/>
      </w:pPr>
      <w:r>
        <w:t>PROJET DE DÉCISION</w:t>
      </w:r>
    </w:p>
    <w:p w:rsidR="005C4B90" w:rsidRDefault="005C4B90" w:rsidP="005C4B90">
      <w:pPr>
        <w:pStyle w:val="FourthnumberingA"/>
        <w:numPr>
          <w:ilvl w:val="0"/>
          <w:numId w:val="0"/>
        </w:numPr>
        <w:jc w:val="center"/>
      </w:pPr>
    </w:p>
    <w:p w:rsidR="005C4B90" w:rsidRPr="005C4B90" w:rsidRDefault="005C4B90" w:rsidP="005C4B90">
      <w:pPr>
        <w:pStyle w:val="FourthnumberingA"/>
        <w:numPr>
          <w:ilvl w:val="0"/>
          <w:numId w:val="0"/>
        </w:numPr>
        <w:jc w:val="center"/>
        <w:rPr>
          <w:b/>
        </w:rPr>
      </w:pPr>
      <w:r w:rsidRPr="005C4B90">
        <w:rPr>
          <w:b/>
        </w:rPr>
        <w:t>CONSEIL SCIENTIFIQUE</w:t>
      </w:r>
    </w:p>
    <w:p w:rsidR="005C4B90" w:rsidRDefault="005C4B90" w:rsidP="005C4B90">
      <w:pPr>
        <w:pStyle w:val="FourthnumberingA"/>
        <w:numPr>
          <w:ilvl w:val="0"/>
          <w:numId w:val="0"/>
        </w:numPr>
      </w:pPr>
    </w:p>
    <w:p w:rsidR="005C4B90" w:rsidRDefault="005C4B90" w:rsidP="005C4B90">
      <w:pPr>
        <w:pStyle w:val="FourthnumberingA"/>
        <w:numPr>
          <w:ilvl w:val="0"/>
          <w:numId w:val="0"/>
        </w:numPr>
      </w:pPr>
    </w:p>
    <w:p w:rsidR="005C4B90" w:rsidRDefault="005C4B90" w:rsidP="005C4B90">
      <w:pPr>
        <w:pStyle w:val="FourthnumberingA"/>
        <w:numPr>
          <w:ilvl w:val="0"/>
          <w:numId w:val="0"/>
        </w:numPr>
        <w:rPr>
          <w:b/>
          <w:i/>
        </w:rPr>
      </w:pPr>
      <w:r w:rsidRPr="005C4B90">
        <w:rPr>
          <w:b/>
          <w:i/>
        </w:rPr>
        <w:t>Adressé au Secrétariat</w:t>
      </w:r>
    </w:p>
    <w:p w:rsidR="005C4B90" w:rsidRDefault="005C4B90" w:rsidP="005C4B90">
      <w:pPr>
        <w:pStyle w:val="FourthnumberingA"/>
        <w:numPr>
          <w:ilvl w:val="0"/>
          <w:numId w:val="0"/>
        </w:numPr>
        <w:rPr>
          <w:b/>
          <w:i/>
        </w:rPr>
      </w:pPr>
    </w:p>
    <w:p w:rsidR="005C4B90" w:rsidRDefault="005C4B90" w:rsidP="005C4B90">
      <w:pPr>
        <w:pStyle w:val="FourthnumberingA"/>
        <w:numPr>
          <w:ilvl w:val="0"/>
          <w:numId w:val="0"/>
        </w:numPr>
        <w:ind w:left="851" w:hanging="851"/>
      </w:pPr>
      <w:r>
        <w:t>13.AA</w:t>
      </w:r>
      <w:r>
        <w:tab/>
      </w:r>
      <w:r w:rsidRPr="005C4B90">
        <w:t>Le Secrétariat établi</w:t>
      </w:r>
      <w:r>
        <w:t>t</w:t>
      </w:r>
      <w:r w:rsidRPr="005C4B90">
        <w:t xml:space="preserve"> et tien</w:t>
      </w:r>
      <w:r>
        <w:t>t</w:t>
      </w:r>
      <w:r w:rsidRPr="005C4B90">
        <w:t xml:space="preserve"> à jour un registre d'expertise d'office conçu pour recueillir l'expertise des anciens conseillers nommés par la C</w:t>
      </w:r>
      <w:r>
        <w:t>O</w:t>
      </w:r>
      <w:r w:rsidRPr="005C4B90">
        <w:t>P.</w:t>
      </w:r>
    </w:p>
    <w:p w:rsidR="005403B0" w:rsidRDefault="005403B0" w:rsidP="005C4B90">
      <w:pPr>
        <w:pStyle w:val="FourthnumberingA"/>
        <w:numPr>
          <w:ilvl w:val="0"/>
          <w:numId w:val="0"/>
        </w:numPr>
        <w:ind w:left="851" w:hanging="851"/>
        <w:sectPr w:rsidR="005403B0" w:rsidSect="00D71837">
          <w:headerReference w:type="first" r:id="rId15"/>
          <w:footerReference w:type="first" r:id="rId16"/>
          <w:pgSz w:w="11906" w:h="16838" w:code="9"/>
          <w:pgMar w:top="1134" w:right="1134" w:bottom="1134" w:left="1134" w:header="720" w:footer="720" w:gutter="0"/>
          <w:cols w:space="720"/>
          <w:titlePg/>
          <w:docGrid w:linePitch="360"/>
        </w:sectPr>
      </w:pPr>
    </w:p>
    <w:p w:rsidR="005403B0" w:rsidRDefault="005403B0" w:rsidP="005403B0">
      <w:pPr>
        <w:pStyle w:val="FourthnumberingA"/>
        <w:numPr>
          <w:ilvl w:val="0"/>
          <w:numId w:val="0"/>
        </w:numPr>
        <w:ind w:left="851" w:hanging="851"/>
        <w:jc w:val="right"/>
        <w:rPr>
          <w:b/>
        </w:rPr>
      </w:pPr>
      <w:r w:rsidRPr="005403B0">
        <w:rPr>
          <w:b/>
        </w:rPr>
        <w:lastRenderedPageBreak/>
        <w:t>ANNEXE 2</w:t>
      </w:r>
    </w:p>
    <w:p w:rsidR="006677CA" w:rsidRDefault="006677CA" w:rsidP="006677CA">
      <w:pPr>
        <w:pStyle w:val="FirstTitle"/>
        <w:spacing w:after="0"/>
      </w:pPr>
    </w:p>
    <w:p w:rsidR="006677CA" w:rsidRPr="006B675D" w:rsidRDefault="006677CA" w:rsidP="006677CA">
      <w:pPr>
        <w:pStyle w:val="FirstTitle"/>
      </w:pPr>
      <w:r w:rsidRPr="006B675D">
        <w:t>DOMAINES D’ACTIVITÉ DES CONSEILLERS NOMMÉS PAR LA COP – ANALYSE, EXAMEN ET RECOMMANDATIONS</w:t>
      </w:r>
      <w:r>
        <w:rPr>
          <w:rStyle w:val="FootnoteReference"/>
        </w:rPr>
        <w:footnoteReference w:id="1"/>
      </w:r>
    </w:p>
    <w:p w:rsidR="006677CA" w:rsidRPr="006677CA" w:rsidRDefault="006677CA" w:rsidP="006677CA">
      <w:pPr>
        <w:jc w:val="both"/>
        <w:rPr>
          <w:rFonts w:cs="Arial"/>
          <w:i/>
          <w:lang w:val="fr-FR"/>
        </w:rPr>
      </w:pPr>
      <w:r w:rsidRPr="006677CA">
        <w:rPr>
          <w:rFonts w:cs="Arial"/>
          <w:i/>
          <w:lang w:val="fr-FR"/>
        </w:rPr>
        <w:t>(Préparé par le Groupe de travail sur les domaines d'activité des conseillers nommés par la C</w:t>
      </w:r>
      <w:r>
        <w:rPr>
          <w:rFonts w:cs="Arial"/>
          <w:i/>
          <w:lang w:val="fr-FR"/>
        </w:rPr>
        <w:t>O</w:t>
      </w:r>
      <w:r w:rsidRPr="006677CA">
        <w:rPr>
          <w:rFonts w:cs="Arial"/>
          <w:i/>
          <w:lang w:val="fr-FR"/>
        </w:rPr>
        <w:t>P</w:t>
      </w:r>
      <w:r>
        <w:rPr>
          <w:rFonts w:cs="Arial"/>
          <w:i/>
          <w:lang w:val="fr-FR"/>
        </w:rPr>
        <w:t>)</w:t>
      </w:r>
    </w:p>
    <w:p w:rsidR="006677CA" w:rsidRDefault="006677CA" w:rsidP="006677CA">
      <w:pPr>
        <w:pStyle w:val="SecondTitle"/>
      </w:pPr>
    </w:p>
    <w:p w:rsidR="006677CA" w:rsidRPr="006B675D" w:rsidRDefault="006677CA" w:rsidP="006677CA">
      <w:pPr>
        <w:pStyle w:val="SecondTitle"/>
      </w:pPr>
      <w:r w:rsidRPr="006B675D">
        <w:t>Contexte</w:t>
      </w:r>
    </w:p>
    <w:p w:rsidR="006677CA" w:rsidRPr="006B675D" w:rsidRDefault="006677CA" w:rsidP="006677CA">
      <w:pPr>
        <w:spacing w:after="0" w:line="240" w:lineRule="auto"/>
        <w:jc w:val="both"/>
        <w:rPr>
          <w:rFonts w:cs="Arial"/>
        </w:rPr>
      </w:pPr>
    </w:p>
    <w:p w:rsidR="006677CA" w:rsidRPr="006B675D" w:rsidRDefault="006677CA" w:rsidP="006677CA">
      <w:pPr>
        <w:pStyle w:val="Firstnumbering"/>
        <w:numPr>
          <w:ilvl w:val="0"/>
          <w:numId w:val="14"/>
        </w:numPr>
        <w:suppressAutoHyphens/>
        <w:autoSpaceDN w:val="0"/>
        <w:ind w:left="567" w:hanging="567"/>
        <w:contextualSpacing w:val="0"/>
      </w:pPr>
      <w:r w:rsidRPr="006B675D">
        <w:t>Le paragraphe 2 de l’Article VIII de la Convention déclare que :</w:t>
      </w:r>
    </w:p>
    <w:p w:rsidR="006677CA" w:rsidRPr="006B675D" w:rsidRDefault="006677CA" w:rsidP="006677CA">
      <w:pPr>
        <w:pStyle w:val="Firstnumbering"/>
        <w:numPr>
          <w:ilvl w:val="0"/>
          <w:numId w:val="0"/>
        </w:numPr>
        <w:ind w:left="567" w:hanging="567"/>
      </w:pPr>
    </w:p>
    <w:p w:rsidR="006677CA" w:rsidRPr="006B675D" w:rsidRDefault="006677CA" w:rsidP="006677CA">
      <w:pPr>
        <w:pStyle w:val="Firstnumbering"/>
        <w:numPr>
          <w:ilvl w:val="0"/>
          <w:numId w:val="0"/>
        </w:numPr>
        <w:suppressAutoHyphens/>
        <w:autoSpaceDN w:val="0"/>
        <w:ind w:left="567"/>
        <w:contextualSpacing w:val="0"/>
      </w:pPr>
      <w:r w:rsidRPr="006B675D">
        <w:t>« </w:t>
      </w:r>
      <w:r w:rsidRPr="006B675D">
        <w:rPr>
          <w:i/>
        </w:rPr>
        <w:t>Le Conseil scientifique comprend, en outre, des experts qualifiés, choisis et nommés en tant que membres par la Conférence des Parties ; le nombre de ces experts, les critères applicables à leur choix, et la durée de leur mandat sont déterminés par la Conférence des Parties</w:t>
      </w:r>
      <w:r w:rsidRPr="006B675D">
        <w:t> ».</w:t>
      </w:r>
    </w:p>
    <w:p w:rsidR="006677CA" w:rsidRPr="006B675D" w:rsidRDefault="006677CA" w:rsidP="006677CA">
      <w:pPr>
        <w:pStyle w:val="Firstnumbering"/>
        <w:numPr>
          <w:ilvl w:val="0"/>
          <w:numId w:val="0"/>
        </w:numPr>
        <w:ind w:left="567" w:hanging="567"/>
      </w:pPr>
    </w:p>
    <w:p w:rsidR="006677CA" w:rsidRPr="006B675D" w:rsidRDefault="006677CA" w:rsidP="006677CA">
      <w:pPr>
        <w:pStyle w:val="Firstnumbering"/>
        <w:numPr>
          <w:ilvl w:val="0"/>
          <w:numId w:val="14"/>
        </w:numPr>
        <w:suppressAutoHyphens/>
        <w:autoSpaceDN w:val="0"/>
        <w:ind w:left="567" w:hanging="567"/>
        <w:contextualSpacing w:val="0"/>
      </w:pPr>
      <w:r w:rsidRPr="006B675D">
        <w:t>Ces experts sont les Conseillers nommés par la COP. Les premiers Conseillers nommés par la COP ont été nommés à la 1</w:t>
      </w:r>
      <w:r w:rsidRPr="006B675D">
        <w:rPr>
          <w:vertAlign w:val="superscript"/>
        </w:rPr>
        <w:t>re</w:t>
      </w:r>
      <w:r w:rsidRPr="006B675D">
        <w:t> Réunion de la Conférence des Parties (COP1) en 1985, lorsque huit experts ont été nommés.</w:t>
      </w:r>
    </w:p>
    <w:p w:rsidR="006677CA" w:rsidRPr="006B675D" w:rsidRDefault="006677CA" w:rsidP="006677CA">
      <w:pPr>
        <w:pStyle w:val="Firstnumbering"/>
        <w:numPr>
          <w:ilvl w:val="0"/>
          <w:numId w:val="0"/>
        </w:numPr>
        <w:ind w:left="567" w:hanging="567"/>
      </w:pPr>
    </w:p>
    <w:p w:rsidR="006677CA" w:rsidRPr="006B675D" w:rsidRDefault="006677CA" w:rsidP="006677CA">
      <w:pPr>
        <w:pStyle w:val="Firstnumbering"/>
        <w:numPr>
          <w:ilvl w:val="0"/>
          <w:numId w:val="14"/>
        </w:numPr>
        <w:suppressAutoHyphens/>
        <w:autoSpaceDN w:val="0"/>
        <w:ind w:left="567" w:hanging="567"/>
        <w:contextualSpacing w:val="0"/>
      </w:pPr>
      <w:r w:rsidRPr="006B675D">
        <w:t>Le tableau 1 présente la désignation des Conseillers nommés par la COP depuis la COP1. Il est évident que les domaines d’activités des Conseillers nommés par la COP ont évolué à chaque COP, jusqu’à la COP6 en 1999, moment où les domaines d’activité ont commencé à rester les mêmes, ou à être seulement redéfinis à chaque COP. Seuls trois nouveaux domaines d’activité sont apparus depuis la COP6 : poissons et prises accessoires à la COP8, et changements climatiques à la COP10.</w:t>
      </w:r>
    </w:p>
    <w:p w:rsidR="006677CA" w:rsidRPr="006B675D" w:rsidRDefault="006677CA" w:rsidP="006677CA">
      <w:pPr>
        <w:pStyle w:val="ListParagraph"/>
        <w:spacing w:after="0" w:line="240" w:lineRule="auto"/>
        <w:rPr>
          <w:rFonts w:cs="Arial"/>
          <w:lang w:val="fr-FR"/>
        </w:rPr>
      </w:pPr>
    </w:p>
    <w:tbl>
      <w:tblPr>
        <w:tblW w:w="4860" w:type="pct"/>
        <w:tblInd w:w="562" w:type="dxa"/>
        <w:tblCellMar>
          <w:left w:w="10" w:type="dxa"/>
          <w:right w:w="10" w:type="dxa"/>
        </w:tblCellMar>
        <w:tblLook w:val="0000" w:firstRow="0" w:lastRow="0" w:firstColumn="0" w:lastColumn="0" w:noHBand="0" w:noVBand="0"/>
      </w:tblPr>
      <w:tblGrid>
        <w:gridCol w:w="1157"/>
        <w:gridCol w:w="1089"/>
        <w:gridCol w:w="7105"/>
      </w:tblGrid>
      <w:tr w:rsidR="006677CA" w:rsidRPr="006B675D" w:rsidTr="00C908C2">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b/>
                <w:sz w:val="20"/>
                <w:szCs w:val="20"/>
              </w:rPr>
            </w:pPr>
            <w:r w:rsidRPr="006B675D">
              <w:rPr>
                <w:rFonts w:cs="Arial"/>
                <w:b/>
                <w:sz w:val="20"/>
                <w:szCs w:val="20"/>
              </w:rPr>
              <w:t>COP1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sz w:val="20"/>
                <w:szCs w:val="20"/>
              </w:rPr>
            </w:pPr>
            <w:r w:rsidRPr="006B675D">
              <w:rPr>
                <w:rFonts w:cs="Arial"/>
                <w:sz w:val="20"/>
                <w:szCs w:val="20"/>
              </w:rPr>
              <w:t>1985</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677CA" w:rsidRDefault="006677CA" w:rsidP="006677CA">
            <w:pPr>
              <w:pStyle w:val="ListParagraph"/>
              <w:numPr>
                <w:ilvl w:val="0"/>
                <w:numId w:val="23"/>
              </w:numPr>
              <w:spacing w:before="40" w:after="40"/>
              <w:ind w:left="338"/>
              <w:rPr>
                <w:rFonts w:eastAsia="Calibri" w:cs="Arial"/>
                <w:sz w:val="20"/>
                <w:szCs w:val="20"/>
                <w:lang w:val="fr-FR"/>
              </w:rPr>
            </w:pPr>
            <w:r w:rsidRPr="006677CA">
              <w:rPr>
                <w:rFonts w:cs="Arial"/>
                <w:sz w:val="20"/>
                <w:szCs w:val="20"/>
                <w:lang w:val="fr-FR"/>
              </w:rPr>
              <w:t>Reptiles aquatiques</w:t>
            </w:r>
          </w:p>
          <w:p w:rsidR="006677CA" w:rsidRPr="006677CA" w:rsidRDefault="006677CA" w:rsidP="006677CA">
            <w:pPr>
              <w:pStyle w:val="ListParagraph"/>
              <w:numPr>
                <w:ilvl w:val="0"/>
                <w:numId w:val="23"/>
              </w:numPr>
              <w:spacing w:before="40" w:after="40"/>
              <w:ind w:left="338"/>
              <w:rPr>
                <w:rFonts w:eastAsia="Calibri" w:cs="Arial"/>
                <w:sz w:val="20"/>
                <w:szCs w:val="20"/>
                <w:lang w:val="fr-FR"/>
              </w:rPr>
            </w:pPr>
            <w:r w:rsidRPr="006677CA">
              <w:rPr>
                <w:rFonts w:cs="Arial"/>
                <w:sz w:val="20"/>
                <w:szCs w:val="20"/>
                <w:lang w:val="fr-FR"/>
              </w:rPr>
              <w:t>Reptiles, oiseaux, mammifères marins</w:t>
            </w:r>
          </w:p>
          <w:p w:rsidR="006677CA" w:rsidRPr="006677CA" w:rsidRDefault="006677CA" w:rsidP="006677CA">
            <w:pPr>
              <w:pStyle w:val="ListParagraph"/>
              <w:numPr>
                <w:ilvl w:val="0"/>
                <w:numId w:val="23"/>
              </w:numPr>
              <w:spacing w:before="40" w:after="40"/>
              <w:ind w:left="338"/>
              <w:rPr>
                <w:rFonts w:eastAsia="Calibri" w:cs="Arial"/>
                <w:sz w:val="20"/>
                <w:szCs w:val="20"/>
                <w:lang w:val="fr-FR"/>
              </w:rPr>
            </w:pPr>
            <w:r w:rsidRPr="006677CA">
              <w:rPr>
                <w:rFonts w:cs="Arial"/>
                <w:sz w:val="20"/>
                <w:szCs w:val="20"/>
                <w:lang w:val="fr-FR"/>
              </w:rPr>
              <w:t>Migration des oiseaux</w:t>
            </w:r>
          </w:p>
          <w:p w:rsidR="006677CA" w:rsidRPr="006677CA" w:rsidRDefault="006677CA" w:rsidP="006677CA">
            <w:pPr>
              <w:pStyle w:val="ListParagraph"/>
              <w:numPr>
                <w:ilvl w:val="0"/>
                <w:numId w:val="23"/>
              </w:numPr>
              <w:spacing w:before="40" w:after="40"/>
              <w:ind w:left="338"/>
              <w:rPr>
                <w:rFonts w:eastAsia="Calibri" w:cs="Arial"/>
                <w:sz w:val="20"/>
                <w:szCs w:val="20"/>
                <w:lang w:val="fr-FR"/>
              </w:rPr>
            </w:pPr>
            <w:r w:rsidRPr="006677CA">
              <w:rPr>
                <w:rFonts w:cs="Arial"/>
                <w:sz w:val="20"/>
                <w:szCs w:val="20"/>
                <w:lang w:val="fr-FR"/>
              </w:rPr>
              <w:t>Migration des oiseaux, gestion des oiseaux d’eau</w:t>
            </w:r>
          </w:p>
          <w:p w:rsidR="006677CA" w:rsidRPr="006677CA" w:rsidRDefault="006677CA" w:rsidP="006677CA">
            <w:pPr>
              <w:pStyle w:val="ListParagraph"/>
              <w:numPr>
                <w:ilvl w:val="0"/>
                <w:numId w:val="23"/>
              </w:numPr>
              <w:spacing w:before="40" w:after="40"/>
              <w:ind w:left="338"/>
              <w:rPr>
                <w:rFonts w:eastAsia="Calibri" w:cs="Arial"/>
                <w:sz w:val="20"/>
                <w:szCs w:val="20"/>
                <w:lang w:val="fr-FR"/>
              </w:rPr>
            </w:pPr>
            <w:r w:rsidRPr="006677CA">
              <w:rPr>
                <w:rFonts w:cs="Arial"/>
                <w:sz w:val="20"/>
                <w:szCs w:val="20"/>
                <w:lang w:val="fr-FR"/>
              </w:rPr>
              <w:t>Migration des mammifères en Afrique</w:t>
            </w:r>
          </w:p>
          <w:p w:rsidR="006677CA" w:rsidRPr="006677CA" w:rsidRDefault="006677CA" w:rsidP="006677CA">
            <w:pPr>
              <w:pStyle w:val="ListParagraph"/>
              <w:numPr>
                <w:ilvl w:val="0"/>
                <w:numId w:val="23"/>
              </w:numPr>
              <w:spacing w:before="40" w:after="40"/>
              <w:ind w:left="338"/>
              <w:rPr>
                <w:rFonts w:eastAsia="Calibri" w:cs="Arial"/>
                <w:sz w:val="20"/>
                <w:szCs w:val="20"/>
                <w:lang w:val="fr-FR"/>
              </w:rPr>
            </w:pPr>
            <w:r w:rsidRPr="006677CA">
              <w:rPr>
                <w:rFonts w:cs="Arial"/>
                <w:sz w:val="20"/>
                <w:szCs w:val="20"/>
                <w:lang w:val="fr-FR"/>
              </w:rPr>
              <w:t>Ornithologie</w:t>
            </w:r>
          </w:p>
          <w:p w:rsidR="006677CA" w:rsidRPr="006677CA" w:rsidRDefault="006677CA" w:rsidP="006677CA">
            <w:pPr>
              <w:pStyle w:val="ListParagraph"/>
              <w:numPr>
                <w:ilvl w:val="0"/>
                <w:numId w:val="23"/>
              </w:numPr>
              <w:spacing w:before="40" w:after="40"/>
              <w:ind w:left="338"/>
              <w:rPr>
                <w:rFonts w:eastAsia="Calibri" w:cs="Arial"/>
                <w:sz w:val="20"/>
                <w:szCs w:val="20"/>
              </w:rPr>
            </w:pPr>
            <w:proofErr w:type="spellStart"/>
            <w:r w:rsidRPr="006677CA">
              <w:rPr>
                <w:rFonts w:cs="Arial"/>
                <w:sz w:val="20"/>
                <w:szCs w:val="20"/>
              </w:rPr>
              <w:t>Oiseaux</w:t>
            </w:r>
            <w:proofErr w:type="spellEnd"/>
            <w:r w:rsidRPr="006677CA">
              <w:rPr>
                <w:rFonts w:cs="Arial"/>
                <w:sz w:val="20"/>
                <w:szCs w:val="20"/>
              </w:rPr>
              <w:t xml:space="preserve">, </w:t>
            </w:r>
            <w:proofErr w:type="spellStart"/>
            <w:r w:rsidRPr="006677CA">
              <w:rPr>
                <w:rFonts w:cs="Arial"/>
                <w:sz w:val="20"/>
                <w:szCs w:val="20"/>
              </w:rPr>
              <w:t>mammifères</w:t>
            </w:r>
            <w:proofErr w:type="spellEnd"/>
            <w:r w:rsidRPr="006677CA">
              <w:rPr>
                <w:rFonts w:cs="Arial"/>
                <w:sz w:val="20"/>
                <w:szCs w:val="20"/>
              </w:rPr>
              <w:t xml:space="preserve"> </w:t>
            </w:r>
            <w:proofErr w:type="spellStart"/>
            <w:r w:rsidRPr="006677CA">
              <w:rPr>
                <w:rFonts w:cs="Arial"/>
                <w:sz w:val="20"/>
                <w:szCs w:val="20"/>
              </w:rPr>
              <w:t>marins</w:t>
            </w:r>
            <w:proofErr w:type="spellEnd"/>
          </w:p>
        </w:tc>
      </w:tr>
      <w:tr w:rsidR="006677CA" w:rsidRPr="00B306AD" w:rsidTr="00C908C2">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b/>
                <w:sz w:val="20"/>
                <w:szCs w:val="20"/>
              </w:rPr>
            </w:pPr>
            <w:r w:rsidRPr="006B675D">
              <w:rPr>
                <w:rFonts w:cs="Arial"/>
                <w:b/>
                <w:sz w:val="20"/>
                <w:szCs w:val="20"/>
              </w:rPr>
              <w:t>COP2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sz w:val="20"/>
                <w:szCs w:val="20"/>
              </w:rPr>
            </w:pPr>
            <w:r w:rsidRPr="006B675D">
              <w:rPr>
                <w:rFonts w:cs="Arial"/>
                <w:sz w:val="20"/>
                <w:szCs w:val="20"/>
              </w:rPr>
              <w:t>1988</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Espèces aquatiques</w:t>
            </w:r>
          </w:p>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Oiseaux d’eau</w:t>
            </w:r>
          </w:p>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Droit environnemental</w:t>
            </w:r>
          </w:p>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Toxicologie relative aux animaux sauvages</w:t>
            </w:r>
          </w:p>
        </w:tc>
      </w:tr>
      <w:tr w:rsidR="006677CA" w:rsidRPr="006677CA" w:rsidTr="00C908C2">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b/>
                <w:sz w:val="20"/>
                <w:szCs w:val="20"/>
              </w:rPr>
            </w:pPr>
            <w:r w:rsidRPr="006B675D">
              <w:rPr>
                <w:rFonts w:cs="Arial"/>
                <w:b/>
                <w:sz w:val="20"/>
                <w:szCs w:val="20"/>
              </w:rPr>
              <w:t>COP3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sz w:val="20"/>
                <w:szCs w:val="20"/>
              </w:rPr>
            </w:pPr>
            <w:r w:rsidRPr="006B675D">
              <w:rPr>
                <w:rFonts w:cs="Arial"/>
                <w:sz w:val="20"/>
                <w:szCs w:val="20"/>
              </w:rPr>
              <w:t>1991</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Mammifères des États du Sahel et du Sahara</w:t>
            </w:r>
          </w:p>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Oiseaux d’eau</w:t>
            </w:r>
          </w:p>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Petits cétacés</w:t>
            </w:r>
          </w:p>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Faune néotropicale</w:t>
            </w:r>
          </w:p>
        </w:tc>
      </w:tr>
      <w:tr w:rsidR="006677CA" w:rsidRPr="006B675D" w:rsidTr="00C908C2">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b/>
                <w:sz w:val="20"/>
                <w:szCs w:val="20"/>
              </w:rPr>
            </w:pPr>
            <w:r w:rsidRPr="006B675D">
              <w:rPr>
                <w:rFonts w:cs="Arial"/>
                <w:b/>
                <w:sz w:val="20"/>
                <w:szCs w:val="20"/>
              </w:rPr>
              <w:t>COP4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sz w:val="20"/>
                <w:szCs w:val="20"/>
              </w:rPr>
            </w:pPr>
            <w:r w:rsidRPr="006B675D">
              <w:rPr>
                <w:rFonts w:cs="Arial"/>
                <w:sz w:val="20"/>
                <w:szCs w:val="20"/>
              </w:rPr>
              <w:t>1994</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 xml:space="preserve">Experts de la COP3 nommés de nouveau </w:t>
            </w:r>
          </w:p>
          <w:p w:rsidR="006677CA" w:rsidRPr="006677CA" w:rsidRDefault="006677CA" w:rsidP="006677CA">
            <w:pPr>
              <w:pStyle w:val="ListParagraph"/>
              <w:spacing w:before="40" w:after="40"/>
              <w:ind w:left="338"/>
              <w:rPr>
                <w:rFonts w:eastAsia="Calibri" w:cs="Arial"/>
                <w:sz w:val="20"/>
                <w:szCs w:val="20"/>
              </w:rPr>
            </w:pPr>
            <w:proofErr w:type="spellStart"/>
            <w:r w:rsidRPr="006677CA">
              <w:rPr>
                <w:rFonts w:cs="Arial"/>
                <w:sz w:val="20"/>
                <w:szCs w:val="20"/>
              </w:rPr>
              <w:t>Ajout</w:t>
            </w:r>
            <w:proofErr w:type="spellEnd"/>
            <w:r w:rsidRPr="006677CA">
              <w:rPr>
                <w:rFonts w:cs="Arial"/>
                <w:sz w:val="20"/>
                <w:szCs w:val="20"/>
              </w:rPr>
              <w:t xml:space="preserve"> de :</w:t>
            </w:r>
          </w:p>
          <w:p w:rsidR="006677CA" w:rsidRPr="006677CA" w:rsidRDefault="006677CA" w:rsidP="006677CA">
            <w:pPr>
              <w:pStyle w:val="ListParagraph"/>
              <w:numPr>
                <w:ilvl w:val="0"/>
                <w:numId w:val="23"/>
              </w:numPr>
              <w:spacing w:before="40" w:after="40"/>
              <w:ind w:left="338" w:hanging="338"/>
              <w:rPr>
                <w:rFonts w:eastAsia="Calibri" w:cs="Arial"/>
                <w:sz w:val="20"/>
                <w:szCs w:val="20"/>
              </w:rPr>
            </w:pPr>
            <w:proofErr w:type="spellStart"/>
            <w:r w:rsidRPr="006677CA">
              <w:rPr>
                <w:rFonts w:cs="Arial"/>
                <w:sz w:val="20"/>
                <w:szCs w:val="20"/>
              </w:rPr>
              <w:t>Tortues</w:t>
            </w:r>
            <w:proofErr w:type="spellEnd"/>
            <w:r w:rsidRPr="006677CA">
              <w:rPr>
                <w:rFonts w:cs="Arial"/>
                <w:sz w:val="20"/>
                <w:szCs w:val="20"/>
              </w:rPr>
              <w:t xml:space="preserve"> marines</w:t>
            </w:r>
          </w:p>
        </w:tc>
      </w:tr>
      <w:tr w:rsidR="006677CA" w:rsidRPr="006B675D" w:rsidTr="00C908C2">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b/>
                <w:sz w:val="20"/>
                <w:szCs w:val="20"/>
              </w:rPr>
            </w:pPr>
            <w:r w:rsidRPr="006B675D">
              <w:rPr>
                <w:rFonts w:cs="Arial"/>
                <w:b/>
                <w:sz w:val="20"/>
                <w:szCs w:val="20"/>
              </w:rPr>
              <w:t>COP5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sz w:val="20"/>
                <w:szCs w:val="20"/>
              </w:rPr>
            </w:pPr>
            <w:r w:rsidRPr="006B675D">
              <w:rPr>
                <w:rFonts w:cs="Arial"/>
                <w:sz w:val="20"/>
                <w:szCs w:val="20"/>
              </w:rPr>
              <w:t>1997</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Tortues marines</w:t>
            </w:r>
          </w:p>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Oiseaux d’eau</w:t>
            </w:r>
          </w:p>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Cétacés</w:t>
            </w:r>
          </w:p>
          <w:p w:rsidR="006677CA" w:rsidRPr="006677CA" w:rsidRDefault="006677CA" w:rsidP="006677CA">
            <w:pPr>
              <w:pStyle w:val="ListParagraph"/>
              <w:numPr>
                <w:ilvl w:val="0"/>
                <w:numId w:val="23"/>
              </w:numPr>
              <w:spacing w:before="40" w:after="40"/>
              <w:ind w:left="338" w:hanging="338"/>
              <w:rPr>
                <w:rFonts w:eastAsia="Calibri" w:cs="Arial"/>
                <w:sz w:val="20"/>
                <w:szCs w:val="20"/>
                <w:lang w:val="fr-FR"/>
              </w:rPr>
            </w:pPr>
            <w:r w:rsidRPr="006677CA">
              <w:rPr>
                <w:rFonts w:cs="Arial"/>
                <w:sz w:val="20"/>
                <w:szCs w:val="20"/>
                <w:lang w:val="fr-FR"/>
              </w:rPr>
              <w:t>Grands mammifères</w:t>
            </w:r>
          </w:p>
          <w:p w:rsidR="006677CA" w:rsidRPr="006677CA" w:rsidRDefault="006677CA" w:rsidP="006677CA">
            <w:pPr>
              <w:pStyle w:val="ListParagraph"/>
              <w:numPr>
                <w:ilvl w:val="0"/>
                <w:numId w:val="23"/>
              </w:numPr>
              <w:spacing w:before="40" w:after="40"/>
              <w:ind w:left="338" w:hanging="338"/>
              <w:rPr>
                <w:rFonts w:eastAsia="Calibri" w:cs="Arial"/>
                <w:sz w:val="20"/>
                <w:szCs w:val="20"/>
              </w:rPr>
            </w:pPr>
            <w:proofErr w:type="spellStart"/>
            <w:r w:rsidRPr="006677CA">
              <w:rPr>
                <w:rFonts w:cs="Arial"/>
                <w:sz w:val="20"/>
                <w:szCs w:val="20"/>
              </w:rPr>
              <w:t>Faune</w:t>
            </w:r>
            <w:proofErr w:type="spellEnd"/>
            <w:r w:rsidRPr="006677CA">
              <w:rPr>
                <w:rFonts w:cs="Arial"/>
                <w:sz w:val="20"/>
                <w:szCs w:val="20"/>
              </w:rPr>
              <w:t xml:space="preserve"> </w:t>
            </w:r>
            <w:proofErr w:type="spellStart"/>
            <w:r w:rsidRPr="006677CA">
              <w:rPr>
                <w:rFonts w:cs="Arial"/>
                <w:sz w:val="20"/>
                <w:szCs w:val="20"/>
              </w:rPr>
              <w:t>néotropicale</w:t>
            </w:r>
            <w:proofErr w:type="spellEnd"/>
          </w:p>
        </w:tc>
      </w:tr>
      <w:tr w:rsidR="006677CA" w:rsidRPr="006B675D" w:rsidTr="00C908C2">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b/>
                <w:sz w:val="20"/>
                <w:szCs w:val="20"/>
              </w:rPr>
            </w:pPr>
            <w:r w:rsidRPr="006B675D">
              <w:rPr>
                <w:rFonts w:cs="Arial"/>
                <w:b/>
                <w:sz w:val="20"/>
                <w:szCs w:val="20"/>
              </w:rPr>
              <w:lastRenderedPageBreak/>
              <w:t>COP6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rPr>
                <w:rFonts w:eastAsia="Calibri" w:cs="Arial"/>
                <w:sz w:val="20"/>
                <w:szCs w:val="20"/>
              </w:rPr>
            </w:pPr>
            <w:r w:rsidRPr="006B675D">
              <w:rPr>
                <w:rFonts w:cs="Arial"/>
                <w:sz w:val="20"/>
                <w:szCs w:val="20"/>
              </w:rPr>
              <w:t>1999</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677CA" w:rsidRDefault="006677CA" w:rsidP="006677CA">
            <w:pPr>
              <w:pStyle w:val="ListParagraph"/>
              <w:numPr>
                <w:ilvl w:val="0"/>
                <w:numId w:val="24"/>
              </w:numPr>
              <w:spacing w:before="40" w:after="40"/>
              <w:ind w:left="338"/>
              <w:rPr>
                <w:rFonts w:eastAsia="Calibri" w:cs="Arial"/>
                <w:sz w:val="20"/>
                <w:szCs w:val="20"/>
                <w:lang w:val="fr-FR"/>
              </w:rPr>
            </w:pPr>
            <w:r w:rsidRPr="006677CA">
              <w:rPr>
                <w:rFonts w:cs="Arial"/>
                <w:sz w:val="20"/>
                <w:szCs w:val="20"/>
                <w:lang w:val="fr-FR"/>
              </w:rPr>
              <w:t>Experts de la COP5 nommés de nouveau, et modification de :</w:t>
            </w:r>
          </w:p>
          <w:p w:rsidR="006677CA" w:rsidRPr="006B675D" w:rsidRDefault="006677CA" w:rsidP="006677CA">
            <w:pPr>
              <w:numPr>
                <w:ilvl w:val="1"/>
                <w:numId w:val="25"/>
              </w:numPr>
              <w:suppressAutoHyphens/>
              <w:autoSpaceDN w:val="0"/>
              <w:spacing w:before="40" w:after="40" w:line="240" w:lineRule="auto"/>
              <w:rPr>
                <w:rFonts w:eastAsia="Calibri" w:cs="Arial"/>
                <w:sz w:val="20"/>
                <w:szCs w:val="20"/>
                <w:lang w:val="fr-FR"/>
              </w:rPr>
            </w:pPr>
            <w:r w:rsidRPr="006B675D">
              <w:rPr>
                <w:rFonts w:cs="Arial"/>
                <w:sz w:val="20"/>
                <w:szCs w:val="20"/>
                <w:lang w:val="fr-FR"/>
              </w:rPr>
              <w:t>Oiseaux d’eau = oiseaux d’eau/zones humides</w:t>
            </w:r>
          </w:p>
          <w:p w:rsidR="006677CA" w:rsidRPr="006B675D" w:rsidRDefault="006677CA" w:rsidP="006677CA">
            <w:pPr>
              <w:numPr>
                <w:ilvl w:val="1"/>
                <w:numId w:val="25"/>
              </w:numPr>
              <w:suppressAutoHyphens/>
              <w:autoSpaceDN w:val="0"/>
              <w:spacing w:before="40" w:after="40" w:line="240" w:lineRule="auto"/>
              <w:rPr>
                <w:rFonts w:eastAsia="Calibri" w:cs="Arial"/>
                <w:sz w:val="20"/>
                <w:szCs w:val="20"/>
              </w:rPr>
            </w:pPr>
            <w:proofErr w:type="spellStart"/>
            <w:r w:rsidRPr="006B675D">
              <w:rPr>
                <w:rFonts w:cs="Arial"/>
                <w:sz w:val="20"/>
                <w:szCs w:val="20"/>
              </w:rPr>
              <w:t>Cétacés</w:t>
            </w:r>
            <w:proofErr w:type="spellEnd"/>
            <w:r w:rsidRPr="006B675D">
              <w:rPr>
                <w:rFonts w:cs="Arial"/>
                <w:sz w:val="20"/>
                <w:szCs w:val="20"/>
              </w:rPr>
              <w:t xml:space="preserve"> = </w:t>
            </w:r>
            <w:proofErr w:type="spellStart"/>
            <w:r w:rsidRPr="006B675D">
              <w:rPr>
                <w:rFonts w:cs="Arial"/>
                <w:sz w:val="20"/>
                <w:szCs w:val="20"/>
              </w:rPr>
              <w:t>cétacés</w:t>
            </w:r>
            <w:proofErr w:type="spellEnd"/>
            <w:r w:rsidRPr="006B675D">
              <w:rPr>
                <w:rFonts w:cs="Arial"/>
                <w:sz w:val="20"/>
                <w:szCs w:val="20"/>
              </w:rPr>
              <w:t xml:space="preserve"> et </w:t>
            </w:r>
            <w:proofErr w:type="spellStart"/>
            <w:r w:rsidRPr="006B675D">
              <w:rPr>
                <w:rFonts w:cs="Arial"/>
                <w:sz w:val="20"/>
                <w:szCs w:val="20"/>
              </w:rPr>
              <w:t>poissons</w:t>
            </w:r>
            <w:proofErr w:type="spellEnd"/>
          </w:p>
          <w:p w:rsidR="006677CA" w:rsidRPr="006B675D" w:rsidRDefault="006677CA" w:rsidP="006677CA">
            <w:pPr>
              <w:numPr>
                <w:ilvl w:val="1"/>
                <w:numId w:val="25"/>
              </w:numPr>
              <w:suppressAutoHyphens/>
              <w:autoSpaceDN w:val="0"/>
              <w:spacing w:before="40" w:after="40" w:line="240" w:lineRule="auto"/>
              <w:rPr>
                <w:rFonts w:eastAsia="Calibri" w:cs="Arial"/>
                <w:sz w:val="20"/>
                <w:szCs w:val="20"/>
              </w:rPr>
            </w:pPr>
            <w:r w:rsidRPr="006B675D">
              <w:rPr>
                <w:rFonts w:cs="Arial"/>
                <w:sz w:val="20"/>
                <w:szCs w:val="20"/>
              </w:rPr>
              <w:t xml:space="preserve">Grands </w:t>
            </w:r>
            <w:proofErr w:type="spellStart"/>
            <w:r w:rsidRPr="006B675D">
              <w:rPr>
                <w:rFonts w:cs="Arial"/>
                <w:sz w:val="20"/>
                <w:szCs w:val="20"/>
              </w:rPr>
              <w:t>mammifères</w:t>
            </w:r>
            <w:proofErr w:type="spellEnd"/>
            <w:r w:rsidRPr="006B675D">
              <w:rPr>
                <w:rFonts w:cs="Arial"/>
                <w:sz w:val="20"/>
                <w:szCs w:val="20"/>
              </w:rPr>
              <w:t xml:space="preserve"> = grands </w:t>
            </w:r>
            <w:proofErr w:type="spellStart"/>
            <w:r w:rsidRPr="006B675D">
              <w:rPr>
                <w:rFonts w:cs="Arial"/>
                <w:sz w:val="20"/>
                <w:szCs w:val="20"/>
              </w:rPr>
              <w:t>mammifères</w:t>
            </w:r>
            <w:proofErr w:type="spellEnd"/>
            <w:r w:rsidRPr="006B675D">
              <w:rPr>
                <w:rFonts w:cs="Arial"/>
                <w:sz w:val="20"/>
                <w:szCs w:val="20"/>
              </w:rPr>
              <w:t xml:space="preserve"> </w:t>
            </w:r>
            <w:proofErr w:type="spellStart"/>
            <w:r w:rsidRPr="006B675D">
              <w:rPr>
                <w:rFonts w:cs="Arial"/>
                <w:sz w:val="20"/>
                <w:szCs w:val="20"/>
              </w:rPr>
              <w:t>terrestres</w:t>
            </w:r>
            <w:proofErr w:type="spellEnd"/>
          </w:p>
          <w:p w:rsidR="006677CA" w:rsidRPr="006B675D" w:rsidRDefault="006677CA" w:rsidP="00423325">
            <w:pPr>
              <w:spacing w:before="40" w:after="40"/>
              <w:ind w:left="369" w:hanging="369"/>
              <w:rPr>
                <w:rFonts w:eastAsia="Calibri" w:cs="Arial"/>
                <w:sz w:val="20"/>
                <w:szCs w:val="20"/>
              </w:rPr>
            </w:pPr>
            <w:proofErr w:type="spellStart"/>
            <w:r w:rsidRPr="006B675D">
              <w:rPr>
                <w:rFonts w:cs="Arial"/>
                <w:sz w:val="20"/>
                <w:szCs w:val="20"/>
              </w:rPr>
              <w:t>Ajout</w:t>
            </w:r>
            <w:proofErr w:type="spellEnd"/>
            <w:r w:rsidRPr="006B675D">
              <w:rPr>
                <w:rFonts w:cs="Arial"/>
                <w:sz w:val="20"/>
                <w:szCs w:val="20"/>
              </w:rPr>
              <w:t xml:space="preserve"> de :</w:t>
            </w:r>
          </w:p>
          <w:p w:rsidR="006677CA" w:rsidRPr="006677CA" w:rsidRDefault="006677CA" w:rsidP="006677CA">
            <w:pPr>
              <w:pStyle w:val="ListParagraph"/>
              <w:numPr>
                <w:ilvl w:val="0"/>
                <w:numId w:val="24"/>
              </w:numPr>
              <w:spacing w:before="40" w:after="40"/>
              <w:ind w:left="338"/>
              <w:rPr>
                <w:rFonts w:eastAsia="Calibri" w:cs="Arial"/>
                <w:sz w:val="20"/>
                <w:szCs w:val="20"/>
              </w:rPr>
            </w:pPr>
            <w:proofErr w:type="spellStart"/>
            <w:r w:rsidRPr="006677CA">
              <w:rPr>
                <w:rFonts w:cs="Arial"/>
                <w:sz w:val="20"/>
                <w:szCs w:val="20"/>
              </w:rPr>
              <w:t>Faune</w:t>
            </w:r>
            <w:proofErr w:type="spellEnd"/>
            <w:r w:rsidRPr="006677CA">
              <w:rPr>
                <w:rFonts w:cs="Arial"/>
                <w:sz w:val="20"/>
                <w:szCs w:val="20"/>
              </w:rPr>
              <w:t xml:space="preserve"> </w:t>
            </w:r>
            <w:proofErr w:type="spellStart"/>
            <w:r w:rsidRPr="006677CA">
              <w:rPr>
                <w:rFonts w:cs="Arial"/>
                <w:sz w:val="20"/>
                <w:szCs w:val="20"/>
              </w:rPr>
              <w:t>asiatique</w:t>
            </w:r>
            <w:proofErr w:type="spellEnd"/>
          </w:p>
        </w:tc>
      </w:tr>
      <w:tr w:rsidR="006677CA" w:rsidRPr="00B306AD" w:rsidTr="00C908C2">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after="120"/>
              <w:rPr>
                <w:rFonts w:eastAsia="Calibri" w:cs="Arial"/>
                <w:b/>
                <w:sz w:val="20"/>
                <w:szCs w:val="20"/>
              </w:rPr>
            </w:pPr>
            <w:r w:rsidRPr="006B675D">
              <w:rPr>
                <w:rFonts w:cs="Arial"/>
                <w:b/>
                <w:sz w:val="20"/>
                <w:szCs w:val="20"/>
              </w:rPr>
              <w:t>COP7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after="120"/>
              <w:rPr>
                <w:rFonts w:eastAsia="Calibri" w:cs="Arial"/>
                <w:sz w:val="20"/>
                <w:szCs w:val="20"/>
              </w:rPr>
            </w:pPr>
            <w:r w:rsidRPr="006B675D">
              <w:rPr>
                <w:rFonts w:cs="Arial"/>
                <w:sz w:val="20"/>
                <w:szCs w:val="20"/>
              </w:rPr>
              <w:t>2002</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677CA" w:rsidRDefault="006677CA" w:rsidP="006677CA">
            <w:pPr>
              <w:pStyle w:val="ListParagraph"/>
              <w:numPr>
                <w:ilvl w:val="0"/>
                <w:numId w:val="24"/>
              </w:numPr>
              <w:spacing w:before="40" w:after="40"/>
              <w:ind w:left="338"/>
              <w:rPr>
                <w:rFonts w:eastAsia="Calibri" w:cs="Arial"/>
                <w:sz w:val="20"/>
                <w:szCs w:val="20"/>
                <w:lang w:val="fr-FR"/>
              </w:rPr>
            </w:pPr>
            <w:r w:rsidRPr="006677CA">
              <w:rPr>
                <w:rFonts w:cs="Arial"/>
                <w:sz w:val="20"/>
                <w:szCs w:val="20"/>
                <w:lang w:val="fr-FR"/>
              </w:rPr>
              <w:t>Experts de la COP6 nommés de nouveau</w:t>
            </w:r>
          </w:p>
        </w:tc>
      </w:tr>
      <w:tr w:rsidR="006677CA" w:rsidRPr="006B675D" w:rsidTr="00C908C2">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after="120"/>
              <w:rPr>
                <w:rFonts w:eastAsia="Calibri" w:cs="Arial"/>
                <w:b/>
                <w:sz w:val="20"/>
                <w:szCs w:val="20"/>
              </w:rPr>
            </w:pPr>
            <w:r w:rsidRPr="006B675D">
              <w:rPr>
                <w:rFonts w:cs="Arial"/>
                <w:b/>
                <w:sz w:val="20"/>
                <w:szCs w:val="20"/>
              </w:rPr>
              <w:t>COP8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after="120"/>
              <w:rPr>
                <w:rFonts w:eastAsia="Calibri" w:cs="Arial"/>
                <w:sz w:val="20"/>
                <w:szCs w:val="20"/>
              </w:rPr>
            </w:pPr>
            <w:r w:rsidRPr="006B675D">
              <w:rPr>
                <w:rFonts w:cs="Arial"/>
                <w:sz w:val="20"/>
                <w:szCs w:val="20"/>
              </w:rPr>
              <w:t>2005</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677CA" w:rsidRDefault="006677CA" w:rsidP="006677CA">
            <w:pPr>
              <w:pStyle w:val="ListParagraph"/>
              <w:numPr>
                <w:ilvl w:val="0"/>
                <w:numId w:val="24"/>
              </w:numPr>
              <w:spacing w:before="40" w:after="40"/>
              <w:ind w:left="338"/>
              <w:rPr>
                <w:rFonts w:eastAsia="Calibri" w:cs="Arial"/>
                <w:sz w:val="20"/>
                <w:szCs w:val="20"/>
                <w:lang w:val="fr-FR"/>
              </w:rPr>
            </w:pPr>
            <w:r w:rsidRPr="006677CA">
              <w:rPr>
                <w:rFonts w:cs="Arial"/>
                <w:sz w:val="20"/>
                <w:szCs w:val="20"/>
                <w:lang w:val="fr-FR"/>
              </w:rPr>
              <w:t>Experts de la COP7 nommés de nouveau, et modification de :</w:t>
            </w:r>
          </w:p>
          <w:p w:rsidR="006677CA" w:rsidRPr="006B675D" w:rsidRDefault="006677CA" w:rsidP="006677CA">
            <w:pPr>
              <w:numPr>
                <w:ilvl w:val="1"/>
                <w:numId w:val="26"/>
              </w:numPr>
              <w:suppressAutoHyphens/>
              <w:autoSpaceDN w:val="0"/>
              <w:spacing w:before="40" w:after="40" w:line="240" w:lineRule="auto"/>
              <w:rPr>
                <w:rFonts w:eastAsia="Calibri" w:cs="Arial"/>
                <w:sz w:val="20"/>
                <w:szCs w:val="20"/>
              </w:rPr>
            </w:pPr>
            <w:proofErr w:type="spellStart"/>
            <w:r w:rsidRPr="006B675D">
              <w:rPr>
                <w:rFonts w:cs="Arial"/>
                <w:sz w:val="20"/>
                <w:szCs w:val="20"/>
              </w:rPr>
              <w:t>Oiseaux</w:t>
            </w:r>
            <w:proofErr w:type="spellEnd"/>
            <w:r w:rsidRPr="006B675D">
              <w:rPr>
                <w:rFonts w:cs="Arial"/>
                <w:sz w:val="20"/>
                <w:szCs w:val="20"/>
              </w:rPr>
              <w:t xml:space="preserve"> </w:t>
            </w:r>
            <w:proofErr w:type="spellStart"/>
            <w:r w:rsidRPr="006B675D">
              <w:rPr>
                <w:rFonts w:cs="Arial"/>
                <w:sz w:val="20"/>
                <w:szCs w:val="20"/>
              </w:rPr>
              <w:t>d’eau</w:t>
            </w:r>
            <w:proofErr w:type="spellEnd"/>
            <w:r w:rsidRPr="006B675D">
              <w:rPr>
                <w:rFonts w:cs="Arial"/>
                <w:sz w:val="20"/>
                <w:szCs w:val="20"/>
              </w:rPr>
              <w:t xml:space="preserve">/zones </w:t>
            </w:r>
            <w:proofErr w:type="spellStart"/>
            <w:r w:rsidRPr="006B675D">
              <w:rPr>
                <w:rFonts w:cs="Arial"/>
                <w:sz w:val="20"/>
                <w:szCs w:val="20"/>
              </w:rPr>
              <w:t>humides</w:t>
            </w:r>
            <w:proofErr w:type="spellEnd"/>
            <w:r w:rsidRPr="006B675D">
              <w:rPr>
                <w:rFonts w:cs="Arial"/>
                <w:sz w:val="20"/>
                <w:szCs w:val="20"/>
              </w:rPr>
              <w:t xml:space="preserve"> = </w:t>
            </w:r>
            <w:proofErr w:type="spellStart"/>
            <w:r w:rsidRPr="006B675D">
              <w:rPr>
                <w:rFonts w:cs="Arial"/>
                <w:sz w:val="20"/>
                <w:szCs w:val="20"/>
              </w:rPr>
              <w:t>oiseaux</w:t>
            </w:r>
            <w:proofErr w:type="spellEnd"/>
          </w:p>
          <w:p w:rsidR="006677CA" w:rsidRPr="006B675D" w:rsidRDefault="006677CA" w:rsidP="006677CA">
            <w:pPr>
              <w:numPr>
                <w:ilvl w:val="1"/>
                <w:numId w:val="26"/>
              </w:numPr>
              <w:suppressAutoHyphens/>
              <w:autoSpaceDN w:val="0"/>
              <w:spacing w:before="40" w:after="40" w:line="240" w:lineRule="auto"/>
              <w:rPr>
                <w:rFonts w:eastAsia="Calibri" w:cs="Arial"/>
                <w:sz w:val="20"/>
                <w:szCs w:val="20"/>
                <w:lang w:val="fr-FR"/>
              </w:rPr>
            </w:pPr>
            <w:r w:rsidRPr="006B675D">
              <w:rPr>
                <w:rFonts w:cs="Arial"/>
                <w:sz w:val="20"/>
                <w:szCs w:val="20"/>
                <w:lang w:val="fr-FR"/>
              </w:rPr>
              <w:t>Cétacés et poissons = mammifères marins et grands poissons</w:t>
            </w:r>
          </w:p>
          <w:p w:rsidR="006677CA" w:rsidRPr="006B675D" w:rsidRDefault="006677CA" w:rsidP="006677CA">
            <w:pPr>
              <w:numPr>
                <w:ilvl w:val="1"/>
                <w:numId w:val="26"/>
              </w:numPr>
              <w:suppressAutoHyphens/>
              <w:autoSpaceDN w:val="0"/>
              <w:spacing w:before="40" w:after="40" w:line="240" w:lineRule="auto"/>
              <w:rPr>
                <w:rFonts w:eastAsia="Calibri" w:cs="Arial"/>
                <w:sz w:val="20"/>
                <w:szCs w:val="20"/>
              </w:rPr>
            </w:pPr>
            <w:r w:rsidRPr="006B675D">
              <w:rPr>
                <w:rFonts w:cs="Arial"/>
                <w:sz w:val="20"/>
                <w:szCs w:val="20"/>
              </w:rPr>
              <w:t xml:space="preserve">Grands </w:t>
            </w:r>
            <w:proofErr w:type="spellStart"/>
            <w:r w:rsidRPr="006B675D">
              <w:rPr>
                <w:rFonts w:cs="Arial"/>
                <w:sz w:val="20"/>
                <w:szCs w:val="20"/>
              </w:rPr>
              <w:t>mammifères</w:t>
            </w:r>
            <w:proofErr w:type="spellEnd"/>
            <w:r w:rsidRPr="006B675D">
              <w:rPr>
                <w:rFonts w:cs="Arial"/>
                <w:sz w:val="20"/>
                <w:szCs w:val="20"/>
              </w:rPr>
              <w:t xml:space="preserve"> </w:t>
            </w:r>
            <w:proofErr w:type="spellStart"/>
            <w:r w:rsidRPr="006B675D">
              <w:rPr>
                <w:rFonts w:cs="Arial"/>
                <w:sz w:val="20"/>
                <w:szCs w:val="20"/>
              </w:rPr>
              <w:t>terrestres</w:t>
            </w:r>
            <w:proofErr w:type="spellEnd"/>
            <w:r w:rsidRPr="006B675D">
              <w:rPr>
                <w:rFonts w:cs="Arial"/>
                <w:sz w:val="20"/>
                <w:szCs w:val="20"/>
              </w:rPr>
              <w:t xml:space="preserve"> = </w:t>
            </w:r>
            <w:proofErr w:type="spellStart"/>
            <w:r w:rsidRPr="006B675D">
              <w:rPr>
                <w:rFonts w:cs="Arial"/>
                <w:sz w:val="20"/>
                <w:szCs w:val="20"/>
              </w:rPr>
              <w:t>faune</w:t>
            </w:r>
            <w:proofErr w:type="spellEnd"/>
            <w:r w:rsidRPr="006B675D">
              <w:rPr>
                <w:rFonts w:cs="Arial"/>
                <w:sz w:val="20"/>
                <w:szCs w:val="20"/>
              </w:rPr>
              <w:t xml:space="preserve"> </w:t>
            </w:r>
            <w:proofErr w:type="spellStart"/>
            <w:r w:rsidRPr="006B675D">
              <w:rPr>
                <w:rFonts w:cs="Arial"/>
                <w:sz w:val="20"/>
                <w:szCs w:val="20"/>
              </w:rPr>
              <w:t>africaine</w:t>
            </w:r>
            <w:proofErr w:type="spellEnd"/>
          </w:p>
          <w:p w:rsidR="006677CA" w:rsidRPr="006B675D" w:rsidRDefault="006677CA" w:rsidP="00423325">
            <w:pPr>
              <w:spacing w:before="40" w:after="40"/>
              <w:ind w:left="369" w:hanging="369"/>
              <w:rPr>
                <w:rFonts w:eastAsia="Calibri" w:cs="Arial"/>
                <w:sz w:val="20"/>
                <w:szCs w:val="20"/>
              </w:rPr>
            </w:pPr>
            <w:proofErr w:type="spellStart"/>
            <w:r w:rsidRPr="006B675D">
              <w:rPr>
                <w:rFonts w:cs="Arial"/>
                <w:sz w:val="20"/>
                <w:szCs w:val="20"/>
              </w:rPr>
              <w:t>Ajout</w:t>
            </w:r>
            <w:proofErr w:type="spellEnd"/>
            <w:r w:rsidRPr="006B675D">
              <w:rPr>
                <w:rFonts w:cs="Arial"/>
                <w:sz w:val="20"/>
                <w:szCs w:val="20"/>
              </w:rPr>
              <w:t xml:space="preserve"> de :</w:t>
            </w:r>
          </w:p>
          <w:p w:rsidR="006677CA" w:rsidRPr="006677CA" w:rsidRDefault="006677CA" w:rsidP="006677CA">
            <w:pPr>
              <w:pStyle w:val="ListParagraph"/>
              <w:numPr>
                <w:ilvl w:val="3"/>
                <w:numId w:val="28"/>
              </w:numPr>
              <w:spacing w:before="40" w:after="40"/>
              <w:ind w:left="338"/>
              <w:rPr>
                <w:rFonts w:eastAsia="Calibri" w:cs="Arial"/>
                <w:sz w:val="20"/>
                <w:szCs w:val="20"/>
              </w:rPr>
            </w:pPr>
            <w:proofErr w:type="spellStart"/>
            <w:r w:rsidRPr="006677CA">
              <w:rPr>
                <w:rFonts w:cs="Arial"/>
                <w:sz w:val="20"/>
                <w:szCs w:val="20"/>
              </w:rPr>
              <w:t>Poissons</w:t>
            </w:r>
            <w:proofErr w:type="spellEnd"/>
          </w:p>
          <w:p w:rsidR="006677CA" w:rsidRPr="006677CA" w:rsidRDefault="006677CA" w:rsidP="006677CA">
            <w:pPr>
              <w:pStyle w:val="ListParagraph"/>
              <w:numPr>
                <w:ilvl w:val="3"/>
                <w:numId w:val="28"/>
              </w:numPr>
              <w:spacing w:before="40" w:after="40"/>
              <w:ind w:left="338"/>
              <w:rPr>
                <w:rFonts w:eastAsia="Calibri" w:cs="Arial"/>
                <w:sz w:val="20"/>
                <w:szCs w:val="20"/>
              </w:rPr>
            </w:pPr>
            <w:proofErr w:type="spellStart"/>
            <w:r w:rsidRPr="006677CA">
              <w:rPr>
                <w:rFonts w:cs="Arial"/>
                <w:sz w:val="20"/>
                <w:szCs w:val="20"/>
              </w:rPr>
              <w:t>Prises</w:t>
            </w:r>
            <w:proofErr w:type="spellEnd"/>
            <w:r w:rsidRPr="006677CA">
              <w:rPr>
                <w:rFonts w:cs="Arial"/>
                <w:sz w:val="20"/>
                <w:szCs w:val="20"/>
              </w:rPr>
              <w:t xml:space="preserve"> </w:t>
            </w:r>
            <w:proofErr w:type="spellStart"/>
            <w:r w:rsidRPr="006677CA">
              <w:rPr>
                <w:rFonts w:cs="Arial"/>
                <w:sz w:val="20"/>
                <w:szCs w:val="20"/>
              </w:rPr>
              <w:t>accessoires</w:t>
            </w:r>
            <w:proofErr w:type="spellEnd"/>
          </w:p>
        </w:tc>
      </w:tr>
      <w:tr w:rsidR="006677CA" w:rsidRPr="00B306AD" w:rsidTr="00C908C2">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after="120"/>
              <w:rPr>
                <w:rFonts w:eastAsia="Calibri" w:cs="Arial"/>
                <w:b/>
                <w:sz w:val="20"/>
                <w:szCs w:val="20"/>
              </w:rPr>
            </w:pPr>
            <w:r w:rsidRPr="006B675D">
              <w:rPr>
                <w:rFonts w:cs="Arial"/>
                <w:b/>
                <w:sz w:val="20"/>
                <w:szCs w:val="20"/>
              </w:rPr>
              <w:t>COP9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after="120"/>
              <w:rPr>
                <w:rFonts w:eastAsia="Calibri" w:cs="Arial"/>
                <w:sz w:val="20"/>
                <w:szCs w:val="20"/>
              </w:rPr>
            </w:pPr>
            <w:r w:rsidRPr="006B675D">
              <w:rPr>
                <w:rFonts w:cs="Arial"/>
                <w:sz w:val="20"/>
                <w:szCs w:val="20"/>
              </w:rPr>
              <w:t>2008</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C908C2" w:rsidRDefault="006677CA" w:rsidP="00C908C2">
            <w:pPr>
              <w:pStyle w:val="ListParagraph"/>
              <w:numPr>
                <w:ilvl w:val="0"/>
                <w:numId w:val="24"/>
              </w:numPr>
              <w:spacing w:before="40" w:after="40"/>
              <w:ind w:left="338"/>
              <w:rPr>
                <w:rFonts w:eastAsia="Calibri" w:cs="Arial"/>
                <w:sz w:val="20"/>
                <w:szCs w:val="20"/>
                <w:lang w:val="fr-FR"/>
              </w:rPr>
            </w:pPr>
            <w:r w:rsidRPr="00C908C2">
              <w:rPr>
                <w:rFonts w:cs="Arial"/>
                <w:sz w:val="20"/>
                <w:szCs w:val="20"/>
                <w:lang w:val="fr-FR"/>
              </w:rPr>
              <w:t>Experts de la COP8 nommés de nouveau, et modification de :</w:t>
            </w:r>
          </w:p>
          <w:p w:rsidR="006677CA" w:rsidRPr="006B675D" w:rsidRDefault="006677CA" w:rsidP="006677CA">
            <w:pPr>
              <w:numPr>
                <w:ilvl w:val="1"/>
                <w:numId w:val="14"/>
              </w:numPr>
              <w:suppressAutoHyphens/>
              <w:autoSpaceDN w:val="0"/>
              <w:spacing w:before="40" w:after="40" w:line="240" w:lineRule="auto"/>
              <w:ind w:left="737" w:hanging="368"/>
              <w:rPr>
                <w:rFonts w:eastAsia="Calibri" w:cs="Arial"/>
                <w:sz w:val="20"/>
                <w:szCs w:val="20"/>
                <w:lang w:val="fr-FR"/>
              </w:rPr>
            </w:pPr>
            <w:r w:rsidRPr="006B675D">
              <w:rPr>
                <w:rFonts w:cs="Arial"/>
                <w:sz w:val="20"/>
                <w:szCs w:val="20"/>
                <w:lang w:val="fr-FR"/>
              </w:rPr>
              <w:t>Mammifères marins et grands poissons = mammifères aquatiques</w:t>
            </w:r>
          </w:p>
        </w:tc>
      </w:tr>
      <w:tr w:rsidR="006677CA" w:rsidRPr="006B675D" w:rsidTr="00C908C2">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after="120"/>
              <w:rPr>
                <w:rFonts w:eastAsia="Calibri" w:cs="Arial"/>
                <w:b/>
                <w:sz w:val="20"/>
                <w:szCs w:val="20"/>
              </w:rPr>
            </w:pPr>
            <w:r w:rsidRPr="006B675D">
              <w:rPr>
                <w:rFonts w:cs="Arial"/>
                <w:b/>
                <w:sz w:val="20"/>
                <w:szCs w:val="20"/>
              </w:rPr>
              <w:t>COP10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6B675D" w:rsidRDefault="006677CA" w:rsidP="00423325">
            <w:pPr>
              <w:spacing w:before="120" w:after="120"/>
              <w:rPr>
                <w:rFonts w:eastAsia="Calibri" w:cs="Arial"/>
                <w:sz w:val="20"/>
                <w:szCs w:val="20"/>
              </w:rPr>
            </w:pPr>
            <w:r w:rsidRPr="006B675D">
              <w:rPr>
                <w:rFonts w:cs="Arial"/>
                <w:sz w:val="20"/>
                <w:szCs w:val="20"/>
              </w:rPr>
              <w:t>2011</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7CA" w:rsidRPr="00C908C2" w:rsidRDefault="006677CA" w:rsidP="00C908C2">
            <w:pPr>
              <w:pStyle w:val="ListParagraph"/>
              <w:numPr>
                <w:ilvl w:val="0"/>
                <w:numId w:val="24"/>
              </w:numPr>
              <w:spacing w:before="40" w:after="40"/>
              <w:ind w:left="338"/>
              <w:rPr>
                <w:rFonts w:eastAsia="Calibri" w:cs="Arial"/>
                <w:sz w:val="20"/>
                <w:szCs w:val="20"/>
                <w:lang w:val="fr-FR"/>
              </w:rPr>
            </w:pPr>
            <w:r w:rsidRPr="00C908C2">
              <w:rPr>
                <w:rFonts w:cs="Arial"/>
                <w:sz w:val="20"/>
                <w:szCs w:val="20"/>
                <w:lang w:val="fr-FR"/>
              </w:rPr>
              <w:t>Experts de la COP9 nommés de nouveau</w:t>
            </w:r>
          </w:p>
          <w:p w:rsidR="006677CA" w:rsidRPr="006B675D" w:rsidRDefault="006677CA" w:rsidP="00423325">
            <w:pPr>
              <w:spacing w:before="40" w:after="40"/>
              <w:ind w:left="369" w:hanging="369"/>
              <w:rPr>
                <w:rFonts w:eastAsia="Calibri" w:cs="Arial"/>
                <w:sz w:val="20"/>
                <w:szCs w:val="20"/>
              </w:rPr>
            </w:pPr>
            <w:proofErr w:type="spellStart"/>
            <w:r w:rsidRPr="006B675D">
              <w:rPr>
                <w:rFonts w:cs="Arial"/>
                <w:sz w:val="20"/>
                <w:szCs w:val="20"/>
              </w:rPr>
              <w:t>Ajout</w:t>
            </w:r>
            <w:proofErr w:type="spellEnd"/>
            <w:r w:rsidRPr="006B675D">
              <w:rPr>
                <w:rFonts w:cs="Arial"/>
                <w:sz w:val="20"/>
                <w:szCs w:val="20"/>
              </w:rPr>
              <w:t xml:space="preserve"> de :</w:t>
            </w:r>
          </w:p>
          <w:p w:rsidR="006677CA" w:rsidRPr="00C908C2" w:rsidRDefault="006677CA" w:rsidP="00C908C2">
            <w:pPr>
              <w:pStyle w:val="ListParagraph"/>
              <w:numPr>
                <w:ilvl w:val="0"/>
                <w:numId w:val="24"/>
              </w:numPr>
              <w:spacing w:before="40" w:after="40"/>
              <w:ind w:left="338"/>
              <w:rPr>
                <w:rFonts w:eastAsia="Calibri" w:cs="Arial"/>
                <w:sz w:val="20"/>
                <w:szCs w:val="20"/>
              </w:rPr>
            </w:pPr>
            <w:proofErr w:type="spellStart"/>
            <w:r w:rsidRPr="00C908C2">
              <w:rPr>
                <w:rFonts w:cs="Arial"/>
                <w:sz w:val="20"/>
                <w:szCs w:val="20"/>
              </w:rPr>
              <w:t>Changements</w:t>
            </w:r>
            <w:proofErr w:type="spellEnd"/>
            <w:r w:rsidRPr="00C908C2">
              <w:rPr>
                <w:rFonts w:cs="Arial"/>
                <w:sz w:val="20"/>
                <w:szCs w:val="20"/>
              </w:rPr>
              <w:t xml:space="preserve"> </w:t>
            </w:r>
            <w:proofErr w:type="spellStart"/>
            <w:r w:rsidRPr="00C908C2">
              <w:rPr>
                <w:rFonts w:cs="Arial"/>
                <w:sz w:val="20"/>
                <w:szCs w:val="20"/>
              </w:rPr>
              <w:t>climatiques</w:t>
            </w:r>
            <w:proofErr w:type="spellEnd"/>
          </w:p>
        </w:tc>
      </w:tr>
    </w:tbl>
    <w:p w:rsidR="00C908C2" w:rsidRDefault="00C908C2" w:rsidP="00C908C2">
      <w:pPr>
        <w:spacing w:after="0" w:line="240" w:lineRule="auto"/>
        <w:jc w:val="both"/>
        <w:rPr>
          <w:rFonts w:cs="Arial"/>
          <w:sz w:val="18"/>
          <w:szCs w:val="18"/>
          <w:lang w:val="fr-FR"/>
        </w:rPr>
      </w:pPr>
    </w:p>
    <w:p w:rsidR="006677CA" w:rsidRPr="00C908C2" w:rsidRDefault="00C908C2" w:rsidP="00C908C2">
      <w:pPr>
        <w:spacing w:after="0" w:line="240" w:lineRule="auto"/>
        <w:ind w:left="567"/>
        <w:jc w:val="both"/>
        <w:rPr>
          <w:rFonts w:cs="Arial"/>
          <w:b/>
          <w:sz w:val="18"/>
          <w:szCs w:val="18"/>
          <w:lang w:val="fr-FR"/>
        </w:rPr>
      </w:pPr>
      <w:r w:rsidRPr="00C908C2">
        <w:rPr>
          <w:rFonts w:cs="Arial"/>
          <w:b/>
          <w:sz w:val="18"/>
          <w:szCs w:val="18"/>
          <w:lang w:val="fr-FR"/>
        </w:rPr>
        <w:t xml:space="preserve">Tableau 1 : Domaines d'activité des conseillers nommés par la </w:t>
      </w:r>
      <w:proofErr w:type="spellStart"/>
      <w:r w:rsidRPr="00C908C2">
        <w:rPr>
          <w:rFonts w:cs="Arial"/>
          <w:b/>
          <w:sz w:val="18"/>
          <w:szCs w:val="18"/>
          <w:lang w:val="fr-FR"/>
        </w:rPr>
        <w:t>CdOP</w:t>
      </w:r>
      <w:proofErr w:type="spellEnd"/>
      <w:r w:rsidRPr="00C908C2">
        <w:rPr>
          <w:rFonts w:cs="Arial"/>
          <w:b/>
          <w:sz w:val="18"/>
          <w:szCs w:val="18"/>
          <w:lang w:val="fr-FR"/>
        </w:rPr>
        <w:t xml:space="preserve"> identifiés pour chaque COP.</w:t>
      </w:r>
    </w:p>
    <w:p w:rsidR="00C908C2" w:rsidRPr="00C908C2" w:rsidRDefault="00C908C2" w:rsidP="00C908C2">
      <w:pPr>
        <w:spacing w:after="0" w:line="240" w:lineRule="auto"/>
        <w:ind w:left="567"/>
        <w:jc w:val="both"/>
        <w:rPr>
          <w:rFonts w:cs="Arial"/>
          <w:sz w:val="18"/>
          <w:szCs w:val="18"/>
          <w:lang w:val="fr-FR"/>
        </w:rPr>
      </w:pPr>
    </w:p>
    <w:p w:rsidR="006677CA" w:rsidRPr="006B675D" w:rsidRDefault="006677CA" w:rsidP="00C908C2">
      <w:pPr>
        <w:pStyle w:val="ListNumber"/>
        <w:numPr>
          <w:ilvl w:val="0"/>
          <w:numId w:val="14"/>
        </w:numPr>
        <w:spacing w:after="80" w:line="240" w:lineRule="auto"/>
        <w:ind w:left="567" w:hanging="567"/>
        <w:rPr>
          <w:rFonts w:cs="Arial"/>
        </w:rPr>
      </w:pPr>
      <w:r w:rsidRPr="006B675D">
        <w:rPr>
          <w:rFonts w:cs="Arial"/>
        </w:rPr>
        <w:t xml:space="preserve">Il existe actuellement neuf domaines d’activités des Conseillers nommés par la COP, qui sont axés sur les espèces ou thématiques : </w:t>
      </w:r>
    </w:p>
    <w:p w:rsidR="006677CA" w:rsidRPr="006B675D" w:rsidRDefault="006677CA" w:rsidP="00C908C2">
      <w:pPr>
        <w:spacing w:after="80" w:line="240" w:lineRule="auto"/>
        <w:ind w:left="567"/>
        <w:rPr>
          <w:rFonts w:cs="Arial"/>
        </w:rPr>
      </w:pPr>
      <w:r w:rsidRPr="006B675D">
        <w:rPr>
          <w:rFonts w:cs="Arial"/>
        </w:rPr>
        <w:t>a. </w:t>
      </w:r>
      <w:proofErr w:type="spellStart"/>
      <w:r w:rsidRPr="006B675D">
        <w:rPr>
          <w:rFonts w:cs="Arial"/>
        </w:rPr>
        <w:t>Oiseaux</w:t>
      </w:r>
      <w:proofErr w:type="spellEnd"/>
      <w:r w:rsidRPr="006B675D">
        <w:rPr>
          <w:rFonts w:cs="Arial"/>
        </w:rPr>
        <w:t xml:space="preserve"> ; </w:t>
      </w:r>
    </w:p>
    <w:p w:rsidR="006677CA" w:rsidRPr="006B675D" w:rsidRDefault="006677CA" w:rsidP="00C908C2">
      <w:pPr>
        <w:numPr>
          <w:ilvl w:val="1"/>
          <w:numId w:val="18"/>
        </w:numPr>
        <w:spacing w:after="80" w:line="240" w:lineRule="auto"/>
        <w:ind w:left="567"/>
        <w:rPr>
          <w:rFonts w:cs="Arial"/>
        </w:rPr>
      </w:pPr>
      <w:r w:rsidRPr="006B675D">
        <w:rPr>
          <w:rFonts w:cs="Arial"/>
        </w:rPr>
        <w:t>b. </w:t>
      </w:r>
      <w:proofErr w:type="spellStart"/>
      <w:r w:rsidRPr="006B675D">
        <w:rPr>
          <w:rFonts w:cs="Arial"/>
        </w:rPr>
        <w:t>Tortues</w:t>
      </w:r>
      <w:proofErr w:type="spellEnd"/>
      <w:r w:rsidRPr="006B675D">
        <w:rPr>
          <w:rFonts w:cs="Arial"/>
        </w:rPr>
        <w:t xml:space="preserve"> marines ; </w:t>
      </w:r>
    </w:p>
    <w:p w:rsidR="006677CA" w:rsidRPr="006B675D" w:rsidRDefault="006677CA" w:rsidP="00C908C2">
      <w:pPr>
        <w:numPr>
          <w:ilvl w:val="1"/>
          <w:numId w:val="18"/>
        </w:numPr>
        <w:spacing w:after="80" w:line="240" w:lineRule="auto"/>
        <w:ind w:left="567"/>
        <w:rPr>
          <w:rFonts w:cs="Arial"/>
        </w:rPr>
      </w:pPr>
      <w:r w:rsidRPr="006B675D">
        <w:rPr>
          <w:rFonts w:cs="Arial"/>
        </w:rPr>
        <w:t>c. </w:t>
      </w:r>
      <w:proofErr w:type="spellStart"/>
      <w:r w:rsidRPr="006B675D">
        <w:rPr>
          <w:rFonts w:cs="Arial"/>
        </w:rPr>
        <w:t>Faune</w:t>
      </w:r>
      <w:proofErr w:type="spellEnd"/>
      <w:r w:rsidRPr="006B675D">
        <w:rPr>
          <w:rFonts w:cs="Arial"/>
        </w:rPr>
        <w:t xml:space="preserve"> </w:t>
      </w:r>
      <w:proofErr w:type="spellStart"/>
      <w:r w:rsidRPr="006B675D">
        <w:rPr>
          <w:rFonts w:cs="Arial"/>
        </w:rPr>
        <w:t>asiatique</w:t>
      </w:r>
      <w:proofErr w:type="spellEnd"/>
      <w:r w:rsidRPr="006B675D">
        <w:rPr>
          <w:rFonts w:cs="Arial"/>
        </w:rPr>
        <w:t xml:space="preserve"> ; </w:t>
      </w:r>
    </w:p>
    <w:p w:rsidR="006677CA" w:rsidRPr="006B675D" w:rsidRDefault="006677CA" w:rsidP="00C908C2">
      <w:pPr>
        <w:numPr>
          <w:ilvl w:val="1"/>
          <w:numId w:val="18"/>
        </w:numPr>
        <w:spacing w:after="80" w:line="240" w:lineRule="auto"/>
        <w:ind w:left="567"/>
        <w:rPr>
          <w:rFonts w:cs="Arial"/>
        </w:rPr>
      </w:pPr>
      <w:r w:rsidRPr="006B675D">
        <w:rPr>
          <w:rFonts w:cs="Arial"/>
        </w:rPr>
        <w:t>d. </w:t>
      </w:r>
      <w:proofErr w:type="spellStart"/>
      <w:r w:rsidRPr="006B675D">
        <w:rPr>
          <w:rFonts w:cs="Arial"/>
        </w:rPr>
        <w:t>Faune</w:t>
      </w:r>
      <w:proofErr w:type="spellEnd"/>
      <w:r w:rsidRPr="006B675D">
        <w:rPr>
          <w:rFonts w:cs="Arial"/>
        </w:rPr>
        <w:t xml:space="preserve"> </w:t>
      </w:r>
      <w:proofErr w:type="spellStart"/>
      <w:r w:rsidRPr="006B675D">
        <w:rPr>
          <w:rFonts w:cs="Arial"/>
        </w:rPr>
        <w:t>néotropicale</w:t>
      </w:r>
      <w:proofErr w:type="spellEnd"/>
      <w:r w:rsidRPr="006B675D">
        <w:rPr>
          <w:rFonts w:cs="Arial"/>
        </w:rPr>
        <w:t xml:space="preserve"> ; </w:t>
      </w:r>
    </w:p>
    <w:p w:rsidR="006677CA" w:rsidRPr="00C908C2" w:rsidRDefault="006677CA" w:rsidP="00C908C2">
      <w:pPr>
        <w:numPr>
          <w:ilvl w:val="1"/>
          <w:numId w:val="18"/>
        </w:numPr>
        <w:spacing w:after="80" w:line="240" w:lineRule="auto"/>
        <w:ind w:left="567"/>
        <w:rPr>
          <w:rFonts w:cs="Arial"/>
          <w:lang w:val="fr-FR"/>
        </w:rPr>
      </w:pPr>
      <w:r w:rsidRPr="00C908C2">
        <w:rPr>
          <w:rFonts w:cs="Arial"/>
          <w:lang w:val="fr-FR"/>
        </w:rPr>
        <w:t xml:space="preserve">e. Mammifères marins ; </w:t>
      </w:r>
    </w:p>
    <w:p w:rsidR="006677CA" w:rsidRPr="006B675D" w:rsidRDefault="006677CA" w:rsidP="00C908C2">
      <w:pPr>
        <w:numPr>
          <w:ilvl w:val="1"/>
          <w:numId w:val="18"/>
        </w:numPr>
        <w:spacing w:after="80" w:line="240" w:lineRule="auto"/>
        <w:ind w:left="567"/>
        <w:rPr>
          <w:rFonts w:cs="Arial"/>
        </w:rPr>
      </w:pPr>
      <w:r w:rsidRPr="006B675D">
        <w:rPr>
          <w:rFonts w:cs="Arial"/>
        </w:rPr>
        <w:t>f. </w:t>
      </w:r>
      <w:proofErr w:type="spellStart"/>
      <w:r w:rsidRPr="006B675D">
        <w:rPr>
          <w:rFonts w:cs="Arial"/>
        </w:rPr>
        <w:t>Faune</w:t>
      </w:r>
      <w:proofErr w:type="spellEnd"/>
      <w:r w:rsidRPr="006B675D">
        <w:rPr>
          <w:rFonts w:cs="Arial"/>
        </w:rPr>
        <w:t xml:space="preserve"> </w:t>
      </w:r>
      <w:proofErr w:type="spellStart"/>
      <w:r w:rsidRPr="006B675D">
        <w:rPr>
          <w:rFonts w:cs="Arial"/>
        </w:rPr>
        <w:t>africaine</w:t>
      </w:r>
      <w:proofErr w:type="spellEnd"/>
      <w:r w:rsidRPr="006B675D">
        <w:rPr>
          <w:rFonts w:cs="Arial"/>
        </w:rPr>
        <w:t xml:space="preserve"> ; </w:t>
      </w:r>
    </w:p>
    <w:p w:rsidR="006677CA" w:rsidRPr="006B675D" w:rsidRDefault="006677CA" w:rsidP="00C908C2">
      <w:pPr>
        <w:numPr>
          <w:ilvl w:val="1"/>
          <w:numId w:val="18"/>
        </w:numPr>
        <w:spacing w:after="80" w:line="240" w:lineRule="auto"/>
        <w:ind w:left="567"/>
        <w:rPr>
          <w:rFonts w:cs="Arial"/>
        </w:rPr>
      </w:pPr>
      <w:r w:rsidRPr="006B675D">
        <w:rPr>
          <w:rFonts w:cs="Arial"/>
        </w:rPr>
        <w:t>g. </w:t>
      </w:r>
      <w:proofErr w:type="spellStart"/>
      <w:r w:rsidRPr="006B675D">
        <w:rPr>
          <w:rFonts w:cs="Arial"/>
        </w:rPr>
        <w:t>Poissons</w:t>
      </w:r>
      <w:proofErr w:type="spellEnd"/>
      <w:r w:rsidRPr="006B675D">
        <w:rPr>
          <w:rFonts w:cs="Arial"/>
        </w:rPr>
        <w:t xml:space="preserve"> ; </w:t>
      </w:r>
    </w:p>
    <w:p w:rsidR="006677CA" w:rsidRPr="006B675D" w:rsidRDefault="006677CA" w:rsidP="00C908C2">
      <w:pPr>
        <w:numPr>
          <w:ilvl w:val="1"/>
          <w:numId w:val="18"/>
        </w:numPr>
        <w:spacing w:after="80" w:line="240" w:lineRule="auto"/>
        <w:ind w:left="567"/>
        <w:rPr>
          <w:rFonts w:cs="Arial"/>
        </w:rPr>
      </w:pPr>
      <w:r w:rsidRPr="006B675D">
        <w:rPr>
          <w:rFonts w:cs="Arial"/>
        </w:rPr>
        <w:t>h. </w:t>
      </w:r>
      <w:proofErr w:type="spellStart"/>
      <w:r w:rsidRPr="006B675D">
        <w:rPr>
          <w:rFonts w:cs="Arial"/>
        </w:rPr>
        <w:t>Prises</w:t>
      </w:r>
      <w:proofErr w:type="spellEnd"/>
      <w:r w:rsidRPr="006B675D">
        <w:rPr>
          <w:rFonts w:cs="Arial"/>
        </w:rPr>
        <w:t xml:space="preserve"> </w:t>
      </w:r>
      <w:proofErr w:type="spellStart"/>
      <w:r w:rsidRPr="006B675D">
        <w:rPr>
          <w:rFonts w:cs="Arial"/>
        </w:rPr>
        <w:t>accessoires</w:t>
      </w:r>
      <w:proofErr w:type="spellEnd"/>
      <w:r w:rsidRPr="006B675D">
        <w:rPr>
          <w:rFonts w:cs="Arial"/>
        </w:rPr>
        <w:t xml:space="preserve"> ; et </w:t>
      </w:r>
    </w:p>
    <w:p w:rsidR="006677CA" w:rsidRPr="006B675D" w:rsidRDefault="006677CA" w:rsidP="006677CA">
      <w:pPr>
        <w:numPr>
          <w:ilvl w:val="1"/>
          <w:numId w:val="18"/>
        </w:numPr>
        <w:spacing w:after="0" w:line="240" w:lineRule="auto"/>
        <w:ind w:left="567"/>
        <w:rPr>
          <w:rFonts w:cs="Arial"/>
        </w:rPr>
      </w:pPr>
      <w:proofErr w:type="spellStart"/>
      <w:r w:rsidRPr="006B675D">
        <w:rPr>
          <w:rFonts w:cs="Arial"/>
        </w:rPr>
        <w:t>i</w:t>
      </w:r>
      <w:proofErr w:type="spellEnd"/>
      <w:r w:rsidRPr="006B675D">
        <w:rPr>
          <w:rFonts w:cs="Arial"/>
        </w:rPr>
        <w:t>. </w:t>
      </w:r>
      <w:proofErr w:type="spellStart"/>
      <w:r w:rsidRPr="006B675D">
        <w:rPr>
          <w:rFonts w:cs="Arial"/>
        </w:rPr>
        <w:t>Changement</w:t>
      </w:r>
      <w:proofErr w:type="spellEnd"/>
      <w:r w:rsidRPr="006B675D">
        <w:rPr>
          <w:rFonts w:cs="Arial"/>
        </w:rPr>
        <w:t xml:space="preserve"> </w:t>
      </w:r>
      <w:proofErr w:type="spellStart"/>
      <w:r w:rsidRPr="006B675D">
        <w:rPr>
          <w:rFonts w:cs="Arial"/>
        </w:rPr>
        <w:t>climatique</w:t>
      </w:r>
      <w:proofErr w:type="spellEnd"/>
      <w:r w:rsidRPr="006B675D">
        <w:rPr>
          <w:rFonts w:cs="Arial"/>
        </w:rPr>
        <w:t xml:space="preserve">. </w:t>
      </w:r>
    </w:p>
    <w:p w:rsidR="006677CA" w:rsidRPr="006B675D" w:rsidRDefault="006677CA" w:rsidP="006677CA">
      <w:pPr>
        <w:numPr>
          <w:ilvl w:val="1"/>
          <w:numId w:val="18"/>
        </w:numPr>
        <w:spacing w:after="0" w:line="240" w:lineRule="auto"/>
        <w:ind w:left="567"/>
        <w:rPr>
          <w:rFonts w:cs="Arial"/>
        </w:rPr>
      </w:pPr>
    </w:p>
    <w:p w:rsidR="006677CA" w:rsidRPr="006B675D" w:rsidRDefault="006677CA" w:rsidP="006677CA">
      <w:pPr>
        <w:pStyle w:val="ListNumber"/>
        <w:numPr>
          <w:ilvl w:val="0"/>
          <w:numId w:val="14"/>
        </w:numPr>
        <w:spacing w:after="0" w:line="240" w:lineRule="auto"/>
        <w:ind w:left="567" w:hanging="567"/>
        <w:jc w:val="both"/>
        <w:rPr>
          <w:rFonts w:cs="Arial"/>
        </w:rPr>
      </w:pPr>
      <w:r w:rsidRPr="006B675D">
        <w:rPr>
          <w:rFonts w:cs="Arial"/>
        </w:rPr>
        <w:t xml:space="preserve">Il </w:t>
      </w:r>
      <w:r w:rsidR="00C908C2">
        <w:rPr>
          <w:rFonts w:cs="Arial"/>
        </w:rPr>
        <w:t>a été</w:t>
      </w:r>
      <w:r w:rsidRPr="006B675D">
        <w:rPr>
          <w:rFonts w:cs="Arial"/>
        </w:rPr>
        <w:t xml:space="preserve"> convenu </w:t>
      </w:r>
      <w:r w:rsidR="00C908C2" w:rsidRPr="006B675D">
        <w:rPr>
          <w:rFonts w:cs="Arial"/>
        </w:rPr>
        <w:t>à la 3</w:t>
      </w:r>
      <w:r w:rsidR="00C908C2" w:rsidRPr="006B675D">
        <w:rPr>
          <w:rFonts w:cs="Arial"/>
          <w:vertAlign w:val="superscript"/>
        </w:rPr>
        <w:t>e</w:t>
      </w:r>
      <w:r w:rsidR="00C908C2" w:rsidRPr="006B675D">
        <w:rPr>
          <w:rFonts w:cs="Arial"/>
        </w:rPr>
        <w:t xml:space="preserve"> Réunion du Comité de session </w:t>
      </w:r>
      <w:r w:rsidRPr="006B675D">
        <w:rPr>
          <w:rFonts w:cs="Arial"/>
        </w:rPr>
        <w:t>qu’un examen formel des domaines d’activité actuels des Conseillers nommés par la COP devrait être mené pour déterminer la pertinence des domaines d’activité existants et proposer de nouveaux domaines si nécessaires, afin de soumettre les recommandations qui en découlent à la COP13 pour considération. Un groupe de travail composé de représentants de chaque région de la CMS est établi pour suivre les progrès de l’examen.</w:t>
      </w:r>
    </w:p>
    <w:p w:rsidR="006677CA" w:rsidRPr="006B675D" w:rsidRDefault="006677CA" w:rsidP="006677CA">
      <w:pPr>
        <w:pStyle w:val="ListNumber"/>
        <w:numPr>
          <w:ilvl w:val="0"/>
          <w:numId w:val="0"/>
        </w:numPr>
        <w:spacing w:after="0" w:line="240" w:lineRule="auto"/>
        <w:ind w:left="567"/>
        <w:jc w:val="both"/>
        <w:rPr>
          <w:rFonts w:cs="Arial"/>
        </w:rPr>
      </w:pPr>
    </w:p>
    <w:p w:rsidR="006677CA" w:rsidRPr="006B675D" w:rsidRDefault="006677CA" w:rsidP="006677CA">
      <w:pPr>
        <w:pStyle w:val="ListNumber"/>
        <w:numPr>
          <w:ilvl w:val="0"/>
          <w:numId w:val="14"/>
        </w:numPr>
        <w:spacing w:after="0" w:line="240" w:lineRule="auto"/>
        <w:ind w:left="567" w:hanging="567"/>
        <w:jc w:val="both"/>
        <w:rPr>
          <w:rFonts w:cs="Arial"/>
        </w:rPr>
      </w:pPr>
      <w:r w:rsidRPr="006B675D">
        <w:rPr>
          <w:rFonts w:cs="Arial"/>
        </w:rPr>
        <w:t>Le mandat de ce groupe de travail se trouve dans l</w:t>
      </w:r>
      <w:r>
        <w:rPr>
          <w:rFonts w:cs="Arial"/>
        </w:rPr>
        <w:t xml:space="preserve">a </w:t>
      </w:r>
      <w:r>
        <w:rPr>
          <w:rFonts w:cs="Arial"/>
          <w:u w:val="single"/>
        </w:rPr>
        <w:t xml:space="preserve">pièce </w:t>
      </w:r>
      <w:proofErr w:type="gramStart"/>
      <w:r>
        <w:rPr>
          <w:rFonts w:cs="Arial"/>
          <w:u w:val="single"/>
        </w:rPr>
        <w:t xml:space="preserve">jointe </w:t>
      </w:r>
      <w:r w:rsidRPr="006B675D">
        <w:rPr>
          <w:rFonts w:cs="Arial"/>
          <w:u w:val="single"/>
        </w:rPr>
        <w:t> 1</w:t>
      </w:r>
      <w:proofErr w:type="gramEnd"/>
      <w:r w:rsidRPr="006B675D">
        <w:rPr>
          <w:rFonts w:cs="Arial"/>
        </w:rPr>
        <w:t>.</w:t>
      </w:r>
    </w:p>
    <w:p w:rsidR="006677CA" w:rsidRPr="006B675D" w:rsidRDefault="006677CA" w:rsidP="006677CA">
      <w:pPr>
        <w:rPr>
          <w:rFonts w:cs="Arial"/>
          <w:b/>
          <w:lang w:val="fr-FR"/>
        </w:rPr>
      </w:pPr>
    </w:p>
    <w:p w:rsidR="006677CA" w:rsidRPr="003E35BD" w:rsidRDefault="006677CA" w:rsidP="00C908C2">
      <w:pPr>
        <w:spacing w:after="0" w:line="240" w:lineRule="auto"/>
        <w:rPr>
          <w:rFonts w:cs="Arial"/>
          <w:u w:val="single"/>
          <w:lang w:val="fr-FR"/>
        </w:rPr>
      </w:pPr>
      <w:r w:rsidRPr="003E35BD">
        <w:rPr>
          <w:rFonts w:cs="Arial"/>
          <w:u w:val="single"/>
          <w:lang w:val="fr-FR"/>
        </w:rPr>
        <w:t>Domaines d’activités et charge de travail de la COP</w:t>
      </w:r>
    </w:p>
    <w:p w:rsidR="006677CA" w:rsidRPr="006B675D" w:rsidRDefault="006677CA" w:rsidP="00C908C2">
      <w:pPr>
        <w:spacing w:after="0" w:line="240" w:lineRule="auto"/>
        <w:rPr>
          <w:rFonts w:cs="Arial"/>
          <w:b/>
          <w:lang w:val="fr-FR"/>
        </w:rPr>
      </w:pPr>
    </w:p>
    <w:p w:rsidR="006677CA" w:rsidRPr="006B675D" w:rsidRDefault="006677CA" w:rsidP="00C908C2">
      <w:pPr>
        <w:pStyle w:val="ListNumber"/>
        <w:numPr>
          <w:ilvl w:val="0"/>
          <w:numId w:val="14"/>
        </w:numPr>
        <w:tabs>
          <w:tab w:val="left" w:pos="1134"/>
        </w:tabs>
        <w:spacing w:after="0" w:line="240" w:lineRule="auto"/>
        <w:ind w:left="567" w:hanging="567"/>
        <w:jc w:val="both"/>
        <w:rPr>
          <w:rFonts w:cs="Arial"/>
        </w:rPr>
      </w:pPr>
      <w:r w:rsidRPr="006B675D">
        <w:rPr>
          <w:rFonts w:cs="Arial"/>
        </w:rPr>
        <w:t>Pour comprendre les domaines dans lesquels les conseils d’experts se sont avérés précieux pour le fonctionnement ordinaire de la Convention, le groupe de travail convient d’examiner les questions abordées aux trois dernières COP (COP10 - COP12) en vue de trouver des domaines de grand intérêt et d’éventuels points de pression.</w:t>
      </w:r>
    </w:p>
    <w:p w:rsidR="006677CA" w:rsidRPr="006B675D" w:rsidRDefault="006677CA" w:rsidP="00C908C2">
      <w:pPr>
        <w:pStyle w:val="ListNumber"/>
        <w:numPr>
          <w:ilvl w:val="0"/>
          <w:numId w:val="0"/>
        </w:numPr>
        <w:tabs>
          <w:tab w:val="left" w:pos="1134"/>
        </w:tabs>
        <w:spacing w:after="0" w:line="240" w:lineRule="auto"/>
        <w:ind w:left="567"/>
        <w:jc w:val="both"/>
        <w:rPr>
          <w:rFonts w:cs="Arial"/>
        </w:rPr>
      </w:pPr>
    </w:p>
    <w:p w:rsidR="006677CA" w:rsidRPr="006B675D" w:rsidRDefault="006677CA" w:rsidP="00C908C2">
      <w:pPr>
        <w:pStyle w:val="ListNumber"/>
        <w:numPr>
          <w:ilvl w:val="0"/>
          <w:numId w:val="14"/>
        </w:numPr>
        <w:tabs>
          <w:tab w:val="left" w:pos="851"/>
        </w:tabs>
        <w:spacing w:after="0" w:line="240" w:lineRule="auto"/>
        <w:ind w:left="567" w:hanging="567"/>
        <w:jc w:val="both"/>
        <w:rPr>
          <w:rFonts w:cs="Arial"/>
        </w:rPr>
      </w:pPr>
      <w:r w:rsidRPr="006B675D">
        <w:rPr>
          <w:rFonts w:cs="Arial"/>
        </w:rPr>
        <w:lastRenderedPageBreak/>
        <w:t>Tant les résolutions convenues que les propositions d’inscription sont examinées et classées en catégories adaptées. Il est utile de noter que les résolutions relatives aux accords institutionnels, comme la finance, les plans stratégiques, etc., ne sont pas comprises dans l’analyse. Il devrait aussi être reconnu que la COP12 est inhabituelle, car elle envisage la consolidation et l’annulation de toutes les résolutions adoptées par les COP. En vue d’éviter de surcharger l’analyse avec des domaines d’activité historiques, seules les nouvelles résolutions soumises à la COP12 sont prises en compte dans l’analyse.</w:t>
      </w:r>
    </w:p>
    <w:p w:rsidR="006677CA" w:rsidRPr="006B675D" w:rsidRDefault="006677CA" w:rsidP="006677CA">
      <w:pPr>
        <w:pStyle w:val="ListParagraph"/>
        <w:rPr>
          <w:rFonts w:cs="Arial"/>
          <w:lang w:val="fr-FR"/>
        </w:rPr>
      </w:pPr>
    </w:p>
    <w:p w:rsidR="006677CA" w:rsidRPr="006B675D" w:rsidRDefault="006677CA" w:rsidP="006677CA">
      <w:pPr>
        <w:pStyle w:val="ListNumber"/>
        <w:numPr>
          <w:ilvl w:val="0"/>
          <w:numId w:val="14"/>
        </w:numPr>
        <w:tabs>
          <w:tab w:val="left" w:pos="851"/>
        </w:tabs>
        <w:spacing w:after="0" w:line="240" w:lineRule="auto"/>
        <w:ind w:left="567" w:hanging="567"/>
        <w:jc w:val="both"/>
        <w:rPr>
          <w:rFonts w:cs="Arial"/>
        </w:rPr>
      </w:pPr>
      <w:r w:rsidRPr="006B675D">
        <w:rPr>
          <w:rFonts w:cs="Arial"/>
        </w:rPr>
        <w:t xml:space="preserve">Le tableau 2 souligne les domaines d’intérêt pris en compte à la COP10 - COP12. </w:t>
      </w:r>
    </w:p>
    <w:p w:rsidR="006677CA" w:rsidRPr="006B675D" w:rsidRDefault="006677CA" w:rsidP="006677CA">
      <w:pPr>
        <w:rPr>
          <w:rFonts w:cs="Arial"/>
          <w:lang w:val="fr-FR"/>
        </w:rPr>
      </w:pPr>
    </w:p>
    <w:tbl>
      <w:tblPr>
        <w:tblStyle w:val="TableGrid"/>
        <w:tblW w:w="9506" w:type="dxa"/>
        <w:tblLayout w:type="fixed"/>
        <w:tblLook w:val="04A0" w:firstRow="1" w:lastRow="0" w:firstColumn="1" w:lastColumn="0" w:noHBand="0" w:noVBand="1"/>
      </w:tblPr>
      <w:tblGrid>
        <w:gridCol w:w="846"/>
        <w:gridCol w:w="1134"/>
        <w:gridCol w:w="1134"/>
        <w:gridCol w:w="1063"/>
        <w:gridCol w:w="853"/>
        <w:gridCol w:w="12"/>
        <w:gridCol w:w="836"/>
        <w:gridCol w:w="1205"/>
        <w:gridCol w:w="1276"/>
        <w:gridCol w:w="1134"/>
        <w:gridCol w:w="13"/>
      </w:tblGrid>
      <w:tr w:rsidR="006677CA" w:rsidRPr="006B675D" w:rsidTr="00423325">
        <w:trPr>
          <w:cnfStyle w:val="100000000000" w:firstRow="1" w:lastRow="0" w:firstColumn="0" w:lastColumn="0" w:oddVBand="0" w:evenVBand="0" w:oddHBand="0" w:evenHBand="0" w:firstRowFirstColumn="0" w:firstRowLastColumn="0" w:lastRowFirstColumn="0" w:lastRowLastColumn="0"/>
        </w:trPr>
        <w:tc>
          <w:tcPr>
            <w:tcW w:w="9506" w:type="dxa"/>
            <w:gridSpan w:val="11"/>
            <w:vAlign w:val="center"/>
          </w:tcPr>
          <w:p w:rsidR="006677CA" w:rsidRPr="006B675D" w:rsidRDefault="006677CA" w:rsidP="00423325">
            <w:pPr>
              <w:jc w:val="center"/>
              <w:rPr>
                <w:rFonts w:cs="Arial"/>
                <w:b/>
                <w:sz w:val="16"/>
                <w:szCs w:val="16"/>
              </w:rPr>
            </w:pPr>
            <w:r w:rsidRPr="006B675D">
              <w:rPr>
                <w:rFonts w:cs="Arial"/>
                <w:b/>
                <w:sz w:val="16"/>
                <w:szCs w:val="16"/>
              </w:rPr>
              <w:t>COP10</w:t>
            </w:r>
          </w:p>
        </w:tc>
      </w:tr>
      <w:tr w:rsidR="006677CA" w:rsidRPr="006B675D" w:rsidTr="00423325">
        <w:trPr>
          <w:cnfStyle w:val="000000100000" w:firstRow="0" w:lastRow="0" w:firstColumn="0" w:lastColumn="0" w:oddVBand="0" w:evenVBand="0" w:oddHBand="1" w:evenHBand="0" w:firstRowFirstColumn="0" w:firstRowLastColumn="0" w:lastRowFirstColumn="0" w:lastRowLastColumn="0"/>
        </w:trPr>
        <w:tc>
          <w:tcPr>
            <w:tcW w:w="5042" w:type="dxa"/>
            <w:gridSpan w:val="6"/>
            <w:vAlign w:val="center"/>
          </w:tcPr>
          <w:p w:rsidR="006677CA" w:rsidRPr="006B675D" w:rsidRDefault="006677CA" w:rsidP="00423325">
            <w:pPr>
              <w:jc w:val="center"/>
              <w:rPr>
                <w:rFonts w:cs="Arial"/>
                <w:b/>
                <w:sz w:val="18"/>
                <w:szCs w:val="18"/>
              </w:rPr>
            </w:pPr>
            <w:r w:rsidRPr="006B675D">
              <w:rPr>
                <w:rFonts w:cs="Arial"/>
                <w:b/>
                <w:sz w:val="18"/>
                <w:szCs w:val="18"/>
              </w:rPr>
              <w:t>Résolutions</w:t>
            </w:r>
          </w:p>
        </w:tc>
        <w:tc>
          <w:tcPr>
            <w:tcW w:w="4464" w:type="dxa"/>
            <w:gridSpan w:val="5"/>
            <w:vAlign w:val="center"/>
          </w:tcPr>
          <w:p w:rsidR="006677CA" w:rsidRPr="006B675D" w:rsidRDefault="006677CA" w:rsidP="00423325">
            <w:pPr>
              <w:jc w:val="center"/>
              <w:rPr>
                <w:rFonts w:cs="Arial"/>
                <w:b/>
                <w:sz w:val="18"/>
                <w:szCs w:val="18"/>
              </w:rPr>
            </w:pPr>
            <w:r w:rsidRPr="006B675D">
              <w:rPr>
                <w:rFonts w:cs="Arial"/>
                <w:b/>
                <w:sz w:val="18"/>
                <w:szCs w:val="18"/>
              </w:rPr>
              <w:t>Propositions d’inscription</w:t>
            </w:r>
          </w:p>
        </w:tc>
      </w:tr>
      <w:tr w:rsidR="006677CA" w:rsidRPr="006B675D" w:rsidTr="00423325">
        <w:trPr>
          <w:gridAfter w:val="1"/>
          <w:cnfStyle w:val="000000010000" w:firstRow="0" w:lastRow="0" w:firstColumn="0" w:lastColumn="0" w:oddVBand="0" w:evenVBand="0" w:oddHBand="0" w:evenHBand="1" w:firstRowFirstColumn="0" w:firstRowLastColumn="0" w:lastRowFirstColumn="0" w:lastRowLastColumn="0"/>
          <w:wAfter w:w="13" w:type="dxa"/>
        </w:trPr>
        <w:tc>
          <w:tcPr>
            <w:tcW w:w="846" w:type="dxa"/>
            <w:vAlign w:val="center"/>
          </w:tcPr>
          <w:p w:rsidR="006677CA" w:rsidRPr="006B675D" w:rsidRDefault="006677CA" w:rsidP="00423325">
            <w:pPr>
              <w:jc w:val="center"/>
              <w:rPr>
                <w:rFonts w:cs="Arial"/>
                <w:sz w:val="16"/>
                <w:szCs w:val="16"/>
              </w:rPr>
            </w:pPr>
            <w:r w:rsidRPr="006B675D">
              <w:rPr>
                <w:rFonts w:cs="Arial"/>
                <w:sz w:val="16"/>
                <w:szCs w:val="16"/>
              </w:rPr>
              <w:t>Oiseaux</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Mammifères marins</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Mammifères terrestres</w:t>
            </w:r>
          </w:p>
        </w:tc>
        <w:tc>
          <w:tcPr>
            <w:tcW w:w="1063" w:type="dxa"/>
            <w:vAlign w:val="center"/>
          </w:tcPr>
          <w:p w:rsidR="006677CA" w:rsidRPr="006B675D" w:rsidRDefault="006677CA" w:rsidP="00423325">
            <w:pPr>
              <w:jc w:val="center"/>
              <w:rPr>
                <w:rFonts w:cs="Arial"/>
                <w:sz w:val="16"/>
                <w:szCs w:val="16"/>
              </w:rPr>
            </w:pPr>
            <w:r w:rsidRPr="006B675D">
              <w:rPr>
                <w:rFonts w:cs="Arial"/>
                <w:sz w:val="16"/>
                <w:szCs w:val="16"/>
              </w:rPr>
              <w:t>Poissons</w:t>
            </w:r>
          </w:p>
        </w:tc>
        <w:tc>
          <w:tcPr>
            <w:tcW w:w="853" w:type="dxa"/>
            <w:vAlign w:val="center"/>
          </w:tcPr>
          <w:p w:rsidR="006677CA" w:rsidRPr="006B675D" w:rsidRDefault="006677CA" w:rsidP="00423325">
            <w:pPr>
              <w:jc w:val="center"/>
              <w:rPr>
                <w:rFonts w:cs="Arial"/>
                <w:sz w:val="16"/>
                <w:szCs w:val="16"/>
              </w:rPr>
            </w:pPr>
            <w:r w:rsidRPr="006B675D">
              <w:rPr>
                <w:rFonts w:cs="Arial"/>
                <w:sz w:val="16"/>
                <w:szCs w:val="16"/>
              </w:rPr>
              <w:t>Oiseaux</w:t>
            </w:r>
          </w:p>
        </w:tc>
        <w:tc>
          <w:tcPr>
            <w:tcW w:w="848" w:type="dxa"/>
            <w:gridSpan w:val="2"/>
            <w:vAlign w:val="center"/>
          </w:tcPr>
          <w:p w:rsidR="006677CA" w:rsidRPr="006B675D" w:rsidRDefault="006677CA" w:rsidP="00423325">
            <w:pPr>
              <w:jc w:val="center"/>
              <w:rPr>
                <w:rFonts w:cs="Arial"/>
                <w:sz w:val="16"/>
                <w:szCs w:val="16"/>
              </w:rPr>
            </w:pPr>
            <w:r w:rsidRPr="006B675D">
              <w:rPr>
                <w:rFonts w:cs="Arial"/>
                <w:sz w:val="16"/>
                <w:szCs w:val="16"/>
              </w:rPr>
              <w:t>hybrides*</w:t>
            </w:r>
          </w:p>
        </w:tc>
        <w:tc>
          <w:tcPr>
            <w:tcW w:w="1205" w:type="dxa"/>
            <w:vAlign w:val="center"/>
          </w:tcPr>
          <w:p w:rsidR="006677CA" w:rsidRPr="006B675D" w:rsidRDefault="006677CA" w:rsidP="00423325">
            <w:pPr>
              <w:jc w:val="center"/>
              <w:rPr>
                <w:rFonts w:cs="Arial"/>
                <w:sz w:val="16"/>
                <w:szCs w:val="16"/>
              </w:rPr>
            </w:pPr>
            <w:r w:rsidRPr="006B675D">
              <w:rPr>
                <w:rFonts w:cs="Arial"/>
                <w:sz w:val="16"/>
                <w:szCs w:val="16"/>
              </w:rPr>
              <w:t>Mammifères marins</w:t>
            </w:r>
          </w:p>
        </w:tc>
        <w:tc>
          <w:tcPr>
            <w:tcW w:w="1276" w:type="dxa"/>
            <w:vAlign w:val="center"/>
          </w:tcPr>
          <w:p w:rsidR="006677CA" w:rsidRPr="006B675D" w:rsidRDefault="006677CA" w:rsidP="00423325">
            <w:pPr>
              <w:jc w:val="center"/>
              <w:rPr>
                <w:rFonts w:cs="Arial"/>
                <w:sz w:val="16"/>
                <w:szCs w:val="16"/>
              </w:rPr>
            </w:pPr>
            <w:r w:rsidRPr="006B675D">
              <w:rPr>
                <w:rFonts w:cs="Arial"/>
                <w:sz w:val="16"/>
                <w:szCs w:val="16"/>
              </w:rPr>
              <w:t>Mammifères terrestres</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Poissons</w:t>
            </w:r>
          </w:p>
        </w:tc>
      </w:tr>
      <w:tr w:rsidR="006677CA" w:rsidRPr="006B675D" w:rsidTr="00423325">
        <w:trPr>
          <w:gridAfter w:val="1"/>
          <w:cnfStyle w:val="000000100000" w:firstRow="0" w:lastRow="0" w:firstColumn="0" w:lastColumn="0" w:oddVBand="0" w:evenVBand="0" w:oddHBand="1" w:evenHBand="0" w:firstRowFirstColumn="0" w:firstRowLastColumn="0" w:lastRowFirstColumn="0" w:lastRowLastColumn="0"/>
          <w:wAfter w:w="13" w:type="dxa"/>
        </w:trPr>
        <w:tc>
          <w:tcPr>
            <w:tcW w:w="846" w:type="dxa"/>
            <w:vAlign w:val="center"/>
          </w:tcPr>
          <w:p w:rsidR="006677CA" w:rsidRPr="006B675D" w:rsidRDefault="006677CA" w:rsidP="00423325">
            <w:pPr>
              <w:jc w:val="center"/>
              <w:rPr>
                <w:rFonts w:cs="Arial"/>
                <w:sz w:val="16"/>
                <w:szCs w:val="16"/>
              </w:rPr>
            </w:pPr>
            <w:r w:rsidRPr="006B675D">
              <w:rPr>
                <w:rFonts w:cs="Arial"/>
                <w:sz w:val="16"/>
                <w:szCs w:val="16"/>
              </w:rPr>
              <w:t>6</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2</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0</w:t>
            </w:r>
          </w:p>
        </w:tc>
        <w:tc>
          <w:tcPr>
            <w:tcW w:w="1063" w:type="dxa"/>
            <w:vAlign w:val="center"/>
          </w:tcPr>
          <w:p w:rsidR="006677CA" w:rsidRPr="006B675D" w:rsidRDefault="006677CA" w:rsidP="00423325">
            <w:pPr>
              <w:jc w:val="center"/>
              <w:rPr>
                <w:rFonts w:cs="Arial"/>
                <w:sz w:val="16"/>
                <w:szCs w:val="16"/>
              </w:rPr>
            </w:pPr>
            <w:r w:rsidRPr="006B675D">
              <w:rPr>
                <w:rFonts w:cs="Arial"/>
                <w:sz w:val="16"/>
                <w:szCs w:val="16"/>
              </w:rPr>
              <w:t>1 (frais)</w:t>
            </w:r>
          </w:p>
        </w:tc>
        <w:tc>
          <w:tcPr>
            <w:tcW w:w="853" w:type="dxa"/>
            <w:vAlign w:val="center"/>
          </w:tcPr>
          <w:p w:rsidR="006677CA" w:rsidRPr="006B675D" w:rsidRDefault="006677CA" w:rsidP="00423325">
            <w:pPr>
              <w:jc w:val="center"/>
              <w:rPr>
                <w:rFonts w:cs="Arial"/>
                <w:sz w:val="16"/>
                <w:szCs w:val="16"/>
              </w:rPr>
            </w:pPr>
            <w:r w:rsidRPr="006B675D">
              <w:rPr>
                <w:rFonts w:cs="Arial"/>
                <w:sz w:val="16"/>
                <w:szCs w:val="16"/>
              </w:rPr>
              <w:t>6</w:t>
            </w:r>
          </w:p>
        </w:tc>
        <w:tc>
          <w:tcPr>
            <w:tcW w:w="848" w:type="dxa"/>
            <w:gridSpan w:val="2"/>
            <w:vAlign w:val="center"/>
          </w:tcPr>
          <w:p w:rsidR="006677CA" w:rsidRPr="006B675D" w:rsidRDefault="006677CA" w:rsidP="00423325">
            <w:pPr>
              <w:jc w:val="center"/>
              <w:rPr>
                <w:rFonts w:cs="Arial"/>
                <w:sz w:val="16"/>
                <w:szCs w:val="16"/>
              </w:rPr>
            </w:pPr>
            <w:r w:rsidRPr="006B675D">
              <w:rPr>
                <w:rFonts w:cs="Arial"/>
                <w:sz w:val="16"/>
                <w:szCs w:val="16"/>
              </w:rPr>
              <w:t>5</w:t>
            </w:r>
          </w:p>
        </w:tc>
        <w:tc>
          <w:tcPr>
            <w:tcW w:w="1205" w:type="dxa"/>
            <w:vAlign w:val="center"/>
          </w:tcPr>
          <w:p w:rsidR="006677CA" w:rsidRPr="006B675D" w:rsidRDefault="006677CA" w:rsidP="00423325">
            <w:pPr>
              <w:jc w:val="center"/>
              <w:rPr>
                <w:rFonts w:cs="Arial"/>
                <w:sz w:val="16"/>
                <w:szCs w:val="16"/>
              </w:rPr>
            </w:pPr>
            <w:r w:rsidRPr="006B675D">
              <w:rPr>
                <w:rFonts w:cs="Arial"/>
                <w:sz w:val="16"/>
                <w:szCs w:val="16"/>
              </w:rPr>
              <w:t>0</w:t>
            </w:r>
          </w:p>
        </w:tc>
        <w:tc>
          <w:tcPr>
            <w:tcW w:w="1276" w:type="dxa"/>
            <w:vAlign w:val="center"/>
          </w:tcPr>
          <w:p w:rsidR="006677CA" w:rsidRPr="006B675D" w:rsidRDefault="006677CA" w:rsidP="00423325">
            <w:pPr>
              <w:jc w:val="center"/>
              <w:rPr>
                <w:rFonts w:cs="Arial"/>
                <w:sz w:val="16"/>
                <w:szCs w:val="16"/>
              </w:rPr>
            </w:pPr>
            <w:r w:rsidRPr="006B675D">
              <w:rPr>
                <w:rFonts w:cs="Arial"/>
                <w:sz w:val="16"/>
                <w:szCs w:val="16"/>
              </w:rPr>
              <w:t>1</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1 (marin)</w:t>
            </w:r>
          </w:p>
        </w:tc>
      </w:tr>
      <w:tr w:rsidR="006677CA" w:rsidRPr="006B675D" w:rsidTr="00423325">
        <w:trPr>
          <w:cnfStyle w:val="000000010000" w:firstRow="0" w:lastRow="0" w:firstColumn="0" w:lastColumn="0" w:oddVBand="0" w:evenVBand="0" w:oddHBand="0" w:evenHBand="1" w:firstRowFirstColumn="0" w:firstRowLastColumn="0" w:lastRowFirstColumn="0" w:lastRowLastColumn="0"/>
        </w:trPr>
        <w:tc>
          <w:tcPr>
            <w:tcW w:w="9506" w:type="dxa"/>
            <w:gridSpan w:val="11"/>
            <w:vAlign w:val="center"/>
          </w:tcPr>
          <w:p w:rsidR="006677CA" w:rsidRPr="006B675D" w:rsidRDefault="006677CA" w:rsidP="00423325">
            <w:pPr>
              <w:jc w:val="center"/>
              <w:rPr>
                <w:rFonts w:cs="Arial"/>
                <w:b/>
                <w:sz w:val="18"/>
                <w:szCs w:val="18"/>
              </w:rPr>
            </w:pPr>
            <w:r w:rsidRPr="006B675D">
              <w:rPr>
                <w:rFonts w:cs="Arial"/>
                <w:b/>
                <w:sz w:val="18"/>
                <w:szCs w:val="18"/>
              </w:rPr>
              <w:t>COP11</w:t>
            </w:r>
          </w:p>
        </w:tc>
      </w:tr>
      <w:tr w:rsidR="006677CA" w:rsidRPr="006B675D" w:rsidTr="00423325">
        <w:trPr>
          <w:cnfStyle w:val="000000100000" w:firstRow="0" w:lastRow="0" w:firstColumn="0" w:lastColumn="0" w:oddVBand="0" w:evenVBand="0" w:oddHBand="1" w:evenHBand="0" w:firstRowFirstColumn="0" w:firstRowLastColumn="0" w:lastRowFirstColumn="0" w:lastRowLastColumn="0"/>
        </w:trPr>
        <w:tc>
          <w:tcPr>
            <w:tcW w:w="5042" w:type="dxa"/>
            <w:gridSpan w:val="6"/>
            <w:vAlign w:val="center"/>
          </w:tcPr>
          <w:p w:rsidR="006677CA" w:rsidRPr="006B675D" w:rsidRDefault="006677CA" w:rsidP="00423325">
            <w:pPr>
              <w:jc w:val="center"/>
              <w:rPr>
                <w:rFonts w:cs="Arial"/>
                <w:b/>
                <w:sz w:val="18"/>
                <w:szCs w:val="18"/>
              </w:rPr>
            </w:pPr>
            <w:r w:rsidRPr="006B675D">
              <w:rPr>
                <w:rFonts w:cs="Arial"/>
                <w:b/>
                <w:sz w:val="18"/>
                <w:szCs w:val="18"/>
              </w:rPr>
              <w:t>Résolutions</w:t>
            </w:r>
          </w:p>
        </w:tc>
        <w:tc>
          <w:tcPr>
            <w:tcW w:w="4464" w:type="dxa"/>
            <w:gridSpan w:val="5"/>
            <w:vAlign w:val="center"/>
          </w:tcPr>
          <w:p w:rsidR="006677CA" w:rsidRPr="006B675D" w:rsidRDefault="006677CA" w:rsidP="00423325">
            <w:pPr>
              <w:jc w:val="center"/>
              <w:rPr>
                <w:rFonts w:cs="Arial"/>
                <w:b/>
                <w:sz w:val="18"/>
                <w:szCs w:val="18"/>
              </w:rPr>
            </w:pPr>
            <w:r w:rsidRPr="006B675D">
              <w:rPr>
                <w:rFonts w:cs="Arial"/>
                <w:b/>
                <w:sz w:val="18"/>
                <w:szCs w:val="18"/>
              </w:rPr>
              <w:t>Propositions d’inscription</w:t>
            </w:r>
          </w:p>
        </w:tc>
      </w:tr>
      <w:tr w:rsidR="006677CA" w:rsidRPr="006B675D" w:rsidTr="00423325">
        <w:trPr>
          <w:gridAfter w:val="1"/>
          <w:cnfStyle w:val="000000010000" w:firstRow="0" w:lastRow="0" w:firstColumn="0" w:lastColumn="0" w:oddVBand="0" w:evenVBand="0" w:oddHBand="0" w:evenHBand="1" w:firstRowFirstColumn="0" w:firstRowLastColumn="0" w:lastRowFirstColumn="0" w:lastRowLastColumn="0"/>
          <w:wAfter w:w="13" w:type="dxa"/>
        </w:trPr>
        <w:tc>
          <w:tcPr>
            <w:tcW w:w="846" w:type="dxa"/>
            <w:vAlign w:val="center"/>
          </w:tcPr>
          <w:p w:rsidR="006677CA" w:rsidRPr="006B675D" w:rsidRDefault="006677CA" w:rsidP="00423325">
            <w:pPr>
              <w:jc w:val="center"/>
              <w:rPr>
                <w:rFonts w:cs="Arial"/>
                <w:sz w:val="16"/>
                <w:szCs w:val="16"/>
              </w:rPr>
            </w:pPr>
            <w:r w:rsidRPr="006B675D">
              <w:rPr>
                <w:rFonts w:cs="Arial"/>
                <w:sz w:val="16"/>
                <w:szCs w:val="16"/>
              </w:rPr>
              <w:t>Oiseaux</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Mammifères marins</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Mammifères terrestres</w:t>
            </w:r>
          </w:p>
        </w:tc>
        <w:tc>
          <w:tcPr>
            <w:tcW w:w="1063" w:type="dxa"/>
            <w:vAlign w:val="center"/>
          </w:tcPr>
          <w:p w:rsidR="006677CA" w:rsidRPr="006B675D" w:rsidRDefault="006677CA" w:rsidP="00423325">
            <w:pPr>
              <w:jc w:val="center"/>
              <w:rPr>
                <w:rFonts w:cs="Arial"/>
                <w:sz w:val="16"/>
                <w:szCs w:val="16"/>
              </w:rPr>
            </w:pPr>
            <w:r w:rsidRPr="006B675D">
              <w:rPr>
                <w:rFonts w:cs="Arial"/>
                <w:sz w:val="16"/>
                <w:szCs w:val="16"/>
              </w:rPr>
              <w:t>Poissons</w:t>
            </w:r>
          </w:p>
        </w:tc>
        <w:tc>
          <w:tcPr>
            <w:tcW w:w="853" w:type="dxa"/>
            <w:vAlign w:val="center"/>
          </w:tcPr>
          <w:p w:rsidR="006677CA" w:rsidRPr="006B675D" w:rsidRDefault="006677CA" w:rsidP="00423325">
            <w:pPr>
              <w:jc w:val="center"/>
              <w:rPr>
                <w:rFonts w:cs="Arial"/>
                <w:sz w:val="16"/>
                <w:szCs w:val="16"/>
              </w:rPr>
            </w:pPr>
            <w:r w:rsidRPr="006B675D">
              <w:rPr>
                <w:rFonts w:cs="Arial"/>
                <w:sz w:val="16"/>
                <w:szCs w:val="16"/>
              </w:rPr>
              <w:t>Oiseaux</w:t>
            </w:r>
          </w:p>
        </w:tc>
        <w:tc>
          <w:tcPr>
            <w:tcW w:w="848" w:type="dxa"/>
            <w:gridSpan w:val="2"/>
            <w:vAlign w:val="center"/>
          </w:tcPr>
          <w:p w:rsidR="006677CA" w:rsidRPr="006B675D" w:rsidRDefault="006677CA" w:rsidP="00423325">
            <w:pPr>
              <w:jc w:val="center"/>
              <w:rPr>
                <w:rFonts w:cs="Arial"/>
                <w:sz w:val="16"/>
                <w:szCs w:val="16"/>
              </w:rPr>
            </w:pPr>
            <w:r w:rsidRPr="006B675D">
              <w:rPr>
                <w:rFonts w:cs="Arial"/>
                <w:sz w:val="16"/>
                <w:szCs w:val="16"/>
              </w:rPr>
              <w:t>hybrides*</w:t>
            </w:r>
          </w:p>
        </w:tc>
        <w:tc>
          <w:tcPr>
            <w:tcW w:w="1205" w:type="dxa"/>
            <w:vAlign w:val="center"/>
          </w:tcPr>
          <w:p w:rsidR="006677CA" w:rsidRPr="006B675D" w:rsidRDefault="006677CA" w:rsidP="00423325">
            <w:pPr>
              <w:jc w:val="center"/>
              <w:rPr>
                <w:rFonts w:cs="Arial"/>
                <w:sz w:val="16"/>
                <w:szCs w:val="16"/>
              </w:rPr>
            </w:pPr>
            <w:r w:rsidRPr="006B675D">
              <w:rPr>
                <w:rFonts w:cs="Arial"/>
                <w:sz w:val="16"/>
                <w:szCs w:val="16"/>
              </w:rPr>
              <w:t>Mammifères marins</w:t>
            </w:r>
          </w:p>
        </w:tc>
        <w:tc>
          <w:tcPr>
            <w:tcW w:w="1276" w:type="dxa"/>
            <w:vAlign w:val="center"/>
          </w:tcPr>
          <w:p w:rsidR="006677CA" w:rsidRPr="006B675D" w:rsidRDefault="006677CA" w:rsidP="00423325">
            <w:pPr>
              <w:jc w:val="center"/>
              <w:rPr>
                <w:rFonts w:cs="Arial"/>
                <w:sz w:val="16"/>
                <w:szCs w:val="16"/>
              </w:rPr>
            </w:pPr>
            <w:r w:rsidRPr="006B675D">
              <w:rPr>
                <w:rFonts w:cs="Arial"/>
                <w:sz w:val="16"/>
                <w:szCs w:val="16"/>
              </w:rPr>
              <w:t>Mammifères terrestres</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Poissons</w:t>
            </w:r>
          </w:p>
        </w:tc>
      </w:tr>
      <w:tr w:rsidR="006677CA" w:rsidRPr="006B675D" w:rsidTr="00423325">
        <w:trPr>
          <w:gridAfter w:val="1"/>
          <w:cnfStyle w:val="000000100000" w:firstRow="0" w:lastRow="0" w:firstColumn="0" w:lastColumn="0" w:oddVBand="0" w:evenVBand="0" w:oddHBand="1" w:evenHBand="0" w:firstRowFirstColumn="0" w:firstRowLastColumn="0" w:lastRowFirstColumn="0" w:lastRowLastColumn="0"/>
          <w:wAfter w:w="13" w:type="dxa"/>
        </w:trPr>
        <w:tc>
          <w:tcPr>
            <w:tcW w:w="846" w:type="dxa"/>
            <w:vAlign w:val="center"/>
          </w:tcPr>
          <w:p w:rsidR="006677CA" w:rsidRPr="006B675D" w:rsidRDefault="006677CA" w:rsidP="00423325">
            <w:pPr>
              <w:jc w:val="center"/>
              <w:rPr>
                <w:rFonts w:cs="Arial"/>
                <w:sz w:val="16"/>
                <w:szCs w:val="16"/>
              </w:rPr>
            </w:pPr>
            <w:r w:rsidRPr="006B675D">
              <w:rPr>
                <w:rFonts w:cs="Arial"/>
                <w:sz w:val="16"/>
                <w:szCs w:val="16"/>
              </w:rPr>
              <w:t>6</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3</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2</w:t>
            </w:r>
          </w:p>
        </w:tc>
        <w:tc>
          <w:tcPr>
            <w:tcW w:w="1063" w:type="dxa"/>
            <w:vAlign w:val="center"/>
          </w:tcPr>
          <w:p w:rsidR="006677CA" w:rsidRPr="006B675D" w:rsidRDefault="006677CA" w:rsidP="00423325">
            <w:pPr>
              <w:jc w:val="center"/>
              <w:rPr>
                <w:rFonts w:cs="Arial"/>
                <w:sz w:val="16"/>
                <w:szCs w:val="16"/>
              </w:rPr>
            </w:pPr>
            <w:r w:rsidRPr="006B675D">
              <w:rPr>
                <w:rFonts w:cs="Arial"/>
                <w:sz w:val="16"/>
                <w:szCs w:val="16"/>
              </w:rPr>
              <w:t>3 (marin)</w:t>
            </w:r>
          </w:p>
        </w:tc>
        <w:tc>
          <w:tcPr>
            <w:tcW w:w="853" w:type="dxa"/>
            <w:vAlign w:val="center"/>
          </w:tcPr>
          <w:p w:rsidR="006677CA" w:rsidRPr="006B675D" w:rsidRDefault="006677CA" w:rsidP="00423325">
            <w:pPr>
              <w:jc w:val="center"/>
              <w:rPr>
                <w:rFonts w:cs="Arial"/>
                <w:sz w:val="16"/>
                <w:szCs w:val="16"/>
              </w:rPr>
            </w:pPr>
            <w:r w:rsidRPr="006B675D">
              <w:rPr>
                <w:rFonts w:cs="Arial"/>
                <w:sz w:val="16"/>
                <w:szCs w:val="16"/>
              </w:rPr>
              <w:t>6</w:t>
            </w:r>
          </w:p>
        </w:tc>
        <w:tc>
          <w:tcPr>
            <w:tcW w:w="848" w:type="dxa"/>
            <w:gridSpan w:val="2"/>
            <w:vAlign w:val="center"/>
          </w:tcPr>
          <w:p w:rsidR="006677CA" w:rsidRPr="006B675D" w:rsidRDefault="006677CA" w:rsidP="00423325">
            <w:pPr>
              <w:jc w:val="center"/>
              <w:rPr>
                <w:rFonts w:cs="Arial"/>
                <w:sz w:val="16"/>
                <w:szCs w:val="16"/>
              </w:rPr>
            </w:pPr>
            <w:r w:rsidRPr="006B675D">
              <w:rPr>
                <w:rFonts w:cs="Arial"/>
                <w:sz w:val="16"/>
                <w:szCs w:val="16"/>
              </w:rPr>
              <w:t>5</w:t>
            </w:r>
          </w:p>
        </w:tc>
        <w:tc>
          <w:tcPr>
            <w:tcW w:w="1205" w:type="dxa"/>
            <w:vAlign w:val="center"/>
          </w:tcPr>
          <w:p w:rsidR="006677CA" w:rsidRPr="006B675D" w:rsidRDefault="006677CA" w:rsidP="00423325">
            <w:pPr>
              <w:jc w:val="center"/>
              <w:rPr>
                <w:rFonts w:cs="Arial"/>
                <w:sz w:val="16"/>
                <w:szCs w:val="16"/>
              </w:rPr>
            </w:pPr>
            <w:r w:rsidRPr="006B675D">
              <w:rPr>
                <w:rFonts w:cs="Arial"/>
                <w:sz w:val="16"/>
                <w:szCs w:val="16"/>
              </w:rPr>
              <w:t>1</w:t>
            </w:r>
          </w:p>
        </w:tc>
        <w:tc>
          <w:tcPr>
            <w:tcW w:w="1276" w:type="dxa"/>
            <w:vAlign w:val="center"/>
          </w:tcPr>
          <w:p w:rsidR="006677CA" w:rsidRPr="006B675D" w:rsidRDefault="006677CA" w:rsidP="00423325">
            <w:pPr>
              <w:jc w:val="center"/>
              <w:rPr>
                <w:rFonts w:cs="Arial"/>
                <w:sz w:val="16"/>
                <w:szCs w:val="16"/>
              </w:rPr>
            </w:pPr>
            <w:r w:rsidRPr="006B675D">
              <w:rPr>
                <w:rFonts w:cs="Arial"/>
                <w:sz w:val="16"/>
                <w:szCs w:val="16"/>
              </w:rPr>
              <w:t>4</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8</w:t>
            </w:r>
            <w:r w:rsidRPr="006B675D">
              <w:rPr>
                <w:rFonts w:cs="Arial"/>
                <w:sz w:val="16"/>
                <w:szCs w:val="16"/>
              </w:rPr>
              <w:br/>
              <w:t>1 - frais</w:t>
            </w:r>
            <w:r w:rsidRPr="006B675D">
              <w:rPr>
                <w:rFonts w:cs="Arial"/>
                <w:sz w:val="16"/>
                <w:szCs w:val="16"/>
              </w:rPr>
              <w:br/>
              <w:t>7 - marin</w:t>
            </w:r>
          </w:p>
        </w:tc>
      </w:tr>
      <w:tr w:rsidR="006677CA" w:rsidRPr="006B675D" w:rsidTr="00423325">
        <w:trPr>
          <w:cnfStyle w:val="000000010000" w:firstRow="0" w:lastRow="0" w:firstColumn="0" w:lastColumn="0" w:oddVBand="0" w:evenVBand="0" w:oddHBand="0" w:evenHBand="1" w:firstRowFirstColumn="0" w:firstRowLastColumn="0" w:lastRowFirstColumn="0" w:lastRowLastColumn="0"/>
        </w:trPr>
        <w:tc>
          <w:tcPr>
            <w:tcW w:w="9506" w:type="dxa"/>
            <w:gridSpan w:val="11"/>
            <w:vAlign w:val="center"/>
          </w:tcPr>
          <w:p w:rsidR="006677CA" w:rsidRPr="006B675D" w:rsidRDefault="006677CA" w:rsidP="00423325">
            <w:pPr>
              <w:jc w:val="center"/>
              <w:rPr>
                <w:rFonts w:cs="Arial"/>
                <w:sz w:val="18"/>
                <w:szCs w:val="18"/>
              </w:rPr>
            </w:pPr>
            <w:r w:rsidRPr="006B675D">
              <w:rPr>
                <w:rFonts w:cs="Arial"/>
                <w:b/>
                <w:sz w:val="18"/>
                <w:szCs w:val="18"/>
              </w:rPr>
              <w:t>COP12</w:t>
            </w:r>
          </w:p>
        </w:tc>
      </w:tr>
      <w:tr w:rsidR="006677CA" w:rsidRPr="006B675D" w:rsidTr="00423325">
        <w:trPr>
          <w:cnfStyle w:val="000000100000" w:firstRow="0" w:lastRow="0" w:firstColumn="0" w:lastColumn="0" w:oddVBand="0" w:evenVBand="0" w:oddHBand="1" w:evenHBand="0" w:firstRowFirstColumn="0" w:firstRowLastColumn="0" w:lastRowFirstColumn="0" w:lastRowLastColumn="0"/>
        </w:trPr>
        <w:tc>
          <w:tcPr>
            <w:tcW w:w="5042" w:type="dxa"/>
            <w:gridSpan w:val="6"/>
            <w:vAlign w:val="center"/>
          </w:tcPr>
          <w:p w:rsidR="006677CA" w:rsidRPr="006B675D" w:rsidRDefault="006677CA" w:rsidP="00423325">
            <w:pPr>
              <w:jc w:val="center"/>
              <w:rPr>
                <w:rFonts w:cs="Arial"/>
                <w:sz w:val="18"/>
                <w:szCs w:val="18"/>
              </w:rPr>
            </w:pPr>
            <w:r w:rsidRPr="006B675D">
              <w:rPr>
                <w:rFonts w:cs="Arial"/>
                <w:b/>
                <w:sz w:val="18"/>
                <w:szCs w:val="18"/>
              </w:rPr>
              <w:t>Résolutions</w:t>
            </w:r>
          </w:p>
        </w:tc>
        <w:tc>
          <w:tcPr>
            <w:tcW w:w="4464" w:type="dxa"/>
            <w:gridSpan w:val="5"/>
            <w:vAlign w:val="center"/>
          </w:tcPr>
          <w:p w:rsidR="006677CA" w:rsidRPr="006B675D" w:rsidRDefault="006677CA" w:rsidP="00423325">
            <w:pPr>
              <w:jc w:val="center"/>
              <w:rPr>
                <w:rFonts w:cs="Arial"/>
                <w:sz w:val="18"/>
                <w:szCs w:val="18"/>
              </w:rPr>
            </w:pPr>
            <w:r w:rsidRPr="006B675D">
              <w:rPr>
                <w:rFonts w:cs="Arial"/>
                <w:b/>
                <w:sz w:val="18"/>
                <w:szCs w:val="18"/>
              </w:rPr>
              <w:t>Propositions d’inscription</w:t>
            </w:r>
          </w:p>
        </w:tc>
      </w:tr>
      <w:tr w:rsidR="006677CA" w:rsidRPr="006B675D" w:rsidTr="00423325">
        <w:trPr>
          <w:gridAfter w:val="1"/>
          <w:cnfStyle w:val="000000010000" w:firstRow="0" w:lastRow="0" w:firstColumn="0" w:lastColumn="0" w:oddVBand="0" w:evenVBand="0" w:oddHBand="0" w:evenHBand="1" w:firstRowFirstColumn="0" w:firstRowLastColumn="0" w:lastRowFirstColumn="0" w:lastRowLastColumn="0"/>
          <w:wAfter w:w="13" w:type="dxa"/>
        </w:trPr>
        <w:tc>
          <w:tcPr>
            <w:tcW w:w="846" w:type="dxa"/>
            <w:vAlign w:val="center"/>
          </w:tcPr>
          <w:p w:rsidR="006677CA" w:rsidRPr="006B675D" w:rsidRDefault="006677CA" w:rsidP="00423325">
            <w:pPr>
              <w:jc w:val="center"/>
              <w:rPr>
                <w:rFonts w:cs="Arial"/>
                <w:sz w:val="16"/>
                <w:szCs w:val="16"/>
              </w:rPr>
            </w:pPr>
            <w:r w:rsidRPr="006B675D">
              <w:rPr>
                <w:rFonts w:cs="Arial"/>
                <w:sz w:val="16"/>
                <w:szCs w:val="16"/>
              </w:rPr>
              <w:t>Oiseaux</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Mammifères marins</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Mammifères terrestres</w:t>
            </w:r>
          </w:p>
        </w:tc>
        <w:tc>
          <w:tcPr>
            <w:tcW w:w="1063" w:type="dxa"/>
            <w:vAlign w:val="center"/>
          </w:tcPr>
          <w:p w:rsidR="006677CA" w:rsidRPr="006B675D" w:rsidRDefault="006677CA" w:rsidP="00423325">
            <w:pPr>
              <w:jc w:val="center"/>
              <w:rPr>
                <w:rFonts w:cs="Arial"/>
                <w:sz w:val="16"/>
                <w:szCs w:val="16"/>
              </w:rPr>
            </w:pPr>
            <w:r w:rsidRPr="006B675D">
              <w:rPr>
                <w:rFonts w:cs="Arial"/>
                <w:sz w:val="16"/>
                <w:szCs w:val="16"/>
              </w:rPr>
              <w:t>Poissons</w:t>
            </w:r>
          </w:p>
        </w:tc>
        <w:tc>
          <w:tcPr>
            <w:tcW w:w="853" w:type="dxa"/>
            <w:vAlign w:val="center"/>
          </w:tcPr>
          <w:p w:rsidR="006677CA" w:rsidRPr="006B675D" w:rsidRDefault="006677CA" w:rsidP="00423325">
            <w:pPr>
              <w:jc w:val="center"/>
              <w:rPr>
                <w:rFonts w:cs="Arial"/>
                <w:sz w:val="16"/>
                <w:szCs w:val="16"/>
              </w:rPr>
            </w:pPr>
            <w:r w:rsidRPr="006B675D">
              <w:rPr>
                <w:rFonts w:cs="Arial"/>
                <w:sz w:val="16"/>
                <w:szCs w:val="16"/>
              </w:rPr>
              <w:t>Oiseaux</w:t>
            </w:r>
          </w:p>
        </w:tc>
        <w:tc>
          <w:tcPr>
            <w:tcW w:w="848" w:type="dxa"/>
            <w:gridSpan w:val="2"/>
            <w:vAlign w:val="center"/>
          </w:tcPr>
          <w:p w:rsidR="006677CA" w:rsidRPr="006B675D" w:rsidRDefault="006677CA" w:rsidP="00423325">
            <w:pPr>
              <w:jc w:val="center"/>
              <w:rPr>
                <w:rFonts w:cs="Arial"/>
                <w:sz w:val="16"/>
                <w:szCs w:val="16"/>
              </w:rPr>
            </w:pPr>
            <w:r w:rsidRPr="006B675D">
              <w:rPr>
                <w:rFonts w:cs="Arial"/>
                <w:sz w:val="16"/>
                <w:szCs w:val="16"/>
              </w:rPr>
              <w:t>hybrides*</w:t>
            </w:r>
          </w:p>
        </w:tc>
        <w:tc>
          <w:tcPr>
            <w:tcW w:w="1205" w:type="dxa"/>
            <w:vAlign w:val="center"/>
          </w:tcPr>
          <w:p w:rsidR="006677CA" w:rsidRPr="006B675D" w:rsidRDefault="006677CA" w:rsidP="00423325">
            <w:pPr>
              <w:jc w:val="center"/>
              <w:rPr>
                <w:rFonts w:cs="Arial"/>
                <w:sz w:val="16"/>
                <w:szCs w:val="16"/>
              </w:rPr>
            </w:pPr>
            <w:r w:rsidRPr="006B675D">
              <w:rPr>
                <w:rFonts w:cs="Arial"/>
                <w:sz w:val="16"/>
                <w:szCs w:val="16"/>
              </w:rPr>
              <w:t>Mammifères marins</w:t>
            </w:r>
          </w:p>
        </w:tc>
        <w:tc>
          <w:tcPr>
            <w:tcW w:w="1276" w:type="dxa"/>
            <w:vAlign w:val="center"/>
          </w:tcPr>
          <w:p w:rsidR="006677CA" w:rsidRPr="006B675D" w:rsidRDefault="006677CA" w:rsidP="00423325">
            <w:pPr>
              <w:jc w:val="center"/>
              <w:rPr>
                <w:rFonts w:cs="Arial"/>
                <w:sz w:val="16"/>
                <w:szCs w:val="16"/>
              </w:rPr>
            </w:pPr>
            <w:r w:rsidRPr="006B675D">
              <w:rPr>
                <w:rFonts w:cs="Arial"/>
                <w:sz w:val="16"/>
                <w:szCs w:val="16"/>
              </w:rPr>
              <w:t>Mammifères terrestres</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Poissons</w:t>
            </w:r>
          </w:p>
        </w:tc>
      </w:tr>
      <w:tr w:rsidR="006677CA" w:rsidRPr="006B675D" w:rsidTr="00423325">
        <w:trPr>
          <w:gridAfter w:val="1"/>
          <w:cnfStyle w:val="000000100000" w:firstRow="0" w:lastRow="0" w:firstColumn="0" w:lastColumn="0" w:oddVBand="0" w:evenVBand="0" w:oddHBand="1" w:evenHBand="0" w:firstRowFirstColumn="0" w:firstRowLastColumn="0" w:lastRowFirstColumn="0" w:lastRowLastColumn="0"/>
          <w:wAfter w:w="13" w:type="dxa"/>
        </w:trPr>
        <w:tc>
          <w:tcPr>
            <w:tcW w:w="846" w:type="dxa"/>
            <w:vAlign w:val="center"/>
          </w:tcPr>
          <w:p w:rsidR="006677CA" w:rsidRPr="006B675D" w:rsidRDefault="006677CA" w:rsidP="00423325">
            <w:pPr>
              <w:jc w:val="center"/>
              <w:rPr>
                <w:rFonts w:cs="Arial"/>
                <w:sz w:val="16"/>
                <w:szCs w:val="16"/>
              </w:rPr>
            </w:pPr>
            <w:r w:rsidRPr="006B675D">
              <w:rPr>
                <w:rFonts w:cs="Arial"/>
                <w:sz w:val="16"/>
                <w:szCs w:val="16"/>
              </w:rPr>
              <w:t>4</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4</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2</w:t>
            </w:r>
          </w:p>
        </w:tc>
        <w:tc>
          <w:tcPr>
            <w:tcW w:w="1063" w:type="dxa"/>
            <w:vAlign w:val="center"/>
          </w:tcPr>
          <w:p w:rsidR="006677CA" w:rsidRPr="006B675D" w:rsidRDefault="006677CA" w:rsidP="00423325">
            <w:pPr>
              <w:jc w:val="center"/>
              <w:rPr>
                <w:rFonts w:cs="Arial"/>
                <w:sz w:val="16"/>
                <w:szCs w:val="16"/>
              </w:rPr>
            </w:pPr>
            <w:r w:rsidRPr="006B675D">
              <w:rPr>
                <w:rFonts w:cs="Arial"/>
                <w:sz w:val="16"/>
                <w:szCs w:val="16"/>
              </w:rPr>
              <w:t>0</w:t>
            </w:r>
          </w:p>
        </w:tc>
        <w:tc>
          <w:tcPr>
            <w:tcW w:w="853" w:type="dxa"/>
            <w:vAlign w:val="center"/>
          </w:tcPr>
          <w:p w:rsidR="006677CA" w:rsidRPr="006B675D" w:rsidRDefault="006677CA" w:rsidP="00423325">
            <w:pPr>
              <w:jc w:val="center"/>
              <w:rPr>
                <w:rFonts w:cs="Arial"/>
                <w:sz w:val="16"/>
                <w:szCs w:val="16"/>
              </w:rPr>
            </w:pPr>
            <w:r w:rsidRPr="006B675D">
              <w:rPr>
                <w:rFonts w:cs="Arial"/>
                <w:sz w:val="16"/>
                <w:szCs w:val="16"/>
              </w:rPr>
              <w:t>9</w:t>
            </w:r>
          </w:p>
        </w:tc>
        <w:tc>
          <w:tcPr>
            <w:tcW w:w="848" w:type="dxa"/>
            <w:gridSpan w:val="2"/>
            <w:vAlign w:val="center"/>
          </w:tcPr>
          <w:p w:rsidR="006677CA" w:rsidRPr="006B675D" w:rsidRDefault="006677CA" w:rsidP="00423325">
            <w:pPr>
              <w:jc w:val="center"/>
              <w:rPr>
                <w:rFonts w:cs="Arial"/>
                <w:sz w:val="16"/>
                <w:szCs w:val="16"/>
              </w:rPr>
            </w:pPr>
            <w:r w:rsidRPr="006B675D">
              <w:rPr>
                <w:rFonts w:cs="Arial"/>
                <w:sz w:val="16"/>
                <w:szCs w:val="16"/>
              </w:rPr>
              <w:t>9</w:t>
            </w:r>
          </w:p>
        </w:tc>
        <w:tc>
          <w:tcPr>
            <w:tcW w:w="1205" w:type="dxa"/>
            <w:vAlign w:val="center"/>
          </w:tcPr>
          <w:p w:rsidR="006677CA" w:rsidRPr="006B675D" w:rsidRDefault="006677CA" w:rsidP="00423325">
            <w:pPr>
              <w:jc w:val="center"/>
              <w:rPr>
                <w:rFonts w:cs="Arial"/>
                <w:sz w:val="16"/>
                <w:szCs w:val="16"/>
              </w:rPr>
            </w:pPr>
            <w:r w:rsidRPr="006B675D">
              <w:rPr>
                <w:rFonts w:cs="Arial"/>
                <w:sz w:val="16"/>
                <w:szCs w:val="16"/>
              </w:rPr>
              <w:t>1</w:t>
            </w:r>
          </w:p>
        </w:tc>
        <w:tc>
          <w:tcPr>
            <w:tcW w:w="1276" w:type="dxa"/>
            <w:vAlign w:val="center"/>
          </w:tcPr>
          <w:p w:rsidR="006677CA" w:rsidRPr="006B675D" w:rsidRDefault="006677CA" w:rsidP="00423325">
            <w:pPr>
              <w:jc w:val="center"/>
              <w:rPr>
                <w:rFonts w:cs="Arial"/>
                <w:sz w:val="16"/>
                <w:szCs w:val="16"/>
              </w:rPr>
            </w:pPr>
            <w:r w:rsidRPr="006B675D">
              <w:rPr>
                <w:rFonts w:cs="Arial"/>
                <w:sz w:val="16"/>
                <w:szCs w:val="16"/>
              </w:rPr>
              <w:t>9</w:t>
            </w:r>
          </w:p>
        </w:tc>
        <w:tc>
          <w:tcPr>
            <w:tcW w:w="1134" w:type="dxa"/>
            <w:vAlign w:val="center"/>
          </w:tcPr>
          <w:p w:rsidR="006677CA" w:rsidRPr="006B675D" w:rsidRDefault="006677CA" w:rsidP="00423325">
            <w:pPr>
              <w:jc w:val="center"/>
              <w:rPr>
                <w:rFonts w:cs="Arial"/>
                <w:sz w:val="16"/>
                <w:szCs w:val="16"/>
              </w:rPr>
            </w:pPr>
            <w:r w:rsidRPr="006B675D">
              <w:rPr>
                <w:rFonts w:cs="Arial"/>
                <w:sz w:val="16"/>
                <w:szCs w:val="16"/>
              </w:rPr>
              <w:t>6 (marin)</w:t>
            </w:r>
          </w:p>
        </w:tc>
      </w:tr>
    </w:tbl>
    <w:p w:rsidR="006677CA" w:rsidRPr="006B675D" w:rsidRDefault="006677CA" w:rsidP="00C908C2">
      <w:pPr>
        <w:spacing w:after="0" w:line="240" w:lineRule="auto"/>
        <w:rPr>
          <w:rFonts w:cs="Arial"/>
          <w:sz w:val="18"/>
          <w:szCs w:val="18"/>
        </w:rPr>
      </w:pPr>
    </w:p>
    <w:p w:rsidR="006677CA" w:rsidRPr="00C908C2" w:rsidRDefault="006677CA" w:rsidP="00C908C2">
      <w:pPr>
        <w:spacing w:after="0" w:line="240" w:lineRule="auto"/>
        <w:jc w:val="both"/>
        <w:rPr>
          <w:rFonts w:cs="Arial"/>
          <w:b/>
          <w:sz w:val="20"/>
          <w:szCs w:val="20"/>
          <w:lang w:val="fr-FR"/>
        </w:rPr>
      </w:pPr>
      <w:r w:rsidRPr="00C908C2">
        <w:rPr>
          <w:rFonts w:cs="Arial"/>
          <w:b/>
          <w:sz w:val="20"/>
          <w:szCs w:val="20"/>
          <w:lang w:val="fr-FR"/>
        </w:rPr>
        <w:t>Tableau 2. Résolutions et propositions d’inscription prises en considération à la COP10 - COP12.</w:t>
      </w:r>
      <w:r w:rsidRPr="00C908C2">
        <w:rPr>
          <w:rFonts w:cs="Arial"/>
          <w:b/>
          <w:sz w:val="20"/>
          <w:szCs w:val="20"/>
          <w:lang w:val="fr-FR"/>
        </w:rPr>
        <w:br/>
        <w:t>*Les questions transversales comprennent : Connectivité et réseaux ; changement climatique ; débris marins ; prises accessoires ; maladies de la faune sauvage ; situations d’urgence en matière de conservation ; espèces exotiques envahissantes ; énergie renouvelable ; atteinte à la vie sauvage ; tourisme durable ; aires protégées.</w:t>
      </w:r>
    </w:p>
    <w:p w:rsidR="006677CA" w:rsidRPr="006B675D" w:rsidRDefault="006677CA" w:rsidP="00C908C2">
      <w:pPr>
        <w:spacing w:after="0" w:line="240" w:lineRule="auto"/>
        <w:rPr>
          <w:rFonts w:cs="Arial"/>
          <w:sz w:val="18"/>
          <w:szCs w:val="18"/>
          <w:lang w:val="fr-FR"/>
        </w:rPr>
      </w:pPr>
    </w:p>
    <w:p w:rsidR="006677CA" w:rsidRPr="006B675D" w:rsidRDefault="006677CA" w:rsidP="006677CA">
      <w:pPr>
        <w:pStyle w:val="ListNumber"/>
        <w:numPr>
          <w:ilvl w:val="0"/>
          <w:numId w:val="14"/>
        </w:numPr>
        <w:spacing w:after="0" w:line="240" w:lineRule="auto"/>
        <w:ind w:left="567" w:hanging="567"/>
        <w:jc w:val="both"/>
        <w:rPr>
          <w:rFonts w:cs="Arial"/>
        </w:rPr>
      </w:pPr>
      <w:r w:rsidRPr="006B675D">
        <w:rPr>
          <w:rFonts w:cs="Arial"/>
        </w:rPr>
        <w:t xml:space="preserve">Il apparaît nettement dans la répartition présentée dans le tableau 2 que les oiseaux gardent un grand intérêt pour les Parties, par l’intermédiaire de plusieurs résolutions et propositions d’inscription à chaque COP. L’ensemble de résolutions prises en considération à chaque COP en ce qui concerne les oiseaux comprend des questions telles que les plans d’action par espèce et multi-espèces, les conséquences des infrastructures ; prélèvement et commerce illégaux ; voies de migration ; empoisonnement. </w:t>
      </w:r>
    </w:p>
    <w:p w:rsidR="006677CA" w:rsidRPr="006B675D" w:rsidRDefault="006677CA" w:rsidP="006677CA">
      <w:pPr>
        <w:pStyle w:val="ListNumber"/>
        <w:numPr>
          <w:ilvl w:val="0"/>
          <w:numId w:val="0"/>
        </w:numPr>
        <w:spacing w:after="0" w:line="240" w:lineRule="auto"/>
        <w:ind w:left="567" w:hanging="567"/>
        <w:jc w:val="both"/>
        <w:rPr>
          <w:rFonts w:cs="Arial"/>
        </w:rPr>
      </w:pPr>
    </w:p>
    <w:p w:rsidR="006677CA" w:rsidRPr="006B675D" w:rsidRDefault="006677CA" w:rsidP="006677CA">
      <w:pPr>
        <w:pStyle w:val="ListNumber"/>
        <w:numPr>
          <w:ilvl w:val="0"/>
          <w:numId w:val="14"/>
        </w:numPr>
        <w:spacing w:after="0" w:line="240" w:lineRule="auto"/>
        <w:ind w:left="567" w:hanging="567"/>
        <w:jc w:val="both"/>
        <w:rPr>
          <w:rFonts w:cs="Arial"/>
        </w:rPr>
      </w:pPr>
      <w:r w:rsidRPr="006B675D">
        <w:rPr>
          <w:rFonts w:cs="Arial"/>
        </w:rPr>
        <w:t>Les mammifères marins sont également une question en cours dans toutes les COP, en particulier concernant les résolutions. Bien que les propositions minimales de listes aient été prises en considération en ce qui concerne les mammifères marins lors d’au moins trois COP, on peut faire valoir que la majorité des mammifères marins migrateurs qui bénéficieront de la CMS a maintenant été listée. Il est ainsi naturel que le centre des préoccupations se soit déplacé du listage des espèces à la prise en compte des menaces qui exigent une attention en vue de renforcer la conservation de ces espèces listées. Les résolutions ayant un intérêt pour les mammifères marins portent sur des domaines tels que le bruit sous-marin, la capture d’animaux sauvages, la culture, les interactions récréatives, la prise accessoire, les débris marins et les aires protégées.</w:t>
      </w:r>
    </w:p>
    <w:p w:rsidR="006677CA" w:rsidRPr="006B675D" w:rsidRDefault="006677CA" w:rsidP="006677CA">
      <w:pPr>
        <w:pStyle w:val="ListNumber"/>
        <w:numPr>
          <w:ilvl w:val="0"/>
          <w:numId w:val="0"/>
        </w:numPr>
        <w:spacing w:after="0" w:line="240" w:lineRule="auto"/>
        <w:jc w:val="both"/>
        <w:rPr>
          <w:rFonts w:cs="Arial"/>
        </w:rPr>
      </w:pPr>
    </w:p>
    <w:p w:rsidR="006677CA" w:rsidRPr="006B675D" w:rsidRDefault="006677CA" w:rsidP="006677CA">
      <w:pPr>
        <w:pStyle w:val="ListNumber"/>
        <w:numPr>
          <w:ilvl w:val="0"/>
          <w:numId w:val="14"/>
        </w:numPr>
        <w:spacing w:after="0" w:line="240" w:lineRule="auto"/>
        <w:ind w:left="567" w:hanging="567"/>
        <w:jc w:val="both"/>
        <w:rPr>
          <w:rFonts w:cs="Arial"/>
        </w:rPr>
      </w:pPr>
      <w:r w:rsidRPr="006B675D">
        <w:rPr>
          <w:rFonts w:cs="Arial"/>
        </w:rPr>
        <w:t xml:space="preserve">Les mammifères terrestres sont aussi un sujet constant aux COP, et il y a eu de plus en plus de propositions d’inscription lors des trois dernières COP. Bien que plusieurs espèces emblématiques telles que le lion, la girafe et le léopard aient récemment été mis en lumière, d’autres mammifères terrestres comme les ongulés continuent de soulever des préoccupations. Les résolutions adoptées par le passé concernant les mammifères marins se sont axées sur des plans d’action et des initiatives multi-espèces plus vastes. </w:t>
      </w:r>
    </w:p>
    <w:p w:rsidR="006677CA" w:rsidRPr="006B675D" w:rsidRDefault="006677CA" w:rsidP="006677CA">
      <w:pPr>
        <w:pStyle w:val="ListNumber"/>
        <w:numPr>
          <w:ilvl w:val="0"/>
          <w:numId w:val="0"/>
        </w:numPr>
        <w:spacing w:after="0" w:line="240" w:lineRule="auto"/>
        <w:jc w:val="both"/>
        <w:rPr>
          <w:rFonts w:cs="Arial"/>
        </w:rPr>
      </w:pPr>
    </w:p>
    <w:p w:rsidR="006677CA" w:rsidRPr="006B675D" w:rsidRDefault="006677CA" w:rsidP="006677CA">
      <w:pPr>
        <w:pStyle w:val="ListNumber"/>
        <w:numPr>
          <w:ilvl w:val="0"/>
          <w:numId w:val="14"/>
        </w:numPr>
        <w:spacing w:after="0" w:line="240" w:lineRule="auto"/>
        <w:ind w:left="567" w:hanging="567"/>
        <w:jc w:val="both"/>
        <w:rPr>
          <w:rFonts w:cs="Arial"/>
        </w:rPr>
      </w:pPr>
      <w:r w:rsidRPr="006B675D">
        <w:rPr>
          <w:rFonts w:cs="Arial"/>
        </w:rPr>
        <w:lastRenderedPageBreak/>
        <w:t>Les Parties remarquent également le nombre accru de propositions d’inscription pour les poissons au cours des trois dernières COP. Les propositions d’inscription s’axent de plus en plus sur les requins et les raies.</w:t>
      </w:r>
    </w:p>
    <w:p w:rsidR="006677CA" w:rsidRPr="006B675D" w:rsidRDefault="006677CA" w:rsidP="006677CA">
      <w:pPr>
        <w:pStyle w:val="ListNumber"/>
        <w:numPr>
          <w:ilvl w:val="0"/>
          <w:numId w:val="0"/>
        </w:numPr>
        <w:spacing w:after="0" w:line="240" w:lineRule="auto"/>
        <w:jc w:val="both"/>
        <w:rPr>
          <w:rFonts w:cs="Arial"/>
        </w:rPr>
      </w:pPr>
    </w:p>
    <w:p w:rsidR="006677CA" w:rsidRPr="006B675D" w:rsidRDefault="006677CA" w:rsidP="006677CA">
      <w:pPr>
        <w:pStyle w:val="ListNumber"/>
        <w:numPr>
          <w:ilvl w:val="0"/>
          <w:numId w:val="14"/>
        </w:numPr>
        <w:spacing w:after="0" w:line="240" w:lineRule="auto"/>
        <w:ind w:left="567" w:hanging="567"/>
        <w:jc w:val="both"/>
        <w:rPr>
          <w:rFonts w:cs="Arial"/>
        </w:rPr>
      </w:pPr>
      <w:r w:rsidRPr="006B675D">
        <w:rPr>
          <w:rFonts w:cs="Arial"/>
        </w:rPr>
        <w:t>Les questions transversales dominent les discussions de la CMS. Ces questions sont thématiques et concernent plus d’une espèce migratrice et plus d’un groupe d’espèces. Il est à noter que, parmi les questions transversales prises en considération aux COP10 - COP12, trois questions sont apparues à chaque COP : connectivité et réseaux ; changement climatique ; débris marins. Les questions des prises accessoires et les maladies de la faune sauvage ont toutes deux été soulevées à deux des trois COP. Le reste des questions transversales n’a été soulevé qu’à l’une des trois COP ; la viande d’animaux sauvages aquatiques, le tourisme durable et les aires protégées constituent les domaines d’intérêt les plus récents.</w:t>
      </w:r>
    </w:p>
    <w:p w:rsidR="006677CA" w:rsidRPr="006B675D" w:rsidRDefault="006677CA" w:rsidP="006677CA">
      <w:pPr>
        <w:pStyle w:val="ListNumber"/>
        <w:numPr>
          <w:ilvl w:val="0"/>
          <w:numId w:val="0"/>
        </w:numPr>
        <w:spacing w:after="0" w:line="240" w:lineRule="auto"/>
        <w:ind w:left="567"/>
        <w:jc w:val="both"/>
        <w:rPr>
          <w:rFonts w:cs="Arial"/>
        </w:rPr>
      </w:pPr>
    </w:p>
    <w:p w:rsidR="006677CA" w:rsidRPr="006B675D" w:rsidRDefault="006677CA" w:rsidP="006677CA">
      <w:pPr>
        <w:pStyle w:val="ListNumber"/>
        <w:numPr>
          <w:ilvl w:val="0"/>
          <w:numId w:val="14"/>
        </w:numPr>
        <w:spacing w:after="0" w:line="240" w:lineRule="auto"/>
        <w:ind w:left="567" w:hanging="567"/>
        <w:jc w:val="both"/>
        <w:rPr>
          <w:rFonts w:cs="Arial"/>
        </w:rPr>
      </w:pPr>
      <w:r w:rsidRPr="006B675D">
        <w:rPr>
          <w:rFonts w:cs="Arial"/>
        </w:rPr>
        <w:t xml:space="preserve">Il est reconnu que les Conseillers nommés par la COP peuvent apporter des contributions à des résolutions qui ne sont pas principalement axées sur leur domaine d’expertise. C’est en particulier le cas des résolutions relatives à des questions transversales du fait du nombre d’espèces ou des groupes d’espèces concernés par diverses questions. </w:t>
      </w:r>
    </w:p>
    <w:p w:rsidR="006677CA" w:rsidRPr="008B4450" w:rsidRDefault="006677CA" w:rsidP="006677CA">
      <w:pPr>
        <w:pStyle w:val="ListParagraph"/>
        <w:rPr>
          <w:rFonts w:cs="Arial"/>
          <w:lang w:val="fr-FR"/>
        </w:rPr>
      </w:pPr>
    </w:p>
    <w:p w:rsidR="006677CA" w:rsidRPr="006B675D" w:rsidRDefault="006677CA" w:rsidP="006677CA">
      <w:pPr>
        <w:pStyle w:val="ListNumber"/>
        <w:numPr>
          <w:ilvl w:val="0"/>
          <w:numId w:val="14"/>
        </w:numPr>
        <w:spacing w:after="0" w:line="240" w:lineRule="auto"/>
        <w:ind w:left="567" w:hanging="567"/>
        <w:jc w:val="both"/>
        <w:rPr>
          <w:rFonts w:cs="Arial"/>
        </w:rPr>
      </w:pPr>
      <w:r w:rsidRPr="006B675D">
        <w:rPr>
          <w:rFonts w:cs="Arial"/>
        </w:rPr>
        <w:t>Sur la base de l’analyse précédente, l’attention à l’échelle de la Convention s’est récemment portée sur les espèces et les thèmes. Les domaines de préoccupation comprennent :</w:t>
      </w:r>
    </w:p>
    <w:p w:rsidR="006677CA" w:rsidRPr="006B675D" w:rsidRDefault="006677CA" w:rsidP="006677CA">
      <w:pPr>
        <w:ind w:left="567"/>
        <w:rPr>
          <w:rFonts w:cs="Arial"/>
          <w:lang w:val="fr-FR"/>
        </w:rPr>
      </w:pPr>
      <w:r w:rsidRPr="006B675D">
        <w:rPr>
          <w:rFonts w:cs="Arial"/>
          <w:b/>
          <w:i/>
          <w:lang w:val="fr-FR"/>
        </w:rPr>
        <w:t>Espèces</w:t>
      </w:r>
      <w:r w:rsidRPr="006B675D">
        <w:rPr>
          <w:rFonts w:cs="Arial"/>
          <w:lang w:val="fr-FR"/>
        </w:rPr>
        <w:tab/>
      </w:r>
      <w:r w:rsidRPr="006B675D">
        <w:rPr>
          <w:rFonts w:cs="Arial"/>
          <w:lang w:val="fr-FR"/>
        </w:rPr>
        <w:tab/>
      </w:r>
      <w:r w:rsidRPr="006B675D">
        <w:rPr>
          <w:rFonts w:cs="Arial"/>
          <w:lang w:val="fr-FR"/>
        </w:rPr>
        <w:tab/>
      </w:r>
      <w:r w:rsidRPr="006B675D">
        <w:rPr>
          <w:rFonts w:cs="Arial"/>
          <w:lang w:val="fr-FR"/>
        </w:rPr>
        <w:tab/>
      </w:r>
      <w:r w:rsidRPr="006B675D">
        <w:rPr>
          <w:rFonts w:cs="Arial"/>
          <w:lang w:val="fr-FR"/>
        </w:rPr>
        <w:tab/>
      </w:r>
      <w:r w:rsidRPr="006B675D">
        <w:rPr>
          <w:rFonts w:cs="Arial"/>
          <w:b/>
          <w:i/>
          <w:lang w:val="fr-FR"/>
        </w:rPr>
        <w:t>Thèmes</w:t>
      </w:r>
      <w:r w:rsidRPr="006B675D">
        <w:rPr>
          <w:rFonts w:cs="Arial"/>
          <w:lang w:val="fr-FR"/>
        </w:rPr>
        <w:br/>
        <w:t xml:space="preserve"> - oiseaux</w:t>
      </w:r>
      <w:r w:rsidRPr="006B675D">
        <w:rPr>
          <w:rFonts w:cs="Arial"/>
          <w:lang w:val="fr-FR"/>
        </w:rPr>
        <w:tab/>
      </w:r>
      <w:r w:rsidRPr="006B675D">
        <w:rPr>
          <w:rFonts w:cs="Arial"/>
          <w:lang w:val="fr-FR"/>
        </w:rPr>
        <w:tab/>
      </w:r>
      <w:r w:rsidRPr="006B675D">
        <w:rPr>
          <w:rFonts w:cs="Arial"/>
          <w:lang w:val="fr-FR"/>
        </w:rPr>
        <w:tab/>
      </w:r>
      <w:r w:rsidRPr="006B675D">
        <w:rPr>
          <w:rFonts w:cs="Arial"/>
          <w:lang w:val="fr-FR"/>
        </w:rPr>
        <w:tab/>
      </w:r>
      <w:r w:rsidRPr="006B675D">
        <w:rPr>
          <w:rFonts w:cs="Arial"/>
          <w:lang w:val="fr-FR"/>
        </w:rPr>
        <w:tab/>
        <w:t>- connectivité/réseaux</w:t>
      </w:r>
      <w:r w:rsidRPr="006B675D">
        <w:rPr>
          <w:rFonts w:cs="Arial"/>
          <w:lang w:val="fr-FR"/>
        </w:rPr>
        <w:br/>
        <w:t xml:space="preserve"> - mammifères marins</w:t>
      </w:r>
      <w:r w:rsidRPr="006B675D">
        <w:rPr>
          <w:rFonts w:cs="Arial"/>
          <w:lang w:val="fr-FR"/>
        </w:rPr>
        <w:tab/>
      </w:r>
      <w:r w:rsidRPr="006B675D">
        <w:rPr>
          <w:rFonts w:cs="Arial"/>
          <w:lang w:val="fr-FR"/>
        </w:rPr>
        <w:tab/>
      </w:r>
      <w:r w:rsidRPr="006B675D">
        <w:rPr>
          <w:rFonts w:cs="Arial"/>
          <w:lang w:val="fr-FR"/>
        </w:rPr>
        <w:tab/>
      </w:r>
      <w:r w:rsidRPr="006B675D">
        <w:rPr>
          <w:rFonts w:cs="Arial"/>
          <w:lang w:val="fr-FR"/>
        </w:rPr>
        <w:tab/>
        <w:t>- débris marins</w:t>
      </w:r>
      <w:r w:rsidRPr="006B675D">
        <w:rPr>
          <w:rFonts w:cs="Arial"/>
          <w:lang w:val="fr-FR"/>
        </w:rPr>
        <w:br/>
        <w:t xml:space="preserve"> - mammifères terrestres</w:t>
      </w:r>
      <w:r w:rsidRPr="006B675D">
        <w:rPr>
          <w:rFonts w:cs="Arial"/>
          <w:lang w:val="fr-FR"/>
        </w:rPr>
        <w:tab/>
      </w:r>
      <w:r w:rsidRPr="006B675D">
        <w:rPr>
          <w:rFonts w:cs="Arial"/>
          <w:lang w:val="fr-FR"/>
        </w:rPr>
        <w:tab/>
      </w:r>
      <w:r w:rsidRPr="006B675D">
        <w:rPr>
          <w:rFonts w:cs="Arial"/>
          <w:lang w:val="fr-FR"/>
        </w:rPr>
        <w:tab/>
        <w:t>- changement climatique</w:t>
      </w:r>
      <w:r w:rsidRPr="006B675D">
        <w:rPr>
          <w:rFonts w:cs="Arial"/>
          <w:lang w:val="fr-FR"/>
        </w:rPr>
        <w:br/>
        <w:t xml:space="preserve"> - poissons</w:t>
      </w:r>
      <w:r w:rsidRPr="006B675D">
        <w:rPr>
          <w:rFonts w:cs="Arial"/>
          <w:lang w:val="fr-FR"/>
        </w:rPr>
        <w:tab/>
      </w:r>
      <w:r w:rsidRPr="006B675D">
        <w:rPr>
          <w:rFonts w:cs="Arial"/>
          <w:lang w:val="fr-FR"/>
        </w:rPr>
        <w:tab/>
      </w:r>
      <w:r w:rsidRPr="006B675D">
        <w:rPr>
          <w:rFonts w:cs="Arial"/>
          <w:lang w:val="fr-FR"/>
        </w:rPr>
        <w:tab/>
      </w:r>
      <w:r w:rsidRPr="006B675D">
        <w:rPr>
          <w:rFonts w:cs="Arial"/>
          <w:lang w:val="fr-FR"/>
        </w:rPr>
        <w:tab/>
      </w:r>
      <w:r w:rsidRPr="006B675D">
        <w:rPr>
          <w:rFonts w:cs="Arial"/>
          <w:lang w:val="fr-FR"/>
        </w:rPr>
        <w:tab/>
        <w:t>- prises accessoires</w:t>
      </w:r>
      <w:r w:rsidRPr="006B675D">
        <w:rPr>
          <w:rFonts w:cs="Arial"/>
          <w:lang w:val="fr-FR"/>
        </w:rPr>
        <w:br/>
        <w:t xml:space="preserve"> </w:t>
      </w:r>
      <w:r w:rsidRPr="006B675D">
        <w:rPr>
          <w:rFonts w:cs="Arial"/>
          <w:lang w:val="fr-FR"/>
        </w:rPr>
        <w:tab/>
      </w:r>
      <w:r w:rsidRPr="006B675D">
        <w:rPr>
          <w:rFonts w:cs="Arial"/>
          <w:lang w:val="fr-FR"/>
        </w:rPr>
        <w:tab/>
      </w:r>
      <w:r w:rsidRPr="006B675D">
        <w:rPr>
          <w:rFonts w:cs="Arial"/>
          <w:lang w:val="fr-FR"/>
        </w:rPr>
        <w:tab/>
      </w:r>
      <w:r w:rsidRPr="006B675D">
        <w:rPr>
          <w:rFonts w:cs="Arial"/>
          <w:lang w:val="fr-FR"/>
        </w:rPr>
        <w:tab/>
      </w:r>
      <w:r w:rsidRPr="006B675D">
        <w:rPr>
          <w:rFonts w:cs="Arial"/>
          <w:lang w:val="fr-FR"/>
        </w:rPr>
        <w:tab/>
      </w:r>
      <w:r w:rsidRPr="006B675D">
        <w:rPr>
          <w:rFonts w:cs="Arial"/>
          <w:lang w:val="fr-FR"/>
        </w:rPr>
        <w:tab/>
        <w:t xml:space="preserve"> </w:t>
      </w:r>
      <w:r w:rsidRPr="006B675D">
        <w:rPr>
          <w:rFonts w:cs="Arial"/>
          <w:lang w:val="fr-FR"/>
        </w:rPr>
        <w:tab/>
        <w:t>- maladies de la faune sauvage</w:t>
      </w:r>
    </w:p>
    <w:p w:rsidR="006677CA" w:rsidRPr="006B675D" w:rsidRDefault="006677CA" w:rsidP="00C908C2">
      <w:pPr>
        <w:spacing w:after="0" w:line="240" w:lineRule="auto"/>
        <w:ind w:left="567"/>
        <w:rPr>
          <w:rFonts w:cs="Arial"/>
          <w:lang w:val="fr-FR"/>
        </w:rPr>
      </w:pPr>
    </w:p>
    <w:p w:rsidR="006677CA" w:rsidRPr="003E35BD" w:rsidRDefault="006677CA" w:rsidP="00C908C2">
      <w:pPr>
        <w:spacing w:after="0" w:line="240" w:lineRule="auto"/>
        <w:rPr>
          <w:rFonts w:cs="Arial"/>
          <w:u w:val="single"/>
          <w:lang w:val="fr-FR"/>
        </w:rPr>
      </w:pPr>
      <w:r w:rsidRPr="003E35BD">
        <w:rPr>
          <w:rFonts w:cs="Arial"/>
          <w:u w:val="single"/>
          <w:lang w:val="fr-FR"/>
        </w:rPr>
        <w:t>Questions futures nécessitant des conseils d’experts</w:t>
      </w:r>
    </w:p>
    <w:p w:rsidR="006677CA" w:rsidRPr="006B675D" w:rsidRDefault="006677CA" w:rsidP="00C908C2">
      <w:pPr>
        <w:spacing w:after="0" w:line="240" w:lineRule="auto"/>
        <w:rPr>
          <w:rFonts w:cs="Arial"/>
          <w:b/>
          <w:lang w:val="fr-FR"/>
        </w:rPr>
      </w:pPr>
    </w:p>
    <w:p w:rsidR="006677CA" w:rsidRPr="006B675D" w:rsidRDefault="006677CA" w:rsidP="00C908C2">
      <w:pPr>
        <w:pStyle w:val="ListNumber"/>
        <w:numPr>
          <w:ilvl w:val="0"/>
          <w:numId w:val="14"/>
        </w:numPr>
        <w:spacing w:after="0" w:line="240" w:lineRule="auto"/>
        <w:ind w:left="567" w:hanging="567"/>
        <w:jc w:val="both"/>
        <w:rPr>
          <w:rFonts w:cs="Arial"/>
        </w:rPr>
      </w:pPr>
      <w:r w:rsidRPr="006B675D">
        <w:rPr>
          <w:rFonts w:cs="Arial"/>
        </w:rPr>
        <w:t>L’examen doit également tenir compte des futurs besoins de la Convention en conseils d’experts indépendants.</w:t>
      </w:r>
    </w:p>
    <w:p w:rsidR="006677CA" w:rsidRPr="006B675D" w:rsidRDefault="006677CA" w:rsidP="00C908C2">
      <w:pPr>
        <w:pStyle w:val="ListNumber"/>
        <w:numPr>
          <w:ilvl w:val="0"/>
          <w:numId w:val="0"/>
        </w:numPr>
        <w:spacing w:after="0" w:line="240" w:lineRule="auto"/>
        <w:ind w:left="567"/>
        <w:jc w:val="both"/>
        <w:rPr>
          <w:rFonts w:cs="Arial"/>
        </w:rPr>
      </w:pPr>
    </w:p>
    <w:p w:rsidR="006677CA" w:rsidRPr="006B675D" w:rsidRDefault="006677CA" w:rsidP="00C908C2">
      <w:pPr>
        <w:pStyle w:val="ListNumber"/>
        <w:numPr>
          <w:ilvl w:val="0"/>
          <w:numId w:val="14"/>
        </w:numPr>
        <w:spacing w:after="0" w:line="240" w:lineRule="auto"/>
        <w:ind w:left="567" w:hanging="567"/>
        <w:jc w:val="both"/>
        <w:rPr>
          <w:rFonts w:cs="Arial"/>
        </w:rPr>
      </w:pPr>
      <w:r w:rsidRPr="006B675D">
        <w:rPr>
          <w:rFonts w:cs="Arial"/>
        </w:rPr>
        <w:t xml:space="preserve">Plusieurs sources ont été examinées pour identifier d’éventuels futurs domaines d’intérêt de la Convention, notamment : Des rapports nationaux soumis par les Parties à la COP12 ; le Plan stratégique de la Convention ; des documents pertinents provenant d’autres conventions relatives à la biodiversité, notamment les Objectifs d’Aichi ; les objectifs de développement durable, et la littérature prospective, entre autres choses. </w:t>
      </w:r>
    </w:p>
    <w:p w:rsidR="006677CA" w:rsidRPr="008B4450" w:rsidRDefault="006677CA" w:rsidP="00C908C2">
      <w:pPr>
        <w:pStyle w:val="ListParagraph"/>
        <w:spacing w:after="0" w:line="240" w:lineRule="auto"/>
        <w:contextualSpacing w:val="0"/>
        <w:rPr>
          <w:rFonts w:cs="Arial"/>
          <w:lang w:val="fr-FR"/>
        </w:rPr>
      </w:pPr>
    </w:p>
    <w:p w:rsidR="006677CA" w:rsidRPr="006B675D" w:rsidRDefault="006677CA" w:rsidP="00C908C2">
      <w:pPr>
        <w:pStyle w:val="ListNumber"/>
        <w:numPr>
          <w:ilvl w:val="0"/>
          <w:numId w:val="14"/>
        </w:numPr>
        <w:spacing w:after="0" w:line="240" w:lineRule="auto"/>
        <w:ind w:left="567" w:hanging="567"/>
        <w:jc w:val="both"/>
        <w:rPr>
          <w:rFonts w:cs="Arial"/>
        </w:rPr>
      </w:pPr>
      <w:r w:rsidRPr="006B675D">
        <w:rPr>
          <w:rFonts w:cs="Arial"/>
        </w:rPr>
        <w:t xml:space="preserve">Il semblerait que les questions futures éventuelles en matière de conservation soient axées sur le changement climatique (qui entraîne de nombreuses autres menaces comme le nombre accru d’événements climatiques extrêmes, l’altération des habitats, etc.) ; les microplastiques ; les espèces envahissantes (y compris les maladies, les champignons et les parasites, les animaux domestiques, les insectes, les parasites marins et les herbes). </w:t>
      </w:r>
    </w:p>
    <w:p w:rsidR="006677CA" w:rsidRPr="008B4450" w:rsidRDefault="006677CA" w:rsidP="00C908C2">
      <w:pPr>
        <w:pStyle w:val="ListParagraph"/>
        <w:spacing w:after="0" w:line="240" w:lineRule="auto"/>
        <w:contextualSpacing w:val="0"/>
        <w:rPr>
          <w:rFonts w:cs="Arial"/>
          <w:lang w:val="fr-FR"/>
        </w:rPr>
      </w:pPr>
    </w:p>
    <w:p w:rsidR="006677CA" w:rsidRPr="006B675D" w:rsidRDefault="006677CA" w:rsidP="00C908C2">
      <w:pPr>
        <w:pStyle w:val="ListNumber"/>
        <w:numPr>
          <w:ilvl w:val="0"/>
          <w:numId w:val="14"/>
        </w:numPr>
        <w:spacing w:after="0" w:line="240" w:lineRule="auto"/>
        <w:ind w:left="567" w:hanging="567"/>
        <w:jc w:val="both"/>
        <w:rPr>
          <w:rFonts w:cs="Arial"/>
        </w:rPr>
      </w:pPr>
      <w:r w:rsidRPr="006B675D">
        <w:rPr>
          <w:rFonts w:cs="Arial"/>
        </w:rPr>
        <w:t xml:space="preserve">Il est à noter que ces questions ont déjà été soulevées de manière continue depuis les trois dernières COP, des résolutions relatives au changement climatique et aux débris marins (qui comprennent des références aux microplastiques) étant abordées à chaque COP. </w:t>
      </w:r>
    </w:p>
    <w:p w:rsidR="00C908C2" w:rsidRDefault="00C908C2" w:rsidP="00C908C2">
      <w:pPr>
        <w:pStyle w:val="ListParagraph"/>
        <w:spacing w:after="0" w:line="240" w:lineRule="auto"/>
        <w:contextualSpacing w:val="0"/>
        <w:rPr>
          <w:rFonts w:cs="Arial"/>
          <w:lang w:val="fr-FR"/>
        </w:rPr>
      </w:pPr>
      <w:r>
        <w:rPr>
          <w:rFonts w:cs="Arial"/>
          <w:lang w:val="fr-FR"/>
        </w:rPr>
        <w:br w:type="page"/>
      </w:r>
    </w:p>
    <w:p w:rsidR="006677CA" w:rsidRPr="008B4450" w:rsidRDefault="006677CA" w:rsidP="00C908C2">
      <w:pPr>
        <w:pStyle w:val="ListParagraph"/>
        <w:spacing w:after="0" w:line="240" w:lineRule="auto"/>
        <w:contextualSpacing w:val="0"/>
        <w:rPr>
          <w:rFonts w:cs="Arial"/>
          <w:lang w:val="fr-FR"/>
        </w:rPr>
      </w:pPr>
    </w:p>
    <w:p w:rsidR="006677CA" w:rsidRPr="006B675D" w:rsidRDefault="006677CA" w:rsidP="00C908C2">
      <w:pPr>
        <w:pStyle w:val="ListNumber"/>
        <w:numPr>
          <w:ilvl w:val="0"/>
          <w:numId w:val="14"/>
        </w:numPr>
        <w:spacing w:after="0" w:line="240" w:lineRule="auto"/>
        <w:ind w:left="567" w:hanging="567"/>
        <w:jc w:val="both"/>
        <w:rPr>
          <w:rFonts w:cs="Arial"/>
        </w:rPr>
      </w:pPr>
      <w:r w:rsidRPr="006B675D">
        <w:rPr>
          <w:rFonts w:cs="Arial"/>
        </w:rPr>
        <w:t xml:space="preserve">Bien qu’il soit difficile de prédire de manière exacte la nature des questions exigeant une attention dans le futur ainsi que les conseils d’experts pertinents nécessaires, ces trois questions sont assez vastes pour couvrir un ensemble de menaces pouvant apparaître au cours des trois prochaines années, car chacune d’entre elles englobe plusieurs autres menaces associées. La Convention possède un autre avantage : les Parties peuvent réévaluer la situation, tant présente qu’émergente, tous les trois ans maximum lors de la désignation d’experts indépendants. </w:t>
      </w:r>
    </w:p>
    <w:p w:rsidR="006677CA" w:rsidRPr="008B4450" w:rsidRDefault="006677CA" w:rsidP="006677CA">
      <w:pPr>
        <w:pStyle w:val="ListParagraph"/>
        <w:rPr>
          <w:rFonts w:cs="Arial"/>
          <w:lang w:val="fr-FR"/>
        </w:rPr>
      </w:pPr>
    </w:p>
    <w:p w:rsidR="006677CA" w:rsidRPr="006B675D" w:rsidRDefault="006677CA" w:rsidP="00C908C2">
      <w:pPr>
        <w:pStyle w:val="ListNumber"/>
        <w:numPr>
          <w:ilvl w:val="0"/>
          <w:numId w:val="14"/>
        </w:numPr>
        <w:spacing w:after="0" w:line="240" w:lineRule="auto"/>
        <w:ind w:left="567" w:hanging="567"/>
        <w:jc w:val="both"/>
        <w:rPr>
          <w:rFonts w:cs="Arial"/>
        </w:rPr>
      </w:pPr>
      <w:r w:rsidRPr="006B675D">
        <w:rPr>
          <w:rFonts w:cs="Arial"/>
        </w:rPr>
        <w:t xml:space="preserve">En vue de tirer profit de ces possibilités, un processus d’examen formel doit toutefois être élaboré pour veiller à ce que ces considérations soient périodiquement prises en compte. </w:t>
      </w:r>
    </w:p>
    <w:p w:rsidR="006677CA" w:rsidRPr="00A06F74" w:rsidRDefault="006677CA" w:rsidP="00C908C2">
      <w:pPr>
        <w:spacing w:after="0" w:line="240" w:lineRule="auto"/>
        <w:rPr>
          <w:b/>
          <w:lang w:val="fr-FR"/>
        </w:rPr>
      </w:pPr>
    </w:p>
    <w:p w:rsidR="006677CA" w:rsidRPr="003E35BD" w:rsidRDefault="006677CA" w:rsidP="00C908C2">
      <w:pPr>
        <w:spacing w:after="0" w:line="240" w:lineRule="auto"/>
        <w:rPr>
          <w:rFonts w:cs="Arial"/>
          <w:u w:val="single"/>
          <w:lang w:val="fr-FR"/>
        </w:rPr>
      </w:pPr>
      <w:r w:rsidRPr="003E35BD">
        <w:rPr>
          <w:rFonts w:cs="Arial"/>
          <w:u w:val="single"/>
          <w:lang w:val="fr-FR"/>
        </w:rPr>
        <w:t>Processus visant à garantir la continuité</w:t>
      </w:r>
    </w:p>
    <w:p w:rsidR="006677CA" w:rsidRPr="006B675D" w:rsidRDefault="006677CA" w:rsidP="00C908C2">
      <w:pPr>
        <w:spacing w:after="0" w:line="240" w:lineRule="auto"/>
        <w:rPr>
          <w:rFonts w:cs="Arial"/>
          <w:b/>
          <w:lang w:val="fr-FR"/>
        </w:rPr>
      </w:pPr>
    </w:p>
    <w:p w:rsidR="006677CA" w:rsidRDefault="006677CA" w:rsidP="00C908C2">
      <w:pPr>
        <w:pStyle w:val="ListNumber"/>
        <w:numPr>
          <w:ilvl w:val="0"/>
          <w:numId w:val="14"/>
        </w:numPr>
        <w:spacing w:after="0" w:line="240" w:lineRule="auto"/>
        <w:ind w:left="567" w:hanging="567"/>
        <w:jc w:val="both"/>
      </w:pPr>
      <w:r w:rsidRPr="00516E5D">
        <w:t xml:space="preserve">Avec un nombre croissant de questions et de priorités prises en compte au sein de la CMS et de ses organes subsidiaires, il est facile d’ignorer certains processus en cours visant à déterminer si des modifications sont nécessaires pour renforcer l’efficacité de la Convention. Les domaines d’activités des Conseillers nommés par la COP sont un sujet qui n’a été examiné ni explicitement ni en profondeur pendant de nombreuses années. </w:t>
      </w:r>
    </w:p>
    <w:p w:rsidR="006677CA" w:rsidRPr="00516E5D" w:rsidRDefault="006677CA" w:rsidP="00C908C2">
      <w:pPr>
        <w:pStyle w:val="ListNumber"/>
        <w:numPr>
          <w:ilvl w:val="0"/>
          <w:numId w:val="0"/>
        </w:numPr>
        <w:spacing w:after="0" w:line="240" w:lineRule="auto"/>
        <w:ind w:left="567"/>
        <w:jc w:val="both"/>
      </w:pPr>
    </w:p>
    <w:p w:rsidR="006677CA" w:rsidRDefault="006677CA" w:rsidP="00C908C2">
      <w:pPr>
        <w:pStyle w:val="ListNumber"/>
        <w:numPr>
          <w:ilvl w:val="0"/>
          <w:numId w:val="14"/>
        </w:numPr>
        <w:spacing w:after="0" w:line="240" w:lineRule="auto"/>
        <w:ind w:left="567" w:hanging="567"/>
        <w:jc w:val="both"/>
      </w:pPr>
      <w:r w:rsidRPr="00516E5D">
        <w:t xml:space="preserve">Le groupe de travail établi pour enquêter sur la pertinence des domaines existants des Conseillers nommés par la COP est aussi chargé de définir un processus par lequel ces domaines d’activités seront au centre d’un examen ordinaire afin de garantir une applicabilité constante. </w:t>
      </w:r>
    </w:p>
    <w:p w:rsidR="006677CA" w:rsidRPr="00516E5D" w:rsidRDefault="006677CA" w:rsidP="00C908C2">
      <w:pPr>
        <w:pStyle w:val="ListNumber"/>
        <w:numPr>
          <w:ilvl w:val="0"/>
          <w:numId w:val="0"/>
        </w:numPr>
        <w:spacing w:after="0" w:line="240" w:lineRule="auto"/>
        <w:ind w:left="567" w:hanging="567"/>
        <w:jc w:val="both"/>
      </w:pPr>
    </w:p>
    <w:p w:rsidR="006677CA" w:rsidRDefault="006677CA" w:rsidP="00C908C2">
      <w:pPr>
        <w:pStyle w:val="ListNumber"/>
        <w:numPr>
          <w:ilvl w:val="0"/>
          <w:numId w:val="14"/>
        </w:numPr>
        <w:spacing w:after="0" w:line="240" w:lineRule="auto"/>
        <w:ind w:left="567" w:hanging="567"/>
        <w:jc w:val="both"/>
      </w:pPr>
      <w:r w:rsidRPr="00516E5D">
        <w:t xml:space="preserve">Bien qu’il puisse être idéal de prendre en compte la pertinence actuelle de tous les domaines d’activité des Conseillers nommés par la COP lors de chaque COP (tous les trois ans), il existe également des avantages à ce que des experts indépendants établissent un certain niveau de cohérence entre les domaines d’intérêt pour la CMS et ses processus. Il est ainsi proposé que les domaines d’activité des Conseillers nommés par la COP soient explicitement examinés tous les six ans (deux cycles de COP). Cela n’empêchera pas </w:t>
      </w:r>
      <w:proofErr w:type="gramStart"/>
      <w:r w:rsidRPr="00516E5D">
        <w:t>aux</w:t>
      </w:r>
      <w:proofErr w:type="gramEnd"/>
      <w:r w:rsidRPr="00516E5D">
        <w:t xml:space="preserve"> Parties de faire des recommandations en ce qui concerne l’établissement de domaines d’activité des Conseillers nommés par la COP à chaque COP si nécessaire. </w:t>
      </w:r>
    </w:p>
    <w:p w:rsidR="006677CA" w:rsidRPr="00516E5D" w:rsidRDefault="006677CA" w:rsidP="00C908C2">
      <w:pPr>
        <w:pStyle w:val="ListNumber"/>
        <w:numPr>
          <w:ilvl w:val="0"/>
          <w:numId w:val="0"/>
        </w:numPr>
        <w:spacing w:after="0" w:line="240" w:lineRule="auto"/>
        <w:ind w:left="567" w:hanging="567"/>
        <w:jc w:val="both"/>
      </w:pPr>
    </w:p>
    <w:p w:rsidR="006677CA" w:rsidRDefault="006677CA" w:rsidP="00C908C2">
      <w:pPr>
        <w:pStyle w:val="ListNumber"/>
        <w:numPr>
          <w:ilvl w:val="0"/>
          <w:numId w:val="14"/>
        </w:numPr>
        <w:spacing w:after="0" w:line="240" w:lineRule="auto"/>
        <w:ind w:left="567" w:hanging="567"/>
        <w:jc w:val="both"/>
      </w:pPr>
      <w:r w:rsidRPr="00516E5D">
        <w:t xml:space="preserve">Le Comité de session devrait être chargé d’inclure l’examen comme point permanent de l’ordre du jour aux réunions adapté tous les deux cycles de la COP. Sur la base des pratiques antérieures, le Comité de session est susceptible d’organiser au moins quatre réunions toutes les deux périodes de COP. Si cette pratique se poursuit, il est proposé que la prise en compte des domaines d’activité débute à sa troisième réunion organisée tous les deux cycles de la COP (première réunion de chaque deuxième période triennale - voir graphique 1). </w:t>
      </w:r>
    </w:p>
    <w:p w:rsidR="006677CA" w:rsidRPr="00516E5D" w:rsidRDefault="006677CA" w:rsidP="00C908C2">
      <w:pPr>
        <w:pStyle w:val="ListNumber"/>
        <w:numPr>
          <w:ilvl w:val="0"/>
          <w:numId w:val="0"/>
        </w:numPr>
        <w:spacing w:after="0" w:line="240" w:lineRule="auto"/>
      </w:pPr>
    </w:p>
    <w:p w:rsidR="006677CA" w:rsidRPr="00516E5D" w:rsidRDefault="006677CA" w:rsidP="00C908C2">
      <w:pPr>
        <w:pStyle w:val="ListNumber"/>
        <w:numPr>
          <w:ilvl w:val="0"/>
          <w:numId w:val="14"/>
        </w:numPr>
        <w:spacing w:after="0" w:line="240" w:lineRule="auto"/>
        <w:ind w:left="567" w:hanging="567"/>
        <w:jc w:val="both"/>
      </w:pPr>
      <w:r w:rsidRPr="00516E5D">
        <w:t xml:space="preserve">Un processus normalisé d’examen ordinaire des domaines d’activité des Conseillers nommés par la COP est présenté ci-dessous et illustré dans le graphique 1. Il est recommandé que cette procédure soit mise en </w:t>
      </w:r>
      <w:proofErr w:type="spellStart"/>
      <w:r w:rsidRPr="00516E5D">
        <w:t>oeuvre</w:t>
      </w:r>
      <w:proofErr w:type="spellEnd"/>
      <w:r w:rsidRPr="00516E5D">
        <w:t xml:space="preserve"> après l’achèvement de la COP13.</w:t>
      </w:r>
    </w:p>
    <w:p w:rsidR="006677CA" w:rsidRPr="00516E5D" w:rsidRDefault="006677CA" w:rsidP="00C908C2">
      <w:pPr>
        <w:pStyle w:val="ListBullet2"/>
        <w:numPr>
          <w:ilvl w:val="1"/>
          <w:numId w:val="19"/>
        </w:numPr>
        <w:spacing w:after="0" w:line="240" w:lineRule="auto"/>
        <w:ind w:left="1134" w:hanging="425"/>
        <w:jc w:val="both"/>
      </w:pPr>
      <w:r w:rsidRPr="00516E5D">
        <w:t>Le Comité de session inclura un point de l’ordre du jour pour examiner l’applicabilité des domaines d’activité des Conseillers nommés par la COP lors de sa première réunion après la COP14.</w:t>
      </w:r>
    </w:p>
    <w:p w:rsidR="006677CA" w:rsidRPr="00516E5D" w:rsidRDefault="006677CA" w:rsidP="00C908C2">
      <w:pPr>
        <w:pStyle w:val="ListBullet2"/>
        <w:numPr>
          <w:ilvl w:val="1"/>
          <w:numId w:val="19"/>
        </w:numPr>
        <w:spacing w:after="0" w:line="240" w:lineRule="auto"/>
        <w:ind w:left="1134"/>
        <w:jc w:val="both"/>
      </w:pPr>
      <w:r w:rsidRPr="00516E5D">
        <w:t xml:space="preserve">Le Comité de session déterminera si de nouveaux domaines d’activités des Conseillers nommés par la COP sont nécessaires pour la période COP15 - COP17, ou si certains ne sont plus nécessaires ou devraient être modifiés. </w:t>
      </w:r>
    </w:p>
    <w:p w:rsidR="006677CA" w:rsidRPr="00516E5D" w:rsidRDefault="006677CA" w:rsidP="00C908C2">
      <w:pPr>
        <w:pStyle w:val="ListBullet2"/>
        <w:numPr>
          <w:ilvl w:val="1"/>
          <w:numId w:val="19"/>
        </w:numPr>
        <w:spacing w:after="0" w:line="240" w:lineRule="auto"/>
        <w:ind w:left="1134"/>
        <w:jc w:val="both"/>
      </w:pPr>
      <w:r w:rsidRPr="00516E5D">
        <w:t>Le Secrétariat organisera des nominations pour désigner de nouveaux domaines d’activité ou des domaines disponibles, selon que de besoin, avant la réunion finale du Comité de session avant la COP15.</w:t>
      </w:r>
    </w:p>
    <w:p w:rsidR="006677CA" w:rsidRPr="00516E5D" w:rsidRDefault="006677CA" w:rsidP="00C908C2">
      <w:pPr>
        <w:pStyle w:val="ListBullet2"/>
        <w:numPr>
          <w:ilvl w:val="1"/>
          <w:numId w:val="19"/>
        </w:numPr>
        <w:spacing w:after="0" w:line="240" w:lineRule="auto"/>
        <w:ind w:left="1134"/>
        <w:jc w:val="both"/>
      </w:pPr>
      <w:r w:rsidRPr="00516E5D">
        <w:t>Les Parties fourniront les nominations écrites des experts pour les domaines d’activité des Conseillers nommés par la COP au Secrétariat.</w:t>
      </w:r>
    </w:p>
    <w:p w:rsidR="006677CA" w:rsidRDefault="006677CA" w:rsidP="00C908C2">
      <w:pPr>
        <w:pStyle w:val="ListBullet2"/>
        <w:numPr>
          <w:ilvl w:val="1"/>
          <w:numId w:val="19"/>
        </w:numPr>
        <w:spacing w:after="0" w:line="240" w:lineRule="auto"/>
        <w:ind w:left="1134"/>
        <w:jc w:val="both"/>
      </w:pPr>
      <w:r w:rsidRPr="00516E5D">
        <w:t>Le Comité de session formulera des recommandations à la COP15 lors de sa réunion finale sur la base des candidats proposés.</w:t>
      </w:r>
    </w:p>
    <w:p w:rsidR="006677CA" w:rsidRPr="00516E5D" w:rsidRDefault="006677CA" w:rsidP="00C908C2">
      <w:pPr>
        <w:pStyle w:val="ListBullet2"/>
        <w:numPr>
          <w:ilvl w:val="0"/>
          <w:numId w:val="0"/>
        </w:numPr>
        <w:spacing w:after="0" w:line="240" w:lineRule="auto"/>
        <w:ind w:left="1134"/>
        <w:jc w:val="both"/>
      </w:pPr>
    </w:p>
    <w:p w:rsidR="006677CA" w:rsidRDefault="006677CA" w:rsidP="00C908C2">
      <w:pPr>
        <w:pStyle w:val="ListNumber"/>
        <w:numPr>
          <w:ilvl w:val="0"/>
          <w:numId w:val="14"/>
        </w:numPr>
        <w:spacing w:after="0" w:line="240" w:lineRule="auto"/>
        <w:ind w:left="567" w:hanging="567"/>
      </w:pPr>
      <w:r w:rsidRPr="00516E5D">
        <w:t>Ce processus sera alors répété après la COP17, la COP19, la COP21, etc.</w:t>
      </w:r>
    </w:p>
    <w:p w:rsidR="006677CA" w:rsidRDefault="006677CA" w:rsidP="00C908C2">
      <w:pPr>
        <w:pStyle w:val="ListNumber"/>
        <w:numPr>
          <w:ilvl w:val="0"/>
          <w:numId w:val="0"/>
        </w:numPr>
        <w:spacing w:after="0" w:line="240" w:lineRule="auto"/>
        <w:ind w:left="567"/>
      </w:pPr>
    </w:p>
    <w:p w:rsidR="006677CA" w:rsidRPr="00516E5D" w:rsidRDefault="006677CA" w:rsidP="00C908C2">
      <w:pPr>
        <w:pStyle w:val="ListNumber"/>
        <w:numPr>
          <w:ilvl w:val="0"/>
          <w:numId w:val="14"/>
        </w:numPr>
        <w:spacing w:after="0" w:line="240" w:lineRule="auto"/>
        <w:ind w:left="567" w:hanging="567"/>
        <w:jc w:val="both"/>
      </w:pPr>
      <w:r w:rsidRPr="00516E5D">
        <w:t>Du fait des délais de soumission des documents de la COP et du calendrier des réunions du Comité de session, il serait prudent de lancer les discussions lors de la première réunion suivant la COP14 pour laisser suffisamment de temps pour organiser des consultations et trouver des candidats qualifiés. Bien qu’il ne soit pas prévu qu’un examen exige beaucoup de temps une fois qu’il sera régulièrement mené, reporter le début de la discussion à la réunion finale avant la COP pertinente pourrait limiter le nombre de candidats qualifiés du fait de la limite de temps. Lancer la discussion à mi-parcours serait logistiquement la meilleure solution.</w:t>
      </w:r>
    </w:p>
    <w:p w:rsidR="006677CA" w:rsidRPr="00516E5D" w:rsidRDefault="006677CA" w:rsidP="006677CA">
      <w:pPr>
        <w:pStyle w:val="Caption"/>
        <w:rPr>
          <w:i w:val="0"/>
          <w:color w:val="auto"/>
        </w:rPr>
      </w:pPr>
      <w:r w:rsidRPr="00516E5D">
        <w:rPr>
          <w:noProof/>
          <w:lang w:val="en-US" w:eastAsia="en-US" w:bidi="ar-SA"/>
        </w:rPr>
        <w:lastRenderedPageBreak/>
        <w:drawing>
          <wp:inline distT="0" distB="0" distL="0" distR="0" wp14:anchorId="7AA8AC9D" wp14:editId="33F30C4E">
            <wp:extent cx="5610225" cy="8162925"/>
            <wp:effectExtent l="0" t="0" r="0" b="857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516E5D">
        <w:rPr>
          <w:i w:val="0"/>
          <w:color w:val="auto"/>
        </w:rPr>
        <w:br/>
      </w:r>
    </w:p>
    <w:p w:rsidR="006677CA" w:rsidRPr="005062D3" w:rsidRDefault="006677CA" w:rsidP="006677CA">
      <w:pPr>
        <w:pStyle w:val="Caption"/>
        <w:rPr>
          <w:i w:val="0"/>
          <w:color w:val="auto"/>
          <w:sz w:val="20"/>
          <w:szCs w:val="20"/>
        </w:rPr>
      </w:pPr>
      <w:r w:rsidRPr="005062D3">
        <w:rPr>
          <w:i w:val="0"/>
          <w:color w:val="auto"/>
          <w:sz w:val="20"/>
          <w:szCs w:val="20"/>
        </w:rPr>
        <w:t>Graphique</w:t>
      </w:r>
      <w:r w:rsidRPr="005062D3">
        <w:rPr>
          <w:i w:val="0"/>
          <w:color w:val="auto"/>
          <w:sz w:val="20"/>
          <w:szCs w:val="20"/>
        </w:rPr>
        <w:fldChar w:fldCharType="begin"/>
      </w:r>
      <w:r w:rsidRPr="005062D3">
        <w:rPr>
          <w:i w:val="0"/>
          <w:color w:val="auto"/>
          <w:sz w:val="20"/>
          <w:szCs w:val="20"/>
        </w:rPr>
        <w:instrText xml:space="preserve"> SEQ Figure \* ARABIC </w:instrText>
      </w:r>
      <w:r w:rsidRPr="005062D3">
        <w:rPr>
          <w:i w:val="0"/>
          <w:color w:val="auto"/>
          <w:sz w:val="20"/>
          <w:szCs w:val="20"/>
        </w:rPr>
        <w:fldChar w:fldCharType="separate"/>
      </w:r>
      <w:r w:rsidRPr="005062D3">
        <w:rPr>
          <w:i w:val="0"/>
          <w:noProof/>
          <w:color w:val="auto"/>
          <w:sz w:val="20"/>
          <w:szCs w:val="20"/>
        </w:rPr>
        <w:t>1</w:t>
      </w:r>
      <w:r w:rsidRPr="005062D3">
        <w:rPr>
          <w:i w:val="0"/>
          <w:color w:val="auto"/>
          <w:sz w:val="20"/>
          <w:szCs w:val="20"/>
        </w:rPr>
        <w:fldChar w:fldCharType="end"/>
      </w:r>
      <w:r w:rsidRPr="005062D3">
        <w:rPr>
          <w:i w:val="0"/>
          <w:color w:val="auto"/>
          <w:sz w:val="20"/>
          <w:szCs w:val="20"/>
        </w:rPr>
        <w:t>. Processus d’examen proposé à la suite de la COP13.</w:t>
      </w:r>
    </w:p>
    <w:p w:rsidR="006677CA" w:rsidRDefault="006677CA" w:rsidP="006677CA">
      <w:pPr>
        <w:pStyle w:val="ListBullet2"/>
        <w:numPr>
          <w:ilvl w:val="0"/>
          <w:numId w:val="0"/>
        </w:numPr>
        <w:ind w:left="737" w:hanging="368"/>
      </w:pPr>
      <w:r>
        <w:br w:type="page"/>
      </w:r>
    </w:p>
    <w:p w:rsidR="006677CA" w:rsidRPr="00516E5D" w:rsidRDefault="006677CA" w:rsidP="006677CA">
      <w:pPr>
        <w:pStyle w:val="ListBullet2"/>
        <w:numPr>
          <w:ilvl w:val="0"/>
          <w:numId w:val="0"/>
        </w:numPr>
        <w:spacing w:after="0" w:line="240" w:lineRule="auto"/>
        <w:ind w:left="737" w:hanging="368"/>
      </w:pPr>
    </w:p>
    <w:p w:rsidR="006677CA" w:rsidRPr="003E35BD" w:rsidRDefault="006677CA" w:rsidP="006677CA">
      <w:pPr>
        <w:pStyle w:val="ListBullet"/>
        <w:numPr>
          <w:ilvl w:val="0"/>
          <w:numId w:val="0"/>
        </w:numPr>
        <w:spacing w:after="0" w:line="240" w:lineRule="auto"/>
        <w:rPr>
          <w:u w:val="single"/>
        </w:rPr>
      </w:pPr>
      <w:r w:rsidRPr="003E35BD">
        <w:rPr>
          <w:u w:val="single"/>
        </w:rPr>
        <w:t>Nombre de Conseillers nommés par la COP</w:t>
      </w:r>
    </w:p>
    <w:p w:rsidR="006677CA" w:rsidRPr="00516E5D" w:rsidRDefault="006677CA" w:rsidP="006677CA">
      <w:pPr>
        <w:pStyle w:val="ListBullet"/>
        <w:numPr>
          <w:ilvl w:val="0"/>
          <w:numId w:val="0"/>
        </w:numPr>
        <w:spacing w:after="0" w:line="240" w:lineRule="auto"/>
        <w:rPr>
          <w:b/>
        </w:rPr>
      </w:pPr>
    </w:p>
    <w:p w:rsidR="006677CA" w:rsidRDefault="006677CA" w:rsidP="006677CA">
      <w:pPr>
        <w:pStyle w:val="ListNumber"/>
        <w:numPr>
          <w:ilvl w:val="0"/>
          <w:numId w:val="14"/>
        </w:numPr>
        <w:spacing w:after="0" w:line="240" w:lineRule="auto"/>
        <w:ind w:left="567" w:hanging="567"/>
        <w:jc w:val="both"/>
        <w:rPr>
          <w:rFonts w:cs="Arial"/>
        </w:rPr>
      </w:pPr>
      <w:r w:rsidRPr="00A06F74">
        <w:rPr>
          <w:rFonts w:cs="Arial"/>
        </w:rPr>
        <w:t xml:space="preserve">La </w:t>
      </w:r>
      <w:r>
        <w:rPr>
          <w:rFonts w:cs="Arial"/>
        </w:rPr>
        <w:t>R</w:t>
      </w:r>
      <w:r w:rsidRPr="00A06F74">
        <w:rPr>
          <w:rFonts w:cs="Arial"/>
        </w:rPr>
        <w:t xml:space="preserve">ésolution 12.4 sur le Conseil scientifique confirme les accords en vigueur pour la composition et le fonctionnement du Comité de session. Le paragraphe 4 déclare que le Comité de session sera composé de </w:t>
      </w:r>
      <w:r w:rsidRPr="00A06F74">
        <w:rPr>
          <w:rFonts w:cs="Arial"/>
          <w:b/>
        </w:rPr>
        <w:t>neuf</w:t>
      </w:r>
      <w:r w:rsidRPr="00A06F74">
        <w:rPr>
          <w:rFonts w:cs="Arial"/>
        </w:rPr>
        <w:t xml:space="preserve"> membres nommés par la COP ayant une expertise dans des domaines taxonomiques et thématiques. Les Conseillers nommés par la COP bénéficient actuellement d’aides au voyage et à l’hébergement afin de participer aux réunions pertinentes de la CMS. Tout travail intersession entrepris par les Conseillers nommés par la COP en dehors des réunions est entrepris sur leur temps personnel, ce qui bénéficie grandement à la Convention. Il est à noter que le domaine d’activité des Conseillers nommés par la COP relatif aux oiseaux est partagé entre deux experts indépendants qui participent tour à tour aux réunions, ou bénéficient chacun de la moitié des aides de voyage s’ils participent à la même réunion. </w:t>
      </w:r>
    </w:p>
    <w:p w:rsidR="006677CA" w:rsidRPr="00A06F74" w:rsidRDefault="006677CA" w:rsidP="006677CA">
      <w:pPr>
        <w:pStyle w:val="ListNumber"/>
        <w:numPr>
          <w:ilvl w:val="0"/>
          <w:numId w:val="0"/>
        </w:numPr>
        <w:spacing w:after="0" w:line="240" w:lineRule="auto"/>
        <w:ind w:left="369"/>
        <w:rPr>
          <w:rFonts w:cs="Arial"/>
        </w:rPr>
      </w:pPr>
    </w:p>
    <w:p w:rsidR="006677CA" w:rsidRDefault="006677CA" w:rsidP="006677CA">
      <w:pPr>
        <w:pStyle w:val="ListNumber"/>
        <w:numPr>
          <w:ilvl w:val="0"/>
          <w:numId w:val="14"/>
        </w:numPr>
        <w:spacing w:after="0" w:line="240" w:lineRule="auto"/>
        <w:ind w:left="567" w:hanging="567"/>
        <w:jc w:val="both"/>
        <w:rPr>
          <w:rFonts w:cs="Arial"/>
        </w:rPr>
      </w:pPr>
      <w:r w:rsidRPr="00A06F74">
        <w:rPr>
          <w:rFonts w:cs="Arial"/>
        </w:rPr>
        <w:t xml:space="preserve">Bien que la résolution 12.4 limite l’adhésion et la participation aux réunions du Comité de session à neuf Conseillers nommés par la COP, elle n’exclut pas leur désignation. Si les Parties le pensent nécessaire, plus de neuf domaines d’activité des Conseillers nommés par la COP peuvent être déterminés, ainsi qu’un maximum de neuf experts compétents invités à chaque réunion du Comité de session, selon l’ordre du jour proposé et les domaines d’intérêt pris en considération. Cette décision n’aura aucune implication financière supplémentaire pour la Convention, car les Conseillers nommés par la COP ne bénéficient que d’aides à la participation aux réunions, et que la participation de neuf Conseillers nommés par la COP est actuellement comprise dans le budget approuvé pour les réunions du Comité de session. </w:t>
      </w:r>
    </w:p>
    <w:p w:rsidR="006677CA" w:rsidRPr="00A06F74" w:rsidRDefault="006677CA" w:rsidP="006677CA">
      <w:pPr>
        <w:pStyle w:val="ListNumber"/>
        <w:numPr>
          <w:ilvl w:val="0"/>
          <w:numId w:val="0"/>
        </w:numPr>
        <w:spacing w:after="0" w:line="240" w:lineRule="auto"/>
        <w:ind w:left="567" w:hanging="567"/>
        <w:jc w:val="both"/>
        <w:rPr>
          <w:rFonts w:cs="Arial"/>
        </w:rPr>
      </w:pPr>
    </w:p>
    <w:p w:rsidR="006677CA" w:rsidRPr="00A06F74" w:rsidRDefault="006677CA" w:rsidP="006677CA">
      <w:pPr>
        <w:pStyle w:val="ListNumber"/>
        <w:numPr>
          <w:ilvl w:val="0"/>
          <w:numId w:val="14"/>
        </w:numPr>
        <w:spacing w:after="0" w:line="240" w:lineRule="auto"/>
        <w:ind w:left="567" w:hanging="567"/>
        <w:jc w:val="both"/>
        <w:rPr>
          <w:rFonts w:cs="Arial"/>
        </w:rPr>
      </w:pPr>
      <w:r w:rsidRPr="00A06F74">
        <w:rPr>
          <w:rFonts w:cs="Arial"/>
        </w:rPr>
        <w:t xml:space="preserve">L’examen ne se limite donc pas à l’identification de neuf domaines d’activité des Conseillers nommés par la COP. Il est cependant reconnu qu’en vue d’éviter toute augmentation du budget global de la Convention, si plus de neuf domaines d’activité sont convenus, un maximum de neuf experts seront invités à participer aux réunions du Comité de session à la fois. Le Secrétariat délivrera des invitations à la suite de discussions avec le Président et le Vice-Président du Conseil scientifique portant sur la mise en conformité de l’expertise relative aux domaines d’activité et de l’ordre du jour proposé. Il est également à noter que si plus de neuf experts indépendants sont désignés, un amendement aux Termes de référence du Comité de session (paragraphe 11) sera exigé. </w:t>
      </w:r>
    </w:p>
    <w:p w:rsidR="006677CA" w:rsidRPr="00A06F74" w:rsidRDefault="006677CA" w:rsidP="006677CA">
      <w:pPr>
        <w:pStyle w:val="ListBullet"/>
        <w:numPr>
          <w:ilvl w:val="0"/>
          <w:numId w:val="0"/>
        </w:numPr>
        <w:spacing w:after="0" w:line="240" w:lineRule="auto"/>
        <w:rPr>
          <w:rFonts w:cs="Arial"/>
          <w:b/>
        </w:rPr>
      </w:pPr>
    </w:p>
    <w:p w:rsidR="006677CA" w:rsidRPr="003E35BD" w:rsidRDefault="006677CA" w:rsidP="006677CA">
      <w:pPr>
        <w:pStyle w:val="ListBullet"/>
        <w:numPr>
          <w:ilvl w:val="0"/>
          <w:numId w:val="0"/>
        </w:numPr>
        <w:spacing w:after="0" w:line="240" w:lineRule="auto"/>
        <w:rPr>
          <w:rFonts w:cs="Arial"/>
          <w:u w:val="single"/>
        </w:rPr>
      </w:pPr>
      <w:r w:rsidRPr="003E35BD">
        <w:rPr>
          <w:rFonts w:cs="Arial"/>
          <w:u w:val="single"/>
        </w:rPr>
        <w:t>Domaines d’activité proposés des Conseillers nommés par la COP</w:t>
      </w:r>
    </w:p>
    <w:p w:rsidR="006677CA" w:rsidRPr="00A06F74" w:rsidRDefault="006677CA" w:rsidP="006677CA">
      <w:pPr>
        <w:pStyle w:val="ListBullet"/>
        <w:numPr>
          <w:ilvl w:val="0"/>
          <w:numId w:val="0"/>
        </w:numPr>
        <w:spacing w:after="0" w:line="240" w:lineRule="auto"/>
        <w:rPr>
          <w:rFonts w:cs="Arial"/>
          <w:b/>
        </w:rPr>
      </w:pPr>
    </w:p>
    <w:p w:rsidR="006677CA" w:rsidRDefault="006677CA" w:rsidP="006677CA">
      <w:pPr>
        <w:pStyle w:val="ListNumber"/>
        <w:numPr>
          <w:ilvl w:val="0"/>
          <w:numId w:val="14"/>
        </w:numPr>
        <w:spacing w:after="0" w:line="240" w:lineRule="auto"/>
        <w:ind w:left="567" w:hanging="567"/>
        <w:jc w:val="both"/>
        <w:rPr>
          <w:rFonts w:cs="Arial"/>
        </w:rPr>
      </w:pPr>
      <w:r w:rsidRPr="00A06F74">
        <w:rPr>
          <w:rFonts w:cs="Arial"/>
        </w:rPr>
        <w:t>Sur la base de l’analyse des points pris en considération aux COP10 - COP12, et en ce qui concerne les questions pouvant être comprises dans les futures considérations de la CMS, le groupe de travail propose que les domaines d’activité des Conseillers nommés par la COP soient une combinaison de groupes d’espèces et de questions thématiques pour couvrir la majorité des questions actuelles et émergentes.</w:t>
      </w:r>
    </w:p>
    <w:p w:rsidR="006677CA" w:rsidRPr="00A06F74" w:rsidRDefault="006677CA" w:rsidP="006677CA">
      <w:pPr>
        <w:pStyle w:val="ListNumber"/>
        <w:numPr>
          <w:ilvl w:val="0"/>
          <w:numId w:val="0"/>
        </w:numPr>
        <w:spacing w:after="0" w:line="240" w:lineRule="auto"/>
        <w:ind w:left="567" w:hanging="567"/>
        <w:jc w:val="both"/>
        <w:rPr>
          <w:rFonts w:cs="Arial"/>
        </w:rPr>
      </w:pPr>
    </w:p>
    <w:p w:rsidR="006677CA" w:rsidRDefault="006677CA" w:rsidP="006677CA">
      <w:pPr>
        <w:pStyle w:val="ListNumber"/>
        <w:numPr>
          <w:ilvl w:val="0"/>
          <w:numId w:val="14"/>
        </w:numPr>
        <w:spacing w:after="0" w:line="240" w:lineRule="auto"/>
        <w:ind w:left="567" w:hanging="567"/>
        <w:jc w:val="both"/>
        <w:rPr>
          <w:rFonts w:cs="Arial"/>
        </w:rPr>
      </w:pPr>
      <w:r w:rsidRPr="00A06F74">
        <w:rPr>
          <w:rFonts w:cs="Arial"/>
        </w:rPr>
        <w:t>S’axer sur les questions transversales est également une approche sensée pour de nombreuses espèces qui sont déjà listées dans les annexes de la Convention. La crédibilité de la Convention sera impactée si les espèces sont continuellement listées sur ses annexes sans mesure de suivi en vigueur, ou peu de mesures. Les Parties doivent veiller à ce qu’une fois que les espèces sont listées, un appui soit disponible pour répondre aux menaces qui concerne un grand nombre d’espèces migratrices, et faciliter les conseils d’experts sur les domaines thématiques est l’un des moyens d’y parvenir.</w:t>
      </w:r>
    </w:p>
    <w:p w:rsidR="006677CA" w:rsidRDefault="006677CA" w:rsidP="006677CA">
      <w:pPr>
        <w:pStyle w:val="ListNumber"/>
        <w:numPr>
          <w:ilvl w:val="0"/>
          <w:numId w:val="0"/>
        </w:numPr>
        <w:spacing w:after="0" w:line="240" w:lineRule="auto"/>
        <w:rPr>
          <w:rFonts w:cs="Arial"/>
        </w:rPr>
      </w:pPr>
      <w:r>
        <w:rPr>
          <w:rFonts w:cs="Arial"/>
        </w:rPr>
        <w:br w:type="page"/>
      </w:r>
    </w:p>
    <w:p w:rsidR="006677CA" w:rsidRPr="00A06F74" w:rsidRDefault="006677CA" w:rsidP="006677CA">
      <w:pPr>
        <w:pStyle w:val="ListNumber"/>
        <w:numPr>
          <w:ilvl w:val="0"/>
          <w:numId w:val="0"/>
        </w:numPr>
        <w:spacing w:after="0" w:line="240" w:lineRule="auto"/>
        <w:rPr>
          <w:rFonts w:cs="Arial"/>
        </w:rPr>
      </w:pPr>
    </w:p>
    <w:p w:rsidR="006677CA" w:rsidRDefault="006677CA" w:rsidP="006677CA">
      <w:pPr>
        <w:pStyle w:val="ListNumber"/>
        <w:numPr>
          <w:ilvl w:val="0"/>
          <w:numId w:val="14"/>
        </w:numPr>
        <w:spacing w:after="0" w:line="240" w:lineRule="auto"/>
        <w:ind w:left="567" w:hanging="567"/>
        <w:jc w:val="both"/>
        <w:rPr>
          <w:rFonts w:cs="Arial"/>
        </w:rPr>
      </w:pPr>
      <w:r w:rsidRPr="00A06F74">
        <w:rPr>
          <w:rFonts w:cs="Arial"/>
        </w:rPr>
        <w:t xml:space="preserve">Il est proposé que les domaines d’activité suivants soient valides pour les COP13 - COP15 : </w:t>
      </w:r>
    </w:p>
    <w:p w:rsidR="006677CA" w:rsidRPr="00A06F74" w:rsidRDefault="006677CA" w:rsidP="006677CA">
      <w:pPr>
        <w:pStyle w:val="ListNumber"/>
        <w:numPr>
          <w:ilvl w:val="0"/>
          <w:numId w:val="0"/>
        </w:numPr>
        <w:spacing w:after="0" w:line="240" w:lineRule="auto"/>
        <w:ind w:left="567"/>
        <w:rPr>
          <w:rFonts w:cs="Arial"/>
        </w:rPr>
      </w:pPr>
    </w:p>
    <w:tbl>
      <w:tblPr>
        <w:tblStyle w:val="TableGrid"/>
        <w:tblW w:w="9781" w:type="dxa"/>
        <w:tblInd w:w="-5" w:type="dxa"/>
        <w:tblLook w:val="04A0" w:firstRow="1" w:lastRow="0" w:firstColumn="1" w:lastColumn="0" w:noHBand="0" w:noVBand="1"/>
      </w:tblPr>
      <w:tblGrid>
        <w:gridCol w:w="3828"/>
        <w:gridCol w:w="5953"/>
      </w:tblGrid>
      <w:tr w:rsidR="006677CA" w:rsidRPr="00A06F74" w:rsidTr="00423325">
        <w:trPr>
          <w:cnfStyle w:val="100000000000" w:firstRow="1" w:lastRow="0" w:firstColumn="0" w:lastColumn="0" w:oddVBand="0" w:evenVBand="0" w:oddHBand="0" w:evenHBand="0" w:firstRowFirstColumn="0" w:firstRowLastColumn="0" w:lastRowFirstColumn="0" w:lastRowLastColumn="0"/>
        </w:trPr>
        <w:tc>
          <w:tcPr>
            <w:tcW w:w="3828" w:type="dxa"/>
            <w:vAlign w:val="center"/>
          </w:tcPr>
          <w:p w:rsidR="006677CA" w:rsidRPr="003C38A9" w:rsidRDefault="006677CA" w:rsidP="003C38A9">
            <w:pPr>
              <w:pStyle w:val="ListBullet"/>
              <w:numPr>
                <w:ilvl w:val="0"/>
                <w:numId w:val="0"/>
              </w:numPr>
              <w:spacing w:before="40" w:after="40" w:line="240" w:lineRule="auto"/>
              <w:jc w:val="center"/>
              <w:rPr>
                <w:rFonts w:cs="Arial"/>
                <w:b/>
                <w:sz w:val="22"/>
                <w:szCs w:val="22"/>
              </w:rPr>
            </w:pPr>
            <w:r w:rsidRPr="003C38A9">
              <w:rPr>
                <w:rFonts w:cs="Arial"/>
                <w:b/>
                <w:sz w:val="22"/>
                <w:szCs w:val="22"/>
              </w:rPr>
              <w:t>Espèces</w:t>
            </w:r>
          </w:p>
        </w:tc>
        <w:tc>
          <w:tcPr>
            <w:tcW w:w="5953" w:type="dxa"/>
            <w:vAlign w:val="center"/>
          </w:tcPr>
          <w:p w:rsidR="006677CA" w:rsidRPr="003C38A9" w:rsidRDefault="006677CA" w:rsidP="003C38A9">
            <w:pPr>
              <w:pStyle w:val="ListBullet"/>
              <w:numPr>
                <w:ilvl w:val="0"/>
                <w:numId w:val="0"/>
              </w:numPr>
              <w:spacing w:before="40" w:after="40" w:line="240" w:lineRule="auto"/>
              <w:jc w:val="center"/>
              <w:rPr>
                <w:rFonts w:cs="Arial"/>
                <w:b/>
                <w:sz w:val="22"/>
                <w:szCs w:val="22"/>
              </w:rPr>
            </w:pPr>
            <w:r w:rsidRPr="003C38A9">
              <w:rPr>
                <w:rFonts w:cs="Arial"/>
                <w:b/>
                <w:sz w:val="22"/>
                <w:szCs w:val="22"/>
              </w:rPr>
              <w:t>Thèmes</w:t>
            </w:r>
          </w:p>
        </w:tc>
      </w:tr>
      <w:tr w:rsidR="006677CA" w:rsidRPr="00A06F74" w:rsidTr="00423325">
        <w:trPr>
          <w:cnfStyle w:val="000000100000" w:firstRow="0" w:lastRow="0" w:firstColumn="0" w:lastColumn="0" w:oddVBand="0" w:evenVBand="0" w:oddHBand="1" w:evenHBand="0" w:firstRowFirstColumn="0" w:firstRowLastColumn="0" w:lastRowFirstColumn="0" w:lastRowLastColumn="0"/>
        </w:trPr>
        <w:tc>
          <w:tcPr>
            <w:tcW w:w="3828" w:type="dxa"/>
            <w:vAlign w:val="center"/>
          </w:tcPr>
          <w:p w:rsidR="006677CA" w:rsidRPr="003C38A9" w:rsidRDefault="006677CA" w:rsidP="003C38A9">
            <w:pPr>
              <w:pStyle w:val="ListBullet"/>
              <w:numPr>
                <w:ilvl w:val="0"/>
                <w:numId w:val="0"/>
              </w:numPr>
              <w:spacing w:before="40" w:after="40" w:line="240" w:lineRule="auto"/>
              <w:jc w:val="center"/>
              <w:rPr>
                <w:rFonts w:cs="Arial"/>
                <w:sz w:val="22"/>
                <w:szCs w:val="22"/>
              </w:rPr>
            </w:pPr>
            <w:r w:rsidRPr="003C38A9">
              <w:rPr>
                <w:rFonts w:cs="Arial"/>
                <w:sz w:val="22"/>
                <w:szCs w:val="22"/>
              </w:rPr>
              <w:t>Oiseaux</w:t>
            </w:r>
          </w:p>
        </w:tc>
        <w:tc>
          <w:tcPr>
            <w:tcW w:w="5953" w:type="dxa"/>
            <w:vAlign w:val="center"/>
          </w:tcPr>
          <w:p w:rsidR="006677CA" w:rsidRPr="003C38A9" w:rsidRDefault="006677CA" w:rsidP="003C38A9">
            <w:pPr>
              <w:pStyle w:val="ListBullet"/>
              <w:numPr>
                <w:ilvl w:val="0"/>
                <w:numId w:val="0"/>
              </w:numPr>
              <w:spacing w:before="40" w:after="40" w:line="240" w:lineRule="auto"/>
              <w:jc w:val="center"/>
              <w:rPr>
                <w:rFonts w:cs="Arial"/>
                <w:sz w:val="22"/>
                <w:szCs w:val="22"/>
              </w:rPr>
            </w:pPr>
            <w:r w:rsidRPr="003C38A9">
              <w:rPr>
                <w:rFonts w:cs="Arial"/>
                <w:sz w:val="22"/>
                <w:szCs w:val="22"/>
              </w:rPr>
              <w:t>Changement climatique</w:t>
            </w:r>
          </w:p>
        </w:tc>
      </w:tr>
      <w:tr w:rsidR="006677CA" w:rsidRPr="00B306AD" w:rsidTr="00423325">
        <w:trPr>
          <w:cnfStyle w:val="000000010000" w:firstRow="0" w:lastRow="0" w:firstColumn="0" w:lastColumn="0" w:oddVBand="0" w:evenVBand="0" w:oddHBand="0" w:evenHBand="1" w:firstRowFirstColumn="0" w:firstRowLastColumn="0" w:lastRowFirstColumn="0" w:lastRowLastColumn="0"/>
        </w:trPr>
        <w:tc>
          <w:tcPr>
            <w:tcW w:w="3828" w:type="dxa"/>
            <w:vAlign w:val="center"/>
          </w:tcPr>
          <w:p w:rsidR="006677CA" w:rsidRPr="003C38A9" w:rsidRDefault="006677CA" w:rsidP="003C38A9">
            <w:pPr>
              <w:pStyle w:val="ListBullet"/>
              <w:numPr>
                <w:ilvl w:val="0"/>
                <w:numId w:val="0"/>
              </w:numPr>
              <w:spacing w:before="40" w:after="40" w:line="240" w:lineRule="auto"/>
              <w:jc w:val="center"/>
              <w:rPr>
                <w:rFonts w:cs="Arial"/>
                <w:sz w:val="22"/>
                <w:szCs w:val="22"/>
              </w:rPr>
            </w:pPr>
            <w:r w:rsidRPr="003C38A9">
              <w:rPr>
                <w:rFonts w:cs="Arial"/>
                <w:sz w:val="22"/>
                <w:szCs w:val="22"/>
              </w:rPr>
              <w:t>Mammifères terrestres</w:t>
            </w:r>
          </w:p>
        </w:tc>
        <w:tc>
          <w:tcPr>
            <w:tcW w:w="5953" w:type="dxa"/>
            <w:vAlign w:val="center"/>
          </w:tcPr>
          <w:p w:rsidR="006677CA" w:rsidRPr="003C38A9" w:rsidRDefault="006677CA" w:rsidP="003C38A9">
            <w:pPr>
              <w:pStyle w:val="ListBullet"/>
              <w:numPr>
                <w:ilvl w:val="0"/>
                <w:numId w:val="0"/>
              </w:numPr>
              <w:spacing w:before="40" w:after="40" w:line="240" w:lineRule="auto"/>
              <w:jc w:val="center"/>
              <w:rPr>
                <w:rFonts w:cs="Arial"/>
                <w:sz w:val="22"/>
                <w:szCs w:val="22"/>
              </w:rPr>
            </w:pPr>
            <w:r w:rsidRPr="003C38A9">
              <w:rPr>
                <w:rFonts w:cs="Arial"/>
                <w:sz w:val="22"/>
                <w:szCs w:val="22"/>
              </w:rPr>
              <w:t>Connectivité/Réseaux</w:t>
            </w:r>
            <w:r w:rsidRPr="003C38A9">
              <w:rPr>
                <w:rFonts w:cs="Arial"/>
                <w:sz w:val="22"/>
                <w:szCs w:val="22"/>
              </w:rPr>
              <w:br/>
              <w:t>(y compris aires protégées, couloirs de migration, obstacles à la migration comme les infrastructures)</w:t>
            </w:r>
          </w:p>
        </w:tc>
      </w:tr>
      <w:tr w:rsidR="006677CA" w:rsidRPr="00B306AD" w:rsidTr="00423325">
        <w:trPr>
          <w:cnfStyle w:val="000000100000" w:firstRow="0" w:lastRow="0" w:firstColumn="0" w:lastColumn="0" w:oddVBand="0" w:evenVBand="0" w:oddHBand="1" w:evenHBand="0" w:firstRowFirstColumn="0" w:firstRowLastColumn="0" w:lastRowFirstColumn="0" w:lastRowLastColumn="0"/>
        </w:trPr>
        <w:tc>
          <w:tcPr>
            <w:tcW w:w="3828" w:type="dxa"/>
            <w:vAlign w:val="center"/>
          </w:tcPr>
          <w:p w:rsidR="006677CA" w:rsidRPr="003C38A9" w:rsidRDefault="006677CA" w:rsidP="003C38A9">
            <w:pPr>
              <w:pStyle w:val="ListBullet"/>
              <w:numPr>
                <w:ilvl w:val="0"/>
                <w:numId w:val="0"/>
              </w:numPr>
              <w:spacing w:before="40" w:after="40" w:line="240" w:lineRule="auto"/>
              <w:jc w:val="center"/>
              <w:rPr>
                <w:rFonts w:cs="Arial"/>
                <w:sz w:val="22"/>
                <w:szCs w:val="22"/>
              </w:rPr>
            </w:pPr>
            <w:r w:rsidRPr="003C38A9">
              <w:rPr>
                <w:rFonts w:cs="Arial"/>
                <w:sz w:val="22"/>
                <w:szCs w:val="22"/>
              </w:rPr>
              <w:t>Mammifères marins</w:t>
            </w:r>
          </w:p>
        </w:tc>
        <w:tc>
          <w:tcPr>
            <w:tcW w:w="5953" w:type="dxa"/>
            <w:vAlign w:val="center"/>
          </w:tcPr>
          <w:p w:rsidR="006677CA" w:rsidRPr="003C38A9" w:rsidRDefault="006677CA" w:rsidP="003C38A9">
            <w:pPr>
              <w:pStyle w:val="ListBullet"/>
              <w:numPr>
                <w:ilvl w:val="0"/>
                <w:numId w:val="0"/>
              </w:numPr>
              <w:spacing w:before="40" w:after="40" w:line="240" w:lineRule="auto"/>
              <w:jc w:val="center"/>
              <w:rPr>
                <w:rFonts w:cs="Arial"/>
                <w:sz w:val="22"/>
                <w:szCs w:val="22"/>
              </w:rPr>
            </w:pPr>
            <w:r w:rsidRPr="003C38A9">
              <w:rPr>
                <w:rFonts w:cs="Arial"/>
                <w:sz w:val="22"/>
                <w:szCs w:val="22"/>
              </w:rPr>
              <w:t>Pollution marine</w:t>
            </w:r>
            <w:r w:rsidRPr="003C38A9">
              <w:rPr>
                <w:rFonts w:cs="Arial"/>
                <w:sz w:val="22"/>
                <w:szCs w:val="22"/>
              </w:rPr>
              <w:br/>
              <w:t>(y compris débris, microplastiques, bruit, effets de la lumière sur les espèces marines)</w:t>
            </w:r>
          </w:p>
        </w:tc>
      </w:tr>
      <w:tr w:rsidR="006677CA" w:rsidRPr="00A06F74" w:rsidTr="00423325">
        <w:trPr>
          <w:cnfStyle w:val="000000010000" w:firstRow="0" w:lastRow="0" w:firstColumn="0" w:lastColumn="0" w:oddVBand="0" w:evenVBand="0" w:oddHBand="0" w:evenHBand="1" w:firstRowFirstColumn="0" w:firstRowLastColumn="0" w:lastRowFirstColumn="0" w:lastRowLastColumn="0"/>
        </w:trPr>
        <w:tc>
          <w:tcPr>
            <w:tcW w:w="3828" w:type="dxa"/>
            <w:vAlign w:val="center"/>
          </w:tcPr>
          <w:p w:rsidR="006677CA" w:rsidRPr="003C38A9" w:rsidRDefault="006677CA" w:rsidP="003C38A9">
            <w:pPr>
              <w:pStyle w:val="ListBullet"/>
              <w:numPr>
                <w:ilvl w:val="0"/>
                <w:numId w:val="0"/>
              </w:numPr>
              <w:spacing w:before="40" w:after="40" w:line="240" w:lineRule="auto"/>
              <w:jc w:val="center"/>
              <w:rPr>
                <w:rFonts w:cs="Arial"/>
                <w:sz w:val="22"/>
                <w:szCs w:val="22"/>
              </w:rPr>
            </w:pPr>
            <w:r w:rsidRPr="003C38A9">
              <w:rPr>
                <w:rFonts w:cs="Arial"/>
                <w:sz w:val="22"/>
                <w:szCs w:val="22"/>
              </w:rPr>
              <w:t>Poissons</w:t>
            </w:r>
            <w:r w:rsidRPr="003C38A9">
              <w:rPr>
                <w:rFonts w:cs="Arial"/>
                <w:sz w:val="22"/>
                <w:szCs w:val="22"/>
              </w:rPr>
              <w:br/>
              <w:t>(y compris expertise sur le prélèvement)</w:t>
            </w:r>
          </w:p>
        </w:tc>
        <w:tc>
          <w:tcPr>
            <w:tcW w:w="5953" w:type="dxa"/>
            <w:vAlign w:val="center"/>
          </w:tcPr>
          <w:p w:rsidR="006677CA" w:rsidRPr="003C38A9" w:rsidRDefault="006677CA" w:rsidP="003C38A9">
            <w:pPr>
              <w:pStyle w:val="ListBullet"/>
              <w:numPr>
                <w:ilvl w:val="0"/>
                <w:numId w:val="0"/>
              </w:numPr>
              <w:spacing w:before="40" w:after="40" w:line="240" w:lineRule="auto"/>
              <w:jc w:val="center"/>
              <w:rPr>
                <w:rFonts w:cs="Arial"/>
                <w:sz w:val="22"/>
                <w:szCs w:val="22"/>
              </w:rPr>
            </w:pPr>
            <w:r w:rsidRPr="003C38A9">
              <w:rPr>
                <w:rFonts w:cs="Arial"/>
                <w:sz w:val="22"/>
                <w:szCs w:val="22"/>
              </w:rPr>
              <w:t>Prises accessoires</w:t>
            </w:r>
          </w:p>
        </w:tc>
      </w:tr>
      <w:tr w:rsidR="006677CA" w:rsidRPr="00B306AD" w:rsidTr="00423325">
        <w:trPr>
          <w:cnfStyle w:val="000000100000" w:firstRow="0" w:lastRow="0" w:firstColumn="0" w:lastColumn="0" w:oddVBand="0" w:evenVBand="0" w:oddHBand="1" w:evenHBand="0" w:firstRowFirstColumn="0" w:firstRowLastColumn="0" w:lastRowFirstColumn="0" w:lastRowLastColumn="0"/>
        </w:trPr>
        <w:tc>
          <w:tcPr>
            <w:tcW w:w="3828" w:type="dxa"/>
            <w:vAlign w:val="center"/>
          </w:tcPr>
          <w:p w:rsidR="006677CA" w:rsidRPr="003C38A9" w:rsidRDefault="006677CA" w:rsidP="003C38A9">
            <w:pPr>
              <w:pStyle w:val="ListBullet"/>
              <w:numPr>
                <w:ilvl w:val="0"/>
                <w:numId w:val="0"/>
              </w:numPr>
              <w:spacing w:before="40" w:after="40" w:line="240" w:lineRule="auto"/>
              <w:jc w:val="center"/>
              <w:rPr>
                <w:rFonts w:cs="Arial"/>
                <w:sz w:val="22"/>
                <w:szCs w:val="22"/>
              </w:rPr>
            </w:pPr>
          </w:p>
        </w:tc>
        <w:tc>
          <w:tcPr>
            <w:tcW w:w="5953" w:type="dxa"/>
            <w:vAlign w:val="center"/>
          </w:tcPr>
          <w:p w:rsidR="006677CA" w:rsidRPr="003C38A9" w:rsidRDefault="006677CA" w:rsidP="003C38A9">
            <w:pPr>
              <w:pStyle w:val="ListBullet"/>
              <w:numPr>
                <w:ilvl w:val="0"/>
                <w:numId w:val="0"/>
              </w:numPr>
              <w:spacing w:before="40" w:after="40" w:line="240" w:lineRule="auto"/>
              <w:jc w:val="center"/>
              <w:rPr>
                <w:rFonts w:cs="Arial"/>
                <w:sz w:val="22"/>
                <w:szCs w:val="22"/>
              </w:rPr>
            </w:pPr>
            <w:r w:rsidRPr="003C38A9">
              <w:rPr>
                <w:rFonts w:cs="Arial"/>
                <w:sz w:val="22"/>
                <w:szCs w:val="22"/>
              </w:rPr>
              <w:t>Espèces envahissantes</w:t>
            </w:r>
            <w:r w:rsidRPr="003C38A9">
              <w:rPr>
                <w:rFonts w:cs="Arial"/>
                <w:sz w:val="22"/>
                <w:szCs w:val="22"/>
              </w:rPr>
              <w:br/>
              <w:t>(y compris maladies, animaux domestiques, insectes, parasites marins et herbes)</w:t>
            </w:r>
          </w:p>
        </w:tc>
      </w:tr>
    </w:tbl>
    <w:p w:rsidR="006677CA" w:rsidRPr="00A06F74" w:rsidRDefault="006677CA" w:rsidP="006677CA">
      <w:pPr>
        <w:pStyle w:val="ListBullet"/>
        <w:numPr>
          <w:ilvl w:val="0"/>
          <w:numId w:val="0"/>
        </w:numPr>
        <w:spacing w:after="0" w:line="240" w:lineRule="auto"/>
        <w:ind w:left="567" w:hanging="567"/>
        <w:jc w:val="both"/>
        <w:rPr>
          <w:rFonts w:cs="Arial"/>
        </w:rPr>
      </w:pPr>
    </w:p>
    <w:p w:rsidR="006677CA" w:rsidRDefault="006677CA" w:rsidP="006677CA">
      <w:pPr>
        <w:pStyle w:val="ListNumber"/>
        <w:numPr>
          <w:ilvl w:val="0"/>
          <w:numId w:val="14"/>
        </w:numPr>
        <w:spacing w:after="0" w:line="240" w:lineRule="auto"/>
        <w:ind w:left="567" w:hanging="567"/>
        <w:jc w:val="both"/>
        <w:rPr>
          <w:rFonts w:cs="Arial"/>
        </w:rPr>
      </w:pPr>
      <w:r w:rsidRPr="00A06F74">
        <w:rPr>
          <w:rFonts w:cs="Arial"/>
        </w:rPr>
        <w:t xml:space="preserve">Il est reconnu que les groupes proposés ne couvrent pas tous les groupes d’espèces et menaces pouvant être pris en compte par la Convention. Les domaines d’activité des Conseillers nommés par la COP n’ont jamais eu pour but de couvrir chaque combinaison d’espèces possible ni la totalité des questions qui concernent la Convention. La Convention dispose déjà d’un large ensemble d’expertise sur lequel se fonder : les Conseillers scientifiques nommés par les Parties, et ces dernières souhaitent fournir un certain niveau de conseils et d’expertise régionale dans des domaines qui les intéressent. </w:t>
      </w:r>
    </w:p>
    <w:p w:rsidR="006677CA" w:rsidRPr="00A06F74" w:rsidRDefault="006677CA" w:rsidP="006677CA">
      <w:pPr>
        <w:pStyle w:val="ListNumber"/>
        <w:numPr>
          <w:ilvl w:val="0"/>
          <w:numId w:val="0"/>
        </w:numPr>
        <w:spacing w:after="0" w:line="240" w:lineRule="auto"/>
        <w:ind w:left="567" w:hanging="567"/>
        <w:jc w:val="both"/>
        <w:rPr>
          <w:rFonts w:cs="Arial"/>
        </w:rPr>
      </w:pPr>
    </w:p>
    <w:p w:rsidR="006677CA" w:rsidRDefault="006677CA" w:rsidP="006677CA">
      <w:pPr>
        <w:pStyle w:val="ListNumber"/>
        <w:numPr>
          <w:ilvl w:val="0"/>
          <w:numId w:val="14"/>
        </w:numPr>
        <w:spacing w:after="0" w:line="240" w:lineRule="auto"/>
        <w:ind w:left="567" w:hanging="567"/>
        <w:jc w:val="both"/>
        <w:rPr>
          <w:rFonts w:cs="Arial"/>
        </w:rPr>
      </w:pPr>
      <w:r w:rsidRPr="00A06F74">
        <w:rPr>
          <w:rFonts w:cs="Arial"/>
        </w:rPr>
        <w:t xml:space="preserve">Il est également important de noter que si une question transversale ou un groupe d’espèces particulier, comme les invertébrés ou les poissons d’eau douce, deviennent des questions centrales pour de nombreuses Parties, le processus d’examen établi pour les domaines d’activité des Conseillers nommés par la COP pourra s’adapter à ces nouveaux intérêts. </w:t>
      </w:r>
    </w:p>
    <w:p w:rsidR="006677CA" w:rsidRPr="00A06F74" w:rsidRDefault="006677CA" w:rsidP="006677CA">
      <w:pPr>
        <w:pStyle w:val="ListNumber"/>
        <w:numPr>
          <w:ilvl w:val="0"/>
          <w:numId w:val="0"/>
        </w:numPr>
        <w:spacing w:after="0" w:line="240" w:lineRule="auto"/>
        <w:ind w:left="567" w:hanging="567"/>
        <w:jc w:val="both"/>
        <w:rPr>
          <w:rFonts w:cs="Arial"/>
        </w:rPr>
      </w:pPr>
    </w:p>
    <w:p w:rsidR="006677CA" w:rsidRPr="00A06F74" w:rsidRDefault="006677CA" w:rsidP="006677CA">
      <w:pPr>
        <w:pStyle w:val="ListNumber"/>
        <w:numPr>
          <w:ilvl w:val="0"/>
          <w:numId w:val="14"/>
        </w:numPr>
        <w:spacing w:after="0" w:line="240" w:lineRule="auto"/>
        <w:ind w:left="567" w:hanging="567"/>
        <w:jc w:val="both"/>
        <w:rPr>
          <w:rFonts w:cs="Arial"/>
        </w:rPr>
      </w:pPr>
      <w:r w:rsidRPr="00A06F74">
        <w:rPr>
          <w:rFonts w:cs="Arial"/>
        </w:rPr>
        <w:t xml:space="preserve">Au vu de la vaste nature de certaines questions thématiques et du nombre de menaces qu’implique chaque question, il peut aussi être nécessaire de nommer plus d’un Conseiller nommé par la COP par domaine d’activité. Cela dépendra toutefois des candidats nommés dans ces domaines. Si cette situation apparaît, l’exigence d’inviter un maximum de neuf Conseillers nommés par la COP à la fois aux réunions du Comité de session sera reconsidérée et des invitations adaptées seront distribuées sur la base de l’ordre du jour proposé. </w:t>
      </w:r>
    </w:p>
    <w:p w:rsidR="006677CA" w:rsidRPr="00A06F74" w:rsidRDefault="006677CA" w:rsidP="006677CA">
      <w:pPr>
        <w:pStyle w:val="ListNumber"/>
        <w:numPr>
          <w:ilvl w:val="0"/>
          <w:numId w:val="0"/>
        </w:numPr>
        <w:spacing w:after="0" w:line="240" w:lineRule="auto"/>
        <w:ind w:left="369" w:hanging="369"/>
        <w:rPr>
          <w:rFonts w:cs="Arial"/>
        </w:rPr>
      </w:pPr>
    </w:p>
    <w:p w:rsidR="006677CA" w:rsidRPr="003E35BD" w:rsidRDefault="006677CA" w:rsidP="006677CA">
      <w:pPr>
        <w:pStyle w:val="ListNumber"/>
        <w:numPr>
          <w:ilvl w:val="0"/>
          <w:numId w:val="0"/>
        </w:numPr>
        <w:spacing w:after="0" w:line="240" w:lineRule="auto"/>
        <w:ind w:left="369" w:hanging="369"/>
        <w:rPr>
          <w:rFonts w:cs="Arial"/>
          <w:u w:val="single"/>
        </w:rPr>
      </w:pPr>
      <w:r w:rsidRPr="003E35BD">
        <w:rPr>
          <w:rFonts w:cs="Arial"/>
          <w:u w:val="single"/>
        </w:rPr>
        <w:t>Prochaines étapes</w:t>
      </w:r>
    </w:p>
    <w:p w:rsidR="006677CA" w:rsidRPr="00A06F74" w:rsidRDefault="006677CA" w:rsidP="006677CA">
      <w:pPr>
        <w:pStyle w:val="ListNumber"/>
        <w:numPr>
          <w:ilvl w:val="0"/>
          <w:numId w:val="0"/>
        </w:numPr>
        <w:spacing w:after="0" w:line="240" w:lineRule="auto"/>
        <w:rPr>
          <w:rFonts w:cs="Arial"/>
          <w:b/>
        </w:rPr>
      </w:pPr>
    </w:p>
    <w:p w:rsidR="006677CA" w:rsidRDefault="006677CA" w:rsidP="006677CA">
      <w:pPr>
        <w:pStyle w:val="ListNumber"/>
        <w:numPr>
          <w:ilvl w:val="0"/>
          <w:numId w:val="14"/>
        </w:numPr>
        <w:spacing w:after="0" w:line="240" w:lineRule="auto"/>
        <w:ind w:left="567" w:hanging="567"/>
        <w:jc w:val="both"/>
        <w:rPr>
          <w:rFonts w:cs="Arial"/>
        </w:rPr>
      </w:pPr>
      <w:r w:rsidRPr="00A06F74">
        <w:rPr>
          <w:rFonts w:cs="Arial"/>
        </w:rPr>
        <w:t xml:space="preserve">Reconnaissant que plusieurs domaines d’activité </w:t>
      </w:r>
      <w:proofErr w:type="gramStart"/>
      <w:r w:rsidRPr="00A06F74">
        <w:rPr>
          <w:rFonts w:cs="Arial"/>
        </w:rPr>
        <w:t>sont</w:t>
      </w:r>
      <w:proofErr w:type="gramEnd"/>
      <w:r w:rsidRPr="00A06F74">
        <w:rPr>
          <w:rFonts w:cs="Arial"/>
        </w:rPr>
        <w:t xml:space="preserve"> actuellement en vigueur, il est envisagé que les Conseillers nommés par la COP concernés puissent rester à leur poste pour la période COP13 - COP15. Bien que cette question soit soumise à la disponibilité des experts, elle serait également bénéfique pour la Convention, puisqu’elle permettrait une certaine continuité au cours de la période d’examen. </w:t>
      </w:r>
    </w:p>
    <w:p w:rsidR="006677CA" w:rsidRDefault="006677CA" w:rsidP="006677CA">
      <w:pPr>
        <w:pStyle w:val="ListNumber"/>
        <w:numPr>
          <w:ilvl w:val="0"/>
          <w:numId w:val="14"/>
        </w:numPr>
        <w:spacing w:after="0" w:line="240" w:lineRule="auto"/>
        <w:ind w:left="567" w:hanging="567"/>
        <w:jc w:val="both"/>
        <w:rPr>
          <w:rFonts w:cs="Arial"/>
        </w:rPr>
      </w:pPr>
      <w:r w:rsidRPr="00A06F74">
        <w:rPr>
          <w:rFonts w:cs="Arial"/>
        </w:rPr>
        <w:t>Les domaines d’activité dans lesquels les Conseillers nommés par la COP resteraient, s’ils sont disponibles, sont les suivants : oiseaux ; changement climatique ; mammifères marins ; prises accessoires.</w:t>
      </w:r>
    </w:p>
    <w:p w:rsidR="006677CA" w:rsidRPr="00A06F74" w:rsidRDefault="006677CA" w:rsidP="006677CA">
      <w:pPr>
        <w:pStyle w:val="ListNumber"/>
        <w:numPr>
          <w:ilvl w:val="0"/>
          <w:numId w:val="0"/>
        </w:numPr>
        <w:spacing w:after="0" w:line="240" w:lineRule="auto"/>
        <w:ind w:left="567" w:hanging="567"/>
        <w:jc w:val="both"/>
        <w:rPr>
          <w:rFonts w:cs="Arial"/>
        </w:rPr>
      </w:pPr>
    </w:p>
    <w:p w:rsidR="006677CA" w:rsidRDefault="006677CA" w:rsidP="006677CA">
      <w:pPr>
        <w:pStyle w:val="ListNumber"/>
        <w:numPr>
          <w:ilvl w:val="0"/>
          <w:numId w:val="14"/>
        </w:numPr>
        <w:spacing w:after="0" w:line="240" w:lineRule="auto"/>
        <w:ind w:left="567" w:hanging="567"/>
        <w:jc w:val="both"/>
        <w:rPr>
          <w:rFonts w:cs="Arial"/>
        </w:rPr>
      </w:pPr>
      <w:r w:rsidRPr="00A06F74">
        <w:rPr>
          <w:rFonts w:cs="Arial"/>
        </w:rPr>
        <w:t xml:space="preserve">Des nominations par les experts compétents seront nécessaires pour les nouveaux domaines proposés suivants : mammifères terrestres ; connectivité/réseaux ; pollution marine ; poissons ; espèces envahissantes. </w:t>
      </w:r>
    </w:p>
    <w:p w:rsidR="006677CA" w:rsidRDefault="006677CA" w:rsidP="006677CA">
      <w:pPr>
        <w:pStyle w:val="ListNumber"/>
        <w:numPr>
          <w:ilvl w:val="0"/>
          <w:numId w:val="0"/>
        </w:numPr>
        <w:spacing w:after="0" w:line="240" w:lineRule="auto"/>
        <w:ind w:left="567" w:hanging="567"/>
        <w:jc w:val="both"/>
        <w:rPr>
          <w:rFonts w:cs="Arial"/>
        </w:rPr>
      </w:pPr>
      <w:r>
        <w:rPr>
          <w:rFonts w:cs="Arial"/>
        </w:rPr>
        <w:br w:type="page"/>
      </w:r>
    </w:p>
    <w:p w:rsidR="006677CA" w:rsidRPr="00A06F74" w:rsidRDefault="006677CA" w:rsidP="006677CA">
      <w:pPr>
        <w:pStyle w:val="ListNumber"/>
        <w:numPr>
          <w:ilvl w:val="0"/>
          <w:numId w:val="0"/>
        </w:numPr>
        <w:spacing w:after="0" w:line="240" w:lineRule="auto"/>
        <w:ind w:left="567" w:hanging="567"/>
        <w:jc w:val="both"/>
        <w:rPr>
          <w:rFonts w:cs="Arial"/>
        </w:rPr>
      </w:pPr>
    </w:p>
    <w:p w:rsidR="006677CA" w:rsidRDefault="006677CA" w:rsidP="006677CA">
      <w:pPr>
        <w:pStyle w:val="ListNumber"/>
        <w:numPr>
          <w:ilvl w:val="0"/>
          <w:numId w:val="14"/>
        </w:numPr>
        <w:spacing w:after="0" w:line="240" w:lineRule="auto"/>
        <w:ind w:left="567" w:hanging="567"/>
        <w:jc w:val="both"/>
        <w:rPr>
          <w:rFonts w:cs="Arial"/>
        </w:rPr>
      </w:pPr>
      <w:r w:rsidRPr="00A06F74">
        <w:rPr>
          <w:rFonts w:cs="Arial"/>
        </w:rPr>
        <w:t>Le Secrétariat sera chargé d’obtenir des nominations de la part des Parties pour trouver des candidats qualifiés à la 4</w:t>
      </w:r>
      <w:r w:rsidRPr="00A06F74">
        <w:rPr>
          <w:rFonts w:cs="Arial"/>
          <w:vertAlign w:val="superscript"/>
        </w:rPr>
        <w:t>e</w:t>
      </w:r>
      <w:r w:rsidRPr="00A06F74">
        <w:rPr>
          <w:rFonts w:cs="Arial"/>
        </w:rPr>
        <w:t> Réunion du Comité de session. Puisque cette réunion sera la dernière avant la COP13, s’il y a plusieurs candidats à un poste pour lequel un seul expert serait idéal (comme pour les poissons), le Secrétariat préparera un tableau de comparaison et le distribuera électroniquement aux membres du Comité de session pour qu’ils prennent une décision. Cela permettra de présenter les recommandations des Conseillers nommés par la COP à la COP13 pour validation.</w:t>
      </w:r>
    </w:p>
    <w:p w:rsidR="006677CA" w:rsidRPr="00A06F74" w:rsidRDefault="006677CA" w:rsidP="006677CA">
      <w:pPr>
        <w:pStyle w:val="ListNumber"/>
        <w:numPr>
          <w:ilvl w:val="0"/>
          <w:numId w:val="0"/>
        </w:numPr>
        <w:spacing w:after="0" w:line="240" w:lineRule="auto"/>
        <w:ind w:left="567" w:hanging="567"/>
        <w:jc w:val="both"/>
        <w:rPr>
          <w:rFonts w:cs="Arial"/>
        </w:rPr>
      </w:pPr>
    </w:p>
    <w:p w:rsidR="006677CA" w:rsidRPr="00A06F74" w:rsidRDefault="006677CA" w:rsidP="003C38A9">
      <w:pPr>
        <w:pStyle w:val="ListNumber"/>
        <w:numPr>
          <w:ilvl w:val="0"/>
          <w:numId w:val="14"/>
        </w:numPr>
        <w:spacing w:after="0" w:line="240" w:lineRule="auto"/>
        <w:ind w:left="567" w:hanging="567"/>
        <w:jc w:val="both"/>
        <w:rPr>
          <w:rFonts w:cs="Arial"/>
        </w:rPr>
      </w:pPr>
      <w:r w:rsidRPr="00A06F74">
        <w:rPr>
          <w:rFonts w:cs="Arial"/>
        </w:rPr>
        <w:t>Il est à noter que les Conseillers nommés par la COP occupent actuellement des postes qui n’existeront plus après la COP13 pourront être nommés pour tout nouveau domaine d’activité si leur domaine d’expertise est adapté. Le nouveau domaine d’activité élargi des mammifères terrestres peut par exemple être intéressant pour les experts actuels nommés par la COP pour les mammifères, et y être adapté.</w:t>
      </w:r>
    </w:p>
    <w:p w:rsidR="006677CA" w:rsidRPr="00A06F74" w:rsidRDefault="006677CA" w:rsidP="003C38A9">
      <w:pPr>
        <w:spacing w:after="0" w:line="240" w:lineRule="auto"/>
        <w:rPr>
          <w:rFonts w:cs="Arial"/>
          <w:b/>
          <w:lang w:val="fr-FR"/>
        </w:rPr>
      </w:pPr>
    </w:p>
    <w:p w:rsidR="006677CA" w:rsidRPr="003E35BD" w:rsidRDefault="006677CA" w:rsidP="003C38A9">
      <w:pPr>
        <w:spacing w:after="0" w:line="240" w:lineRule="auto"/>
        <w:rPr>
          <w:rFonts w:cs="Arial"/>
          <w:u w:val="single"/>
        </w:rPr>
      </w:pPr>
      <w:r w:rsidRPr="003E35BD">
        <w:rPr>
          <w:rFonts w:cs="Arial"/>
          <w:u w:val="single"/>
        </w:rPr>
        <w:t xml:space="preserve">Actions </w:t>
      </w:r>
      <w:proofErr w:type="spellStart"/>
      <w:r w:rsidRPr="003E35BD">
        <w:rPr>
          <w:rFonts w:cs="Arial"/>
          <w:u w:val="single"/>
        </w:rPr>
        <w:t>recommandées</w:t>
      </w:r>
      <w:proofErr w:type="spellEnd"/>
    </w:p>
    <w:p w:rsidR="006677CA" w:rsidRPr="00A06F74" w:rsidRDefault="006677CA" w:rsidP="003C38A9">
      <w:pPr>
        <w:spacing w:after="0" w:line="240" w:lineRule="auto"/>
        <w:rPr>
          <w:rFonts w:cs="Arial"/>
          <w:b/>
        </w:rPr>
      </w:pPr>
    </w:p>
    <w:p w:rsidR="006677CA" w:rsidRDefault="00B306AD" w:rsidP="003C38A9">
      <w:pPr>
        <w:pStyle w:val="ListNumber"/>
        <w:numPr>
          <w:ilvl w:val="0"/>
          <w:numId w:val="14"/>
        </w:numPr>
        <w:spacing w:after="0" w:line="240" w:lineRule="auto"/>
        <w:ind w:left="567" w:hanging="567"/>
        <w:rPr>
          <w:rFonts w:cs="Arial"/>
        </w:rPr>
      </w:pPr>
      <w:r>
        <w:rPr>
          <w:rFonts w:cs="Arial"/>
        </w:rPr>
        <w:t xml:space="preserve">Le </w:t>
      </w:r>
      <w:r w:rsidR="006677CA" w:rsidRPr="00A06F74">
        <w:rPr>
          <w:rFonts w:cs="Arial"/>
        </w:rPr>
        <w:t>Comité de session </w:t>
      </w:r>
      <w:r>
        <w:rPr>
          <w:rFonts w:cs="Arial"/>
        </w:rPr>
        <w:t xml:space="preserve">a </w:t>
      </w:r>
      <w:r w:rsidR="003C38A9">
        <w:rPr>
          <w:rFonts w:cs="Arial"/>
        </w:rPr>
        <w:t>convenu :</w:t>
      </w:r>
    </w:p>
    <w:p w:rsidR="006677CA" w:rsidRPr="00A06F74" w:rsidRDefault="006677CA" w:rsidP="003C38A9">
      <w:pPr>
        <w:pStyle w:val="ListNumber"/>
        <w:numPr>
          <w:ilvl w:val="0"/>
          <w:numId w:val="0"/>
        </w:numPr>
        <w:spacing w:after="0" w:line="240" w:lineRule="auto"/>
        <w:ind w:left="567"/>
        <w:rPr>
          <w:rFonts w:cs="Arial"/>
        </w:rPr>
      </w:pPr>
    </w:p>
    <w:p w:rsidR="006677CA" w:rsidRDefault="006677CA" w:rsidP="003C38A9">
      <w:pPr>
        <w:pStyle w:val="ListNumber2"/>
        <w:numPr>
          <w:ilvl w:val="1"/>
          <w:numId w:val="29"/>
        </w:numPr>
        <w:spacing w:after="0" w:line="240" w:lineRule="auto"/>
        <w:ind w:left="1134" w:hanging="567"/>
        <w:jc w:val="both"/>
        <w:rPr>
          <w:rFonts w:cs="Arial"/>
        </w:rPr>
      </w:pPr>
      <w:r>
        <w:rPr>
          <w:rFonts w:cs="Arial"/>
        </w:rPr>
        <w:t>d</w:t>
      </w:r>
      <w:r w:rsidRPr="00A06F74">
        <w:rPr>
          <w:rFonts w:cs="Arial"/>
        </w:rPr>
        <w:t>e confirmer que les domaines d’activité des Conseillers nommés par la COP proposés au paragraphe 35 pour la période COP13 - COP15 sont adaptés aux besoins de la Convention ;</w:t>
      </w:r>
    </w:p>
    <w:p w:rsidR="006677CA" w:rsidRPr="00A06F74" w:rsidRDefault="006677CA" w:rsidP="003C38A9">
      <w:pPr>
        <w:pStyle w:val="ListNumber2"/>
        <w:numPr>
          <w:ilvl w:val="0"/>
          <w:numId w:val="0"/>
        </w:numPr>
        <w:spacing w:after="0" w:line="240" w:lineRule="auto"/>
        <w:ind w:left="1134" w:hanging="567"/>
        <w:jc w:val="both"/>
        <w:rPr>
          <w:rFonts w:cs="Arial"/>
        </w:rPr>
      </w:pPr>
    </w:p>
    <w:p w:rsidR="006677CA" w:rsidRDefault="006677CA" w:rsidP="003C38A9">
      <w:pPr>
        <w:pStyle w:val="ListNumber2"/>
        <w:numPr>
          <w:ilvl w:val="1"/>
          <w:numId w:val="29"/>
        </w:numPr>
        <w:spacing w:after="0" w:line="240" w:lineRule="auto"/>
        <w:ind w:left="1134" w:hanging="567"/>
        <w:jc w:val="both"/>
        <w:rPr>
          <w:rFonts w:cs="Arial"/>
        </w:rPr>
      </w:pPr>
      <w:r>
        <w:rPr>
          <w:rFonts w:cs="Arial"/>
        </w:rPr>
        <w:t>d</w:t>
      </w:r>
      <w:r w:rsidRPr="00A06F74">
        <w:rPr>
          <w:rFonts w:cs="Arial"/>
        </w:rPr>
        <w:t xml:space="preserve">e demander au Secrétariat de demander confirmation auprès des Conseillers nommés par la COP pour les oiseaux, le changement climatique, les mammifères marins et les prises accessoires concernant leur capacité à rester au poste qu’ils occupent à la suite de la COP13 ; </w:t>
      </w:r>
    </w:p>
    <w:p w:rsidR="006677CA" w:rsidRPr="00A06F74" w:rsidRDefault="006677CA" w:rsidP="003C38A9">
      <w:pPr>
        <w:pStyle w:val="ListNumber2"/>
        <w:numPr>
          <w:ilvl w:val="0"/>
          <w:numId w:val="0"/>
        </w:numPr>
        <w:spacing w:after="0" w:line="240" w:lineRule="auto"/>
        <w:ind w:left="1134" w:hanging="567"/>
        <w:jc w:val="both"/>
        <w:rPr>
          <w:rFonts w:cs="Arial"/>
        </w:rPr>
      </w:pPr>
    </w:p>
    <w:p w:rsidR="006677CA" w:rsidRDefault="006677CA" w:rsidP="003C38A9">
      <w:pPr>
        <w:pStyle w:val="ListNumber2"/>
        <w:numPr>
          <w:ilvl w:val="1"/>
          <w:numId w:val="29"/>
        </w:numPr>
        <w:spacing w:after="0" w:line="240" w:lineRule="auto"/>
        <w:ind w:left="1134" w:hanging="567"/>
        <w:jc w:val="both"/>
        <w:rPr>
          <w:rFonts w:cs="Arial"/>
        </w:rPr>
      </w:pPr>
      <w:r>
        <w:rPr>
          <w:rFonts w:cs="Arial"/>
        </w:rPr>
        <w:t>d</w:t>
      </w:r>
      <w:r w:rsidRPr="00A06F74">
        <w:rPr>
          <w:rFonts w:cs="Arial"/>
        </w:rPr>
        <w:t>e demander au Secrétariat d’obtenir des nominations de la part des Parties pour les candidats qualifiés aux nouveaux domaines d’activité proposés suivants des Conseillers nommés par la COP : mammifères marins ; connectivité/réseaux ; pollution marine ; poissons ; espèces envahissantes.</w:t>
      </w:r>
    </w:p>
    <w:p w:rsidR="006677CA" w:rsidRPr="00A06F74" w:rsidRDefault="006677CA" w:rsidP="003C38A9">
      <w:pPr>
        <w:pStyle w:val="ListNumber2"/>
        <w:numPr>
          <w:ilvl w:val="0"/>
          <w:numId w:val="0"/>
        </w:numPr>
        <w:spacing w:after="0" w:line="240" w:lineRule="auto"/>
        <w:ind w:left="1134" w:hanging="567"/>
        <w:jc w:val="both"/>
        <w:rPr>
          <w:rFonts w:cs="Arial"/>
        </w:rPr>
      </w:pPr>
    </w:p>
    <w:p w:rsidR="006677CA" w:rsidRDefault="006677CA" w:rsidP="003C38A9">
      <w:pPr>
        <w:pStyle w:val="ListNumber2"/>
        <w:numPr>
          <w:ilvl w:val="1"/>
          <w:numId w:val="29"/>
        </w:numPr>
        <w:spacing w:after="0" w:line="240" w:lineRule="auto"/>
        <w:ind w:left="1134" w:hanging="567"/>
        <w:jc w:val="both"/>
        <w:rPr>
          <w:rFonts w:cs="Arial"/>
        </w:rPr>
      </w:pPr>
      <w:r w:rsidRPr="00A06F74">
        <w:rPr>
          <w:rFonts w:cs="Arial"/>
        </w:rPr>
        <w:t xml:space="preserve">le processus d’examen continu présenté au paragraphe 27 et au graphique 1, qui sera mis en </w:t>
      </w:r>
      <w:proofErr w:type="spellStart"/>
      <w:r w:rsidRPr="00A06F74">
        <w:rPr>
          <w:rFonts w:cs="Arial"/>
        </w:rPr>
        <w:t>oeuvre</w:t>
      </w:r>
      <w:proofErr w:type="spellEnd"/>
      <w:r w:rsidRPr="00A06F74">
        <w:rPr>
          <w:rFonts w:cs="Arial"/>
        </w:rPr>
        <w:t xml:space="preserve"> à la suite de la COP13 ;</w:t>
      </w:r>
      <w:r w:rsidR="003C38A9">
        <w:rPr>
          <w:rFonts w:cs="Arial"/>
        </w:rPr>
        <w:t>et</w:t>
      </w:r>
    </w:p>
    <w:p w:rsidR="006677CA" w:rsidRPr="00A06F74" w:rsidRDefault="006677CA" w:rsidP="003C38A9">
      <w:pPr>
        <w:pStyle w:val="ListNumber2"/>
        <w:numPr>
          <w:ilvl w:val="0"/>
          <w:numId w:val="0"/>
        </w:numPr>
        <w:spacing w:after="0" w:line="240" w:lineRule="auto"/>
        <w:ind w:left="1134" w:hanging="567"/>
        <w:jc w:val="both"/>
        <w:rPr>
          <w:rFonts w:cs="Arial"/>
        </w:rPr>
      </w:pPr>
    </w:p>
    <w:p w:rsidR="006677CA" w:rsidRDefault="006677CA" w:rsidP="003C38A9">
      <w:pPr>
        <w:pStyle w:val="ListNumber2"/>
        <w:numPr>
          <w:ilvl w:val="1"/>
          <w:numId w:val="29"/>
        </w:numPr>
        <w:spacing w:after="0" w:line="240" w:lineRule="auto"/>
        <w:ind w:left="1134" w:hanging="567"/>
        <w:jc w:val="both"/>
        <w:rPr>
          <w:rFonts w:cs="Arial"/>
        </w:rPr>
      </w:pPr>
      <w:r>
        <w:rPr>
          <w:rFonts w:cs="Arial"/>
        </w:rPr>
        <w:t>d</w:t>
      </w:r>
      <w:r w:rsidRPr="00A06F74">
        <w:rPr>
          <w:rFonts w:cs="Arial"/>
        </w:rPr>
        <w:t xml:space="preserve">e soumettre les domaines d’activité des Conseillers nommés par la COP identifiés, ainsi que des recommandations pour les candidats qualifiés, à la COP13 pour validation ; </w:t>
      </w:r>
    </w:p>
    <w:p w:rsidR="006677CA" w:rsidRPr="00A06F74" w:rsidRDefault="006677CA" w:rsidP="003C38A9">
      <w:pPr>
        <w:pStyle w:val="ListNumber2"/>
        <w:numPr>
          <w:ilvl w:val="0"/>
          <w:numId w:val="0"/>
        </w:numPr>
        <w:spacing w:after="0" w:line="240" w:lineRule="auto"/>
        <w:jc w:val="both"/>
        <w:rPr>
          <w:rFonts w:cs="Arial"/>
        </w:rPr>
      </w:pPr>
    </w:p>
    <w:p w:rsidR="003C38A9" w:rsidRDefault="003C38A9" w:rsidP="006677CA">
      <w:pPr>
        <w:pStyle w:val="ListNumber"/>
        <w:numPr>
          <w:ilvl w:val="0"/>
          <w:numId w:val="0"/>
        </w:numPr>
        <w:spacing w:after="0" w:line="240" w:lineRule="auto"/>
        <w:jc w:val="right"/>
        <w:rPr>
          <w:rFonts w:cs="Arial"/>
        </w:rPr>
      </w:pPr>
      <w:bookmarkStart w:id="0" w:name="_GoBack"/>
      <w:bookmarkEnd w:id="0"/>
      <w:r>
        <w:rPr>
          <w:rFonts w:cs="Arial"/>
        </w:rPr>
        <w:br w:type="page"/>
      </w:r>
    </w:p>
    <w:p w:rsidR="006677CA" w:rsidRPr="00A06F74" w:rsidRDefault="006677CA" w:rsidP="006677CA">
      <w:pPr>
        <w:pStyle w:val="ListNumber"/>
        <w:numPr>
          <w:ilvl w:val="0"/>
          <w:numId w:val="0"/>
        </w:numPr>
        <w:spacing w:after="0" w:line="240" w:lineRule="auto"/>
        <w:jc w:val="right"/>
        <w:rPr>
          <w:rFonts w:cs="Arial"/>
          <w:b/>
        </w:rPr>
      </w:pPr>
      <w:r>
        <w:rPr>
          <w:rFonts w:cs="Arial"/>
          <w:b/>
        </w:rPr>
        <w:lastRenderedPageBreak/>
        <w:t>PIÈCE JOINTE</w:t>
      </w:r>
      <w:r w:rsidRPr="00A06F74">
        <w:rPr>
          <w:rFonts w:cs="Arial"/>
          <w:b/>
        </w:rPr>
        <w:t> 1</w:t>
      </w:r>
    </w:p>
    <w:p w:rsidR="006677CA" w:rsidRDefault="006677CA" w:rsidP="003C38A9">
      <w:pPr>
        <w:spacing w:after="0" w:line="240" w:lineRule="auto"/>
        <w:jc w:val="center"/>
        <w:rPr>
          <w:rFonts w:cs="Arial"/>
          <w:b/>
          <w:lang w:val="fr-FR"/>
        </w:rPr>
      </w:pPr>
    </w:p>
    <w:p w:rsidR="006677CA" w:rsidRPr="006453CD" w:rsidRDefault="006677CA" w:rsidP="003C38A9">
      <w:pPr>
        <w:spacing w:after="120" w:line="240" w:lineRule="auto"/>
        <w:jc w:val="center"/>
        <w:rPr>
          <w:rFonts w:cs="Arial"/>
          <w:b/>
          <w:lang w:val="fr-FR"/>
        </w:rPr>
      </w:pPr>
      <w:r>
        <w:rPr>
          <w:rFonts w:cs="Arial"/>
          <w:b/>
          <w:lang w:val="fr-FR"/>
        </w:rPr>
        <w:t xml:space="preserve">MANDAT </w:t>
      </w:r>
      <w:r w:rsidRPr="00A06F74">
        <w:rPr>
          <w:rFonts w:cs="Arial"/>
          <w:b/>
          <w:lang w:val="fr-FR"/>
        </w:rPr>
        <w:t>DU GROUPE DE TRAVAIL CHARGÉ DE L’EXAMEN DES DOMAINES D’ACTIVITÉ DES CONSEILLERS NOMMÉS PAR LA COP</w:t>
      </w:r>
    </w:p>
    <w:p w:rsidR="006677CA" w:rsidRPr="00A06F74" w:rsidRDefault="006677CA" w:rsidP="003C38A9">
      <w:pPr>
        <w:spacing w:after="0" w:line="240" w:lineRule="auto"/>
        <w:jc w:val="center"/>
        <w:rPr>
          <w:rFonts w:cs="Arial"/>
          <w:i/>
          <w:lang w:val="fr-FR"/>
        </w:rPr>
      </w:pPr>
      <w:r w:rsidRPr="00A06F74">
        <w:rPr>
          <w:rFonts w:cs="Arial"/>
          <w:i/>
          <w:lang w:val="fr-FR"/>
        </w:rPr>
        <w:t>(comme convenu à la 3</w:t>
      </w:r>
      <w:r w:rsidRPr="00A06F74">
        <w:rPr>
          <w:rFonts w:cs="Arial"/>
          <w:i/>
          <w:vertAlign w:val="superscript"/>
          <w:lang w:val="fr-FR"/>
        </w:rPr>
        <w:t>e</w:t>
      </w:r>
      <w:r w:rsidRPr="00A06F74">
        <w:rPr>
          <w:rFonts w:cs="Arial"/>
          <w:i/>
          <w:lang w:val="fr-FR"/>
        </w:rPr>
        <w:t> Réunion du Comité de session du Conseil scientifique)</w:t>
      </w:r>
    </w:p>
    <w:p w:rsidR="006677CA" w:rsidRPr="00A06F74" w:rsidRDefault="006677CA" w:rsidP="003C38A9">
      <w:pPr>
        <w:spacing w:after="0" w:line="240" w:lineRule="auto"/>
        <w:rPr>
          <w:rFonts w:cs="Arial"/>
          <w:lang w:val="fr-FR"/>
        </w:rPr>
      </w:pPr>
    </w:p>
    <w:p w:rsidR="006677CA" w:rsidRPr="00A06F74" w:rsidRDefault="006677CA" w:rsidP="003C38A9">
      <w:pPr>
        <w:spacing w:after="0" w:line="240" w:lineRule="auto"/>
        <w:rPr>
          <w:rFonts w:cs="Arial"/>
          <w:b/>
        </w:rPr>
      </w:pPr>
      <w:r w:rsidRPr="00A06F74">
        <w:rPr>
          <w:rFonts w:cs="Arial"/>
          <w:b/>
        </w:rPr>
        <w:t>Objectif</w:t>
      </w:r>
    </w:p>
    <w:p w:rsidR="006677CA" w:rsidRPr="00A06F74" w:rsidRDefault="006677CA" w:rsidP="003C38A9">
      <w:pPr>
        <w:spacing w:after="0" w:line="240" w:lineRule="auto"/>
        <w:rPr>
          <w:rFonts w:cs="Arial"/>
        </w:rPr>
      </w:pPr>
    </w:p>
    <w:p w:rsidR="006677CA" w:rsidRDefault="006677CA" w:rsidP="003C38A9">
      <w:pPr>
        <w:pStyle w:val="ListParagraph"/>
        <w:numPr>
          <w:ilvl w:val="0"/>
          <w:numId w:val="21"/>
        </w:numPr>
        <w:spacing w:after="0" w:line="240" w:lineRule="auto"/>
        <w:ind w:left="567" w:hanging="567"/>
        <w:contextualSpacing w:val="0"/>
        <w:jc w:val="both"/>
        <w:rPr>
          <w:rFonts w:cs="Arial"/>
          <w:lang w:val="fr-FR"/>
        </w:rPr>
      </w:pPr>
      <w:r w:rsidRPr="00A06F74">
        <w:rPr>
          <w:rFonts w:cs="Arial"/>
          <w:lang w:val="fr-FR"/>
        </w:rPr>
        <w:t>Le Groupe de travail a pour but d’entreprendre un examen des domaines d’activité actuels des Conseillers nommés par la COP et de tenir compte des besoins futurs de la Convention.</w:t>
      </w:r>
    </w:p>
    <w:p w:rsidR="006677CA" w:rsidRPr="00A06F74" w:rsidRDefault="006677CA" w:rsidP="003C38A9">
      <w:pPr>
        <w:pStyle w:val="ListParagraph"/>
        <w:spacing w:after="0" w:line="240" w:lineRule="auto"/>
        <w:ind w:left="567"/>
        <w:contextualSpacing w:val="0"/>
        <w:jc w:val="both"/>
        <w:rPr>
          <w:rFonts w:cs="Arial"/>
          <w:lang w:val="fr-FR"/>
        </w:rPr>
      </w:pPr>
    </w:p>
    <w:p w:rsidR="006677CA" w:rsidRPr="00A06F74" w:rsidRDefault="006677CA" w:rsidP="003C38A9">
      <w:pPr>
        <w:pStyle w:val="ListParagraph"/>
        <w:numPr>
          <w:ilvl w:val="0"/>
          <w:numId w:val="21"/>
        </w:numPr>
        <w:spacing w:after="0" w:line="240" w:lineRule="auto"/>
        <w:ind w:left="567" w:hanging="567"/>
        <w:contextualSpacing w:val="0"/>
        <w:jc w:val="both"/>
        <w:rPr>
          <w:rFonts w:cs="Arial"/>
          <w:lang w:val="fr-FR"/>
        </w:rPr>
      </w:pPr>
      <w:r w:rsidRPr="00A06F74">
        <w:rPr>
          <w:rFonts w:cs="Arial"/>
          <w:lang w:val="fr-FR"/>
        </w:rPr>
        <w:t>Le Groupe de travail est chargé d’entreprendre les activités suivantes :</w:t>
      </w:r>
    </w:p>
    <w:p w:rsidR="006677CA" w:rsidRPr="00A06F74" w:rsidRDefault="006677CA" w:rsidP="003C38A9">
      <w:pPr>
        <w:spacing w:after="0" w:line="240" w:lineRule="auto"/>
        <w:ind w:left="540"/>
        <w:jc w:val="both"/>
        <w:rPr>
          <w:rFonts w:cs="Arial"/>
          <w:lang w:val="fr-FR"/>
        </w:rPr>
      </w:pPr>
    </w:p>
    <w:p w:rsidR="006677CA" w:rsidRDefault="006677CA" w:rsidP="003C38A9">
      <w:pPr>
        <w:pStyle w:val="ListParagraph"/>
        <w:numPr>
          <w:ilvl w:val="0"/>
          <w:numId w:val="22"/>
        </w:numPr>
        <w:spacing w:after="0" w:line="240" w:lineRule="auto"/>
        <w:ind w:left="1134" w:hanging="567"/>
        <w:contextualSpacing w:val="0"/>
        <w:jc w:val="both"/>
        <w:rPr>
          <w:rFonts w:cs="Arial"/>
          <w:lang w:val="fr-FR"/>
        </w:rPr>
      </w:pPr>
      <w:r w:rsidRPr="00A06F74">
        <w:rPr>
          <w:rFonts w:cs="Arial"/>
          <w:lang w:val="fr-FR"/>
        </w:rPr>
        <w:t>Examiner l’applicabilité actuelle et la pertinence sur la durée des domaines d’activité des Conseillers nommés par la COP pour appuyer la fourniture de conseils d’experts appropriés à la Convention ;</w:t>
      </w:r>
    </w:p>
    <w:p w:rsidR="006677CA" w:rsidRPr="00A06F74" w:rsidRDefault="006677CA" w:rsidP="003C38A9">
      <w:pPr>
        <w:pStyle w:val="ListParagraph"/>
        <w:spacing w:after="0" w:line="240" w:lineRule="auto"/>
        <w:ind w:left="1134" w:hanging="567"/>
        <w:contextualSpacing w:val="0"/>
        <w:jc w:val="both"/>
        <w:rPr>
          <w:rFonts w:cs="Arial"/>
          <w:lang w:val="fr-FR"/>
        </w:rPr>
      </w:pPr>
    </w:p>
    <w:p w:rsidR="006677CA" w:rsidRPr="00A06F74" w:rsidRDefault="006677CA" w:rsidP="003C38A9">
      <w:pPr>
        <w:pStyle w:val="ListParagraph"/>
        <w:numPr>
          <w:ilvl w:val="0"/>
          <w:numId w:val="22"/>
        </w:numPr>
        <w:spacing w:after="0" w:line="240" w:lineRule="auto"/>
        <w:ind w:left="1134" w:hanging="567"/>
        <w:contextualSpacing w:val="0"/>
        <w:jc w:val="both"/>
        <w:rPr>
          <w:rFonts w:cs="Arial"/>
          <w:lang w:val="fr-FR"/>
        </w:rPr>
      </w:pPr>
      <w:r w:rsidRPr="00A06F74">
        <w:rPr>
          <w:rFonts w:cs="Arial"/>
          <w:lang w:val="fr-FR"/>
        </w:rPr>
        <w:t>Garantir la consultation avec les Conseillers nommés par la COP et les observateurs compétents tout au long du processus d’examen, selon qu’il convient ;</w:t>
      </w:r>
    </w:p>
    <w:p w:rsidR="006677CA" w:rsidRPr="00A06F74" w:rsidRDefault="006677CA" w:rsidP="003C38A9">
      <w:pPr>
        <w:spacing w:after="0" w:line="240" w:lineRule="auto"/>
        <w:ind w:left="1134" w:hanging="567"/>
        <w:jc w:val="both"/>
        <w:rPr>
          <w:rFonts w:cs="Arial"/>
          <w:lang w:val="fr-FR"/>
        </w:rPr>
      </w:pPr>
    </w:p>
    <w:p w:rsidR="006677CA" w:rsidRPr="00A06F74" w:rsidRDefault="006677CA" w:rsidP="003C38A9">
      <w:pPr>
        <w:pStyle w:val="ListParagraph"/>
        <w:numPr>
          <w:ilvl w:val="0"/>
          <w:numId w:val="22"/>
        </w:numPr>
        <w:spacing w:after="0" w:line="240" w:lineRule="auto"/>
        <w:ind w:left="1134" w:hanging="567"/>
        <w:contextualSpacing w:val="0"/>
        <w:jc w:val="both"/>
        <w:rPr>
          <w:rFonts w:cs="Arial"/>
          <w:lang w:val="fr-FR"/>
        </w:rPr>
      </w:pPr>
      <w:r w:rsidRPr="00A06F74">
        <w:rPr>
          <w:rFonts w:cs="Arial"/>
          <w:lang w:val="fr-FR"/>
        </w:rPr>
        <w:t>Déterminer quels domaines d’activités appropriés des Conseillers nommés par la COP serviront à la Convention à la suite de la COP13 ;</w:t>
      </w:r>
    </w:p>
    <w:p w:rsidR="006677CA" w:rsidRPr="00A06F74" w:rsidRDefault="006677CA" w:rsidP="003C38A9">
      <w:pPr>
        <w:spacing w:after="0" w:line="240" w:lineRule="auto"/>
        <w:ind w:left="1134" w:hanging="567"/>
        <w:jc w:val="both"/>
        <w:rPr>
          <w:rFonts w:cs="Arial"/>
          <w:lang w:val="fr-FR"/>
        </w:rPr>
      </w:pPr>
    </w:p>
    <w:p w:rsidR="006677CA" w:rsidRPr="00A06F74" w:rsidRDefault="006677CA" w:rsidP="003C38A9">
      <w:pPr>
        <w:pStyle w:val="ListParagraph"/>
        <w:numPr>
          <w:ilvl w:val="0"/>
          <w:numId w:val="22"/>
        </w:numPr>
        <w:spacing w:after="0" w:line="240" w:lineRule="auto"/>
        <w:ind w:left="1134" w:hanging="567"/>
        <w:contextualSpacing w:val="0"/>
        <w:jc w:val="both"/>
        <w:rPr>
          <w:rFonts w:cs="Arial"/>
          <w:lang w:val="fr-FR"/>
        </w:rPr>
      </w:pPr>
      <w:r w:rsidRPr="00A06F74">
        <w:rPr>
          <w:rFonts w:cs="Arial"/>
          <w:lang w:val="fr-FR"/>
        </w:rPr>
        <w:t>Définir un processus par lequel ces domaines d’activité seront soumis à un examen régulier pour en assurer la continuité ;</w:t>
      </w:r>
    </w:p>
    <w:p w:rsidR="006677CA" w:rsidRPr="00A06F74" w:rsidRDefault="006677CA" w:rsidP="003C38A9">
      <w:pPr>
        <w:spacing w:after="0" w:line="240" w:lineRule="auto"/>
        <w:ind w:left="1134" w:hanging="567"/>
        <w:jc w:val="both"/>
        <w:rPr>
          <w:rFonts w:cs="Arial"/>
          <w:lang w:val="fr-FR"/>
        </w:rPr>
      </w:pPr>
    </w:p>
    <w:p w:rsidR="006677CA" w:rsidRPr="00A06F74" w:rsidRDefault="006677CA" w:rsidP="003C38A9">
      <w:pPr>
        <w:pStyle w:val="ListParagraph"/>
        <w:numPr>
          <w:ilvl w:val="0"/>
          <w:numId w:val="22"/>
        </w:numPr>
        <w:spacing w:after="0" w:line="240" w:lineRule="auto"/>
        <w:ind w:left="1134" w:hanging="567"/>
        <w:contextualSpacing w:val="0"/>
        <w:jc w:val="both"/>
        <w:rPr>
          <w:rFonts w:cs="Arial"/>
          <w:lang w:val="fr-FR"/>
        </w:rPr>
      </w:pPr>
      <w:r w:rsidRPr="00A06F74">
        <w:rPr>
          <w:rFonts w:cs="Arial"/>
          <w:lang w:val="fr-FR"/>
        </w:rPr>
        <w:t>Par l’intermédiaire du Conseil scientifique, présenter des recommandations, notamment des propositions aux experts relatives à de nouveaux domaines d’activité identifiés si nécessaire, à la COP13 pour considération.</w:t>
      </w:r>
    </w:p>
    <w:p w:rsidR="006677CA" w:rsidRPr="00A06F74" w:rsidRDefault="006677CA" w:rsidP="003C38A9">
      <w:pPr>
        <w:spacing w:after="0" w:line="240" w:lineRule="auto"/>
        <w:jc w:val="both"/>
        <w:rPr>
          <w:rFonts w:cs="Arial"/>
          <w:lang w:val="fr-FR"/>
        </w:rPr>
      </w:pPr>
    </w:p>
    <w:p w:rsidR="006677CA" w:rsidRPr="00A06F74" w:rsidRDefault="006677CA" w:rsidP="003C38A9">
      <w:pPr>
        <w:pStyle w:val="ListParagraph"/>
        <w:numPr>
          <w:ilvl w:val="0"/>
          <w:numId w:val="21"/>
        </w:numPr>
        <w:spacing w:after="0" w:line="240" w:lineRule="auto"/>
        <w:ind w:left="567" w:hanging="567"/>
        <w:contextualSpacing w:val="0"/>
        <w:jc w:val="both"/>
        <w:rPr>
          <w:rFonts w:cs="Arial"/>
          <w:lang w:val="fr-FR"/>
        </w:rPr>
      </w:pPr>
      <w:r w:rsidRPr="00A06F74">
        <w:rPr>
          <w:rFonts w:cs="Arial"/>
          <w:lang w:val="fr-FR"/>
        </w:rPr>
        <w:t>Le Groupe de travail fera état de ses progrès et présentera ses recommandations aux réunions du Comité de session.</w:t>
      </w:r>
    </w:p>
    <w:p w:rsidR="006677CA" w:rsidRPr="00A06F74" w:rsidRDefault="006677CA" w:rsidP="003C38A9">
      <w:pPr>
        <w:spacing w:after="0" w:line="240" w:lineRule="auto"/>
        <w:ind w:left="369" w:hanging="369"/>
        <w:jc w:val="both"/>
        <w:rPr>
          <w:rFonts w:cs="Arial"/>
          <w:lang w:val="fr-FR"/>
        </w:rPr>
      </w:pPr>
    </w:p>
    <w:p w:rsidR="006677CA" w:rsidRPr="00A06F74" w:rsidRDefault="006677CA" w:rsidP="003C38A9">
      <w:pPr>
        <w:spacing w:after="0" w:line="240" w:lineRule="auto"/>
        <w:ind w:left="369" w:hanging="369"/>
        <w:jc w:val="both"/>
        <w:rPr>
          <w:rFonts w:cs="Arial"/>
          <w:b/>
        </w:rPr>
      </w:pPr>
      <w:r w:rsidRPr="00A06F74">
        <w:rPr>
          <w:rFonts w:cs="Arial"/>
          <w:b/>
        </w:rPr>
        <w:t>Composition du Groupe de travail</w:t>
      </w:r>
    </w:p>
    <w:p w:rsidR="006677CA" w:rsidRPr="00A06F74" w:rsidRDefault="006677CA" w:rsidP="003C38A9">
      <w:pPr>
        <w:spacing w:after="0" w:line="240" w:lineRule="auto"/>
        <w:ind w:left="369" w:hanging="369"/>
        <w:jc w:val="both"/>
        <w:rPr>
          <w:rFonts w:cs="Arial"/>
        </w:rPr>
      </w:pPr>
    </w:p>
    <w:p w:rsidR="006677CA" w:rsidRDefault="006677CA" w:rsidP="003C38A9">
      <w:pPr>
        <w:numPr>
          <w:ilvl w:val="0"/>
          <w:numId w:val="20"/>
        </w:numPr>
        <w:spacing w:after="0" w:line="240" w:lineRule="auto"/>
        <w:ind w:left="567" w:hanging="567"/>
        <w:jc w:val="both"/>
        <w:rPr>
          <w:rFonts w:cs="Arial"/>
          <w:lang w:val="fr-FR"/>
        </w:rPr>
      </w:pPr>
      <w:r w:rsidRPr="00A06F74">
        <w:rPr>
          <w:rFonts w:cs="Arial"/>
          <w:lang w:val="fr-FR"/>
        </w:rPr>
        <w:t>Le Groupe de travail sera seulement composé de Conseillers scientifiques nommés par les Parties, du Président du Conseil scientifique et du Président du Comité permanent.</w:t>
      </w:r>
    </w:p>
    <w:p w:rsidR="006677CA" w:rsidRPr="00A06F74" w:rsidRDefault="006677CA" w:rsidP="003C38A9">
      <w:pPr>
        <w:spacing w:after="0" w:line="240" w:lineRule="auto"/>
        <w:ind w:left="567"/>
        <w:jc w:val="both"/>
        <w:rPr>
          <w:rFonts w:cs="Arial"/>
          <w:lang w:val="fr-FR"/>
        </w:rPr>
      </w:pPr>
    </w:p>
    <w:p w:rsidR="006677CA" w:rsidRPr="00A06F74" w:rsidRDefault="006677CA" w:rsidP="003C38A9">
      <w:pPr>
        <w:numPr>
          <w:ilvl w:val="0"/>
          <w:numId w:val="20"/>
        </w:numPr>
        <w:spacing w:after="0" w:line="240" w:lineRule="auto"/>
        <w:ind w:left="567" w:hanging="567"/>
        <w:jc w:val="both"/>
        <w:rPr>
          <w:rFonts w:cs="Arial"/>
          <w:lang w:val="fr-FR"/>
        </w:rPr>
      </w:pPr>
      <w:r w:rsidRPr="00A06F74">
        <w:rPr>
          <w:rFonts w:cs="Arial"/>
          <w:lang w:val="fr-FR"/>
        </w:rPr>
        <w:t>Chaque région de la CMS devrait être représentée par au moins un représentant.</w:t>
      </w:r>
    </w:p>
    <w:p w:rsidR="006677CA" w:rsidRPr="00A06F74" w:rsidRDefault="006677CA" w:rsidP="003C38A9">
      <w:pPr>
        <w:spacing w:after="0" w:line="240" w:lineRule="auto"/>
        <w:ind w:left="567" w:hanging="425"/>
        <w:jc w:val="both"/>
        <w:rPr>
          <w:rFonts w:cs="Arial"/>
          <w:lang w:val="fr-FR"/>
        </w:rPr>
      </w:pPr>
    </w:p>
    <w:p w:rsidR="006677CA" w:rsidRPr="00A06F74" w:rsidRDefault="006677CA" w:rsidP="003C38A9">
      <w:pPr>
        <w:numPr>
          <w:ilvl w:val="0"/>
          <w:numId w:val="20"/>
        </w:numPr>
        <w:spacing w:after="0" w:line="240" w:lineRule="auto"/>
        <w:ind w:left="567" w:hanging="567"/>
        <w:jc w:val="both"/>
        <w:rPr>
          <w:rFonts w:cs="Arial"/>
          <w:lang w:val="fr-FR"/>
        </w:rPr>
      </w:pPr>
      <w:r w:rsidRPr="00A06F74">
        <w:rPr>
          <w:rFonts w:cs="Arial"/>
          <w:lang w:val="fr-FR"/>
        </w:rPr>
        <w:t>Chaque membre du Groupe de travail sera chargé de consulter les Conseillers scientifiques nommés par les Parties dans leur région pour garantir la facilitation de contributions régionales exhaustives. Les Conseillers nommés par la COP auront également la possibilité d’apporter leur contribution grâce au processus d’examen.</w:t>
      </w:r>
    </w:p>
    <w:p w:rsidR="006677CA" w:rsidRPr="00A06F74" w:rsidRDefault="006677CA" w:rsidP="003C38A9">
      <w:pPr>
        <w:spacing w:after="0" w:line="240" w:lineRule="auto"/>
        <w:ind w:left="567" w:hanging="425"/>
        <w:jc w:val="both"/>
        <w:rPr>
          <w:rFonts w:cs="Arial"/>
          <w:lang w:val="fr-FR"/>
        </w:rPr>
      </w:pPr>
    </w:p>
    <w:p w:rsidR="006677CA" w:rsidRPr="00A06F74" w:rsidRDefault="006677CA" w:rsidP="003C38A9">
      <w:pPr>
        <w:numPr>
          <w:ilvl w:val="0"/>
          <w:numId w:val="20"/>
        </w:numPr>
        <w:spacing w:after="0" w:line="240" w:lineRule="auto"/>
        <w:ind w:left="567" w:hanging="567"/>
        <w:jc w:val="both"/>
        <w:rPr>
          <w:rFonts w:cs="Arial"/>
          <w:lang w:val="fr-FR"/>
        </w:rPr>
      </w:pPr>
      <w:r w:rsidRPr="00A06F74">
        <w:rPr>
          <w:rFonts w:cs="Arial"/>
          <w:lang w:val="fr-FR"/>
        </w:rPr>
        <w:t>Le Président et le Vice-Président sont choisis parmi les membres du Groupe de travail à sa première réunion.</w:t>
      </w:r>
    </w:p>
    <w:p w:rsidR="006677CA" w:rsidRPr="00A06F74" w:rsidRDefault="006677CA" w:rsidP="003C38A9">
      <w:pPr>
        <w:spacing w:after="0" w:line="240" w:lineRule="auto"/>
        <w:ind w:left="567" w:hanging="425"/>
        <w:jc w:val="both"/>
        <w:rPr>
          <w:rFonts w:cs="Arial"/>
          <w:lang w:val="fr-FR"/>
        </w:rPr>
      </w:pPr>
    </w:p>
    <w:p w:rsidR="006677CA" w:rsidRPr="00A06F74" w:rsidRDefault="006677CA" w:rsidP="003C38A9">
      <w:pPr>
        <w:numPr>
          <w:ilvl w:val="0"/>
          <w:numId w:val="20"/>
        </w:numPr>
        <w:spacing w:after="0" w:line="240" w:lineRule="auto"/>
        <w:ind w:left="567" w:hanging="567"/>
        <w:jc w:val="both"/>
        <w:rPr>
          <w:rFonts w:cs="Arial"/>
          <w:lang w:val="fr-FR"/>
        </w:rPr>
      </w:pPr>
      <w:r w:rsidRPr="00A06F74">
        <w:rPr>
          <w:rFonts w:cs="Arial"/>
          <w:lang w:val="fr-FR"/>
        </w:rPr>
        <w:t>Les activités du Groupe de travail seront facilitées par le Secrétariat de la CMS.</w:t>
      </w:r>
    </w:p>
    <w:p w:rsidR="006677CA" w:rsidRPr="00A06F74" w:rsidRDefault="006677CA" w:rsidP="003C38A9">
      <w:pPr>
        <w:spacing w:after="0" w:line="240" w:lineRule="auto"/>
        <w:jc w:val="both"/>
        <w:rPr>
          <w:rFonts w:cs="Arial"/>
          <w:lang w:val="fr-FR"/>
        </w:rPr>
      </w:pPr>
    </w:p>
    <w:p w:rsidR="006677CA" w:rsidRPr="005403B0" w:rsidRDefault="006677CA" w:rsidP="003C38A9">
      <w:pPr>
        <w:pStyle w:val="ListNumber"/>
        <w:numPr>
          <w:ilvl w:val="0"/>
          <w:numId w:val="0"/>
        </w:numPr>
        <w:spacing w:after="0" w:line="240" w:lineRule="auto"/>
        <w:ind w:left="567" w:hanging="567"/>
        <w:jc w:val="both"/>
        <w:rPr>
          <w:b/>
        </w:rPr>
      </w:pPr>
    </w:p>
    <w:sectPr w:rsidR="006677CA" w:rsidRPr="005403B0" w:rsidSect="00FC50B0">
      <w:headerReference w:type="even" r:id="rId22"/>
      <w:headerReference w:type="default" r:id="rId23"/>
      <w:headerReference w:type="first" r:id="rId24"/>
      <w:pgSz w:w="11906" w:h="16838"/>
      <w:pgMar w:top="1138" w:right="1138" w:bottom="993"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rsidP="00C908C2">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14296233"/>
      <w:docPartObj>
        <w:docPartGallery w:val="Page Numbers (Bottom of Page)"/>
        <w:docPartUnique/>
      </w:docPartObj>
    </w:sdtPr>
    <w:sdtEndPr>
      <w:rPr>
        <w:noProof/>
      </w:rPr>
    </w:sdtEndPr>
    <w:sdtContent>
      <w:p w:rsidR="005403B0" w:rsidRPr="005403B0" w:rsidRDefault="005403B0" w:rsidP="005403B0">
        <w:pPr>
          <w:pStyle w:val="Footer"/>
          <w:jc w:val="center"/>
          <w:rPr>
            <w:sz w:val="18"/>
            <w:szCs w:val="18"/>
          </w:rPr>
        </w:pPr>
        <w:r w:rsidRPr="005403B0">
          <w:rPr>
            <w:sz w:val="18"/>
            <w:szCs w:val="18"/>
          </w:rPr>
          <w:fldChar w:fldCharType="begin"/>
        </w:r>
        <w:r w:rsidRPr="005403B0">
          <w:rPr>
            <w:sz w:val="18"/>
            <w:szCs w:val="18"/>
          </w:rPr>
          <w:instrText xml:space="preserve"> PAGE   \* MERGEFORMAT </w:instrText>
        </w:r>
        <w:r w:rsidRPr="005403B0">
          <w:rPr>
            <w:sz w:val="18"/>
            <w:szCs w:val="18"/>
          </w:rPr>
          <w:fldChar w:fldCharType="separate"/>
        </w:r>
        <w:r w:rsidRPr="005403B0">
          <w:rPr>
            <w:noProof/>
            <w:sz w:val="18"/>
            <w:szCs w:val="18"/>
          </w:rPr>
          <w:t>2</w:t>
        </w:r>
        <w:r w:rsidRPr="005403B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6677CA" w:rsidRPr="006677CA" w:rsidRDefault="006677CA" w:rsidP="006677CA">
      <w:pPr>
        <w:pStyle w:val="FootnoteText"/>
        <w:jc w:val="both"/>
        <w:rPr>
          <w:lang w:val="fr-FR"/>
        </w:rPr>
      </w:pPr>
      <w:r w:rsidRPr="006677CA">
        <w:rPr>
          <w:rStyle w:val="FootnoteReference"/>
          <w:sz w:val="18"/>
          <w:szCs w:val="18"/>
        </w:rPr>
        <w:footnoteRef/>
      </w:r>
      <w:r w:rsidRPr="006677CA">
        <w:rPr>
          <w:sz w:val="18"/>
          <w:szCs w:val="18"/>
          <w:lang w:val="fr-FR"/>
        </w:rPr>
        <w:t xml:space="preserve"> Ceci est une version révisée du document soumis à la 4</w:t>
      </w:r>
      <w:r w:rsidRPr="006677CA">
        <w:rPr>
          <w:sz w:val="18"/>
          <w:szCs w:val="18"/>
          <w:vertAlign w:val="superscript"/>
          <w:lang w:val="fr-FR"/>
        </w:rPr>
        <w:t xml:space="preserve">e </w:t>
      </w:r>
      <w:r w:rsidRPr="006677CA">
        <w:rPr>
          <w:sz w:val="18"/>
          <w:szCs w:val="18"/>
          <w:lang w:val="fr-FR"/>
        </w:rPr>
        <w:t xml:space="preserve">réunion du Comité de Session du Conseil scientifique (Bonn, 12-15 novembre 2019) en tant que </w:t>
      </w:r>
      <w:r>
        <w:rPr>
          <w:sz w:val="18"/>
          <w:szCs w:val="18"/>
          <w:lang w:val="fr-FR"/>
        </w:rPr>
        <w:t xml:space="preserve">document </w:t>
      </w:r>
      <w:r w:rsidRPr="006677CA">
        <w:rPr>
          <w:sz w:val="18"/>
          <w:szCs w:val="18"/>
          <w:lang w:val="fr-FR"/>
        </w:rPr>
        <w:t>UNEP/CMS/ScC-SC4/Doc.3.1, qui tient compte des décisions prises par la réunion</w:t>
      </w:r>
      <w:r w:rsidRPr="006677C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CF7359"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CF7359">
      <w:rPr>
        <w:rFonts w:eastAsia="Arial" w:cs="Arial"/>
        <w:i/>
        <w:sz w:val="18"/>
        <w:szCs w:val="18"/>
        <w:lang w:val="fr-FR"/>
      </w:rPr>
      <w:t>15.1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C5486A"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00C5486A">
      <w:rPr>
        <w:rFonts w:eastAsia="Arial" w:cs="Arial"/>
        <w:i/>
        <w:sz w:val="18"/>
        <w:szCs w:val="18"/>
        <w:lang w:val="fr-FR"/>
      </w:rPr>
      <w:t>15.1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B90" w:rsidRPr="00E64E6C" w:rsidRDefault="005C4B90" w:rsidP="005403B0">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Pr="00E64E6C">
      <w:rPr>
        <w:rFonts w:eastAsia="Times New Roman" w:cs="Arial"/>
        <w:i/>
        <w:sz w:val="18"/>
        <w:szCs w:val="18"/>
      </w:rPr>
      <w:t>15.1</w:t>
    </w:r>
    <w:r>
      <w:rPr>
        <w:rFonts w:eastAsia="Times New Roman" w:cs="Arial"/>
        <w:i/>
        <w:sz w:val="18"/>
        <w:szCs w:val="18"/>
      </w:rPr>
      <w:t>/</w:t>
    </w:r>
    <w:proofErr w:type="spellStart"/>
    <w:r>
      <w:rPr>
        <w:rFonts w:eastAsia="Times New Roman" w:cs="Arial"/>
        <w:i/>
        <w:sz w:val="18"/>
        <w:szCs w:val="18"/>
      </w:rPr>
      <w:t>Annexe</w:t>
    </w:r>
    <w:proofErr w:type="spellEnd"/>
    <w:r>
      <w:rPr>
        <w:rFonts w:eastAsia="Times New Roman" w:cs="Arial"/>
        <w:i/>
        <w:sz w:val="18"/>
        <w:szCs w:val="18"/>
      </w:rPr>
      <w:t xml:space="preserve"> 1</w:t>
    </w:r>
  </w:p>
  <w:p w:rsidR="005C4B90" w:rsidRDefault="005C4B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C2" w:rsidRPr="00CF7359" w:rsidRDefault="00C908C2"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15.1/Annexe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C2" w:rsidRPr="00C5486A" w:rsidRDefault="00C908C2"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15.1/Annexe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3B0" w:rsidRPr="00E64E6C" w:rsidRDefault="005403B0" w:rsidP="005C4B90">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Pr="00E64E6C">
      <w:rPr>
        <w:rFonts w:eastAsia="Times New Roman" w:cs="Arial"/>
        <w:i/>
        <w:sz w:val="18"/>
        <w:szCs w:val="18"/>
      </w:rPr>
      <w:t>15.1</w:t>
    </w:r>
    <w:r>
      <w:rPr>
        <w:rFonts w:eastAsia="Times New Roman" w:cs="Arial"/>
        <w:i/>
        <w:sz w:val="18"/>
        <w:szCs w:val="18"/>
      </w:rPr>
      <w:t>/</w:t>
    </w:r>
    <w:proofErr w:type="spellStart"/>
    <w:r>
      <w:rPr>
        <w:rFonts w:eastAsia="Times New Roman" w:cs="Arial"/>
        <w:i/>
        <w:sz w:val="18"/>
        <w:szCs w:val="18"/>
      </w:rPr>
      <w:t>Annexe</w:t>
    </w:r>
    <w:proofErr w:type="spellEnd"/>
    <w:r>
      <w:rPr>
        <w:rFonts w:eastAsia="Times New Roman" w:cs="Arial"/>
        <w:i/>
        <w:sz w:val="18"/>
        <w:szCs w:val="18"/>
      </w:rPr>
      <w:t xml:space="preserve"> 2</w:t>
    </w:r>
  </w:p>
  <w:p w:rsidR="005403B0" w:rsidRDefault="00540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085BC3"/>
    <w:multiLevelType w:val="hybridMultilevel"/>
    <w:tmpl w:val="CBF2F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F8D511B"/>
    <w:multiLevelType w:val="multilevel"/>
    <w:tmpl w:val="A3684BC0"/>
    <w:lvl w:ilvl="0">
      <w:start w:val="1"/>
      <w:numFmt w:val="bullet"/>
      <w:lvlText w:val=""/>
      <w:lvlJc w:val="left"/>
      <w:pPr>
        <w:ind w:left="369" w:hanging="369"/>
      </w:pPr>
      <w:rPr>
        <w:rFonts w:ascii="Symbol" w:hAnsi="Symbol" w:hint="default"/>
      </w:rPr>
    </w:lvl>
    <w:lvl w:ilvl="1">
      <w:start w:val="1"/>
      <w:numFmt w:val="bullet"/>
      <w:lvlText w:val=""/>
      <w:lvlJc w:val="center"/>
      <w:pPr>
        <w:ind w:left="737" w:hanging="368"/>
      </w:pPr>
      <w:rPr>
        <w:rFonts w:ascii="Symbol" w:hAnsi="Symbol"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10082379"/>
    <w:multiLevelType w:val="hybridMultilevel"/>
    <w:tmpl w:val="0EC60F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745BC2"/>
    <w:multiLevelType w:val="multilevel"/>
    <w:tmpl w:val="E5E89F92"/>
    <w:numStyleLink w:val="BulletList"/>
  </w:abstractNum>
  <w:abstractNum w:abstractNumId="5" w15:restartNumberingAfterBreak="0">
    <w:nsid w:val="21DC28CA"/>
    <w:multiLevelType w:val="hybridMultilevel"/>
    <w:tmpl w:val="8D98660A"/>
    <w:lvl w:ilvl="0" w:tplc="107CAEDA">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39C6157"/>
    <w:multiLevelType w:val="hybridMultilevel"/>
    <w:tmpl w:val="E27C411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66402B9"/>
    <w:multiLevelType w:val="hybridMultilevel"/>
    <w:tmpl w:val="3F66B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2937AA"/>
    <w:multiLevelType w:val="multilevel"/>
    <w:tmpl w:val="7A103CBC"/>
    <w:lvl w:ilvl="0">
      <w:start w:val="1"/>
      <w:numFmt w:val="decimal"/>
      <w:lvlText w:val="%1."/>
      <w:lvlJc w:val="left"/>
      <w:pPr>
        <w:ind w:left="369" w:hanging="369"/>
      </w:pPr>
      <w:rPr>
        <w:rFonts w:ascii="Arial" w:hAnsi="Arial"/>
        <w:sz w:val="22"/>
      </w:rPr>
    </w:lvl>
    <w:lvl w:ilvl="1">
      <w:start w:val="1"/>
      <w:numFmt w:val="bullet"/>
      <w:lvlText w:val=""/>
      <w:lvlJc w:val="left"/>
      <w:pPr>
        <w:ind w:left="738" w:hanging="369"/>
      </w:pPr>
      <w:rPr>
        <w:rFonts w:ascii="Symbol" w:hAnsi="Symbol" w:hint="default"/>
      </w:rPr>
    </w:lvl>
    <w:lvl w:ilvl="2">
      <w:start w:val="1"/>
      <w:numFmt w:val="lowerRoman"/>
      <w:lvlText w:val="%3."/>
      <w:lvlJc w:val="left"/>
      <w:pPr>
        <w:ind w:left="1107" w:hanging="369"/>
      </w:pPr>
    </w:lvl>
    <w:lvl w:ilvl="3">
      <w:start w:val="1"/>
      <w:numFmt w:val="none"/>
      <w:lvlText w:val="%4"/>
      <w:lvlJc w:val="left"/>
      <w:pPr>
        <w:ind w:left="1476" w:hanging="369"/>
      </w:pPr>
    </w:lvl>
    <w:lvl w:ilvl="4">
      <w:start w:val="1"/>
      <w:numFmt w:val="none"/>
      <w:lvlText w:val="%5"/>
      <w:lvlJc w:val="left"/>
      <w:pPr>
        <w:ind w:left="1845" w:hanging="369"/>
      </w:pPr>
    </w:lvl>
    <w:lvl w:ilvl="5">
      <w:start w:val="1"/>
      <w:numFmt w:val="none"/>
      <w:lvlText w:val="%6"/>
      <w:lvlJc w:val="left"/>
      <w:pPr>
        <w:ind w:left="2214" w:hanging="369"/>
      </w:pPr>
    </w:lvl>
    <w:lvl w:ilvl="6">
      <w:start w:val="1"/>
      <w:numFmt w:val="none"/>
      <w:lvlText w:val="%7"/>
      <w:lvlJc w:val="left"/>
      <w:pPr>
        <w:ind w:left="2583" w:hanging="369"/>
      </w:pPr>
    </w:lvl>
    <w:lvl w:ilvl="7">
      <w:start w:val="1"/>
      <w:numFmt w:val="none"/>
      <w:lvlText w:val="%8"/>
      <w:lvlJc w:val="left"/>
      <w:pPr>
        <w:ind w:left="2952" w:hanging="369"/>
      </w:pPr>
    </w:lvl>
    <w:lvl w:ilvl="8">
      <w:start w:val="1"/>
      <w:numFmt w:val="none"/>
      <w:lvlText w:val="%9"/>
      <w:lvlJc w:val="left"/>
      <w:pPr>
        <w:ind w:left="3321" w:hanging="369"/>
      </w:pPr>
    </w:lvl>
  </w:abstractNum>
  <w:abstractNum w:abstractNumId="10"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E4C27E4"/>
    <w:multiLevelType w:val="multilevel"/>
    <w:tmpl w:val="259ACB24"/>
    <w:lvl w:ilvl="0">
      <w:start w:val="1"/>
      <w:numFmt w:val="decimal"/>
      <w:lvlText w:val="%1."/>
      <w:lvlJc w:val="left"/>
      <w:pPr>
        <w:ind w:left="369" w:hanging="369"/>
      </w:pPr>
      <w:rPr>
        <w:rFonts w:ascii="Arial" w:hAnsi="Arial"/>
        <w:sz w:val="22"/>
      </w:rPr>
    </w:lvl>
    <w:lvl w:ilvl="1">
      <w:start w:val="1"/>
      <w:numFmt w:val="bullet"/>
      <w:lvlText w:val=""/>
      <w:lvlJc w:val="left"/>
      <w:pPr>
        <w:ind w:left="738" w:hanging="369"/>
      </w:pPr>
      <w:rPr>
        <w:rFonts w:ascii="Symbol" w:hAnsi="Symbol" w:hint="default"/>
      </w:rPr>
    </w:lvl>
    <w:lvl w:ilvl="2">
      <w:start w:val="1"/>
      <w:numFmt w:val="lowerRoman"/>
      <w:lvlText w:val="%3."/>
      <w:lvlJc w:val="left"/>
      <w:pPr>
        <w:ind w:left="1107" w:hanging="369"/>
      </w:pPr>
    </w:lvl>
    <w:lvl w:ilvl="3">
      <w:start w:val="1"/>
      <w:numFmt w:val="bullet"/>
      <w:lvlText w:val=""/>
      <w:lvlJc w:val="left"/>
      <w:pPr>
        <w:ind w:left="1476" w:hanging="369"/>
      </w:pPr>
      <w:rPr>
        <w:rFonts w:ascii="Symbol" w:hAnsi="Symbol" w:hint="default"/>
      </w:rPr>
    </w:lvl>
    <w:lvl w:ilvl="4">
      <w:start w:val="1"/>
      <w:numFmt w:val="none"/>
      <w:lvlText w:val="%5"/>
      <w:lvlJc w:val="left"/>
      <w:pPr>
        <w:ind w:left="1845" w:hanging="369"/>
      </w:pPr>
    </w:lvl>
    <w:lvl w:ilvl="5">
      <w:start w:val="1"/>
      <w:numFmt w:val="none"/>
      <w:lvlText w:val="%6"/>
      <w:lvlJc w:val="left"/>
      <w:pPr>
        <w:ind w:left="2214" w:hanging="369"/>
      </w:pPr>
    </w:lvl>
    <w:lvl w:ilvl="6">
      <w:start w:val="1"/>
      <w:numFmt w:val="none"/>
      <w:lvlText w:val="%7"/>
      <w:lvlJc w:val="left"/>
      <w:pPr>
        <w:ind w:left="2583" w:hanging="369"/>
      </w:pPr>
    </w:lvl>
    <w:lvl w:ilvl="7">
      <w:start w:val="1"/>
      <w:numFmt w:val="none"/>
      <w:lvlText w:val="%8"/>
      <w:lvlJc w:val="left"/>
      <w:pPr>
        <w:ind w:left="2952" w:hanging="369"/>
      </w:pPr>
    </w:lvl>
    <w:lvl w:ilvl="8">
      <w:start w:val="1"/>
      <w:numFmt w:val="none"/>
      <w:lvlText w:val="%9"/>
      <w:lvlJc w:val="left"/>
      <w:pPr>
        <w:ind w:left="3321" w:hanging="369"/>
      </w:pPr>
    </w:lvl>
  </w:abstractNum>
  <w:abstractNum w:abstractNumId="13" w15:restartNumberingAfterBreak="0">
    <w:nsid w:val="4678392E"/>
    <w:multiLevelType w:val="multilevel"/>
    <w:tmpl w:val="9D22BA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5" w15:restartNumberingAfterBreak="0">
    <w:nsid w:val="533A1C3C"/>
    <w:multiLevelType w:val="hybridMultilevel"/>
    <w:tmpl w:val="248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A5B5A"/>
    <w:multiLevelType w:val="hybridMultilevel"/>
    <w:tmpl w:val="9AD455F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6A07856"/>
    <w:multiLevelType w:val="hybridMultilevel"/>
    <w:tmpl w:val="AD9A9B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574115DD"/>
    <w:multiLevelType w:val="hybridMultilevel"/>
    <w:tmpl w:val="F878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456429"/>
    <w:multiLevelType w:val="multilevel"/>
    <w:tmpl w:val="39909354"/>
    <w:numStyleLink w:val="KeyPoints"/>
  </w:abstractNum>
  <w:abstractNum w:abstractNumId="21" w15:restartNumberingAfterBreak="0">
    <w:nsid w:val="666905DB"/>
    <w:multiLevelType w:val="multilevel"/>
    <w:tmpl w:val="39909354"/>
    <w:styleLink w:val="KeyPoints"/>
    <w:lvl w:ilvl="0">
      <w:start w:val="1"/>
      <w:numFmt w:val="decimal"/>
      <w:lvlText w:val="%1."/>
      <w:lvlJc w:val="left"/>
      <w:pPr>
        <w:ind w:left="369" w:hanging="369"/>
      </w:pPr>
      <w:rPr>
        <w:rFonts w:ascii="Arial" w:hAnsi="Arial"/>
        <w:sz w:val="22"/>
      </w:rPr>
    </w:lvl>
    <w:lvl w:ilvl="1">
      <w:start w:val="1"/>
      <w:numFmt w:val="bullet"/>
      <w:lvlText w:val=""/>
      <w:lvlJc w:val="left"/>
      <w:pPr>
        <w:ind w:left="738" w:hanging="369"/>
      </w:pPr>
      <w:rPr>
        <w:rFonts w:ascii="Symbol" w:hAnsi="Symbol" w:hint="default"/>
      </w:rPr>
    </w:lvl>
    <w:lvl w:ilvl="2">
      <w:start w:val="1"/>
      <w:numFmt w:val="lowerRoman"/>
      <w:lvlText w:val="%3."/>
      <w:lvlJc w:val="left"/>
      <w:pPr>
        <w:ind w:left="1107" w:hanging="369"/>
      </w:pPr>
    </w:lvl>
    <w:lvl w:ilvl="3">
      <w:start w:val="1"/>
      <w:numFmt w:val="none"/>
      <w:lvlText w:val="%4"/>
      <w:lvlJc w:val="left"/>
      <w:pPr>
        <w:ind w:left="1476" w:hanging="369"/>
      </w:pPr>
    </w:lvl>
    <w:lvl w:ilvl="4">
      <w:start w:val="1"/>
      <w:numFmt w:val="none"/>
      <w:lvlText w:val="%5"/>
      <w:lvlJc w:val="left"/>
      <w:pPr>
        <w:ind w:left="1845" w:hanging="369"/>
      </w:pPr>
    </w:lvl>
    <w:lvl w:ilvl="5">
      <w:start w:val="1"/>
      <w:numFmt w:val="none"/>
      <w:lvlText w:val="%6"/>
      <w:lvlJc w:val="left"/>
      <w:pPr>
        <w:ind w:left="2214" w:hanging="369"/>
      </w:pPr>
    </w:lvl>
    <w:lvl w:ilvl="6">
      <w:start w:val="1"/>
      <w:numFmt w:val="none"/>
      <w:lvlText w:val="%7"/>
      <w:lvlJc w:val="left"/>
      <w:pPr>
        <w:ind w:left="2583" w:hanging="369"/>
      </w:pPr>
    </w:lvl>
    <w:lvl w:ilvl="7">
      <w:start w:val="1"/>
      <w:numFmt w:val="none"/>
      <w:lvlText w:val="%8"/>
      <w:lvlJc w:val="left"/>
      <w:pPr>
        <w:ind w:left="2952" w:hanging="369"/>
      </w:pPr>
    </w:lvl>
    <w:lvl w:ilvl="8">
      <w:start w:val="1"/>
      <w:numFmt w:val="none"/>
      <w:lvlText w:val="%9"/>
      <w:lvlJc w:val="left"/>
      <w:pPr>
        <w:ind w:left="3321" w:hanging="369"/>
      </w:pPr>
    </w:lvl>
  </w:abstractNum>
  <w:abstractNum w:abstractNumId="22" w15:restartNumberingAfterBreak="0">
    <w:nsid w:val="66AF11D5"/>
    <w:multiLevelType w:val="multilevel"/>
    <w:tmpl w:val="7A103CBC"/>
    <w:lvl w:ilvl="0">
      <w:start w:val="1"/>
      <w:numFmt w:val="decimal"/>
      <w:lvlText w:val="%1."/>
      <w:lvlJc w:val="left"/>
      <w:pPr>
        <w:ind w:left="369" w:hanging="369"/>
      </w:pPr>
      <w:rPr>
        <w:rFonts w:ascii="Arial" w:hAnsi="Arial"/>
        <w:sz w:val="22"/>
      </w:rPr>
    </w:lvl>
    <w:lvl w:ilvl="1">
      <w:start w:val="1"/>
      <w:numFmt w:val="bullet"/>
      <w:lvlText w:val=""/>
      <w:lvlJc w:val="left"/>
      <w:pPr>
        <w:ind w:left="738" w:hanging="369"/>
      </w:pPr>
      <w:rPr>
        <w:rFonts w:ascii="Symbol" w:hAnsi="Symbol" w:hint="default"/>
      </w:rPr>
    </w:lvl>
    <w:lvl w:ilvl="2">
      <w:start w:val="1"/>
      <w:numFmt w:val="lowerRoman"/>
      <w:lvlText w:val="%3."/>
      <w:lvlJc w:val="left"/>
      <w:pPr>
        <w:ind w:left="1107" w:hanging="369"/>
      </w:pPr>
    </w:lvl>
    <w:lvl w:ilvl="3">
      <w:start w:val="1"/>
      <w:numFmt w:val="none"/>
      <w:lvlText w:val="%4"/>
      <w:lvlJc w:val="left"/>
      <w:pPr>
        <w:ind w:left="1476" w:hanging="369"/>
      </w:pPr>
    </w:lvl>
    <w:lvl w:ilvl="4">
      <w:start w:val="1"/>
      <w:numFmt w:val="none"/>
      <w:lvlText w:val="%5"/>
      <w:lvlJc w:val="left"/>
      <w:pPr>
        <w:ind w:left="1845" w:hanging="369"/>
      </w:pPr>
    </w:lvl>
    <w:lvl w:ilvl="5">
      <w:start w:val="1"/>
      <w:numFmt w:val="none"/>
      <w:lvlText w:val="%6"/>
      <w:lvlJc w:val="left"/>
      <w:pPr>
        <w:ind w:left="2214" w:hanging="369"/>
      </w:pPr>
    </w:lvl>
    <w:lvl w:ilvl="6">
      <w:start w:val="1"/>
      <w:numFmt w:val="none"/>
      <w:lvlText w:val="%7"/>
      <w:lvlJc w:val="left"/>
      <w:pPr>
        <w:ind w:left="2583" w:hanging="369"/>
      </w:pPr>
    </w:lvl>
    <w:lvl w:ilvl="7">
      <w:start w:val="1"/>
      <w:numFmt w:val="none"/>
      <w:lvlText w:val="%8"/>
      <w:lvlJc w:val="left"/>
      <w:pPr>
        <w:ind w:left="2952" w:hanging="369"/>
      </w:pPr>
    </w:lvl>
    <w:lvl w:ilvl="8">
      <w:start w:val="1"/>
      <w:numFmt w:val="none"/>
      <w:lvlText w:val="%9"/>
      <w:lvlJc w:val="left"/>
      <w:pPr>
        <w:ind w:left="3321" w:hanging="369"/>
      </w:pPr>
    </w:lvl>
  </w:abstractNum>
  <w:abstractNum w:abstractNumId="23" w15:restartNumberingAfterBreak="0">
    <w:nsid w:val="6DAB17EE"/>
    <w:multiLevelType w:val="hybridMultilevel"/>
    <w:tmpl w:val="871A9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5"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D5D28"/>
    <w:multiLevelType w:val="multilevel"/>
    <w:tmpl w:val="1666B4F0"/>
    <w:lvl w:ilvl="0">
      <w:start w:val="1"/>
      <w:numFmt w:val="decimal"/>
      <w:lvlText w:val="%1."/>
      <w:lvlJc w:val="left"/>
      <w:pPr>
        <w:ind w:left="369" w:hanging="369"/>
      </w:pPr>
      <w:rPr>
        <w:rFonts w:ascii="Arial" w:hAnsi="Arial"/>
        <w:sz w:val="22"/>
      </w:rPr>
    </w:lvl>
    <w:lvl w:ilvl="1">
      <w:start w:val="1"/>
      <w:numFmt w:val="bullet"/>
      <w:lvlText w:val=""/>
      <w:lvlJc w:val="left"/>
      <w:pPr>
        <w:ind w:left="738" w:hanging="369"/>
      </w:pPr>
      <w:rPr>
        <w:rFonts w:ascii="Symbol" w:hAnsi="Symbol" w:hint="default"/>
      </w:rPr>
    </w:lvl>
    <w:lvl w:ilvl="2">
      <w:start w:val="1"/>
      <w:numFmt w:val="lowerRoman"/>
      <w:lvlText w:val="%3."/>
      <w:lvlJc w:val="left"/>
      <w:pPr>
        <w:ind w:left="1107" w:hanging="369"/>
      </w:pPr>
    </w:lvl>
    <w:lvl w:ilvl="3">
      <w:start w:val="1"/>
      <w:numFmt w:val="none"/>
      <w:lvlText w:val="%4"/>
      <w:lvlJc w:val="left"/>
      <w:pPr>
        <w:ind w:left="1476" w:hanging="369"/>
      </w:pPr>
    </w:lvl>
    <w:lvl w:ilvl="4">
      <w:start w:val="1"/>
      <w:numFmt w:val="none"/>
      <w:lvlText w:val="%5"/>
      <w:lvlJc w:val="left"/>
      <w:pPr>
        <w:ind w:left="1845" w:hanging="369"/>
      </w:pPr>
    </w:lvl>
    <w:lvl w:ilvl="5">
      <w:start w:val="1"/>
      <w:numFmt w:val="none"/>
      <w:lvlText w:val="%6"/>
      <w:lvlJc w:val="left"/>
      <w:pPr>
        <w:ind w:left="2214" w:hanging="369"/>
      </w:pPr>
    </w:lvl>
    <w:lvl w:ilvl="6">
      <w:start w:val="1"/>
      <w:numFmt w:val="none"/>
      <w:lvlText w:val="%7"/>
      <w:lvlJc w:val="left"/>
      <w:pPr>
        <w:ind w:left="2583" w:hanging="369"/>
      </w:pPr>
    </w:lvl>
    <w:lvl w:ilvl="7">
      <w:start w:val="1"/>
      <w:numFmt w:val="none"/>
      <w:lvlText w:val="%8"/>
      <w:lvlJc w:val="left"/>
      <w:pPr>
        <w:ind w:left="2952" w:hanging="369"/>
      </w:pPr>
    </w:lvl>
    <w:lvl w:ilvl="8">
      <w:start w:val="1"/>
      <w:numFmt w:val="none"/>
      <w:lvlText w:val="%9"/>
      <w:lvlJc w:val="left"/>
      <w:pPr>
        <w:ind w:left="3321" w:hanging="369"/>
      </w:pPr>
    </w:lvl>
  </w:abstractNum>
  <w:abstractNum w:abstractNumId="27" w15:restartNumberingAfterBreak="0">
    <w:nsid w:val="77415CAE"/>
    <w:multiLevelType w:val="hybridMultilevel"/>
    <w:tmpl w:val="AA92319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24"/>
  </w:num>
  <w:num w:numId="4">
    <w:abstractNumId w:val="14"/>
  </w:num>
  <w:num w:numId="5">
    <w:abstractNumId w:val="6"/>
  </w:num>
  <w:num w:numId="6">
    <w:abstractNumId w:val="25"/>
  </w:num>
  <w:num w:numId="7">
    <w:abstractNumId w:val="10"/>
  </w:num>
  <w:num w:numId="8">
    <w:abstractNumId w:val="7"/>
  </w:num>
  <w:num w:numId="9">
    <w:abstractNumId w:val="13"/>
  </w:num>
  <w:num w:numId="10">
    <w:abstractNumId w:val="18"/>
  </w:num>
  <w:num w:numId="11">
    <w:abstractNumId w:val="16"/>
  </w:num>
  <w:num w:numId="12">
    <w:abstractNumId w:val="23"/>
  </w:num>
  <w:num w:numId="13">
    <w:abstractNumId w:val="5"/>
  </w:num>
  <w:num w:numId="14">
    <w:abstractNumId w:val="21"/>
  </w:num>
  <w:num w:numId="15">
    <w:abstractNumId w:val="1"/>
  </w:num>
  <w:num w:numId="16">
    <w:abstractNumId w:val="20"/>
  </w:num>
  <w:num w:numId="17">
    <w:abstractNumId w:val="4"/>
  </w:num>
  <w:num w:numId="18">
    <w:abstractNumId w:val="0"/>
  </w:num>
  <w:num w:numId="19">
    <w:abstractNumId w:val="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9"/>
  </w:num>
  <w:num w:numId="24">
    <w:abstractNumId w:val="15"/>
  </w:num>
  <w:num w:numId="25">
    <w:abstractNumId w:val="26"/>
  </w:num>
  <w:num w:numId="26">
    <w:abstractNumId w:val="22"/>
  </w:num>
  <w:num w:numId="27">
    <w:abstractNumId w:val="9"/>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2B5345"/>
    <w:rsid w:val="00365172"/>
    <w:rsid w:val="003C38A9"/>
    <w:rsid w:val="004D2819"/>
    <w:rsid w:val="005330F7"/>
    <w:rsid w:val="005403B0"/>
    <w:rsid w:val="00563598"/>
    <w:rsid w:val="005C4B90"/>
    <w:rsid w:val="006677CA"/>
    <w:rsid w:val="00705C1D"/>
    <w:rsid w:val="00853DCA"/>
    <w:rsid w:val="00870459"/>
    <w:rsid w:val="00882CD0"/>
    <w:rsid w:val="00896FBB"/>
    <w:rsid w:val="008C067D"/>
    <w:rsid w:val="00A02506"/>
    <w:rsid w:val="00A80FFD"/>
    <w:rsid w:val="00AA0100"/>
    <w:rsid w:val="00AB773C"/>
    <w:rsid w:val="00B306AD"/>
    <w:rsid w:val="00C5486A"/>
    <w:rsid w:val="00C771C2"/>
    <w:rsid w:val="00C87CA3"/>
    <w:rsid w:val="00C908C2"/>
    <w:rsid w:val="00CF7359"/>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F0BE"/>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customStyle="1" w:styleId="FirstTitle">
    <w:name w:val="First Title"/>
    <w:basedOn w:val="Normal"/>
    <w:rsid w:val="00CF7359"/>
    <w:pPr>
      <w:widowControl w:val="0"/>
      <w:suppressAutoHyphens/>
      <w:autoSpaceDE w:val="0"/>
      <w:autoSpaceDN w:val="0"/>
      <w:spacing w:after="120" w:line="240" w:lineRule="auto"/>
      <w:jc w:val="center"/>
    </w:pPr>
    <w:rPr>
      <w:rFonts w:eastAsia="Times New Roman" w:cs="Arial"/>
      <w:b/>
      <w:lang w:val="fr-FR" w:eastAsia="fr-FR" w:bidi="fr-FR"/>
    </w:rPr>
  </w:style>
  <w:style w:type="character" w:styleId="Hyperlink">
    <w:name w:val="Hyperlink"/>
    <w:basedOn w:val="DefaultParagraphFont"/>
    <w:uiPriority w:val="99"/>
    <w:unhideWhenUsed/>
    <w:rsid w:val="00AA0100"/>
    <w:rPr>
      <w:color w:val="0563C1" w:themeColor="hyperlink"/>
      <w:u w:val="single"/>
    </w:rPr>
  </w:style>
  <w:style w:type="character" w:styleId="UnresolvedMention">
    <w:name w:val="Unresolved Mention"/>
    <w:basedOn w:val="DefaultParagraphFont"/>
    <w:uiPriority w:val="99"/>
    <w:semiHidden/>
    <w:unhideWhenUsed/>
    <w:rsid w:val="00AA0100"/>
    <w:rPr>
      <w:color w:val="605E5C"/>
      <w:shd w:val="clear" w:color="auto" w:fill="E1DFDD"/>
    </w:rPr>
  </w:style>
  <w:style w:type="paragraph" w:customStyle="1" w:styleId="SecondTitle">
    <w:name w:val="Second Title"/>
    <w:basedOn w:val="Normal"/>
    <w:rsid w:val="006677CA"/>
    <w:pPr>
      <w:widowControl w:val="0"/>
      <w:suppressAutoHyphens/>
      <w:autoSpaceDE w:val="0"/>
      <w:autoSpaceDN w:val="0"/>
      <w:spacing w:after="0" w:line="240" w:lineRule="auto"/>
      <w:jc w:val="both"/>
      <w:textAlignment w:val="baseline"/>
    </w:pPr>
    <w:rPr>
      <w:rFonts w:eastAsia="Times New Roman" w:cs="Arial"/>
      <w:u w:val="single"/>
      <w:lang w:val="fr-FR" w:eastAsia="fr-FR" w:bidi="fr-FR"/>
    </w:rPr>
  </w:style>
  <w:style w:type="numbering" w:customStyle="1" w:styleId="KeyPoints">
    <w:name w:val="Key Points"/>
    <w:basedOn w:val="NoList"/>
    <w:uiPriority w:val="99"/>
    <w:rsid w:val="006677CA"/>
    <w:pPr>
      <w:numPr>
        <w:numId w:val="14"/>
      </w:numPr>
    </w:pPr>
  </w:style>
  <w:style w:type="numbering" w:customStyle="1" w:styleId="BulletList">
    <w:name w:val="Bullet List"/>
    <w:uiPriority w:val="99"/>
    <w:rsid w:val="006677CA"/>
    <w:pPr>
      <w:numPr>
        <w:numId w:val="15"/>
      </w:numPr>
    </w:pPr>
  </w:style>
  <w:style w:type="paragraph" w:styleId="ListBullet">
    <w:name w:val="List Bullet"/>
    <w:basedOn w:val="Normal"/>
    <w:uiPriority w:val="99"/>
    <w:unhideWhenUsed/>
    <w:qFormat/>
    <w:rsid w:val="006677CA"/>
    <w:pPr>
      <w:numPr>
        <w:numId w:val="17"/>
      </w:numPr>
      <w:spacing w:after="200" w:line="276" w:lineRule="auto"/>
    </w:pPr>
    <w:rPr>
      <w:rFonts w:eastAsia="Calibri" w:cs="Times New Roman"/>
      <w:lang w:val="fr-FR" w:eastAsia="fr-FR" w:bidi="fr-FR"/>
    </w:rPr>
  </w:style>
  <w:style w:type="paragraph" w:styleId="ListBullet2">
    <w:name w:val="List Bullet 2"/>
    <w:basedOn w:val="Normal"/>
    <w:uiPriority w:val="99"/>
    <w:unhideWhenUsed/>
    <w:rsid w:val="006677CA"/>
    <w:pPr>
      <w:numPr>
        <w:ilvl w:val="1"/>
        <w:numId w:val="17"/>
      </w:numPr>
      <w:spacing w:after="200" w:line="276" w:lineRule="auto"/>
    </w:pPr>
    <w:rPr>
      <w:rFonts w:eastAsia="Calibri" w:cs="Times New Roman"/>
      <w:lang w:val="fr-FR" w:eastAsia="fr-FR" w:bidi="fr-FR"/>
    </w:rPr>
  </w:style>
  <w:style w:type="paragraph" w:styleId="ListBullet3">
    <w:name w:val="List Bullet 3"/>
    <w:basedOn w:val="Normal"/>
    <w:uiPriority w:val="99"/>
    <w:unhideWhenUsed/>
    <w:rsid w:val="006677CA"/>
    <w:pPr>
      <w:numPr>
        <w:ilvl w:val="2"/>
        <w:numId w:val="17"/>
      </w:numPr>
      <w:spacing w:after="200" w:line="276" w:lineRule="auto"/>
    </w:pPr>
    <w:rPr>
      <w:rFonts w:eastAsia="Calibri" w:cs="Times New Roman"/>
      <w:lang w:val="fr-FR" w:eastAsia="fr-FR" w:bidi="fr-FR"/>
    </w:rPr>
  </w:style>
  <w:style w:type="paragraph" w:styleId="ListBullet4">
    <w:name w:val="List Bullet 4"/>
    <w:basedOn w:val="Normal"/>
    <w:uiPriority w:val="99"/>
    <w:unhideWhenUsed/>
    <w:rsid w:val="006677CA"/>
    <w:pPr>
      <w:numPr>
        <w:ilvl w:val="3"/>
        <w:numId w:val="17"/>
      </w:numPr>
      <w:spacing w:after="200" w:line="276" w:lineRule="auto"/>
    </w:pPr>
    <w:rPr>
      <w:rFonts w:eastAsia="Calibri" w:cs="Times New Roman"/>
      <w:lang w:val="fr-FR" w:eastAsia="fr-FR" w:bidi="fr-FR"/>
    </w:rPr>
  </w:style>
  <w:style w:type="paragraph" w:styleId="ListBullet5">
    <w:name w:val="List Bullet 5"/>
    <w:basedOn w:val="Normal"/>
    <w:uiPriority w:val="99"/>
    <w:unhideWhenUsed/>
    <w:rsid w:val="006677CA"/>
    <w:pPr>
      <w:numPr>
        <w:ilvl w:val="4"/>
        <w:numId w:val="17"/>
      </w:numPr>
      <w:spacing w:after="200" w:line="276" w:lineRule="auto"/>
    </w:pPr>
    <w:rPr>
      <w:rFonts w:eastAsia="Calibri" w:cs="Times New Roman"/>
      <w:lang w:val="fr-FR" w:eastAsia="fr-FR" w:bidi="fr-FR"/>
    </w:rPr>
  </w:style>
  <w:style w:type="paragraph" w:styleId="ListNumber">
    <w:name w:val="List Number"/>
    <w:basedOn w:val="Normal"/>
    <w:uiPriority w:val="99"/>
    <w:qFormat/>
    <w:rsid w:val="006677CA"/>
    <w:pPr>
      <w:numPr>
        <w:numId w:val="16"/>
      </w:numPr>
      <w:spacing w:after="200" w:line="276" w:lineRule="auto"/>
    </w:pPr>
    <w:rPr>
      <w:rFonts w:eastAsia="Calibri" w:cs="Times New Roman"/>
      <w:lang w:val="fr-FR" w:eastAsia="fr-FR" w:bidi="fr-FR"/>
    </w:rPr>
  </w:style>
  <w:style w:type="paragraph" w:styleId="ListNumber2">
    <w:name w:val="List Number 2"/>
    <w:basedOn w:val="Normal"/>
    <w:uiPriority w:val="99"/>
    <w:rsid w:val="006677CA"/>
    <w:pPr>
      <w:numPr>
        <w:ilvl w:val="1"/>
        <w:numId w:val="16"/>
      </w:numPr>
      <w:spacing w:after="200" w:line="276" w:lineRule="auto"/>
    </w:pPr>
    <w:rPr>
      <w:rFonts w:eastAsia="Calibri" w:cs="Times New Roman"/>
      <w:lang w:val="fr-FR" w:eastAsia="fr-FR" w:bidi="fr-FR"/>
    </w:rPr>
  </w:style>
  <w:style w:type="paragraph" w:styleId="ListNumber3">
    <w:name w:val="List Number 3"/>
    <w:basedOn w:val="Normal"/>
    <w:uiPriority w:val="99"/>
    <w:rsid w:val="006677CA"/>
    <w:pPr>
      <w:numPr>
        <w:ilvl w:val="2"/>
        <w:numId w:val="16"/>
      </w:numPr>
      <w:spacing w:after="200" w:line="276" w:lineRule="auto"/>
    </w:pPr>
    <w:rPr>
      <w:rFonts w:eastAsia="Calibri" w:cs="Times New Roman"/>
      <w:lang w:val="fr-FR" w:eastAsia="fr-FR" w:bidi="fr-FR"/>
    </w:rPr>
  </w:style>
  <w:style w:type="paragraph" w:styleId="ListNumber4">
    <w:name w:val="List Number 4"/>
    <w:basedOn w:val="Normal"/>
    <w:uiPriority w:val="99"/>
    <w:rsid w:val="006677CA"/>
    <w:pPr>
      <w:numPr>
        <w:ilvl w:val="3"/>
        <w:numId w:val="16"/>
      </w:numPr>
      <w:spacing w:after="200" w:line="276" w:lineRule="auto"/>
    </w:pPr>
    <w:rPr>
      <w:rFonts w:eastAsia="Calibri" w:cs="Times New Roman"/>
      <w:lang w:val="fr-FR" w:eastAsia="fr-FR" w:bidi="fr-FR"/>
    </w:rPr>
  </w:style>
  <w:style w:type="paragraph" w:styleId="ListNumber5">
    <w:name w:val="List Number 5"/>
    <w:basedOn w:val="Normal"/>
    <w:uiPriority w:val="99"/>
    <w:rsid w:val="006677CA"/>
    <w:pPr>
      <w:numPr>
        <w:ilvl w:val="4"/>
        <w:numId w:val="16"/>
      </w:numPr>
      <w:spacing w:after="200" w:line="276" w:lineRule="auto"/>
    </w:pPr>
    <w:rPr>
      <w:rFonts w:eastAsia="Calibri" w:cs="Times New Roman"/>
      <w:lang w:val="fr-FR" w:eastAsia="fr-FR" w:bidi="fr-FR"/>
    </w:rPr>
  </w:style>
  <w:style w:type="table" w:styleId="TableGrid">
    <w:name w:val="Table Grid"/>
    <w:basedOn w:val="TableNormal"/>
    <w:uiPriority w:val="59"/>
    <w:rsid w:val="006677CA"/>
    <w:pPr>
      <w:spacing w:after="0" w:line="240" w:lineRule="auto"/>
    </w:pPr>
    <w:rPr>
      <w:rFonts w:eastAsia="Calibri" w:cs="Times New Roman"/>
      <w:sz w:val="20"/>
      <w:szCs w:val="20"/>
      <w:lang w:val="fr-FR" w:eastAsia="fr-FR" w:bidi="fr-F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styleId="Caption">
    <w:name w:val="caption"/>
    <w:basedOn w:val="Normal"/>
    <w:next w:val="Normal"/>
    <w:uiPriority w:val="35"/>
    <w:unhideWhenUsed/>
    <w:qFormat/>
    <w:rsid w:val="006677CA"/>
    <w:pPr>
      <w:spacing w:after="200" w:line="240" w:lineRule="auto"/>
    </w:pPr>
    <w:rPr>
      <w:rFonts w:eastAsia="Calibri" w:cs="Times New Roman"/>
      <w:i/>
      <w:iCs/>
      <w:color w:val="44546A" w:themeColor="text2"/>
      <w:sz w:val="18"/>
      <w:szCs w:val="18"/>
      <w:lang w:val="fr-FR" w:eastAsia="fr-FR" w:bidi="fr-FR"/>
    </w:rPr>
  </w:style>
  <w:style w:type="paragraph" w:styleId="FootnoteText">
    <w:name w:val="footnote text"/>
    <w:basedOn w:val="Normal"/>
    <w:link w:val="FootnoteTextChar"/>
    <w:uiPriority w:val="99"/>
    <w:semiHidden/>
    <w:unhideWhenUsed/>
    <w:rsid w:val="006677CA"/>
    <w:pPr>
      <w:spacing w:after="0" w:line="240" w:lineRule="auto"/>
    </w:pPr>
    <w:rPr>
      <w:rFonts w:eastAsia="Calibri" w:cs="Times New Roman"/>
      <w:sz w:val="20"/>
      <w:szCs w:val="20"/>
      <w:lang w:val="en-AU"/>
    </w:rPr>
  </w:style>
  <w:style w:type="character" w:customStyle="1" w:styleId="FootnoteTextChar">
    <w:name w:val="Footnote Text Char"/>
    <w:basedOn w:val="DefaultParagraphFont"/>
    <w:link w:val="FootnoteText"/>
    <w:uiPriority w:val="99"/>
    <w:semiHidden/>
    <w:rsid w:val="006677CA"/>
    <w:rPr>
      <w:rFonts w:eastAsia="Calibri" w:cs="Times New Roman"/>
      <w:sz w:val="20"/>
      <w:szCs w:val="20"/>
      <w:lang w:val="en-AU"/>
    </w:rPr>
  </w:style>
  <w:style w:type="character" w:styleId="FootnoteReference">
    <w:name w:val="footnote reference"/>
    <w:basedOn w:val="DefaultParagraphFont"/>
    <w:uiPriority w:val="99"/>
    <w:semiHidden/>
    <w:unhideWhenUsed/>
    <w:rsid w:val="00667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6885">
      <w:bodyDiv w:val="1"/>
      <w:marLeft w:val="0"/>
      <w:marRight w:val="0"/>
      <w:marTop w:val="0"/>
      <w:marBottom w:val="0"/>
      <w:divBdr>
        <w:top w:val="none" w:sz="0" w:space="0" w:color="auto"/>
        <w:left w:val="none" w:sz="0" w:space="0" w:color="auto"/>
        <w:bottom w:val="none" w:sz="0" w:space="0" w:color="auto"/>
        <w:right w:val="none" w:sz="0" w:space="0" w:color="auto"/>
      </w:divBdr>
    </w:div>
    <w:div w:id="1462648188">
      <w:bodyDiv w:val="1"/>
      <w:marLeft w:val="0"/>
      <w:marRight w:val="0"/>
      <w:marTop w:val="0"/>
      <w:marBottom w:val="0"/>
      <w:divBdr>
        <w:top w:val="none" w:sz="0" w:space="0" w:color="auto"/>
        <w:left w:val="none" w:sz="0" w:space="0" w:color="auto"/>
        <w:bottom w:val="none" w:sz="0" w:space="0" w:color="auto"/>
        <w:right w:val="none" w:sz="0" w:space="0" w:color="auto"/>
      </w:divBdr>
    </w:div>
    <w:div w:id="1794907848">
      <w:bodyDiv w:val="1"/>
      <w:marLeft w:val="0"/>
      <w:marRight w:val="0"/>
      <w:marTop w:val="0"/>
      <w:marBottom w:val="0"/>
      <w:divBdr>
        <w:top w:val="none" w:sz="0" w:space="0" w:color="auto"/>
        <w:left w:val="none" w:sz="0" w:space="0" w:color="auto"/>
        <w:bottom w:val="none" w:sz="0" w:space="0" w:color="auto"/>
        <w:right w:val="none" w:sz="0" w:space="0" w:color="auto"/>
      </w:divBdr>
    </w:div>
    <w:div w:id="20883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ites/default/files/document/cms_scc-sc4_doc.3.1_r%C3%A9vision-domaines-activit%C3%A9s-conseillers-nomm%C3%A9s-cop_f_0.pdf" TargetMode="Externa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https://www.cms.int/fr/news/2019022-nomination-de-candidats-pour-les-nouveaux-domaines-dactivit%C3%A9-des-conseillers-nomm%C3%A9s-par" TargetMode="External"/><Relationship Id="rId14" Type="http://schemas.openxmlformats.org/officeDocument/2006/relationships/header" Target="header3.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4346F8-7A90-4138-81DF-E1977D47C8AB}" type="doc">
      <dgm:prSet loTypeId="urn:microsoft.com/office/officeart/2009/layout/CircleArrowProcess" loCatId="cycle" qsTypeId="urn:microsoft.com/office/officeart/2005/8/quickstyle/simple5" qsCatId="simple" csTypeId="urn:microsoft.com/office/officeart/2005/8/colors/accent1_2" csCatId="accent1" phldr="1"/>
      <dgm:spPr/>
      <dgm:t>
        <a:bodyPr/>
        <a:lstStyle/>
        <a:p>
          <a:endParaRPr lang="en-AU"/>
        </a:p>
      </dgm:t>
    </dgm:pt>
    <dgm:pt modelId="{5BA85782-7F98-4DA8-AB06-29AD1BB9E42F}">
      <dgm:prSet phldrT="[Text]" custT="1"/>
      <dgm:spPr>
        <a:xfrm>
          <a:off x="2763359" y="593278"/>
          <a:ext cx="1207881" cy="603708"/>
        </a:xfrm>
        <a:prstGeom prst="rect">
          <a:avLst/>
        </a:prstGeom>
        <a:noFill/>
        <a:ln>
          <a:noFill/>
        </a:ln>
        <a:effectLst/>
      </dgm:spPr>
      <dgm:t>
        <a:bodyPr/>
        <a:lstStyle/>
        <a:p>
          <a:r>
            <a:rPr lang="fr-FR" sz="1400" b="1">
              <a:solidFill>
                <a:sysClr val="windowText" lastClr="000000">
                  <a:hueOff val="0"/>
                  <a:satOff val="0"/>
                  <a:lumOff val="0"/>
                  <a:alphaOff val="0"/>
                </a:sysClr>
              </a:solidFill>
              <a:latin typeface="Calibri"/>
              <a:ea typeface="+mn-ea"/>
            </a:rPr>
            <a:t>COP13</a:t>
          </a:r>
          <a:r>
            <a:rPr lang="fr-FR" sz="1600"/>
            <a:t> </a:t>
          </a:r>
          <a:endParaRPr lang="fr-FR" sz="1000"/>
        </a:p>
        <a:p>
          <a:r>
            <a:rPr lang="fr-FR" sz="1000"/>
            <a:t>Domaines d'activité et experts convenus</a:t>
          </a:r>
        </a:p>
      </dgm:t>
    </dgm:pt>
    <dgm:pt modelId="{33949543-5516-4C26-9F0E-49C62FFF80AE}" type="parTrans" cxnId="{9849D5D9-F2FA-445B-8FBE-C385C5971BAF}">
      <dgm:prSet/>
      <dgm:spPr/>
      <dgm:t>
        <a:bodyPr/>
        <a:lstStyle/>
        <a:p>
          <a:endParaRPr lang="en-AU"/>
        </a:p>
      </dgm:t>
    </dgm:pt>
    <dgm:pt modelId="{E79A2D79-132C-4DAA-883E-7B56BEB799E1}" type="sibTrans" cxnId="{9849D5D9-F2FA-445B-8FBE-C385C5971BAF}">
      <dgm:prSet/>
      <dgm:spPr/>
      <dgm:t>
        <a:bodyPr/>
        <a:lstStyle/>
        <a:p>
          <a:endParaRPr lang="en-AU"/>
        </a:p>
      </dgm:t>
    </dgm:pt>
    <dgm:pt modelId="{152CD75B-3F8A-4221-9470-681170467936}">
      <dgm:prSet phldrT="[Text]" custT="1"/>
      <dgm:spPr>
        <a:xfrm>
          <a:off x="2150090" y="1924051"/>
          <a:ext cx="1207881" cy="815713"/>
        </a:xfrm>
        <a:prstGeom prst="rect">
          <a:avLst/>
        </a:prstGeom>
        <a:solidFill>
          <a:srgbClr val="9BBB59"/>
        </a:solidFill>
        <a:ln>
          <a:noFill/>
        </a:ln>
        <a:effectLst/>
      </dgm:spPr>
      <dgm:t>
        <a:bodyPr/>
        <a:lstStyle/>
        <a:p>
          <a:r>
            <a:rPr lang="fr-FR" sz="1000"/>
            <a:t>Réunion du Comité de session</a:t>
          </a:r>
        </a:p>
      </dgm:t>
    </dgm:pt>
    <dgm:pt modelId="{4D97B053-F9BC-4CE8-A326-3262DE0C1262}" type="parTrans" cxnId="{F2FF7006-15A8-4441-BD48-F855AC99F2C4}">
      <dgm:prSet/>
      <dgm:spPr/>
      <dgm:t>
        <a:bodyPr/>
        <a:lstStyle/>
        <a:p>
          <a:endParaRPr lang="en-AU"/>
        </a:p>
      </dgm:t>
    </dgm:pt>
    <dgm:pt modelId="{51A8AB40-4478-4D38-B336-E465D19CAFBB}" type="sibTrans" cxnId="{F2FF7006-15A8-4441-BD48-F855AC99F2C4}">
      <dgm:prSet/>
      <dgm:spPr/>
      <dgm:t>
        <a:bodyPr/>
        <a:lstStyle/>
        <a:p>
          <a:endParaRPr lang="en-AU"/>
        </a:p>
      </dgm:t>
    </dgm:pt>
    <dgm:pt modelId="{D525A055-AB1D-41D6-ABEB-4694E72B4228}">
      <dgm:prSet phldrT="[Text]" custT="1"/>
      <dgm:spPr>
        <a:xfrm>
          <a:off x="2753828" y="5562600"/>
          <a:ext cx="1207881" cy="1012473"/>
        </a:xfrm>
        <a:prstGeom prst="rect">
          <a:avLst/>
        </a:prstGeom>
        <a:solidFill>
          <a:srgbClr val="9BBB59"/>
        </a:solidFill>
        <a:ln>
          <a:noFill/>
        </a:ln>
        <a:effectLst/>
      </dgm:spPr>
      <dgm:t>
        <a:bodyPr/>
        <a:lstStyle/>
        <a:p>
          <a:r>
            <a:rPr lang="fr-FR" sz="1000"/>
            <a:t>Réunion du Comité de session</a:t>
          </a:r>
        </a:p>
        <a:p>
          <a:r>
            <a:rPr lang="fr-FR" sz="1000"/>
            <a:t>Début de l'examen des domaines d'activité</a:t>
          </a:r>
        </a:p>
      </dgm:t>
    </dgm:pt>
    <dgm:pt modelId="{7B6B01B0-E745-46A8-9A78-859138839A6A}" type="parTrans" cxnId="{73116622-6D76-4863-B4A5-D9D98743D06E}">
      <dgm:prSet/>
      <dgm:spPr/>
      <dgm:t>
        <a:bodyPr/>
        <a:lstStyle/>
        <a:p>
          <a:endParaRPr lang="en-AU"/>
        </a:p>
      </dgm:t>
    </dgm:pt>
    <dgm:pt modelId="{BFEA547C-56DE-4E01-9F8A-A548F42626D1}" type="sibTrans" cxnId="{73116622-6D76-4863-B4A5-D9D98743D06E}">
      <dgm:prSet/>
      <dgm:spPr/>
      <dgm:t>
        <a:bodyPr/>
        <a:lstStyle/>
        <a:p>
          <a:endParaRPr lang="en-AU"/>
        </a:p>
      </dgm:t>
    </dgm:pt>
    <dgm:pt modelId="{738DCDDC-CD7C-4F7F-B1FF-A7B01B8B1077}">
      <dgm:prSet phldrT="[Text]" custT="1"/>
      <dgm:spPr>
        <a:xfrm>
          <a:off x="2150090" y="6819901"/>
          <a:ext cx="1207881" cy="990420"/>
        </a:xfrm>
        <a:prstGeom prst="rect">
          <a:avLst/>
        </a:prstGeom>
        <a:solidFill>
          <a:srgbClr val="9BBB59"/>
        </a:solidFill>
        <a:ln>
          <a:noFill/>
        </a:ln>
        <a:effectLst/>
      </dgm:spPr>
      <dgm:t>
        <a:bodyPr/>
        <a:lstStyle/>
        <a:p>
          <a:r>
            <a:rPr lang="fr-FR" sz="1000"/>
            <a:t>Réunion du Comité de session</a:t>
          </a:r>
        </a:p>
        <a:p>
          <a:r>
            <a:rPr lang="fr-FR" sz="1000"/>
            <a:t>Finalisation de l'examen des domaines d'activité</a:t>
          </a:r>
        </a:p>
      </dgm:t>
    </dgm:pt>
    <dgm:pt modelId="{5AE8E2B3-E7E2-45B7-8FF9-C26B7208F917}" type="parTrans" cxnId="{18B5D213-D09E-445D-8340-EFAB175501A8}">
      <dgm:prSet/>
      <dgm:spPr/>
      <dgm:t>
        <a:bodyPr/>
        <a:lstStyle/>
        <a:p>
          <a:endParaRPr lang="en-AU"/>
        </a:p>
      </dgm:t>
    </dgm:pt>
    <dgm:pt modelId="{48B8468C-5B5C-4D49-B6EF-49A24C03B3E9}" type="sibTrans" cxnId="{18B5D213-D09E-445D-8340-EFAB175501A8}">
      <dgm:prSet/>
      <dgm:spPr/>
      <dgm:t>
        <a:bodyPr/>
        <a:lstStyle/>
        <a:p>
          <a:endParaRPr lang="en-AU"/>
        </a:p>
      </dgm:t>
    </dgm:pt>
    <dgm:pt modelId="{22F75FED-4866-4B00-94F0-76755B612FDF}">
      <dgm:prSet phldrT="[Text]" custT="1"/>
      <dgm:spPr>
        <a:xfrm>
          <a:off x="2753828" y="8029576"/>
          <a:ext cx="1207881" cy="1063620"/>
        </a:xfrm>
        <a:prstGeom prst="rect">
          <a:avLst/>
        </a:prstGeom>
        <a:noFill/>
        <a:ln>
          <a:noFill/>
        </a:ln>
        <a:effectLst/>
      </dgm:spPr>
      <dgm:t>
        <a:bodyPr/>
        <a:lstStyle/>
        <a:p>
          <a:r>
            <a:rPr lang="fr-FR" sz="1400" b="1">
              <a:solidFill>
                <a:sysClr val="windowText" lastClr="000000">
                  <a:hueOff val="0"/>
                  <a:satOff val="0"/>
                  <a:lumOff val="0"/>
                  <a:alphaOff val="0"/>
                </a:sysClr>
              </a:solidFill>
              <a:latin typeface="Calibri"/>
              <a:ea typeface="+mn-ea"/>
            </a:rPr>
            <a:t>COP15</a:t>
          </a:r>
          <a:endParaRPr lang="fr-FR" sz="1100" b="1">
            <a:solidFill>
              <a:sysClr val="windowText" lastClr="000000">
                <a:hueOff val="0"/>
                <a:satOff val="0"/>
                <a:lumOff val="0"/>
                <a:alphaOff val="0"/>
              </a:sysClr>
            </a:solidFill>
            <a:latin typeface="Calibri"/>
            <a:ea typeface="+mn-ea"/>
          </a:endParaRPr>
        </a:p>
        <a:p>
          <a:r>
            <a:rPr lang="fr-FR" sz="1000"/>
            <a:t>Recommandations sur les domaines d'activité et les candidats proposés</a:t>
          </a:r>
        </a:p>
      </dgm:t>
    </dgm:pt>
    <dgm:pt modelId="{10899DBC-C6AD-45CB-B3A4-24737D29046C}" type="parTrans" cxnId="{A2B62EAB-6164-49BA-BE8F-7DBAED90588D}">
      <dgm:prSet/>
      <dgm:spPr/>
      <dgm:t>
        <a:bodyPr/>
        <a:lstStyle/>
        <a:p>
          <a:endParaRPr lang="en-AU"/>
        </a:p>
      </dgm:t>
    </dgm:pt>
    <dgm:pt modelId="{8A5D3D45-C869-4608-9D9C-F90E027B9CAA}" type="sibTrans" cxnId="{A2B62EAB-6164-49BA-BE8F-7DBAED90588D}">
      <dgm:prSet/>
      <dgm:spPr/>
      <dgm:t>
        <a:bodyPr/>
        <a:lstStyle/>
        <a:p>
          <a:endParaRPr lang="en-AU"/>
        </a:p>
      </dgm:t>
    </dgm:pt>
    <dgm:pt modelId="{E9E5B98A-1D7C-4B2F-94CA-84636C63E89C}">
      <dgm:prSet custT="1"/>
      <dgm:spPr>
        <a:xfrm>
          <a:off x="2753828" y="3133726"/>
          <a:ext cx="1207881" cy="888912"/>
        </a:xfrm>
        <a:prstGeom prst="rect">
          <a:avLst/>
        </a:prstGeom>
        <a:solidFill>
          <a:srgbClr val="9BBB59"/>
        </a:solidFill>
        <a:ln>
          <a:noFill/>
        </a:ln>
        <a:effectLst/>
      </dgm:spPr>
      <dgm:t>
        <a:bodyPr/>
        <a:lstStyle/>
        <a:p>
          <a:r>
            <a:rPr lang="fr-FR" sz="1000"/>
            <a:t>Réunion du Comité de session</a:t>
          </a:r>
        </a:p>
      </dgm:t>
    </dgm:pt>
    <dgm:pt modelId="{F93E2D2A-3D85-4A80-9573-8112F9E2EAC0}" type="parTrans" cxnId="{260C23F7-0405-4D2E-972C-6F58FA7BD95F}">
      <dgm:prSet/>
      <dgm:spPr/>
      <dgm:t>
        <a:bodyPr/>
        <a:lstStyle/>
        <a:p>
          <a:endParaRPr lang="en-AU"/>
        </a:p>
      </dgm:t>
    </dgm:pt>
    <dgm:pt modelId="{AE499AF0-F40D-4E4F-9508-53733EAA0116}" type="sibTrans" cxnId="{260C23F7-0405-4D2E-972C-6F58FA7BD95F}">
      <dgm:prSet/>
      <dgm:spPr/>
      <dgm:t>
        <a:bodyPr/>
        <a:lstStyle/>
        <a:p>
          <a:endParaRPr lang="en-AU"/>
        </a:p>
      </dgm:t>
    </dgm:pt>
    <dgm:pt modelId="{AC03BCAE-B52E-4397-816A-06613802C3D5}">
      <dgm:prSet custT="1"/>
      <dgm:spPr>
        <a:xfrm>
          <a:off x="2150090" y="4522603"/>
          <a:ext cx="1207881" cy="603708"/>
        </a:xfrm>
        <a:prstGeom prst="rect">
          <a:avLst/>
        </a:prstGeom>
        <a:noFill/>
        <a:ln>
          <a:noFill/>
        </a:ln>
        <a:effectLst/>
      </dgm:spPr>
      <dgm:t>
        <a:bodyPr/>
        <a:lstStyle/>
        <a:p>
          <a:r>
            <a:rPr lang="fr-FR" sz="1400" b="1">
              <a:solidFill>
                <a:sysClr val="windowText" lastClr="000000">
                  <a:hueOff val="0"/>
                  <a:satOff val="0"/>
                  <a:lumOff val="0"/>
                  <a:alphaOff val="0"/>
                </a:sysClr>
              </a:solidFill>
              <a:latin typeface="Calibri"/>
              <a:ea typeface="+mn-ea"/>
            </a:rPr>
            <a:t>COP14</a:t>
          </a:r>
        </a:p>
      </dgm:t>
    </dgm:pt>
    <dgm:pt modelId="{68E8BD98-542D-42A7-9BE3-ABBCAD514062}" type="parTrans" cxnId="{59DE5E8F-67AB-476F-B5A9-639669648C22}">
      <dgm:prSet/>
      <dgm:spPr/>
      <dgm:t>
        <a:bodyPr/>
        <a:lstStyle/>
        <a:p>
          <a:endParaRPr lang="en-AU"/>
        </a:p>
      </dgm:t>
    </dgm:pt>
    <dgm:pt modelId="{5F7ACA6B-6F7E-4C8A-854A-AF4BE5F2F70E}" type="sibTrans" cxnId="{59DE5E8F-67AB-476F-B5A9-639669648C22}">
      <dgm:prSet/>
      <dgm:spPr/>
      <dgm:t>
        <a:bodyPr/>
        <a:lstStyle/>
        <a:p>
          <a:endParaRPr lang="en-AU"/>
        </a:p>
      </dgm:t>
    </dgm:pt>
    <dgm:pt modelId="{ABBF8C9A-C94F-4200-A178-4AA0D5D0014E}" type="pres">
      <dgm:prSet presAssocID="{0A4346F8-7A90-4138-81DF-E1977D47C8AB}" presName="Name0" presStyleCnt="0">
        <dgm:presLayoutVars>
          <dgm:chMax val="7"/>
          <dgm:chPref val="7"/>
          <dgm:dir/>
          <dgm:animLvl val="lvl"/>
        </dgm:presLayoutVars>
      </dgm:prSet>
      <dgm:spPr/>
    </dgm:pt>
    <dgm:pt modelId="{A6FCEDC3-9042-45F7-94D4-BB84BA7F04D4}" type="pres">
      <dgm:prSet presAssocID="{5BA85782-7F98-4DA8-AB06-29AD1BB9E42F}" presName="Accent1" presStyleCnt="0"/>
      <dgm:spPr/>
    </dgm:pt>
    <dgm:pt modelId="{EC81736B-01AA-415A-B446-E1FED33DD371}" type="pres">
      <dgm:prSet presAssocID="{5BA85782-7F98-4DA8-AB06-29AD1BB9E42F}" presName="Accent" presStyleLbl="node1" presStyleIdx="0" presStyleCnt="7"/>
      <dgm:spPr>
        <a:xfrm>
          <a:off x="2275954" y="0"/>
          <a:ext cx="2164443" cy="2164632"/>
        </a:xfrm>
        <a:prstGeom prst="circularArrow">
          <a:avLst>
            <a:gd name="adj1" fmla="val 10980"/>
            <a:gd name="adj2" fmla="val 1142322"/>
            <a:gd name="adj3" fmla="val 4500000"/>
            <a:gd name="adj4" fmla="val 108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2DC63BCE-A04C-4A79-BE08-0C7370C2FC59}" type="pres">
      <dgm:prSet presAssocID="{5BA85782-7F98-4DA8-AB06-29AD1BB9E42F}" presName="Parent1" presStyleLbl="revTx" presStyleIdx="0" presStyleCnt="7" custLinFactNeighborX="789" custLinFactNeighborY="-31555">
        <dgm:presLayoutVars>
          <dgm:chMax val="1"/>
          <dgm:chPref val="1"/>
          <dgm:bulletEnabled val="1"/>
        </dgm:presLayoutVars>
      </dgm:prSet>
      <dgm:spPr/>
    </dgm:pt>
    <dgm:pt modelId="{4A35F877-3B41-459D-8263-3B50C6324CF0}" type="pres">
      <dgm:prSet presAssocID="{152CD75B-3F8A-4221-9470-681170467936}" presName="Accent2" presStyleCnt="0"/>
      <dgm:spPr/>
    </dgm:pt>
    <dgm:pt modelId="{53DE41BA-AC8C-4A15-902B-485EB44C9045}" type="pres">
      <dgm:prSet presAssocID="{152CD75B-3F8A-4221-9470-681170467936}" presName="Accent" presStyleLbl="node1" presStyleIdx="1" presStyleCnt="7"/>
      <dgm:spPr>
        <a:xfrm>
          <a:off x="1674652" y="1243431"/>
          <a:ext cx="2164443" cy="216463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4C8CBF03-F8DF-4AED-A0EC-CAFDF4B6EF07}" type="pres">
      <dgm:prSet presAssocID="{152CD75B-3F8A-4221-9470-681170467936}" presName="Parent2" presStyleLbl="revTx" presStyleIdx="1" presStyleCnt="7" custScaleY="115987">
        <dgm:presLayoutVars>
          <dgm:chMax val="1"/>
          <dgm:chPref val="1"/>
          <dgm:bulletEnabled val="1"/>
        </dgm:presLayoutVars>
      </dgm:prSet>
      <dgm:spPr/>
    </dgm:pt>
    <dgm:pt modelId="{6500F152-56F5-4795-93CF-16BA75BF2A21}" type="pres">
      <dgm:prSet presAssocID="{E9E5B98A-1D7C-4B2F-94CA-84636C63E89C}" presName="Accent3" presStyleCnt="0"/>
      <dgm:spPr/>
    </dgm:pt>
    <dgm:pt modelId="{A02E1CF4-A3DF-4877-B664-2721CF07DE63}" type="pres">
      <dgm:prSet presAssocID="{E9E5B98A-1D7C-4B2F-94CA-84636C63E89C}" presName="Accent" presStyleLbl="node1" presStyleIdx="2" presStyleCnt="7"/>
      <dgm:spPr>
        <a:xfrm>
          <a:off x="2275954" y="2492549"/>
          <a:ext cx="2164443" cy="216463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85A4B8D1-FBDA-4C61-85EC-FB5A215A8818}" type="pres">
      <dgm:prSet presAssocID="{E9E5B98A-1D7C-4B2F-94CA-84636C63E89C}" presName="Parent3" presStyleLbl="revTx" presStyleIdx="2" presStyleCnt="7" custScaleY="111369" custLinFactNeighborY="-3366">
        <dgm:presLayoutVars>
          <dgm:chMax val="1"/>
          <dgm:chPref val="1"/>
          <dgm:bulletEnabled val="1"/>
        </dgm:presLayoutVars>
      </dgm:prSet>
      <dgm:spPr/>
    </dgm:pt>
    <dgm:pt modelId="{D2C02612-626A-4B7E-8882-E33D8EC6BCEA}" type="pres">
      <dgm:prSet presAssocID="{AC03BCAE-B52E-4397-816A-06613802C3D5}" presName="Accent4" presStyleCnt="0"/>
      <dgm:spPr/>
    </dgm:pt>
    <dgm:pt modelId="{A2B1B5F6-8870-497B-AF19-CFA8233C41F6}" type="pres">
      <dgm:prSet presAssocID="{AC03BCAE-B52E-4397-816A-06613802C3D5}" presName="Accent" presStyleLbl="node1" presStyleIdx="3" presStyleCnt="7"/>
      <dgm:spPr>
        <a:xfrm>
          <a:off x="1674652" y="3738824"/>
          <a:ext cx="2164443" cy="216463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0496F91C-E7A4-4896-8D14-C17D3A4BB4C3}" type="pres">
      <dgm:prSet presAssocID="{AC03BCAE-B52E-4397-816A-06613802C3D5}" presName="Parent4" presStyleLbl="revTx" presStyleIdx="3" presStyleCnt="7">
        <dgm:presLayoutVars>
          <dgm:chMax val="1"/>
          <dgm:chPref val="1"/>
          <dgm:bulletEnabled val="1"/>
        </dgm:presLayoutVars>
      </dgm:prSet>
      <dgm:spPr/>
    </dgm:pt>
    <dgm:pt modelId="{F0602CC8-C962-464C-94E8-2391DDFCFCA5}" type="pres">
      <dgm:prSet presAssocID="{D525A055-AB1D-41D6-ABEB-4694E72B4228}" presName="Accent5" presStyleCnt="0"/>
      <dgm:spPr/>
    </dgm:pt>
    <dgm:pt modelId="{EE1FA9C9-6BBC-43F2-9FF3-03C7FB77A306}" type="pres">
      <dgm:prSet presAssocID="{D525A055-AB1D-41D6-ABEB-4694E72B4228}" presName="Accent" presStyleLbl="node1" presStyleIdx="4" presStyleCnt="7"/>
      <dgm:spPr>
        <a:xfrm>
          <a:off x="2275954" y="4983203"/>
          <a:ext cx="2164443" cy="216463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93628433-891E-4A4C-848B-28BA5F6E6679}" type="pres">
      <dgm:prSet presAssocID="{D525A055-AB1D-41D6-ABEB-4694E72B4228}" presName="Parent5" presStyleLbl="revTx" presStyleIdx="4" presStyleCnt="7" custScaleY="167709" custLinFactNeighborX="6731" custLinFactNeighborY="-20200">
        <dgm:presLayoutVars>
          <dgm:chMax val="1"/>
          <dgm:chPref val="1"/>
          <dgm:bulletEnabled val="1"/>
        </dgm:presLayoutVars>
      </dgm:prSet>
      <dgm:spPr/>
    </dgm:pt>
    <dgm:pt modelId="{B5349892-E888-473B-BC89-C40C40808119}" type="pres">
      <dgm:prSet presAssocID="{738DCDDC-CD7C-4F7F-B1FF-A7B01B8B1077}" presName="Accent6" presStyleCnt="0"/>
      <dgm:spPr/>
    </dgm:pt>
    <dgm:pt modelId="{8B0249DF-31B5-403B-A115-794E867EC19F}" type="pres">
      <dgm:prSet presAssocID="{738DCDDC-CD7C-4F7F-B1FF-A7B01B8B1077}" presName="Accent" presStyleLbl="node1" presStyleIdx="5" presStyleCnt="7"/>
      <dgm:spPr>
        <a:xfrm>
          <a:off x="1674652" y="6229478"/>
          <a:ext cx="2164443" cy="216463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2972117D-F99D-423E-B20C-D0CFE3FB930D}" type="pres">
      <dgm:prSet presAssocID="{738DCDDC-CD7C-4F7F-B1FF-A7B01B8B1077}" presName="Parent6" presStyleLbl="revTx" presStyleIdx="5" presStyleCnt="7" custScaleY="164056" custLinFactNeighborY="-18517">
        <dgm:presLayoutVars>
          <dgm:chMax val="1"/>
          <dgm:chPref val="1"/>
          <dgm:bulletEnabled val="1"/>
        </dgm:presLayoutVars>
      </dgm:prSet>
      <dgm:spPr/>
    </dgm:pt>
    <dgm:pt modelId="{B451B055-DB90-4766-9C43-1594C217016B}" type="pres">
      <dgm:prSet presAssocID="{22F75FED-4866-4B00-94F0-76755B612FDF}" presName="Accent7" presStyleCnt="0"/>
      <dgm:spPr/>
    </dgm:pt>
    <dgm:pt modelId="{D7066F26-FD04-45AF-818F-E0200EE3F4C6}" type="pres">
      <dgm:prSet presAssocID="{22F75FED-4866-4B00-94F0-76755B612FDF}" presName="Accent" presStyleLbl="node1" presStyleIdx="6" presStyleCnt="7"/>
      <dgm:spPr>
        <a:xfrm>
          <a:off x="2429832" y="7616966"/>
          <a:ext cx="1859529" cy="1860408"/>
        </a:xfrm>
        <a:prstGeom prst="blockArc">
          <a:avLst>
            <a:gd name="adj1" fmla="val 13500000"/>
            <a:gd name="adj2" fmla="val 10800000"/>
            <a:gd name="adj3" fmla="val 1274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16E7E04D-9BF8-425B-AD91-6730ECBBEF5E}" type="pres">
      <dgm:prSet presAssocID="{22F75FED-4866-4B00-94F0-76755B612FDF}" presName="Parent7" presStyleLbl="revTx" presStyleIdx="6" presStyleCnt="7" custScaleX="110407" custScaleY="176181">
        <dgm:presLayoutVars>
          <dgm:chMax val="1"/>
          <dgm:chPref val="1"/>
          <dgm:bulletEnabled val="1"/>
        </dgm:presLayoutVars>
      </dgm:prSet>
      <dgm:spPr/>
    </dgm:pt>
  </dgm:ptLst>
  <dgm:cxnLst>
    <dgm:cxn modelId="{F2FF7006-15A8-4441-BD48-F855AC99F2C4}" srcId="{0A4346F8-7A90-4138-81DF-E1977D47C8AB}" destId="{152CD75B-3F8A-4221-9470-681170467936}" srcOrd="1" destOrd="0" parTransId="{4D97B053-F9BC-4CE8-A326-3262DE0C1262}" sibTransId="{51A8AB40-4478-4D38-B336-E465D19CAFBB}"/>
    <dgm:cxn modelId="{A9F7D007-5185-40AF-BABF-10FBDC3D9645}" type="presOf" srcId="{AC03BCAE-B52E-4397-816A-06613802C3D5}" destId="{0496F91C-E7A4-4896-8D14-C17D3A4BB4C3}" srcOrd="0" destOrd="0" presId="urn:microsoft.com/office/officeart/2009/layout/CircleArrowProcess"/>
    <dgm:cxn modelId="{398BAA0F-EEBE-4C1F-BA7D-9E58149874DB}" type="presOf" srcId="{E9E5B98A-1D7C-4B2F-94CA-84636C63E89C}" destId="{85A4B8D1-FBDA-4C61-85EC-FB5A215A8818}" srcOrd="0" destOrd="0" presId="urn:microsoft.com/office/officeart/2009/layout/CircleArrowProcess"/>
    <dgm:cxn modelId="{2DD27010-6A37-44A6-A427-15B849AB0883}" type="presOf" srcId="{D525A055-AB1D-41D6-ABEB-4694E72B4228}" destId="{93628433-891E-4A4C-848B-28BA5F6E6679}" srcOrd="0" destOrd="0" presId="urn:microsoft.com/office/officeart/2009/layout/CircleArrowProcess"/>
    <dgm:cxn modelId="{18B5D213-D09E-445D-8340-EFAB175501A8}" srcId="{0A4346F8-7A90-4138-81DF-E1977D47C8AB}" destId="{738DCDDC-CD7C-4F7F-B1FF-A7B01B8B1077}" srcOrd="5" destOrd="0" parTransId="{5AE8E2B3-E7E2-45B7-8FF9-C26B7208F917}" sibTransId="{48B8468C-5B5C-4D49-B6EF-49A24C03B3E9}"/>
    <dgm:cxn modelId="{73116622-6D76-4863-B4A5-D9D98743D06E}" srcId="{0A4346F8-7A90-4138-81DF-E1977D47C8AB}" destId="{D525A055-AB1D-41D6-ABEB-4694E72B4228}" srcOrd="4" destOrd="0" parTransId="{7B6B01B0-E745-46A8-9A78-859138839A6A}" sibTransId="{BFEA547C-56DE-4E01-9F8A-A548F42626D1}"/>
    <dgm:cxn modelId="{9673BA38-7894-4DEF-B61C-9237D4805B32}" type="presOf" srcId="{738DCDDC-CD7C-4F7F-B1FF-A7B01B8B1077}" destId="{2972117D-F99D-423E-B20C-D0CFE3FB930D}" srcOrd="0" destOrd="0" presId="urn:microsoft.com/office/officeart/2009/layout/CircleArrowProcess"/>
    <dgm:cxn modelId="{3D85BF6E-2ADE-4F4D-B4E7-25F19FAE5557}" type="presOf" srcId="{22F75FED-4866-4B00-94F0-76755B612FDF}" destId="{16E7E04D-9BF8-425B-AD91-6730ECBBEF5E}" srcOrd="0" destOrd="0" presId="urn:microsoft.com/office/officeart/2009/layout/CircleArrowProcess"/>
    <dgm:cxn modelId="{BA0F7079-21C8-424E-A6E6-741FC02B2CAC}" type="presOf" srcId="{5BA85782-7F98-4DA8-AB06-29AD1BB9E42F}" destId="{2DC63BCE-A04C-4A79-BE08-0C7370C2FC59}" srcOrd="0" destOrd="0" presId="urn:microsoft.com/office/officeart/2009/layout/CircleArrowProcess"/>
    <dgm:cxn modelId="{59DE5E8F-67AB-476F-B5A9-639669648C22}" srcId="{0A4346F8-7A90-4138-81DF-E1977D47C8AB}" destId="{AC03BCAE-B52E-4397-816A-06613802C3D5}" srcOrd="3" destOrd="0" parTransId="{68E8BD98-542D-42A7-9BE3-ABBCAD514062}" sibTransId="{5F7ACA6B-6F7E-4C8A-854A-AF4BE5F2F70E}"/>
    <dgm:cxn modelId="{A2B62EAB-6164-49BA-BE8F-7DBAED90588D}" srcId="{0A4346F8-7A90-4138-81DF-E1977D47C8AB}" destId="{22F75FED-4866-4B00-94F0-76755B612FDF}" srcOrd="6" destOrd="0" parTransId="{10899DBC-C6AD-45CB-B3A4-24737D29046C}" sibTransId="{8A5D3D45-C869-4608-9D9C-F90E027B9CAA}"/>
    <dgm:cxn modelId="{21280CC0-74E2-40FE-9853-5F09EC420294}" type="presOf" srcId="{152CD75B-3F8A-4221-9470-681170467936}" destId="{4C8CBF03-F8DF-4AED-A0EC-CAFDF4B6EF07}" srcOrd="0" destOrd="0" presId="urn:microsoft.com/office/officeart/2009/layout/CircleArrowProcess"/>
    <dgm:cxn modelId="{9849D5D9-F2FA-445B-8FBE-C385C5971BAF}" srcId="{0A4346F8-7A90-4138-81DF-E1977D47C8AB}" destId="{5BA85782-7F98-4DA8-AB06-29AD1BB9E42F}" srcOrd="0" destOrd="0" parTransId="{33949543-5516-4C26-9F0E-49C62FFF80AE}" sibTransId="{E79A2D79-132C-4DAA-883E-7B56BEB799E1}"/>
    <dgm:cxn modelId="{260C23F7-0405-4D2E-972C-6F58FA7BD95F}" srcId="{0A4346F8-7A90-4138-81DF-E1977D47C8AB}" destId="{E9E5B98A-1D7C-4B2F-94CA-84636C63E89C}" srcOrd="2" destOrd="0" parTransId="{F93E2D2A-3D85-4A80-9573-8112F9E2EAC0}" sibTransId="{AE499AF0-F40D-4E4F-9508-53733EAA0116}"/>
    <dgm:cxn modelId="{E73B13FB-8D46-4E15-8BF7-D0E2B62C5741}" type="presOf" srcId="{0A4346F8-7A90-4138-81DF-E1977D47C8AB}" destId="{ABBF8C9A-C94F-4200-A178-4AA0D5D0014E}" srcOrd="0" destOrd="0" presId="urn:microsoft.com/office/officeart/2009/layout/CircleArrowProcess"/>
    <dgm:cxn modelId="{9E63CC26-560F-4E2D-979F-40903F2BA514}" type="presParOf" srcId="{ABBF8C9A-C94F-4200-A178-4AA0D5D0014E}" destId="{A6FCEDC3-9042-45F7-94D4-BB84BA7F04D4}" srcOrd="0" destOrd="0" presId="urn:microsoft.com/office/officeart/2009/layout/CircleArrowProcess"/>
    <dgm:cxn modelId="{C8EBFF9B-107C-4B93-A1E0-0787C249EA7A}" type="presParOf" srcId="{A6FCEDC3-9042-45F7-94D4-BB84BA7F04D4}" destId="{EC81736B-01AA-415A-B446-E1FED33DD371}" srcOrd="0" destOrd="0" presId="urn:microsoft.com/office/officeart/2009/layout/CircleArrowProcess"/>
    <dgm:cxn modelId="{A634F274-D8CE-41AD-854A-BA805ED08FBE}" type="presParOf" srcId="{ABBF8C9A-C94F-4200-A178-4AA0D5D0014E}" destId="{2DC63BCE-A04C-4A79-BE08-0C7370C2FC59}" srcOrd="1" destOrd="0" presId="urn:microsoft.com/office/officeart/2009/layout/CircleArrowProcess"/>
    <dgm:cxn modelId="{28336840-86DC-4000-8A6A-612CAB8254FE}" type="presParOf" srcId="{ABBF8C9A-C94F-4200-A178-4AA0D5D0014E}" destId="{4A35F877-3B41-459D-8263-3B50C6324CF0}" srcOrd="2" destOrd="0" presId="urn:microsoft.com/office/officeart/2009/layout/CircleArrowProcess"/>
    <dgm:cxn modelId="{2463A033-07C3-4FF4-881D-480156A17D8C}" type="presParOf" srcId="{4A35F877-3B41-459D-8263-3B50C6324CF0}" destId="{53DE41BA-AC8C-4A15-902B-485EB44C9045}" srcOrd="0" destOrd="0" presId="urn:microsoft.com/office/officeart/2009/layout/CircleArrowProcess"/>
    <dgm:cxn modelId="{C7F01998-A435-4C0C-B7FD-625B21BD9C62}" type="presParOf" srcId="{ABBF8C9A-C94F-4200-A178-4AA0D5D0014E}" destId="{4C8CBF03-F8DF-4AED-A0EC-CAFDF4B6EF07}" srcOrd="3" destOrd="0" presId="urn:microsoft.com/office/officeart/2009/layout/CircleArrowProcess"/>
    <dgm:cxn modelId="{C3A353C3-B109-4DA3-8DA9-6131E28E9F97}" type="presParOf" srcId="{ABBF8C9A-C94F-4200-A178-4AA0D5D0014E}" destId="{6500F152-56F5-4795-93CF-16BA75BF2A21}" srcOrd="4" destOrd="0" presId="urn:microsoft.com/office/officeart/2009/layout/CircleArrowProcess"/>
    <dgm:cxn modelId="{BA757B6A-4127-4380-A5BF-9DA8C1D00E9C}" type="presParOf" srcId="{6500F152-56F5-4795-93CF-16BA75BF2A21}" destId="{A02E1CF4-A3DF-4877-B664-2721CF07DE63}" srcOrd="0" destOrd="0" presId="urn:microsoft.com/office/officeart/2009/layout/CircleArrowProcess"/>
    <dgm:cxn modelId="{FD986C71-781C-48D8-86C7-44BB1DE07866}" type="presParOf" srcId="{ABBF8C9A-C94F-4200-A178-4AA0D5D0014E}" destId="{85A4B8D1-FBDA-4C61-85EC-FB5A215A8818}" srcOrd="5" destOrd="0" presId="urn:microsoft.com/office/officeart/2009/layout/CircleArrowProcess"/>
    <dgm:cxn modelId="{45AC429A-4BC5-4F1D-81E9-D2CDD4FBF1E7}" type="presParOf" srcId="{ABBF8C9A-C94F-4200-A178-4AA0D5D0014E}" destId="{D2C02612-626A-4B7E-8882-E33D8EC6BCEA}" srcOrd="6" destOrd="0" presId="urn:microsoft.com/office/officeart/2009/layout/CircleArrowProcess"/>
    <dgm:cxn modelId="{D4C63B02-BD57-4E49-8A80-A794222A7DC2}" type="presParOf" srcId="{D2C02612-626A-4B7E-8882-E33D8EC6BCEA}" destId="{A2B1B5F6-8870-497B-AF19-CFA8233C41F6}" srcOrd="0" destOrd="0" presId="urn:microsoft.com/office/officeart/2009/layout/CircleArrowProcess"/>
    <dgm:cxn modelId="{8B1AEE04-9D09-44BC-A7BD-3C9942589BFC}" type="presParOf" srcId="{ABBF8C9A-C94F-4200-A178-4AA0D5D0014E}" destId="{0496F91C-E7A4-4896-8D14-C17D3A4BB4C3}" srcOrd="7" destOrd="0" presId="urn:microsoft.com/office/officeart/2009/layout/CircleArrowProcess"/>
    <dgm:cxn modelId="{7C0D648B-67B5-4E0D-BD92-6556A4199A75}" type="presParOf" srcId="{ABBF8C9A-C94F-4200-A178-4AA0D5D0014E}" destId="{F0602CC8-C962-464C-94E8-2391DDFCFCA5}" srcOrd="8" destOrd="0" presId="urn:microsoft.com/office/officeart/2009/layout/CircleArrowProcess"/>
    <dgm:cxn modelId="{58E78F86-1C81-4D78-A0C5-59DDD26D3A3A}" type="presParOf" srcId="{F0602CC8-C962-464C-94E8-2391DDFCFCA5}" destId="{EE1FA9C9-6BBC-43F2-9FF3-03C7FB77A306}" srcOrd="0" destOrd="0" presId="urn:microsoft.com/office/officeart/2009/layout/CircleArrowProcess"/>
    <dgm:cxn modelId="{C50C09C9-5CFD-4D7A-ADD4-CF794A942AFD}" type="presParOf" srcId="{ABBF8C9A-C94F-4200-A178-4AA0D5D0014E}" destId="{93628433-891E-4A4C-848B-28BA5F6E6679}" srcOrd="9" destOrd="0" presId="urn:microsoft.com/office/officeart/2009/layout/CircleArrowProcess"/>
    <dgm:cxn modelId="{66D72EA9-2415-45B3-8567-7506E69E6B1F}" type="presParOf" srcId="{ABBF8C9A-C94F-4200-A178-4AA0D5D0014E}" destId="{B5349892-E888-473B-BC89-C40C40808119}" srcOrd="10" destOrd="0" presId="urn:microsoft.com/office/officeart/2009/layout/CircleArrowProcess"/>
    <dgm:cxn modelId="{B0D89439-9BDC-4F66-AEC2-1393F4EDDFAA}" type="presParOf" srcId="{B5349892-E888-473B-BC89-C40C40808119}" destId="{8B0249DF-31B5-403B-A115-794E867EC19F}" srcOrd="0" destOrd="0" presId="urn:microsoft.com/office/officeart/2009/layout/CircleArrowProcess"/>
    <dgm:cxn modelId="{6FAEF31F-A72C-47FC-B285-83E2DB960811}" type="presParOf" srcId="{ABBF8C9A-C94F-4200-A178-4AA0D5D0014E}" destId="{2972117D-F99D-423E-B20C-D0CFE3FB930D}" srcOrd="11" destOrd="0" presId="urn:microsoft.com/office/officeart/2009/layout/CircleArrowProcess"/>
    <dgm:cxn modelId="{3D8E50D1-8B49-4F95-A7EC-88EE4F5C9B5A}" type="presParOf" srcId="{ABBF8C9A-C94F-4200-A178-4AA0D5D0014E}" destId="{B451B055-DB90-4766-9C43-1594C217016B}" srcOrd="12" destOrd="0" presId="urn:microsoft.com/office/officeart/2009/layout/CircleArrowProcess"/>
    <dgm:cxn modelId="{AE32119F-CD78-44F8-BC45-2466352D1B0A}" type="presParOf" srcId="{B451B055-DB90-4766-9C43-1594C217016B}" destId="{D7066F26-FD04-45AF-818F-E0200EE3F4C6}" srcOrd="0" destOrd="0" presId="urn:microsoft.com/office/officeart/2009/layout/CircleArrowProcess"/>
    <dgm:cxn modelId="{565DFFEC-23BB-4FCB-9D9C-1CC84635D75B}" type="presParOf" srcId="{ABBF8C9A-C94F-4200-A178-4AA0D5D0014E}" destId="{16E7E04D-9BF8-425B-AD91-6730ECBBEF5E}" srcOrd="13" destOrd="0" presId="urn:microsoft.com/office/officeart/2009/layout/CircleArrowProcess"/>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81736B-01AA-415A-B446-E1FED33DD371}">
      <dsp:nvSpPr>
        <dsp:cNvPr id="0" name=""/>
        <dsp:cNvSpPr/>
      </dsp:nvSpPr>
      <dsp:spPr>
        <a:xfrm>
          <a:off x="2131940" y="0"/>
          <a:ext cx="1864249" cy="1864412"/>
        </a:xfrm>
        <a:prstGeom prst="circularArrow">
          <a:avLst>
            <a:gd name="adj1" fmla="val 10980"/>
            <a:gd name="adj2" fmla="val 1142322"/>
            <a:gd name="adj3" fmla="val 4500000"/>
            <a:gd name="adj4" fmla="val 108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DC63BCE-A04C-4A79-BE08-0C7370C2FC59}">
      <dsp:nvSpPr>
        <dsp:cNvPr id="0" name=""/>
        <dsp:cNvSpPr/>
      </dsp:nvSpPr>
      <dsp:spPr>
        <a:xfrm>
          <a:off x="2551745" y="510994"/>
          <a:ext cx="1040356" cy="519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b="1" kern="1200">
              <a:solidFill>
                <a:sysClr val="windowText" lastClr="000000">
                  <a:hueOff val="0"/>
                  <a:satOff val="0"/>
                  <a:lumOff val="0"/>
                  <a:alphaOff val="0"/>
                </a:sysClr>
              </a:solidFill>
              <a:latin typeface="Calibri"/>
              <a:ea typeface="+mn-ea"/>
            </a:rPr>
            <a:t>COP13</a:t>
          </a:r>
          <a:r>
            <a:rPr lang="fr-FR" sz="1600" kern="1200"/>
            <a:t> </a:t>
          </a:r>
          <a:endParaRPr lang="fr-FR" sz="1000" kern="1200"/>
        </a:p>
        <a:p>
          <a:pPr marL="0" lvl="0" indent="0" algn="ctr" defTabSz="622300">
            <a:lnSpc>
              <a:spcPct val="90000"/>
            </a:lnSpc>
            <a:spcBef>
              <a:spcPct val="0"/>
            </a:spcBef>
            <a:spcAft>
              <a:spcPct val="35000"/>
            </a:spcAft>
            <a:buNone/>
          </a:pPr>
          <a:r>
            <a:rPr lang="fr-FR" sz="1000" kern="1200"/>
            <a:t>Domaines d'activité et experts convenus</a:t>
          </a:r>
        </a:p>
      </dsp:txBody>
      <dsp:txXfrm>
        <a:off x="2551745" y="510994"/>
        <a:ext cx="1040356" cy="519978"/>
      </dsp:txXfrm>
    </dsp:sp>
    <dsp:sp modelId="{53DE41BA-AC8C-4A15-902B-485EB44C9045}">
      <dsp:nvSpPr>
        <dsp:cNvPr id="0" name=""/>
        <dsp:cNvSpPr/>
      </dsp:nvSpPr>
      <dsp:spPr>
        <a:xfrm>
          <a:off x="1614035" y="1070975"/>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C8CBF03-F8DF-4AED-A0EC-CAFDF4B6EF07}">
      <dsp:nvSpPr>
        <dsp:cNvPr id="0" name=""/>
        <dsp:cNvSpPr/>
      </dsp:nvSpPr>
      <dsp:spPr>
        <a:xfrm>
          <a:off x="2023533" y="1706934"/>
          <a:ext cx="1040356" cy="603107"/>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Réunion du Comité de session</a:t>
          </a:r>
        </a:p>
      </dsp:txBody>
      <dsp:txXfrm>
        <a:off x="2023533" y="1706934"/>
        <a:ext cx="1040356" cy="603107"/>
      </dsp:txXfrm>
    </dsp:sp>
    <dsp:sp modelId="{A02E1CF4-A3DF-4877-B664-2721CF07DE63}">
      <dsp:nvSpPr>
        <dsp:cNvPr id="0" name=""/>
        <dsp:cNvSpPr/>
      </dsp:nvSpPr>
      <dsp:spPr>
        <a:xfrm>
          <a:off x="2131940" y="2146849"/>
          <a:ext cx="1864249" cy="186441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5A4B8D1-FBDA-4C61-85EC-FB5A215A8818}">
      <dsp:nvSpPr>
        <dsp:cNvPr id="0" name=""/>
        <dsp:cNvSpPr/>
      </dsp:nvSpPr>
      <dsp:spPr>
        <a:xfrm>
          <a:off x="2543537" y="2774862"/>
          <a:ext cx="1040356" cy="579094"/>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Réunion du Comité de session</a:t>
          </a:r>
        </a:p>
      </dsp:txBody>
      <dsp:txXfrm>
        <a:off x="2543537" y="2774862"/>
        <a:ext cx="1040356" cy="579094"/>
      </dsp:txXfrm>
    </dsp:sp>
    <dsp:sp modelId="{A2B1B5F6-8870-497B-AF19-CFA8233C41F6}">
      <dsp:nvSpPr>
        <dsp:cNvPr id="0" name=""/>
        <dsp:cNvSpPr/>
      </dsp:nvSpPr>
      <dsp:spPr>
        <a:xfrm>
          <a:off x="1614035" y="3220273"/>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496F91C-E7A4-4896-8D14-C17D3A4BB4C3}">
      <dsp:nvSpPr>
        <dsp:cNvPr id="0" name=""/>
        <dsp:cNvSpPr/>
      </dsp:nvSpPr>
      <dsp:spPr>
        <a:xfrm>
          <a:off x="2023533" y="3895347"/>
          <a:ext cx="1040356" cy="519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b="1" kern="1200">
              <a:solidFill>
                <a:sysClr val="windowText" lastClr="000000">
                  <a:hueOff val="0"/>
                  <a:satOff val="0"/>
                  <a:lumOff val="0"/>
                  <a:alphaOff val="0"/>
                </a:sysClr>
              </a:solidFill>
              <a:latin typeface="Calibri"/>
              <a:ea typeface="+mn-ea"/>
            </a:rPr>
            <a:t>COP14</a:t>
          </a:r>
        </a:p>
      </dsp:txBody>
      <dsp:txXfrm>
        <a:off x="2023533" y="3895347"/>
        <a:ext cx="1040356" cy="519978"/>
      </dsp:txXfrm>
    </dsp:sp>
    <dsp:sp modelId="{EE1FA9C9-6BBC-43F2-9FF3-03C7FB77A306}">
      <dsp:nvSpPr>
        <dsp:cNvPr id="0" name=""/>
        <dsp:cNvSpPr/>
      </dsp:nvSpPr>
      <dsp:spPr>
        <a:xfrm>
          <a:off x="2131940" y="4292065"/>
          <a:ext cx="1864249" cy="1864412"/>
        </a:xfrm>
        <a:prstGeom prst="circularArrow">
          <a:avLst>
            <a:gd name="adj1" fmla="val 10980"/>
            <a:gd name="adj2" fmla="val 1142322"/>
            <a:gd name="adj3" fmla="val 4500000"/>
            <a:gd name="adj4" fmla="val 135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3628433-891E-4A4C-848B-28BA5F6E6679}">
      <dsp:nvSpPr>
        <dsp:cNvPr id="0" name=""/>
        <dsp:cNvSpPr/>
      </dsp:nvSpPr>
      <dsp:spPr>
        <a:xfrm>
          <a:off x="2613563" y="4686068"/>
          <a:ext cx="1040356" cy="872050"/>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Réunion du Comité de session</a:t>
          </a:r>
        </a:p>
        <a:p>
          <a:pPr marL="0" lvl="0" indent="0" algn="ctr" defTabSz="444500">
            <a:lnSpc>
              <a:spcPct val="90000"/>
            </a:lnSpc>
            <a:spcBef>
              <a:spcPct val="0"/>
            </a:spcBef>
            <a:spcAft>
              <a:spcPct val="35000"/>
            </a:spcAft>
            <a:buNone/>
          </a:pPr>
          <a:r>
            <a:rPr lang="fr-FR" sz="1000" kern="1200"/>
            <a:t>Début de l'examen des domaines d'activité</a:t>
          </a:r>
        </a:p>
      </dsp:txBody>
      <dsp:txXfrm>
        <a:off x="2613563" y="4686068"/>
        <a:ext cx="1040356" cy="872050"/>
      </dsp:txXfrm>
    </dsp:sp>
    <dsp:sp modelId="{8B0249DF-31B5-403B-A115-794E867EC19F}">
      <dsp:nvSpPr>
        <dsp:cNvPr id="0" name=""/>
        <dsp:cNvSpPr/>
      </dsp:nvSpPr>
      <dsp:spPr>
        <a:xfrm>
          <a:off x="1614035" y="5365490"/>
          <a:ext cx="1864249" cy="1864412"/>
        </a:xfrm>
        <a:prstGeom prst="leftCircularArrow">
          <a:avLst>
            <a:gd name="adj1" fmla="val 10980"/>
            <a:gd name="adj2" fmla="val 1142322"/>
            <a:gd name="adj3" fmla="val 6300000"/>
            <a:gd name="adj4" fmla="val 18900000"/>
            <a:gd name="adj5" fmla="val 125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972117D-F99D-423E-B20C-D0CFE3FB930D}">
      <dsp:nvSpPr>
        <dsp:cNvPr id="0" name=""/>
        <dsp:cNvSpPr/>
      </dsp:nvSpPr>
      <dsp:spPr>
        <a:xfrm>
          <a:off x="2023533" y="5777741"/>
          <a:ext cx="1040356" cy="853055"/>
        </a:xfrm>
        <a:prstGeom prst="rect">
          <a:avLst/>
        </a:prstGeom>
        <a:solidFill>
          <a:srgbClr val="9BBB59"/>
        </a:solid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Réunion du Comité de session</a:t>
          </a:r>
        </a:p>
        <a:p>
          <a:pPr marL="0" lvl="0" indent="0" algn="ctr" defTabSz="444500">
            <a:lnSpc>
              <a:spcPct val="90000"/>
            </a:lnSpc>
            <a:spcBef>
              <a:spcPct val="0"/>
            </a:spcBef>
            <a:spcAft>
              <a:spcPct val="35000"/>
            </a:spcAft>
            <a:buNone/>
          </a:pPr>
          <a:r>
            <a:rPr lang="fr-FR" sz="1000" kern="1200"/>
            <a:t>Finalisation de l'examen des domaines d'activité</a:t>
          </a:r>
        </a:p>
      </dsp:txBody>
      <dsp:txXfrm>
        <a:off x="2023533" y="5777741"/>
        <a:ext cx="1040356" cy="853055"/>
      </dsp:txXfrm>
    </dsp:sp>
    <dsp:sp modelId="{D7066F26-FD04-45AF-818F-E0200EE3F4C6}">
      <dsp:nvSpPr>
        <dsp:cNvPr id="0" name=""/>
        <dsp:cNvSpPr/>
      </dsp:nvSpPr>
      <dsp:spPr>
        <a:xfrm>
          <a:off x="2264476" y="6560542"/>
          <a:ext cx="1601624" cy="1602382"/>
        </a:xfrm>
        <a:prstGeom prst="blockArc">
          <a:avLst>
            <a:gd name="adj1" fmla="val 13500000"/>
            <a:gd name="adj2" fmla="val 10800000"/>
            <a:gd name="adj3" fmla="val 1274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6E7E04D-9BF8-425B-AD91-6730ECBBEF5E}">
      <dsp:nvSpPr>
        <dsp:cNvPr id="0" name=""/>
        <dsp:cNvSpPr/>
      </dsp:nvSpPr>
      <dsp:spPr>
        <a:xfrm>
          <a:off x="2489402" y="6915926"/>
          <a:ext cx="1148626" cy="9161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b="1" kern="1200">
              <a:solidFill>
                <a:sysClr val="windowText" lastClr="000000">
                  <a:hueOff val="0"/>
                  <a:satOff val="0"/>
                  <a:lumOff val="0"/>
                  <a:alphaOff val="0"/>
                </a:sysClr>
              </a:solidFill>
              <a:latin typeface="Calibri"/>
              <a:ea typeface="+mn-ea"/>
            </a:rPr>
            <a:t>COP15</a:t>
          </a:r>
          <a:endParaRPr lang="fr-FR" sz="1100" b="1" kern="1200">
            <a:solidFill>
              <a:sysClr val="windowText" lastClr="000000">
                <a:hueOff val="0"/>
                <a:satOff val="0"/>
                <a:lumOff val="0"/>
                <a:alphaOff val="0"/>
              </a:sysClr>
            </a:solidFill>
            <a:latin typeface="Calibri"/>
            <a:ea typeface="+mn-ea"/>
          </a:endParaRPr>
        </a:p>
        <a:p>
          <a:pPr marL="0" lvl="0" indent="0" algn="ctr" defTabSz="622300">
            <a:lnSpc>
              <a:spcPct val="90000"/>
            </a:lnSpc>
            <a:spcBef>
              <a:spcPct val="0"/>
            </a:spcBef>
            <a:spcAft>
              <a:spcPct val="35000"/>
            </a:spcAft>
            <a:buNone/>
          </a:pPr>
          <a:r>
            <a:rPr lang="fr-FR" sz="1000" kern="1200"/>
            <a:t>Recommandations sur les domaines d'activité et les candidats proposés</a:t>
          </a:r>
        </a:p>
      </dsp:txBody>
      <dsp:txXfrm>
        <a:off x="2489402" y="6915926"/>
        <a:ext cx="1148626" cy="91610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4871</Words>
  <Characters>27963</Characters>
  <Application>Microsoft Office Word</Application>
  <DocSecurity>0</DocSecurity>
  <Lines>847</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2019-12-09T08:44:00Z</dcterms:created>
  <dcterms:modified xsi:type="dcterms:W3CDTF">2019-12-09T08:44:00Z</dcterms:modified>
</cp:coreProperties>
</file>